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6"/>
        <w:snapToGrid w:val="0"/>
        <w:spacing w:line="360" w:lineRule="auto"/>
        <w:ind w:right="25" w:rightChars="12"/>
        <w:jc w:val="center"/>
        <w:rPr>
          <w:rFonts w:cs="宋体"/>
          <w:b/>
          <w:color w:val="auto"/>
          <w:sz w:val="48"/>
          <w:szCs w:val="48"/>
          <w:highlight w:val="none"/>
          <w:u w:val="none"/>
        </w:rPr>
      </w:pPr>
    </w:p>
    <w:p>
      <w:pPr>
        <w:pStyle w:val="26"/>
        <w:snapToGrid w:val="0"/>
        <w:spacing w:line="360" w:lineRule="auto"/>
        <w:ind w:right="25" w:rightChars="12"/>
        <w:jc w:val="center"/>
        <w:rPr>
          <w:rFonts w:hint="eastAsia" w:cs="宋体"/>
          <w:b/>
          <w:color w:val="auto"/>
          <w:sz w:val="48"/>
          <w:szCs w:val="48"/>
          <w:highlight w:val="none"/>
          <w:u w:val="none"/>
          <w:lang w:eastAsia="zh-CN"/>
        </w:rPr>
      </w:pPr>
      <w:r>
        <w:rPr>
          <w:rFonts w:hint="eastAsia" w:cs="宋体"/>
          <w:b/>
          <w:color w:val="auto"/>
          <w:sz w:val="48"/>
          <w:szCs w:val="48"/>
          <w:highlight w:val="none"/>
          <w:u w:val="none"/>
          <w:lang w:eastAsia="zh-CN"/>
        </w:rPr>
        <w:t>天鹿湖森林公园森林步道</w:t>
      </w:r>
      <w:bookmarkStart w:id="62" w:name="_GoBack"/>
      <w:bookmarkEnd w:id="62"/>
      <w:r>
        <w:rPr>
          <w:rFonts w:hint="eastAsia" w:cs="宋体"/>
          <w:b/>
          <w:color w:val="auto"/>
          <w:sz w:val="48"/>
          <w:szCs w:val="48"/>
          <w:highlight w:val="none"/>
          <w:u w:val="none"/>
        </w:rPr>
        <w:t>施工总承包</w:t>
      </w:r>
    </w:p>
    <w:p>
      <w:pPr>
        <w:pStyle w:val="26"/>
        <w:snapToGrid w:val="0"/>
        <w:spacing w:line="360" w:lineRule="auto"/>
        <w:ind w:right="25" w:rightChars="12"/>
        <w:jc w:val="center"/>
        <w:rPr>
          <w:rFonts w:cs="宋体"/>
          <w:b/>
          <w:color w:val="auto"/>
          <w:sz w:val="48"/>
          <w:szCs w:val="48"/>
          <w:highlight w:val="none"/>
          <w:u w:val="none"/>
        </w:rPr>
      </w:pPr>
    </w:p>
    <w:p>
      <w:pPr>
        <w:snapToGrid w:val="0"/>
        <w:spacing w:line="360" w:lineRule="auto"/>
        <w:jc w:val="center"/>
        <w:rPr>
          <w:rFonts w:ascii="宋体" w:hAnsi="宋体" w:cs="宋体"/>
          <w:color w:val="auto"/>
          <w:sz w:val="36"/>
          <w:szCs w:val="36"/>
          <w:highlight w:val="none"/>
          <w:u w:val="single"/>
        </w:rPr>
      </w:pPr>
    </w:p>
    <w:p>
      <w:pPr>
        <w:pStyle w:val="17"/>
        <w:snapToGrid w:val="0"/>
        <w:spacing w:line="360" w:lineRule="auto"/>
        <w:rPr>
          <w:rFonts w:hAnsi="宋体" w:cs="宋体"/>
          <w:color w:val="auto"/>
          <w:highlight w:val="none"/>
        </w:rPr>
      </w:pPr>
    </w:p>
    <w:p>
      <w:pPr>
        <w:rPr>
          <w:rStyle w:val="36"/>
          <w:rFonts w:ascii="宋体" w:hAnsi="宋体" w:cs="宋体"/>
          <w:b/>
          <w:bCs/>
          <w:color w:val="auto"/>
          <w:szCs w:val="21"/>
          <w:highlight w:val="none"/>
          <w:u w:val="none"/>
        </w:rPr>
      </w:pPr>
    </w:p>
    <w:p>
      <w:pPr>
        <w:pStyle w:val="17"/>
        <w:snapToGrid w:val="0"/>
        <w:spacing w:line="360" w:lineRule="auto"/>
        <w:rPr>
          <w:rFonts w:hAnsi="宋体" w:cs="宋体"/>
          <w:color w:val="auto"/>
          <w:sz w:val="36"/>
          <w:szCs w:val="36"/>
          <w:highlight w:val="none"/>
          <w:u w:val="single"/>
        </w:rPr>
      </w:pPr>
    </w:p>
    <w:p>
      <w:pPr>
        <w:pStyle w:val="17"/>
        <w:snapToGrid w:val="0"/>
        <w:spacing w:line="360" w:lineRule="auto"/>
        <w:rPr>
          <w:rFonts w:hAnsi="宋体" w:cs="宋体"/>
          <w:color w:val="auto"/>
          <w:sz w:val="36"/>
          <w:szCs w:val="36"/>
          <w:highlight w:val="none"/>
          <w:u w:val="single"/>
        </w:rPr>
      </w:pPr>
    </w:p>
    <w:p>
      <w:pPr>
        <w:snapToGrid w:val="0"/>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pPr>
        <w:snapToGrid w:val="0"/>
        <w:spacing w:line="360" w:lineRule="auto"/>
        <w:jc w:val="center"/>
        <w:rPr>
          <w:rFonts w:ascii="宋体" w:hAnsi="宋体" w:cs="宋体"/>
          <w:color w:val="auto"/>
          <w:sz w:val="32"/>
          <w:szCs w:val="32"/>
          <w:highlight w:val="none"/>
        </w:rPr>
      </w:pPr>
    </w:p>
    <w:p>
      <w:pPr>
        <w:snapToGrid w:val="0"/>
        <w:spacing w:line="360" w:lineRule="auto"/>
        <w:ind w:firstLine="2560" w:firstLineChars="800"/>
        <w:rPr>
          <w:rFonts w:ascii="宋体" w:hAnsi="宋体" w:cs="宋体"/>
          <w:color w:val="auto"/>
          <w:sz w:val="32"/>
          <w:szCs w:val="32"/>
          <w:highlight w:val="none"/>
        </w:rPr>
      </w:pPr>
    </w:p>
    <w:p>
      <w:pPr>
        <w:rPr>
          <w:rFonts w:ascii="宋体" w:hAnsi="宋体" w:cs="宋体"/>
          <w:color w:val="auto"/>
          <w:sz w:val="32"/>
          <w:szCs w:val="32"/>
          <w:highlight w:val="none"/>
        </w:rPr>
      </w:pPr>
    </w:p>
    <w:p>
      <w:pPr>
        <w:rPr>
          <w:rStyle w:val="36"/>
          <w:rFonts w:ascii="宋体" w:hAnsi="宋体" w:cs="宋体"/>
          <w:b/>
          <w:bCs/>
          <w:color w:val="auto"/>
          <w:szCs w:val="21"/>
          <w:highlight w:val="none"/>
          <w:u w:val="none"/>
        </w:rPr>
      </w:pPr>
    </w:p>
    <w:p>
      <w:pPr>
        <w:rPr>
          <w:rStyle w:val="36"/>
          <w:rFonts w:ascii="宋体" w:hAnsi="宋体" w:cs="宋体"/>
          <w:b/>
          <w:bCs/>
          <w:color w:val="auto"/>
          <w:szCs w:val="21"/>
          <w:highlight w:val="none"/>
          <w:u w:val="none"/>
        </w:rPr>
      </w:pPr>
    </w:p>
    <w:p>
      <w:pPr>
        <w:snapToGrid w:val="0"/>
        <w:spacing w:line="360" w:lineRule="auto"/>
        <w:ind w:firstLine="1200" w:firstLineChars="400"/>
        <w:rPr>
          <w:rFonts w:ascii="宋体" w:hAnsi="宋体" w:cs="宋体"/>
          <w:color w:val="auto"/>
          <w:sz w:val="30"/>
          <w:szCs w:val="30"/>
          <w:highlight w:val="none"/>
        </w:rPr>
      </w:pPr>
    </w:p>
    <w:p>
      <w:pPr>
        <w:pStyle w:val="17"/>
        <w:snapToGrid w:val="0"/>
        <w:spacing w:line="360" w:lineRule="auto"/>
        <w:rPr>
          <w:rFonts w:hAnsi="宋体" w:cs="宋体"/>
          <w:color w:val="auto"/>
          <w:highlight w:val="none"/>
        </w:rPr>
      </w:pPr>
    </w:p>
    <w:p>
      <w:pPr>
        <w:snapToGrid w:val="0"/>
        <w:spacing w:line="360" w:lineRule="auto"/>
        <w:ind w:firstLine="639" w:firstLineChars="213"/>
        <w:rPr>
          <w:rFonts w:ascii="宋体" w:hAnsi="宋体" w:cs="宋体"/>
          <w:color w:val="auto"/>
          <w:spacing w:val="-2"/>
          <w:sz w:val="30"/>
          <w:szCs w:val="30"/>
          <w:highlight w:val="none"/>
        </w:rPr>
      </w:pPr>
      <w:r>
        <w:rPr>
          <w:rFonts w:hint="eastAsia" w:ascii="宋体" w:hAnsi="宋体" w:cs="宋体"/>
          <w:color w:val="auto"/>
          <w:sz w:val="30"/>
          <w:szCs w:val="30"/>
          <w:highlight w:val="none"/>
        </w:rPr>
        <w:t>招标单位：</w:t>
      </w:r>
      <w:r>
        <w:rPr>
          <w:rFonts w:hint="eastAsia" w:ascii="宋体" w:hAnsi="宋体" w:cs="宋体"/>
          <w:color w:val="auto"/>
          <w:spacing w:val="-2"/>
          <w:sz w:val="30"/>
          <w:szCs w:val="30"/>
          <w:highlight w:val="none"/>
        </w:rPr>
        <w:t>广州开发区财政投资建设项目管理中心</w:t>
      </w:r>
    </w:p>
    <w:p>
      <w:pPr>
        <w:snapToGrid w:val="0"/>
        <w:spacing w:line="360" w:lineRule="auto"/>
        <w:ind w:firstLine="639" w:firstLineChars="213"/>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lang w:eastAsia="zh-CN"/>
        </w:rPr>
        <w:t>广东省国际工程咨询有限公司</w:t>
      </w:r>
    </w:p>
    <w:p>
      <w:pPr>
        <w:snapToGrid w:val="0"/>
        <w:spacing w:line="360" w:lineRule="auto"/>
        <w:ind w:firstLine="639" w:firstLineChars="213"/>
        <w:rPr>
          <w:rFonts w:ascii="宋体" w:hAnsi="宋体" w:cs="宋体"/>
          <w:color w:val="auto"/>
          <w:sz w:val="30"/>
          <w:szCs w:val="30"/>
          <w:highlight w:val="none"/>
          <w:u w:val="single"/>
        </w:rPr>
      </w:pPr>
      <w:r>
        <w:rPr>
          <w:rFonts w:hint="eastAsia" w:ascii="宋体" w:hAnsi="宋体" w:cs="宋体"/>
          <w:color w:val="auto"/>
          <w:sz w:val="30"/>
          <w:szCs w:val="30"/>
          <w:highlight w:val="none"/>
        </w:rPr>
        <w:t>日期：2025年</w:t>
      </w:r>
      <w:r>
        <w:rPr>
          <w:rFonts w:hint="eastAsia" w:ascii="宋体" w:hAnsi="宋体" w:cs="宋体"/>
          <w:color w:val="auto"/>
          <w:sz w:val="30"/>
          <w:szCs w:val="30"/>
          <w:highlight w:val="none"/>
          <w:lang w:val="en-US" w:eastAsia="zh-CN"/>
        </w:rPr>
        <w:t>3</w:t>
      </w:r>
      <w:r>
        <w:rPr>
          <w:rFonts w:hint="eastAsia" w:ascii="宋体" w:hAnsi="宋体" w:cs="宋体"/>
          <w:color w:val="auto"/>
          <w:sz w:val="30"/>
          <w:szCs w:val="30"/>
          <w:highlight w:val="none"/>
        </w:rPr>
        <w:t>月</w:t>
      </w:r>
    </w:p>
    <w:p>
      <w:pPr>
        <w:pStyle w:val="25"/>
        <w:spacing w:line="240" w:lineRule="auto"/>
        <w:ind w:left="0" w:leftChars="0"/>
        <w:jc w:val="both"/>
        <w:rPr>
          <w:color w:val="auto"/>
          <w:sz w:val="21"/>
          <w:szCs w:val="21"/>
          <w:highlight w:val="none"/>
        </w:rPr>
      </w:pPr>
    </w:p>
    <w:p>
      <w:pPr>
        <w:snapToGrid w:val="0"/>
        <w:rPr>
          <w:rStyle w:val="36"/>
          <w:rFonts w:ascii="宋体" w:hAnsi="宋体" w:cs="宋体"/>
          <w:b/>
          <w:bCs/>
          <w:color w:val="auto"/>
          <w:szCs w:val="21"/>
          <w:highlight w:val="none"/>
          <w:u w:val="none"/>
        </w:rPr>
        <w:sectPr>
          <w:headerReference r:id="rId5" w:type="first"/>
          <w:footerReference r:id="rId8" w:type="first"/>
          <w:headerReference r:id="rId3" w:type="default"/>
          <w:footerReference r:id="rId6" w:type="default"/>
          <w:headerReference r:id="rId4" w:type="even"/>
          <w:footerReference r:id="rId7" w:type="even"/>
          <w:endnotePr>
            <w:numFmt w:val="decimal"/>
          </w:endnotePr>
          <w:pgSz w:w="11906" w:h="16838"/>
          <w:pgMar w:top="1440" w:right="1440" w:bottom="1440" w:left="1440" w:header="851" w:footer="907" w:gutter="0"/>
          <w:cols w:space="720" w:num="1"/>
          <w:titlePg/>
          <w:docGrid w:type="lines" w:linePitch="312" w:charSpace="0"/>
        </w:sectPr>
      </w:pPr>
    </w:p>
    <w:p>
      <w:pPr>
        <w:snapToGrid w:val="0"/>
        <w:rPr>
          <w:rStyle w:val="36"/>
          <w:rFonts w:ascii="宋体" w:hAnsi="宋体" w:cs="宋体"/>
          <w:b/>
          <w:bCs/>
          <w:color w:val="auto"/>
          <w:szCs w:val="21"/>
          <w:highlight w:val="none"/>
          <w:u w:val="none"/>
        </w:rPr>
      </w:pPr>
    </w:p>
    <w:p>
      <w:pPr>
        <w:snapToGrid w:val="0"/>
        <w:spacing w:line="360" w:lineRule="auto"/>
        <w:jc w:val="center"/>
        <w:rPr>
          <w:rStyle w:val="36"/>
          <w:rFonts w:ascii="宋体" w:hAnsi="宋体" w:cs="宋体"/>
          <w:b/>
          <w:bCs/>
          <w:color w:val="auto"/>
          <w:sz w:val="36"/>
          <w:szCs w:val="36"/>
          <w:highlight w:val="none"/>
        </w:rPr>
      </w:pPr>
      <w:r>
        <w:rPr>
          <w:rStyle w:val="36"/>
          <w:rFonts w:hint="eastAsia" w:ascii="宋体" w:hAnsi="宋体" w:cs="宋体"/>
          <w:b/>
          <w:bCs/>
          <w:color w:val="auto"/>
          <w:sz w:val="36"/>
          <w:szCs w:val="36"/>
          <w:highlight w:val="none"/>
          <w:u w:val="none"/>
        </w:rPr>
        <w:t>目</w:t>
      </w:r>
      <w:r>
        <w:rPr>
          <w:rStyle w:val="36"/>
          <w:rFonts w:hint="eastAsia" w:ascii="宋体" w:hAnsi="宋体" w:cs="宋体"/>
          <w:b/>
          <w:bCs/>
          <w:color w:val="auto"/>
          <w:sz w:val="36"/>
          <w:szCs w:val="36"/>
          <w:highlight w:val="none"/>
          <w:u w:val="none"/>
          <w:lang w:val="en-US" w:eastAsia="zh-CN"/>
        </w:rPr>
        <w:t xml:space="preserve">  </w:t>
      </w:r>
      <w:r>
        <w:rPr>
          <w:rStyle w:val="36"/>
          <w:rFonts w:hint="eastAsia" w:ascii="宋体" w:hAnsi="宋体" w:cs="宋体"/>
          <w:b/>
          <w:bCs/>
          <w:color w:val="auto"/>
          <w:sz w:val="36"/>
          <w:szCs w:val="36"/>
          <w:highlight w:val="none"/>
          <w:u w:val="none"/>
        </w:rPr>
        <w:t>录</w:t>
      </w:r>
    </w:p>
    <w:p>
      <w:pPr>
        <w:snapToGrid w:val="0"/>
        <w:spacing w:line="360" w:lineRule="auto"/>
        <w:jc w:val="center"/>
        <w:rPr>
          <w:rFonts w:ascii="宋体" w:hAnsi="宋体" w:cs="宋体"/>
          <w:b/>
          <w:caps/>
          <w:color w:val="auto"/>
          <w:kern w:val="0"/>
          <w:sz w:val="36"/>
          <w:szCs w:val="36"/>
          <w:highlight w:val="none"/>
        </w:rPr>
      </w:pPr>
    </w:p>
    <w:p>
      <w:pPr>
        <w:pStyle w:val="23"/>
        <w:tabs>
          <w:tab w:val="right" w:leader="dot" w:pos="9040"/>
          <w:tab w:val="clear" w:pos="9060"/>
        </w:tabs>
        <w:rPr>
          <w:rFonts w:cs="宋体"/>
          <w:color w:val="auto"/>
          <w:highlight w:val="none"/>
        </w:rPr>
      </w:pPr>
      <w:r>
        <w:rPr>
          <w:rFonts w:hint="eastAsia" w:cs="宋体"/>
          <w:color w:val="auto"/>
          <w:szCs w:val="24"/>
          <w:highlight w:val="none"/>
        </w:rPr>
        <w:fldChar w:fldCharType="begin"/>
      </w:r>
      <w:r>
        <w:rPr>
          <w:rFonts w:hint="eastAsia" w:cs="宋体"/>
          <w:color w:val="auto"/>
          <w:szCs w:val="24"/>
          <w:highlight w:val="none"/>
        </w:rPr>
        <w:instrText xml:space="preserve"> TOC \o "1-3" \h \z \u </w:instrText>
      </w:r>
      <w:r>
        <w:rPr>
          <w:rFonts w:hint="eastAsia" w:cs="宋体"/>
          <w:color w:val="auto"/>
          <w:szCs w:val="24"/>
          <w:highlight w:val="none"/>
        </w:rPr>
        <w:fldChar w:fldCharType="separate"/>
      </w:r>
      <w:r>
        <w:rPr>
          <w:color w:val="auto"/>
          <w:highlight w:val="none"/>
        </w:rPr>
        <w:fldChar w:fldCharType="begin"/>
      </w:r>
      <w:r>
        <w:rPr>
          <w:color w:val="auto"/>
          <w:highlight w:val="none"/>
        </w:rPr>
        <w:instrText xml:space="preserve"> HYPERLINK \l "_Toc6280" </w:instrText>
      </w:r>
      <w:r>
        <w:rPr>
          <w:color w:val="auto"/>
          <w:highlight w:val="none"/>
        </w:rPr>
        <w:fldChar w:fldCharType="separate"/>
      </w:r>
      <w:r>
        <w:rPr>
          <w:rFonts w:hint="eastAsia" w:cs="宋体"/>
          <w:bCs/>
          <w:color w:val="auto"/>
          <w:highlight w:val="none"/>
        </w:rPr>
        <w:t>第一章</w:t>
      </w:r>
      <w:r>
        <w:rPr>
          <w:rFonts w:hint="eastAsia" w:cs="宋体"/>
          <w:bCs/>
          <w:color w:val="auto"/>
          <w:highlight w:val="none"/>
          <w:lang w:val="en-US" w:eastAsia="zh-CN"/>
        </w:rPr>
        <w:t xml:space="preserve">  </w:t>
      </w:r>
      <w:r>
        <w:rPr>
          <w:rFonts w:hint="eastAsia" w:cs="宋体"/>
          <w:bCs/>
          <w:color w:val="auto"/>
          <w:highlight w:val="none"/>
        </w:rPr>
        <w:t>投标须知</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_Toc6280 \h </w:instrText>
      </w:r>
      <w:r>
        <w:rPr>
          <w:rFonts w:hint="eastAsia" w:cs="宋体"/>
          <w:color w:val="auto"/>
          <w:highlight w:val="none"/>
        </w:rPr>
        <w:fldChar w:fldCharType="separate"/>
      </w:r>
      <w:r>
        <w:rPr>
          <w:rFonts w:hint="eastAsia" w:cs="宋体"/>
          <w:color w:val="auto"/>
          <w:highlight w:val="none"/>
        </w:rPr>
        <w:t>2</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"_Toc27735" </w:instrText>
      </w:r>
      <w:r>
        <w:rPr>
          <w:color w:val="auto"/>
          <w:highlight w:val="none"/>
        </w:rPr>
        <w:fldChar w:fldCharType="separate"/>
      </w:r>
      <w:r>
        <w:rPr>
          <w:rFonts w:hint="eastAsia" w:ascii="宋体" w:hAnsi="宋体" w:cs="宋体"/>
          <w:color w:val="auto"/>
          <w:highlight w:val="none"/>
        </w:rPr>
        <w:t>一、投标须知前附表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_Toc27735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"_Toc6608" </w:instrText>
      </w:r>
      <w:r>
        <w:rPr>
          <w:color w:val="auto"/>
          <w:highlight w:val="none"/>
        </w:rPr>
        <w:fldChar w:fldCharType="separate"/>
      </w:r>
      <w:r>
        <w:rPr>
          <w:rFonts w:hint="eastAsia" w:ascii="宋体" w:hAnsi="宋体" w:cs="宋体"/>
          <w:color w:val="auto"/>
          <w:szCs w:val="32"/>
          <w:highlight w:val="none"/>
        </w:rPr>
        <w:t>二、投标须知修改表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_Toc6608 \h </w:instrText>
      </w:r>
      <w:r>
        <w:rPr>
          <w:rFonts w:hint="eastAsia" w:ascii="宋体" w:hAnsi="宋体" w:cs="宋体"/>
          <w:color w:val="auto"/>
          <w:highlight w:val="none"/>
        </w:rPr>
        <w:fldChar w:fldCharType="separate"/>
      </w:r>
      <w:r>
        <w:rPr>
          <w:rFonts w:hint="eastAsia" w:ascii="宋体" w:hAnsi="宋体" w:cs="宋体"/>
          <w:color w:val="auto"/>
          <w:highlight w:val="none"/>
        </w:rPr>
        <w:t>10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"_Toc31334" </w:instrText>
      </w:r>
      <w:r>
        <w:rPr>
          <w:color w:val="auto"/>
          <w:highlight w:val="none"/>
        </w:rPr>
        <w:fldChar w:fldCharType="separate"/>
      </w:r>
      <w:r>
        <w:rPr>
          <w:rFonts w:hint="eastAsia" w:ascii="宋体" w:hAnsi="宋体" w:cs="宋体"/>
          <w:color w:val="auto"/>
          <w:highlight w:val="none"/>
        </w:rPr>
        <w:t>三、投标须知通用条款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_Toc31334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"_Toc12947" </w:instrText>
      </w:r>
      <w:r>
        <w:rPr>
          <w:color w:val="auto"/>
          <w:highlight w:val="none"/>
        </w:rPr>
        <w:fldChar w:fldCharType="separate"/>
      </w:r>
      <w:r>
        <w:rPr>
          <w:rFonts w:hint="eastAsia" w:ascii="宋体" w:hAnsi="宋体" w:cs="宋体"/>
          <w:color w:val="auto"/>
          <w:szCs w:val="21"/>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_Toc12947 \h </w:instrText>
      </w:r>
      <w:r>
        <w:rPr>
          <w:rFonts w:hint="eastAsia" w:ascii="宋体" w:hAnsi="宋体" w:cs="宋体"/>
          <w:color w:val="auto"/>
          <w:highlight w:val="none"/>
        </w:rPr>
        <w:fldChar w:fldCharType="separate"/>
      </w:r>
      <w:r>
        <w:rPr>
          <w:rFonts w:hint="eastAsia" w:ascii="宋体" w:hAnsi="宋体" w:cs="宋体"/>
          <w:color w:val="auto"/>
          <w:highlight w:val="none"/>
        </w:rPr>
        <w:t>26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"_Toc32111" </w:instrText>
      </w:r>
      <w:r>
        <w:rPr>
          <w:color w:val="auto"/>
          <w:highlight w:val="none"/>
        </w:rPr>
        <w:fldChar w:fldCharType="separate"/>
      </w:r>
      <w:r>
        <w:rPr>
          <w:rFonts w:hint="eastAsia" w:ascii="宋体" w:hAnsi="宋体" w:cs="宋体"/>
          <w:color w:val="auto"/>
          <w:szCs w:val="21"/>
          <w:highlight w:val="none"/>
        </w:rPr>
        <w:t>（二）招标文件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_Toc32111 \h </w:instrText>
      </w:r>
      <w:r>
        <w:rPr>
          <w:rFonts w:hint="eastAsia" w:ascii="宋体" w:hAnsi="宋体" w:cs="宋体"/>
          <w:color w:val="auto"/>
          <w:highlight w:val="none"/>
        </w:rPr>
        <w:fldChar w:fldCharType="separate"/>
      </w:r>
      <w:r>
        <w:rPr>
          <w:rFonts w:hint="eastAsia" w:ascii="宋体" w:hAnsi="宋体" w:cs="宋体"/>
          <w:color w:val="auto"/>
          <w:highlight w:val="none"/>
        </w:rPr>
        <w:t>27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"_Toc32542" </w:instrText>
      </w:r>
      <w:r>
        <w:rPr>
          <w:color w:val="auto"/>
          <w:highlight w:val="none"/>
        </w:rPr>
        <w:fldChar w:fldCharType="separate"/>
      </w:r>
      <w:r>
        <w:rPr>
          <w:rFonts w:hint="eastAsia" w:ascii="宋体" w:hAnsi="宋体" w:cs="宋体"/>
          <w:color w:val="auto"/>
          <w:szCs w:val="21"/>
          <w:highlight w:val="none"/>
        </w:rPr>
        <w:t>（三）投标文件的编制</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_Toc32542 \h </w:instrText>
      </w:r>
      <w:r>
        <w:rPr>
          <w:rFonts w:hint="eastAsia" w:ascii="宋体" w:hAnsi="宋体" w:cs="宋体"/>
          <w:color w:val="auto"/>
          <w:highlight w:val="none"/>
        </w:rPr>
        <w:fldChar w:fldCharType="separate"/>
      </w:r>
      <w:r>
        <w:rPr>
          <w:rFonts w:hint="eastAsia" w:ascii="宋体" w:hAnsi="宋体" w:cs="宋体"/>
          <w:color w:val="auto"/>
          <w:highlight w:val="none"/>
        </w:rPr>
        <w:t>28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"_Toc24057" </w:instrText>
      </w:r>
      <w:r>
        <w:rPr>
          <w:color w:val="auto"/>
          <w:highlight w:val="none"/>
        </w:rPr>
        <w:fldChar w:fldCharType="separate"/>
      </w:r>
      <w:r>
        <w:rPr>
          <w:rFonts w:hint="eastAsia" w:ascii="宋体" w:hAnsi="宋体" w:cs="宋体"/>
          <w:color w:val="auto"/>
          <w:szCs w:val="21"/>
          <w:highlight w:val="none"/>
        </w:rPr>
        <w:t>（四）投标文件的提交</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_Toc24057 \h </w:instrText>
      </w:r>
      <w:r>
        <w:rPr>
          <w:rFonts w:hint="eastAsia" w:ascii="宋体" w:hAnsi="宋体" w:cs="宋体"/>
          <w:color w:val="auto"/>
          <w:highlight w:val="none"/>
        </w:rPr>
        <w:fldChar w:fldCharType="separate"/>
      </w:r>
      <w:r>
        <w:rPr>
          <w:rFonts w:hint="eastAsia" w:ascii="宋体" w:hAnsi="宋体" w:cs="宋体"/>
          <w:color w:val="auto"/>
          <w:highlight w:val="none"/>
        </w:rPr>
        <w:t>34</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"_Toc13732" </w:instrText>
      </w:r>
      <w:r>
        <w:rPr>
          <w:color w:val="auto"/>
          <w:highlight w:val="none"/>
        </w:rPr>
        <w:fldChar w:fldCharType="separate"/>
      </w:r>
      <w:r>
        <w:rPr>
          <w:rFonts w:hint="eastAsia" w:ascii="宋体" w:hAnsi="宋体" w:cs="宋体"/>
          <w:color w:val="auto"/>
          <w:szCs w:val="21"/>
          <w:highlight w:val="none"/>
        </w:rPr>
        <w:t>（五）开标、评标、定标及合同签定</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_Toc13732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"_Toc12835" </w:instrText>
      </w:r>
      <w:r>
        <w:rPr>
          <w:color w:val="auto"/>
          <w:highlight w:val="none"/>
        </w:rPr>
        <w:fldChar w:fldCharType="separate"/>
      </w:r>
      <w:r>
        <w:rPr>
          <w:rFonts w:hint="eastAsia" w:cs="宋体"/>
          <w:bCs/>
          <w:color w:val="auto"/>
          <w:szCs w:val="24"/>
          <w:highlight w:val="none"/>
        </w:rPr>
        <w:t>第二章</w:t>
      </w:r>
      <w:r>
        <w:rPr>
          <w:rFonts w:hint="eastAsia" w:cs="宋体"/>
          <w:bCs/>
          <w:color w:val="auto"/>
          <w:szCs w:val="24"/>
          <w:highlight w:val="none"/>
          <w:lang w:val="en-US" w:eastAsia="zh-CN"/>
        </w:rPr>
        <w:t xml:space="preserve">  </w:t>
      </w:r>
      <w:r>
        <w:rPr>
          <w:rFonts w:hint="eastAsia" w:cs="宋体"/>
          <w:bCs/>
          <w:color w:val="auto"/>
          <w:szCs w:val="24"/>
          <w:highlight w:val="none"/>
        </w:rPr>
        <w:t>开标、评标及定标办法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_Toc12835 \h </w:instrText>
      </w:r>
      <w:r>
        <w:rPr>
          <w:rFonts w:hint="eastAsia" w:cs="宋体"/>
          <w:color w:val="auto"/>
          <w:highlight w:val="none"/>
        </w:rPr>
        <w:fldChar w:fldCharType="separate"/>
      </w:r>
      <w:r>
        <w:rPr>
          <w:rFonts w:hint="eastAsia" w:cs="宋体"/>
          <w:color w:val="auto"/>
          <w:highlight w:val="none"/>
        </w:rPr>
        <w:t>37</w:t>
      </w:r>
      <w:r>
        <w:rPr>
          <w:rFonts w:hint="eastAsia" w:cs="宋体"/>
          <w:color w:val="auto"/>
          <w:highlight w:val="none"/>
        </w:rPr>
        <w:fldChar w:fldCharType="end"/>
      </w:r>
      <w:r>
        <w:rPr>
          <w:rFonts w:hint="eastAsia"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"_Toc20882" </w:instrText>
      </w:r>
      <w:r>
        <w:rPr>
          <w:color w:val="auto"/>
          <w:highlight w:val="none"/>
        </w:rPr>
        <w:fldChar w:fldCharType="separate"/>
      </w:r>
      <w:r>
        <w:rPr>
          <w:rFonts w:hint="eastAsia" w:ascii="宋体" w:hAnsi="宋体" w:cs="宋体"/>
          <w:color w:val="auto"/>
          <w:highlight w:val="none"/>
        </w:rPr>
        <w:t>一、开标、评标及定标办法修改表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_Toc20882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5"/>
        <w:tabs>
          <w:tab w:val="right" w:leader="dot" w:pos="9040"/>
          <w:tab w:val="clear" w:pos="9060"/>
        </w:tabs>
        <w:rPr>
          <w:rFonts w:ascii="宋体" w:hAnsi="宋体" w:cs="宋体"/>
          <w:color w:val="auto"/>
          <w:highlight w:val="none"/>
        </w:rPr>
      </w:pPr>
      <w:r>
        <w:rPr>
          <w:color w:val="auto"/>
          <w:highlight w:val="none"/>
        </w:rPr>
        <w:fldChar w:fldCharType="begin"/>
      </w:r>
      <w:r>
        <w:rPr>
          <w:color w:val="auto"/>
          <w:highlight w:val="none"/>
        </w:rPr>
        <w:instrText xml:space="preserve"> HYPERLINK \l "_Toc5678" </w:instrText>
      </w:r>
      <w:r>
        <w:rPr>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_Toc5678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"_Toc31373" </w:instrText>
      </w:r>
      <w:r>
        <w:rPr>
          <w:color w:val="auto"/>
          <w:highlight w:val="none"/>
        </w:rPr>
        <w:fldChar w:fldCharType="separate"/>
      </w:r>
      <w:r>
        <w:rPr>
          <w:rFonts w:hint="eastAsia" w:ascii="宋体" w:hAnsi="宋体" w:cs="宋体"/>
          <w:bCs/>
          <w:color w:val="auto"/>
          <w:highlight w:val="none"/>
        </w:rPr>
        <w:t>（一）总则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_Toc31373 \h </w:instrText>
      </w:r>
      <w:r>
        <w:rPr>
          <w:rFonts w:hint="eastAsia" w:ascii="宋体" w:hAnsi="宋体" w:cs="宋体"/>
          <w:color w:val="auto"/>
          <w:highlight w:val="none"/>
        </w:rPr>
        <w:fldChar w:fldCharType="separate"/>
      </w:r>
      <w:r>
        <w:rPr>
          <w:rFonts w:hint="eastAsia" w:ascii="宋体" w:hAnsi="宋体" w:cs="宋体"/>
          <w:color w:val="auto"/>
          <w:highlight w:val="none"/>
        </w:rPr>
        <w:t>46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"_Toc9740" </w:instrText>
      </w:r>
      <w:r>
        <w:rPr>
          <w:color w:val="auto"/>
          <w:highlight w:val="none"/>
        </w:rPr>
        <w:fldChar w:fldCharType="separate"/>
      </w:r>
      <w:r>
        <w:rPr>
          <w:rFonts w:hint="eastAsia" w:ascii="宋体" w:hAnsi="宋体" w:cs="宋体"/>
          <w:bCs/>
          <w:color w:val="auto"/>
          <w:highlight w:val="none"/>
        </w:rPr>
        <w:t>（二）开标评标办法程序和细则</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_Toc9740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16"/>
        <w:tabs>
          <w:tab w:val="right" w:leader="dot" w:pos="9040"/>
        </w:tabs>
        <w:ind w:left="840"/>
        <w:rPr>
          <w:rFonts w:ascii="宋体" w:hAnsi="宋体" w:cs="宋体"/>
          <w:color w:val="auto"/>
          <w:highlight w:val="none"/>
        </w:rPr>
      </w:pPr>
      <w:r>
        <w:rPr>
          <w:color w:val="auto"/>
          <w:highlight w:val="none"/>
        </w:rPr>
        <w:fldChar w:fldCharType="begin"/>
      </w:r>
      <w:r>
        <w:rPr>
          <w:color w:val="auto"/>
          <w:highlight w:val="none"/>
        </w:rPr>
        <w:instrText xml:space="preserve"> HYPERLINK \l "_Toc3121" </w:instrText>
      </w:r>
      <w:r>
        <w:rPr>
          <w:color w:val="auto"/>
          <w:highlight w:val="none"/>
        </w:rPr>
        <w:fldChar w:fldCharType="separate"/>
      </w:r>
      <w:r>
        <w:rPr>
          <w:rFonts w:hint="eastAsia" w:ascii="宋体" w:hAnsi="宋体" w:cs="宋体"/>
          <w:color w:val="auto"/>
          <w:szCs w:val="24"/>
          <w:highlight w:val="none"/>
        </w:rPr>
        <w:t>可选办法七（适合综合评分法四，技术标与经济标同时开启）</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_Toc3121 \h </w:instrText>
      </w:r>
      <w:r>
        <w:rPr>
          <w:rFonts w:hint="eastAsia" w:ascii="宋体" w:hAnsi="宋体" w:cs="宋体"/>
          <w:color w:val="auto"/>
          <w:highlight w:val="none"/>
        </w:rPr>
        <w:fldChar w:fldCharType="separate"/>
      </w:r>
      <w:r>
        <w:rPr>
          <w:rFonts w:hint="eastAsia" w:ascii="宋体" w:hAnsi="宋体" w:cs="宋体"/>
          <w:color w:val="auto"/>
          <w:highlight w:val="none"/>
        </w:rPr>
        <w:t>49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"_Toc5789" </w:instrText>
      </w:r>
      <w:r>
        <w:rPr>
          <w:color w:val="auto"/>
          <w:highlight w:val="none"/>
        </w:rPr>
        <w:fldChar w:fldCharType="separate"/>
      </w:r>
      <w:r>
        <w:rPr>
          <w:rFonts w:hint="eastAsia" w:cs="宋体"/>
          <w:color w:val="auto"/>
          <w:szCs w:val="44"/>
          <w:highlight w:val="none"/>
        </w:rPr>
        <w:t>第三章</w:t>
      </w:r>
      <w:r>
        <w:rPr>
          <w:rFonts w:hint="eastAsia" w:cs="宋体"/>
          <w:color w:val="auto"/>
          <w:szCs w:val="44"/>
          <w:highlight w:val="none"/>
          <w:lang w:val="en-US" w:eastAsia="zh-CN"/>
        </w:rPr>
        <w:t xml:space="preserve">  </w:t>
      </w:r>
      <w:r>
        <w:rPr>
          <w:rFonts w:hint="eastAsia" w:cs="宋体"/>
          <w:color w:val="auto"/>
          <w:szCs w:val="44"/>
          <w:highlight w:val="none"/>
        </w:rPr>
        <w:t>合同条款</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_Toc5789 \h </w:instrText>
      </w:r>
      <w:r>
        <w:rPr>
          <w:rFonts w:hint="eastAsia" w:cs="宋体"/>
          <w:color w:val="auto"/>
          <w:highlight w:val="none"/>
        </w:rPr>
        <w:fldChar w:fldCharType="separate"/>
      </w:r>
      <w:r>
        <w:rPr>
          <w:rFonts w:hint="eastAsia" w:cs="宋体"/>
          <w:color w:val="auto"/>
          <w:highlight w:val="none"/>
        </w:rPr>
        <w:t>77</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"_Toc30083" </w:instrText>
      </w:r>
      <w:r>
        <w:rPr>
          <w:color w:val="auto"/>
          <w:highlight w:val="none"/>
        </w:rPr>
        <w:fldChar w:fldCharType="separate"/>
      </w:r>
      <w:r>
        <w:rPr>
          <w:rFonts w:hint="eastAsia" w:cs="宋体"/>
          <w:color w:val="auto"/>
          <w:highlight w:val="none"/>
        </w:rPr>
        <w:t>第四章</w:t>
      </w:r>
      <w:r>
        <w:rPr>
          <w:rFonts w:hint="eastAsia" w:cs="宋体"/>
          <w:color w:val="auto"/>
          <w:highlight w:val="none"/>
          <w:lang w:val="en-US" w:eastAsia="zh-CN"/>
        </w:rPr>
        <w:t xml:space="preserve">  </w:t>
      </w:r>
      <w:r>
        <w:rPr>
          <w:rFonts w:hint="eastAsia" w:cs="宋体"/>
          <w:color w:val="auto"/>
          <w:highlight w:val="none"/>
        </w:rPr>
        <w:t>投标文件格式</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_Toc30083 \h </w:instrText>
      </w:r>
      <w:r>
        <w:rPr>
          <w:rFonts w:hint="eastAsia" w:cs="宋体"/>
          <w:color w:val="auto"/>
          <w:highlight w:val="none"/>
        </w:rPr>
        <w:fldChar w:fldCharType="separate"/>
      </w:r>
      <w:r>
        <w:rPr>
          <w:rFonts w:hint="eastAsia" w:cs="宋体"/>
          <w:color w:val="auto"/>
          <w:highlight w:val="none"/>
        </w:rPr>
        <w:t>145</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"_Toc9312" </w:instrText>
      </w:r>
      <w:r>
        <w:rPr>
          <w:color w:val="auto"/>
          <w:highlight w:val="none"/>
        </w:rPr>
        <w:fldChar w:fldCharType="separate"/>
      </w:r>
      <w:r>
        <w:rPr>
          <w:rFonts w:hint="eastAsia" w:cs="宋体"/>
          <w:color w:val="auto"/>
          <w:szCs w:val="24"/>
          <w:highlight w:val="none"/>
        </w:rPr>
        <w:t>第五章</w:t>
      </w:r>
      <w:r>
        <w:rPr>
          <w:rFonts w:hint="eastAsia" w:cs="宋体"/>
          <w:color w:val="auto"/>
          <w:szCs w:val="24"/>
          <w:highlight w:val="none"/>
          <w:lang w:val="en-US" w:eastAsia="zh-CN"/>
        </w:rPr>
        <w:t xml:space="preserve">  </w:t>
      </w:r>
      <w:r>
        <w:rPr>
          <w:rFonts w:hint="eastAsia" w:cs="宋体"/>
          <w:color w:val="auto"/>
          <w:szCs w:val="24"/>
          <w:highlight w:val="none"/>
        </w:rPr>
        <w:t>技术条件（工程建设标准）</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_Toc9312 \h </w:instrText>
      </w:r>
      <w:r>
        <w:rPr>
          <w:rFonts w:hint="eastAsia" w:cs="宋体"/>
          <w:color w:val="auto"/>
          <w:highlight w:val="none"/>
        </w:rPr>
        <w:fldChar w:fldCharType="separate"/>
      </w:r>
      <w:r>
        <w:rPr>
          <w:rFonts w:hint="eastAsia" w:cs="宋体"/>
          <w:color w:val="auto"/>
          <w:highlight w:val="none"/>
        </w:rPr>
        <w:t>169</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"_Toc9353" </w:instrText>
      </w:r>
      <w:r>
        <w:rPr>
          <w:color w:val="auto"/>
          <w:highlight w:val="none"/>
        </w:rPr>
        <w:fldChar w:fldCharType="separate"/>
      </w:r>
      <w:r>
        <w:rPr>
          <w:rFonts w:hint="eastAsia" w:cs="宋体"/>
          <w:color w:val="auto"/>
          <w:szCs w:val="24"/>
          <w:highlight w:val="none"/>
        </w:rPr>
        <w:t>第六章</w:t>
      </w:r>
      <w:r>
        <w:rPr>
          <w:rFonts w:hint="eastAsia" w:cs="宋体"/>
          <w:color w:val="auto"/>
          <w:szCs w:val="24"/>
          <w:highlight w:val="none"/>
          <w:lang w:val="en-US" w:eastAsia="zh-CN"/>
        </w:rPr>
        <w:t xml:space="preserve">  </w:t>
      </w:r>
      <w:r>
        <w:rPr>
          <w:rFonts w:hint="eastAsia" w:cs="宋体"/>
          <w:color w:val="auto"/>
          <w:szCs w:val="24"/>
          <w:highlight w:val="none"/>
        </w:rPr>
        <w:t>图纸及勘察资料</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_Toc9353 \h </w:instrText>
      </w:r>
      <w:r>
        <w:rPr>
          <w:rFonts w:hint="eastAsia" w:cs="宋体"/>
          <w:color w:val="auto"/>
          <w:highlight w:val="none"/>
        </w:rPr>
        <w:fldChar w:fldCharType="separate"/>
      </w:r>
      <w:r>
        <w:rPr>
          <w:rFonts w:hint="eastAsia" w:cs="宋体"/>
          <w:color w:val="auto"/>
          <w:highlight w:val="none"/>
        </w:rPr>
        <w:t>172</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"_Toc22481" </w:instrText>
      </w:r>
      <w:r>
        <w:rPr>
          <w:color w:val="auto"/>
          <w:highlight w:val="none"/>
        </w:rPr>
        <w:fldChar w:fldCharType="separate"/>
      </w:r>
      <w:r>
        <w:rPr>
          <w:rFonts w:hint="eastAsia" w:cs="宋体"/>
          <w:color w:val="auto"/>
          <w:szCs w:val="24"/>
          <w:highlight w:val="none"/>
        </w:rPr>
        <w:t>第七章</w:t>
      </w:r>
      <w:r>
        <w:rPr>
          <w:rFonts w:hint="eastAsia" w:cs="宋体"/>
          <w:color w:val="auto"/>
          <w:szCs w:val="24"/>
          <w:highlight w:val="none"/>
          <w:lang w:val="en-US" w:eastAsia="zh-CN"/>
        </w:rPr>
        <w:t xml:space="preserve">  </w:t>
      </w:r>
      <w:r>
        <w:rPr>
          <w:rFonts w:hint="eastAsia" w:cs="宋体"/>
          <w:color w:val="auto"/>
          <w:szCs w:val="24"/>
          <w:highlight w:val="none"/>
        </w:rPr>
        <w:t>工程量清单</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_Toc22481 \h </w:instrText>
      </w:r>
      <w:r>
        <w:rPr>
          <w:rFonts w:hint="eastAsia" w:cs="宋体"/>
          <w:color w:val="auto"/>
          <w:highlight w:val="none"/>
        </w:rPr>
        <w:fldChar w:fldCharType="separate"/>
      </w:r>
      <w:r>
        <w:rPr>
          <w:rFonts w:hint="eastAsia" w:cs="宋体"/>
          <w:color w:val="auto"/>
          <w:highlight w:val="none"/>
        </w:rPr>
        <w:t>173</w:t>
      </w:r>
      <w:r>
        <w:rPr>
          <w:rFonts w:hint="eastAsia" w:cs="宋体"/>
          <w:color w:val="auto"/>
          <w:highlight w:val="none"/>
        </w:rPr>
        <w:fldChar w:fldCharType="end"/>
      </w:r>
      <w:r>
        <w:rPr>
          <w:rFonts w:hint="eastAsia" w:cs="宋体"/>
          <w:color w:val="auto"/>
          <w:highlight w:val="none"/>
        </w:rPr>
        <w:fldChar w:fldCharType="end"/>
      </w:r>
    </w:p>
    <w:p>
      <w:pPr>
        <w:pStyle w:val="23"/>
        <w:tabs>
          <w:tab w:val="right" w:leader="dot" w:pos="9040"/>
          <w:tab w:val="clear" w:pos="9060"/>
        </w:tabs>
        <w:rPr>
          <w:rFonts w:cs="宋体"/>
          <w:color w:val="auto"/>
          <w:highlight w:val="none"/>
        </w:rPr>
      </w:pPr>
      <w:r>
        <w:rPr>
          <w:color w:val="auto"/>
          <w:highlight w:val="none"/>
        </w:rPr>
        <w:fldChar w:fldCharType="begin"/>
      </w:r>
      <w:r>
        <w:rPr>
          <w:color w:val="auto"/>
          <w:highlight w:val="none"/>
        </w:rPr>
        <w:instrText xml:space="preserve"> HYPERLINK \l "_Toc3710" </w:instrText>
      </w:r>
      <w:r>
        <w:rPr>
          <w:color w:val="auto"/>
          <w:highlight w:val="none"/>
        </w:rPr>
        <w:fldChar w:fldCharType="separate"/>
      </w:r>
      <w:r>
        <w:rPr>
          <w:rFonts w:hint="eastAsia" w:cs="宋体"/>
          <w:color w:val="auto"/>
          <w:szCs w:val="24"/>
          <w:highlight w:val="none"/>
        </w:rPr>
        <w:t>第八章</w:t>
      </w:r>
      <w:r>
        <w:rPr>
          <w:rFonts w:hint="eastAsia" w:cs="宋体"/>
          <w:color w:val="auto"/>
          <w:szCs w:val="24"/>
          <w:highlight w:val="none"/>
          <w:lang w:val="en-US" w:eastAsia="zh-CN"/>
        </w:rPr>
        <w:t xml:space="preserve">  </w:t>
      </w:r>
      <w:r>
        <w:rPr>
          <w:rFonts w:hint="eastAsia" w:cs="宋体"/>
          <w:color w:val="auto"/>
          <w:szCs w:val="24"/>
          <w:highlight w:val="none"/>
        </w:rPr>
        <w:t>最高投标限价</w:t>
      </w:r>
      <w:r>
        <w:rPr>
          <w:rFonts w:hint="eastAsia" w:cs="宋体"/>
          <w:color w:val="auto"/>
          <w:highlight w:val="none"/>
        </w:rPr>
        <w:tab/>
      </w:r>
      <w:r>
        <w:rPr>
          <w:rFonts w:hint="eastAsia" w:cs="宋体"/>
          <w:color w:val="auto"/>
          <w:highlight w:val="none"/>
        </w:rPr>
        <w:fldChar w:fldCharType="begin"/>
      </w:r>
      <w:r>
        <w:rPr>
          <w:rFonts w:hint="eastAsia" w:cs="宋体"/>
          <w:color w:val="auto"/>
          <w:highlight w:val="none"/>
        </w:rPr>
        <w:instrText xml:space="preserve"> PAGEREF _Toc3710 \h </w:instrText>
      </w:r>
      <w:r>
        <w:rPr>
          <w:rFonts w:hint="eastAsia" w:cs="宋体"/>
          <w:color w:val="auto"/>
          <w:highlight w:val="none"/>
        </w:rPr>
        <w:fldChar w:fldCharType="separate"/>
      </w:r>
      <w:r>
        <w:rPr>
          <w:rFonts w:hint="eastAsia" w:cs="宋体"/>
          <w:color w:val="auto"/>
          <w:highlight w:val="none"/>
        </w:rPr>
        <w:t>174</w:t>
      </w:r>
      <w:r>
        <w:rPr>
          <w:rFonts w:hint="eastAsia" w:cs="宋体"/>
          <w:color w:val="auto"/>
          <w:highlight w:val="none"/>
        </w:rPr>
        <w:fldChar w:fldCharType="end"/>
      </w:r>
      <w:r>
        <w:rPr>
          <w:rFonts w:hint="eastAsia" w:cs="宋体"/>
          <w:color w:val="auto"/>
          <w:highlight w:val="none"/>
        </w:rPr>
        <w:fldChar w:fldCharType="end"/>
      </w:r>
    </w:p>
    <w:p>
      <w:pPr>
        <w:pStyle w:val="29"/>
        <w:rPr>
          <w:rFonts w:ascii="宋体" w:hAnsi="宋体" w:cs="宋体"/>
          <w:color w:val="auto"/>
          <w:highlight w:val="none"/>
        </w:rPr>
      </w:pPr>
      <w:r>
        <w:rPr>
          <w:rFonts w:hint="eastAsia" w:ascii="宋体" w:hAnsi="宋体" w:cs="宋体"/>
          <w:color w:val="auto"/>
          <w:szCs w:val="24"/>
          <w:highlight w:val="none"/>
        </w:rPr>
        <w:fldChar w:fldCharType="end"/>
      </w:r>
    </w:p>
    <w:p>
      <w:pPr>
        <w:snapToGrid w:val="0"/>
        <w:spacing w:line="360" w:lineRule="auto"/>
        <w:rPr>
          <w:rFonts w:ascii="宋体" w:hAnsi="宋体" w:cs="宋体"/>
          <w:b/>
          <w:bCs/>
          <w:color w:val="auto"/>
          <w:sz w:val="32"/>
          <w:szCs w:val="32"/>
          <w:highlight w:val="none"/>
        </w:rPr>
      </w:pPr>
      <w:r>
        <w:rPr>
          <w:rFonts w:hint="eastAsia" w:ascii="宋体" w:hAnsi="宋体" w:cs="宋体"/>
          <w:b/>
          <w:bCs/>
          <w:color w:val="auto"/>
          <w:sz w:val="32"/>
          <w:szCs w:val="32"/>
          <w:highlight w:val="none"/>
        </w:rPr>
        <w:br w:type="page"/>
      </w:r>
    </w:p>
    <w:p>
      <w:pPr>
        <w:pStyle w:val="3"/>
        <w:snapToGrid w:val="0"/>
        <w:spacing w:before="0" w:after="0"/>
        <w:jc w:val="center"/>
        <w:rPr>
          <w:rFonts w:ascii="宋体" w:hAnsi="宋体" w:cs="宋体"/>
          <w:bCs/>
          <w:color w:val="auto"/>
          <w:sz w:val="32"/>
          <w:szCs w:val="32"/>
          <w:highlight w:val="none"/>
        </w:rPr>
      </w:pPr>
      <w:bookmarkStart w:id="0" w:name="_Toc6280"/>
      <w:r>
        <w:rPr>
          <w:rFonts w:hint="eastAsia" w:ascii="宋体" w:hAnsi="宋体" w:cs="宋体"/>
          <w:bCs/>
          <w:color w:val="auto"/>
          <w:sz w:val="32"/>
          <w:szCs w:val="32"/>
          <w:highlight w:val="none"/>
        </w:rPr>
        <w:t>第一章</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投标须知</w:t>
      </w:r>
      <w:bookmarkEnd w:id="0"/>
    </w:p>
    <w:p>
      <w:pPr>
        <w:pStyle w:val="5"/>
        <w:snapToGrid w:val="0"/>
        <w:spacing w:before="0" w:after="0" w:line="360" w:lineRule="auto"/>
        <w:rPr>
          <w:rFonts w:ascii="宋体" w:hAnsi="宋体" w:cs="宋体"/>
          <w:color w:val="auto"/>
          <w:highlight w:val="none"/>
        </w:rPr>
      </w:pPr>
      <w:bookmarkStart w:id="1" w:name="_Toc27735"/>
      <w:r>
        <w:rPr>
          <w:rFonts w:hint="eastAsia" w:ascii="宋体" w:hAnsi="宋体" w:cs="宋体"/>
          <w:color w:val="auto"/>
          <w:highlight w:val="none"/>
        </w:rPr>
        <w:t>一、投标须知前附表</w:t>
      </w:r>
      <w:bookmarkEnd w:id="1"/>
    </w:p>
    <w:p>
      <w:pPr>
        <w:pStyle w:val="6"/>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31"/>
        <w:tblW w:w="5044" w:type="pct"/>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903"/>
        <w:gridCol w:w="1693"/>
        <w:gridCol w:w="60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679" w:type="dxa"/>
            <w:tcBorders>
              <w:top w:val="double" w:color="auto" w:sz="4" w:space="0"/>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903" w:type="dxa"/>
            <w:tcBorders>
              <w:top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条款号</w:t>
            </w:r>
          </w:p>
        </w:tc>
        <w:tc>
          <w:tcPr>
            <w:tcW w:w="1693" w:type="dxa"/>
            <w:tcBorders>
              <w:top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b/>
                <w:bCs/>
                <w:color w:val="auto"/>
                <w:szCs w:val="21"/>
                <w:highlight w:val="none"/>
              </w:rPr>
            </w:pPr>
            <w:r>
              <w:rPr>
                <w:rFonts w:hint="eastAsia" w:ascii="宋体" w:hAnsi="宋体" w:cs="宋体"/>
                <w:b/>
                <w:bCs/>
                <w:color w:val="auto"/>
                <w:szCs w:val="21"/>
                <w:highlight w:val="none"/>
              </w:rPr>
              <w:t>内容</w:t>
            </w:r>
          </w:p>
        </w:tc>
        <w:tc>
          <w:tcPr>
            <w:tcW w:w="6049" w:type="dxa"/>
            <w:tcBorders>
              <w:top w:val="double" w:color="auto" w:sz="4" w:space="0"/>
              <w:right w:val="double" w:color="auto" w:sz="4" w:space="0"/>
            </w:tcBorders>
            <w:noWrap/>
            <w:vAlign w:val="center"/>
          </w:tcPr>
          <w:p>
            <w:pPr>
              <w:pStyle w:val="18"/>
              <w:keepNext w:val="0"/>
              <w:keepLines w:val="0"/>
              <w:pageBreakBefore w:val="0"/>
              <w:widowControl w:val="0"/>
              <w:kinsoku/>
              <w:wordWrap/>
              <w:overflowPunct/>
              <w:topLinePunct w:val="0"/>
              <w:autoSpaceDE/>
              <w:autoSpaceDN/>
              <w:bidi w:val="0"/>
              <w:adjustRightInd/>
              <w:snapToGrid w:val="0"/>
              <w:spacing w:line="360" w:lineRule="exact"/>
              <w:ind w:firstLine="458"/>
              <w:jc w:val="center"/>
              <w:textAlignment w:val="auto"/>
              <w:rPr>
                <w:rFonts w:ascii="宋体" w:hAnsi="宋体" w:cs="宋体"/>
                <w:b/>
                <w:bCs/>
                <w:color w:val="auto"/>
                <w:kern w:val="2"/>
                <w:sz w:val="21"/>
                <w:szCs w:val="21"/>
                <w:highlight w:val="none"/>
              </w:rPr>
            </w:pPr>
            <w:r>
              <w:rPr>
                <w:rFonts w:hint="eastAsia" w:ascii="宋体" w:hAnsi="宋体" w:cs="宋体"/>
                <w:b/>
                <w:bCs/>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定义</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cs="宋体"/>
                <w:color w:val="auto"/>
                <w:szCs w:val="21"/>
                <w:highlight w:val="none"/>
                <w:u w:val="single"/>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rPr>
              <w:t>广州开发区财政投资建设项目管理中心</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广东省国际工程咨询有限公司</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lang w:val="en-US" w:eastAsia="zh-CN"/>
              </w:rPr>
              <w:t>中佑勘察设计有限公司</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cs="宋体"/>
                <w:color w:val="auto"/>
                <w:szCs w:val="21"/>
                <w:highlight w:val="none"/>
                <w:u w:val="singl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 </w:t>
            </w: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工程名称</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lang w:eastAsia="zh-CN"/>
              </w:rPr>
              <w:t>天鹿湖森林公园森林步道</w:t>
            </w:r>
            <w:r>
              <w:rPr>
                <w:rFonts w:hint="eastAsia" w:ascii="宋体" w:hAnsi="宋体" w:cs="宋体"/>
                <w:color w:val="auto"/>
                <w:szCs w:val="21"/>
                <w:highlight w:val="none"/>
                <w:u w:val="single"/>
              </w:rPr>
              <w:t>施工总承包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建设地点</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广州市黄埔区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建设规模</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承包方式</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包工、包料、包工期、包质量、包安全、包文明施工、包验收、包保修。综合单价包干；措施项目费（除施工围蔽费用外）包干，施工围蔽清单综合单价包干，工程量按实计量。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6</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质量标准</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工程质量达到国家或行业质量检验评定的合格标准。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注：本工程正式签署合同时，质量标准按中标人投标文件承诺质量标准。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7</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招标范围</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详见本工程招标公告，具体以工程量清单及图纸为准。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工期要求</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2025年</w:t>
            </w:r>
            <w:r>
              <w:rPr>
                <w:rFonts w:hint="eastAsia" w:ascii="宋体" w:hAnsi="宋体" w:cs="宋体"/>
                <w:color w:val="auto"/>
                <w:szCs w:val="21"/>
                <w:highlight w:val="none"/>
                <w:u w:val="single"/>
                <w:lang w:val="en-US" w:eastAsia="zh-CN"/>
              </w:rPr>
              <w:t xml:space="preserve"> 4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25 </w:t>
            </w:r>
            <w:r>
              <w:rPr>
                <w:rFonts w:hint="eastAsia" w:ascii="宋体" w:hAnsi="宋体" w:cs="宋体"/>
                <w:color w:val="auto"/>
                <w:szCs w:val="21"/>
                <w:highlight w:val="none"/>
              </w:rPr>
              <w:t>日计划开工，施工总期：</w:t>
            </w:r>
            <w:r>
              <w:rPr>
                <w:rFonts w:hint="eastAsia" w:ascii="宋体" w:hAnsi="宋体" w:cs="宋体"/>
                <w:color w:val="auto"/>
                <w:szCs w:val="21"/>
                <w:highlight w:val="none"/>
                <w:u w:val="single"/>
                <w:lang w:val="en-US" w:eastAsia="zh-CN"/>
              </w:rPr>
              <w:t xml:space="preserve"> 305</w:t>
            </w:r>
            <w:r>
              <w:rPr>
                <w:rFonts w:hint="eastAsia" w:ascii="宋体" w:hAnsi="宋体" w:cs="宋体"/>
                <w:color w:val="auto"/>
                <w:szCs w:val="21"/>
                <w:highlight w:val="none"/>
              </w:rPr>
              <w:t>日历天。</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注：本工程正式签署合同时，施工工期按中标投标文件承诺工期。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9</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3.1</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资金来源</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区财政资金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10</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4.1</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11</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资格审查方式</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12</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13.1</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bookmarkStart w:id="2" w:name="EBdfd7e3fe86a241738f1c1d356c309534"/>
            <w:r>
              <w:rPr>
                <w:rFonts w:hint="eastAsia" w:ascii="宋体" w:hAnsi="宋体" w:cs="宋体"/>
                <w:color w:val="auto"/>
                <w:szCs w:val="21"/>
                <w:highlight w:val="none"/>
              </w:rPr>
              <w:t>工程量清单计价</w:t>
            </w:r>
            <w:r>
              <w:rPr>
                <w:rFonts w:hint="eastAsia" w:ascii="宋体" w:hAnsi="宋体" w:cs="宋体"/>
                <w:color w:val="auto"/>
                <w:szCs w:val="21"/>
                <w:highlight w:val="none"/>
                <w:u w:val="single"/>
              </w:rPr>
              <w:t>，按国家、省有关计价规范执行。纳入年度审计项目计划的政府投资项目，审计机关出具的审计结果应当作为该政府投资项目价款结算的依据（适用于纳入年度审计项目计划的项目）。</w:t>
            </w:r>
            <w:bookmarkEnd w:id="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13</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15.1</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投标有效期</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b/>
                <w:bCs/>
                <w:color w:val="auto"/>
                <w:szCs w:val="21"/>
                <w:highlight w:val="none"/>
                <w:u w:val="single"/>
              </w:rPr>
              <w:t>90</w:t>
            </w:r>
            <w:r>
              <w:rPr>
                <w:rFonts w:hint="eastAsia" w:ascii="宋体" w:hAnsi="宋体" w:cs="宋体"/>
                <w:color w:val="auto"/>
                <w:szCs w:val="21"/>
                <w:highlight w:val="none"/>
              </w:rPr>
              <w:t>日历天。（从投标截止之日计起）。</w:t>
            </w:r>
            <w:r>
              <w:rPr>
                <w:rFonts w:hint="eastAsia" w:ascii="宋体" w:hAnsi="宋体" w:cs="宋体"/>
                <w:color w:val="auto"/>
                <w:szCs w:val="21"/>
                <w:highlight w:val="none"/>
                <w:u w:val="single"/>
              </w:rPr>
              <w:t>如投标有效期内发生异议或投诉的，则投标有效期自动延长至异议或投诉处理结束后90日历天。中标人的投标有效期自动延期至合同履行完毕。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14</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16.1</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投标保证金</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15</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5</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踏勘现场</w:t>
            </w:r>
          </w:p>
        </w:tc>
        <w:tc>
          <w:tcPr>
            <w:tcW w:w="6049" w:type="dxa"/>
            <w:tcBorders>
              <w:right w:val="double" w:color="auto" w:sz="4" w:space="0"/>
            </w:tcBorders>
            <w:noWrap/>
            <w:vAlign w:val="center"/>
          </w:tcPr>
          <w:p>
            <w:pPr>
              <w:pStyle w:val="18"/>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自行踏勘，投标人不进行踏勘的，视为已熟知现场条件，自行承担相关风险。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16</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8</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投标答疑</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疑问提交时间：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分前；</w:t>
            </w:r>
            <w:r>
              <w:rPr>
                <w:rFonts w:hint="eastAsia" w:ascii="宋体" w:hAnsi="宋体" w:cs="宋体"/>
                <w:color w:val="auto"/>
                <w:szCs w:val="21"/>
                <w:highlight w:val="none"/>
                <w:u w:val="single"/>
              </w:rPr>
              <w:t>(在递交投标文件截止日期前18日)</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形式：投标人的疑问通过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交易平台提交。</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具体要求：按照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广州交易集团有限公司（广州公共资源交易中心）最新指引</w:t>
            </w:r>
            <w:r>
              <w:rPr>
                <w:rFonts w:hint="eastAsia" w:ascii="宋体" w:hAnsi="宋体" w:cs="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17</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分（北京时间）。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18</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20.1</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（技术标和经济标同时开标）</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分（与投标截止时间为同一时间），地点：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。投标人也可选择参加在线开标，具体按照交易平台相关指南进行操作。详见：广州交易集团有限公司（广州公共资源交易中心）网站最新指引。</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注：投标文件解密问题。投标人只用执行一次解密，招标人执行解密次数根据招标文件开标次数确定。</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分至</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分；递交地点：</w:t>
            </w:r>
            <w:r>
              <w:rPr>
                <w:rFonts w:hint="eastAsia" w:ascii="宋体" w:hAnsi="宋体" w:cs="宋体"/>
                <w:color w:val="auto"/>
                <w:szCs w:val="21"/>
                <w:highlight w:val="none"/>
                <w:u w:val="single"/>
              </w:rPr>
              <w:t>广州交易集团有限公司（广州公共资源交易中心）黄埔交易部指定开标室</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6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上述时间及地点是否有改变，请密切留意补充公告（如有）和招标澄清答疑纪要（如有）的相关信息。本项目各项投标活动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递交投标文件截止时间及开标时间是否有变化，请密切留意广州交易集团有限公司（广州公共资源交易中心）网站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vMerge w:val="restart"/>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19</w:t>
            </w:r>
          </w:p>
        </w:tc>
        <w:tc>
          <w:tcPr>
            <w:tcW w:w="903" w:type="dxa"/>
            <w:vMerge w:val="restart"/>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26</w:t>
            </w:r>
          </w:p>
        </w:tc>
        <w:tc>
          <w:tcPr>
            <w:tcW w:w="1693" w:type="dxa"/>
            <w:noWrap/>
            <w:vAlign w:val="center"/>
          </w:tcPr>
          <w:p>
            <w:pPr>
              <w:pStyle w:val="29"/>
              <w:keepNext w:val="0"/>
              <w:keepLines w:val="0"/>
              <w:pageBreakBefore w:val="0"/>
              <w:widowControl w:val="0"/>
              <w:kinsoku/>
              <w:wordWrap/>
              <w:overflowPunct/>
              <w:topLinePunct w:val="0"/>
              <w:autoSpaceDE/>
              <w:autoSpaceDN/>
              <w:bidi w:val="0"/>
              <w:adjustRightInd/>
              <w:snapToGrid w:val="0"/>
              <w:spacing w:after="0" w:line="360" w:lineRule="exact"/>
              <w:ind w:firstLine="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rPr>
              <w:t>评标办法采用评定分离</w:t>
            </w:r>
          </w:p>
        </w:tc>
        <w:tc>
          <w:tcPr>
            <w:tcW w:w="6049" w:type="dxa"/>
            <w:tcBorders>
              <w:right w:val="double" w:color="auto" w:sz="4" w:space="0"/>
            </w:tcBorders>
            <w:noWrap/>
            <w:vAlign w:val="center"/>
          </w:tcPr>
          <w:p>
            <w:pPr>
              <w:pStyle w:val="29"/>
              <w:keepNext w:val="0"/>
              <w:keepLines w:val="0"/>
              <w:pageBreakBefore w:val="0"/>
              <w:widowControl w:val="0"/>
              <w:kinsoku/>
              <w:wordWrap/>
              <w:overflowPunct/>
              <w:topLinePunct w:val="0"/>
              <w:autoSpaceDE/>
              <w:autoSpaceDN/>
              <w:bidi w:val="0"/>
              <w:adjustRightInd/>
              <w:snapToGrid w:val="0"/>
              <w:spacing w:after="0" w:line="360" w:lineRule="exact"/>
              <w:ind w:firstLine="0"/>
              <w:textAlignment w:val="auto"/>
              <w:rPr>
                <w:rFonts w:hint="eastAsia" w:ascii="宋体" w:hAnsi="宋体" w:cs="宋体"/>
                <w:color w:val="auto"/>
                <w:kern w:val="2"/>
                <w:sz w:val="21"/>
                <w:szCs w:val="21"/>
                <w:highlight w:val="none"/>
              </w:rPr>
            </w:pPr>
            <w:r>
              <w:rPr>
                <w:rFonts w:hint="eastAsia" w:ascii="宋体" w:hAnsi="宋体" w:cs="宋体"/>
                <w:b/>
                <w:bCs/>
                <w:color w:val="auto"/>
                <w:kern w:val="2"/>
                <w:sz w:val="21"/>
                <w:szCs w:val="21"/>
                <w:highlight w:val="none"/>
                <w:u w:val="single"/>
                <w:lang w:val="en-US" w:eastAsia="zh-CN"/>
              </w:rPr>
              <w:t>1、</w:t>
            </w:r>
            <w:r>
              <w:rPr>
                <w:rFonts w:hint="eastAsia" w:ascii="宋体" w:hAnsi="宋体" w:cs="宋体"/>
                <w:b/>
                <w:bCs/>
                <w:color w:val="auto"/>
                <w:kern w:val="2"/>
                <w:sz w:val="21"/>
                <w:szCs w:val="21"/>
                <w:highlight w:val="none"/>
                <w:u w:val="single"/>
              </w:rPr>
              <w:t>评标办法：采用“有限数量制评审法”</w:t>
            </w:r>
            <w:r>
              <w:rPr>
                <w:rFonts w:hint="eastAsia" w:ascii="宋体" w:hAnsi="宋体" w:cs="宋体"/>
                <w:color w:val="auto"/>
                <w:kern w:val="2"/>
                <w:sz w:val="21"/>
                <w:szCs w:val="21"/>
                <w:highlight w:val="none"/>
              </w:rPr>
              <w:t>。</w:t>
            </w:r>
          </w:p>
          <w:p>
            <w:pPr>
              <w:pStyle w:val="29"/>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textAlignment w:val="auto"/>
              <w:rPr>
                <w:rFonts w:hint="eastAsia" w:ascii="宋体" w:hAnsi="宋体" w:cs="宋体"/>
                <w:color w:val="auto"/>
                <w:kern w:val="2"/>
                <w:sz w:val="21"/>
                <w:szCs w:val="21"/>
                <w:highlight w:val="none"/>
              </w:rPr>
            </w:pPr>
            <w:r>
              <w:rPr>
                <w:rFonts w:hint="eastAsia" w:ascii="宋体" w:hAnsi="宋体" w:cs="宋体"/>
                <w:b/>
                <w:bCs/>
                <w:color w:val="auto"/>
                <w:kern w:val="2"/>
                <w:sz w:val="21"/>
                <w:szCs w:val="21"/>
                <w:highlight w:val="none"/>
                <w:u w:val="single"/>
              </w:rPr>
              <w:t>评标采用</w:t>
            </w:r>
            <w:r>
              <w:rPr>
                <w:rFonts w:hint="eastAsia" w:ascii="宋体" w:hAnsi="宋体" w:cs="宋体"/>
                <w:b/>
                <w:bCs/>
                <w:color w:val="auto"/>
                <w:kern w:val="2"/>
                <w:sz w:val="21"/>
                <w:szCs w:val="21"/>
                <w:highlight w:val="none"/>
              </w:rPr>
              <w:t>办法七</w:t>
            </w:r>
            <w:r>
              <w:rPr>
                <w:rFonts w:hint="eastAsia" w:ascii="宋体" w:hAnsi="宋体" w:cs="宋体"/>
                <w:color w:val="auto"/>
                <w:kern w:val="2"/>
                <w:sz w:val="21"/>
                <w:szCs w:val="21"/>
                <w:highlight w:val="none"/>
              </w:rPr>
              <w:t>（适合综合评分法四，技术标与经济标同时开启）</w:t>
            </w:r>
          </w:p>
          <w:p>
            <w:pPr>
              <w:pStyle w:val="29"/>
              <w:keepNext w:val="0"/>
              <w:keepLines w:val="0"/>
              <w:pageBreakBefore w:val="0"/>
              <w:widowControl w:val="0"/>
              <w:kinsoku/>
              <w:wordWrap/>
              <w:overflowPunct/>
              <w:topLinePunct w:val="0"/>
              <w:autoSpaceDE/>
              <w:autoSpaceDN/>
              <w:bidi w:val="0"/>
              <w:adjustRightInd/>
              <w:snapToGrid w:val="0"/>
              <w:spacing w:after="0" w:line="360" w:lineRule="exact"/>
              <w:ind w:firstLine="0"/>
              <w:textAlignment w:val="auto"/>
              <w:rPr>
                <w:rFonts w:hint="eastAsia" w:ascii="宋体" w:hAnsi="宋体" w:cs="宋体"/>
                <w:b/>
                <w:bCs/>
                <w:color w:val="auto"/>
                <w:kern w:val="2"/>
                <w:sz w:val="21"/>
                <w:szCs w:val="21"/>
                <w:highlight w:val="none"/>
                <w:u w:val="single"/>
              </w:rPr>
            </w:pPr>
            <w:r>
              <w:rPr>
                <w:rFonts w:hint="eastAsia" w:ascii="宋体" w:hAnsi="宋体" w:cs="宋体"/>
                <w:b/>
                <w:bCs/>
                <w:color w:val="auto"/>
                <w:kern w:val="2"/>
                <w:sz w:val="21"/>
                <w:szCs w:val="21"/>
                <w:highlight w:val="none"/>
                <w:u w:val="single"/>
              </w:rPr>
              <w:t>2、总得分计算</w:t>
            </w:r>
          </w:p>
          <w:p>
            <w:pPr>
              <w:pStyle w:val="29"/>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按照“总得分=技术分</w:t>
            </w:r>
            <w:r>
              <w:rPr>
                <w:rFonts w:hint="eastAsia" w:ascii="宋体" w:hAnsi="宋体" w:eastAsia="宋体" w:cs="宋体"/>
                <w:b w:val="0"/>
                <w:bCs w:val="0"/>
                <w:color w:val="auto"/>
                <w:kern w:val="2"/>
                <w:sz w:val="21"/>
                <w:szCs w:val="21"/>
                <w:highlight w:val="none"/>
                <w:u w:val="single"/>
              </w:rPr>
              <w:t>（技术标（答辩）评分</w:t>
            </w:r>
            <w:r>
              <w:rPr>
                <w:rFonts w:hint="eastAsia" w:ascii="宋体" w:hAnsi="宋体" w:eastAsia="宋体" w:cs="宋体"/>
                <w:sz w:val="21"/>
                <w:szCs w:val="21"/>
                <w:u w:val="single"/>
              </w:rPr>
              <w:t xml:space="preserve">+ </w:t>
            </w:r>
            <w:r>
              <w:rPr>
                <w:rFonts w:hint="eastAsia" w:ascii="宋体" w:hAnsi="宋体" w:eastAsia="宋体" w:cs="宋体"/>
                <w:b w:val="0"/>
                <w:bCs w:val="0"/>
                <w:color w:val="auto"/>
                <w:kern w:val="2"/>
                <w:sz w:val="21"/>
                <w:szCs w:val="21"/>
                <w:highlight w:val="none"/>
                <w:u w:val="single"/>
              </w:rPr>
              <w:t>技术标详细审查评分）</w:t>
            </w:r>
            <w:r>
              <w:rPr>
                <w:rFonts w:hint="eastAsia" w:ascii="宋体" w:hAnsi="宋体" w:cs="宋体"/>
                <w:color w:val="auto"/>
                <w:kern w:val="2"/>
                <w:sz w:val="21"/>
                <w:szCs w:val="21"/>
                <w:highlight w:val="none"/>
                <w:u w:val="single"/>
              </w:rPr>
              <w:t>×技术分权重（20%）+ 经济分×经济分权重（80%）”的公式，计算各有效投标文件的总得分，并按照总得分从高到低排列先后次序。若投标人总得分相同的投标文件，以经济分较高的排前；总得分与经济分均相同的投标文件，以技术分较高的排前；总得分与经济分、技术分均相同的投标文件，以投标总报价较低的排前；如仍存在相同情况，则对具有相同情况的投标人，由评标委员会采用记名投票方式，确定投标人的排序。</w:t>
            </w:r>
          </w:p>
          <w:p>
            <w:pPr>
              <w:pStyle w:val="29"/>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记名投票方式确定排序的具体操作步骤为：由评标委员会对出现该情况的投标人采取记名投票的方式确定，按得票数从高到低排列先后次序，以得票数高的排前，根据得票数高低确定合格中标候选人排序。</w:t>
            </w:r>
          </w:p>
          <w:p>
            <w:pPr>
              <w:pStyle w:val="29"/>
              <w:keepNext w:val="0"/>
              <w:keepLines w:val="0"/>
              <w:pageBreakBefore w:val="0"/>
              <w:widowControl w:val="0"/>
              <w:kinsoku/>
              <w:wordWrap/>
              <w:overflowPunct/>
              <w:topLinePunct w:val="0"/>
              <w:autoSpaceDE/>
              <w:autoSpaceDN/>
              <w:bidi w:val="0"/>
              <w:adjustRightInd/>
              <w:snapToGrid w:val="0"/>
              <w:spacing w:after="0" w:line="360" w:lineRule="exact"/>
              <w:ind w:firstLine="0"/>
              <w:textAlignment w:val="auto"/>
              <w:rPr>
                <w:rFonts w:hint="eastAsia" w:ascii="宋体" w:hAnsi="宋体" w:cs="宋体"/>
                <w:b/>
                <w:bCs/>
                <w:color w:val="auto"/>
                <w:kern w:val="2"/>
                <w:sz w:val="21"/>
                <w:szCs w:val="21"/>
                <w:highlight w:val="none"/>
                <w:u w:val="single"/>
              </w:rPr>
            </w:pPr>
            <w:r>
              <w:rPr>
                <w:rFonts w:hint="eastAsia" w:ascii="宋体" w:hAnsi="宋体" w:cs="宋体"/>
                <w:b/>
                <w:bCs/>
                <w:color w:val="auto"/>
                <w:kern w:val="2"/>
                <w:sz w:val="21"/>
                <w:szCs w:val="21"/>
                <w:highlight w:val="none"/>
                <w:u w:val="single"/>
              </w:rPr>
              <w:t>3、合格中标候选人家数：</w:t>
            </w:r>
          </w:p>
          <w:p>
            <w:pPr>
              <w:pStyle w:val="29"/>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textAlignment w:val="auto"/>
              <w:rPr>
                <w:rFonts w:ascii="宋体" w:hAnsi="宋体" w:cs="宋体"/>
                <w:color w:val="auto"/>
                <w:kern w:val="2"/>
                <w:sz w:val="21"/>
                <w:szCs w:val="21"/>
                <w:highlight w:val="none"/>
              </w:rPr>
            </w:pPr>
            <w:r>
              <w:rPr>
                <w:rFonts w:hint="eastAsia" w:ascii="宋体" w:hAnsi="宋体" w:cs="宋体"/>
                <w:b/>
                <w:bCs/>
                <w:color w:val="auto"/>
                <w:kern w:val="2"/>
                <w:sz w:val="21"/>
                <w:szCs w:val="21"/>
                <w:highlight w:val="none"/>
                <w:u w:val="single"/>
              </w:rPr>
              <w:t>采用“有限数量制评审法”</w:t>
            </w:r>
            <w:r>
              <w:rPr>
                <w:rFonts w:hint="eastAsia" w:ascii="宋体" w:hAnsi="宋体" w:cs="宋体"/>
                <w:color w:val="auto"/>
                <w:kern w:val="2"/>
                <w:sz w:val="21"/>
                <w:szCs w:val="21"/>
                <w:highlight w:val="none"/>
                <w:u w:val="single"/>
                <w:lang w:eastAsia="zh-CN"/>
              </w:rPr>
              <w:t>，</w:t>
            </w:r>
            <w:r>
              <w:rPr>
                <w:rFonts w:hint="eastAsia" w:ascii="宋体" w:hAnsi="宋体" w:cs="宋体"/>
                <w:color w:val="auto"/>
                <w:kern w:val="2"/>
                <w:sz w:val="21"/>
                <w:szCs w:val="21"/>
                <w:highlight w:val="none"/>
                <w:u w:val="single"/>
              </w:rPr>
              <w:t>评标委员会按照总得分的排序推荐</w:t>
            </w:r>
            <w:r>
              <w:rPr>
                <w:rFonts w:hint="eastAsia" w:ascii="宋体" w:hAnsi="宋体" w:cs="宋体"/>
                <w:b/>
                <w:bCs/>
                <w:color w:val="auto"/>
                <w:kern w:val="2"/>
                <w:sz w:val="21"/>
                <w:szCs w:val="21"/>
                <w:highlight w:val="none"/>
                <w:u w:val="single"/>
              </w:rPr>
              <w:t>前7名（不足7名的，则推荐全部有效的投标人为合格中标候选人）</w:t>
            </w:r>
            <w:r>
              <w:rPr>
                <w:rFonts w:hint="eastAsia" w:ascii="宋体" w:hAnsi="宋体" w:cs="宋体"/>
                <w:color w:val="auto"/>
                <w:kern w:val="2"/>
                <w:sz w:val="21"/>
                <w:szCs w:val="21"/>
                <w:highlight w:val="none"/>
                <w:u w:val="single"/>
              </w:rPr>
              <w:t>不排序的合格中标候选人进入定标阶段【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vMerge w:val="continue"/>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color w:val="auto"/>
                <w:szCs w:val="21"/>
                <w:highlight w:val="none"/>
              </w:rPr>
            </w:pPr>
          </w:p>
        </w:tc>
        <w:tc>
          <w:tcPr>
            <w:tcW w:w="903" w:type="dxa"/>
            <w:vMerge w:val="continue"/>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color w:val="auto"/>
                <w:szCs w:val="21"/>
                <w:highlight w:val="none"/>
              </w:rPr>
            </w:pPr>
          </w:p>
        </w:tc>
        <w:tc>
          <w:tcPr>
            <w:tcW w:w="1693" w:type="dxa"/>
            <w:noWrap/>
            <w:vAlign w:val="center"/>
          </w:tcPr>
          <w:p>
            <w:pPr>
              <w:pStyle w:val="29"/>
              <w:keepNext w:val="0"/>
              <w:keepLines w:val="0"/>
              <w:pageBreakBefore w:val="0"/>
              <w:widowControl w:val="0"/>
              <w:kinsoku/>
              <w:wordWrap/>
              <w:overflowPunct/>
              <w:topLinePunct w:val="0"/>
              <w:autoSpaceDE/>
              <w:autoSpaceDN/>
              <w:bidi w:val="0"/>
              <w:adjustRightInd/>
              <w:snapToGrid w:val="0"/>
              <w:spacing w:after="0" w:line="360" w:lineRule="exact"/>
              <w:ind w:firstLine="0"/>
              <w:jc w:val="center"/>
              <w:textAlignment w:val="auto"/>
              <w:rPr>
                <w:rFonts w:hint="eastAsia" w:ascii="宋体" w:hAnsi="宋体" w:cs="宋体"/>
                <w:color w:val="auto"/>
                <w:kern w:val="2"/>
                <w:sz w:val="21"/>
                <w:szCs w:val="21"/>
                <w:highlight w:val="none"/>
                <w:u w:val="single"/>
              </w:rPr>
            </w:pPr>
            <w:r>
              <w:rPr>
                <w:rFonts w:hint="eastAsia" w:ascii="宋体" w:hAnsi="宋体" w:cs="宋体"/>
                <w:color w:val="auto"/>
                <w:kern w:val="2"/>
                <w:sz w:val="21"/>
                <w:szCs w:val="21"/>
                <w:highlight w:val="none"/>
                <w:u w:val="single"/>
              </w:rPr>
              <w:t>定标办法</w:t>
            </w:r>
          </w:p>
        </w:tc>
        <w:tc>
          <w:tcPr>
            <w:tcW w:w="6049" w:type="dxa"/>
            <w:tcBorders>
              <w:right w:val="double" w:color="auto" w:sz="4" w:space="0"/>
            </w:tcBorders>
            <w:noWrap/>
            <w:vAlign w:val="center"/>
          </w:tcPr>
          <w:p>
            <w:pPr>
              <w:pStyle w:val="29"/>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textAlignment w:val="auto"/>
              <w:rPr>
                <w:rFonts w:hint="eastAsia" w:ascii="宋体" w:hAnsi="宋体" w:eastAsia="宋体" w:cs="宋体"/>
                <w:b/>
                <w:bCs/>
                <w:color w:val="auto"/>
                <w:kern w:val="2"/>
                <w:sz w:val="21"/>
                <w:szCs w:val="21"/>
                <w:highlight w:val="none"/>
                <w:u w:val="single"/>
                <w:lang w:eastAsia="zh-CN"/>
              </w:rPr>
            </w:pPr>
            <w:r>
              <w:rPr>
                <w:rFonts w:hint="eastAsia" w:ascii="宋体" w:hAnsi="宋体" w:cs="宋体"/>
                <w:b/>
                <w:bCs/>
                <w:color w:val="auto"/>
                <w:kern w:val="2"/>
                <w:sz w:val="21"/>
                <w:szCs w:val="21"/>
                <w:highlight w:val="none"/>
                <w:u w:val="single"/>
              </w:rPr>
              <w:t>定标采用直接票决定标法（记名投票+撰写评语）</w:t>
            </w:r>
            <w:r>
              <w:rPr>
                <w:rFonts w:hint="eastAsia" w:ascii="宋体" w:hAnsi="宋体" w:cs="宋体"/>
                <w:b/>
                <w:bCs/>
                <w:color w:val="auto"/>
                <w:kern w:val="2"/>
                <w:sz w:val="21"/>
                <w:szCs w:val="21"/>
                <w:highlight w:val="none"/>
                <w:u w:val="single"/>
                <w:lang w:eastAsia="zh-CN"/>
              </w:rPr>
              <w:t>：</w:t>
            </w:r>
          </w:p>
          <w:p>
            <w:pPr>
              <w:pStyle w:val="29"/>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textAlignment w:val="auto"/>
              <w:rPr>
                <w:rFonts w:hint="eastAsia" w:ascii="宋体" w:hAnsi="宋体" w:cs="宋体"/>
                <w:b w:val="0"/>
                <w:bCs w:val="0"/>
                <w:color w:val="auto"/>
                <w:kern w:val="2"/>
                <w:sz w:val="21"/>
                <w:szCs w:val="21"/>
                <w:highlight w:val="none"/>
                <w:u w:val="single"/>
              </w:rPr>
            </w:pPr>
            <w:r>
              <w:rPr>
                <w:rFonts w:hint="eastAsia" w:ascii="宋体" w:hAnsi="宋体" w:cs="宋体"/>
                <w:b w:val="0"/>
                <w:bCs w:val="0"/>
                <w:color w:val="auto"/>
                <w:kern w:val="2"/>
                <w:sz w:val="21"/>
                <w:szCs w:val="21"/>
                <w:highlight w:val="none"/>
                <w:u w:val="single"/>
              </w:rPr>
              <w:t>定标委员会从所有合格中标候选人当中以“记名投票+撰写评语”方式产生中标人。定标因素为方案因素、价格因素。</w:t>
            </w:r>
          </w:p>
          <w:p>
            <w:pPr>
              <w:pStyle w:val="29"/>
              <w:keepNext w:val="0"/>
              <w:keepLines w:val="0"/>
              <w:pageBreakBefore w:val="0"/>
              <w:widowControl w:val="0"/>
              <w:kinsoku/>
              <w:wordWrap/>
              <w:overflowPunct/>
              <w:topLinePunct w:val="0"/>
              <w:autoSpaceDE/>
              <w:autoSpaceDN/>
              <w:bidi w:val="0"/>
              <w:adjustRightInd/>
              <w:snapToGrid w:val="0"/>
              <w:spacing w:after="0" w:line="360" w:lineRule="exact"/>
              <w:ind w:left="0" w:leftChars="0" w:firstLine="0" w:firstLineChars="0"/>
              <w:textAlignment w:val="auto"/>
              <w:rPr>
                <w:rFonts w:hint="eastAsia" w:ascii="宋体" w:hAnsi="宋体" w:cs="宋体"/>
                <w:b/>
                <w:bCs/>
                <w:color w:val="auto"/>
                <w:kern w:val="2"/>
                <w:sz w:val="21"/>
                <w:szCs w:val="21"/>
                <w:highlight w:val="none"/>
                <w:u w:val="single"/>
              </w:rPr>
            </w:pPr>
            <w:r>
              <w:rPr>
                <w:rFonts w:hint="eastAsia" w:ascii="宋体" w:hAnsi="宋体" w:cs="宋体"/>
                <w:b w:val="0"/>
                <w:bCs w:val="0"/>
                <w:color w:val="auto"/>
                <w:kern w:val="2"/>
                <w:sz w:val="21"/>
                <w:szCs w:val="21"/>
                <w:highlight w:val="none"/>
                <w:u w:val="single"/>
              </w:rPr>
              <w:t>如评标委员会推荐的合格中标候选人不足三家，招标人应当依法重新招标，不再进行定标工作。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20</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29.1</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履约担保</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方式一：中标人提供的履约担保金额为中标价款的10%。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21</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23520154.79</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详见招标人最终发出的《最高投标限价公布函》，投标总报价超过最高投标限价的投标文件将被拒绝。</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22</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非竞争费用</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olor w:val="auto"/>
                <w:szCs w:val="21"/>
                <w:highlight w:val="none"/>
                <w:u w:val="single"/>
                <w:lang w:val="en-US" w:eastAsia="zh-CN"/>
              </w:rPr>
              <w:t xml:space="preserve"> 647245.05 </w:t>
            </w:r>
            <w:r>
              <w:rPr>
                <w:rFonts w:hint="eastAsia" w:ascii="宋体" w:hAnsi="宋体" w:cs="宋体"/>
                <w:color w:val="auto"/>
                <w:szCs w:val="21"/>
                <w:highlight w:val="none"/>
              </w:rPr>
              <w:t>元，暂列金额为</w:t>
            </w:r>
            <w:r>
              <w:rPr>
                <w:rFonts w:hint="eastAsia" w:ascii="宋体" w:hAnsi="宋体" w:cs="宋体"/>
                <w:color w:val="auto"/>
                <w:szCs w:val="21"/>
                <w:highlight w:val="none"/>
                <w:u w:val="single"/>
                <w:lang w:val="en-US" w:eastAsia="zh-CN"/>
              </w:rPr>
              <w:t xml:space="preserve"> 1766303.28 </w:t>
            </w:r>
            <w:r>
              <w:rPr>
                <w:rFonts w:hint="eastAsia" w:ascii="宋体" w:hAnsi="宋体" w:cs="宋体"/>
                <w:color w:val="auto"/>
                <w:szCs w:val="21"/>
                <w:highlight w:val="none"/>
              </w:rPr>
              <w:t>元，暂估价为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23</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pStyle w:val="29"/>
              <w:keepNext w:val="0"/>
              <w:keepLines w:val="0"/>
              <w:pageBreakBefore w:val="0"/>
              <w:widowControl w:val="0"/>
              <w:kinsoku/>
              <w:wordWrap/>
              <w:overflowPunct/>
              <w:topLinePunct w:val="0"/>
              <w:autoSpaceDE/>
              <w:autoSpaceDN/>
              <w:bidi w:val="0"/>
              <w:adjustRightInd/>
              <w:snapToGrid w:val="0"/>
              <w:spacing w:after="0" w:line="360" w:lineRule="exact"/>
              <w:ind w:firstLine="0"/>
              <w:jc w:val="center"/>
              <w:textAlignment w:val="auto"/>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24</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计算评标参考价的等分点值X采用广州交易集团有限公司（广州公共资源交易中心）交易平台在线系统</w:t>
            </w:r>
            <w:r>
              <w:rPr>
                <w:rFonts w:hint="eastAsia" w:ascii="宋体" w:hAnsi="宋体" w:cs="宋体"/>
                <w:b/>
                <w:color w:val="auto"/>
                <w:szCs w:val="21"/>
                <w:highlight w:val="none"/>
              </w:rPr>
              <w:t>在开标前</w:t>
            </w:r>
            <w:r>
              <w:rPr>
                <w:rFonts w:hint="eastAsia" w:ascii="宋体" w:hAnsi="宋体" w:cs="宋体"/>
                <w:color w:val="auto"/>
                <w:szCs w:val="21"/>
                <w:highlight w:val="none"/>
              </w:rPr>
              <w:t>从[0,100] 的整数中随机抽取。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25</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58"/>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进入第二阶段评审的家数</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1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①</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通过技术有效性审查的投标人均进入第二阶段（适用于通过技术有效性审查家数在[3,]中的）。</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fldChar w:fldCharType="begin"/>
            </w:r>
            <w:r>
              <w:rPr>
                <w:rFonts w:hint="eastAsia" w:ascii="宋体" w:hAnsi="宋体" w:cs="宋体"/>
                <w:strike/>
                <w:color w:val="auto"/>
                <w:szCs w:val="21"/>
                <w:highlight w:val="none"/>
              </w:rPr>
              <w:instrText xml:space="preserve"> = 2 \* GB3 </w:instrText>
            </w:r>
            <w:r>
              <w:rPr>
                <w:rFonts w:hint="eastAsia" w:ascii="宋体" w:hAnsi="宋体" w:cs="宋体"/>
                <w:strike/>
                <w:color w:val="auto"/>
                <w:szCs w:val="21"/>
                <w:highlight w:val="none"/>
              </w:rPr>
              <w:fldChar w:fldCharType="separate"/>
            </w:r>
            <w:r>
              <w:rPr>
                <w:rFonts w:hint="eastAsia" w:ascii="宋体" w:hAnsi="宋体" w:cs="宋体"/>
                <w:strike/>
                <w:color w:val="auto"/>
                <w:szCs w:val="21"/>
                <w:highlight w:val="none"/>
              </w:rPr>
              <w:t>②</w:t>
            </w:r>
            <w:r>
              <w:rPr>
                <w:rFonts w:hint="eastAsia" w:ascii="宋体" w:hAnsi="宋体" w:cs="宋体"/>
                <w:strike/>
                <w:color w:val="auto"/>
                <w:szCs w:val="21"/>
                <w:highlight w:val="none"/>
              </w:rPr>
              <w:fldChar w:fldCharType="end"/>
            </w:r>
            <w:r>
              <w:rPr>
                <w:rFonts w:hint="eastAsia" w:ascii="宋体" w:hAnsi="宋体" w:cs="宋体"/>
                <w:strike/>
                <w:color w:val="auto"/>
                <w:szCs w:val="21"/>
                <w:highlight w:val="none"/>
              </w:rPr>
              <w:t>将第一阶段得分由高至低排序，前名投标人进入第二阶段评审（适用于通过技术有效性审查家数大于家的，招标人可根据工程具体情况，确定不少于家进入第二阶段）。</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注：本款适用于选择评标办法一至评标办法六。进入第二阶段的投标人家数应符合行政监管部门的要求。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26</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工程成本警戒价按为</w:t>
            </w:r>
            <w:r>
              <w:rPr>
                <w:rFonts w:hint="eastAsia" w:ascii="宋体" w:hAnsi="宋体" w:cs="宋体"/>
                <w:color w:val="auto"/>
                <w:szCs w:val="21"/>
                <w:highlight w:val="none"/>
                <w:u w:val="single"/>
                <w:lang w:val="en-US" w:eastAsia="zh-CN"/>
              </w:rPr>
              <w:t xml:space="preserve"> </w:t>
            </w:r>
            <w:r>
              <w:rPr>
                <w:rFonts w:hint="eastAsia" w:ascii="宋体" w:hAnsi="宋体" w:cs="宋体"/>
                <w:b w:val="0"/>
                <w:bCs w:val="0"/>
                <w:color w:val="auto"/>
                <w:kern w:val="2"/>
                <w:sz w:val="21"/>
                <w:szCs w:val="21"/>
                <w:highlight w:val="none"/>
                <w:u w:val="single"/>
                <w:lang w:val="en-US" w:eastAsia="zh-CN"/>
              </w:rPr>
              <w:t>22203530.63</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元。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27</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各分值的权重</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技术分（技术标（答辩）评分</w:t>
            </w:r>
            <w:r>
              <w:rPr>
                <w:rFonts w:hint="eastAsia" w:ascii="宋体" w:hAnsi="宋体" w:eastAsia="宋体" w:cs="宋体"/>
                <w:sz w:val="21"/>
                <w:szCs w:val="21"/>
                <w:u w:val="single"/>
              </w:rPr>
              <w:t xml:space="preserve">+ </w:t>
            </w:r>
            <w:r>
              <w:rPr>
                <w:rFonts w:hint="eastAsia" w:ascii="宋体" w:hAnsi="宋体" w:cs="宋体"/>
                <w:color w:val="auto"/>
                <w:szCs w:val="21"/>
                <w:highlight w:val="none"/>
                <w:u w:val="single"/>
              </w:rPr>
              <w:t>技术标详细审查评分）权重为20%，经济分权重为80%。</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按照“总得分=技术分（技术标（答辩）评分</w:t>
            </w:r>
            <w:r>
              <w:rPr>
                <w:rFonts w:hint="eastAsia" w:ascii="宋体" w:hAnsi="宋体" w:eastAsia="宋体" w:cs="宋体"/>
                <w:sz w:val="21"/>
                <w:szCs w:val="21"/>
                <w:u w:val="single"/>
              </w:rPr>
              <w:t xml:space="preserve">+ </w:t>
            </w:r>
            <w:r>
              <w:rPr>
                <w:rFonts w:hint="eastAsia" w:ascii="宋体" w:hAnsi="宋体" w:cs="宋体"/>
                <w:color w:val="auto"/>
                <w:szCs w:val="21"/>
                <w:highlight w:val="none"/>
                <w:u w:val="single"/>
              </w:rPr>
              <w:t>技术标详细审查评分）×技术分权重（20%）+ 经济分×经济分权重（80%）”的公式，计算各有效投标文件的总得分，并按照总得分从高到低排列先后次序。若投标人总得分相同的投标文件，以经济分较高的排前；总得分与经济分均相同的投标文件，以技术分较高的排前；总得分与经济分、技术分均相同的投标文件，以投标总报价较低的排前；如仍存在相同情况，则对具有相同情况的投标人，由评标委员会采用记名投票方式，确定投标人的排序。</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记名投票方式确定排序的具体操作步骤为：由评标委员会对出现该情况的投标人采取记名投票的方式确定，按得票数从高到低排列先后次序，以得票数高的排前，根据得票数高低确定合格中标候选人排序。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vMerge w:val="restart"/>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28</w:t>
            </w:r>
          </w:p>
        </w:tc>
        <w:tc>
          <w:tcPr>
            <w:tcW w:w="903" w:type="dxa"/>
            <w:vMerge w:val="restart"/>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vMerge w:val="continue"/>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color w:val="auto"/>
                <w:szCs w:val="21"/>
                <w:highlight w:val="none"/>
              </w:rPr>
            </w:pPr>
          </w:p>
        </w:tc>
        <w:tc>
          <w:tcPr>
            <w:tcW w:w="903" w:type="dxa"/>
            <w:vMerge w:val="continue"/>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定标委员会人数</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定标委员会由招标人依法组建，人数为5名。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vMerge w:val="continue"/>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color w:val="auto"/>
                <w:szCs w:val="21"/>
                <w:highlight w:val="none"/>
              </w:rPr>
            </w:pPr>
          </w:p>
        </w:tc>
        <w:tc>
          <w:tcPr>
            <w:tcW w:w="903" w:type="dxa"/>
            <w:vMerge w:val="continue"/>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监督小组人数</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rPr>
            </w:pPr>
            <w:r>
              <w:rPr>
                <w:rFonts w:hint="eastAsia" w:ascii="宋体" w:hAnsi="宋体" w:cs="宋体"/>
                <w:color w:val="auto"/>
                <w:szCs w:val="21"/>
                <w:highlight w:val="none"/>
              </w:rPr>
              <w:t>监督小组由招标人组建，人数为</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29</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企业综合诚信评价分数</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u w:val="single"/>
              </w:rPr>
              <w:t>本工程不设综合诚信评价得分。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30</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58"/>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strike/>
                <w:color w:val="auto"/>
                <w:szCs w:val="21"/>
                <w:highlight w:val="none"/>
              </w:rPr>
            </w:pPr>
            <w:r>
              <w:rPr>
                <w:rFonts w:hint="eastAsia" w:ascii="宋体" w:hAnsi="宋体" w:cs="宋体"/>
                <w:strike/>
                <w:color w:val="auto"/>
                <w:szCs w:val="21"/>
                <w:highlight w:val="none"/>
              </w:rPr>
              <w:t>第二阶段投标人名次的排序方法（适用于办法一、办法二）</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选取方法</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方法一：将进入第二阶段投标人的投标报价由低至高进行排序。报价相同的投标文件，以技术分较高的排前；报价与技术得分均相同的投标文件，以综合诚信评价分数高的排前；如仍存在相同情况，则对具有相同情况的投标人，由评标委员会采用随机方式，确定投标人的排序。</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方法二：将进入第二阶段投标人的投标报价按大于或小于等于工程成本警戒价的标准分为2组。首先，对于小于或等于工程成本警戒价的，评标委员会从序号1开始随机确定投标人的排序，若仅有1名投标报价小于等于工程成本警戒价的，该投标人为第1名；其次，对于大于工程成本警戒价的投标报价由低至高进行排序，序号接上一组。</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方法三：（由招标人自行确定）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31</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58"/>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经济分相同情况下的排序方法（适用于办法三、办法四）</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选取方法</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方法一：经济分相同的投标文件，以报价较低的排前；经济分与报价均相同的投标文件，以技术分较高的排前；经济分、报价与技术得分均相同或经济分、报价均相同但未评技术分的投标文件，以综合诚信评价分数高的排前；如仍存在相同情况，则对具有相同情况的投标人，由评标委员会采用随机方式，确定投标人的排序。</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方法二：经济分相同的投标文件，由评标委员会采用随机方式，确定投标人的排序。</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方法三：（由招标人自行确定）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32</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ind w:firstLine="458"/>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第二阶段投标人名次的排序方法（适用于办法五、办法六）</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选取方法</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方法一：评标委员会按照“总分=的公式，计算各有效投标文件的总分，并按照总分从高到低排序。总得分相同的投标文件，以报价较低的排前；总得分与报价均相同的投标文件，以较高的排前；总得分、报价与均相同的投标文件，以诚信综合评价分数高的排前；如仍存在相同情况，则对具有相同情况的投标人，由评标委员会采用随机方式，确定投标人的排序。</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strike/>
                <w:color w:val="auto"/>
                <w:szCs w:val="21"/>
                <w:highlight w:val="none"/>
              </w:rPr>
            </w:pPr>
            <w:r>
              <w:rPr>
                <w:rFonts w:hint="eastAsia" w:ascii="宋体" w:hAnsi="宋体" w:cs="宋体"/>
                <w:strike/>
                <w:color w:val="auto"/>
                <w:szCs w:val="21"/>
                <w:highlight w:val="none"/>
              </w:rPr>
              <w:t>方法二：（由招标人自行确定）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33</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13.4、13.5.2</w:t>
            </w: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详见招标文件及相关合同条款。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34</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kern w:val="0"/>
                <w:szCs w:val="21"/>
                <w:highlight w:val="none"/>
              </w:rPr>
              <w:t>建设工程质量检测单位</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35</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□不允许分包；</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kern w:val="0"/>
                <w:szCs w:val="21"/>
                <w:highlight w:val="none"/>
              </w:rPr>
            </w:pPr>
            <w:r>
              <w:rPr>
                <w:rFonts w:hint="eastAsia" w:ascii="宋体" w:hAnsi="宋体" w:cs="宋体"/>
                <w:color w:val="auto"/>
                <w:szCs w:val="21"/>
                <w:highlight w:val="none"/>
              </w:rPr>
              <w:t>■</w:t>
            </w:r>
            <w:r>
              <w:rPr>
                <w:rFonts w:hint="eastAsia" w:ascii="宋体" w:hAnsi="宋体" w:cs="宋体"/>
                <w:color w:val="auto"/>
                <w:kern w:val="0"/>
                <w:szCs w:val="21"/>
                <w:highlight w:val="none"/>
                <w:lang w:val="zh-CN"/>
              </w:rPr>
              <w:t>允许：</w:t>
            </w:r>
            <w:r>
              <w:rPr>
                <w:rFonts w:hint="eastAsia" w:ascii="宋体" w:hAnsi="宋体" w:cs="宋体"/>
                <w:color w:val="auto"/>
                <w:kern w:val="0"/>
                <w:szCs w:val="21"/>
                <w:highlight w:val="none"/>
                <w:u w:val="single"/>
              </w:rPr>
              <w:t>允许非主体、非关键性工程进行分包。</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分包内容要求：经监理工程师及发包人同意后可依法分包。</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分包金额要求：无</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kern w:val="0"/>
                <w:szCs w:val="21"/>
                <w:highlight w:val="none"/>
                <w:lang w:val="zh-CN"/>
              </w:rPr>
            </w:pPr>
            <w:r>
              <w:rPr>
                <w:rFonts w:hint="eastAsia" w:ascii="宋体" w:hAnsi="宋体" w:cs="宋体"/>
                <w:color w:val="auto"/>
                <w:szCs w:val="21"/>
                <w:highlight w:val="none"/>
                <w:u w:val="single"/>
              </w:rPr>
              <w:t>对分包人的资质要求：符合有关法律法规和文件规定，并不得再次分包。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36</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电子招标投标解密失败及突发情况的补救</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1、按照广州交易集团有限公司（广州公共资源交易中心）交易平台关于全流程电子化项目的相关指南进行操作。详见：广州交易集团有限公司（广州公共资源交易中心）网站最新指引。</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3、补救方案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（3）除发生上述情况外，开标评标均以投标人通过广州交易集团有限公司（广州公共资源交易中心）交易平台网上递交的电子投标文件为准。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37</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招标人拒绝接收投标文件备用光盘的情况</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1、在投标截止期后逾期或未在指定地点递交投标文件备用光盘的；</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2、投标文件备用光盘未按招标文件要求密封或未在密封处盖章的；</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3、投标人代表未凭法定代表人证明书（原件）、授权委托书原件（仅限于非法定代表人）、本人身份证原件</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委托投标的还应提供授权委托人</w:t>
            </w:r>
            <w:r>
              <w:rPr>
                <w:rFonts w:hint="eastAsia" w:ascii="宋体" w:hAnsi="宋体" w:cs="宋体"/>
                <w:color w:val="auto"/>
                <w:szCs w:val="21"/>
                <w:highlight w:val="none"/>
                <w:u w:val="single"/>
                <w:lang w:eastAsia="zh-CN"/>
              </w:rPr>
              <w:t>2025年2月或2025年3月</w:t>
            </w:r>
            <w:r>
              <w:rPr>
                <w:rFonts w:hint="eastAsia" w:ascii="宋体" w:hAnsi="宋体" w:cs="宋体"/>
                <w:color w:val="auto"/>
                <w:szCs w:val="21"/>
                <w:highlight w:val="none"/>
                <w:u w:val="single"/>
              </w:rPr>
              <w:t>在本公司缴纳社保的有效社保证明递交投标文件备用光盘的。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38</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中标公示后中标单位提交投标文件要求</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39</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安全生产责任保险</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kern w:val="0"/>
                <w:szCs w:val="21"/>
                <w:highlight w:val="none"/>
                <w:u w:val="single"/>
                <w:lang w:val="zh-CN"/>
              </w:rPr>
            </w:pPr>
            <w:r>
              <w:rPr>
                <w:rFonts w:hint="eastAsia" w:ascii="宋体" w:hAnsi="宋体" w:cs="宋体"/>
                <w:color w:val="auto"/>
                <w:szCs w:val="21"/>
                <w:highlight w:val="none"/>
                <w:u w:val="single"/>
              </w:rPr>
              <w:t>开工前中标人应当投保安全生产责任保险，且该保险保障场所应包含中标项目。投标人的投标报价视为包含该项费用。中标人未按规定购买安全生产责任保险，招标人可视严重程度拒绝该单位一定时期内参与后续工程投标，在招标公告和合同专用条款中予以明确，并在后续工程招标时随招标公告发布拒绝投标名单（注明拒绝理由）。</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40</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绿色发展理念</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为贯彻绿色发展理念，本项目应积极使用氢燃料电池泥头车等新能源工程车，要求投入的新能源工程车占投入的建筑垃圾自卸车（渣土车）总数比例不低于40%。一旦中标，必须全部到位，否则按合同违约处理。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41</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经济标评审优惠政策</w:t>
            </w:r>
            <w:r>
              <w:rPr>
                <w:rFonts w:hint="eastAsia" w:ascii="宋体" w:hAnsi="宋体" w:cs="宋体"/>
                <w:color w:val="auto"/>
                <w:szCs w:val="21"/>
                <w:highlight w:val="none"/>
                <w:u w:val="single"/>
                <w:lang w:eastAsia="zh-CN"/>
              </w:rPr>
              <w:t>（如有）</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1.根据《广东省政府采购促进中小企业发展实施细则(试行)》要求，对符合《政府采购促进中小企业发展管理办法》的投标人，给予相应的价格评审优惠。</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2.本招标项目评标计算价格分时，对小微企业投标的，在采用原报价进行评分的基础上增加其价格得分的5%作为其价格分；</w:t>
            </w:r>
            <w:r>
              <w:rPr>
                <w:rFonts w:hint="eastAsia" w:ascii="宋体" w:hAnsi="宋体" w:cs="宋体"/>
                <w:strike w:val="0"/>
                <w:color w:val="auto"/>
                <w:szCs w:val="21"/>
                <w:highlight w:val="none"/>
                <w:u w:val="single"/>
              </w:rPr>
              <w:t>对大中型企业与小微企业组成联合体或者允许大中型企业向一家或者多家小微企业分包(联合协议或者</w:t>
            </w:r>
            <w:r>
              <w:rPr>
                <w:rFonts w:hint="eastAsia" w:ascii="宋体" w:hAnsi="宋体" w:cs="宋体"/>
                <w:color w:val="auto"/>
                <w:szCs w:val="21"/>
                <w:highlight w:val="none"/>
                <w:u w:val="single"/>
              </w:rPr>
              <w:t>分包意向协议约定小微企业的合同份额占到合同总金额30</w:t>
            </w:r>
            <w:r>
              <w:rPr>
                <w:rFonts w:ascii="宋体" w:hAnsi="宋体" w:cs="宋体"/>
                <w:color w:val="auto"/>
                <w:szCs w:val="21"/>
                <w:highlight w:val="none"/>
                <w:u w:val="single"/>
              </w:rPr>
              <w:t>%</w:t>
            </w:r>
            <w:r>
              <w:rPr>
                <w:rFonts w:hint="eastAsia" w:ascii="宋体" w:hAnsi="宋体" w:cs="宋体"/>
                <w:color w:val="auto"/>
                <w:szCs w:val="21"/>
                <w:highlight w:val="none"/>
                <w:u w:val="single"/>
              </w:rPr>
              <w:t>（含30</w:t>
            </w:r>
            <w:r>
              <w:rPr>
                <w:rFonts w:ascii="宋体" w:hAnsi="宋体" w:cs="宋体"/>
                <w:color w:val="auto"/>
                <w:szCs w:val="21"/>
                <w:highlight w:val="none"/>
                <w:u w:val="single"/>
              </w:rPr>
              <w:t>%</w:t>
            </w:r>
            <w:r>
              <w:rPr>
                <w:rFonts w:hint="eastAsia" w:ascii="宋体" w:hAnsi="宋体" w:cs="宋体"/>
                <w:color w:val="auto"/>
                <w:szCs w:val="21"/>
                <w:highlight w:val="none"/>
                <w:u w:val="single"/>
              </w:rPr>
              <w:t>）以上)的，在采用原报价进行评分的基础上增加其价格得分的2%作为其价格分。若原报价</w:t>
            </w:r>
            <w:r>
              <w:rPr>
                <w:rFonts w:hint="eastAsia" w:ascii="宋体" w:hAnsi="宋体" w:cs="宋体"/>
                <w:color w:val="auto"/>
                <w:szCs w:val="21"/>
                <w:highlight w:val="none"/>
                <w:u w:val="single"/>
                <w:lang w:eastAsia="zh-CN"/>
              </w:rPr>
              <w:t>已</w:t>
            </w:r>
            <w:r>
              <w:rPr>
                <w:rFonts w:hint="eastAsia" w:ascii="宋体" w:hAnsi="宋体" w:cs="宋体"/>
                <w:color w:val="auto"/>
                <w:szCs w:val="21"/>
                <w:highlight w:val="none"/>
                <w:u w:val="single"/>
              </w:rPr>
              <w:t>满分，仍可突破满分上限继续享受加分优惠，以实际计算结果作为最终价格分。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3.投标人应按《政府采购促进中小企业发展管理办法》规定出具《中小企业声明函》(格式详见第四章投标文件格式)，否则不得享受相关价格评审优惠。投标人填写《中小企业声明函》时，对于已纳入统计部门统计范围的企业，所属行业、从业人员、营业收入、资产总额、规模类型应与统计部门报表一致。对于未纳入统计部门统计范围的企业，应对照《国民经济行业分类》确定所属行业，当企业从事两种以上经济活动时，则按照主要活动确定其所属行业;从业人数可以社会保险参保人数为准；营业收入、资产总额可以第三方出具的报告为准。</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4.小微企业划分标准按照《工业和信息化部国家统计局国家发展和改革委员会财政部关于印发中小企业划型标准规定的通知》(工信部联企业(2011)300号)执行。本招标项目属于建筑业，营业收入80000万元以下或资产总额80000万元以下的为中小微型企业。其中，营业收入6000万元及以上，且资产总额5000万元及以上的为中型企业；营业收入300万元及以上，且资产总额300万元及以上的为小型企业</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营业收入300万元以下或资产总额300万元以下的为微型企业。</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strike w:val="0"/>
                <w:color w:val="auto"/>
                <w:szCs w:val="21"/>
                <w:highlight w:val="none"/>
                <w:u w:val="single"/>
              </w:rPr>
            </w:pPr>
            <w:r>
              <w:rPr>
                <w:rFonts w:hint="eastAsia" w:ascii="宋体" w:hAnsi="宋体" w:cs="宋体"/>
                <w:color w:val="auto"/>
                <w:szCs w:val="21"/>
                <w:highlight w:val="none"/>
                <w:u w:val="single"/>
              </w:rPr>
              <w:t>注:(1)小微企业，是指在中华人民共和国境内依法设立，依据国务院批准的中小企业划分标准确定的小型企业和微型企业，但与大企业的负责人为同一人，或者与大企业存在直接控股、管理关系的除外。</w:t>
            </w:r>
            <w:r>
              <w:rPr>
                <w:rFonts w:hint="eastAsia" w:ascii="宋体" w:hAnsi="宋体" w:cs="宋体"/>
                <w:strike w:val="0"/>
                <w:color w:val="auto"/>
                <w:szCs w:val="21"/>
                <w:highlight w:val="none"/>
                <w:u w:val="single"/>
              </w:rPr>
              <w:t>以联合体形式参与投标的，联合体各方均为小微企业的，联合体视同小微企业。</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strike w:val="0"/>
                <w:color w:val="auto"/>
                <w:szCs w:val="21"/>
                <w:highlight w:val="none"/>
                <w:u w:val="single"/>
              </w:rPr>
              <w:t>(2)组成联合体或者接受分包合同的小微企业与联合体内其他企业、</w:t>
            </w:r>
            <w:r>
              <w:rPr>
                <w:rFonts w:hint="eastAsia" w:ascii="宋体" w:hAnsi="宋体" w:cs="宋体"/>
                <w:color w:val="auto"/>
                <w:szCs w:val="21"/>
                <w:highlight w:val="none"/>
                <w:u w:val="single"/>
              </w:rPr>
              <w:t>分包企业之间存在直接控股、管理关系的，不享受价格评分优惠。</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ascii="宋体" w:hAnsi="宋体" w:cs="宋体"/>
                <w:color w:val="auto"/>
                <w:szCs w:val="21"/>
                <w:highlight w:val="none"/>
                <w:u w:val="single"/>
              </w:rPr>
            </w:pPr>
            <w:r>
              <w:rPr>
                <w:rFonts w:hint="eastAsia" w:ascii="宋体" w:hAnsi="宋体" w:cs="宋体"/>
                <w:color w:val="auto"/>
                <w:szCs w:val="21"/>
                <w:highlight w:val="none"/>
                <w:u w:val="single"/>
              </w:rPr>
              <w:t>(3)公示期间如有异议、投诉的，被异议、投诉单位需提供注册登记所在地的县级以上人民政府中小企业主管部门规定的认定材料或联系方式。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42</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是否授权评标委员会确定中标人</w:t>
            </w:r>
          </w:p>
        </w:tc>
        <w:tc>
          <w:tcPr>
            <w:tcW w:w="6049" w:type="dxa"/>
            <w:tcBorders>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否</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43</w:t>
            </w:r>
          </w:p>
        </w:tc>
        <w:tc>
          <w:tcPr>
            <w:tcW w:w="90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b/>
                <w:bCs/>
                <w:kern w:val="0"/>
                <w:sz w:val="21"/>
                <w:szCs w:val="21"/>
              </w:rPr>
              <w:t>招标人对中标人参与“百千万工程”的具体要求</w:t>
            </w:r>
          </w:p>
        </w:tc>
        <w:tc>
          <w:tcPr>
            <w:tcW w:w="6049" w:type="dxa"/>
            <w:tcBorders>
              <w:right w:val="double" w:color="auto" w:sz="4" w:space="0"/>
            </w:tcBorders>
            <w:noWrap/>
            <w:vAlign w:val="center"/>
          </w:tcPr>
          <w:p>
            <w:pPr>
              <w:spacing w:line="360" w:lineRule="atLeast"/>
              <w:rPr>
                <w:rFonts w:hint="eastAsia" w:ascii="宋体" w:hAnsi="宋体" w:cs="宋体"/>
                <w:sz w:val="21"/>
                <w:szCs w:val="21"/>
                <w:u w:val="single"/>
              </w:rPr>
            </w:pPr>
            <w:r>
              <w:rPr>
                <w:rFonts w:hint="eastAsia" w:ascii="宋体" w:hAnsi="宋体" w:cs="宋体"/>
                <w:sz w:val="21"/>
                <w:szCs w:val="21"/>
                <w:u w:val="single"/>
              </w:rPr>
              <w:t>说明与要求：</w:t>
            </w:r>
          </w:p>
          <w:p>
            <w:pPr>
              <w:rPr>
                <w:rFonts w:hint="eastAsia" w:ascii="宋体" w:hAnsi="宋体" w:cs="宋体"/>
                <w:sz w:val="21"/>
                <w:szCs w:val="21"/>
              </w:rPr>
            </w:pPr>
            <w:r>
              <w:rPr>
                <w:rFonts w:hint="eastAsia" w:ascii="宋体" w:hAnsi="宋体" w:cs="宋体"/>
                <w:sz w:val="21"/>
                <w:szCs w:val="21"/>
                <w:u w:val="single"/>
              </w:rPr>
              <w:t>具体要求在中标后按照投标承诺和招标人的要求执行。</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b/>
                <w:sz w:val="21"/>
                <w:szCs w:val="21"/>
                <w:u w:val="single"/>
              </w:rPr>
              <w:t>如政府部门有“百千万工程”相关要求，中标人须无条件配合。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679" w:type="dxa"/>
            <w:tcBorders>
              <w:left w:val="double" w:color="auto" w:sz="4" w:space="0"/>
              <w:bottom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hint="default"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44</w:t>
            </w:r>
          </w:p>
        </w:tc>
        <w:tc>
          <w:tcPr>
            <w:tcW w:w="903" w:type="dxa"/>
            <w:tcBorders>
              <w:bottom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宋体" w:hAnsi="宋体" w:cs="宋体"/>
                <w:color w:val="auto"/>
                <w:szCs w:val="21"/>
                <w:highlight w:val="none"/>
              </w:rPr>
            </w:pPr>
          </w:p>
        </w:tc>
        <w:tc>
          <w:tcPr>
            <w:tcW w:w="1693" w:type="dxa"/>
            <w:tcBorders>
              <w:bottom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b/>
                <w:bCs/>
                <w:color w:val="auto"/>
                <w:sz w:val="21"/>
                <w:szCs w:val="21"/>
                <w:u w:val="single"/>
              </w:rPr>
              <w:t>答辩时间</w:t>
            </w:r>
          </w:p>
        </w:tc>
        <w:tc>
          <w:tcPr>
            <w:tcW w:w="6049" w:type="dxa"/>
            <w:tcBorders>
              <w:bottom w:val="double" w:color="auto" w:sz="4" w:space="0"/>
              <w:right w:val="double" w:color="auto" w:sz="4" w:space="0"/>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ascii="宋体" w:hAnsi="宋体" w:cs="宋体"/>
                <w:color w:val="auto"/>
                <w:szCs w:val="21"/>
                <w:highlight w:val="none"/>
                <w:u w:val="single"/>
              </w:rPr>
            </w:pPr>
            <w:r>
              <w:rPr>
                <w:rFonts w:hint="eastAsia" w:ascii="宋体" w:hAnsi="宋体" w:cs="宋体"/>
                <w:b/>
                <w:bCs/>
                <w:color w:val="auto"/>
                <w:sz w:val="21"/>
                <w:szCs w:val="21"/>
                <w:u w:val="single"/>
              </w:rPr>
              <w:t>本项目开标后5个工作日内进行评标工作。招标人将另行通知答辩时间。</w:t>
            </w:r>
          </w:p>
        </w:tc>
      </w:tr>
    </w:tbl>
    <w:p>
      <w:pPr>
        <w:jc w:val="left"/>
        <w:rPr>
          <w:rFonts w:hint="eastAsia" w:ascii="宋体" w:hAnsi="宋体" w:cs="宋体"/>
          <w:strike/>
          <w:color w:val="auto"/>
          <w:highlight w:val="none"/>
        </w:rPr>
      </w:pPr>
      <w:r>
        <w:rPr>
          <w:rFonts w:hint="eastAsia" w:ascii="宋体" w:hAnsi="宋体" w:cs="宋体"/>
          <w:strike/>
          <w:color w:val="auto"/>
          <w:sz w:val="24"/>
          <w:highlight w:val="none"/>
        </w:rPr>
        <w:t>注：企业综合诚信评价得分即企业综合诚信评价60日诚信分，以下同。</w:t>
      </w:r>
      <w:r>
        <w:rPr>
          <w:rFonts w:hint="eastAsia" w:ascii="宋体" w:hAnsi="宋体" w:cs="宋体"/>
          <w:strike/>
          <w:color w:val="auto"/>
          <w:highlight w:val="none"/>
        </w:rPr>
        <w:br w:type="page"/>
      </w:r>
      <w:bookmarkStart w:id="3" w:name="_Toc6608"/>
    </w:p>
    <w:p>
      <w:pPr>
        <w:jc w:val="left"/>
        <w:rPr>
          <w:rFonts w:hint="eastAsia" w:ascii="宋体" w:hAnsi="宋体" w:cs="宋体"/>
          <w:strike/>
          <w:color w:val="auto"/>
          <w:highlight w:val="none"/>
        </w:rPr>
      </w:pPr>
    </w:p>
    <w:p>
      <w:pPr>
        <w:jc w:val="center"/>
        <w:rPr>
          <w:rFonts w:ascii="宋体" w:hAnsi="宋体" w:cs="宋体"/>
          <w:color w:val="auto"/>
          <w:sz w:val="32"/>
          <w:szCs w:val="32"/>
          <w:highlight w:val="none"/>
        </w:rPr>
      </w:pPr>
      <w:r>
        <w:rPr>
          <w:rFonts w:hint="eastAsia" w:ascii="宋体" w:hAnsi="宋体" w:cs="宋体"/>
          <w:color w:val="auto"/>
          <w:sz w:val="32"/>
          <w:szCs w:val="32"/>
          <w:highlight w:val="none"/>
        </w:rPr>
        <w:t>二、投标须知修改表</w:t>
      </w:r>
      <w:bookmarkEnd w:id="3"/>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auto"/>
          <w:highlight w:val="none"/>
        </w:rPr>
        <w:fldChar w:fldCharType="begin"/>
      </w:r>
      <w:r>
        <w:rPr>
          <w:color w:val="auto"/>
          <w:highlight w:val="none"/>
        </w:rPr>
        <w:instrText xml:space="preserve"> HYPERLINK "http://zfcj.gz.gov.cn/）下载查阅。" </w:instrText>
      </w:r>
      <w:r>
        <w:rPr>
          <w:color w:val="auto"/>
          <w:highlight w:val="none"/>
        </w:rPr>
        <w:fldChar w:fldCharType="separate"/>
      </w:r>
      <w:r>
        <w:rPr>
          <w:rStyle w:val="36"/>
          <w:rFonts w:hint="eastAsia" w:ascii="宋体" w:hAnsi="宋体" w:cs="宋体"/>
          <w:b/>
          <w:color w:val="auto"/>
          <w:szCs w:val="21"/>
          <w:highlight w:val="none"/>
        </w:rPr>
        <w:t>http://zfcj.gz.gov.cn/）下载查阅。</w:t>
      </w:r>
      <w:r>
        <w:rPr>
          <w:rStyle w:val="36"/>
          <w:rFonts w:hint="eastAsia" w:ascii="宋体" w:hAnsi="宋体" w:cs="宋体"/>
          <w:b/>
          <w:color w:val="auto"/>
          <w:szCs w:val="21"/>
          <w:highlight w:val="none"/>
        </w:rPr>
        <w:fldChar w:fldCharType="end"/>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条款号：2.5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2.5</w:t>
      </w:r>
      <w:r>
        <w:rPr>
          <w:rFonts w:hint="eastAsia" w:ascii="宋体" w:hAnsi="宋体" w:cs="宋体"/>
          <w:bCs/>
          <w:color w:val="auto"/>
          <w:kern w:val="0"/>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w:t>
      </w:r>
      <w:r>
        <w:rPr>
          <w:rFonts w:hint="eastAsia" w:ascii="宋体" w:hAnsi="宋体" w:cs="宋体"/>
          <w:color w:val="auto"/>
          <w:szCs w:val="21"/>
          <w:highlight w:val="none"/>
        </w:rPr>
        <w:t>。一旦中标，这种考察即被认为其结果已在中标文件中得到充分反映。</w:t>
      </w:r>
      <w:r>
        <w:rPr>
          <w:rFonts w:hint="eastAsia" w:ascii="宋体" w:hAnsi="宋体" w:cs="宋体"/>
          <w:color w:val="auto"/>
          <w:szCs w:val="21"/>
          <w:highlight w:val="none"/>
          <w:u w:val="single"/>
        </w:rPr>
        <w:t>招标人不受理因投标人缺乏对现场条件的了解或掌握而提出的任何索赔。</w:t>
      </w:r>
      <w:r>
        <w:rPr>
          <w:rFonts w:hint="eastAsia" w:ascii="宋体" w:hAnsi="宋体" w:cs="宋体"/>
          <w:color w:val="auto"/>
          <w:szCs w:val="21"/>
          <w:highlight w:val="none"/>
        </w:rPr>
        <w:t>考察现场的费用由投标人自己承担。</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条款号：8.1                           修改类型：修改</w:t>
      </w:r>
    </w:p>
    <w:p>
      <w:pPr>
        <w:pStyle w:val="29"/>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pPr>
        <w:pStyle w:val="29"/>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8.1</w:t>
      </w:r>
      <w:r>
        <w:rPr>
          <w:rFonts w:hint="eastAsia" w:ascii="宋体" w:hAnsi="宋体" w:cs="宋体"/>
          <w:bCs/>
          <w:color w:val="auto"/>
          <w:sz w:val="21"/>
          <w:szCs w:val="21"/>
          <w:highlight w:val="none"/>
          <w:u w:val="single"/>
        </w:rPr>
        <w:t>投标人若对招标文件（包括招标图纸、清单、最高投标限价）中有疑问，采用网上答疑方式进行，详见本须知前附表第16项。招标人或招标代理人将于本须知前附表第16项指定的地点（交易平台）和时间对疑问进行答复</w:t>
      </w:r>
      <w:r>
        <w:rPr>
          <w:rFonts w:hint="eastAsia" w:ascii="宋体" w:hAnsi="宋体" w:cs="宋体"/>
          <w:color w:val="auto"/>
          <w:sz w:val="21"/>
          <w:szCs w:val="21"/>
          <w:highlight w:val="none"/>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条款号：8.2                          修改类型：修改</w:t>
      </w:r>
    </w:p>
    <w:p>
      <w:pPr>
        <w:pStyle w:val="29"/>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8.2</w:t>
      </w:r>
      <w:r>
        <w:rPr>
          <w:rFonts w:hint="eastAsia" w:ascii="宋体" w:hAnsi="宋体" w:cs="宋体"/>
          <w:color w:val="auto"/>
          <w:sz w:val="21"/>
          <w:szCs w:val="21"/>
          <w:highlight w:val="none"/>
        </w:rPr>
        <w:t>招标答疑会会议纪要将在提交投标文件截止时间15日前在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 w:val="21"/>
          <w:szCs w:val="21"/>
          <w:highlight w:val="none"/>
        </w:rPr>
        <w:t>交易平台发布，视作已发放给所有投标人。</w:t>
      </w:r>
    </w:p>
    <w:p>
      <w:pPr>
        <w:pStyle w:val="29"/>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8.2招标答疑会会议纪要将在提交投标文件截止时间15日前</w:t>
      </w:r>
      <w:r>
        <w:rPr>
          <w:rFonts w:hint="eastAsia" w:ascii="宋体" w:hAnsi="宋体" w:cs="宋体"/>
          <w:color w:val="auto"/>
          <w:sz w:val="21"/>
          <w:szCs w:val="21"/>
          <w:highlight w:val="none"/>
          <w:u w:val="single"/>
        </w:rPr>
        <w:t>在广州交易集团有限公司（广州公共资源交易中心）网站“项目查询(日程安排、答疑纪要)”</w:t>
      </w:r>
      <w:r>
        <w:rPr>
          <w:rFonts w:hint="eastAsia" w:ascii="宋体" w:hAnsi="宋体" w:cs="宋体"/>
          <w:color w:val="auto"/>
          <w:sz w:val="21"/>
          <w:szCs w:val="21"/>
          <w:highlight w:val="none"/>
        </w:rPr>
        <w:t>专区公开发布。答疑纪要一经</w:t>
      </w:r>
      <w:r>
        <w:rPr>
          <w:rFonts w:hint="eastAsia" w:ascii="宋体" w:hAnsi="宋体" w:cs="宋体"/>
          <w:color w:val="auto"/>
          <w:sz w:val="21"/>
          <w:szCs w:val="21"/>
          <w:highlight w:val="none"/>
          <w:u w:val="single"/>
        </w:rPr>
        <w:t>在广州交易集团有限公司（广州公共资源交易中心）网站</w:t>
      </w:r>
      <w:r>
        <w:rPr>
          <w:rFonts w:hint="eastAsia" w:ascii="宋体" w:hAnsi="宋体" w:cs="宋体"/>
          <w:color w:val="auto"/>
          <w:sz w:val="21"/>
          <w:szCs w:val="21"/>
          <w:highlight w:val="none"/>
        </w:rPr>
        <w:t>发布，视作已发放给所有投标人。</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条款号：8.4修改类型：修改</w:t>
      </w:r>
    </w:p>
    <w:p>
      <w:pPr>
        <w:pStyle w:val="29"/>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8.4若招标答疑会会议纪要与招标文件有矛盾，以答疑会议纪要最后发出的书面形式的文件为准。</w:t>
      </w:r>
    </w:p>
    <w:p>
      <w:pPr>
        <w:pStyle w:val="29"/>
        <w:pBdr>
          <w:bottom w:val="single" w:color="auto" w:sz="4"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8.4</w:t>
      </w:r>
      <w:r>
        <w:rPr>
          <w:rFonts w:hint="eastAsia" w:ascii="宋体" w:hAnsi="宋体" w:cs="宋体"/>
          <w:color w:val="auto"/>
          <w:sz w:val="21"/>
          <w:szCs w:val="21"/>
          <w:highlight w:val="none"/>
          <w:u w:val="single"/>
        </w:rPr>
        <w:t>若招标答疑纪要与招标文件有矛盾，以广州交易集团有限公司（广州公共资源交易中心）网站最后发布的答疑纪要为准</w:t>
      </w:r>
      <w:r>
        <w:rPr>
          <w:rFonts w:hint="eastAsia" w:ascii="宋体" w:hAnsi="宋体" w:cs="宋体"/>
          <w:color w:val="auto"/>
          <w:sz w:val="21"/>
          <w:szCs w:val="21"/>
          <w:highlight w:val="none"/>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条款号：9.2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9.2招标文件的澄清或修改将在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交易平台“项目答疑纪要”专区公开发布。答疑纪要一经在</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交易平台发布，视作已发放给所有投标人，以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rPr>
        <w:t>交易平台上网发布时间作为送达时间。</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w:t>
      </w:r>
      <w:r>
        <w:rPr>
          <w:rFonts w:hint="eastAsia" w:ascii="宋体" w:hAnsi="宋体" w:cs="宋体"/>
          <w:color w:val="auto"/>
          <w:szCs w:val="21"/>
          <w:highlight w:val="none"/>
          <w:u w:val="single"/>
        </w:rPr>
        <w:t>在广州交易集团有限公司（广州公共资源交易中心）</w:t>
      </w:r>
      <w:r>
        <w:rPr>
          <w:rFonts w:hint="eastAsia" w:ascii="宋体" w:hAnsi="宋体" w:cs="宋体"/>
          <w:color w:val="auto"/>
          <w:szCs w:val="21"/>
          <w:highlight w:val="none"/>
        </w:rPr>
        <w:t>交易平台“项目查询(日程安排、答疑纪要)”专区公开发布。答疑纪要一经在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交易平台上网发布时间作为送达时间。</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条款号：9.4             修改类型：修改</w:t>
      </w:r>
    </w:p>
    <w:p>
      <w:pPr>
        <w:pStyle w:val="29"/>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 xml:space="preserve"> 9.4招标文件的澄清或修改均以书面形式明确的内容为准。当招标文件的澄清、修改、补充等在同一内容的表述不一致时，以最后发出的书面形式的文件为准。</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9.4招标文件的澄清或修改均以</w:t>
      </w:r>
      <w:r>
        <w:rPr>
          <w:rFonts w:hint="eastAsia" w:ascii="宋体" w:hAnsi="宋体" w:cs="宋体"/>
          <w:color w:val="auto"/>
          <w:szCs w:val="21"/>
          <w:highlight w:val="none"/>
          <w:u w:val="single"/>
        </w:rPr>
        <w:t>广州交易集团有限公司（广州公共资源交易中心）网上答疑公布</w:t>
      </w:r>
      <w:r>
        <w:rPr>
          <w:rFonts w:hint="eastAsia" w:ascii="宋体" w:hAnsi="宋体" w:cs="宋体"/>
          <w:color w:val="auto"/>
          <w:szCs w:val="21"/>
          <w:highlight w:val="none"/>
        </w:rPr>
        <w:t>的内容为准。当招标文件的澄清、修改、补充等在同一内容的表述不一致时，以</w:t>
      </w:r>
      <w:r>
        <w:rPr>
          <w:rFonts w:hint="eastAsia" w:ascii="宋体" w:hAnsi="宋体" w:cs="宋体"/>
          <w:color w:val="auto"/>
          <w:szCs w:val="21"/>
          <w:highlight w:val="none"/>
          <w:u w:val="single"/>
        </w:rPr>
        <w:t>广州交易集团有限公司（广州公共资源交易中心）网站</w:t>
      </w:r>
      <w:r>
        <w:rPr>
          <w:rFonts w:hint="eastAsia" w:ascii="宋体" w:hAnsi="宋体" w:cs="宋体"/>
          <w:color w:val="auto"/>
          <w:szCs w:val="21"/>
          <w:highlight w:val="none"/>
        </w:rPr>
        <w:t>最后发出的</w:t>
      </w:r>
      <w:r>
        <w:rPr>
          <w:rFonts w:hint="eastAsia" w:ascii="宋体" w:hAnsi="宋体" w:cs="宋体"/>
          <w:color w:val="auto"/>
          <w:szCs w:val="21"/>
          <w:highlight w:val="none"/>
          <w:u w:val="single"/>
        </w:rPr>
        <w:t>文件</w:t>
      </w:r>
      <w:r>
        <w:rPr>
          <w:rFonts w:hint="eastAsia" w:ascii="宋体" w:hAnsi="宋体" w:cs="宋体"/>
          <w:color w:val="auto"/>
          <w:szCs w:val="21"/>
          <w:highlight w:val="none"/>
        </w:rPr>
        <w:t>为准。</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条款号：11.2                        修改类型：修改</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11.2.5施工组织设计或施工方案。</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pPr>
        <w:adjustRightInd w:val="0"/>
        <w:snapToGrid w:val="0"/>
        <w:spacing w:line="360" w:lineRule="auto"/>
        <w:ind w:firstLine="470" w:firstLineChars="223"/>
        <w:rPr>
          <w:rFonts w:ascii="宋体" w:hAnsi="宋体" w:cs="宋体"/>
          <w:b/>
          <w:color w:val="auto"/>
          <w:szCs w:val="21"/>
          <w:highlight w:val="none"/>
        </w:rPr>
      </w:pPr>
      <w:r>
        <w:rPr>
          <w:rFonts w:hint="eastAsia" w:ascii="宋体" w:hAnsi="宋体" w:cs="宋体"/>
          <w:b/>
          <w:color w:val="auto"/>
          <w:szCs w:val="21"/>
          <w:highlight w:val="none"/>
        </w:rPr>
        <w:t>现文：</w:t>
      </w:r>
    </w:p>
    <w:p>
      <w:pPr>
        <w:adjustRightInd w:val="0"/>
        <w:snapToGrid w:val="0"/>
        <w:spacing w:line="360" w:lineRule="auto"/>
        <w:ind w:firstLine="470" w:firstLineChars="224"/>
        <w:rPr>
          <w:rFonts w:ascii="宋体" w:hAnsi="宋体" w:cs="宋体"/>
          <w:b/>
          <w:color w:val="auto"/>
          <w:szCs w:val="21"/>
          <w:highlight w:val="none"/>
          <w:u w:val="single"/>
        </w:rPr>
      </w:pPr>
      <w:r>
        <w:rPr>
          <w:rFonts w:hint="eastAsia" w:ascii="宋体" w:hAnsi="宋体" w:cs="宋体"/>
          <w:color w:val="auto"/>
          <w:szCs w:val="21"/>
          <w:highlight w:val="none"/>
        </w:rPr>
        <w:t>11.2</w:t>
      </w:r>
      <w:r>
        <w:rPr>
          <w:rFonts w:hint="eastAsia" w:ascii="宋体" w:hAnsi="宋体" w:cs="宋体"/>
          <w:b/>
          <w:color w:val="auto"/>
          <w:szCs w:val="21"/>
          <w:highlight w:val="none"/>
        </w:rPr>
        <w:t>投标文件技术标部分</w:t>
      </w:r>
      <w:r>
        <w:rPr>
          <w:rFonts w:hint="eastAsia" w:ascii="宋体" w:hAnsi="宋体" w:cs="宋体"/>
          <w:b/>
          <w:color w:val="auto"/>
          <w:szCs w:val="21"/>
          <w:highlight w:val="none"/>
          <w:u w:val="single"/>
        </w:rPr>
        <w:t>（含资格审查文件）</w:t>
      </w:r>
      <w:r>
        <w:rPr>
          <w:rFonts w:hint="eastAsia" w:ascii="宋体" w:hAnsi="宋体" w:cs="宋体"/>
          <w:color w:val="auto"/>
          <w:szCs w:val="21"/>
          <w:highlight w:val="none"/>
        </w:rPr>
        <w:t>主要包括下列内容</w:t>
      </w:r>
      <w:r>
        <w:rPr>
          <w:rFonts w:hint="eastAsia" w:ascii="宋体" w:hAnsi="宋体" w:cs="宋体"/>
          <w:color w:val="auto"/>
          <w:szCs w:val="21"/>
          <w:highlight w:val="none"/>
          <w:u w:val="single"/>
        </w:rPr>
        <w:t>（除注明原件外，均为清晰扫描件（网页截图）即可）</w:t>
      </w:r>
      <w:r>
        <w:rPr>
          <w:rFonts w:hint="eastAsia" w:ascii="宋体" w:hAnsi="宋体" w:cs="宋体"/>
          <w:color w:val="auto"/>
          <w:szCs w:val="21"/>
          <w:highlight w:val="none"/>
        </w:rPr>
        <w:t>：</w:t>
      </w:r>
    </w:p>
    <w:p>
      <w:pPr>
        <w:adjustRightInd w:val="0"/>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11.2.1广州建设工程施工招标投标书（技术标）</w:t>
      </w:r>
      <w:r>
        <w:rPr>
          <w:rFonts w:hint="eastAsia" w:ascii="宋体" w:hAnsi="宋体" w:cs="宋体"/>
          <w:bCs/>
          <w:color w:val="auto"/>
          <w:szCs w:val="21"/>
          <w:highlight w:val="none"/>
          <w:u w:val="single"/>
        </w:rPr>
        <w:t>（格式见招标文件第四章，具体格式以《广州建设工程施工招标投标书（技术标）》为准；电子投标管理软件编制的“广州建设工程施工招标投标书”不作为否决投标的条件)</w:t>
      </w:r>
      <w:r>
        <w:rPr>
          <w:rFonts w:hint="eastAsia" w:ascii="宋体" w:hAnsi="宋体" w:cs="宋体"/>
          <w:color w:val="auto"/>
          <w:szCs w:val="21"/>
          <w:highlight w:val="none"/>
        </w:rPr>
        <w:t>。</w:t>
      </w:r>
    </w:p>
    <w:p>
      <w:pPr>
        <w:adjustRightInd w:val="0"/>
        <w:snapToGrid w:val="0"/>
        <w:spacing w:line="360" w:lineRule="auto"/>
        <w:ind w:firstLine="470" w:firstLineChars="224"/>
        <w:rPr>
          <w:rFonts w:ascii="宋体" w:hAnsi="宋体" w:cs="宋体"/>
          <w:color w:val="auto"/>
          <w:szCs w:val="21"/>
          <w:highlight w:val="none"/>
        </w:rPr>
      </w:pPr>
      <w:r>
        <w:rPr>
          <w:rFonts w:hint="eastAsia" w:ascii="宋体" w:hAnsi="宋体" w:cs="宋体"/>
          <w:bCs/>
          <w:color w:val="auto"/>
          <w:szCs w:val="21"/>
          <w:highlight w:val="none"/>
        </w:rPr>
        <w:t>11.2.2 资格审查文件：</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r>
        <w:rPr>
          <w:rFonts w:hint="eastAsia" w:ascii="宋体" w:hAnsi="宋体" w:cs="宋体"/>
          <w:bCs/>
          <w:color w:val="auto"/>
          <w:szCs w:val="21"/>
          <w:highlight w:val="none"/>
          <w:u w:val="single"/>
        </w:rPr>
        <w:t>扫描件（须按招标公告附件内容及格式要求编制）；</w:t>
      </w:r>
    </w:p>
    <w:p>
      <w:pPr>
        <w:adjustRightInd w:val="0"/>
        <w:snapToGrid w:val="0"/>
        <w:spacing w:line="360" w:lineRule="auto"/>
        <w:ind w:firstLine="420" w:firstLineChars="200"/>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rPr>
        <w:t>（2）法定代表人证明书、法定代表人签字或盖章的本投标文件授权委托证明书</w:t>
      </w:r>
      <w:r>
        <w:rPr>
          <w:rFonts w:hint="eastAsia" w:ascii="宋体" w:hAnsi="宋体" w:cs="宋体"/>
          <w:bCs/>
          <w:color w:val="auto"/>
          <w:szCs w:val="21"/>
          <w:highlight w:val="none"/>
          <w:u w:val="single"/>
        </w:rPr>
        <w:t>（联合体主办方提供）扫描件；</w:t>
      </w:r>
      <w:r>
        <w:rPr>
          <w:rFonts w:hint="eastAsia" w:ascii="宋体" w:hAnsi="宋体" w:cs="宋体"/>
          <w:b w:val="0"/>
          <w:bCs/>
          <w:color w:val="auto"/>
          <w:szCs w:val="21"/>
          <w:highlight w:val="none"/>
          <w:u w:val="single"/>
        </w:rPr>
        <w:t>委托投标的还应提供授权</w:t>
      </w:r>
      <w:r>
        <w:rPr>
          <w:rFonts w:hint="eastAsia" w:ascii="宋体" w:hAnsi="宋体" w:cs="宋体"/>
          <w:b w:val="0"/>
          <w:bCs/>
          <w:color w:val="auto"/>
          <w:szCs w:val="21"/>
          <w:highlight w:val="none"/>
          <w:u w:val="single"/>
          <w:lang w:eastAsia="zh-CN"/>
        </w:rPr>
        <w:t>委托人2025年2月或2025年3月在本公司缴纳社保的</w:t>
      </w:r>
      <w:r>
        <w:rPr>
          <w:rFonts w:hint="eastAsia" w:ascii="宋体" w:hAnsi="宋体" w:cs="宋体"/>
          <w:b w:val="0"/>
          <w:bCs/>
          <w:color w:val="auto"/>
          <w:szCs w:val="21"/>
          <w:highlight w:val="none"/>
          <w:u w:val="single"/>
        </w:rPr>
        <w:t>有效社保证明</w:t>
      </w:r>
      <w:r>
        <w:rPr>
          <w:rFonts w:hint="eastAsia" w:ascii="宋体" w:hAnsi="宋体" w:cs="宋体"/>
          <w:bCs/>
          <w:color w:val="auto"/>
          <w:szCs w:val="21"/>
          <w:highlight w:val="none"/>
          <w:u w:val="single"/>
          <w:lang w:eastAsia="zh-CN"/>
        </w:rPr>
        <w:t>；</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w:t>
      </w:r>
      <w:r>
        <w:rPr>
          <w:rFonts w:hint="eastAsia" w:ascii="宋体" w:hAnsi="宋体" w:cs="宋体"/>
          <w:bCs/>
          <w:color w:val="auto"/>
          <w:szCs w:val="21"/>
          <w:highlight w:val="none"/>
          <w:u w:val="single"/>
        </w:rPr>
        <w:t>（联合体各成员）</w:t>
      </w:r>
      <w:r>
        <w:rPr>
          <w:rFonts w:hint="eastAsia" w:ascii="宋体" w:hAnsi="宋体" w:cs="宋体"/>
          <w:bCs/>
          <w:color w:val="auto"/>
          <w:szCs w:val="21"/>
          <w:highlight w:val="none"/>
        </w:rPr>
        <w:t>扫描件或电子证照；</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w:t>
      </w:r>
      <w:r>
        <w:rPr>
          <w:rFonts w:hint="eastAsia" w:ascii="宋体" w:hAnsi="宋体" w:cs="宋体"/>
          <w:bCs/>
          <w:color w:val="auto"/>
          <w:szCs w:val="21"/>
          <w:highlight w:val="none"/>
          <w:u w:val="single"/>
        </w:rPr>
        <w:t>（联合体各成员）</w:t>
      </w:r>
      <w:r>
        <w:rPr>
          <w:rFonts w:hint="eastAsia" w:ascii="宋体" w:hAnsi="宋体" w:cs="宋体"/>
          <w:bCs/>
          <w:color w:val="auto"/>
          <w:szCs w:val="21"/>
          <w:highlight w:val="none"/>
        </w:rPr>
        <w:t>扫描件或电子证照，</w:t>
      </w:r>
      <w:r>
        <w:rPr>
          <w:rFonts w:hint="eastAsia" w:ascii="宋体" w:hAnsi="宋体" w:cs="宋体"/>
          <w:bCs/>
          <w:color w:val="auto"/>
          <w:szCs w:val="21"/>
          <w:highlight w:val="none"/>
          <w:u w:val="single"/>
        </w:rPr>
        <w:t>或符合招标公告规定的相关证明材料（如有）；</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w:t>
      </w:r>
      <w:r>
        <w:rPr>
          <w:rFonts w:hint="eastAsia" w:ascii="宋体" w:hAnsi="宋体" w:cs="宋体"/>
          <w:bCs/>
          <w:color w:val="auto"/>
          <w:szCs w:val="21"/>
          <w:highlight w:val="none"/>
          <w:u w:val="single"/>
        </w:rPr>
        <w:t>（联合体各成员）</w:t>
      </w:r>
      <w:r>
        <w:rPr>
          <w:rFonts w:hint="eastAsia" w:ascii="宋体" w:hAnsi="宋体" w:cs="宋体"/>
          <w:bCs/>
          <w:color w:val="auto"/>
          <w:szCs w:val="21"/>
          <w:highlight w:val="none"/>
        </w:rPr>
        <w:t>扫描件或电子证照；</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（8）拟委派技术负责人的职称证书扫描件；</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（9）拟委派项目负责人的有效期内的建造师证书扫描件或电子证书；</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（10）项目负责人在有效期内的安全生产考核合格证（B类）或建筑施工企业项目负责人安全生产考核合格证书扫描件或电子证书；</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w:t>
      </w:r>
      <w:r>
        <w:rPr>
          <w:rFonts w:ascii="宋体" w:hAnsi="宋体" w:cs="宋体"/>
          <w:bCs/>
          <w:color w:val="auto"/>
          <w:szCs w:val="21"/>
          <w:highlight w:val="none"/>
        </w:rPr>
        <w:t>11）</w:t>
      </w:r>
      <w:r>
        <w:rPr>
          <w:rFonts w:hint="eastAsia" w:ascii="宋体" w:hAnsi="宋体" w:cs="宋体"/>
          <w:bCs/>
          <w:color w:val="auto"/>
          <w:szCs w:val="21"/>
          <w:highlight w:val="none"/>
        </w:rPr>
        <w:t>专职安全员须具有在有效期内的安全考核合格证书（C类）或建筑施工企业专职安全生产管理人员安全生产考核合格证书（C3）</w:t>
      </w:r>
      <w:r>
        <w:rPr>
          <w:rFonts w:hint="eastAsia" w:ascii="宋体" w:hAnsi="宋体" w:cs="宋体"/>
          <w:bCs/>
          <w:color w:val="auto"/>
          <w:szCs w:val="21"/>
          <w:highlight w:val="none"/>
          <w:u w:val="single"/>
        </w:rPr>
        <w:t>扫描件或电子证书；</w:t>
      </w:r>
    </w:p>
    <w:p>
      <w:pPr>
        <w:wordWrap w:val="0"/>
        <w:adjustRightInd w:val="0"/>
        <w:snapToGrid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（12）列明主办单位的联合体工作协议（采用联合体投标时需递交，投标人拟任本工程项目负责人、专职安全员应为联合体主办方信息登记中的在册人员，联合体工作协议应明确约定各方拟承担的工作和责任）。</w:t>
      </w:r>
    </w:p>
    <w:p>
      <w:pPr>
        <w:wordWrap w:val="0"/>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3</w:t>
      </w:r>
      <w:r>
        <w:rPr>
          <w:rFonts w:hint="eastAsia" w:ascii="宋体" w:hAnsi="宋体" w:cs="宋体"/>
          <w:bCs/>
          <w:color w:val="auto"/>
          <w:szCs w:val="21"/>
          <w:highlight w:val="none"/>
          <w:u w:val="single"/>
        </w:rPr>
        <w:t>）资格审查前，投标人（联合体各成员）须在广州交易集团有限公司（广州公共资源交易中心）企业库办理企业信息登记及拟担任本工程项目负责人、专职安全员须是本企业（联合体主办方）信息登记中的在册人员。投标人无需提供证明材料。</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投标人（联合体各成员）未出现以下情形：与其他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）投标人（联合体各成员）未被列入拖欠农民工工资失信联合惩戒对象名单；</w:t>
      </w:r>
    </w:p>
    <w:p>
      <w:pPr>
        <w:adjustRightInd w:val="0"/>
        <w:snapToGrid w:val="0"/>
        <w:spacing w:line="360" w:lineRule="auto"/>
        <w:ind w:firstLine="420" w:firstLineChars="200"/>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（1</w:t>
      </w:r>
      <w:r>
        <w:rPr>
          <w:rFonts w:hint="eastAsia" w:ascii="宋体" w:hAnsi="宋体" w:cs="宋体"/>
          <w:bCs/>
          <w:color w:val="auto"/>
          <w:szCs w:val="21"/>
          <w:highlight w:val="none"/>
          <w:u w:val="single"/>
          <w:lang w:val="en-US" w:eastAsia="zh-CN"/>
        </w:rPr>
        <w:t>6</w:t>
      </w:r>
      <w:r>
        <w:rPr>
          <w:rFonts w:hint="eastAsia" w:ascii="宋体" w:hAnsi="宋体" w:cs="宋体"/>
          <w:bCs/>
          <w:color w:val="auto"/>
          <w:szCs w:val="21"/>
          <w:highlight w:val="none"/>
          <w:u w:val="single"/>
        </w:rPr>
        <w:t>）投标人（联合体各方）未在以往工程中因不充分履约行为被本项目招标人书面拒绝投标的企业名单。</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lang w:eastAsia="zh-CN"/>
        </w:rPr>
        <w:t>（</w:t>
      </w:r>
      <w:r>
        <w:rPr>
          <w:rFonts w:hint="eastAsia" w:ascii="宋体" w:hAnsi="宋体" w:cs="宋体"/>
          <w:bCs/>
          <w:color w:val="auto"/>
          <w:szCs w:val="21"/>
          <w:highlight w:val="none"/>
          <w:u w:val="single"/>
          <w:lang w:val="en-US" w:eastAsia="zh-CN"/>
        </w:rPr>
        <w:t>17）</w:t>
      </w:r>
      <w:r>
        <w:rPr>
          <w:rFonts w:hint="eastAsia" w:ascii="宋体" w:hAnsi="宋体" w:cs="宋体"/>
          <w:bCs/>
          <w:color w:val="auto"/>
          <w:szCs w:val="21"/>
          <w:highlight w:val="none"/>
          <w:u w:val="single"/>
        </w:rPr>
        <w:t>投标人认为应提供的其他资料（如有）。</w:t>
      </w:r>
    </w:p>
    <w:p>
      <w:pPr>
        <w:adjustRightInd w:val="0"/>
        <w:snapToGrid w:val="0"/>
        <w:spacing w:line="360" w:lineRule="auto"/>
        <w:ind w:firstLine="422" w:firstLineChars="201"/>
        <w:rPr>
          <w:rFonts w:ascii="宋体" w:hAnsi="宋体" w:cs="宋体"/>
          <w:color w:val="auto"/>
          <w:szCs w:val="21"/>
          <w:highlight w:val="none"/>
        </w:rPr>
      </w:pPr>
      <w:r>
        <w:rPr>
          <w:rFonts w:hint="eastAsia" w:ascii="宋体" w:hAnsi="宋体" w:cs="宋体"/>
          <w:color w:val="auto"/>
          <w:szCs w:val="21"/>
          <w:highlight w:val="none"/>
        </w:rPr>
        <w:t>注：</w:t>
      </w:r>
    </w:p>
    <w:p>
      <w:pPr>
        <w:adjustRightInd w:val="0"/>
        <w:snapToGrid w:val="0"/>
        <w:spacing w:line="360" w:lineRule="auto"/>
        <w:ind w:firstLine="422" w:firstLineChars="201"/>
        <w:rPr>
          <w:rFonts w:ascii="宋体" w:hAnsi="宋体" w:cs="宋体"/>
          <w:bCs/>
          <w:color w:val="auto"/>
          <w:szCs w:val="21"/>
          <w:highlight w:val="none"/>
          <w:u w:val="single"/>
        </w:rPr>
      </w:pPr>
      <w:r>
        <w:rPr>
          <w:rFonts w:hint="eastAsia" w:ascii="宋体" w:hAnsi="宋体" w:cs="宋体"/>
          <w:color w:val="auto"/>
          <w:szCs w:val="21"/>
          <w:highlight w:val="none"/>
          <w:u w:val="single"/>
        </w:rPr>
        <w:t>1、上述第</w:t>
      </w:r>
      <w:r>
        <w:rPr>
          <w:rFonts w:hint="eastAsia" w:ascii="宋体" w:hAnsi="宋体" w:cs="宋体"/>
          <w:bCs/>
          <w:color w:val="auto"/>
          <w:szCs w:val="21"/>
          <w:highlight w:val="none"/>
          <w:u w:val="single"/>
        </w:rPr>
        <w:t>11.2.2（1）—（1</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）条没有要求提交的资料，不作为资格审查不合格的依据。</w:t>
      </w:r>
    </w:p>
    <w:p>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2、上述第</w:t>
      </w:r>
      <w:r>
        <w:rPr>
          <w:rFonts w:hint="eastAsia" w:ascii="宋体" w:hAnsi="宋体" w:cs="宋体"/>
          <w:bCs/>
          <w:color w:val="auto"/>
          <w:szCs w:val="21"/>
          <w:highlight w:val="none"/>
          <w:u w:val="single"/>
        </w:rPr>
        <w:t>11.2.2</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）条，投标人无需提供资料，按投标截止时间广州交易集团有限公司（广州公共资源交易中心）交易系统比对的结果进行评审。</w:t>
      </w:r>
    </w:p>
    <w:p>
      <w:pPr>
        <w:adjustRightInd w:val="0"/>
        <w:snapToGrid w:val="0"/>
        <w:spacing w:line="360" w:lineRule="auto"/>
        <w:ind w:firstLine="422" w:firstLineChars="201"/>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3、上述第</w:t>
      </w:r>
      <w:r>
        <w:rPr>
          <w:rFonts w:hint="eastAsia" w:ascii="宋体" w:hAnsi="宋体" w:cs="宋体"/>
          <w:bCs/>
          <w:color w:val="auto"/>
          <w:szCs w:val="21"/>
          <w:highlight w:val="none"/>
          <w:u w:val="single"/>
        </w:rPr>
        <w:t>11.2.2</w:t>
      </w:r>
      <w:r>
        <w:rPr>
          <w:rFonts w:hint="eastAsia" w:ascii="宋体" w:hAnsi="宋体" w:cs="宋体"/>
          <w:color w:val="auto"/>
          <w:szCs w:val="21"/>
          <w:highlight w:val="none"/>
          <w:u w:val="single"/>
        </w:rPr>
        <w:t>（1</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rPr>
        <w:t>）条，投标人无需提供资料，按招标公告附件三《被招标人拒绝投标的企业名单》</w:t>
      </w:r>
      <w:r>
        <w:rPr>
          <w:rFonts w:hint="eastAsia" w:ascii="宋体" w:hAnsi="宋体" w:cs="宋体"/>
          <w:color w:val="auto"/>
          <w:szCs w:val="21"/>
          <w:highlight w:val="none"/>
          <w:u w:val="single"/>
          <w:lang w:eastAsia="zh-CN"/>
        </w:rPr>
        <w:t>进行评审。</w:t>
      </w:r>
    </w:p>
    <w:p>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相关电子证书按规定需打印后手写本人签名的，应按照规定手写本人签名后再扫描提交。</w:t>
      </w:r>
    </w:p>
    <w:p>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11.2.3《投标函》</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《标函承诺书》</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《中小企业声明函》（如有）、《分包意向协议书》（如有）、《项目负责人驻场承诺书》（格式见招标文件第四章）。</w:t>
      </w:r>
    </w:p>
    <w:p>
      <w:pPr>
        <w:adjustRightInd w:val="0"/>
        <w:snapToGrid w:val="0"/>
        <w:spacing w:line="360" w:lineRule="auto"/>
        <w:ind w:firstLine="422" w:firstLineChars="201"/>
        <w:rPr>
          <w:rFonts w:ascii="宋体" w:hAnsi="宋体" w:cs="宋体"/>
          <w:color w:val="auto"/>
          <w:szCs w:val="21"/>
          <w:highlight w:val="none"/>
          <w:u w:val="single"/>
        </w:rPr>
      </w:pPr>
      <w:r>
        <w:rPr>
          <w:rFonts w:hint="eastAsia" w:ascii="宋体" w:hAnsi="宋体" w:cs="宋体"/>
          <w:color w:val="auto"/>
          <w:szCs w:val="21"/>
          <w:highlight w:val="none"/>
          <w:u w:val="single"/>
        </w:rPr>
        <w:t>11.2.4《投入主要人员汇总表》</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《主要人员简历表》（格式见招标文件第四章、投标人需按相应表格备注和招标文件第二章附表《技术标详细审查评分表》要求提供相关资料）。</w:t>
      </w:r>
    </w:p>
    <w:p>
      <w:pPr>
        <w:adjustRightInd w:val="0"/>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u w:val="single"/>
        </w:rPr>
        <w:t>11.2.5</w:t>
      </w:r>
      <w:r>
        <w:rPr>
          <w:rFonts w:hint="eastAsia" w:ascii="宋体" w:hAnsi="宋体" w:cs="宋体"/>
          <w:color w:val="auto"/>
          <w:szCs w:val="21"/>
          <w:highlight w:val="none"/>
          <w:u w:val="single"/>
        </w:rPr>
        <w:t>企业资信证明材料（按招标文件第二章附表《技术标详细审查评分表》要求提交，包括《已竣工验收的类似工程业绩表》（如有，格式见招标文件第四章）等资料。招标文件有规定格式的，需按招标文件格式提供，无格式要求的，格式自拟）</w:t>
      </w:r>
      <w:r>
        <w:rPr>
          <w:rFonts w:hint="eastAsia" w:ascii="宋体" w:hAnsi="宋体" w:cs="宋体"/>
          <w:bCs/>
          <w:color w:val="auto"/>
          <w:szCs w:val="21"/>
          <w:highlight w:val="none"/>
          <w:u w:val="single"/>
        </w:rPr>
        <w:t>。</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11.2.6《响应招标文件所附施工组织设计要点的承诺书》《拟投入本工程施工的主要机械设备配备表》（格式见招标文件第四章）。</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7</w:t>
      </w:r>
      <w:r>
        <w:rPr>
          <w:rFonts w:hint="eastAsia" w:ascii="宋体" w:hAnsi="宋体" w:cs="宋体"/>
          <w:color w:val="auto"/>
          <w:szCs w:val="21"/>
          <w:highlight w:val="none"/>
          <w:u w:val="single"/>
        </w:rPr>
        <w:t>现场答辩</w:t>
      </w:r>
      <w:r>
        <w:rPr>
          <w:rFonts w:hint="eastAsia" w:ascii="宋体" w:hAnsi="宋体" w:cs="宋体"/>
          <w:color w:val="auto"/>
          <w:szCs w:val="21"/>
          <w:highlight w:val="none"/>
          <w:u w:val="single"/>
          <w:lang w:eastAsia="zh-CN"/>
        </w:rPr>
        <w:t>文件（按招标文件第二章附表《技术标（答辩）评分表》要求提交，格式自拟）</w:t>
      </w:r>
      <w:r>
        <w:rPr>
          <w:rFonts w:hint="eastAsia" w:ascii="宋体" w:hAnsi="宋体" w:cs="宋体"/>
          <w:color w:val="auto"/>
          <w:szCs w:val="21"/>
          <w:highlight w:val="none"/>
          <w:u w:val="single"/>
        </w:rPr>
        <w:t>。</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《危险性较大的分部分项工程安全管理措施》（格式见招标文件第四章）。</w:t>
      </w:r>
    </w:p>
    <w:p>
      <w:pP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《参与编制技术标投标文件人员名单》（格式见招标文件第四章）。</w:t>
      </w:r>
    </w:p>
    <w:p>
      <w:pPr>
        <w:pBdr>
          <w:bottom w:val="single" w:color="auto" w:sz="4" w:space="0"/>
        </w:pBdr>
        <w:adjustRightInd w:val="0"/>
        <w:snapToGri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投标人认为应提供的其他资料（如有）。</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条款号：11.3.1                     修改类型：修改</w:t>
      </w:r>
    </w:p>
    <w:p>
      <w:pPr>
        <w:adjustRightInd w:val="0"/>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11.3.1 经济投标文件(按招标文件的要求填写)。</w:t>
      </w:r>
    </w:p>
    <w:p>
      <w:pPr>
        <w:pBdr>
          <w:bottom w:val="single" w:color="auto" w:sz="4" w:space="0"/>
        </w:pBd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广州建设工程施工招标投标书（经济标）（格式见招标文件第四章，具体格式以《广州建设工程施工招标投标书（经济标）》为准；电子投标管理软件编制的“广州建设工程施工招标投标书”不作为否决投标的条件)</w:t>
      </w:r>
      <w:r>
        <w:rPr>
          <w:rFonts w:hint="eastAsia" w:ascii="宋体" w:hAnsi="宋体" w:cs="宋体"/>
          <w:bCs/>
          <w:color w:val="auto"/>
          <w:szCs w:val="21"/>
          <w:highlight w:val="none"/>
        </w:rPr>
        <w:t>。</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条款号：11.3.2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（1）投标总价封面、扉页；</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（9）综合单价分析表；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（11）暂列金额明细表；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（14）计日工表；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（15）总承包服务计价表；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rPr>
        <w:t>投标总价封面、扉页</w:t>
      </w:r>
    </w:p>
    <w:p>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rPr>
        <w:t>总说明；</w:t>
      </w:r>
    </w:p>
    <w:p>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u w:val="single"/>
        </w:rPr>
        <w:t>工程量清单报价表及综合单价分析表的相关内容及格式要求（相关表格的内容及格式要求以招标人发出的最新版电子招标文件中的相应内容及格式为准）</w:t>
      </w:r>
      <w:r>
        <w:rPr>
          <w:rFonts w:hint="eastAsia" w:ascii="宋体" w:hAnsi="宋体" w:cs="宋体"/>
          <w:color w:val="auto"/>
          <w:szCs w:val="21"/>
          <w:highlight w:val="none"/>
        </w:rPr>
        <w:t>；</w:t>
      </w:r>
    </w:p>
    <w:p>
      <w:pPr>
        <w:numPr>
          <w:ilvl w:val="0"/>
          <w:numId w:val="1"/>
        </w:numPr>
        <w:pBdr>
          <w:bottom w:val="single" w:color="auto" w:sz="6" w:space="1"/>
        </w:pBdr>
        <w:adjustRightInd w:val="0"/>
        <w:snapToGrid w:val="0"/>
        <w:spacing w:line="360" w:lineRule="auto"/>
        <w:ind w:firstLine="308" w:firstLineChars="147"/>
        <w:rPr>
          <w:rFonts w:ascii="宋体" w:hAnsi="宋体" w:cs="宋体"/>
          <w:color w:val="auto"/>
          <w:szCs w:val="21"/>
          <w:highlight w:val="none"/>
        </w:rPr>
      </w:pPr>
      <w:r>
        <w:rPr>
          <w:rFonts w:hint="eastAsia" w:ascii="宋体" w:hAnsi="宋体" w:cs="宋体"/>
          <w:color w:val="auto"/>
          <w:szCs w:val="21"/>
          <w:highlight w:val="none"/>
          <w:u w:val="single"/>
        </w:rPr>
        <w:t>其它辅助说明资料（包括但不限于招标文件要求填写的《对投标文件编制的承诺》，格式见招标文件第四章）</w:t>
      </w:r>
      <w:r>
        <w:rPr>
          <w:rFonts w:hint="eastAsia" w:ascii="宋体" w:hAnsi="宋体" w:cs="宋体"/>
          <w:color w:val="auto"/>
          <w:szCs w:val="21"/>
          <w:highlight w:val="none"/>
        </w:rPr>
        <w:t>。</w:t>
      </w:r>
    </w:p>
    <w:p>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条款号：11.3.3                      修改类型：修改</w:t>
      </w:r>
    </w:p>
    <w:p>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11.3.3按照招标文件要求填写的《参与编制经济标投标文件人员名单》。</w:t>
      </w:r>
    </w:p>
    <w:p>
      <w:pPr>
        <w:pBdr>
          <w:bottom w:val="single" w:color="auto" w:sz="6" w:space="1"/>
        </w:pBdr>
        <w:adjustRightInd w:val="0"/>
        <w:snapToGrid w:val="0"/>
        <w:spacing w:line="360" w:lineRule="auto"/>
        <w:ind w:firstLine="413" w:firstLineChars="196"/>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11.3.3按照招标文件要求填写的《参与编制经济标投标文件人员名单》</w:t>
      </w:r>
      <w:r>
        <w:rPr>
          <w:rFonts w:hint="eastAsia" w:ascii="宋体" w:hAnsi="宋体" w:cs="宋体"/>
          <w:color w:val="auto"/>
          <w:szCs w:val="21"/>
          <w:highlight w:val="none"/>
          <w:u w:val="single"/>
        </w:rPr>
        <w:t>（格式见招标文件第四章）</w:t>
      </w:r>
      <w:r>
        <w:rPr>
          <w:rFonts w:hint="eastAsia" w:ascii="宋体" w:hAnsi="宋体" w:cs="宋体"/>
          <w:color w:val="auto"/>
          <w:szCs w:val="21"/>
          <w:highlight w:val="none"/>
        </w:rPr>
        <w:t>。</w:t>
      </w:r>
    </w:p>
    <w:p>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条款号：11.3.5                      修改类型：增加</w:t>
      </w:r>
    </w:p>
    <w:p>
      <w:pPr>
        <w:pBdr>
          <w:bottom w:val="single" w:color="auto" w:sz="6" w:space="1"/>
        </w:pBdr>
        <w:adjustRightInd w:val="0"/>
        <w:snapToGrid w:val="0"/>
        <w:spacing w:line="360" w:lineRule="auto"/>
        <w:ind w:firstLine="413" w:firstLineChars="196"/>
        <w:textAlignment w:val="baseline"/>
        <w:rPr>
          <w:rFonts w:ascii="宋体" w:hAnsi="宋体" w:cs="宋体"/>
          <w:bCs/>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11.3.5</w:t>
      </w:r>
      <w:r>
        <w:rPr>
          <w:rFonts w:hint="eastAsia" w:ascii="宋体" w:hAnsi="宋体" w:cs="宋体"/>
          <w:color w:val="auto"/>
          <w:szCs w:val="21"/>
          <w:highlight w:val="none"/>
          <w:u w:val="single"/>
        </w:rPr>
        <w:t>投标人认为应提供的其他经济标资料（如有）。</w:t>
      </w:r>
    </w:p>
    <w:p>
      <w:pPr>
        <w:adjustRightInd w:val="0"/>
        <w:snapToGrid w:val="0"/>
        <w:spacing w:line="360" w:lineRule="auto"/>
        <w:ind w:firstLine="413" w:firstLineChars="196"/>
        <w:textAlignment w:val="baseline"/>
        <w:rPr>
          <w:rFonts w:ascii="宋体" w:hAnsi="宋体" w:cs="宋体"/>
          <w:b/>
          <w:color w:val="auto"/>
          <w:szCs w:val="21"/>
          <w:highlight w:val="none"/>
        </w:rPr>
      </w:pPr>
      <w:r>
        <w:rPr>
          <w:rFonts w:hint="eastAsia" w:ascii="宋体" w:hAnsi="宋体" w:cs="宋体"/>
          <w:b/>
          <w:color w:val="auto"/>
          <w:szCs w:val="21"/>
          <w:highlight w:val="none"/>
        </w:rPr>
        <w:t>条款号：11.</w:t>
      </w:r>
      <w:r>
        <w:rPr>
          <w:rFonts w:hint="eastAsia" w:ascii="宋体" w:hAnsi="宋体" w:cs="宋体"/>
          <w:b/>
          <w:color w:val="auto"/>
          <w:szCs w:val="21"/>
          <w:highlight w:val="none"/>
          <w:lang w:val="en-US" w:eastAsia="zh-CN"/>
        </w:rPr>
        <w:t xml:space="preserve">4  </w:t>
      </w:r>
      <w:r>
        <w:rPr>
          <w:rFonts w:hint="eastAsia" w:ascii="宋体" w:hAnsi="宋体" w:cs="宋体"/>
          <w:b/>
          <w:color w:val="auto"/>
          <w:szCs w:val="21"/>
          <w:highlight w:val="none"/>
        </w:rPr>
        <w:t xml:space="preserve">                      修改类型：增加</w:t>
      </w:r>
    </w:p>
    <w:p>
      <w:pPr>
        <w:pBdr>
          <w:bottom w:val="single" w:color="auto" w:sz="6" w:space="1"/>
        </w:pBdr>
        <w:adjustRightInd w:val="0"/>
        <w:snapToGrid w:val="0"/>
        <w:spacing w:line="360" w:lineRule="auto"/>
        <w:ind w:firstLine="413" w:firstLineChars="196"/>
        <w:textAlignment w:val="baseline"/>
        <w:rPr>
          <w:rFonts w:hint="eastAsia"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b/>
          <w:color w:val="auto"/>
          <w:szCs w:val="21"/>
          <w:highlight w:val="none"/>
          <w:u w:val="single"/>
        </w:rPr>
        <w:t>11.4定标文件的组成</w:t>
      </w:r>
    </w:p>
    <w:p>
      <w:pPr>
        <w:pBdr>
          <w:bottom w:val="single" w:color="auto" w:sz="6" w:space="1"/>
        </w:pBdr>
        <w:adjustRightInd w:val="0"/>
        <w:snapToGrid w:val="0"/>
        <w:spacing w:line="360" w:lineRule="auto"/>
        <w:ind w:firstLine="411" w:firstLineChars="196"/>
        <w:textAlignment w:val="baseline"/>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11.4.1企业规模及综合实力介绍（如有）；</w:t>
      </w:r>
    </w:p>
    <w:p>
      <w:pPr>
        <w:pBdr>
          <w:bottom w:val="single" w:color="auto" w:sz="6" w:space="1"/>
        </w:pBdr>
        <w:adjustRightInd w:val="0"/>
        <w:snapToGrid w:val="0"/>
        <w:spacing w:line="360" w:lineRule="auto"/>
        <w:ind w:firstLine="411" w:firstLineChars="196"/>
        <w:textAlignment w:val="baseline"/>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11.4.2投标人依据《定标因素表》提供的资料（如有）；</w:t>
      </w:r>
    </w:p>
    <w:p>
      <w:pPr>
        <w:pBdr>
          <w:bottom w:val="single" w:color="auto" w:sz="6" w:space="1"/>
        </w:pBdr>
        <w:adjustRightInd w:val="0"/>
        <w:snapToGrid w:val="0"/>
        <w:spacing w:line="360" w:lineRule="auto"/>
        <w:ind w:firstLine="411" w:firstLineChars="196"/>
        <w:textAlignment w:val="baseline"/>
        <w:rPr>
          <w:rFonts w:hint="eastAsia" w:ascii="宋体" w:hAnsi="宋体" w:cs="宋体"/>
          <w:b w:val="0"/>
          <w:bCs/>
          <w:color w:val="auto"/>
          <w:szCs w:val="21"/>
          <w:highlight w:val="none"/>
          <w:u w:val="single"/>
        </w:rPr>
      </w:pPr>
      <w:r>
        <w:rPr>
          <w:rFonts w:hint="eastAsia" w:ascii="宋体" w:hAnsi="宋体" w:cs="宋体"/>
          <w:b w:val="0"/>
          <w:bCs/>
          <w:color w:val="auto"/>
          <w:szCs w:val="21"/>
          <w:highlight w:val="none"/>
          <w:u w:val="single"/>
        </w:rPr>
        <w:t>11.4.3投标人认为应该提供的资料（如有）</w:t>
      </w:r>
    </w:p>
    <w:p>
      <w:pPr>
        <w:pBdr>
          <w:bottom w:val="single" w:color="auto" w:sz="6" w:space="1"/>
        </w:pBdr>
        <w:adjustRightInd w:val="0"/>
        <w:snapToGrid w:val="0"/>
        <w:spacing w:line="360" w:lineRule="auto"/>
        <w:ind w:firstLine="411" w:firstLineChars="196"/>
        <w:textAlignment w:val="baseline"/>
        <w:rPr>
          <w:rFonts w:ascii="宋体" w:hAnsi="宋体" w:cs="宋体"/>
          <w:b w:val="0"/>
          <w:bCs/>
          <w:color w:val="auto"/>
          <w:szCs w:val="21"/>
          <w:highlight w:val="none"/>
          <w:u w:val="single"/>
        </w:rPr>
      </w:pPr>
      <w:r>
        <w:rPr>
          <w:rFonts w:hint="eastAsia" w:ascii="宋体" w:hAnsi="宋体" w:cs="宋体"/>
          <w:b w:val="0"/>
          <w:bCs/>
          <w:color w:val="auto"/>
          <w:szCs w:val="21"/>
          <w:highlight w:val="none"/>
          <w:u w:val="single"/>
        </w:rPr>
        <w:t>注：定标文件的递交时间和形式有投标人按照投标须知前附表第18项规定的时间及本须知第18条的相关要求执行。</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条款号：12.2                       修改类型：修改</w:t>
      </w:r>
    </w:p>
    <w:p>
      <w:pPr>
        <w:adjustRightInd w:val="0"/>
        <w:snapToGrid w:val="0"/>
        <w:spacing w:line="360" w:lineRule="auto"/>
        <w:ind w:firstLine="472" w:firstLineChars="224"/>
        <w:textAlignment w:val="baseline"/>
        <w:rPr>
          <w:rFonts w:ascii="宋体" w:hAnsi="宋体" w:cs="宋体"/>
          <w:bCs/>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12.2</w:t>
      </w:r>
      <w:r>
        <w:rPr>
          <w:rFonts w:hint="eastAsia" w:ascii="宋体" w:hAnsi="宋体" w:cs="宋体"/>
          <w:bCs/>
          <w:color w:val="auto"/>
          <w:kern w:val="0"/>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color w:val="auto"/>
          <w:szCs w:val="21"/>
          <w:highlight w:val="none"/>
          <w:u w:val="single"/>
        </w:rPr>
        <w:t xml:space="preserve">        </w:t>
      </w:r>
      <w:r>
        <w:rPr>
          <w:rFonts w:hint="eastAsia" w:ascii="宋体" w:hAnsi="宋体" w:cs="宋体"/>
          <w:bCs/>
          <w:color w:val="auto"/>
          <w:kern w:val="0"/>
          <w:szCs w:val="21"/>
          <w:highlight w:val="none"/>
        </w:rPr>
        <w:t>。</w:t>
      </w:r>
    </w:p>
    <w:p>
      <w:pPr>
        <w:pBdr>
          <w:bottom w:val="single" w:color="auto" w:sz="6" w:space="1"/>
        </w:pBdr>
        <w:adjustRightInd w:val="0"/>
        <w:snapToGrid w:val="0"/>
        <w:spacing w:line="360" w:lineRule="auto"/>
        <w:ind w:firstLine="525" w:firstLineChars="250"/>
        <w:textAlignment w:val="baseline"/>
        <w:rPr>
          <w:rFonts w:ascii="宋体" w:hAnsi="宋体" w:cs="宋体"/>
          <w:bCs/>
          <w:color w:val="auto"/>
          <w:szCs w:val="21"/>
          <w:highlight w:val="none"/>
        </w:rPr>
      </w:pPr>
      <w:r>
        <w:rPr>
          <w:rFonts w:hint="eastAsia" w:ascii="宋体" w:hAnsi="宋体" w:cs="宋体"/>
          <w:bCs/>
          <w:color w:val="auto"/>
          <w:szCs w:val="21"/>
          <w:highlight w:val="none"/>
        </w:rPr>
        <w:t>注释：投标文件电子文档需要投标人单位盖章的材料，投标人加盖电子印章即可，不得将投标人未对电子文档加盖实物印章作为否决投标的情形。</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12.2</w:t>
      </w:r>
      <w:r>
        <w:rPr>
          <w:rFonts w:hint="eastAsia" w:ascii="宋体" w:hAnsi="宋体" w:cs="宋体"/>
          <w:color w:val="auto"/>
          <w:szCs w:val="21"/>
          <w:highlight w:val="none"/>
          <w:u w:val="single"/>
        </w:rPr>
        <w:t>投标人应仔细阅读招标文件第四章投标文件格式的相关规定和要求。</w:t>
      </w:r>
      <w:r>
        <w:rPr>
          <w:rFonts w:hint="eastAsia" w:ascii="宋体" w:hAnsi="宋体" w:cs="宋体"/>
          <w:color w:val="auto"/>
          <w:szCs w:val="21"/>
          <w:highlight w:val="none"/>
        </w:rPr>
        <w:t>投标文件全部采用电子文档，投标文件所附证书证件均为扫描件或电子证照，并采用单位数字证书，按招标文件要求在相应位置加盖电子印章。投标文件中需个人签字或盖章的，应加盖个人电子印章或在线下完成后原件扫描上传。按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r>
        <w:rPr>
          <w:rFonts w:hint="eastAsia" w:ascii="宋体" w:hAnsi="宋体" w:cs="宋体"/>
          <w:b/>
          <w:bCs/>
          <w:color w:val="auto"/>
          <w:szCs w:val="21"/>
          <w:highlight w:val="none"/>
          <w:u w:val="single"/>
        </w:rPr>
        <w:t>如联合体投标，投标文件中的“投标人”、“声明企业”、“投标单位”应填写联合体各成员的单位全称“（主）***公司（成）***公司”。除投标文件中的联合体工作协议、投标人声明需联合体各成员按格式要求盖章或签字外，其他资料均由主办方盖章或签字即可</w:t>
      </w:r>
      <w:r>
        <w:rPr>
          <w:rFonts w:hint="eastAsia" w:ascii="宋体" w:hAnsi="宋体" w:cs="宋体"/>
          <w:color w:val="auto"/>
          <w:szCs w:val="21"/>
          <w:highlight w:val="none"/>
          <w:u w:val="single"/>
        </w:rPr>
        <w:t>。</w:t>
      </w:r>
    </w:p>
    <w:p>
      <w:pPr>
        <w:pBdr>
          <w:bottom w:val="single" w:color="auto" w:sz="6" w:space="1"/>
        </w:pBdr>
        <w:adjustRightInd w:val="0"/>
        <w:snapToGrid w:val="0"/>
        <w:spacing w:line="360" w:lineRule="auto"/>
        <w:ind w:firstLine="525" w:firstLineChars="250"/>
        <w:textAlignment w:val="baseline"/>
        <w:rPr>
          <w:rFonts w:ascii="宋体" w:hAnsi="宋体" w:cs="宋体"/>
          <w:b/>
          <w:color w:val="auto"/>
          <w:szCs w:val="21"/>
          <w:highlight w:val="none"/>
        </w:rPr>
      </w:pPr>
      <w:r>
        <w:rPr>
          <w:rFonts w:hint="eastAsia" w:ascii="宋体" w:hAnsi="宋体" w:cs="宋体"/>
          <w:color w:val="auto"/>
          <w:szCs w:val="21"/>
          <w:highlight w:val="none"/>
        </w:rPr>
        <w:t>注释：投标文件电子文档需要投标人单位盖章的材料，投标人加盖电子印章即可，不得将投标人未对电子文档加盖实物印章作为否决投标的情形。</w:t>
      </w:r>
    </w:p>
    <w:p>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条款号：12.3                       修改类型：修改</w:t>
      </w:r>
    </w:p>
    <w:p>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ascii="宋体" w:hAnsi="宋体" w:cs="宋体"/>
          <w:color w:val="auto"/>
          <w:szCs w:val="21"/>
          <w:highlight w:val="none"/>
          <w:u w:val="single"/>
        </w:rPr>
        <w:t xml:space="preserve">        </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12.3</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交易平台关于全流程电子化项目的相关指南进行编制，详见：</w:t>
      </w:r>
      <w:r>
        <w:rPr>
          <w:rFonts w:hint="eastAsia" w:ascii="宋体" w:hAnsi="宋体" w:cs="宋体"/>
          <w:bCs/>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0" w:firstLineChars="200"/>
        <w:textAlignment w:val="baseline"/>
        <w:rPr>
          <w:rFonts w:ascii="宋体" w:hAnsi="宋体" w:cs="宋体"/>
          <w:b/>
          <w:color w:val="auto"/>
          <w:szCs w:val="21"/>
          <w:highlight w:val="none"/>
        </w:rPr>
      </w:pPr>
      <w:r>
        <w:rPr>
          <w:rFonts w:hint="eastAsia" w:ascii="宋体" w:hAnsi="宋体" w:cs="宋体"/>
          <w:bCs/>
          <w:color w:val="auto"/>
          <w:szCs w:val="21"/>
          <w:highlight w:val="none"/>
        </w:rPr>
        <w:t>如不按上述要求编制引起系统无法检索、读取相关信息的，其后果由投标人承担</w:t>
      </w:r>
      <w:r>
        <w:rPr>
          <w:rFonts w:hint="eastAsia" w:ascii="宋体" w:hAnsi="宋体" w:cs="宋体"/>
          <w:color w:val="auto"/>
          <w:szCs w:val="21"/>
          <w:highlight w:val="none"/>
        </w:rPr>
        <w:t>。</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13.1本工程的投标报价采用投标须知前附表第12项所规定的方式。投标报价（含单价及总价）精确到“分”。</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13.1 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adjustRightInd w:val="0"/>
        <w:snapToGrid w:val="0"/>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条款号：13.4                         修改类型：修改</w:t>
      </w:r>
    </w:p>
    <w:p>
      <w:pPr>
        <w:pStyle w:val="29"/>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w:t>
      </w:r>
      <w:r>
        <w:rPr>
          <w:rFonts w:hint="eastAsia" w:ascii="宋体" w:hAnsi="宋体" w:cs="宋体"/>
          <w:color w:val="auto"/>
          <w:szCs w:val="21"/>
          <w:highlight w:val="none"/>
          <w:u w:val="single"/>
        </w:rPr>
        <w:t>和措施项目费（措施项目费必须单列，没有单独列出的，视为已经包含在投标报价中），在工程结算时，按招标文件第三章合同条款相关约定调整。</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条款号：13.5                         修改类型：修改</w:t>
      </w:r>
    </w:p>
    <w:p>
      <w:pPr>
        <w:pStyle w:val="29"/>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29"/>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pPr>
        <w:pStyle w:val="29"/>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29"/>
        <w:adjustRightInd w:val="0"/>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13.5.4 如相关定额没有相应子目的，其计价方式由招标人在本招标文件第三章中另行规定。未规定的，中标后双方协商约定。</w:t>
      </w:r>
    </w:p>
    <w:p>
      <w:pPr>
        <w:adjustRightInd w:val="0"/>
        <w:snapToGrid w:val="0"/>
        <w:spacing w:line="360" w:lineRule="auto"/>
        <w:ind w:firstLine="413" w:firstLineChars="196"/>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工程项目实施期间和结算时，根据招标图纸及工程量清单计价规范在招标文件工程量清单中漏列而由监理单位和招标人现场签证确认的实体工程项目、原设计没有而由招标人批准设计变更产生的实体工程项目，视为新增项目，按合同专用条款相关约定确定价格。</w:t>
      </w:r>
    </w:p>
    <w:p>
      <w:pPr>
        <w:pBdr>
          <w:top w:val="single" w:color="auto" w:sz="4" w:space="1"/>
        </w:pBd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条款号：13.6.2                      修改类型：修改</w:t>
      </w:r>
    </w:p>
    <w:p>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13.6.2在工程实施中，暂列金额、暂估价所包含的工作范围和图纸、标准深化固定后，按照工程专业、设备、材料类别等分类汇总的金额，达到法定招标范围标准的</w:t>
      </w:r>
      <w:r>
        <w:rPr>
          <w:rFonts w:hint="eastAsia" w:ascii="宋体" w:hAnsi="宋体" w:cs="宋体"/>
          <w:color w:val="auto"/>
          <w:szCs w:val="21"/>
          <w:highlight w:val="none"/>
          <w:u w:val="single"/>
        </w:rPr>
        <w:t>应由招标人招标确定承包人和承包价格。</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29"/>
        <w:pBdr>
          <w:bottom w:val="single" w:color="auto" w:sz="6" w:space="1"/>
        </w:pBdr>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现文：</w:t>
      </w: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w:t>
      </w:r>
      <w:r>
        <w:rPr>
          <w:rFonts w:hint="eastAsia" w:ascii="宋体" w:hAnsi="宋体" w:cs="宋体"/>
          <w:color w:val="auto"/>
          <w:sz w:val="21"/>
          <w:szCs w:val="21"/>
          <w:highlight w:val="none"/>
          <w:u w:val="single"/>
        </w:rPr>
        <w:t>经发包人同意，</w:t>
      </w:r>
      <w:r>
        <w:rPr>
          <w:rFonts w:hint="eastAsia" w:ascii="宋体" w:hAnsi="宋体" w:cs="宋体"/>
          <w:color w:val="auto"/>
          <w:sz w:val="21"/>
          <w:szCs w:val="21"/>
          <w:highlight w:val="none"/>
        </w:rPr>
        <w:t>承包人有法定的承包资格的，由承包人承包，承包人无法定的承包资格但有法定的分包权的，由承包人分包，招标人同承包人结算的价格按本投标须知13.5款规定确定。</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条款号：13.8                         修改类型：修改</w:t>
      </w:r>
    </w:p>
    <w:p>
      <w:pPr>
        <w:pStyle w:val="29"/>
        <w:adjustRightInd w:val="0"/>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Bdr>
          <w:bottom w:val="single" w:color="auto" w:sz="4" w:space="0"/>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13.8</w:t>
      </w:r>
      <w:r>
        <w:rPr>
          <w:rFonts w:hint="eastAsia" w:ascii="宋体" w:hAnsi="宋体" w:cs="宋体"/>
          <w:color w:val="auto"/>
          <w:szCs w:val="21"/>
          <w:highlight w:val="none"/>
          <w:u w:val="single"/>
        </w:rPr>
        <w:t>投标期间，投标人不需在投标文件中明确所选用主要材料、设备的品牌、厂家以及质量等级。实施期间，所有材料品牌选择均须报发包人、监理工程师确认，所有材料及成品质量必须满足设计与规范要求，且经检验合格后方可使用。</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条款号：13.10                         修改类型：增加</w:t>
      </w:r>
    </w:p>
    <w:p>
      <w:pPr>
        <w:adjustRightInd w:val="0"/>
        <w:snapToGrid w:val="0"/>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bCs/>
          <w:color w:val="auto"/>
          <w:szCs w:val="21"/>
          <w:highlight w:val="none"/>
          <w:u w:val="single"/>
        </w:rPr>
        <w:t>13.10</w:t>
      </w:r>
      <w:r>
        <w:rPr>
          <w:rFonts w:hint="eastAsia" w:ascii="宋体" w:hAnsi="宋体" w:cs="宋体"/>
          <w:color w:val="auto"/>
          <w:szCs w:val="21"/>
          <w:highlight w:val="none"/>
          <w:u w:val="single"/>
        </w:rPr>
        <w:t>工程量清单报价中有关问题的说明：</w:t>
      </w:r>
    </w:p>
    <w:p>
      <w:pPr>
        <w:adjustRightInd w:val="0"/>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（1）投标时</w:t>
      </w:r>
      <w:r>
        <w:rPr>
          <w:rFonts w:hint="eastAsia" w:ascii="宋体" w:hAnsi="宋体" w:cs="宋体"/>
          <w:color w:val="auto"/>
          <w:szCs w:val="21"/>
          <w:highlight w:val="none"/>
          <w:lang w:eastAsia="zh-CN"/>
        </w:rPr>
        <w:t>，</w:t>
      </w:r>
      <w:r>
        <w:rPr>
          <w:rFonts w:hint="eastAsia" w:ascii="宋体" w:hAnsi="宋体" w:cs="宋体"/>
          <w:color w:val="auto"/>
          <w:szCs w:val="21"/>
          <w:highlight w:val="none"/>
        </w:rPr>
        <w:t>土方的弃运距离暂按15km内考虑，超过15km按15km计算，结算时按招标人确认的实际运距计算</w:t>
      </w:r>
      <w:r>
        <w:rPr>
          <w:rFonts w:hint="eastAsia" w:ascii="宋体" w:hAnsi="宋体" w:cs="宋体"/>
          <w:color w:val="auto"/>
          <w:szCs w:val="21"/>
          <w:highlight w:val="none"/>
          <w:lang w:eastAsia="zh-CN"/>
        </w:rPr>
        <w:t>，</w:t>
      </w:r>
      <w:r>
        <w:rPr>
          <w:rFonts w:hint="eastAsia" w:ascii="宋体" w:hAnsi="宋体" w:cs="宋体"/>
          <w:color w:val="auto"/>
          <w:szCs w:val="21"/>
          <w:highlight w:val="none"/>
        </w:rPr>
        <w:t>实际运距超过15公里时，按15公里包干。</w:t>
      </w:r>
    </w:p>
    <w:p>
      <w:pPr>
        <w:pBdr>
          <w:bottom w:val="single" w:color="auto" w:sz="4" w:space="0"/>
        </w:pBdr>
        <w:adjustRightInd w:val="0"/>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u w:val="single"/>
        </w:rPr>
        <w:t>（2）工程量清单中措施项目清单费计价表中的绿色施工安全防护措施费执行《广东省住房和城乡建设厅关于印发&lt;广东省建设工程计价依据（2018)&gt;的通知》（穗建市〔2019〕6号）文，绿色施工安全防护措施费按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Cs w:val="21"/>
          <w:highlight w:val="none"/>
        </w:rPr>
        <w:t>。</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条款号：13.11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13.11投标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包含在措施项目费中，结算时按发包人批准的实施方案，再按合同约定结算。如果中标人不及时按要求设置，业主可以另行委托实施，业主按实际发生的费用在工程款中扣除，中标人不得有任何异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条款号：13.12                          修改类型：增加</w:t>
      </w:r>
    </w:p>
    <w:p>
      <w:pPr>
        <w:pBdr>
          <w:bottom w:val="single" w:color="auto" w:sz="4" w:space="0"/>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13.12承包人应加强周边学校、居民住宅的环境保护，制定绿色施工安全防护措施（包括防尘、防噪音、施工围蔽等），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实施相关费用已含在合同价中。如承包人未及时按要求做好围蔽等安全文明施工措施，建设业主可另行委托单位实施，建设业主按实际发生的费用在绿色施工安全防护措施费中扣除。</w:t>
      </w:r>
    </w:p>
    <w:p>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条款号：13.13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13.13本工程中标人通过现场考察，提出具体施工方案，无论在工程施工期间或是在质量保修期内，若因施工而引起的一切索赔、赔偿、诉讼费用和其他开支，由中标人承担全部责任。该项费用包含在总投标报价中，不另行计费。中标人不得以任何理由要求业主另行增加该部分费用（中标人要充分考虑最不利因素影响而采用的施工方案所需的费用）。</w:t>
      </w:r>
    </w:p>
    <w:p>
      <w:pPr>
        <w:pBdr>
          <w:top w:val="single" w:color="auto" w:sz="4" w:space="1"/>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条款号：13.14                             修改类型：增加</w:t>
      </w:r>
    </w:p>
    <w:p>
      <w:pPr>
        <w:pBdr>
          <w:top w:val="single" w:color="auto" w:sz="4" w:space="1"/>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13.14投标单位应结合本工程招标内容对现场进行充分的调查，充分考虑工程招标内容及施工组织方案，承包单位应与相关管理部门（如铁路管理部门）协商，取得同意协调，按要求完成工程招标内容，工程及相关费用包含在投标总价中，不另行计费。如果中标人不及时按要求完成，业主可以另行委托实施，业主按实际发生的费用在工程款中扣除，中标人不得有任何异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条款号：13.15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13.15投标单位应根据区相关主管部门批复的水土保持实施方案及相关规定完成本工程的水土保持工作，承担防止水土流失职责，相关费用包含在投标总价中，不另行计费。如果中标人不及时按要求完成上述工作，业主可以另行委托实施，业主按实际发生的费用在工程款中扣除，中标人不得有任何异议。</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条款号：13.16                              修改类型：增加</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13.16中标人应使用绿色生产达标企业生产的混凝土，若不遵守承诺，自愿按不履行合同约定处理。</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条款号：13.17                              修改类型：增加</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13.17中标人应按有关规定协助建设业主完成公共排水设施竣工图纸备案工作。</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条款号：15.2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15.2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15.2在特殊情况下，招标人在原定投标有效期内，可以根据需要以书面形式向投标人提出延长投标有效期的要求，对此要求投标人须以书面形式予以答复。</w:t>
      </w:r>
      <w:r>
        <w:rPr>
          <w:rFonts w:hint="eastAsia" w:ascii="宋体" w:hAnsi="宋体" w:cs="宋体"/>
          <w:color w:val="auto"/>
          <w:szCs w:val="21"/>
          <w:highlight w:val="none"/>
          <w:u w:val="single"/>
        </w:rPr>
        <w:t>投标人可以拒绝招标人这种要求。同意延长投标有效期的投标人既不能要求也不允许修改其投标文件。</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条款号：16.投标保证金修改类型：修改</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16.1投标人应按投标须知前附表第14项所述金额和时间递交投标保证金。招标人应当允许投标人自主选择现金、银行保函、保证保险、专业工程担保公司担保等方式缴纳投标保证金。</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pBdr>
          <w:bottom w:val="single" w:color="auto" w:sz="6" w:space="1"/>
        </w:pBd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注：16.5.3款由招标人二选一，需在招标文件中明确。</w:t>
      </w:r>
    </w:p>
    <w:p>
      <w:pPr>
        <w:pBdr>
          <w:bottom w:val="single" w:color="auto" w:sz="6" w:space="1"/>
        </w:pBd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16.1</w:t>
      </w:r>
      <w:r>
        <w:rPr>
          <w:rFonts w:hint="eastAsia" w:ascii="宋体" w:hAnsi="宋体" w:cs="宋体"/>
          <w:color w:val="auto"/>
          <w:szCs w:val="21"/>
          <w:highlight w:val="none"/>
          <w:u w:val="single"/>
        </w:rPr>
        <w:t>本项目不收投标保证金。</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strike/>
          <w:color w:val="auto"/>
          <w:szCs w:val="21"/>
          <w:highlight w:val="none"/>
        </w:rPr>
        <w:t>16.3投标保证金应依据法律法规的相关规定退还。</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w:t>
      </w:r>
      <w:r>
        <w:rPr>
          <w:rFonts w:hint="eastAsia" w:ascii="宋体" w:hAnsi="宋体" w:cs="宋体"/>
          <w:color w:val="auto"/>
          <w:szCs w:val="21"/>
          <w:highlight w:val="none"/>
          <w:u w:val="single"/>
        </w:rPr>
        <w:t>将被拒绝在3个月内参与招标人后续工程投标；</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r>
        <w:rPr>
          <w:rFonts w:hint="eastAsia" w:ascii="宋体" w:hAnsi="宋体" w:cs="宋体"/>
          <w:color w:val="auto"/>
          <w:szCs w:val="21"/>
          <w:highlight w:val="none"/>
          <w:u w:val="single"/>
        </w:rPr>
        <w:t>或放弃中标资格的</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r>
        <w:rPr>
          <w:rFonts w:hint="eastAsia" w:ascii="宋体" w:hAnsi="宋体" w:cs="宋体"/>
          <w:color w:val="auto"/>
          <w:szCs w:val="21"/>
          <w:highlight w:val="none"/>
          <w:u w:val="single"/>
        </w:rPr>
        <w:t>；</w:t>
      </w:r>
    </w:p>
    <w:p>
      <w:pPr>
        <w:pBdr>
          <w:bottom w:val="single" w:color="auto" w:sz="6" w:space="1"/>
        </w:pBdr>
        <w:adjustRightInd w:val="0"/>
        <w:snapToGrid w:val="0"/>
        <w:spacing w:line="360" w:lineRule="auto"/>
        <w:ind w:firstLine="420" w:firstLineChars="200"/>
        <w:rPr>
          <w:rFonts w:ascii="宋体" w:hAnsi="宋体" w:cs="宋体"/>
          <w:b/>
          <w:color w:val="auto"/>
          <w:szCs w:val="21"/>
          <w:highlight w:val="none"/>
          <w:u w:val="single"/>
        </w:rPr>
      </w:pPr>
      <w:r>
        <w:rPr>
          <w:rFonts w:hint="eastAsia" w:ascii="宋体" w:hAnsi="宋体" w:cs="宋体"/>
          <w:color w:val="auto"/>
          <w:szCs w:val="21"/>
          <w:highlight w:val="none"/>
          <w:u w:val="single"/>
        </w:rPr>
        <w:t>16.4.5投标人弄虚作假骗取中标的。</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16.5投标人如存在下列情况之一的，</w:t>
      </w:r>
      <w:r>
        <w:rPr>
          <w:rFonts w:hint="eastAsia" w:ascii="宋体" w:hAnsi="宋体" w:cs="宋体"/>
          <w:strike/>
          <w:color w:val="auto"/>
          <w:szCs w:val="21"/>
          <w:highlight w:val="none"/>
          <w:u w:val="single"/>
        </w:rPr>
        <w:t>将被拒绝在3个月内参与招标人后续工程投标</w:t>
      </w:r>
      <w:r>
        <w:rPr>
          <w:rFonts w:hint="eastAsia" w:ascii="宋体" w:hAnsi="宋体" w:cs="宋体"/>
          <w:strike/>
          <w:color w:val="auto"/>
          <w:szCs w:val="21"/>
          <w:highlight w:val="none"/>
        </w:rPr>
        <w:t>：</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16.5.1投标人存在16.4条款所列情形且投标人提交的保函、担保或保证保险无法兑付的；</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16.5.2采用非电子形式提交投标保证金的投标人存在16.4条款所列情形，且未按招标人要求补交银行保函、专业工程担保公司担保或保证保险原件的；</w:t>
      </w:r>
    </w:p>
    <w:p>
      <w:pPr>
        <w:pBdr>
          <w:bottom w:val="single" w:color="auto" w:sz="6" w:space="1"/>
        </w:pBdr>
        <w:adjustRightInd w:val="0"/>
        <w:snapToGrid w:val="0"/>
        <w:spacing w:line="360" w:lineRule="auto"/>
        <w:ind w:firstLine="420" w:firstLineChars="200"/>
        <w:rPr>
          <w:rFonts w:ascii="宋体" w:hAnsi="宋体" w:cs="宋体"/>
          <w:strike/>
          <w:color w:val="auto"/>
          <w:szCs w:val="21"/>
          <w:highlight w:val="none"/>
        </w:rPr>
      </w:pPr>
      <w:r>
        <w:rPr>
          <w:rFonts w:hint="eastAsia" w:ascii="宋体" w:hAnsi="宋体" w:cs="宋体"/>
          <w:strike/>
          <w:color w:val="auto"/>
          <w:szCs w:val="21"/>
          <w:highlight w:val="none"/>
        </w:rPr>
        <w:t>16.5.3</w:t>
      </w:r>
      <w:r>
        <w:rPr>
          <w:rFonts w:hint="eastAsia" w:ascii="宋体" w:hAnsi="宋体" w:cs="宋体"/>
          <w:strike/>
          <w:color w:val="auto"/>
          <w:szCs w:val="21"/>
          <w:highlight w:val="none"/>
          <w:u w:val="single"/>
        </w:rPr>
        <w:t>按招标文件要求免于提供投标保证金的投标人存在16.4条款所列情形。</w:t>
      </w:r>
    </w:p>
    <w:p>
      <w:pPr>
        <w:pStyle w:val="29"/>
        <w:adjustRightInd w:val="0"/>
        <w:snapToGrid w:val="0"/>
        <w:spacing w:after="0"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条款号：</w:t>
      </w:r>
      <w:r>
        <w:rPr>
          <w:rFonts w:hint="eastAsia" w:ascii="宋体" w:hAnsi="宋体" w:cs="宋体"/>
          <w:b/>
          <w:bCs/>
          <w:color w:val="auto"/>
          <w:sz w:val="21"/>
          <w:szCs w:val="21"/>
          <w:highlight w:val="none"/>
        </w:rPr>
        <w:t>17．</w:t>
      </w:r>
      <w:r>
        <w:rPr>
          <w:rFonts w:hint="eastAsia" w:ascii="宋体" w:hAnsi="宋体" w:cs="宋体"/>
          <w:b/>
          <w:color w:val="auto"/>
          <w:sz w:val="21"/>
          <w:szCs w:val="21"/>
          <w:highlight w:val="none"/>
        </w:rPr>
        <w:t>投标文件的签署修改类型：修改</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17．</w:t>
      </w:r>
      <w:r>
        <w:rPr>
          <w:rFonts w:hint="eastAsia" w:ascii="宋体" w:hAnsi="宋体" w:cs="宋体"/>
          <w:b/>
          <w:color w:val="auto"/>
          <w:szCs w:val="21"/>
          <w:highlight w:val="none"/>
        </w:rPr>
        <w:t>投标文件的签署</w:t>
      </w:r>
    </w:p>
    <w:p>
      <w:pPr>
        <w:adjustRightInd w:val="0"/>
        <w:snapToGrid w:val="0"/>
        <w:spacing w:line="360" w:lineRule="auto"/>
        <w:ind w:firstLine="420" w:firstLineChars="200"/>
        <w:rPr>
          <w:rFonts w:ascii="宋体" w:hAnsi="宋体" w:cs="宋体"/>
          <w:bCs/>
          <w:color w:val="auto"/>
          <w:kern w:val="0"/>
          <w:szCs w:val="21"/>
          <w:highlight w:val="none"/>
        </w:rPr>
      </w:pPr>
      <w:r>
        <w:rPr>
          <w:rFonts w:hint="eastAsia" w:ascii="宋体" w:hAnsi="宋体" w:cs="宋体"/>
          <w:color w:val="auto"/>
          <w:szCs w:val="21"/>
          <w:highlight w:val="none"/>
        </w:rPr>
        <w:t>17.1</w:t>
      </w:r>
      <w:r>
        <w:rPr>
          <w:rFonts w:hint="eastAsia" w:ascii="宋体" w:hAnsi="宋体" w:cs="宋体"/>
          <w:bCs/>
          <w:color w:val="auto"/>
          <w:kern w:val="0"/>
          <w:szCs w:val="21"/>
          <w:highlight w:val="none"/>
        </w:rPr>
        <w:t>投标人应采用单位数字证书，按招标文件要求在相应位置加盖电子印章。投标文件中需个人签字或盖章的，</w:t>
      </w:r>
      <w:r>
        <w:rPr>
          <w:rFonts w:hint="eastAsia" w:ascii="宋体" w:hAnsi="宋体" w:cs="宋体"/>
          <w:b/>
          <w:color w:val="auto"/>
          <w:kern w:val="0"/>
          <w:szCs w:val="21"/>
          <w:highlight w:val="none"/>
        </w:rPr>
        <w:t>应加盖个人电子印章或在线下完成后原件扫描上传。</w:t>
      </w:r>
      <w:r>
        <w:rPr>
          <w:rFonts w:hint="eastAsia" w:ascii="宋体" w:hAnsi="宋体" w:cs="宋体"/>
          <w:bCs/>
          <w:color w:val="auto"/>
          <w:kern w:val="0"/>
          <w:szCs w:val="21"/>
          <w:highlight w:val="none"/>
        </w:rPr>
        <w:t>按照交易平台关于全流程电子化项目的相关指南进行操作。详见：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bCs/>
          <w:color w:val="auto"/>
          <w:kern w:val="0"/>
          <w:szCs w:val="21"/>
          <w:highlight w:val="none"/>
        </w:rPr>
        <w:t>。</w:t>
      </w:r>
    </w:p>
    <w:p>
      <w:pPr>
        <w:adjustRightInd w:val="0"/>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现文：17．投标文件的签署</w:t>
      </w:r>
      <w:r>
        <w:rPr>
          <w:rFonts w:hint="eastAsia" w:ascii="宋体" w:hAnsi="宋体" w:cs="宋体"/>
          <w:b/>
          <w:color w:val="auto"/>
          <w:szCs w:val="21"/>
          <w:highlight w:val="none"/>
          <w:u w:val="single"/>
        </w:rPr>
        <w:t>及份数</w:t>
      </w:r>
    </w:p>
    <w:p>
      <w:pP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17.1投标人应采用单位数字证书，按招标文件要求在相应位置加盖电子印章。投标文件中需个人签字或盖章的，应加盖个人电子印章或在线下完成后原件扫描上传。按照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交易平台关于全流程电子化项目的相关指南进行操作。详见：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rPr>
        <w:t>。</w:t>
      </w:r>
    </w:p>
    <w:p>
      <w:pPr>
        <w:pBdr>
          <w:bottom w:val="single" w:color="auto" w:sz="4" w:space="0"/>
        </w:pBdr>
        <w:adjustRightInd w:val="0"/>
        <w:snapToGrid w:val="0"/>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u w:val="single"/>
        </w:rPr>
        <w:t>17.2投标文件份数为含电子印章的加密电子投标文件1套。中标人在签订合同前需向招标人另行提供与投标递交的电子标书一致且加盖单位公章的纸质投标文件（含投标人须知11.3列表明细包含的所有工程量清单报价表）4份及电子文件1份（不用生成投标书；包括用Microsoft Excel 软件或广州交易集团有限公司（广州公共资源交易中心）提供的投标书制作软件制作的工程量清单报价表和单价分析表，用 Microsoft Word 软件或广州交易集团有限公司（广州公共资源交易中心）提供的投标书制作软件制作的经济投标文件其他部分。电子文件介质使用CD-R光盘，所有电子文件不能采用压缩处理）。</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18.</w:t>
      </w:r>
      <w:r>
        <w:rPr>
          <w:rFonts w:hint="eastAsia" w:ascii="宋体" w:hAnsi="宋体" w:cs="宋体"/>
          <w:b/>
          <w:color w:val="auto"/>
          <w:szCs w:val="21"/>
          <w:highlight w:val="none"/>
        </w:rPr>
        <w:t>修改类型：修改</w:t>
      </w:r>
    </w:p>
    <w:p>
      <w:pPr>
        <w:adjustRightInd w:val="0"/>
        <w:snapToGrid w:val="0"/>
        <w:spacing w:line="360" w:lineRule="auto"/>
        <w:ind w:firstLine="413" w:firstLineChars="196"/>
        <w:rPr>
          <w:rFonts w:ascii="宋体" w:hAnsi="宋体" w:cs="宋体"/>
          <w:b/>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18．</w:t>
      </w:r>
      <w:r>
        <w:rPr>
          <w:rFonts w:hint="eastAsia" w:ascii="宋体" w:hAnsi="宋体" w:cs="宋体"/>
          <w:color w:val="auto"/>
          <w:szCs w:val="21"/>
          <w:highlight w:val="none"/>
        </w:rPr>
        <w:t>投标文件的密封和标记</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adjustRightInd w:val="0"/>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pBdr>
          <w:bottom w:val="single" w:color="auto" w:sz="6" w:space="1"/>
        </w:pBdr>
        <w:adjustRightInd w:val="0"/>
        <w:snapToGrid w:val="0"/>
        <w:spacing w:line="360" w:lineRule="auto"/>
        <w:ind w:firstLine="422" w:firstLineChars="200"/>
        <w:rPr>
          <w:rFonts w:hint="eastAsia" w:ascii="宋体" w:hAnsi="宋体" w:eastAsia="宋体" w:cs="宋体"/>
          <w:color w:val="auto"/>
          <w:szCs w:val="21"/>
          <w:highlight w:val="none"/>
          <w:u w:val="single"/>
          <w:lang w:eastAsia="zh-CN"/>
        </w:rPr>
      </w:pPr>
      <w:r>
        <w:rPr>
          <w:rFonts w:hint="eastAsia" w:ascii="宋体" w:hAnsi="宋体" w:cs="宋体"/>
          <w:b/>
          <w:color w:val="auto"/>
          <w:szCs w:val="21"/>
          <w:highlight w:val="none"/>
        </w:rPr>
        <w:t>现文：</w:t>
      </w:r>
      <w:r>
        <w:rPr>
          <w:rFonts w:hint="eastAsia" w:ascii="宋体" w:hAnsi="宋体" w:cs="宋体"/>
          <w:color w:val="auto"/>
          <w:szCs w:val="21"/>
          <w:highlight w:val="none"/>
        </w:rPr>
        <w:t>18.1</w:t>
      </w:r>
      <w:r>
        <w:rPr>
          <w:rFonts w:hint="eastAsia" w:ascii="宋体" w:hAnsi="宋体" w:cs="宋体"/>
          <w:bCs/>
          <w:color w:val="auto"/>
          <w:szCs w:val="21"/>
          <w:highlight w:val="none"/>
        </w:rPr>
        <w:t>递交的电子投标文件（不含备用光盘）必须进行加密。按照</w:t>
      </w:r>
      <w:r>
        <w:rPr>
          <w:rFonts w:hint="eastAsia" w:ascii="宋体" w:hAnsi="宋体" w:cs="宋体"/>
          <w:color w:val="auto"/>
          <w:szCs w:val="21"/>
          <w:highlight w:val="none"/>
          <w:u w:val="single"/>
        </w:rPr>
        <w:t>广州交易集团有限公司（广州公共资源交易中心）</w:t>
      </w:r>
      <w:r>
        <w:rPr>
          <w:rFonts w:hint="eastAsia" w:ascii="宋体" w:hAnsi="宋体" w:cs="宋体"/>
          <w:bCs/>
          <w:color w:val="auto"/>
          <w:szCs w:val="21"/>
          <w:highlight w:val="none"/>
        </w:rPr>
        <w:t>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Cs w:val="21"/>
          <w:highlight w:val="none"/>
          <w:u w:val="single"/>
        </w:rPr>
        <w:t>广州交易集团有限公司（广州公共资源交易中心）网站最新指引</w:t>
      </w:r>
      <w:r>
        <w:rPr>
          <w:rFonts w:hint="eastAsia" w:ascii="宋体" w:hAnsi="宋体" w:cs="宋体"/>
          <w:color w:val="auto"/>
          <w:szCs w:val="21"/>
          <w:highlight w:val="none"/>
          <w:u w:val="none"/>
          <w:lang w:eastAsia="zh-CN"/>
        </w:rPr>
        <w:t>。</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18.2未按要求加密的投标文件，</w:t>
      </w:r>
      <w:r>
        <w:rPr>
          <w:rFonts w:hint="eastAsia" w:ascii="宋体" w:hAnsi="宋体" w:cs="宋体"/>
          <w:bCs/>
          <w:color w:val="auto"/>
          <w:szCs w:val="21"/>
          <w:highlight w:val="none"/>
          <w:u w:val="single"/>
        </w:rPr>
        <w:t>广州交易集团有限公司（广州公共资源交易中心）</w:t>
      </w:r>
      <w:r>
        <w:rPr>
          <w:rFonts w:hint="eastAsia" w:ascii="宋体" w:hAnsi="宋体" w:cs="宋体"/>
          <w:bCs/>
          <w:color w:val="auto"/>
          <w:szCs w:val="21"/>
          <w:highlight w:val="none"/>
        </w:rPr>
        <w:t>交易平台将予以拒收。</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条款号：19                          修改类型：修改</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原文：19.投标文件的递交和接收</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现文：19.</w:t>
      </w:r>
      <w:r>
        <w:rPr>
          <w:rFonts w:hint="eastAsia" w:ascii="宋体" w:hAnsi="宋体" w:cs="宋体"/>
          <w:b/>
          <w:color w:val="auto"/>
          <w:szCs w:val="21"/>
          <w:highlight w:val="none"/>
          <w:u w:val="single"/>
        </w:rPr>
        <w:t>投标登记和</w:t>
      </w:r>
      <w:r>
        <w:rPr>
          <w:rFonts w:hint="eastAsia" w:ascii="宋体" w:hAnsi="宋体" w:cs="宋体"/>
          <w:b/>
          <w:color w:val="auto"/>
          <w:szCs w:val="21"/>
          <w:highlight w:val="none"/>
        </w:rPr>
        <w:t>投标文件的递交和接收</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条款号：19.1                        修改类型：修改</w:t>
      </w:r>
    </w:p>
    <w:p>
      <w:pPr>
        <w:adjustRightInd w:val="0"/>
        <w:snapToGrid w:val="0"/>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交易平台递交电子投标文件。</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19.1</w:t>
      </w:r>
      <w:r>
        <w:rPr>
          <w:rFonts w:hint="eastAsia" w:ascii="宋体" w:hAnsi="宋体" w:cs="宋体"/>
          <w:bCs/>
          <w:color w:val="auto"/>
          <w:szCs w:val="21"/>
          <w:highlight w:val="none"/>
        </w:rPr>
        <w:t>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交易平台递交电子投标文件。</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条款号：19.2                       修改类型：修改</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19.2</w:t>
      </w:r>
      <w:r>
        <w:rPr>
          <w:rFonts w:hint="eastAsia" w:ascii="宋体" w:hAnsi="宋体" w:cs="宋体"/>
          <w:bCs/>
          <w:color w:val="auto"/>
          <w:szCs w:val="21"/>
          <w:highlight w:val="none"/>
        </w:rPr>
        <w:t>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条款号：19.3                       修改类型：修改</w:t>
      </w:r>
    </w:p>
    <w:p>
      <w:pPr>
        <w:adjustRightInd w:val="0"/>
        <w:snapToGrid w:val="0"/>
        <w:spacing w:line="360" w:lineRule="auto"/>
        <w:ind w:firstLine="422" w:firstLineChars="200"/>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adjustRightInd w:val="0"/>
        <w:snapToGrid w:val="0"/>
        <w:spacing w:line="360" w:lineRule="auto"/>
        <w:ind w:firstLine="422" w:firstLineChars="20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19.3</w:t>
      </w:r>
      <w:r>
        <w:rPr>
          <w:rFonts w:hint="eastAsia" w:ascii="宋体" w:hAnsi="宋体" w:cs="宋体"/>
          <w:bCs/>
          <w:color w:val="auto"/>
          <w:szCs w:val="21"/>
          <w:highlight w:val="none"/>
        </w:rPr>
        <w:t>逾期送达的电子投标文件，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条款号：19.5                       修改类型：修改</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19.5如技术标和经济标先后分别开启，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19.5</w:t>
      </w:r>
      <w:r>
        <w:rPr>
          <w:rFonts w:hint="eastAsia" w:ascii="宋体" w:hAnsi="宋体" w:cs="宋体"/>
          <w:color w:val="auto"/>
          <w:szCs w:val="21"/>
          <w:highlight w:val="none"/>
          <w:u w:val="single"/>
        </w:rPr>
        <w:t>广州交易集团有限公司（广州公共资源交易中心）交易平台将按招标文件规定的时间同时开启技术标和经济标。</w:t>
      </w:r>
    </w:p>
    <w:p>
      <w:pPr>
        <w:adjustRightInd w:val="0"/>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条款号：20.3                       修改类型：修改</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20.3到投标截止时间止，招标人收到的投标文件少于3家的，招标人将重新组织招标（当N个标段同时招标且不允许兼中时，若有效投标人不足N+2家，则重新组织招标）。</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20.3</w:t>
      </w:r>
      <w:r>
        <w:rPr>
          <w:rFonts w:hint="eastAsia" w:ascii="宋体" w:hAnsi="宋体" w:cs="宋体"/>
          <w:color w:val="auto"/>
          <w:szCs w:val="21"/>
          <w:highlight w:val="none"/>
          <w:u w:val="single"/>
        </w:rPr>
        <w:t>到投标截止时间止，招标人收到的投标文件少于3家的，招标人将重新组织招标。</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条款号：21.1                       修改类型：修改</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交易平台将予以拒收。</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交易平台将予以拒收。</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.1                       修改类型：修改</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rPr>
        <w:t>24.1开标后，直至中标公示为止，凡属于对投标文件的审查、澄清、评价和比较有关的资料以及中标候选人的推荐情况，与评标有关的其他任何情况均严格保密</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val="0"/>
          <w:bCs/>
          <w:color w:val="auto"/>
          <w:szCs w:val="21"/>
          <w:highlight w:val="none"/>
        </w:rPr>
        <w:t>24.1开标后，直至中标公示为止，凡属于对投标文件的审查、澄清、评价和比较有关的资料以及</w:t>
      </w:r>
      <w:r>
        <w:rPr>
          <w:rFonts w:hint="eastAsia" w:ascii="宋体" w:hAnsi="宋体" w:cs="宋体"/>
          <w:color w:val="auto"/>
          <w:szCs w:val="21"/>
          <w:highlight w:val="none"/>
          <w:u w:val="single"/>
        </w:rPr>
        <w:t>合格</w:t>
      </w:r>
      <w:r>
        <w:rPr>
          <w:rFonts w:hint="eastAsia" w:ascii="宋体" w:hAnsi="宋体" w:cs="宋体"/>
          <w:b w:val="0"/>
          <w:bCs/>
          <w:color w:val="auto"/>
          <w:szCs w:val="21"/>
          <w:highlight w:val="none"/>
        </w:rPr>
        <w:t>中标候选人的推荐情况，与评标有关的其他任何情况均严格保密</w:t>
      </w:r>
      <w:r>
        <w:rPr>
          <w:rFonts w:hint="eastAsia" w:ascii="宋体" w:hAnsi="宋体" w:cs="宋体"/>
          <w:color w:val="auto"/>
          <w:szCs w:val="21"/>
          <w:highlight w:val="none"/>
        </w:rPr>
        <w:t>。</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条款号：2</w:t>
      </w:r>
      <w:r>
        <w:rPr>
          <w:rFonts w:hint="eastAsia" w:ascii="宋体" w:hAnsi="宋体" w:cs="宋体"/>
          <w:b/>
          <w:color w:val="auto"/>
          <w:szCs w:val="21"/>
          <w:highlight w:val="none"/>
          <w:lang w:val="en-US" w:eastAsia="zh-CN"/>
        </w:rPr>
        <w:t>4</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                       修改类型：修改</w:t>
      </w:r>
    </w:p>
    <w:p>
      <w:pPr>
        <w:adjustRightInd w:val="0"/>
        <w:snapToGrid w:val="0"/>
        <w:spacing w:line="360" w:lineRule="auto"/>
        <w:ind w:firstLine="472" w:firstLineChars="224"/>
        <w:textAlignment w:val="baseline"/>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rPr>
        <w:t>24.</w:t>
      </w:r>
      <w:r>
        <w:rPr>
          <w:rFonts w:hint="eastAsia" w:ascii="宋体" w:hAnsi="宋体" w:cs="宋体"/>
          <w:b w:val="0"/>
          <w:bCs/>
          <w:color w:val="auto"/>
          <w:szCs w:val="21"/>
          <w:highlight w:val="none"/>
          <w:lang w:val="en-US" w:eastAsia="zh-CN"/>
        </w:rPr>
        <w:t>2在投标文件的评审和比较、中标候选人推荐以及授予合同的过程中，投标人向招标人和评标委员会施加不公正影响的任何行为，都将会导致其投标被拒绝</w:t>
      </w:r>
      <w:r>
        <w:rPr>
          <w:rFonts w:hint="eastAsia" w:ascii="宋体" w:hAnsi="宋体" w:cs="宋体"/>
          <w:color w:val="auto"/>
          <w:szCs w:val="21"/>
          <w:highlight w:val="none"/>
        </w:rPr>
        <w:t>。</w:t>
      </w:r>
    </w:p>
    <w:p>
      <w:pPr>
        <w:pBdr>
          <w:bottom w:val="single" w:color="auto" w:sz="6" w:space="1"/>
        </w:pBdr>
        <w:adjustRightInd w:val="0"/>
        <w:snapToGrid w:val="0"/>
        <w:spacing w:line="360" w:lineRule="auto"/>
        <w:ind w:firstLine="527" w:firstLineChars="250"/>
        <w:textAlignment w:val="baseline"/>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val="0"/>
          <w:bCs/>
          <w:color w:val="auto"/>
          <w:szCs w:val="21"/>
          <w:highlight w:val="none"/>
        </w:rPr>
        <w:t>24.</w:t>
      </w:r>
      <w:r>
        <w:rPr>
          <w:rFonts w:hint="eastAsia" w:ascii="宋体" w:hAnsi="宋体" w:cs="宋体"/>
          <w:b w:val="0"/>
          <w:bCs/>
          <w:color w:val="auto"/>
          <w:szCs w:val="21"/>
          <w:highlight w:val="none"/>
          <w:lang w:val="en-US" w:eastAsia="zh-CN"/>
        </w:rPr>
        <w:t>2在投标文件的评审和比较、</w:t>
      </w:r>
      <w:r>
        <w:rPr>
          <w:rFonts w:hint="eastAsia" w:ascii="宋体" w:hAnsi="宋体" w:cs="宋体"/>
          <w:b w:val="0"/>
          <w:bCs/>
          <w:color w:val="auto"/>
          <w:szCs w:val="21"/>
          <w:highlight w:val="none"/>
          <w:u w:val="single"/>
          <w:lang w:val="en-US" w:eastAsia="zh-CN"/>
        </w:rPr>
        <w:t>合格</w:t>
      </w:r>
      <w:r>
        <w:rPr>
          <w:rFonts w:hint="eastAsia" w:ascii="宋体" w:hAnsi="宋体" w:cs="宋体"/>
          <w:b w:val="0"/>
          <w:bCs/>
          <w:color w:val="auto"/>
          <w:szCs w:val="21"/>
          <w:highlight w:val="none"/>
          <w:lang w:val="en-US" w:eastAsia="zh-CN"/>
        </w:rPr>
        <w:t>中标候选人推荐以及授予合同的过程中，投标人向招标人和评标委员会施加不公正影响的任何行为，都将会导致其投标被拒绝</w:t>
      </w:r>
      <w:r>
        <w:rPr>
          <w:rFonts w:hint="eastAsia" w:ascii="宋体" w:hAnsi="宋体" w:cs="宋体"/>
          <w:color w:val="auto"/>
          <w:szCs w:val="21"/>
          <w:highlight w:val="none"/>
        </w:rPr>
        <w:t>。</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条款号：27.4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交易平台和广东省招标投标监管网公开。</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交易平台和广东省招标投标监管网公开。</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条款号：28.2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28.2中标通知书发出之日起30日后，中标人未按上款的规定与招标人订立合同，招标人将解除中标通知书，</w:t>
      </w:r>
      <w:r>
        <w:rPr>
          <w:rFonts w:hint="eastAsia" w:ascii="宋体" w:hAnsi="宋体" w:cs="宋体"/>
          <w:color w:val="auto"/>
          <w:szCs w:val="21"/>
          <w:highlight w:val="none"/>
          <w:u w:val="single"/>
        </w:rPr>
        <w:t>原中标人依法承担相应法律责任。原中标人给招标人造成的损失，应当对其予以赔偿。</w:t>
      </w:r>
      <w:r>
        <w:rPr>
          <w:rFonts w:hint="eastAsia" w:ascii="宋体" w:hAnsi="宋体" w:cs="宋体"/>
          <w:color w:val="auto"/>
          <w:szCs w:val="21"/>
          <w:highlight w:val="none"/>
        </w:rPr>
        <w:t>原中标人有异议的，可以向人民法院起诉。</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条款号：28.3                        修改类型：修改</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pBdr>
          <w:bottom w:val="single" w:color="auto" w:sz="6" w:space="1"/>
        </w:pBdr>
        <w:adjustRightInd w:val="0"/>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w:t>
      </w:r>
      <w:r>
        <w:rPr>
          <w:rFonts w:hint="eastAsia" w:ascii="宋体" w:hAnsi="宋体" w:cs="宋体"/>
          <w:color w:val="auto"/>
          <w:szCs w:val="21"/>
          <w:highlight w:val="none"/>
          <w:u w:val="single"/>
        </w:rPr>
        <w:t>拨付</w:t>
      </w:r>
      <w:r>
        <w:rPr>
          <w:rFonts w:hint="eastAsia" w:ascii="宋体" w:hAnsi="宋体" w:cs="宋体"/>
          <w:color w:val="auto"/>
          <w:szCs w:val="21"/>
          <w:highlight w:val="none"/>
        </w:rPr>
        <w:t>及至解除合同，由此造成的一切责任由中标人承担。</w:t>
      </w:r>
    </w:p>
    <w:p>
      <w:pPr>
        <w:adjustRightInd w:val="0"/>
        <w:snapToGrid w:val="0"/>
        <w:spacing w:line="360" w:lineRule="auto"/>
        <w:ind w:firstLine="413" w:firstLineChars="196"/>
        <w:contextualSpacing/>
        <w:rPr>
          <w:rFonts w:ascii="宋体" w:hAnsi="宋体" w:cs="宋体"/>
          <w:b/>
          <w:color w:val="auto"/>
          <w:szCs w:val="21"/>
          <w:highlight w:val="none"/>
        </w:rPr>
      </w:pPr>
      <w:r>
        <w:rPr>
          <w:rFonts w:hint="eastAsia" w:ascii="宋体" w:hAnsi="宋体" w:cs="宋体"/>
          <w:b/>
          <w:color w:val="auto"/>
          <w:szCs w:val="21"/>
          <w:highlight w:val="none"/>
        </w:rPr>
        <w:t>条款号：28.5                        修改类型：增加</w:t>
      </w:r>
    </w:p>
    <w:p>
      <w:pPr>
        <w:pBdr>
          <w:bottom w:val="single" w:color="auto" w:sz="6" w:space="1"/>
        </w:pBdr>
        <w:adjustRightInd w:val="0"/>
        <w:snapToGrid w:val="0"/>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28.5如本工程委托代建单位（项目建设管理单位），则可由代建单位作为发包人与中标人签订合同。</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条款号：29.1                        修改类型：修改</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29.1在收到中标通知书后的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29.1</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，中标人应按本须知前附表第20项的规定向招标人提交履约担保。</w:t>
      </w:r>
    </w:p>
    <w:p>
      <w:pPr>
        <w:adjustRightInd w:val="0"/>
        <w:snapToGrid w:val="0"/>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条款号：29.2                        修改类型：修改</w:t>
      </w:r>
    </w:p>
    <w:p>
      <w:pPr>
        <w:adjustRightInd w:val="0"/>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：29.2</w:t>
      </w:r>
      <w:r>
        <w:rPr>
          <w:rFonts w:hint="eastAsia" w:ascii="宋体" w:hAnsi="宋体" w:cs="宋体"/>
          <w:color w:val="auto"/>
          <w:szCs w:val="21"/>
          <w:highlight w:val="none"/>
          <w:u w:val="single"/>
        </w:rPr>
        <w:t>合同正式签订之日后的30日内</w:t>
      </w:r>
      <w:r>
        <w:rPr>
          <w:rFonts w:hint="eastAsia" w:ascii="宋体" w:hAnsi="宋体" w:cs="宋体"/>
          <w:color w:val="auto"/>
          <w:szCs w:val="21"/>
          <w:highlight w:val="none"/>
        </w:rPr>
        <w:t>，中标人未按上款的规定递交履约担保，招标人将解除中标通知书，</w:t>
      </w:r>
      <w:r>
        <w:rPr>
          <w:rFonts w:hint="eastAsia" w:ascii="宋体" w:hAnsi="宋体" w:cs="宋体"/>
          <w:color w:val="auto"/>
          <w:szCs w:val="21"/>
          <w:highlight w:val="none"/>
          <w:u w:val="single"/>
        </w:rPr>
        <w:t>原中标人依法承担相应法律责任。原中标人给招标人造成的损失，还应当予以赔偿</w:t>
      </w:r>
      <w:r>
        <w:rPr>
          <w:rFonts w:hint="eastAsia" w:ascii="宋体" w:hAnsi="宋体" w:cs="宋体"/>
          <w:color w:val="auto"/>
          <w:szCs w:val="21"/>
          <w:highlight w:val="none"/>
        </w:rPr>
        <w:t>。原中标人有异议的，可以向人民法院起诉。</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条款号：31                          修改类型：修改</w:t>
      </w:r>
    </w:p>
    <w:p>
      <w:pPr>
        <w:adjustRightInd w:val="0"/>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原文：31.其它费用</w:t>
      </w:r>
    </w:p>
    <w:p>
      <w:pPr>
        <w:adjustRightInd w:val="0"/>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b/>
          <w:color w:val="auto"/>
          <w:szCs w:val="21"/>
          <w:highlight w:val="none"/>
        </w:rPr>
        <w:t>31.</w:t>
      </w:r>
      <w:r>
        <w:rPr>
          <w:rFonts w:hint="eastAsia" w:ascii="宋体" w:hAnsi="宋体" w:cs="宋体"/>
          <w:b/>
          <w:bCs/>
          <w:color w:val="auto"/>
          <w:szCs w:val="21"/>
          <w:highlight w:val="none"/>
        </w:rPr>
        <w:t>其它费用</w:t>
      </w:r>
    </w:p>
    <w:p>
      <w:pPr>
        <w:pBdr>
          <w:bottom w:val="single" w:color="auto" w:sz="6" w:space="1"/>
        </w:pBdr>
        <w:adjustRightInd w:val="0"/>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rPr>
        <w:t>中标人应交纳交易服务费，该费用包含在投标价中</w:t>
      </w:r>
      <w:r>
        <w:rPr>
          <w:rFonts w:hint="eastAsia" w:ascii="宋体" w:hAnsi="宋体" w:cs="宋体"/>
          <w:color w:val="auto"/>
          <w:szCs w:val="21"/>
          <w:highlight w:val="none"/>
        </w:rPr>
        <w:t>。</w:t>
      </w:r>
    </w:p>
    <w:p>
      <w:pPr>
        <w:adjustRightInd w:val="0"/>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pPr>
        <w:adjustRightInd w:val="0"/>
        <w:snapToGrid w:val="0"/>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pPr>
        <w:rPr>
          <w:color w:val="auto"/>
          <w:highlight w:val="none"/>
        </w:rPr>
      </w:pPr>
    </w:p>
    <w:p>
      <w:pPr>
        <w:pStyle w:val="5"/>
        <w:snapToGrid w:val="0"/>
        <w:spacing w:before="0" w:after="0" w:line="360" w:lineRule="auto"/>
        <w:ind w:left="0"/>
        <w:rPr>
          <w:rFonts w:ascii="宋体" w:hAnsi="宋体" w:cs="宋体"/>
          <w:color w:val="auto"/>
          <w:highlight w:val="none"/>
        </w:rPr>
      </w:pPr>
      <w:r>
        <w:rPr>
          <w:rFonts w:hint="eastAsia" w:ascii="宋体" w:hAnsi="宋体" w:cs="宋体"/>
          <w:color w:val="auto"/>
          <w:highlight w:val="none"/>
        </w:rPr>
        <w:br w:type="page"/>
      </w:r>
      <w:bookmarkStart w:id="4" w:name="_Toc31334"/>
      <w:bookmarkStart w:id="5" w:name="_Toc21525492"/>
      <w:r>
        <w:rPr>
          <w:rFonts w:hint="eastAsia" w:ascii="宋体" w:hAnsi="宋体" w:cs="宋体"/>
          <w:color w:val="auto"/>
          <w:sz w:val="32"/>
          <w:szCs w:val="32"/>
          <w:highlight w:val="none"/>
        </w:rPr>
        <w:t>三、投标须知通用条款</w:t>
      </w:r>
      <w:bookmarkEnd w:id="4"/>
      <w:bookmarkEnd w:id="5"/>
    </w:p>
    <w:p>
      <w:pPr>
        <w:pStyle w:val="7"/>
        <w:snapToGrid w:val="0"/>
        <w:spacing w:before="0" w:beforeAutospacing="0" w:after="0" w:afterAutospacing="0" w:line="360" w:lineRule="auto"/>
        <w:rPr>
          <w:rFonts w:cs="宋体"/>
          <w:color w:val="auto"/>
          <w:sz w:val="21"/>
          <w:szCs w:val="21"/>
          <w:highlight w:val="none"/>
        </w:rPr>
      </w:pPr>
      <w:bookmarkStart w:id="6" w:name="_Toc21525493"/>
      <w:bookmarkStart w:id="7" w:name="_Toc12947"/>
      <w:r>
        <w:rPr>
          <w:rFonts w:hint="eastAsia" w:cs="宋体"/>
          <w:color w:val="auto"/>
          <w:sz w:val="21"/>
          <w:szCs w:val="21"/>
          <w:highlight w:val="none"/>
        </w:rPr>
        <w:t>（一）总则</w:t>
      </w:r>
      <w:bookmarkEnd w:id="6"/>
      <w:bookmarkEnd w:id="7"/>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1、定义</w:t>
      </w:r>
    </w:p>
    <w:p>
      <w:pPr>
        <w:pStyle w:val="29"/>
        <w:snapToGrid w:val="0"/>
        <w:spacing w:after="0" w:line="360" w:lineRule="auto"/>
        <w:ind w:firstLineChars="200"/>
        <w:rPr>
          <w:rFonts w:ascii="宋体" w:hAnsi="宋体" w:cs="宋体"/>
          <w:b/>
          <w:bCs/>
          <w:color w:val="auto"/>
          <w:sz w:val="21"/>
          <w:szCs w:val="21"/>
          <w:highlight w:val="none"/>
        </w:rPr>
      </w:pPr>
      <w:r>
        <w:rPr>
          <w:rFonts w:hint="eastAsia" w:ascii="宋体" w:hAnsi="宋体" w:cs="宋体"/>
          <w:color w:val="auto"/>
          <w:sz w:val="21"/>
          <w:szCs w:val="21"/>
          <w:highlight w:val="none"/>
        </w:rPr>
        <w:t>本招标文件使用的下列词语具有如下规定的意义：</w:t>
      </w:r>
    </w:p>
    <w:p>
      <w:pPr>
        <w:pStyle w:val="29"/>
        <w:snapToGrid w:val="0"/>
        <w:spacing w:after="0" w:line="360" w:lineRule="auto"/>
        <w:ind w:firstLineChars="200"/>
        <w:rPr>
          <w:rFonts w:ascii="宋体" w:hAnsi="宋体" w:cs="宋体"/>
          <w:b/>
          <w:bCs/>
          <w:color w:val="auto"/>
          <w:sz w:val="21"/>
          <w:szCs w:val="21"/>
          <w:highlight w:val="none"/>
          <w:u w:val="single"/>
        </w:rPr>
      </w:pPr>
      <w:r>
        <w:rPr>
          <w:rFonts w:hint="eastAsia" w:ascii="宋体" w:hAnsi="宋体" w:cs="宋体"/>
          <w:color w:val="auto"/>
          <w:sz w:val="21"/>
          <w:szCs w:val="21"/>
          <w:highlight w:val="none"/>
        </w:rPr>
        <w:t>（1）“招标人”（即发包人）、“项目建设管理单位”（或称“项目代建单位”）、“招标代理”、“设计单位”、“监理单位”均已在投标须知前附表中列明。</w:t>
      </w:r>
    </w:p>
    <w:p>
      <w:pPr>
        <w:pStyle w:val="29"/>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（2）“投标人”指向招标人提交投标文件的当事人。</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（3）“承包人”指其投标被招标人接受并与其签订承包合同的当事人。</w:t>
      </w:r>
    </w:p>
    <w:p>
      <w:pPr>
        <w:pStyle w:val="29"/>
        <w:snapToGrid w:val="0"/>
        <w:spacing w:after="0" w:line="360" w:lineRule="auto"/>
        <w:ind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rPr>
        <w:t>（4）“招标文件”指由招标代理发出的本文件（包括全部章节、附件）及招标答疑会会议纪要和</w:t>
      </w:r>
      <w:r>
        <w:rPr>
          <w:rFonts w:hint="eastAsia" w:ascii="宋体" w:hAnsi="宋体" w:cs="宋体"/>
          <w:bCs/>
          <w:color w:val="auto"/>
          <w:sz w:val="21"/>
          <w:szCs w:val="21"/>
          <w:highlight w:val="none"/>
        </w:rPr>
        <w:t>招标文件的澄清与修改</w:t>
      </w:r>
      <w:r>
        <w:rPr>
          <w:rFonts w:hint="eastAsia" w:ascii="宋体" w:hAnsi="宋体" w:cs="宋体"/>
          <w:color w:val="auto"/>
          <w:sz w:val="21"/>
          <w:szCs w:val="21"/>
          <w:highlight w:val="none"/>
        </w:rPr>
        <w:t>文件。</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（5）“投标文件”指投标人根据本项目招标文件向招标人提交的全部文件。</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（6）“书面形式”指打字或印刷的文件和数据电文（包括电报、电传、传真、电子数据交换和电子邮件）。</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2、招标说明</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2.1本招标工程项目按照《中华人民共和国招标投标法》等有关法律、行政法规、规章和规范性文件，通过招标方式选定承包人。</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2.2工程名称、建设地点、建设规模、承包方式、质量标准、招标范围、工期要求等均在投标须知前附表中列明。</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2.3设计说明：详见招标图纸。</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2.4工程施工特点：详见招标图纸。</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3．资金来源</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3.1本招标工程项目资金来源见投标须知前附表第9项</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4．合格投标人的条件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4.1详见本项目招标公告</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5．踏勘现场</w:t>
      </w:r>
    </w:p>
    <w:p>
      <w:pPr>
        <w:snapToGrid w:val="0"/>
        <w:spacing w:line="360" w:lineRule="auto"/>
        <w:ind w:firstLine="420" w:firstLineChars="200"/>
        <w:rPr>
          <w:rFonts w:ascii="宋体" w:hAnsi="宋体" w:cs="宋体"/>
          <w:bCs/>
          <w:color w:val="auto"/>
          <w:szCs w:val="21"/>
          <w:highlight w:val="none"/>
          <w:u w:val="single"/>
        </w:rPr>
      </w:pPr>
      <w:r>
        <w:rPr>
          <w:rFonts w:hint="eastAsia" w:ascii="宋体" w:hAnsi="宋体" w:cs="宋体"/>
          <w:bCs/>
          <w:color w:val="auto"/>
          <w:szCs w:val="21"/>
          <w:highlight w:val="none"/>
        </w:rPr>
        <w:t>5.1 投标人应按本投标须知前附表第15项所述时间和要求对工程现场及周围环境进行踏勘，</w:t>
      </w:r>
      <w:r>
        <w:rPr>
          <w:rFonts w:hint="eastAsia" w:ascii="宋体" w:hAnsi="宋体" w:cs="宋体"/>
          <w:color w:val="auto"/>
          <w:szCs w:val="21"/>
          <w:highlight w:val="none"/>
        </w:rPr>
        <w:t>投标人应充分重视和仔细地进行这种考察，</w:t>
      </w:r>
      <w:r>
        <w:rPr>
          <w:rFonts w:hint="eastAsia" w:ascii="宋体" w:hAnsi="宋体" w:cs="宋体"/>
          <w:bCs/>
          <w:color w:val="auto"/>
          <w:szCs w:val="21"/>
          <w:highlight w:val="none"/>
        </w:rPr>
        <w:t>以便投标人获取</w:t>
      </w:r>
      <w:r>
        <w:rPr>
          <w:rFonts w:hint="eastAsia" w:ascii="宋体" w:hAnsi="宋体" w:cs="宋体"/>
          <w:color w:val="auto"/>
          <w:szCs w:val="21"/>
          <w:highlight w:val="none"/>
        </w:rPr>
        <w:t>那些须投标人自己负责的</w:t>
      </w:r>
      <w:r>
        <w:rPr>
          <w:rFonts w:hint="eastAsia" w:ascii="宋体" w:hAnsi="宋体" w:cs="宋体"/>
          <w:bCs/>
          <w:color w:val="auto"/>
          <w:szCs w:val="21"/>
          <w:highlight w:val="none"/>
        </w:rPr>
        <w:t>有关编制投标文件和签署合同所涉及现场所有的资料。</w:t>
      </w:r>
      <w:r>
        <w:rPr>
          <w:rFonts w:hint="eastAsia" w:ascii="宋体" w:hAnsi="宋体" w:cs="宋体"/>
          <w:color w:val="auto"/>
          <w:szCs w:val="21"/>
          <w:highlight w:val="none"/>
        </w:rPr>
        <w:t>一旦中标，这种考察即被认为其结果已在中标文件中得到充分反映。考察现场的费用由投标人自己承担。</w:t>
      </w:r>
    </w:p>
    <w:p>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5.2 招标人向投标人提供的有关现场的数据和资料，是招标人现有的能被投标人利用的资料，招标人对投标人做出的任何推论、理解和结论均不负责任。</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5.3 经招标人允许，投标人可为踏勘目的进入招标人的项目现场。</w:t>
      </w:r>
      <w:r>
        <w:rPr>
          <w:rFonts w:hint="eastAsia" w:ascii="宋体" w:hAnsi="宋体" w:cs="宋体"/>
          <w:color w:val="auto"/>
          <w:szCs w:val="21"/>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cs="宋体"/>
          <w:bCs/>
          <w:color w:val="auto"/>
          <w:szCs w:val="21"/>
          <w:highlight w:val="none"/>
        </w:rPr>
        <w:t>投标人不得因此使招标人承担有关的责任和蒙受损失。</w:t>
      </w:r>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6．投标费用</w:t>
      </w:r>
    </w:p>
    <w:p>
      <w:pPr>
        <w:tabs>
          <w:tab w:val="left" w:pos="105"/>
        </w:tabs>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6.1</w:t>
      </w:r>
      <w:r>
        <w:rPr>
          <w:rFonts w:hint="eastAsia" w:ascii="宋体" w:hAnsi="宋体" w:cs="宋体"/>
          <w:color w:val="auto"/>
          <w:szCs w:val="21"/>
          <w:highlight w:val="none"/>
        </w:rPr>
        <w:t>不论投标结果如何，投标人应承担</w:t>
      </w:r>
      <w:r>
        <w:rPr>
          <w:rFonts w:hint="eastAsia" w:ascii="宋体" w:hAnsi="宋体" w:cs="宋体"/>
          <w:bCs/>
          <w:color w:val="auto"/>
          <w:szCs w:val="21"/>
          <w:highlight w:val="none"/>
        </w:rPr>
        <w:t>自身</w:t>
      </w:r>
      <w:r>
        <w:rPr>
          <w:rFonts w:hint="eastAsia" w:ascii="宋体" w:hAnsi="宋体" w:cs="宋体"/>
          <w:color w:val="auto"/>
          <w:szCs w:val="21"/>
          <w:highlight w:val="none"/>
        </w:rPr>
        <w:t>因投标文件编制、递交及其他</w:t>
      </w:r>
      <w:r>
        <w:rPr>
          <w:rFonts w:hint="eastAsia" w:ascii="宋体" w:hAnsi="宋体" w:cs="宋体"/>
          <w:bCs/>
          <w:color w:val="auto"/>
          <w:szCs w:val="21"/>
          <w:highlight w:val="none"/>
        </w:rPr>
        <w:t>参加本招标活动</w:t>
      </w:r>
      <w:r>
        <w:rPr>
          <w:rFonts w:hint="eastAsia" w:ascii="宋体" w:hAnsi="宋体" w:cs="宋体"/>
          <w:color w:val="auto"/>
          <w:szCs w:val="21"/>
          <w:highlight w:val="none"/>
        </w:rPr>
        <w:t>所涉及的一切费用，招标人对上述费用不负任何责任。</w:t>
      </w:r>
    </w:p>
    <w:p>
      <w:pPr>
        <w:pStyle w:val="7"/>
        <w:snapToGrid w:val="0"/>
        <w:spacing w:before="0" w:beforeAutospacing="0" w:after="0" w:afterAutospacing="0" w:line="360" w:lineRule="auto"/>
        <w:rPr>
          <w:rFonts w:cs="宋体"/>
          <w:color w:val="auto"/>
          <w:sz w:val="21"/>
          <w:szCs w:val="21"/>
          <w:highlight w:val="none"/>
        </w:rPr>
      </w:pPr>
      <w:bookmarkStart w:id="8" w:name="_Toc21525494"/>
      <w:bookmarkStart w:id="9" w:name="_Toc32111"/>
      <w:r>
        <w:rPr>
          <w:rFonts w:hint="eastAsia" w:cs="宋体"/>
          <w:color w:val="auto"/>
          <w:sz w:val="21"/>
          <w:szCs w:val="21"/>
          <w:highlight w:val="none"/>
        </w:rPr>
        <w:t>（二）招标文件</w:t>
      </w:r>
      <w:bookmarkEnd w:id="8"/>
      <w:bookmarkEnd w:id="9"/>
    </w:p>
    <w:p>
      <w:pPr>
        <w:tabs>
          <w:tab w:val="left" w:pos="105"/>
        </w:tabs>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7.招标文件的组成</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29"/>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第一章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投标须知</w:t>
      </w:r>
    </w:p>
    <w:p>
      <w:pPr>
        <w:pStyle w:val="29"/>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第二章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开标、评标及定标办法</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第三章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合同条款</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第四章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投标文件格式</w:t>
      </w:r>
    </w:p>
    <w:p>
      <w:pPr>
        <w:pStyle w:val="29"/>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第五章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技术条件（工程建设标准）（另册）</w:t>
      </w:r>
    </w:p>
    <w:p>
      <w:pPr>
        <w:pStyle w:val="29"/>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第六章</w:t>
      </w:r>
      <w:r>
        <w:rPr>
          <w:rFonts w:hint="eastAsia" w:ascii="宋体" w:hAnsi="宋体" w:cs="宋体"/>
          <w:bCs/>
          <w:color w:val="auto"/>
          <w:sz w:val="21"/>
          <w:szCs w:val="21"/>
          <w:highlight w:val="none"/>
          <w:lang w:val="en-US" w:eastAsia="zh-CN"/>
        </w:rPr>
        <w:t xml:space="preserve">  </w:t>
      </w:r>
      <w:r>
        <w:rPr>
          <w:rFonts w:hint="eastAsia" w:ascii="宋体" w:hAnsi="宋体" w:cs="宋体"/>
          <w:color w:val="auto"/>
          <w:sz w:val="21"/>
          <w:szCs w:val="21"/>
          <w:highlight w:val="none"/>
        </w:rPr>
        <w:t>图纸及勘察资料（另册）</w:t>
      </w:r>
    </w:p>
    <w:p>
      <w:pPr>
        <w:pStyle w:val="29"/>
        <w:snapToGrid w:val="0"/>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第七章</w:t>
      </w:r>
      <w:r>
        <w:rPr>
          <w:rFonts w:hint="eastAsia" w:ascii="宋体" w:hAnsi="宋体" w:cs="宋体"/>
          <w:bCs/>
          <w:color w:val="auto"/>
          <w:sz w:val="21"/>
          <w:szCs w:val="21"/>
          <w:highlight w:val="none"/>
          <w:lang w:val="en-US" w:eastAsia="zh-CN"/>
        </w:rPr>
        <w:t xml:space="preserve">  </w:t>
      </w:r>
      <w:r>
        <w:rPr>
          <w:rFonts w:hint="eastAsia" w:ascii="宋体" w:hAnsi="宋体" w:cs="宋体"/>
          <w:bCs/>
          <w:color w:val="auto"/>
          <w:sz w:val="21"/>
          <w:szCs w:val="21"/>
          <w:highlight w:val="none"/>
        </w:rPr>
        <w:t>招标</w:t>
      </w:r>
      <w:r>
        <w:rPr>
          <w:rFonts w:hint="eastAsia" w:ascii="宋体" w:hAnsi="宋体" w:cs="宋体"/>
          <w:color w:val="auto"/>
          <w:sz w:val="21"/>
          <w:szCs w:val="21"/>
          <w:highlight w:val="none"/>
        </w:rPr>
        <w:t>工程量清单（另册）</w:t>
      </w:r>
    </w:p>
    <w:p>
      <w:pPr>
        <w:pStyle w:val="29"/>
        <w:snapToGrid w:val="0"/>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第八章</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最高投标限价</w:t>
      </w:r>
    </w:p>
    <w:p>
      <w:pPr>
        <w:pStyle w:val="29"/>
        <w:snapToGrid w:val="0"/>
        <w:spacing w:after="0" w:line="360" w:lineRule="auto"/>
        <w:ind w:left="-2"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2"/>
          <w:highlight w:val="none"/>
        </w:rPr>
        <w:fldChar w:fldCharType="begin"/>
      </w:r>
      <w:r>
        <w:rPr>
          <w:rFonts w:hint="eastAsia" w:ascii="宋体" w:hAnsi="宋体" w:cs="宋体"/>
          <w:b/>
          <w:bCs/>
          <w:color w:val="auto"/>
          <w:sz w:val="22"/>
          <w:highlight w:val="none"/>
        </w:rPr>
        <w:instrText xml:space="preserve"> = 1 \* GB3 </w:instrText>
      </w:r>
      <w:r>
        <w:rPr>
          <w:rFonts w:hint="eastAsia" w:ascii="宋体" w:hAnsi="宋体" w:cs="宋体"/>
          <w:b/>
          <w:bCs/>
          <w:color w:val="auto"/>
          <w:sz w:val="22"/>
          <w:highlight w:val="none"/>
        </w:rPr>
        <w:fldChar w:fldCharType="separate"/>
      </w:r>
      <w:r>
        <w:rPr>
          <w:rFonts w:hint="eastAsia" w:ascii="宋体" w:hAnsi="宋体" w:cs="宋体"/>
          <w:b/>
          <w:bCs/>
          <w:color w:val="auto"/>
          <w:sz w:val="22"/>
          <w:highlight w:val="none"/>
        </w:rPr>
        <w:t>①</w:t>
      </w:r>
      <w:r>
        <w:rPr>
          <w:rFonts w:hint="eastAsia" w:ascii="宋体" w:hAnsi="宋体" w:cs="宋体"/>
          <w:b/>
          <w:bCs/>
          <w:color w:val="auto"/>
          <w:sz w:val="22"/>
          <w:highlight w:val="none"/>
        </w:rPr>
        <w:fldChar w:fldCharType="end"/>
      </w:r>
      <w:r>
        <w:rPr>
          <w:rFonts w:hint="eastAsia" w:ascii="宋体" w:hAnsi="宋体" w:cs="宋体"/>
          <w:b/>
          <w:bCs/>
          <w:color w:val="auto"/>
          <w:sz w:val="22"/>
          <w:highlight w:val="none"/>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w:t>
      </w:r>
      <w:r>
        <w:rPr>
          <w:rFonts w:hint="eastAsia" w:ascii="宋体" w:hAnsi="宋体" w:cs="宋体"/>
          <w:color w:val="auto"/>
          <w:sz w:val="22"/>
          <w:highlight w:val="none"/>
        </w:rPr>
        <w:t>明确施工现场建筑垃圾源头减量的具体要求以及建筑垃圾综合利用产品的使用要求。</w:t>
      </w:r>
      <w:r>
        <w:rPr>
          <w:rFonts w:hint="eastAsia" w:ascii="宋体" w:hAnsi="宋体" w:cs="宋体"/>
          <w:b/>
          <w:bCs/>
          <w:color w:val="auto"/>
          <w:sz w:val="22"/>
          <w:highlight w:val="none"/>
        </w:rPr>
        <w:fldChar w:fldCharType="begin"/>
      </w:r>
      <w:r>
        <w:rPr>
          <w:rFonts w:hint="eastAsia" w:ascii="宋体" w:hAnsi="宋体" w:cs="宋体"/>
          <w:b/>
          <w:bCs/>
          <w:color w:val="auto"/>
          <w:sz w:val="22"/>
          <w:highlight w:val="none"/>
        </w:rPr>
        <w:instrText xml:space="preserve"> = 2 \* GB3 </w:instrText>
      </w:r>
      <w:r>
        <w:rPr>
          <w:rFonts w:hint="eastAsia" w:ascii="宋体" w:hAnsi="宋体" w:cs="宋体"/>
          <w:b/>
          <w:bCs/>
          <w:color w:val="auto"/>
          <w:sz w:val="22"/>
          <w:highlight w:val="none"/>
        </w:rPr>
        <w:fldChar w:fldCharType="separate"/>
      </w:r>
      <w:r>
        <w:rPr>
          <w:rFonts w:hint="eastAsia" w:ascii="宋体" w:hAnsi="宋体" w:cs="宋体"/>
          <w:b/>
          <w:bCs/>
          <w:color w:val="auto"/>
          <w:sz w:val="22"/>
          <w:highlight w:val="none"/>
        </w:rPr>
        <w:t>②</w:t>
      </w:r>
      <w:r>
        <w:rPr>
          <w:rFonts w:hint="eastAsia" w:ascii="宋体" w:hAnsi="宋体" w:cs="宋体"/>
          <w:b/>
          <w:bCs/>
          <w:color w:val="auto"/>
          <w:sz w:val="22"/>
          <w:highlight w:val="none"/>
        </w:rPr>
        <w:fldChar w:fldCharType="end"/>
      </w:r>
      <w:r>
        <w:rPr>
          <w:rFonts w:hint="eastAsia" w:ascii="宋体" w:hAnsi="宋体" w:cs="宋体"/>
          <w:b/>
          <w:bCs/>
          <w:color w:val="auto"/>
          <w:sz w:val="22"/>
          <w:highlight w:val="none"/>
        </w:rPr>
        <w:t>鼓励招标人对施工组织设计或施工方案实行隐藏投标人信息的暗标评审</w:t>
      </w:r>
      <w:r>
        <w:rPr>
          <w:rFonts w:hint="eastAsia" w:ascii="宋体" w:hAnsi="宋体" w:cs="宋体"/>
          <w:b/>
          <w:bCs/>
          <w:color w:val="auto"/>
          <w:sz w:val="21"/>
          <w:szCs w:val="21"/>
          <w:highlight w:val="none"/>
        </w:rPr>
        <w:t>。</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7.3 投标人一旦中标，招标文件的内容对招标人和中标人双方均有约束力。</w:t>
      </w:r>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8．招标答疑</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8.1 投标人若对招标文件（包括招标图纸）中有疑问，可以书面形式通过</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交易平台提交给招标人或招标代理人，提交形式见本须知前附表第16项。</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8.2招标答疑会会议纪要将在提交投标文件截止时间15日前在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8.3答疑会会议纪要为招标文件的一部分。</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8.4若招标答疑会会议纪要与招标文件有矛盾，以答疑会议纪要最后发出的书面形式的文件为准。</w:t>
      </w:r>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9.招标文件的澄清与修改</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9.1招标文件发出后</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在提交投标文件截止时间15日前，招标人可对招标文件进行必要的澄清或修改。</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9.2招标文件的澄清或修改将在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交易平台“项目答疑纪要”专区公开发布。答疑纪要一经在</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交易平台发布，视作已发放给所有投标人，以</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交易平台上网发布时间作为送达时间。</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9.3招标文件的修改内容为招标文件的组成部分。</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9.4招标文件的澄清或修改均以书面形式明确的内容为准。当招标文件的澄清、修改、补充等在同一内容的表述不一致时，以最后发出的书面形式的文件为准。</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7"/>
        <w:snapToGrid w:val="0"/>
        <w:spacing w:before="0" w:beforeAutospacing="0" w:after="0" w:afterAutospacing="0" w:line="360" w:lineRule="auto"/>
        <w:rPr>
          <w:rFonts w:cs="宋体"/>
          <w:color w:val="auto"/>
          <w:sz w:val="21"/>
          <w:szCs w:val="21"/>
          <w:highlight w:val="none"/>
        </w:rPr>
      </w:pPr>
      <w:bookmarkStart w:id="10" w:name="_Toc21525495"/>
      <w:bookmarkStart w:id="11" w:name="_Toc32542"/>
      <w:r>
        <w:rPr>
          <w:rFonts w:hint="eastAsia" w:cs="宋体"/>
          <w:color w:val="auto"/>
          <w:sz w:val="21"/>
          <w:szCs w:val="21"/>
          <w:highlight w:val="none"/>
        </w:rPr>
        <w:t>（三）投标文件的编制</w:t>
      </w:r>
      <w:bookmarkEnd w:id="10"/>
      <w:bookmarkEnd w:id="11"/>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10．投标文件的语言及度量衡单位</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10.1 投标文件和与投标有关的所有文件均应使用中文。</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10.2 除工程规范另有规定外，投标文件使用的度量衡单位，均采用中华人民共和国法定计量单位。</w:t>
      </w:r>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11．投标文件的组成</w:t>
      </w:r>
    </w:p>
    <w:p>
      <w:pPr>
        <w:pStyle w:val="29"/>
        <w:snapToGrid w:val="0"/>
        <w:spacing w:after="0" w:line="360" w:lineRule="auto"/>
        <w:ind w:firstLineChars="200"/>
        <w:rPr>
          <w:rFonts w:ascii="宋体" w:hAnsi="宋体" w:cs="宋体"/>
          <w:b/>
          <w:color w:val="auto"/>
          <w:sz w:val="21"/>
          <w:szCs w:val="21"/>
          <w:highlight w:val="none"/>
        </w:rPr>
      </w:pPr>
      <w:r>
        <w:rPr>
          <w:rFonts w:hint="eastAsia" w:ascii="宋体" w:hAnsi="宋体" w:cs="宋体"/>
          <w:color w:val="auto"/>
          <w:sz w:val="21"/>
          <w:szCs w:val="21"/>
          <w:highlight w:val="none"/>
        </w:rPr>
        <w:t>11.1 投标文件由技术部分（含资格审查文件）和经济部分二部分投标文件组成</w:t>
      </w:r>
      <w:r>
        <w:rPr>
          <w:rFonts w:hint="eastAsia" w:ascii="宋体" w:hAnsi="宋体" w:cs="宋体"/>
          <w:b/>
          <w:color w:val="auto"/>
          <w:sz w:val="21"/>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11.2投标文件技术标部分主要包括下列内容:</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（1）投标人声明；</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（5）建筑施工企业安全生产许可证扫描件或电子证照；</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（8）拟委派技术负责人的相关证书、资料（具体要求由招标人明确；）</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（9）拟委派项目负责人的有效期内的建造师注册证书扫描件或电子证书；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（10）项目负责人在有效期内的安全生产考核合格证书（B类）或建筑施工企业项目负责人安全生产考核合格证书扫描件或电子证书；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（11）专职安全员须具有在有效期内的安全生产考核合格证书（C类）或建筑施工企业专职安全生产管理人员安全生产考核合格证书扫描件或电子证书；</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（12）用于资格审查的业绩（设置业绩要求时选择此项，投标人须提供类似工程业绩的项目名称及项目编号，具体格式由招标人自定）；</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（14）列明主办单位的联合体工作协议（采用联合体投标时需递交，投标人拟任本工程项目负责人应为联合体主办方信用档案中的在册人员，联合体工作协议应明确约定各方拟承担的工作和责任）。</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注：1.相关电子证书按规定需打印后手写本人签名的，应按照规定手写本人签名后再扫描提交。</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11.2.3项目管理机构配备。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（1）投标人应列出该项目工程的施工组织机构构成和画出机构框架图及其负责人；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（2）投标人应详细列出该施工组织机构中主要成员的名单、简历资料、职务职称和在本项目中拟担任的职务等资料，并附上有关证明材料扫描件；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（3）其他辅助说明资料。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11.2.4投标人在广州市可使用适合本工程的机械设备（附：机械设备为自有或租赁的说明；及承诺机械设备如属于租赁的，其租赁是不属于重复租赁）。</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11.2.5施工组织设计或施工方案。</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（1）投标人在编制施工组织设计或施工方案时应按照招标人提出的施工现场建筑垃圾源头减量的具体要求以及建筑垃圾综合利用产品的使用要求提供相应措施。</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11.2.6按照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填写的《参与编制技术标投标文件人员名单》。</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11.3 经济部分投标文件主要包括下列内容：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（1）投标总价封面、扉页；</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（2）总说明</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（9）综合单价分析表；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（11）暂列金额明细表；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（14）计日工表；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（15）总承包服务计价表；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snapToGrid w:val="0"/>
        <w:spacing w:line="360" w:lineRule="auto"/>
        <w:ind w:firstLine="495" w:firstLineChars="236"/>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w:t>
      </w:r>
      <w:r>
        <w:rPr>
          <w:rFonts w:hint="eastAsia" w:ascii="宋体" w:hAnsi="宋体" w:cs="宋体"/>
          <w:bCs/>
          <w:color w:val="auto"/>
          <w:szCs w:val="21"/>
          <w:highlight w:val="none"/>
        </w:rPr>
        <w:t>招标文件要求</w:t>
      </w:r>
      <w:r>
        <w:rPr>
          <w:rFonts w:hint="eastAsia" w:ascii="宋体" w:hAnsi="宋体" w:cs="宋体"/>
          <w:color w:val="auto"/>
          <w:szCs w:val="21"/>
          <w:highlight w:val="none"/>
        </w:rPr>
        <w:t>填写的《参与编制经济标投标文件人员名单》。</w:t>
      </w:r>
    </w:p>
    <w:p>
      <w:pPr>
        <w:tabs>
          <w:tab w:val="left" w:pos="1125"/>
        </w:tabs>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12．投标文件格式</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12.1 投标文件包括本须知第11条中规定的内容，投标人提交的投标文件应当使用招标文件所提供的投标文件全部格式（表格可以按同样格式扩展）。</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注释：投标文件电子文档需要投标人单位盖章的材料，投标人加盖电子印章即可，不得将投标人未对电子文档加盖实物印章作为否决投标的情形。</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12.3 </w:t>
      </w:r>
      <w:r>
        <w:rPr>
          <w:rFonts w:hint="eastAsia" w:ascii="宋体" w:hAnsi="宋体" w:cs="宋体"/>
          <w:bCs/>
          <w:color w:val="auto"/>
          <w:sz w:val="21"/>
          <w:szCs w:val="21"/>
          <w:highlight w:val="none"/>
        </w:rPr>
        <w:t>投标文件应按</w:t>
      </w:r>
      <w:r>
        <w:rPr>
          <w:rFonts w:hint="eastAsia" w:ascii="宋体" w:hAnsi="宋体" w:cs="宋体"/>
          <w:color w:val="auto"/>
          <w:sz w:val="21"/>
          <w:szCs w:val="21"/>
          <w:highlight w:val="none"/>
        </w:rPr>
        <w:t>照交易平台关于全流程电子化项目的相关指南进行编制，详见：</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pPr>
        <w:pStyle w:val="29"/>
        <w:snapToGrid w:val="0"/>
        <w:spacing w:after="0" w:line="360" w:lineRule="auto"/>
        <w:ind w:firstLine="0"/>
        <w:rPr>
          <w:rFonts w:ascii="宋体" w:hAnsi="宋体" w:cs="宋体"/>
          <w:color w:val="auto"/>
          <w:sz w:val="21"/>
          <w:szCs w:val="21"/>
          <w:highlight w:val="none"/>
        </w:rPr>
      </w:pPr>
      <w:r>
        <w:rPr>
          <w:rFonts w:hint="eastAsia" w:ascii="宋体" w:hAnsi="宋体" w:cs="宋体"/>
          <w:bCs/>
          <w:color w:val="auto"/>
          <w:sz w:val="21"/>
          <w:szCs w:val="21"/>
          <w:highlight w:val="none"/>
        </w:rPr>
        <w:t>如不按上述要求编制引起系统无法检索、读取相关信息的，其后果由投标人承担。</w:t>
      </w:r>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13．投标报价及造价承包和变更结算方式</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13.1 本工程的投标报价采用投标须知前附表第12项所规定的方式。投标报价（含单价及总价）精确到“分”。</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13.5.1中标的投标文件工程量清单中已有相同项目的适用综合单价，则沿用；</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13.5.3 中标的投标文件工程量清单中没有相同项目或类似项目的，如可套取相关定额，则以相关定额为基数下浮计算单价,下浮率为中标价相对于最高投标限价的下浮率（下浮率=(最高投标限价-中标价)/ 最高投标限价）。</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13.5.4 如相关定额没有相应子目的，其计价方式由招标人在本招标文件第三章中另行规定。未规定的，中标后双方协商约定。</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13.6暂列金额、暂估价</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暂估价是指招标人在工程量清单中提供的用于支付必然发生但暂时不能确定价格的材料的单价以及专业工程的金额。</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13.9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14．投标货币</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14.1 本工程投标报价采用的币种为人民币。</w:t>
      </w:r>
    </w:p>
    <w:p>
      <w:pPr>
        <w:pStyle w:val="29"/>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15．投标有效期</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15.1 投标有效期见投标须知前附表第13项所规定的期限，在此期限内，凡符合本招标文件要求的投标文件均保持有效。</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16．投标保证金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16.1投标人应按投标须知前附表第14项所述金额和时间递交</w:t>
      </w:r>
      <w:r>
        <w:rPr>
          <w:rFonts w:hint="eastAsia" w:ascii="宋体" w:hAnsi="宋体" w:cs="宋体"/>
          <w:bCs/>
          <w:color w:val="auto"/>
          <w:szCs w:val="21"/>
          <w:highlight w:val="none"/>
        </w:rPr>
        <w:t>投标保证金</w:t>
      </w:r>
      <w:r>
        <w:rPr>
          <w:rFonts w:hint="eastAsia" w:ascii="宋体" w:hAnsi="宋体" w:cs="宋体"/>
          <w:color w:val="auto"/>
          <w:szCs w:val="21"/>
          <w:highlight w:val="none"/>
        </w:rPr>
        <w:t>。招标人应当允许投标人自主选择现金、银行保函、保证保险、专业工程担保公司担保等方式缴纳投标保证金。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16.1.1 采用现金或者支票形式提交的，投标保证金须从投标人的银行基本账户转出。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16.1.3 采用电子形式的保函、担保或保证保险提交投标保证金的，应在招标文件中明确电子递交途径。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16.2开标时投标人没有按要求提供投标保证金的，其投标文件将被否决；未按招标文件要求提交符合免予提供投标保证金相关证明材料，且未提交投标保证金的投标人，视为未按要求提供投标保证金。</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16.3投标保证金应依据法律法规的相关规定退还。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16.4如有下列情况之一的，招标人可以不予退还投标保证金（是否退还投标保证金由招标人在招标文件中规定）：</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16.5投标人如存在下列情况之一的，将被拒绝在一定时期内参与招标人后续工程投标（拒绝时限需在招标文件中明确）：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16.5.1投标人存在16.4条款所列情形且投标人提交的保函、担保或保证保险无法兑付的；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16.5.2采用非电子形式提交投标保证金的投标人存在16.4条款所列情形，且未按招标人要求补交银行保函、专业工程担保公司担保或保证保险原件的；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16.5.3按招标文件要求免于提供投标保证金的投标人存在16.4条款所列情形，且未按招标人要求补交投标保证金的；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16.5.3按招标文件要求免于提供投标保证金的投标人存在16.4条款所列情形的。</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注：16.5.3款由招标人二选一，需在招标文件中明确。</w:t>
      </w:r>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17．投标文件的签署</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w:t>
      </w:r>
    </w:p>
    <w:p>
      <w:pPr>
        <w:pStyle w:val="7"/>
        <w:snapToGrid w:val="0"/>
        <w:spacing w:before="0" w:beforeAutospacing="0" w:after="0" w:afterAutospacing="0" w:line="360" w:lineRule="auto"/>
        <w:rPr>
          <w:rFonts w:cs="宋体"/>
          <w:color w:val="auto"/>
          <w:sz w:val="21"/>
          <w:szCs w:val="21"/>
          <w:highlight w:val="none"/>
        </w:rPr>
      </w:pPr>
      <w:bookmarkStart w:id="12" w:name="_Toc21525496"/>
      <w:bookmarkStart w:id="13" w:name="_Toc24057"/>
      <w:r>
        <w:rPr>
          <w:rFonts w:hint="eastAsia" w:cs="宋体"/>
          <w:color w:val="auto"/>
          <w:sz w:val="21"/>
          <w:szCs w:val="21"/>
          <w:highlight w:val="none"/>
        </w:rPr>
        <w:t>（四）投标文件的提交</w:t>
      </w:r>
      <w:bookmarkEnd w:id="12"/>
      <w:bookmarkEnd w:id="13"/>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18．</w:t>
      </w:r>
      <w:r>
        <w:rPr>
          <w:rFonts w:hint="eastAsia" w:ascii="宋体" w:hAnsi="宋体" w:cs="宋体"/>
          <w:b/>
          <w:color w:val="auto"/>
          <w:sz w:val="21"/>
          <w:szCs w:val="21"/>
          <w:highlight w:val="none"/>
        </w:rPr>
        <w:t>投标文件的密封和标记</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18.1递交的电子投标文件（不含备用光盘）必须进行加密。按照交易平台关于</w:t>
      </w:r>
      <w:r>
        <w:rPr>
          <w:rFonts w:hint="eastAsia" w:ascii="宋体" w:hAnsi="宋体" w:cs="宋体"/>
          <w:color w:val="auto"/>
          <w:szCs w:val="21"/>
          <w:highlight w:val="none"/>
        </w:rPr>
        <w:t>全流程电子化项目的相关指南进行操作。详见：</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18.2 未按要求加密的投标文件，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w:t>
      </w:r>
      <w:r>
        <w:rPr>
          <w:rFonts w:hint="eastAsia" w:ascii="宋体" w:hAnsi="宋体" w:cs="宋体"/>
          <w:bCs/>
          <w:color w:val="auto"/>
          <w:szCs w:val="21"/>
          <w:highlight w:val="none"/>
        </w:rPr>
        <w:t>将予以拒收。</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19．投标文件的递交和接收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19.1投标人通过</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交易平台递交电子投标文件。</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19.2投标人完成电子</w:t>
      </w:r>
      <w:r>
        <w:rPr>
          <w:rFonts w:hint="eastAsia" w:ascii="宋体" w:hAnsi="宋体" w:cs="宋体"/>
          <w:color w:val="auto"/>
          <w:szCs w:val="21"/>
          <w:highlight w:val="none"/>
        </w:rPr>
        <w:t>投标文件</w:t>
      </w:r>
      <w:r>
        <w:rPr>
          <w:rFonts w:hint="eastAsia" w:ascii="宋体" w:hAnsi="宋体" w:cs="宋体"/>
          <w:bCs/>
          <w:color w:val="auto"/>
          <w:szCs w:val="21"/>
          <w:highlight w:val="none"/>
        </w:rPr>
        <w:t>上传后，</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交易平台即时向投标人发出递交回执通知。递交时间以递交回执通知载明的传输完成时间为准。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19.3逾期送达的电子投标文件，</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交易平台将予以拒收。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交易平台将按招标文件规定的时间分别开启技术标和经济标。</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20．投标文件提交的截止时间</w:t>
      </w:r>
    </w:p>
    <w:p>
      <w:pPr>
        <w:snapToGrid w:val="0"/>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20.1投标人应在投标须知前附表第17项所述的时间前提交投标文件。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20.3 到投标截止时间止，招标人收到的投标文件少于3家的，招标人将重新组织招标（当N个标段同时招标且不允许兼中时，若有效投标人不足N+2家，则重新组织招标）。</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21．迟交的投标文件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 xml:space="preserve">后送达的电子投标文件，        </w:t>
      </w:r>
      <w:r>
        <w:rPr>
          <w:rFonts w:hint="eastAsia" w:ascii="宋体" w:hAnsi="宋体" w:cs="宋体"/>
          <w:color w:val="auto"/>
          <w:szCs w:val="21"/>
          <w:highlight w:val="none"/>
        </w:rPr>
        <w:t>交易平台将予以拒收。</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22．投标文件的修改与撤回</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22.1在规定的投标截止时间前，投标人可以修改或撤回已递交的投标文件，但应以书面形式通知招标人。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22.2投标人修改或撤回已递交的投标文件，需在交易平台发出修改或撤回通知，并按要求加盖电子印章。</w:t>
      </w:r>
      <w:r>
        <w:rPr>
          <w:rFonts w:hint="eastAsia" w:ascii="宋体" w:hAnsi="宋体" w:cs="宋体"/>
          <w:bCs/>
          <w:iCs/>
          <w:color w:val="auto"/>
          <w:szCs w:val="21"/>
          <w:highlight w:val="none"/>
        </w:rPr>
        <w:t>电子招标投标交易平台收到通知后，</w:t>
      </w:r>
      <w:r>
        <w:rPr>
          <w:rFonts w:hint="eastAsia" w:ascii="宋体" w:hAnsi="宋体" w:cs="宋体"/>
          <w:color w:val="auto"/>
          <w:szCs w:val="21"/>
          <w:highlight w:val="none"/>
        </w:rPr>
        <w:t>即时向投标人发出确认回执通知。</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22.3修改后再次递交的，按19点的规定执行。</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22.4 在投标截止时间之后，投标人不得补充、修改和更换投标文件。</w:t>
      </w:r>
    </w:p>
    <w:p>
      <w:pPr>
        <w:pStyle w:val="7"/>
        <w:snapToGrid w:val="0"/>
        <w:spacing w:before="0" w:beforeAutospacing="0" w:after="0" w:afterAutospacing="0" w:line="360" w:lineRule="auto"/>
        <w:rPr>
          <w:rFonts w:cs="宋体"/>
          <w:color w:val="auto"/>
          <w:sz w:val="21"/>
          <w:szCs w:val="21"/>
          <w:highlight w:val="none"/>
        </w:rPr>
      </w:pPr>
      <w:bookmarkStart w:id="14" w:name="_Toc13732"/>
      <w:bookmarkStart w:id="15" w:name="_Toc21525497"/>
      <w:r>
        <w:rPr>
          <w:rFonts w:hint="eastAsia" w:cs="宋体"/>
          <w:color w:val="auto"/>
          <w:sz w:val="21"/>
          <w:szCs w:val="21"/>
          <w:highlight w:val="none"/>
        </w:rPr>
        <w:t>（五）开标、评标、定标及合同签定</w:t>
      </w:r>
      <w:bookmarkEnd w:id="14"/>
      <w:bookmarkEnd w:id="15"/>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23、开标。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详见第二章开标、评标及定标办法</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24．评标过程的保密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24.1 开标后，直至中标公示为止，凡属于对投标文件的审查、澄清、评价和比较有关的资料以及中标候选人的推荐情况，与评标有关的其他任何情况均严格保密。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24.2 在投标文件的评审和比较、中标候选人推荐以及授予合同的过程中，投标人向招标人和评标委员会施加不公正影响的任何行为，都将会导致其投标被拒绝。</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25．投标文件的澄清，计算错误的修正</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详见招标文件第二章开标、评标及定标办法</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26．投标文件的评审、比较和否决</w:t>
      </w:r>
    </w:p>
    <w:p>
      <w:pPr>
        <w:snapToGrid w:val="0"/>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详见招标文件第二章开标、评标及定标办法。</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27．中标通知书</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27.1招标人将在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27.2招标人应当自确定中标人后，向招标投标监管机构提交招标投标情况的书面报告；经招投标监管机构备案后，方可发出中标通知书。</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27.3中标人必须在收到中标通知书后24小时之内以书面形式回复招标人，确认收到。</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sz w:val="21"/>
          <w:szCs w:val="21"/>
          <w:highlight w:val="none"/>
          <w:u w:val="single"/>
        </w:rPr>
        <w:t xml:space="preserve">        </w:t>
      </w:r>
      <w:r>
        <w:rPr>
          <w:rFonts w:hint="eastAsia" w:ascii="宋体" w:hAnsi="宋体" w:cs="宋体"/>
          <w:color w:val="auto"/>
          <w:szCs w:val="21"/>
          <w:highlight w:val="none"/>
        </w:rPr>
        <w:t>交易平台和广东省招标投标监管网公开。</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28．合同协议书的签订</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28.1 招标人与中标人将于中标通知书发出之日起30日内，按照招标文件和中标人的投标文件商定和签订合同，招标人和中标人不得再行订立背离合同实质性内容的其他协议。</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28.3非经招标人同意，中标人在投标过程中使用的银行名称及帐号至完成竣工结算不得变更，否则招标人有权停止工程款项的拔付及至解除合同，由此造成的一切责任由中标人承担。</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28.4招标人支付工程款时，中标人应按规定开具发票。</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29．履约担保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29.1 在收到中标通知书后的</w:t>
      </w:r>
      <w:r>
        <w:rPr>
          <w:rFonts w:hint="eastAsia" w:ascii="宋体" w:hAnsi="宋体" w:cs="宋体"/>
          <w:b/>
          <w:color w:val="auto"/>
          <w:szCs w:val="21"/>
          <w:highlight w:val="none"/>
        </w:rPr>
        <w:t>15日</w:t>
      </w:r>
      <w:r>
        <w:rPr>
          <w:rFonts w:hint="eastAsia" w:ascii="宋体" w:hAnsi="宋体" w:cs="宋体"/>
          <w:color w:val="auto"/>
          <w:szCs w:val="21"/>
          <w:highlight w:val="none"/>
        </w:rPr>
        <w:t>内，中标人应按本须知前附表第20项的规定向招标人提交履约担保。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30．合同生效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30.1在合同双方全权代表在合同协议书上签字，并分别加盖双方单位的公章后，合同正式生效。</w:t>
      </w:r>
    </w:p>
    <w:p>
      <w:pPr>
        <w:snapToGrid w:val="0"/>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31．其它费用</w:t>
      </w:r>
    </w:p>
    <w:p>
      <w:pPr>
        <w:pStyle w:val="29"/>
        <w:snapToGrid w:val="0"/>
        <w:spacing w:after="0" w:line="360" w:lineRule="auto"/>
        <w:ind w:firstLine="422" w:firstLineChars="200"/>
        <w:rPr>
          <w:rFonts w:ascii="宋体" w:hAnsi="宋体" w:cs="宋体"/>
          <w:b/>
          <w:bCs/>
          <w:color w:val="auto"/>
          <w:sz w:val="21"/>
          <w:szCs w:val="21"/>
          <w:highlight w:val="none"/>
        </w:rPr>
      </w:pPr>
      <w:r>
        <w:rPr>
          <w:rFonts w:hint="eastAsia" w:ascii="宋体" w:hAnsi="宋体" w:cs="宋体"/>
          <w:b/>
          <w:bCs/>
          <w:color w:val="auto"/>
          <w:sz w:val="21"/>
          <w:szCs w:val="21"/>
          <w:highlight w:val="none"/>
        </w:rPr>
        <w:t>32．腐败与欺诈行为</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在招标和合同实施期间，招标人要求投标人和承包人遵守最高的道德标准。</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32．1对本条款的规定，特定义如下词汇：</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1）、“腐败行为”是指在招标或合同执行期间，通过提供、给予、接受或索要任何有价值的东西，从而影响招标人有关人员工作的行为；</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32．2如果投标人被认定在本招标的竞争中有腐败或欺诈行为，则会被取消投标资格。</w:t>
      </w:r>
    </w:p>
    <w:p>
      <w:pPr>
        <w:pStyle w:val="29"/>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32.3投标人如在本项目中存在串通投标、弄虚作假骗取中标、行贿情形的，中标无效，行政监督部门将对其违法行为进行政处罚。该投标人将被招标人列入黑名单并限制其参与招标人后续项目的投标。</w:t>
      </w:r>
    </w:p>
    <w:p>
      <w:pPr>
        <w:rPr>
          <w:color w:val="auto"/>
          <w:highlight w:val="none"/>
        </w:rPr>
      </w:pPr>
    </w:p>
    <w:p>
      <w:pPr>
        <w:pStyle w:val="3"/>
        <w:snapToGrid w:val="0"/>
        <w:spacing w:before="0" w:after="0"/>
        <w:jc w:val="center"/>
        <w:rPr>
          <w:rFonts w:ascii="宋体" w:hAnsi="宋体" w:cs="宋体"/>
          <w:color w:val="auto"/>
          <w:sz w:val="32"/>
          <w:szCs w:val="32"/>
          <w:highlight w:val="none"/>
        </w:rPr>
      </w:pPr>
      <w:r>
        <w:rPr>
          <w:rFonts w:hint="eastAsia" w:ascii="宋体" w:hAnsi="宋体" w:cs="宋体"/>
          <w:color w:val="auto"/>
          <w:sz w:val="24"/>
          <w:szCs w:val="24"/>
          <w:highlight w:val="none"/>
        </w:rPr>
        <w:br w:type="page"/>
      </w:r>
      <w:bookmarkStart w:id="16" w:name="_Toc12835"/>
      <w:r>
        <w:rPr>
          <w:rFonts w:hint="eastAsia" w:ascii="宋体" w:hAnsi="宋体" w:cs="宋体"/>
          <w:bCs/>
          <w:color w:val="auto"/>
          <w:sz w:val="32"/>
          <w:szCs w:val="32"/>
          <w:highlight w:val="none"/>
        </w:rPr>
        <w:t>第二章</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开标、评标及定标办法</w:t>
      </w:r>
      <w:bookmarkEnd w:id="16"/>
    </w:p>
    <w:p>
      <w:pPr>
        <w:pStyle w:val="5"/>
        <w:snapToGrid w:val="0"/>
        <w:spacing w:before="0" w:after="0" w:line="360" w:lineRule="auto"/>
        <w:ind w:left="0"/>
        <w:rPr>
          <w:rFonts w:ascii="宋体" w:hAnsi="宋体" w:cs="宋体"/>
          <w:color w:val="auto"/>
          <w:sz w:val="32"/>
          <w:szCs w:val="32"/>
          <w:highlight w:val="none"/>
        </w:rPr>
      </w:pPr>
      <w:bookmarkStart w:id="17" w:name="_Toc20882"/>
      <w:r>
        <w:rPr>
          <w:rFonts w:hint="eastAsia" w:ascii="宋体" w:hAnsi="宋体" w:cs="宋体"/>
          <w:color w:val="auto"/>
          <w:sz w:val="32"/>
          <w:szCs w:val="32"/>
          <w:highlight w:val="none"/>
        </w:rPr>
        <w:t>一、开标、评标及定标办法修改表</w:t>
      </w:r>
      <w:bookmarkEnd w:id="17"/>
    </w:p>
    <w:p>
      <w:pPr>
        <w:pStyle w:val="29"/>
        <w:snapToGrid w:val="0"/>
        <w:spacing w:after="0"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声明：本开标、评标及定标办法使用GZZB2018-3招标文件范本的开标、评标及定标办法通用条款，与该通用条款不同之处，均在本表中列明，并以现文为准，原文不再有效。本招标文件中不再转录开标、评标及定标办法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Fonts w:hint="eastAsia" w:ascii="宋体" w:hAnsi="宋体" w:cs="宋体"/>
          <w:b/>
          <w:color w:val="auto"/>
          <w:sz w:val="21"/>
          <w:szCs w:val="21"/>
          <w:highlight w:val="none"/>
        </w:rPr>
        <w:t>http://zfcj.gz.gov.cn/</w:t>
      </w:r>
      <w:r>
        <w:rPr>
          <w:rStyle w:val="36"/>
          <w:rFonts w:hint="eastAsia" w:ascii="宋体" w:hAnsi="宋体" w:cs="宋体"/>
          <w:b/>
          <w:color w:val="auto"/>
          <w:sz w:val="21"/>
          <w:szCs w:val="21"/>
          <w:highlight w:val="none"/>
          <w:u w:val="none"/>
        </w:rPr>
        <w:t>）下载GZZB2018-3</w:t>
      </w:r>
      <w:r>
        <w:rPr>
          <w:rStyle w:val="36"/>
          <w:rFonts w:hint="eastAsia" w:ascii="宋体" w:hAnsi="宋体" w:cs="宋体"/>
          <w:b/>
          <w:color w:val="auto"/>
          <w:sz w:val="21"/>
          <w:szCs w:val="21"/>
          <w:highlight w:val="none"/>
          <w:u w:val="none"/>
        </w:rPr>
        <w:fldChar w:fldCharType="end"/>
      </w:r>
      <w:r>
        <w:rPr>
          <w:rFonts w:hint="eastAsia" w:ascii="宋体" w:hAnsi="宋体" w:cs="宋体"/>
          <w:b/>
          <w:color w:val="auto"/>
          <w:sz w:val="21"/>
          <w:szCs w:val="21"/>
          <w:highlight w:val="none"/>
        </w:rPr>
        <w:t>范本查阅。</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条款号：36.1            修改类型：修改</w:t>
      </w:r>
    </w:p>
    <w:p>
      <w:pPr>
        <w:snapToGrid w:val="0"/>
        <w:spacing w:line="360" w:lineRule="auto"/>
        <w:ind w:firstLine="495" w:firstLineChars="23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napToGrid w:val="0"/>
        <w:spacing w:line="360" w:lineRule="auto"/>
        <w:ind w:firstLine="424" w:firstLineChars="201"/>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r>
        <w:rPr>
          <w:rFonts w:hint="eastAsia" w:ascii="宋体" w:hAnsi="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val="0"/>
        <w:spacing w:line="336"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条款号：36.3                              修改类型：删除</w:t>
      </w:r>
    </w:p>
    <w:p>
      <w:pPr>
        <w:keepNext w:val="0"/>
        <w:keepLines w:val="0"/>
        <w:pageBreakBefore w:val="0"/>
        <w:widowControl w:val="0"/>
        <w:pBdr>
          <w:bottom w:val="single" w:color="auto" w:sz="6" w:space="1"/>
        </w:pBdr>
        <w:kinsoku/>
        <w:wordWrap/>
        <w:overflowPunct/>
        <w:topLinePunct w:val="0"/>
        <w:autoSpaceDE/>
        <w:autoSpaceDN/>
        <w:bidi w:val="0"/>
        <w:adjustRightInd/>
        <w:snapToGrid w:val="0"/>
        <w:spacing w:line="336"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根据投标须知前附表第19项，如需抽取某一种评标办法供评标时使用的，应在开标前抽取。首先对招标文件中约定的若干种评标方法进行编号，再随机抽取某一编号，该编号所对应的评标办法供评标时使用。</w:t>
      </w:r>
    </w:p>
    <w:p>
      <w:pPr>
        <w:pStyle w:val="6"/>
        <w:keepNext w:val="0"/>
        <w:keepLines w:val="0"/>
        <w:pageBreakBefore w:val="0"/>
        <w:widowControl w:val="0"/>
        <w:kinsoku/>
        <w:wordWrap/>
        <w:overflowPunct/>
        <w:topLinePunct w:val="0"/>
        <w:autoSpaceDE/>
        <w:autoSpaceDN/>
        <w:bidi w:val="0"/>
        <w:adjustRightInd/>
        <w:snapToGrid w:val="0"/>
        <w:spacing w:line="336" w:lineRule="auto"/>
        <w:textAlignment w:val="auto"/>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pPr>
        <w:keepNext w:val="0"/>
        <w:keepLines w:val="0"/>
        <w:pageBreakBefore w:val="0"/>
        <w:widowControl w:val="0"/>
        <w:kinsoku/>
        <w:wordWrap/>
        <w:overflowPunct/>
        <w:topLinePunct w:val="0"/>
        <w:autoSpaceDE/>
        <w:autoSpaceDN/>
        <w:bidi w:val="0"/>
        <w:adjustRightInd/>
        <w:snapToGrid w:val="0"/>
        <w:spacing w:line="336"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36.4若递交投标文件的投标人不足3家，则重新组织招标。（当N个标段同时招标且不允许兼中时，若有效投标人不足N+2家，则重新组织招标）</w:t>
      </w:r>
    </w:p>
    <w:p>
      <w:pPr>
        <w:keepNext w:val="0"/>
        <w:keepLines w:val="0"/>
        <w:pageBreakBefore w:val="0"/>
        <w:widowControl w:val="0"/>
        <w:pBdr>
          <w:bottom w:val="single" w:color="auto" w:sz="6" w:space="1"/>
        </w:pBdr>
        <w:kinsoku/>
        <w:wordWrap/>
        <w:overflowPunct/>
        <w:topLinePunct w:val="0"/>
        <w:autoSpaceDE/>
        <w:autoSpaceDN/>
        <w:bidi w:val="0"/>
        <w:adjustRightInd/>
        <w:snapToGrid w:val="0"/>
        <w:spacing w:line="336" w:lineRule="auto"/>
        <w:ind w:firstLine="422" w:firstLineChars="20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36.4若递交投标文件的投标人不足3家，则重新组织招标。</w:t>
      </w:r>
    </w:p>
    <w:p>
      <w:pPr>
        <w:keepNext w:val="0"/>
        <w:keepLines w:val="0"/>
        <w:pageBreakBefore w:val="0"/>
        <w:widowControl w:val="0"/>
        <w:kinsoku/>
        <w:wordWrap/>
        <w:overflowPunct/>
        <w:topLinePunct w:val="0"/>
        <w:autoSpaceDE/>
        <w:autoSpaceDN/>
        <w:bidi w:val="0"/>
        <w:adjustRightInd/>
        <w:snapToGrid w:val="0"/>
        <w:spacing w:line="336"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条款号：36.5.1                      修改类型：修改</w:t>
      </w:r>
    </w:p>
    <w:p>
      <w:pPr>
        <w:keepNext w:val="0"/>
        <w:keepLines w:val="0"/>
        <w:pageBreakBefore w:val="0"/>
        <w:widowControl w:val="0"/>
        <w:kinsoku/>
        <w:wordWrap/>
        <w:overflowPunct/>
        <w:topLinePunct w:val="0"/>
        <w:autoSpaceDE/>
        <w:autoSpaceDN/>
        <w:bidi w:val="0"/>
        <w:adjustRightInd/>
        <w:snapToGrid w:val="0"/>
        <w:spacing w:line="336"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交易平台对已递交的电子投标文件进行解密。投标人完成解密后，再由招标人进行解密。解密完成后，公布招标项目名称、投标人名称、投标保证金的递交情况、投标报价、工期及其他内容；</w:t>
      </w:r>
    </w:p>
    <w:p>
      <w:pPr>
        <w:keepNext w:val="0"/>
        <w:keepLines w:val="0"/>
        <w:pageBreakBefore w:val="0"/>
        <w:widowControl w:val="0"/>
        <w:pBdr>
          <w:bottom w:val="single" w:color="auto" w:sz="6" w:space="1"/>
        </w:pBdr>
        <w:kinsoku/>
        <w:wordWrap/>
        <w:overflowPunct/>
        <w:topLinePunct w:val="0"/>
        <w:autoSpaceDE/>
        <w:autoSpaceDN/>
        <w:bidi w:val="0"/>
        <w:adjustRightInd/>
        <w:snapToGrid w:val="0"/>
        <w:spacing w:line="336" w:lineRule="auto"/>
        <w:ind w:firstLine="527" w:firstLineChars="250"/>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36.5.1在投标截止时间后一个小时内，投标人通过</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进行解密。解密完成后，公布招标项目名称、投标人名称、投标报价、工期及其他内容；</w:t>
      </w:r>
    </w:p>
    <w:p>
      <w:pPr>
        <w:keepNext w:val="0"/>
        <w:keepLines w:val="0"/>
        <w:pageBreakBefore w:val="0"/>
        <w:widowControl w:val="0"/>
        <w:kinsoku/>
        <w:wordWrap/>
        <w:overflowPunct/>
        <w:topLinePunct w:val="0"/>
        <w:autoSpaceDE/>
        <w:autoSpaceDN/>
        <w:bidi w:val="0"/>
        <w:adjustRightInd/>
        <w:snapToGrid w:val="0"/>
        <w:spacing w:line="336" w:lineRule="auto"/>
        <w:ind w:firstLine="472" w:firstLineChars="224"/>
        <w:textAlignment w:val="auto"/>
        <w:rPr>
          <w:rFonts w:ascii="宋体" w:hAnsi="宋体" w:cs="宋体"/>
          <w:b/>
          <w:color w:val="auto"/>
          <w:szCs w:val="21"/>
          <w:highlight w:val="none"/>
        </w:rPr>
      </w:pPr>
      <w:r>
        <w:rPr>
          <w:rFonts w:hint="eastAsia" w:ascii="宋体" w:hAnsi="宋体" w:cs="宋体"/>
          <w:b/>
          <w:color w:val="auto"/>
          <w:szCs w:val="21"/>
          <w:highlight w:val="none"/>
        </w:rPr>
        <w:t>条款号：36.5.3                      修改类型：修改</w:t>
      </w:r>
    </w:p>
    <w:p>
      <w:pPr>
        <w:keepNext w:val="0"/>
        <w:keepLines w:val="0"/>
        <w:pageBreakBefore w:val="0"/>
        <w:widowControl w:val="0"/>
        <w:kinsoku/>
        <w:wordWrap/>
        <w:overflowPunct/>
        <w:topLinePunct w:val="0"/>
        <w:autoSpaceDE/>
        <w:autoSpaceDN/>
        <w:bidi w:val="0"/>
        <w:adjustRightInd/>
        <w:snapToGrid w:val="0"/>
        <w:spacing w:line="336" w:lineRule="auto"/>
        <w:ind w:firstLine="472" w:firstLineChars="224"/>
        <w:textAlignment w:val="auto"/>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pPr>
        <w:keepNext w:val="0"/>
        <w:keepLines w:val="0"/>
        <w:pageBreakBefore w:val="0"/>
        <w:widowControl w:val="0"/>
        <w:pBdr>
          <w:bottom w:val="single" w:color="auto" w:sz="6" w:space="1"/>
        </w:pBdr>
        <w:kinsoku/>
        <w:wordWrap/>
        <w:overflowPunct/>
        <w:topLinePunct w:val="0"/>
        <w:autoSpaceDE/>
        <w:autoSpaceDN/>
        <w:bidi w:val="0"/>
        <w:adjustRightInd/>
        <w:snapToGrid w:val="0"/>
        <w:spacing w:line="336" w:lineRule="auto"/>
        <w:ind w:firstLine="424" w:firstLineChars="201"/>
        <w:textAlignment w:val="auto"/>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r>
        <w:rPr>
          <w:rFonts w:hint="eastAsia" w:ascii="宋体" w:hAnsi="宋体" w:cs="宋体"/>
          <w:color w:val="auto"/>
          <w:szCs w:val="21"/>
          <w:highlight w:val="none"/>
          <w:u w:val="single"/>
        </w:rPr>
        <w:t>若投标人不参加开标会的，或不签字确认的，视同该投标人认可开标结果；</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条款号：37.2修改类型：增加</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37.2评标委员会在开始评标前，应了解评标专家的职责及守则，认真阅读附表七《评标委员会成员声明》的内容并签名，签字后方可进行评标。</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条款号：37.2</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 w:val="0"/>
          <w:bCs/>
          <w:color w:val="auto"/>
          <w:szCs w:val="21"/>
          <w:highlight w:val="none"/>
        </w:rPr>
        <w:t>37.2.2向招标人报告评审意见，推荐合格的中标候选人</w:t>
      </w:r>
      <w:r>
        <w:rPr>
          <w:rFonts w:hint="eastAsia" w:ascii="宋体" w:hAnsi="宋体" w:cs="宋体"/>
          <w:color w:val="auto"/>
          <w:szCs w:val="21"/>
          <w:highlight w:val="none"/>
        </w:rPr>
        <w:t>。</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val="0"/>
          <w:bCs/>
          <w:color w:val="auto"/>
          <w:szCs w:val="21"/>
          <w:highlight w:val="none"/>
        </w:rPr>
        <w:t>37.2.2向招标人报告评审意见，</w:t>
      </w:r>
      <w:r>
        <w:rPr>
          <w:rFonts w:hint="eastAsia" w:ascii="宋体" w:hAnsi="宋体" w:cs="宋体"/>
          <w:b w:val="0"/>
          <w:bCs/>
          <w:color w:val="auto"/>
          <w:szCs w:val="21"/>
          <w:highlight w:val="none"/>
          <w:u w:val="single"/>
        </w:rPr>
        <w:t>评标委员会按照总得分的排序推荐</w:t>
      </w:r>
      <w:r>
        <w:rPr>
          <w:rFonts w:hint="eastAsia" w:ascii="宋体" w:hAnsi="宋体" w:cs="宋体"/>
          <w:b/>
          <w:bCs w:val="0"/>
          <w:color w:val="auto"/>
          <w:szCs w:val="21"/>
          <w:highlight w:val="none"/>
          <w:u w:val="single"/>
        </w:rPr>
        <w:t>前7名（不足7名的，则推荐全部有效的投标人为合格中标候选人）</w:t>
      </w:r>
      <w:r>
        <w:rPr>
          <w:rFonts w:hint="eastAsia" w:ascii="宋体" w:hAnsi="宋体" w:cs="宋体"/>
          <w:b w:val="0"/>
          <w:bCs/>
          <w:color w:val="auto"/>
          <w:szCs w:val="21"/>
          <w:highlight w:val="none"/>
          <w:u w:val="single"/>
        </w:rPr>
        <w:t>不排序的合格中标候选人进入定标阶段【按统一社会信用代码后4位（除校验码外）大小排位，如统一社会信用代码后4位出现字母情况的，字母以“0”进行代替大小排位；如出现后4位（除校验码外）大小一致的，则随机排位（联合体投标的，按联合体主办方的统一社会信用代码排位）】</w:t>
      </w:r>
      <w:r>
        <w:rPr>
          <w:rFonts w:hint="eastAsia" w:ascii="宋体" w:hAnsi="宋体" w:cs="宋体"/>
          <w:color w:val="auto"/>
          <w:szCs w:val="21"/>
          <w:highlight w:val="none"/>
        </w:rPr>
        <w:t>。</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条款号：38.1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38.1为有助于投标文件的审查、评价和比较，评标期间，经评标委员会或评标委员会专业评审组中两人以上（含两人）</w:t>
      </w:r>
      <w:r>
        <w:rPr>
          <w:rFonts w:hint="eastAsia" w:ascii="宋体" w:hAnsi="宋体" w:cs="宋体"/>
          <w:color w:val="auto"/>
          <w:szCs w:val="21"/>
          <w:highlight w:val="none"/>
          <w:u w:val="single"/>
        </w:rPr>
        <w:t>的成员</w:t>
      </w:r>
      <w:r>
        <w:rPr>
          <w:rFonts w:hint="eastAsia" w:ascii="宋体" w:hAnsi="宋体" w:cs="宋体"/>
          <w:color w:val="auto"/>
          <w:szCs w:val="21"/>
          <w:highlight w:val="none"/>
        </w:rPr>
        <w:t>以书面形式提出动议，评标委员会或评标委员会专业评审组应当书面发出澄清通知，要求投标人对投标文件含义不明确</w:t>
      </w:r>
      <w:r>
        <w:rPr>
          <w:rFonts w:hint="eastAsia" w:ascii="宋体" w:hAnsi="宋体" w:cs="宋体"/>
          <w:color w:val="auto"/>
          <w:szCs w:val="21"/>
          <w:highlight w:val="none"/>
          <w:u w:val="single"/>
        </w:rPr>
        <w:t>、对同类问题表述不一致、有明显文字和计算错误的内容以及细微偏差</w:t>
      </w:r>
      <w:r>
        <w:rPr>
          <w:rFonts w:hint="eastAsia" w:ascii="宋体" w:hAnsi="宋体" w:cs="宋体"/>
          <w:color w:val="auto"/>
          <w:szCs w:val="21"/>
          <w:highlight w:val="none"/>
        </w:rPr>
        <w:t>的内容作出澄清。</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条款号：38.</w:t>
      </w:r>
      <w:r>
        <w:rPr>
          <w:rFonts w:hint="eastAsia" w:ascii="宋体" w:hAnsi="宋体" w:cs="宋体"/>
          <w:b/>
          <w:color w:val="auto"/>
          <w:szCs w:val="21"/>
          <w:highlight w:val="none"/>
          <w:lang w:val="en-US" w:eastAsia="zh-CN"/>
        </w:rPr>
        <w:t>5</w:t>
      </w:r>
      <w:r>
        <w:rPr>
          <w:rFonts w:hint="eastAsia" w:ascii="宋体" w:hAnsi="宋体" w:cs="宋体"/>
          <w:b/>
          <w:color w:val="auto"/>
          <w:szCs w:val="21"/>
          <w:highlight w:val="none"/>
        </w:rPr>
        <w:t xml:space="preserve">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38.</w:t>
      </w:r>
      <w:r>
        <w:rPr>
          <w:rFonts w:hint="eastAsia" w:ascii="宋体" w:hAnsi="宋体" w:cs="宋体"/>
          <w:color w:val="auto"/>
          <w:szCs w:val="21"/>
          <w:highlight w:val="none"/>
          <w:lang w:val="en-US" w:eastAsia="zh-CN"/>
        </w:rPr>
        <w:t>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r>
        <w:rPr>
          <w:rFonts w:hint="eastAsia" w:ascii="宋体" w:hAnsi="宋体" w:cs="宋体"/>
          <w:color w:val="auto"/>
          <w:szCs w:val="21"/>
          <w:highlight w:val="none"/>
        </w:rPr>
        <w:t>。</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38.</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u w:val="single"/>
          <w:lang w:val="en-US" w:eastAsia="zh-CN"/>
        </w:rPr>
        <w:t>投标人如在本项目中存在串通投标、弄虚作假、行贿情形且在评标或定标过程中未被发现的，该投标不改变本项目评标结果排序，若在定标过程中被确定为中标人，其中标无效，招标人可从其他合格中标候选人中采用原定标办法，由原定标委员会重新确定中标人，也可以重新招标</w:t>
      </w:r>
      <w:r>
        <w:rPr>
          <w:rFonts w:hint="eastAsia" w:ascii="宋体" w:hAnsi="宋体" w:cs="宋体"/>
          <w:color w:val="auto"/>
          <w:szCs w:val="21"/>
          <w:highlight w:val="none"/>
        </w:rPr>
        <w:t>。</w:t>
      </w:r>
    </w:p>
    <w:p>
      <w:pPr>
        <w:snapToGrid w:val="0"/>
        <w:spacing w:line="360" w:lineRule="auto"/>
        <w:ind w:firstLine="472" w:firstLineChars="224"/>
        <w:rPr>
          <w:rFonts w:hint="eastAsia" w:ascii="宋体" w:hAnsi="宋体" w:eastAsia="宋体" w:cs="宋体"/>
          <w:color w:val="auto"/>
          <w:sz w:val="24"/>
          <w:szCs w:val="24"/>
          <w:highlight w:val="none"/>
          <w:lang w:eastAsia="zh-CN"/>
        </w:rPr>
      </w:pPr>
      <w:r>
        <w:rPr>
          <w:rFonts w:hint="eastAsia" w:ascii="宋体" w:hAnsi="宋体" w:cs="宋体"/>
          <w:b/>
          <w:color w:val="auto"/>
          <w:szCs w:val="21"/>
          <w:highlight w:val="none"/>
        </w:rPr>
        <w:t xml:space="preserve">条款号：39                    </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eastAsia="zh-CN"/>
        </w:rPr>
        <w:t>删除</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ascii="宋体" w:hAnsi="宋体" w:cs="宋体"/>
          <w:b/>
          <w:bCs/>
          <w:color w:val="auto"/>
          <w:szCs w:val="21"/>
          <w:highlight w:val="none"/>
        </w:rPr>
        <w:t>39．定标</w:t>
      </w:r>
    </w:p>
    <w:p>
      <w:pPr>
        <w:pBdr>
          <w:bottom w:val="single" w:color="auto" w:sz="6" w:space="1"/>
        </w:pBdr>
        <w:snapToGrid w:val="0"/>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39.1招标人根据评标委员会递交的评标报告，最终审定中标人。</w:t>
      </w:r>
    </w:p>
    <w:p>
      <w:pPr>
        <w:pBdr>
          <w:bottom w:val="single" w:color="auto" w:sz="6" w:space="1"/>
        </w:pBdr>
        <w:snapToGrid w:val="0"/>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39.2依法必须进行公开招标的项目，招标人应当确定排名第一的中标候选人为中标人。</w:t>
      </w:r>
    </w:p>
    <w:p>
      <w:pPr>
        <w:pBdr>
          <w:bottom w:val="single" w:color="auto" w:sz="6" w:space="1"/>
        </w:pBdr>
        <w:snapToGrid w:val="0"/>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napToGrid w:val="0"/>
        <w:spacing w:line="360" w:lineRule="auto"/>
        <w:ind w:firstLine="470" w:firstLineChars="224"/>
        <w:rPr>
          <w:rFonts w:hint="eastAsia" w:ascii="宋体" w:hAnsi="宋体" w:cs="宋体"/>
          <w:bCs/>
          <w:color w:val="auto"/>
          <w:szCs w:val="21"/>
          <w:highlight w:val="none"/>
        </w:rPr>
      </w:pPr>
      <w:r>
        <w:rPr>
          <w:rFonts w:hint="eastAsia" w:ascii="宋体" w:hAnsi="宋体" w:cs="宋体"/>
          <w:bCs/>
          <w:color w:val="auto"/>
          <w:szCs w:val="21"/>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Cs/>
          <w:color w:val="auto"/>
          <w:szCs w:val="21"/>
          <w:highlight w:val="none"/>
        </w:rPr>
        <w:t>39.5重新评标的，评标信息（含业绩、奖项等）仍以投标截止时投标人的信息为准。因特殊原因需要延长投标有效期，投标人拒绝延长投标有效期的，仍参与评标，但不被推荐为中标候选人。</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条款号：</w:t>
      </w:r>
      <w:r>
        <w:rPr>
          <w:rFonts w:hint="eastAsia" w:ascii="宋体" w:hAnsi="宋体" w:cs="宋体"/>
          <w:b/>
          <w:bCs/>
          <w:color w:val="auto"/>
          <w:szCs w:val="21"/>
          <w:highlight w:val="none"/>
        </w:rPr>
        <w:t>（二）开标评标办法程序和细则</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注</w:t>
      </w:r>
      <w:r>
        <w:rPr>
          <w:rFonts w:hint="eastAsia" w:ascii="宋体" w:hAnsi="宋体" w:cs="宋体"/>
          <w:b/>
          <w:bCs/>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注：以下</w:t>
      </w:r>
      <w:r>
        <w:rPr>
          <w:rFonts w:hint="eastAsia" w:ascii="宋体" w:hAnsi="宋体" w:cs="宋体"/>
          <w:color w:val="auto"/>
          <w:szCs w:val="21"/>
          <w:highlight w:val="none"/>
          <w:lang w:eastAsia="zh-CN"/>
        </w:rPr>
        <w:t>八</w:t>
      </w:r>
      <w:r>
        <w:rPr>
          <w:rFonts w:hint="eastAsia" w:ascii="宋体" w:hAnsi="宋体" w:cs="宋体"/>
          <w:color w:val="auto"/>
          <w:szCs w:val="21"/>
          <w:highlight w:val="none"/>
        </w:rPr>
        <w:t>种评标办法所述企业综合诚信评价分数即投标截止当日广州市工程招标代理行业协会网站上公布的企业综合诚信评价60日诚信分。</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（二）开标评标办法程序和细则</w:t>
      </w:r>
    </w:p>
    <w:p>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strike/>
          <w:color w:val="auto"/>
          <w:szCs w:val="21"/>
          <w:highlight w:val="none"/>
        </w:rPr>
        <w:t>注：以下</w:t>
      </w:r>
      <w:r>
        <w:rPr>
          <w:rFonts w:hint="eastAsia" w:ascii="宋体" w:hAnsi="宋体" w:cs="宋体"/>
          <w:strike/>
          <w:color w:val="auto"/>
          <w:szCs w:val="21"/>
          <w:highlight w:val="none"/>
          <w:lang w:eastAsia="zh-CN"/>
        </w:rPr>
        <w:t>八</w:t>
      </w:r>
      <w:r>
        <w:rPr>
          <w:rFonts w:hint="eastAsia" w:ascii="宋体" w:hAnsi="宋体" w:cs="宋体"/>
          <w:strike/>
          <w:color w:val="auto"/>
          <w:szCs w:val="21"/>
          <w:highlight w:val="none"/>
        </w:rPr>
        <w:t>种评标办法所述企业综合诚信评价分数即投标截止当日广州市工程招标代理行业协会网站上公布的企业综合诚信评价60日诚信分。</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可选办法一（适合综合评分法一，技术标与经济标先后分别开启）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可选办法二（适合综合评分法一，技术标与经济标同时开启）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可选办法三（适合综合评分法二，技术标与经济标先后分别开启）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可选办法四（适合综合评分法二，技术标与经济标同时开启）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可选办法五（适合综合评分法三，技术标与经济标先后分别开启）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可选办法六（适合综合评分法三，技术标与经济标同时开启）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可选办法七（适合综合评分法四，技术标与经济标同时开启）</w:t>
      </w:r>
      <w:r>
        <w:rPr>
          <w:rFonts w:hint="eastAsia" w:ascii="宋体" w:hAnsi="宋体" w:cs="宋体"/>
          <w:b/>
          <w:color w:val="auto"/>
          <w:szCs w:val="21"/>
          <w:highlight w:val="none"/>
        </w:rPr>
        <w:t>修改类型：修改</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综合评分法</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 w:val="21"/>
          <w:szCs w:val="21"/>
          <w:highlight w:val="none"/>
        </w:rPr>
        <w:t>可选办法八</w:t>
      </w:r>
      <w:r>
        <w:rPr>
          <w:rFonts w:hint="eastAsia" w:ascii="宋体" w:hAnsi="宋体" w:cs="宋体"/>
          <w:color w:val="auto"/>
          <w:sz w:val="18"/>
          <w:szCs w:val="18"/>
          <w:highlight w:val="none"/>
        </w:rPr>
        <w:t>（适合经评审的最低投标价法，技术标与经济标同时开启）</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详见</w:t>
      </w:r>
      <w:r>
        <w:rPr>
          <w:rFonts w:hint="eastAsia" w:ascii="宋体" w:hAnsi="宋体" w:cs="宋体"/>
          <w:bCs/>
          <w:color w:val="auto"/>
          <w:szCs w:val="21"/>
          <w:highlight w:val="none"/>
        </w:rPr>
        <w:t>最新版广州市建设工程施工公开招标项目招标文件范本（适用于资格后审综合评分法、经评审的最低投标价法的施工电子招标项目）GZZB2018-3</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lang w:eastAsia="zh-CN"/>
        </w:rPr>
        <w:t>条款号：</w:t>
      </w:r>
      <w:r>
        <w:rPr>
          <w:rFonts w:hint="eastAsia" w:ascii="宋体" w:hAnsi="宋体" w:cs="宋体"/>
          <w:b/>
          <w:color w:val="auto"/>
          <w:szCs w:val="21"/>
          <w:highlight w:val="none"/>
          <w:lang w:val="en-US" w:eastAsia="zh-CN"/>
        </w:rPr>
        <w:t>40                          修改类型：修改</w:t>
      </w:r>
    </w:p>
    <w:p>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lang w:eastAsia="zh-CN"/>
        </w:rPr>
        <w:t>原文：</w:t>
      </w:r>
      <w:r>
        <w:rPr>
          <w:rFonts w:hint="eastAsia" w:ascii="宋体" w:hAnsi="宋体" w:cs="宋体"/>
          <w:b/>
          <w:color w:val="auto"/>
          <w:szCs w:val="21"/>
          <w:highlight w:val="none"/>
        </w:rPr>
        <w:t>40．开标和评标程序</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40.1技术标（含资格审查文件）与经济标投标文件同时公开开标；</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40.2由评标委员会对所有已公开开标的投标人进行资格审查；</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40.3技术标投标文件有效性审查；</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40.4技术标详细审查评分；</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40.5经济标详细审查评分；</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40.6评标委员会按照投标人总得分由高至低排序；</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40.7经济标投标文件有效性审查；</w:t>
      </w:r>
    </w:p>
    <w:p>
      <w:pPr>
        <w:pBdr>
          <w:bottom w:val="single" w:color="auto" w:sz="6" w:space="1"/>
        </w:pBdr>
        <w:snapToGrid w:val="0"/>
        <w:spacing w:line="360" w:lineRule="auto"/>
        <w:ind w:firstLine="470" w:firstLineChars="224"/>
        <w:rPr>
          <w:rFonts w:ascii="宋体" w:hAnsi="宋体" w:cs="宋体"/>
          <w:bCs/>
          <w:color w:val="auto"/>
          <w:szCs w:val="21"/>
          <w:highlight w:val="none"/>
        </w:rPr>
      </w:pPr>
      <w:r>
        <w:rPr>
          <w:rFonts w:hint="eastAsia" w:ascii="宋体" w:hAnsi="宋体" w:cs="宋体"/>
          <w:b w:val="0"/>
          <w:bCs/>
          <w:color w:val="auto"/>
          <w:szCs w:val="21"/>
          <w:highlight w:val="none"/>
        </w:rPr>
        <w:t>40.8评标委员会按排序向招标人推荐中标候选人名单，并递交资格审查报告及评标报告。</w:t>
      </w:r>
    </w:p>
    <w:p>
      <w:pPr>
        <w:pBdr>
          <w:bottom w:val="single" w:color="auto" w:sz="6" w:space="1"/>
        </w:pBdr>
        <w:snapToGrid w:val="0"/>
        <w:spacing w:line="360" w:lineRule="auto"/>
        <w:ind w:firstLine="472" w:firstLineChars="224"/>
        <w:rPr>
          <w:rFonts w:hint="eastAsia" w:ascii="宋体" w:hAnsi="宋体" w:cs="宋体"/>
          <w:b/>
          <w:color w:val="auto"/>
          <w:szCs w:val="21"/>
          <w:highlight w:val="none"/>
        </w:rPr>
      </w:pPr>
      <w:r>
        <w:rPr>
          <w:rFonts w:hint="eastAsia" w:ascii="宋体" w:hAnsi="宋体" w:cs="宋体"/>
          <w:b/>
          <w:color w:val="auto"/>
          <w:szCs w:val="21"/>
          <w:highlight w:val="none"/>
          <w:lang w:eastAsia="zh-CN"/>
        </w:rPr>
        <w:t>现文：</w:t>
      </w:r>
      <w:r>
        <w:rPr>
          <w:rFonts w:hint="eastAsia" w:ascii="宋体" w:hAnsi="宋体" w:cs="宋体"/>
          <w:b/>
          <w:color w:val="auto"/>
          <w:szCs w:val="21"/>
          <w:highlight w:val="none"/>
        </w:rPr>
        <w:t>40．开标和评标程序</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40.1技术标（含资格审查文件）与经济标投标文件同时公开开标；</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40.2</w:t>
      </w:r>
      <w:r>
        <w:rPr>
          <w:rFonts w:hint="eastAsia" w:ascii="宋体" w:hAnsi="宋体" w:cs="宋体"/>
          <w:b/>
          <w:bCs w:val="0"/>
          <w:color w:val="auto"/>
          <w:szCs w:val="21"/>
          <w:highlight w:val="none"/>
          <w:u w:val="single"/>
        </w:rPr>
        <w:t>现场答辩：由评标委员会对所有已公开开标的投标人进行答辩评审评分；</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40.3由评标委员会对所有已公开开标的投标人进行资格审查；</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4</w:t>
      </w:r>
      <w:r>
        <w:rPr>
          <w:rFonts w:hint="eastAsia" w:ascii="宋体" w:hAnsi="宋体" w:cs="宋体"/>
          <w:b w:val="0"/>
          <w:bCs/>
          <w:color w:val="auto"/>
          <w:szCs w:val="21"/>
          <w:highlight w:val="none"/>
        </w:rPr>
        <w:t>技术标投标文件有效性审查；</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技术标详细审查评分；</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6</w:t>
      </w:r>
      <w:r>
        <w:rPr>
          <w:rFonts w:hint="eastAsia" w:ascii="宋体" w:hAnsi="宋体" w:cs="宋体"/>
          <w:b w:val="0"/>
          <w:bCs/>
          <w:color w:val="auto"/>
          <w:szCs w:val="21"/>
          <w:highlight w:val="none"/>
        </w:rPr>
        <w:t>经济标详细审查评分；</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7</w:t>
      </w:r>
      <w:r>
        <w:rPr>
          <w:rFonts w:hint="eastAsia" w:ascii="宋体" w:hAnsi="宋体" w:cs="宋体"/>
          <w:b w:val="0"/>
          <w:bCs/>
          <w:color w:val="auto"/>
          <w:szCs w:val="21"/>
          <w:highlight w:val="none"/>
        </w:rPr>
        <w:t>评标委员会按照投标人总得分由高至低排序；</w:t>
      </w:r>
    </w:p>
    <w:p>
      <w:pPr>
        <w:pBdr>
          <w:bottom w:val="single" w:color="auto" w:sz="6" w:space="1"/>
        </w:pBdr>
        <w:snapToGrid w:val="0"/>
        <w:spacing w:line="360" w:lineRule="auto"/>
        <w:ind w:firstLine="470" w:firstLineChars="224"/>
        <w:rPr>
          <w:rFonts w:hint="eastAsia" w:ascii="宋体" w:hAnsi="宋体" w:cs="宋体"/>
          <w:b w:val="0"/>
          <w:bCs/>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8</w:t>
      </w:r>
      <w:r>
        <w:rPr>
          <w:rFonts w:hint="eastAsia" w:ascii="宋体" w:hAnsi="宋体" w:cs="宋体"/>
          <w:b w:val="0"/>
          <w:bCs/>
          <w:color w:val="auto"/>
          <w:szCs w:val="21"/>
          <w:highlight w:val="none"/>
        </w:rPr>
        <w:t>经济标投标文件有效性审查；</w:t>
      </w:r>
    </w:p>
    <w:p>
      <w:pPr>
        <w:pBdr>
          <w:bottom w:val="single" w:color="auto" w:sz="6" w:space="1"/>
        </w:pBdr>
        <w:snapToGrid w:val="0"/>
        <w:spacing w:line="360" w:lineRule="auto"/>
        <w:ind w:firstLine="470" w:firstLineChars="224"/>
        <w:rPr>
          <w:rFonts w:ascii="宋体" w:hAnsi="宋体" w:cs="宋体"/>
          <w:color w:val="auto"/>
          <w:szCs w:val="21"/>
          <w:highlight w:val="none"/>
        </w:rPr>
      </w:pPr>
      <w:r>
        <w:rPr>
          <w:rFonts w:hint="eastAsia" w:ascii="宋体" w:hAnsi="宋体" w:cs="宋体"/>
          <w:b w:val="0"/>
          <w:bCs/>
          <w:color w:val="auto"/>
          <w:szCs w:val="21"/>
          <w:highlight w:val="none"/>
        </w:rPr>
        <w:t>40.</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评标委员会按排序向招标人推荐</w:t>
      </w:r>
      <w:r>
        <w:rPr>
          <w:rFonts w:hint="eastAsia" w:ascii="宋体" w:hAnsi="宋体" w:cs="宋体"/>
          <w:b w:val="0"/>
          <w:bCs/>
          <w:color w:val="auto"/>
          <w:szCs w:val="21"/>
          <w:highlight w:val="none"/>
          <w:lang w:eastAsia="zh-CN"/>
        </w:rPr>
        <w:t>合格</w:t>
      </w:r>
      <w:r>
        <w:rPr>
          <w:rFonts w:hint="eastAsia" w:ascii="宋体" w:hAnsi="宋体" w:cs="宋体"/>
          <w:b w:val="0"/>
          <w:bCs/>
          <w:color w:val="auto"/>
          <w:szCs w:val="21"/>
          <w:highlight w:val="none"/>
        </w:rPr>
        <w:t>中标候选人名单，并递交资格审查报告及评标报告。</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条款号：41.1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41.1开标由招标人主持；</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41.1开标由招标人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主持；</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条款号：41.2.1                      修改类型：修改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41.2.1投标截止期前，各投标人递交投标文件（包括技术标投标文件、经济标投标文件）至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交易平台。有关投标文件提交的事项详见第一章投标须知。</w:t>
      </w:r>
    </w:p>
    <w:p>
      <w:pPr>
        <w:pBdr>
          <w:bottom w:val="single" w:color="auto" w:sz="6" w:space="1"/>
        </w:pBdr>
        <w:snapToGrid w:val="0"/>
        <w:spacing w:line="360" w:lineRule="auto"/>
        <w:ind w:firstLine="413" w:firstLineChars="196"/>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41.2.1投标截止期前，各投标人递交投标文件</w:t>
      </w:r>
      <w:r>
        <w:rPr>
          <w:rFonts w:hint="eastAsia" w:ascii="宋体" w:hAnsi="宋体" w:cs="宋体"/>
          <w:color w:val="auto"/>
          <w:szCs w:val="21"/>
          <w:highlight w:val="none"/>
          <w:u w:val="single"/>
        </w:rPr>
        <w:t>[包括技术标投标文件（含资格审查文件）、经济标投标文件]</w:t>
      </w:r>
      <w:r>
        <w:rPr>
          <w:rFonts w:hint="eastAsia" w:ascii="宋体" w:hAnsi="宋体" w:cs="宋体"/>
          <w:color w:val="auto"/>
          <w:szCs w:val="21"/>
          <w:highlight w:val="none"/>
        </w:rPr>
        <w:t>至</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交易平台。有关投标文件提交的事项详见第一章投标须知。</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条款号：41.2.2                      修改类型：修改</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pPr>
        <w:pBdr>
          <w:bottom w:val="single" w:color="auto" w:sz="6" w:space="1"/>
        </w:pBdr>
        <w:snapToGrid w:val="0"/>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41.2.2开标前，首先由招标人</w:t>
      </w:r>
      <w:r>
        <w:rPr>
          <w:rFonts w:hint="eastAsia" w:ascii="宋体" w:hAnsi="宋体" w:cs="宋体"/>
          <w:color w:val="auto"/>
          <w:szCs w:val="21"/>
          <w:highlight w:val="none"/>
          <w:u w:val="single"/>
        </w:rPr>
        <w:t>或招标代理</w:t>
      </w:r>
      <w:r>
        <w:rPr>
          <w:rFonts w:hint="eastAsia" w:ascii="宋体" w:hAnsi="宋体" w:cs="宋体"/>
          <w:color w:val="auto"/>
          <w:szCs w:val="21"/>
          <w:highlight w:val="none"/>
        </w:rPr>
        <w:t>随机抽取确定该工程计算评标参考价的等分点值X。</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条款号：41.2.4.1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Bdr>
          <w:bottom w:val="single" w:color="auto" w:sz="4" w:space="0"/>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41.2.4.1开标时，公布：a、投标人名称；b、投标文件密封情况；c、投标报价；</w:t>
      </w:r>
      <w:r>
        <w:rPr>
          <w:rFonts w:hint="eastAsia" w:ascii="宋体" w:hAnsi="宋体" w:cs="宋体"/>
          <w:strike/>
          <w:color w:val="auto"/>
          <w:szCs w:val="21"/>
          <w:highlight w:val="none"/>
        </w:rPr>
        <w:t>d、投标保证金；</w:t>
      </w:r>
      <w:r>
        <w:rPr>
          <w:rFonts w:hint="eastAsia" w:ascii="宋体" w:hAnsi="宋体" w:cs="宋体"/>
          <w:color w:val="auto"/>
          <w:szCs w:val="21"/>
          <w:highlight w:val="none"/>
        </w:rPr>
        <w:t>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条款号：42.2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pBdr>
          <w:bottom w:val="single" w:color="auto" w:sz="6" w:space="1"/>
        </w:pBd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方式二：评标委员会由技术评审组和经济评审组组成。其中：资格审查及技术评审由技术评标组负责，经济评审由经济评审组负责。</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一：评标委员会为综合评标委员会，负责资格审查及评标工作。评标委员会专家均由广东省综合评标评审专家库随机抽取，评标委员会人数为五人以上单数。</w:t>
      </w:r>
    </w:p>
    <w:p>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3</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eastAsia="zh-CN"/>
        </w:rPr>
        <w:t>增加</w:t>
      </w:r>
    </w:p>
    <w:p>
      <w:pPr>
        <w:pBdr>
          <w:bottom w:val="single" w:color="auto" w:sz="6" w:space="1"/>
        </w:pBdr>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4</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3评标委员会按照本办法附表四-1《技术标（答辩）评分表》对所有已公开开标的投标人进行答辩详细评审，评出答辩得分（即技术标答辩分）</w:t>
      </w:r>
      <w:r>
        <w:rPr>
          <w:rFonts w:hint="eastAsia" w:ascii="宋体" w:hAnsi="宋体" w:cs="宋体"/>
          <w:color w:val="auto"/>
          <w:szCs w:val="21"/>
          <w:highlight w:val="none"/>
          <w:u w:val="singl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条款号：43.6                     修改类型：修改</w:t>
      </w:r>
    </w:p>
    <w:p>
      <w:pPr>
        <w:widowControl/>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43.6资格审查合格的投标人少于3名的（当N个标段同时招标且不允许兼中时，资格审查合格的投标人少于N+2名），则本项目招标失败。</w:t>
      </w:r>
    </w:p>
    <w:p>
      <w:pPr>
        <w:pBdr>
          <w:bottom w:val="single" w:color="auto" w:sz="6" w:space="1"/>
        </w:pBdr>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43.6</w:t>
      </w:r>
      <w:r>
        <w:rPr>
          <w:rFonts w:hint="eastAsia" w:ascii="宋体" w:hAnsi="宋体" w:cs="宋体"/>
          <w:color w:val="auto"/>
          <w:szCs w:val="21"/>
          <w:highlight w:val="none"/>
          <w:u w:val="single"/>
        </w:rPr>
        <w:t>若满足资格审查合格条件(投标人合格条件)的投标申请人不足3名，则重新招标。</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条款号：44.1                     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Bdr>
          <w:bottom w:val="single" w:color="auto" w:sz="6" w:space="1"/>
        </w:pBdr>
        <w:snapToGrid w:val="0"/>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hint="eastAsia" w:ascii="宋体" w:hAnsi="宋体" w:cs="宋体"/>
          <w:color w:val="auto"/>
          <w:szCs w:val="21"/>
          <w:highlight w:val="none"/>
          <w:u w:val="single"/>
        </w:rPr>
        <w:t>若通过技术标有效性审查的投标人不足三家，则重新招标。</w:t>
      </w:r>
      <w:r>
        <w:rPr>
          <w:rFonts w:hint="eastAsia" w:ascii="宋体" w:hAnsi="宋体" w:cs="宋体"/>
          <w:color w:val="auto"/>
          <w:szCs w:val="21"/>
          <w:highlight w:val="none"/>
        </w:rPr>
        <w:t>评委发现投标文件中含义不明确、对同类问题表述不一致、有明显文字和计算错误的，应当要求投标人作必要的澄清、说明后再判定投标人是否通过有效性审查，不得直接否决投标。</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条款号：45                     修改类型：修改</w:t>
      </w:r>
    </w:p>
    <w:p>
      <w:pPr>
        <w:pStyle w:val="29"/>
        <w:tabs>
          <w:tab w:val="left" w:pos="7380"/>
        </w:tabs>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45．经济标评审和得分汇总</w:t>
      </w:r>
    </w:p>
    <w:p>
      <w:pPr>
        <w:pStyle w:val="29"/>
        <w:tabs>
          <w:tab w:val="left" w:pos="7380"/>
        </w:tabs>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45.1若通过技术标有效性审查的投标人中所有投标报价均大于等于最高投标限价，则本项目招标失败，由招标人依法重新招标。</w:t>
      </w:r>
    </w:p>
    <w:p>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color w:val="auto"/>
          <w:szCs w:val="21"/>
          <w:highlight w:val="none"/>
        </w:rPr>
        <w:t>45.2</w:t>
      </w:r>
      <w:r>
        <w:rPr>
          <w:rFonts w:hint="eastAsia" w:ascii="宋体" w:hAnsi="宋体" w:cs="宋体"/>
          <w:b/>
          <w:bCs/>
          <w:color w:val="auto"/>
          <w:kern w:val="0"/>
          <w:szCs w:val="21"/>
          <w:highlight w:val="none"/>
        </w:rPr>
        <w:t>区间抽取法</w:t>
      </w: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：为达到或超过技术标及格分数线的投标人最低报价与工程成本警示价两者中的较高值；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45.4计算通过技术标有效性审查的投标人总得分。投标人总得分=（技术得分×技术得分权重＋经济得分×经济得分权重）×（1-综合诚信评价分数权重）＋综合诚信评价排名得分×综合诚信评价分数权重）。</w:t>
      </w:r>
      <w:r>
        <w:rPr>
          <w:rFonts w:hint="eastAsia" w:ascii="宋体" w:hAnsi="宋体" w:cs="宋体"/>
          <w:color w:val="auto"/>
          <w:spacing w:val="-6"/>
          <w:sz w:val="21"/>
          <w:szCs w:val="21"/>
          <w:highlight w:val="none"/>
        </w:rPr>
        <w:t>技术、经济得分权重按投标须知前附表的规定执行。</w:t>
      </w:r>
      <w:r>
        <w:rPr>
          <w:rFonts w:hint="eastAsia" w:ascii="宋体" w:hAnsi="宋体" w:cs="宋体"/>
          <w:color w:val="auto"/>
          <w:szCs w:val="21"/>
          <w:highlight w:val="none"/>
        </w:rPr>
        <w:t>总得分四舍五入保留两位小数。</w:t>
      </w:r>
    </w:p>
    <w:p>
      <w:pPr>
        <w:pStyle w:val="29"/>
        <w:tabs>
          <w:tab w:val="left" w:pos="7380"/>
        </w:tabs>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现文</w:t>
      </w:r>
      <w:r>
        <w:rPr>
          <w:rFonts w:hint="eastAsia" w:ascii="宋体" w:hAnsi="宋体" w:cs="宋体"/>
          <w:color w:val="auto"/>
          <w:sz w:val="21"/>
          <w:szCs w:val="21"/>
          <w:highlight w:val="none"/>
        </w:rPr>
        <w:t>：45．经济标评审和得分汇总</w:t>
      </w:r>
    </w:p>
    <w:p>
      <w:pPr>
        <w:pStyle w:val="29"/>
        <w:tabs>
          <w:tab w:val="left" w:pos="7380"/>
        </w:tabs>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45.1若通过技术标有效性审查的投标人中所有投标报价均大于等于最高投标限价，则本项目招标失败，由招标人依法重新招标。</w:t>
      </w:r>
    </w:p>
    <w:p>
      <w:pPr>
        <w:widowControl/>
        <w:snapToGrid w:val="0"/>
        <w:spacing w:line="360" w:lineRule="auto"/>
        <w:ind w:firstLine="420" w:firstLineChars="200"/>
        <w:rPr>
          <w:rFonts w:ascii="宋体" w:hAnsi="宋体" w:cs="宋体"/>
          <w:b/>
          <w:bCs/>
          <w:color w:val="auto"/>
          <w:kern w:val="0"/>
          <w:szCs w:val="21"/>
          <w:highlight w:val="none"/>
        </w:rPr>
      </w:pPr>
      <w:r>
        <w:rPr>
          <w:rFonts w:hint="eastAsia" w:ascii="宋体" w:hAnsi="宋体" w:cs="宋体"/>
          <w:color w:val="auto"/>
          <w:szCs w:val="21"/>
          <w:highlight w:val="none"/>
        </w:rPr>
        <w:t>45.2</w:t>
      </w:r>
      <w:r>
        <w:rPr>
          <w:rFonts w:hint="eastAsia" w:ascii="宋体" w:hAnsi="宋体" w:cs="宋体"/>
          <w:b/>
          <w:bCs/>
          <w:color w:val="auto"/>
          <w:kern w:val="0"/>
          <w:szCs w:val="21"/>
          <w:highlight w:val="none"/>
        </w:rPr>
        <w:t>区间抽取法</w:t>
      </w:r>
    </w:p>
    <w:p>
      <w:pPr>
        <w:widowControl/>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设立入围合格分数线（</w:t>
      </w:r>
      <w:r>
        <w:rPr>
          <w:rFonts w:hint="eastAsia" w:ascii="宋体" w:hAnsi="宋体" w:cs="宋体"/>
          <w:color w:val="auto"/>
          <w:szCs w:val="21"/>
          <w:highlight w:val="none"/>
          <w:u w:val="single"/>
        </w:rPr>
        <w:t>技术标得分为80分</w:t>
      </w:r>
      <w:r>
        <w:rPr>
          <w:rFonts w:hint="eastAsia" w:ascii="宋体" w:hAnsi="宋体" w:cs="宋体"/>
          <w:color w:val="auto"/>
          <w:szCs w:val="21"/>
          <w:highlight w:val="none"/>
        </w:rPr>
        <w:t>），达到或超过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的投标人的报价方能参与评标参考价的计算。将达到或超过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的投标报价由低至高进行排列，按以下公式计算评标参考价，计算公式如下：</w:t>
      </w:r>
    </w:p>
    <w:p>
      <w:pPr>
        <w:widowControl/>
        <w:snapToGrid w:val="0"/>
        <w:spacing w:line="360" w:lineRule="auto"/>
        <w:ind w:firstLine="420" w:firstLineChars="200"/>
        <w:rPr>
          <w:rFonts w:ascii="宋体" w:hAnsi="宋体" w:cs="宋体"/>
          <w:color w:val="auto"/>
          <w:kern w:val="0"/>
          <w:szCs w:val="21"/>
          <w:highlight w:val="none"/>
          <w:vertAlign w:val="subscript"/>
        </w:rPr>
      </w:pPr>
      <w:r>
        <w:rPr>
          <w:rFonts w:hint="eastAsia" w:ascii="宋体" w:hAnsi="宋体" w:cs="宋体"/>
          <w:color w:val="auto"/>
          <w:kern w:val="0"/>
          <w:szCs w:val="21"/>
          <w:highlight w:val="none"/>
        </w:rPr>
        <w:t>评标参考价=（Q</w:t>
      </w:r>
      <w:r>
        <w:rPr>
          <w:rFonts w:hint="eastAsia" w:ascii="宋体" w:hAnsi="宋体" w:cs="宋体"/>
          <w:color w:val="auto"/>
          <w:kern w:val="0"/>
          <w:szCs w:val="21"/>
          <w:highlight w:val="none"/>
          <w:vertAlign w:val="subscript"/>
        </w:rPr>
        <w:t>高</w:t>
      </w: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低</w:t>
      </w:r>
      <w:r>
        <w:rPr>
          <w:rFonts w:hint="eastAsia" w:ascii="宋体" w:hAnsi="宋体" w:cs="宋体"/>
          <w:color w:val="auto"/>
          <w:kern w:val="0"/>
          <w:szCs w:val="21"/>
          <w:highlight w:val="none"/>
        </w:rPr>
        <w:t>）/100*Ｘ+Q</w:t>
      </w:r>
      <w:r>
        <w:rPr>
          <w:rFonts w:hint="eastAsia" w:ascii="宋体" w:hAnsi="宋体" w:cs="宋体"/>
          <w:color w:val="auto"/>
          <w:kern w:val="0"/>
          <w:szCs w:val="21"/>
          <w:highlight w:val="none"/>
          <w:vertAlign w:val="subscript"/>
        </w:rPr>
        <w:t>低</w:t>
      </w:r>
    </w:p>
    <w:p>
      <w:pPr>
        <w:widowControl/>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vertAlign w:val="subscript"/>
        </w:rPr>
        <w:t>低</w:t>
      </w:r>
      <w:r>
        <w:rPr>
          <w:rFonts w:hint="eastAsia" w:ascii="宋体" w:hAnsi="宋体" w:cs="宋体"/>
          <w:color w:val="auto"/>
          <w:szCs w:val="21"/>
          <w:highlight w:val="none"/>
        </w:rPr>
        <w:t>：为达到或超过</w:t>
      </w:r>
      <w:r>
        <w:rPr>
          <w:rFonts w:hint="eastAsia" w:ascii="宋体" w:hAnsi="宋体" w:cs="宋体"/>
          <w:color w:val="auto"/>
          <w:szCs w:val="21"/>
          <w:highlight w:val="none"/>
          <w:u w:val="single"/>
        </w:rPr>
        <w:t>入围合格分数线</w:t>
      </w:r>
      <w:r>
        <w:rPr>
          <w:rFonts w:hint="eastAsia" w:ascii="宋体" w:hAnsi="宋体" w:cs="宋体"/>
          <w:color w:val="auto"/>
          <w:szCs w:val="21"/>
          <w:highlight w:val="none"/>
        </w:rPr>
        <w:t>的投标人最低报价与工程成本警示价两者中的较高值；</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Q</w:t>
      </w:r>
      <w:r>
        <w:rPr>
          <w:rFonts w:hint="eastAsia" w:ascii="宋体" w:hAnsi="宋体" w:cs="宋体"/>
          <w:color w:val="auto"/>
          <w:kern w:val="0"/>
          <w:szCs w:val="21"/>
          <w:highlight w:val="none"/>
          <w:vertAlign w:val="subscript"/>
        </w:rPr>
        <w:t>高</w:t>
      </w:r>
      <w:r>
        <w:rPr>
          <w:rFonts w:hint="eastAsia" w:ascii="宋体" w:hAnsi="宋体" w:cs="宋体"/>
          <w:color w:val="auto"/>
          <w:szCs w:val="21"/>
          <w:highlight w:val="none"/>
        </w:rPr>
        <w:t>：为最高投标限价</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X：为等分点值，在开标前从[0,100]整数中随机抽取</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45.3</w:t>
      </w:r>
      <w:r>
        <w:rPr>
          <w:rFonts w:hint="eastAsia" w:ascii="宋体" w:hAnsi="宋体" w:cs="宋体"/>
          <w:color w:val="auto"/>
          <w:szCs w:val="21"/>
          <w:highlight w:val="none"/>
        </w:rPr>
        <w:t>当</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等于评标参考价时得100分，</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每高于评标参考价1%，扣1.5分，每低于评标参考价1%，扣1分，扣至0分为止</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得出经济分</w:t>
      </w:r>
      <w:r>
        <w:rPr>
          <w:rFonts w:hint="eastAsia" w:ascii="宋体" w:hAnsi="宋体" w:cs="宋体"/>
          <w:color w:val="auto"/>
          <w:szCs w:val="21"/>
          <w:highlight w:val="none"/>
          <w:lang w:eastAsia="zh-CN"/>
        </w:rPr>
        <w:t>，精确到小数点后两位</w:t>
      </w:r>
      <w:r>
        <w:rPr>
          <w:rFonts w:hint="eastAsia" w:ascii="宋体" w:hAnsi="宋体" w:cs="宋体"/>
          <w:color w:val="auto"/>
          <w:szCs w:val="21"/>
          <w:highlight w:val="none"/>
        </w:rPr>
        <w:t>。</w:t>
      </w:r>
      <w:r>
        <w:rPr>
          <w:rFonts w:hint="eastAsia" w:ascii="宋体" w:hAnsi="宋体" w:cs="宋体"/>
          <w:color w:val="auto"/>
          <w:szCs w:val="21"/>
          <w:highlight w:val="none"/>
          <w:u w:val="single"/>
        </w:rPr>
        <w:t>根据第一章“投标人须知前附表”第41项规定实施经济标评审优惠政策(如有)</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rPr>
        <w:t>得出</w:t>
      </w:r>
      <w:r>
        <w:rPr>
          <w:rFonts w:hint="eastAsia" w:ascii="宋体" w:hAnsi="宋体" w:cs="宋体"/>
          <w:color w:val="auto"/>
          <w:szCs w:val="21"/>
          <w:highlight w:val="none"/>
          <w:u w:val="single"/>
          <w:lang w:eastAsia="zh-CN"/>
        </w:rPr>
        <w:t>经济</w:t>
      </w:r>
      <w:r>
        <w:rPr>
          <w:rFonts w:hint="eastAsia" w:ascii="宋体" w:hAnsi="宋体" w:cs="宋体"/>
          <w:color w:val="auto"/>
          <w:szCs w:val="21"/>
          <w:highlight w:val="none"/>
          <w:u w:val="single"/>
        </w:rPr>
        <w:t>分，精确到小数点后两位。</w:t>
      </w:r>
    </w:p>
    <w:p>
      <w:pPr>
        <w:pBdr>
          <w:bottom w:val="single" w:color="auto" w:sz="6" w:space="1"/>
        </w:pBdr>
        <w:snapToGrid w:val="0"/>
        <w:spacing w:line="360" w:lineRule="auto"/>
        <w:ind w:firstLine="470" w:firstLineChars="224"/>
        <w:rPr>
          <w:rFonts w:ascii="宋体" w:hAnsi="宋体" w:cs="宋体"/>
          <w:strike/>
          <w:color w:val="auto"/>
          <w:szCs w:val="21"/>
          <w:highlight w:val="none"/>
        </w:rPr>
      </w:pPr>
      <w:r>
        <w:rPr>
          <w:rFonts w:hint="eastAsia" w:ascii="宋体" w:hAnsi="宋体" w:cs="宋体"/>
          <w:color w:val="auto"/>
          <w:szCs w:val="21"/>
          <w:highlight w:val="none"/>
        </w:rPr>
        <w:t>45.4计算通过技术标有效性审查的投标人总得分。投标人总得分=</w:t>
      </w:r>
      <w:r>
        <w:rPr>
          <w:rFonts w:hint="eastAsia" w:ascii="宋体" w:hAnsi="宋体" w:cs="宋体"/>
          <w:color w:val="auto"/>
          <w:szCs w:val="21"/>
          <w:highlight w:val="none"/>
          <w:u w:val="single"/>
        </w:rPr>
        <w:t>技术分（技术标（答辩）评分</w:t>
      </w:r>
      <w:r>
        <w:rPr>
          <w:rFonts w:hint="eastAsia" w:ascii="宋体" w:hAnsi="宋体" w:eastAsia="宋体" w:cs="宋体"/>
          <w:sz w:val="21"/>
          <w:szCs w:val="21"/>
          <w:u w:val="single"/>
        </w:rPr>
        <w:t xml:space="preserve">+ </w:t>
      </w:r>
      <w:r>
        <w:rPr>
          <w:rFonts w:hint="eastAsia" w:ascii="宋体" w:hAnsi="宋体" w:cs="宋体"/>
          <w:color w:val="auto"/>
          <w:szCs w:val="21"/>
          <w:highlight w:val="none"/>
          <w:u w:val="single"/>
        </w:rPr>
        <w:t>技术标详细审查评分）×技术分权重＋经济分×经济分权重</w:t>
      </w:r>
      <w:r>
        <w:rPr>
          <w:rFonts w:hint="eastAsia" w:ascii="宋体" w:hAnsi="宋体" w:cs="宋体"/>
          <w:color w:val="auto"/>
          <w:szCs w:val="21"/>
          <w:highlight w:val="none"/>
        </w:rPr>
        <w:t>。</w:t>
      </w:r>
      <w:r>
        <w:rPr>
          <w:rFonts w:hint="eastAsia" w:ascii="宋体" w:hAnsi="宋体" w:cs="宋体"/>
          <w:color w:val="auto"/>
          <w:spacing w:val="-6"/>
          <w:szCs w:val="21"/>
          <w:highlight w:val="none"/>
        </w:rPr>
        <w:t>技术、经济得分权重按投标须知前附表的规定执行。总得分四舍五入保留两</w:t>
      </w:r>
      <w:r>
        <w:rPr>
          <w:rFonts w:hint="eastAsia" w:ascii="宋体" w:hAnsi="宋体" w:cs="宋体"/>
          <w:color w:val="auto"/>
          <w:szCs w:val="21"/>
          <w:highlight w:val="none"/>
        </w:rPr>
        <w:t>位小数。</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条款号：46.2.8                      修改类型：修改</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46.2.8按上述修正错误的原则及方法调整或修正投标文件的投标报价，调整后的投标报价对投标人起约束作用。如果投标人不接受修正后的报价，</w:t>
      </w:r>
      <w:r>
        <w:rPr>
          <w:rFonts w:hint="eastAsia" w:ascii="宋体" w:hAnsi="宋体" w:cs="宋体"/>
          <w:color w:val="auto"/>
          <w:szCs w:val="21"/>
          <w:highlight w:val="none"/>
          <w:u w:val="single"/>
        </w:rPr>
        <w:t>则取消其投标资格</w:t>
      </w:r>
      <w:r>
        <w:rPr>
          <w:rFonts w:hint="eastAsia" w:ascii="宋体" w:hAnsi="宋体" w:cs="宋体"/>
          <w:color w:val="auto"/>
          <w:szCs w:val="21"/>
          <w:highlight w:val="none"/>
        </w:rPr>
        <w:t>。</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条款号：48                      修改类型：修改</w:t>
      </w:r>
    </w:p>
    <w:p>
      <w:pPr>
        <w:widowControl/>
        <w:snapToGrid w:val="0"/>
        <w:spacing w:line="360" w:lineRule="auto"/>
        <w:ind w:firstLine="422" w:firstLineChars="200"/>
        <w:jc w:val="left"/>
        <w:rPr>
          <w:rFonts w:ascii="宋体" w:hAnsi="宋体" w:cs="宋体"/>
          <w:color w:val="auto"/>
          <w:kern w:val="0"/>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6" w:space="1"/>
        </w:pBdr>
        <w:snapToGrid w:val="0"/>
        <w:spacing w:line="360" w:lineRule="auto"/>
        <w:ind w:firstLine="472" w:firstLineChars="224"/>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48.评标委员会应在通过投标文件经济标有效性审查的投标人中，按步骤45.4确定的投标人</w:t>
      </w:r>
      <w:r>
        <w:rPr>
          <w:rFonts w:hint="eastAsia" w:ascii="宋体" w:hAnsi="宋体" w:cs="宋体"/>
          <w:color w:val="auto"/>
          <w:szCs w:val="21"/>
          <w:highlight w:val="none"/>
          <w:u w:val="single"/>
        </w:rPr>
        <w:t>总得分</w:t>
      </w:r>
      <w:r>
        <w:rPr>
          <w:rFonts w:hint="eastAsia" w:ascii="宋体" w:hAnsi="宋体" w:cs="宋体"/>
          <w:color w:val="auto"/>
          <w:szCs w:val="21"/>
          <w:highlight w:val="none"/>
        </w:rPr>
        <w:t>排序，</w:t>
      </w:r>
      <w:r>
        <w:rPr>
          <w:rFonts w:hint="eastAsia" w:ascii="宋体" w:hAnsi="宋体" w:cs="宋体"/>
          <w:color w:val="auto"/>
          <w:szCs w:val="21"/>
          <w:highlight w:val="none"/>
          <w:u w:val="single"/>
          <w:lang w:eastAsia="zh-CN"/>
        </w:rPr>
        <w:t>并按照总得分的排序推荐前7名（不足7名的，则推荐全部有效的投标人为合格中标候选人）不排序的合格中标候选人进入定标阶段</w:t>
      </w:r>
      <w:r>
        <w:rPr>
          <w:rFonts w:hint="eastAsia" w:ascii="宋体" w:hAnsi="宋体" w:cs="宋体"/>
          <w:color w:val="auto"/>
          <w:szCs w:val="21"/>
          <w:highlight w:val="none"/>
        </w:rPr>
        <w:t>。</w:t>
      </w:r>
    </w:p>
    <w:p>
      <w:pPr>
        <w:snapToGri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49</w:t>
      </w:r>
      <w:r>
        <w:rPr>
          <w:rFonts w:hint="eastAsia" w:ascii="宋体" w:hAnsi="宋体" w:cs="宋体"/>
          <w:b/>
          <w:color w:val="auto"/>
          <w:szCs w:val="21"/>
          <w:highlight w:val="none"/>
        </w:rPr>
        <w:t>修改类型：修改</w:t>
      </w:r>
    </w:p>
    <w:p>
      <w:pP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49若通过经济标有效性审查的投标人不足三家，应当依法重新招标。（当N个标段同时招标且不允许兼中时，若有效投标人不足N+2家，应当依法重新招标）</w:t>
      </w:r>
    </w:p>
    <w:p>
      <w:pPr>
        <w:pBdr>
          <w:bottom w:val="single" w:color="auto" w:sz="6" w:space="1"/>
        </w:pBdr>
        <w:snapToGrid w:val="0"/>
        <w:spacing w:line="360" w:lineRule="auto"/>
        <w:ind w:firstLine="420" w:firstLineChars="199"/>
        <w:rPr>
          <w:rFonts w:ascii="宋体" w:hAnsi="宋体" w:cs="宋体"/>
          <w:strike/>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：49</w:t>
      </w:r>
      <w:r>
        <w:rPr>
          <w:rFonts w:hint="eastAsia" w:ascii="宋体" w:hAnsi="宋体" w:cs="宋体"/>
          <w:color w:val="auto"/>
          <w:szCs w:val="21"/>
          <w:highlight w:val="none"/>
          <w:u w:val="single"/>
        </w:rPr>
        <w:t>若通过经济标有效性审查的投标人不足三家，应当依法重新招标。</w:t>
      </w:r>
    </w:p>
    <w:p>
      <w:pP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rPr>
        <w:t>条款号：</w:t>
      </w:r>
      <w:r>
        <w:rPr>
          <w:rFonts w:hint="eastAsia" w:ascii="宋体" w:hAnsi="宋体" w:cs="宋体"/>
          <w:b/>
          <w:color w:val="auto"/>
          <w:szCs w:val="21"/>
          <w:highlight w:val="none"/>
          <w:lang w:val="en-US" w:eastAsia="zh-CN"/>
        </w:rPr>
        <w:t>50</w:t>
      </w:r>
      <w:r>
        <w:rPr>
          <w:rFonts w:hint="eastAsia" w:ascii="宋体" w:hAnsi="宋体" w:cs="宋体"/>
          <w:b/>
          <w:color w:val="auto"/>
          <w:szCs w:val="21"/>
          <w:highlight w:val="none"/>
        </w:rPr>
        <w:t xml:space="preserve">                      修改类型：</w:t>
      </w:r>
      <w:r>
        <w:rPr>
          <w:rFonts w:hint="eastAsia" w:ascii="宋体" w:hAnsi="宋体" w:cs="宋体"/>
          <w:b/>
          <w:color w:val="auto"/>
          <w:szCs w:val="21"/>
          <w:highlight w:val="none"/>
          <w:lang w:eastAsia="zh-CN"/>
        </w:rPr>
        <w:t>增加</w:t>
      </w:r>
    </w:p>
    <w:p>
      <w:pPr>
        <w:snapToGrid w:val="0"/>
        <w:spacing w:line="360" w:lineRule="auto"/>
        <w:ind w:firstLine="472" w:firstLineChars="224"/>
        <w:rPr>
          <w:rFonts w:hint="eastAsia" w:ascii="宋体" w:hAnsi="宋体" w:cs="宋体"/>
          <w:b/>
          <w:i w:val="0"/>
          <w:iCs w:val="0"/>
          <w:color w:val="auto"/>
          <w:szCs w:val="21"/>
          <w:highlight w:val="none"/>
          <w:u w:val="single"/>
          <w:lang w:val="en-US" w:eastAsia="zh-CN"/>
        </w:rPr>
      </w:pPr>
      <w:r>
        <w:rPr>
          <w:rFonts w:hint="eastAsia" w:ascii="宋体" w:hAnsi="宋体" w:cs="宋体"/>
          <w:b/>
          <w:color w:val="auto"/>
          <w:szCs w:val="21"/>
          <w:highlight w:val="none"/>
          <w:lang w:eastAsia="zh-CN"/>
        </w:rPr>
        <w:t>现文</w:t>
      </w:r>
      <w:r>
        <w:rPr>
          <w:rFonts w:hint="eastAsia" w:ascii="宋体" w:hAnsi="宋体" w:cs="宋体"/>
          <w:b/>
          <w:color w:val="auto"/>
          <w:szCs w:val="21"/>
          <w:highlight w:val="none"/>
        </w:rPr>
        <w:t>：</w:t>
      </w:r>
      <w:r>
        <w:rPr>
          <w:rFonts w:hint="eastAsia" w:ascii="宋体" w:hAnsi="宋体" w:cs="宋体"/>
          <w:b/>
          <w:i w:val="0"/>
          <w:iCs w:val="0"/>
          <w:color w:val="auto"/>
          <w:szCs w:val="21"/>
          <w:highlight w:val="none"/>
          <w:u w:val="single"/>
          <w:lang w:val="en-US" w:eastAsia="zh-CN"/>
        </w:rPr>
        <w:t>50.定标</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如评标委员会推荐的合格中标候选人不足三家，招标人应当依法重新招标，不再进行定标工作。</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50.1定标时间和地点</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招标人在合格中标候选人公示结束后5个工作日内在广州交易集团有限公司（广州公共资源交易中心）开展定标工作，招标人按规定程序在投标人须知的时间和地点完成定标工作。</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50.2定标委员会：成员数量为5人，由招标人组建。</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50.3监督小组：成员数量为1人，由招标人组建。</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50.4定标办法：采用直接票决定标法（记名投票+撰写评语），定标委员会从所有合格中标候选人当中以“记名投票+撰写评语”方式产生中标人。</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50.5定标因素：</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（1）方案因素：定标委员会对合格中标候选人的投标技术标方案进行评审，方案包括：安全控制措施、质量控制措施、绿色节能控制措施、进度控制措施等，鼓励将建筑业科技创新应用在项目中。</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（2）价格因素：定标委员会对各合格中标候选人的投标报价进行横向对比。</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（详见附表八《定标因素表（定标阶段用表）》）</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50.6定标程序</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（1）定标工作开始后，定标委员会应推荐一人为定标委员会组长，主持当次定标会议。</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（2）发放定标辅助资料：评标阶段的评标报告、合格中标候选人提交的投标文件及定标文件等。</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（3）定标委员会在评标委员会评审的基础上，根据评标阶段的评标报告、合格中标候选人提交的投标文件及定标文件、定标因素对进入定标阶段合格中标候选人的定标文件合理性、价格进行比较、评审。</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4）定标委员会根据定标因素对各合格中标候选人进行评审并分别撰写评语后，进行一轮一次性票决，每位定标委员会成员只有1票表决权（即只能对其中1家合格中标候选人投票），得票数最多的合格中标候选人确定为中标人，若出现票数相同且无法决出中标人时，对票数相同的合格中标候选人再进行附加的一次性票决，直至决出中标人。</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（5）定标委员会根据选票情况确定中标人。</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（6）编写定标报告，定标委员会全体确认后签署定标报告。定标报告由定标委员会全体成员签字，对定标结论持有异议的成员应以书面方式阐述其不同意见和理由。</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50.7招标人应当在定标工作完成后3日内公示中标结果。</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50.8如在合格中标候选人公示期间或在中标结果公示前出现合格中标候选人放弃其中标候选人资格的情形，招标人有权确定总得分排名第二名的合格中标候选人为中标人，如此类推，招标人也可以重新招标。如所有的合格中标候选人均放弃其中标候选人资格的，为招标失败，招标人依法重新招标。</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50.9如中标人放弃中标、或因不可抗力提出不能履行合同，或者招标文件规定应当提交履约担保而在规定的期限内未能提交的，或经核查发现委派的项目负责人已在其他在建项目中担任本职务的，招标人有权取消其中标人资格或解除合同，从其他合格中标候选人中采用上述办法，确定总得分排名第二名的合格中标候选人为中标人，如此类推，招标人也可以重新招标。</w:t>
      </w:r>
    </w:p>
    <w:p>
      <w:pPr>
        <w:snapToGrid w:val="0"/>
        <w:spacing w:line="360" w:lineRule="auto"/>
        <w:ind w:firstLine="470" w:firstLineChars="224"/>
        <w:rPr>
          <w:rFonts w:hint="eastAsia" w:ascii="宋体" w:hAnsi="宋体" w:cs="宋体"/>
          <w:b w:val="0"/>
          <w:bCs/>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50.10因投诉生效，需要重新定标的，定标信息（含业绩、资信等）仍以投标截止时投标人的信息为准。在定标阶段，因特殊原因需要延长投标有效期，合格中标候选人拒绝延长投标有效期的，该合格中标候选人不得参与定标。</w:t>
      </w:r>
    </w:p>
    <w:p>
      <w:pPr>
        <w:snapToGrid w:val="0"/>
        <w:spacing w:line="360" w:lineRule="auto"/>
        <w:ind w:firstLine="470" w:firstLineChars="224"/>
        <w:rPr>
          <w:rFonts w:hint="default" w:ascii="宋体" w:hAnsi="宋体" w:cs="宋体"/>
          <w:b/>
          <w:bCs w:val="0"/>
          <w:color w:val="auto"/>
          <w:szCs w:val="21"/>
          <w:highlight w:val="none"/>
          <w:u w:val="single"/>
          <w:lang w:val="en-US" w:eastAsia="zh-CN"/>
        </w:rPr>
      </w:pPr>
      <w:r>
        <w:rPr>
          <w:rFonts w:hint="eastAsia" w:ascii="宋体" w:hAnsi="宋体" w:cs="宋体"/>
          <w:b w:val="0"/>
          <w:bCs/>
          <w:color w:val="auto"/>
          <w:szCs w:val="21"/>
          <w:highlight w:val="none"/>
          <w:u w:val="single"/>
          <w:lang w:val="en-US" w:eastAsia="zh-CN"/>
        </w:rPr>
        <w:t>50.11</w:t>
      </w:r>
      <w:r>
        <w:rPr>
          <w:rFonts w:hint="eastAsia" w:ascii="宋体" w:hAnsi="宋体" w:cs="宋体"/>
          <w:b/>
          <w:bCs w:val="0"/>
          <w:color w:val="auto"/>
          <w:szCs w:val="21"/>
          <w:highlight w:val="none"/>
          <w:u w:val="single"/>
          <w:lang w:val="en-US" w:eastAsia="zh-CN"/>
        </w:rPr>
        <w:t>定标表格</w:t>
      </w:r>
    </w:p>
    <w:p>
      <w:pPr>
        <w:pBdr>
          <w:bottom w:val="single" w:color="auto" w:sz="6" w:space="1"/>
        </w:pBdr>
        <w:snapToGrid w:val="0"/>
        <w:spacing w:line="360" w:lineRule="auto"/>
        <w:ind w:firstLine="1050" w:firstLineChars="500"/>
        <w:rPr>
          <w:rFonts w:ascii="宋体" w:hAnsi="宋体" w:cs="宋体"/>
          <w:b w:val="0"/>
          <w:bCs/>
          <w:color w:val="auto"/>
          <w:highlight w:val="none"/>
        </w:rPr>
      </w:pPr>
      <w:r>
        <w:rPr>
          <w:rFonts w:hint="default" w:ascii="宋体" w:hAnsi="宋体" w:cs="宋体"/>
          <w:b w:val="0"/>
          <w:bCs/>
          <w:color w:val="auto"/>
          <w:szCs w:val="21"/>
          <w:highlight w:val="none"/>
          <w:u w:val="single"/>
          <w:lang w:val="en-US" w:eastAsia="zh-CN"/>
        </w:rPr>
        <w:t>见后附表。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条款号：附表一《资格审查表》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22" w:firstLineChars="200"/>
        <w:rPr>
          <w:rFonts w:ascii="宋体" w:hAnsi="宋体" w:cs="宋体"/>
          <w:color w:val="auto"/>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详见本招标文件第二章附表一《资格审查表》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详见本招标文件第二章附表二《技术标有效性审查表》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详见本招标文件第二章附表三《经济标有效性审查表》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条款号：附表四</w:t>
      </w:r>
      <w:r>
        <w:rPr>
          <w:rFonts w:hint="eastAsia" w:ascii="宋体" w:hAnsi="宋体" w:cs="宋体"/>
          <w:b/>
          <w:color w:val="auto"/>
          <w:szCs w:val="21"/>
          <w:highlight w:val="none"/>
          <w:lang w:val="en-US" w:eastAsia="zh-CN"/>
        </w:rPr>
        <w:t>-1</w:t>
      </w:r>
      <w:r>
        <w:rPr>
          <w:rFonts w:hint="eastAsia" w:ascii="宋体" w:hAnsi="宋体" w:cs="宋体"/>
          <w:b/>
          <w:color w:val="auto"/>
          <w:szCs w:val="21"/>
          <w:highlight w:val="none"/>
        </w:rPr>
        <w:t>《技术标（答辩）评分表》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详见本招标文件第二章附表四</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《技术标（答辩）评分表》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条款号：附表四</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《技术标详细审查评分表》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修改类型：修改</w:t>
      </w:r>
    </w:p>
    <w:p>
      <w:pPr>
        <w:snapToGrid w:val="0"/>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详见本招标文件第二章附表四</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《技术标详细审查评分表》</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条款号：附表五（适用于加权平均法）《经济标评分表》</w:t>
      </w:r>
      <w:r>
        <w:rPr>
          <w:rFonts w:hint="eastAsia" w:ascii="宋体" w:hAnsi="宋体" w:cs="宋体"/>
          <w:b/>
          <w:color w:val="auto"/>
          <w:szCs w:val="21"/>
          <w:highlight w:val="none"/>
          <w:lang w:val="en-US" w:eastAsia="zh-CN"/>
        </w:rPr>
        <w:t xml:space="preserve">        </w:t>
      </w:r>
      <w:r>
        <w:rPr>
          <w:rFonts w:hint="eastAsia" w:ascii="宋体" w:hAnsi="宋体" w:cs="宋体"/>
          <w:b/>
          <w:color w:val="auto"/>
          <w:szCs w:val="21"/>
          <w:highlight w:val="none"/>
        </w:rPr>
        <w:t>修改类型：删除</w:t>
      </w:r>
    </w:p>
    <w:p>
      <w:pPr>
        <w:pBdr>
          <w:bottom w:val="single" w:color="auto" w:sz="6" w:space="1"/>
        </w:pBd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详见最新版广州市建设工程施工公开招标项目招标文件范本（适用于资格后审综合评分法、经评审的最低投标价法的施工电子招标项目）GZZB2018-3</w:t>
      </w:r>
    </w:p>
    <w:p>
      <w:pPr>
        <w:snapToGrid w:val="0"/>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条款号：附表六至附表</w:t>
      </w:r>
      <w:r>
        <w:rPr>
          <w:rFonts w:hint="eastAsia" w:ascii="宋体" w:hAnsi="宋体" w:cs="宋体"/>
          <w:b/>
          <w:color w:val="auto"/>
          <w:szCs w:val="21"/>
          <w:highlight w:val="none"/>
          <w:lang w:eastAsia="zh-CN"/>
        </w:rPr>
        <w:t>八</w:t>
      </w:r>
      <w:r>
        <w:rPr>
          <w:rFonts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ascii="宋体" w:hAnsi="宋体" w:cs="宋体"/>
          <w:b/>
          <w:color w:val="auto"/>
          <w:szCs w:val="21"/>
          <w:highlight w:val="none"/>
        </w:rPr>
        <w:t xml:space="preserve">        </w:t>
      </w:r>
      <w:r>
        <w:rPr>
          <w:rFonts w:hint="eastAsia" w:ascii="宋体" w:hAnsi="宋体" w:cs="宋体"/>
          <w:b/>
          <w:color w:val="auto"/>
          <w:szCs w:val="21"/>
          <w:highlight w:val="none"/>
          <w:lang w:val="en-US" w:eastAsia="zh-CN"/>
        </w:rPr>
        <w:t xml:space="preserve"> </w:t>
      </w:r>
      <w:r>
        <w:rPr>
          <w:rFonts w:ascii="宋体" w:hAnsi="宋体" w:cs="宋体"/>
          <w:b/>
          <w:color w:val="auto"/>
          <w:szCs w:val="21"/>
          <w:highlight w:val="none"/>
        </w:rPr>
        <w:t xml:space="preserve">    </w:t>
      </w:r>
      <w:r>
        <w:rPr>
          <w:rFonts w:hint="eastAsia" w:ascii="宋体" w:hAnsi="宋体" w:cs="宋体"/>
          <w:b/>
          <w:color w:val="auto"/>
          <w:szCs w:val="21"/>
          <w:highlight w:val="none"/>
        </w:rPr>
        <w:t>修改类型：增加</w:t>
      </w:r>
    </w:p>
    <w:p>
      <w:pPr>
        <w:pBdr>
          <w:bottom w:val="single" w:color="auto" w:sz="6" w:space="1"/>
        </w:pBdr>
        <w:snapToGrid w:val="0"/>
        <w:spacing w:line="360" w:lineRule="auto"/>
        <w:ind w:firstLine="472" w:firstLineChars="224"/>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现</w:t>
      </w:r>
      <w:r>
        <w:rPr>
          <w:rFonts w:hint="eastAsia" w:ascii="宋体" w:hAnsi="宋体" w:cs="宋体"/>
          <w:b/>
          <w:color w:val="auto"/>
          <w:szCs w:val="21"/>
          <w:highlight w:val="none"/>
        </w:rPr>
        <w:t>文：</w:t>
      </w:r>
      <w:r>
        <w:rPr>
          <w:rFonts w:hint="eastAsia" w:ascii="宋体" w:hAnsi="宋体" w:cs="宋体"/>
          <w:b w:val="0"/>
          <w:bCs/>
          <w:color w:val="auto"/>
          <w:szCs w:val="21"/>
          <w:highlight w:val="none"/>
          <w:u w:val="single"/>
        </w:rPr>
        <w:t>详见附表六至附表</w:t>
      </w:r>
      <w:r>
        <w:rPr>
          <w:rFonts w:hint="eastAsia" w:ascii="宋体" w:hAnsi="宋体" w:cs="宋体"/>
          <w:b w:val="0"/>
          <w:bCs/>
          <w:color w:val="auto"/>
          <w:szCs w:val="21"/>
          <w:highlight w:val="none"/>
          <w:u w:val="single"/>
          <w:lang w:eastAsia="zh-CN"/>
        </w:rPr>
        <w:t>八。</w:t>
      </w:r>
    </w:p>
    <w:p>
      <w:pPr>
        <w:snapToGrid w:val="0"/>
        <w:spacing w:line="360" w:lineRule="auto"/>
        <w:ind w:firstLine="211" w:firstLineChars="100"/>
        <w:rPr>
          <w:rFonts w:ascii="宋体" w:hAnsi="宋体" w:cs="宋体"/>
          <w:b/>
          <w:strike/>
          <w:color w:val="auto"/>
          <w:szCs w:val="21"/>
          <w:highlight w:val="none"/>
        </w:rPr>
      </w:pPr>
      <w:r>
        <w:rPr>
          <w:rFonts w:hint="eastAsia" w:ascii="宋体" w:hAnsi="宋体" w:cs="宋体"/>
          <w:b/>
          <w:strike/>
          <w:color w:val="auto"/>
          <w:szCs w:val="21"/>
          <w:highlight w:val="none"/>
        </w:rPr>
        <w:t>注：以上修改，仅限于本范本中有可供选择条款的情形。</w:t>
      </w:r>
    </w:p>
    <w:p>
      <w:pPr>
        <w:snapToGrid w:val="0"/>
        <w:spacing w:line="360" w:lineRule="auto"/>
        <w:rPr>
          <w:rFonts w:ascii="宋体" w:hAnsi="宋体" w:cs="宋体"/>
          <w:color w:val="auto"/>
          <w:highlight w:val="none"/>
        </w:rPr>
      </w:pPr>
      <w:r>
        <w:rPr>
          <w:rFonts w:hint="eastAsia" w:ascii="宋体" w:hAnsi="宋体" w:cs="宋体"/>
          <w:b/>
          <w:color w:val="auto"/>
          <w:szCs w:val="21"/>
          <w:highlight w:val="none"/>
        </w:rPr>
        <w:t>（以下无正文）</w:t>
      </w:r>
      <w:bookmarkStart w:id="18" w:name="_Toc2272556"/>
      <w:bookmarkStart w:id="19" w:name="_Toc5678"/>
      <w:bookmarkStart w:id="20" w:name="_Toc21525500"/>
      <w:bookmarkStart w:id="21" w:name="_Toc2272564"/>
      <w:r>
        <w:rPr>
          <w:rFonts w:hint="eastAsia" w:ascii="宋体" w:hAnsi="宋体" w:cs="宋体"/>
          <w:color w:val="auto"/>
          <w:highlight w:val="none"/>
        </w:rPr>
        <w:br w:type="page"/>
      </w:r>
    </w:p>
    <w:p>
      <w:pPr>
        <w:pStyle w:val="5"/>
        <w:snapToGrid w:val="0"/>
        <w:spacing w:before="0" w:after="0" w:line="360" w:lineRule="auto"/>
        <w:ind w:firstLine="525"/>
        <w:rPr>
          <w:rFonts w:ascii="宋体" w:hAnsi="宋体" w:cs="宋体"/>
          <w:color w:val="auto"/>
          <w:sz w:val="32"/>
          <w:szCs w:val="32"/>
          <w:highlight w:val="none"/>
        </w:rPr>
      </w:pPr>
      <w:r>
        <w:rPr>
          <w:rFonts w:hint="eastAsia" w:ascii="宋体" w:hAnsi="宋体" w:cs="宋体"/>
          <w:color w:val="auto"/>
          <w:sz w:val="32"/>
          <w:szCs w:val="32"/>
          <w:highlight w:val="none"/>
        </w:rPr>
        <w:t>二、开标、评标及定标办法通用条款</w:t>
      </w:r>
      <w:bookmarkEnd w:id="18"/>
      <w:bookmarkEnd w:id="19"/>
    </w:p>
    <w:p>
      <w:pPr>
        <w:pStyle w:val="7"/>
        <w:snapToGrid w:val="0"/>
        <w:spacing w:before="0" w:beforeAutospacing="0" w:after="0" w:afterAutospacing="0" w:line="360" w:lineRule="auto"/>
        <w:ind w:firstLine="542" w:firstLineChars="200"/>
        <w:rPr>
          <w:rFonts w:cs="宋体"/>
          <w:b/>
          <w:bCs/>
          <w:color w:val="auto"/>
          <w:highlight w:val="none"/>
        </w:rPr>
      </w:pPr>
      <w:bookmarkStart w:id="22" w:name="_Toc31373"/>
      <w:bookmarkStart w:id="23" w:name="_Toc2272557"/>
      <w:r>
        <w:rPr>
          <w:rFonts w:hint="eastAsia" w:cs="宋体"/>
          <w:b/>
          <w:bCs/>
          <w:color w:val="auto"/>
          <w:highlight w:val="none"/>
        </w:rPr>
        <w:t>（一）总则</w:t>
      </w:r>
      <w:bookmarkEnd w:id="22"/>
      <w:bookmarkEnd w:id="23"/>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35 开标、评标及定标所依据的规则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35.1《中华人民共和国招标投标法》；</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35.2《中华人民共和国招标投标法实施条例》；</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35.3《评标委员会和评标方法暂行规定》（七部委第12号令）</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35.4《工程建设项目施工招标投标办法》（七部委2003年第30号令）</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35.5《广东省实施〈中华人民共和国招标投标法〉办法》；</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35.6《房屋建筑和市政基础设施工程施工招标投标管理办法》（建设部令第89号）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35.7《财政部工业和信息化部关于印发〈政府采购促进中小企业发展管理办法〉的通知》（财库〔2020〕46号）；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35.8《广东省加强建设工程招标投标监督管理的若干规定》（粤发[2004]4号）；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35.9《广东省政府采购促进中小企业发展实施细则（试行）》；</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35.10《广州市工程建设项目招标投标管理办法》（穗建规字〔2023〕12号）；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35.11《广州市财政局广州市工业和信息化局转发广东省财政厅广东省发展和改革委员会广东省工业和信息化厅广东省地方金融监督管理局关于印发&lt;广东省政府采购促进中小企业发展实施细则（试行）&gt;的通知》（穗财采〔2023〕8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35.12本项目招标文件。</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36．开标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36.2 招标人在招标文件要求提交投标文件的截止时间前收到的投标文件，开标时都当众予以解密、公布。</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36.4若递交投标文件的投标人不足3家，则重新组织招标。（当N个标段同时招标且不允许兼中时，若有效投标人不足N+2家，则重新组织招标）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36.5按下列程序进行开标：</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36.5.1在投标截止时间后</w:t>
      </w:r>
      <w:r>
        <w:rPr>
          <w:rFonts w:hint="eastAsia" w:ascii="宋体" w:hAnsi="宋体" w:cs="宋体"/>
          <w:color w:val="auto"/>
          <w:sz w:val="24"/>
          <w:highlight w:val="none"/>
          <w:lang w:val="en-US" w:eastAsia="zh-CN"/>
        </w:rPr>
        <w:t>一</w:t>
      </w:r>
      <w:r>
        <w:rPr>
          <w:rFonts w:hint="eastAsia" w:ascii="宋体" w:hAnsi="宋体" w:cs="宋体"/>
          <w:color w:val="auto"/>
          <w:sz w:val="24"/>
          <w:highlight w:val="none"/>
        </w:rPr>
        <w:t>小时内，投标人通过交易平台对已递交的电子投标文件进行解密。投标人完成解密后，再由招标人进行解密。解密完成后，公布招标项目名称、投标人名称、投标保证金的递交情况、投标报价、工期及其他内容；</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36.5.2备用光盘的读取按投标须知前附表第36项的规定执行；</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36.5.3投标人代表、招标人代表、监标人、记录人等有关人员在开标记录上签字确认；若有关人员不签字的，不影响开标程序；</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36.5.4开标结束。</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36.7开标时，两个（含两个）以上的投标人加密打包投标文件电脑机器特征码一致的，不参与下一程序，并由评标委员会否决其投标。</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37．评标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37.1评标委员会由招标人依法组建。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37.2评标委员会在开始评标前，应了解评标专家的职责及守则，认真阅读附表七《评标委员会成员声明》的内容并签名，签字后方可进行评标；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37.3评标委员会的职责及守则：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37.3.1根据评标细则，对</w:t>
      </w:r>
      <w:r>
        <w:rPr>
          <w:rFonts w:hint="eastAsia" w:ascii="宋体" w:hAnsi="宋体" w:cs="宋体"/>
          <w:color w:val="auto"/>
          <w:sz w:val="24"/>
          <w:highlight w:val="none"/>
        </w:rPr>
        <w:t>投标文件</w:t>
      </w:r>
      <w:r>
        <w:rPr>
          <w:rFonts w:hint="eastAsia" w:ascii="宋体" w:hAnsi="宋体" w:cs="宋体"/>
          <w:color w:val="auto"/>
          <w:sz w:val="24"/>
          <w:szCs w:val="24"/>
          <w:highlight w:val="none"/>
        </w:rPr>
        <w:t>进行认真评审，完成评审报告；</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37.3.2向招标人报告评审意见，推荐合格的中标候选人。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bCs/>
          <w:color w:val="auto"/>
          <w:sz w:val="24"/>
          <w:szCs w:val="24"/>
          <w:highlight w:val="none"/>
        </w:rPr>
        <w:t>37.3.3</w:t>
      </w:r>
      <w:r>
        <w:rPr>
          <w:rFonts w:hint="eastAsia" w:ascii="宋体" w:hAnsi="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37.3.4全体参与评标人员：</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37.3.4.1 必须遵守评标纪律、不得泄密；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37.3.4.2 必须公正、不得循私；</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37.3.4.3 必须科学、不得草率；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37.3.4.4 必须客观、不得带有成见；</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37.3.4.5 必须平等、不得强加于人；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37.3.4.6 必须严谨、不得随意马虎。</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37.4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37.5评标结束后，评标委员会递交评标报告并依法推荐中标候选人。</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38．投标文件的澄清</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38.3 评标委员会或评标委员会专业评审组成员均应当阅读投标人的澄清，但应独立参考澄清对投标文件进行评审。</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napToGrid w:val="0"/>
        <w:spacing w:line="360" w:lineRule="auto"/>
        <w:ind w:firstLine="482" w:firstLineChars="200"/>
        <w:rPr>
          <w:rFonts w:ascii="宋体" w:hAnsi="宋体" w:eastAsia="宋体" w:cs="宋体"/>
          <w:b/>
          <w:bCs/>
          <w:color w:val="auto"/>
          <w:sz w:val="24"/>
          <w:szCs w:val="24"/>
          <w:highlight w:val="none"/>
        </w:rPr>
      </w:pPr>
      <w:r>
        <w:rPr>
          <w:rFonts w:hint="default" w:ascii="宋体" w:hAnsi="宋体" w:eastAsia="宋体" w:cs="宋体"/>
          <w:b/>
          <w:bCs/>
          <w:color w:val="auto"/>
          <w:sz w:val="24"/>
          <w:szCs w:val="24"/>
          <w:highlight w:val="none"/>
        </w:rPr>
        <w:t>39．定标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39.1 招标人根据评标委员会递交的评标报告，最终审定中标人。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39.2 依法必须进行公开招标的项目，招标人应当确定排名第一的中标候选人为中标人。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7"/>
        <w:snapToGrid w:val="0"/>
        <w:spacing w:before="0" w:beforeAutospacing="0" w:after="0" w:afterAutospacing="0" w:line="360" w:lineRule="auto"/>
        <w:ind w:firstLine="542" w:firstLineChars="200"/>
        <w:rPr>
          <w:rFonts w:cs="宋体"/>
          <w:b/>
          <w:bCs/>
          <w:color w:val="auto"/>
          <w:highlight w:val="none"/>
        </w:rPr>
      </w:pPr>
      <w:bookmarkStart w:id="24" w:name="_Toc2272558"/>
      <w:bookmarkStart w:id="25" w:name="_Toc9740"/>
      <w:r>
        <w:rPr>
          <w:rFonts w:hint="eastAsia" w:cs="宋体"/>
          <w:b/>
          <w:bCs/>
          <w:color w:val="auto"/>
          <w:highlight w:val="none"/>
        </w:rPr>
        <w:t>（二）开标评标办法程序和细则</w:t>
      </w:r>
      <w:bookmarkEnd w:id="24"/>
      <w:bookmarkEnd w:id="25"/>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注：以下</w:t>
      </w:r>
      <w:r>
        <w:rPr>
          <w:rFonts w:hint="eastAsia" w:ascii="宋体" w:hAnsi="宋体" w:cs="宋体"/>
          <w:color w:val="auto"/>
          <w:sz w:val="24"/>
          <w:szCs w:val="24"/>
          <w:highlight w:val="none"/>
          <w:lang w:eastAsia="zh-CN"/>
        </w:rPr>
        <w:t>八</w:t>
      </w:r>
      <w:r>
        <w:rPr>
          <w:rFonts w:hint="eastAsia" w:ascii="宋体" w:hAnsi="宋体" w:cs="宋体"/>
          <w:color w:val="auto"/>
          <w:sz w:val="24"/>
          <w:szCs w:val="24"/>
          <w:highlight w:val="none"/>
        </w:rPr>
        <w:t>种评标办法所述企业综合诚信评价分数即投标截止当日广州市工程招标代理行业协会网站上公布的企业综合诚信评价60日诚信分。</w:t>
      </w:r>
    </w:p>
    <w:p>
      <w:pPr>
        <w:pStyle w:val="7"/>
        <w:snapToGrid w:val="0"/>
        <w:spacing w:before="0" w:beforeAutospacing="0" w:after="0" w:afterAutospacing="0" w:line="360" w:lineRule="auto"/>
        <w:ind w:firstLine="480" w:firstLineChars="200"/>
        <w:rPr>
          <w:rFonts w:cs="宋体"/>
          <w:color w:val="auto"/>
          <w:sz w:val="24"/>
          <w:szCs w:val="24"/>
          <w:highlight w:val="none"/>
        </w:rPr>
      </w:pPr>
      <w:bookmarkStart w:id="26" w:name="_Toc3121"/>
      <w:r>
        <w:rPr>
          <w:rFonts w:hint="eastAsia" w:cs="宋体"/>
          <w:color w:val="auto"/>
          <w:sz w:val="24"/>
          <w:szCs w:val="24"/>
          <w:highlight w:val="none"/>
        </w:rPr>
        <w:t>可选办法七（适合综合评分法四，技术标与经济标同时开启）</w:t>
      </w:r>
      <w:bookmarkEnd w:id="26"/>
    </w:p>
    <w:p>
      <w:pPr>
        <w:snapToGrid w:val="0"/>
        <w:spacing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40．开标和评标程序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40.1技术标（含资格审查文件）与经济标投标文件同时公开开标；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40.2由评标委员会对所有已公开开标的投标人进行资格审查；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40.3技术标投标文件有效性审查；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40.4技术标详细审查评分；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40.5经济标详细审查评分；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40.6评标委员会按照投标人总得分由高至低排序；</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40.7经济标投标文件有效性审查；</w:t>
      </w:r>
    </w:p>
    <w:p>
      <w:pPr>
        <w:snapToGrid w:val="0"/>
        <w:spacing w:line="360" w:lineRule="auto"/>
        <w:ind w:firstLine="480" w:firstLineChars="200"/>
        <w:rPr>
          <w:rFonts w:ascii="宋体" w:hAnsi="宋体" w:cs="宋体"/>
          <w:color w:val="auto"/>
          <w:szCs w:val="21"/>
          <w:highlight w:val="none"/>
        </w:rPr>
      </w:pPr>
      <w:r>
        <w:rPr>
          <w:rFonts w:hint="eastAsia" w:ascii="宋体" w:hAnsi="宋体" w:cs="宋体"/>
          <w:color w:val="auto"/>
          <w:sz w:val="24"/>
          <w:szCs w:val="24"/>
          <w:highlight w:val="none"/>
        </w:rPr>
        <w:t>40.8评标委员会按排序向招标人推荐中标候选人名单，并递交资格审查报告及评标报告。</w:t>
      </w:r>
    </w:p>
    <w:p>
      <w:pPr>
        <w:snapToGrid w:val="0"/>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41．开标细则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41.1开标由招标人主持；</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 细则</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41.2.1投标截止期前，各投标人递交投标文件（包括技术标投标文件、经济标投标文件）至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交易平台。有关投标文件提交的事项详见第一章投标须知。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41.2.4按36.5.1的规定完成解密后，公布下列内容，并予以记录，记录提交评标委员会评审：</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41.2.4.1开标时，公布：a、投标人名称；b、</w:t>
      </w:r>
      <w:r>
        <w:rPr>
          <w:rFonts w:hint="eastAsia" w:ascii="宋体" w:hAnsi="宋体" w:cs="宋体"/>
          <w:color w:val="auto"/>
          <w:sz w:val="24"/>
          <w:highlight w:val="none"/>
        </w:rPr>
        <w:t>投标文件</w:t>
      </w:r>
      <w:r>
        <w:rPr>
          <w:rFonts w:hint="eastAsia" w:ascii="宋体" w:hAnsi="宋体" w:cs="宋体"/>
          <w:color w:val="auto"/>
          <w:sz w:val="24"/>
          <w:szCs w:val="24"/>
          <w:highlight w:val="none"/>
        </w:rPr>
        <w:t>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41.4 招标人将上述符合要求的投标文件，送至评标委员会进行评审。</w:t>
      </w:r>
    </w:p>
    <w:p>
      <w:pPr>
        <w:pStyle w:val="29"/>
        <w:tabs>
          <w:tab w:val="left" w:pos="7380"/>
        </w:tabs>
        <w:snapToGrid w:val="0"/>
        <w:spacing w:after="0"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42. 资格审查及评标细则</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42.1资格审查及评标均由招标人依法组建的评标委员会负责。</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42.2评标委员会的组成：方式</w:t>
      </w:r>
      <w:r>
        <w:rPr>
          <w:rFonts w:hint="eastAsia" w:ascii="宋体"/>
          <w:color w:val="000000" w:themeColor="text1"/>
          <w:sz w:val="24"/>
          <w:szCs w:val="24"/>
          <w:u w:val="single"/>
          <w14:textFill>
            <w14:solidFill>
              <w14:schemeClr w14:val="tx1"/>
            </w14:solidFill>
          </w14:textFill>
        </w:rPr>
        <w:t xml:space="preserve">     </w:t>
      </w:r>
      <w:r>
        <w:rPr>
          <w:rFonts w:hint="eastAsia" w:ascii="宋体"/>
          <w:color w:val="000000" w:themeColor="text1"/>
          <w:sz w:val="24"/>
          <w:szCs w:val="24"/>
          <w:u w:val="single"/>
          <w:lang w:val="en-US" w:eastAsia="zh-CN"/>
          <w14:textFill>
            <w14:solidFill>
              <w14:schemeClr w14:val="tx1"/>
            </w14:solidFill>
          </w14:textFill>
        </w:rPr>
        <w:t xml:space="preserve"> </w:t>
      </w:r>
      <w:r>
        <w:rPr>
          <w:rFonts w:hint="eastAsia" w:ascii="宋体" w:hAnsi="宋体" w:cs="宋体"/>
          <w:color w:val="auto"/>
          <w:sz w:val="24"/>
          <w:szCs w:val="24"/>
          <w:highlight w:val="none"/>
        </w:rPr>
        <w:t>。</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pStyle w:val="29"/>
        <w:tabs>
          <w:tab w:val="left" w:pos="7380"/>
        </w:tabs>
        <w:snapToGrid w:val="0"/>
        <w:spacing w:after="0" w:line="360" w:lineRule="auto"/>
        <w:rPr>
          <w:rFonts w:ascii="宋体" w:hAnsi="宋体" w:cs="宋体"/>
          <w:color w:val="auto"/>
          <w:sz w:val="24"/>
          <w:szCs w:val="24"/>
          <w:highlight w:val="none"/>
        </w:rPr>
      </w:pPr>
      <w:r>
        <w:rPr>
          <w:rFonts w:hint="eastAsia" w:ascii="宋体" w:hAnsi="宋体" w:cs="宋体"/>
          <w:color w:val="auto"/>
          <w:sz w:val="24"/>
          <w:szCs w:val="24"/>
          <w:highlight w:val="none"/>
        </w:rPr>
        <w:t>方式二：评标委员会由技术评审组和经济评审组组成。其中：资格审查及技术评审由技术评标组负责，经济评审由经济评审组负责。</w:t>
      </w:r>
    </w:p>
    <w:p>
      <w:pPr>
        <w:pStyle w:val="29"/>
        <w:tabs>
          <w:tab w:val="left" w:pos="7380"/>
        </w:tabs>
        <w:snapToGrid w:val="0"/>
        <w:spacing w:after="0"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43．投标人资格审查</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43.2汇总资格审查情况，编写资格审查报告。</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43.3资格审查不合格的投标文件不参加下一阶段的评标，不参与评标参考价的计算。</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43.5资审合格后，投标人的资格发生变化而不满足投标人合格条件，在发出中标通知书前，资格问题仍未解决的，招标人将取消其中标资格。</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43.6资格审查合格的投标人少于3名的（当N个标段同时招标且不允许兼中时，资格审查合格的投标人少于N+2名），则本项目招标失败。</w:t>
      </w:r>
    </w:p>
    <w:p>
      <w:pPr>
        <w:pStyle w:val="29"/>
        <w:tabs>
          <w:tab w:val="left" w:pos="7380"/>
        </w:tabs>
        <w:snapToGrid w:val="0"/>
        <w:spacing w:after="0"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44．技术标评审</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29"/>
        <w:tabs>
          <w:tab w:val="left" w:pos="7380"/>
        </w:tabs>
        <w:snapToGrid w:val="0"/>
        <w:spacing w:after="0"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45．经济标评审和得分汇总</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45.1若通过技术标有效性审查的投标人中所有投标报价均大于等于最高投标限价，则本项目招标失败，由招标人依法重新招标。</w:t>
      </w:r>
    </w:p>
    <w:p>
      <w:pPr>
        <w:widowControl/>
        <w:snapToGrid w:val="0"/>
        <w:spacing w:line="360" w:lineRule="auto"/>
        <w:ind w:firstLine="480" w:firstLineChars="200"/>
        <w:rPr>
          <w:rFonts w:hint="eastAsia" w:ascii="宋体" w:hAnsi="宋体"/>
          <w:color w:val="000000" w:themeColor="text1"/>
          <w:sz w:val="24"/>
          <w:szCs w:val="24"/>
          <w14:textFill>
            <w14:solidFill>
              <w14:schemeClr w14:val="tx1"/>
            </w14:solidFill>
          </w14:textFill>
        </w:rPr>
      </w:pPr>
      <w:r>
        <w:rPr>
          <w:rFonts w:hint="eastAsia" w:ascii="宋体" w:hAnsi="宋体" w:cs="宋体"/>
          <w:color w:val="auto"/>
          <w:kern w:val="0"/>
          <w:sz w:val="24"/>
          <w:szCs w:val="24"/>
          <w:highlight w:val="none"/>
        </w:rPr>
        <w:t>45.2</w:t>
      </w:r>
      <w:r>
        <w:rPr>
          <w:rFonts w:hint="eastAsia" w:ascii="宋体" w:hAnsi="宋体"/>
          <w:color w:val="000000" w:themeColor="text1"/>
          <w:sz w:val="24"/>
          <w:szCs w:val="24"/>
          <w14:textFill>
            <w14:solidFill>
              <w14:schemeClr w14:val="tx1"/>
            </w14:solidFill>
          </w14:textFill>
        </w:rPr>
        <w:t>计算评标参考价：</w:t>
      </w:r>
    </w:p>
    <w:p>
      <w:pPr>
        <w:widowControl/>
        <w:snapToGrid w:val="0"/>
        <w:spacing w:line="360" w:lineRule="auto"/>
        <w:ind w:firstLine="482" w:firstLineChars="200"/>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区间抽取法</w:t>
      </w:r>
    </w:p>
    <w:p>
      <w:pPr>
        <w:widowControl/>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widowControl/>
        <w:snapToGrid w:val="0"/>
        <w:spacing w:line="360" w:lineRule="auto"/>
        <w:ind w:firstLine="480" w:firstLineChars="200"/>
        <w:rPr>
          <w:rFonts w:ascii="宋体" w:hAnsi="宋体" w:cs="宋体"/>
          <w:color w:val="auto"/>
          <w:kern w:val="0"/>
          <w:sz w:val="24"/>
          <w:szCs w:val="24"/>
          <w:highlight w:val="none"/>
          <w:vertAlign w:val="subscript"/>
        </w:rPr>
      </w:pPr>
      <w:r>
        <w:rPr>
          <w:rFonts w:hint="eastAsia" w:ascii="宋体" w:hAnsi="宋体" w:cs="宋体"/>
          <w:color w:val="auto"/>
          <w:kern w:val="0"/>
          <w:sz w:val="24"/>
          <w:szCs w:val="24"/>
          <w:highlight w:val="none"/>
        </w:rPr>
        <w:t>评标参考价=（Q</w:t>
      </w:r>
      <w:r>
        <w:rPr>
          <w:rFonts w:hint="eastAsia" w:ascii="宋体" w:hAnsi="宋体" w:cs="宋体"/>
          <w:color w:val="auto"/>
          <w:kern w:val="0"/>
          <w:sz w:val="24"/>
          <w:szCs w:val="24"/>
          <w:highlight w:val="none"/>
          <w:vertAlign w:val="subscript"/>
        </w:rPr>
        <w:t>高</w:t>
      </w: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低</w:t>
      </w:r>
      <w:r>
        <w:rPr>
          <w:rFonts w:hint="eastAsia" w:ascii="宋体" w:hAnsi="宋体" w:cs="宋体"/>
          <w:color w:val="auto"/>
          <w:kern w:val="0"/>
          <w:sz w:val="24"/>
          <w:szCs w:val="24"/>
          <w:highlight w:val="none"/>
        </w:rPr>
        <w:t>）/100*Ｘ+Q</w:t>
      </w:r>
      <w:r>
        <w:rPr>
          <w:rFonts w:hint="eastAsia" w:ascii="宋体" w:hAnsi="宋体" w:cs="宋体"/>
          <w:color w:val="auto"/>
          <w:kern w:val="0"/>
          <w:sz w:val="24"/>
          <w:szCs w:val="24"/>
          <w:highlight w:val="none"/>
          <w:vertAlign w:val="subscript"/>
        </w:rPr>
        <w:t>低</w:t>
      </w:r>
    </w:p>
    <w:p>
      <w:pPr>
        <w:widowControl/>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低</w:t>
      </w:r>
      <w:r>
        <w:rPr>
          <w:rFonts w:hint="eastAsia" w:ascii="宋体" w:hAnsi="宋体" w:cs="宋体"/>
          <w:color w:val="auto"/>
          <w:sz w:val="24"/>
          <w:szCs w:val="24"/>
          <w:highlight w:val="none"/>
        </w:rPr>
        <w:t>：为达到或超过技术标及格分数线的投标人最低报价与工程成本警示价两者中的较高值；</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高</w:t>
      </w:r>
      <w:r>
        <w:rPr>
          <w:rFonts w:hint="eastAsia" w:ascii="宋体" w:hAnsi="宋体" w:cs="宋体"/>
          <w:color w:val="auto"/>
          <w:sz w:val="24"/>
          <w:szCs w:val="24"/>
          <w:highlight w:val="none"/>
        </w:rPr>
        <w:t>：为最高投标限价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X:为等分点值，在开标前从[0,100]整数中随机抽取</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pPr>
        <w:pStyle w:val="29"/>
        <w:tabs>
          <w:tab w:val="left" w:pos="7380"/>
        </w:tabs>
        <w:snapToGrid w:val="0"/>
        <w:spacing w:after="0"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29"/>
        <w:tabs>
          <w:tab w:val="left" w:pos="7380"/>
        </w:tabs>
        <w:snapToGrid w:val="0"/>
        <w:spacing w:after="0" w:line="360"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46.经济标的有效性审查</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46.2经济标的算术校核。评标委员会对进行经济标有效性审查的投标文件投标报价按照就低不就高的原则进行算术校核，具体标准如下：</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46.2.1如果数字表示的金额和用文字表示的金额不一致时，应以文字表示的金额为准；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46.2.2经算术复核的投标人报价与其投标报价不一致时，按就低不就高原则确定其最终报价；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46.2.4当合价、金额累加错误时，按就低不就高原则，如果累加修正值小于原累加值，则按累加修正值；如果累加修正值大于原累加值，则按原累加值；</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46.2.5如果投标人的有关规费、暂列金额、暂估价、绿色施工安全防护措施费等未按招标文件规定的金额填写的，由评标委员会按照招标文件规定的金额进行修正；</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49.若通过经济标有效性审查的投标人不足三家，应当依法重新招标。（当N个标段同时招标且不允许兼中时，若有效投标人不足N+2家，应当依法重新招标）</w:t>
      </w:r>
    </w:p>
    <w:bookmarkEnd w:id="20"/>
    <w:bookmarkEnd w:id="21"/>
    <w:p>
      <w:pPr>
        <w:snapToGrid w:val="0"/>
        <w:spacing w:line="360" w:lineRule="auto"/>
        <w:rPr>
          <w:rFonts w:ascii="宋体" w:hAnsi="宋体" w:cs="宋体"/>
          <w:color w:val="auto"/>
          <w:szCs w:val="21"/>
          <w:highlight w:val="none"/>
        </w:rPr>
      </w:pPr>
    </w:p>
    <w:p>
      <w:pPr>
        <w:widowControl/>
        <w:snapToGrid w:val="0"/>
        <w:spacing w:line="360" w:lineRule="auto"/>
        <w:ind w:right="102"/>
        <w:jc w:val="left"/>
        <w:rPr>
          <w:rFonts w:ascii="宋体" w:hAnsi="宋体" w:cs="宋体"/>
          <w:color w:val="auto"/>
          <w:szCs w:val="21"/>
          <w:highlight w:val="none"/>
        </w:rPr>
        <w:sectPr>
          <w:footerReference r:id="rId10" w:type="first"/>
          <w:footerReference r:id="rId9" w:type="default"/>
          <w:endnotePr>
            <w:numFmt w:val="decimal"/>
          </w:endnotePr>
          <w:pgSz w:w="11906" w:h="16838"/>
          <w:pgMar w:top="1440" w:right="1440" w:bottom="1440" w:left="1440" w:header="851" w:footer="907" w:gutter="0"/>
          <w:pgNumType w:start="1"/>
          <w:cols w:space="720" w:num="1"/>
          <w:docGrid w:type="lines" w:linePitch="312" w:charSpace="0"/>
        </w:sectPr>
      </w:pPr>
    </w:p>
    <w:p>
      <w:pPr>
        <w:widowControl/>
        <w:snapToGrid w:val="0"/>
        <w:spacing w:line="360" w:lineRule="auto"/>
        <w:ind w:right="102"/>
        <w:jc w:val="left"/>
        <w:rPr>
          <w:rFonts w:ascii="宋体" w:hAnsi="宋体" w:cs="宋体"/>
          <w:color w:val="auto"/>
          <w:szCs w:val="21"/>
          <w:highlight w:val="none"/>
        </w:rPr>
      </w:pPr>
      <w:r>
        <w:rPr>
          <w:rFonts w:hint="eastAsia" w:ascii="宋体" w:hAnsi="宋体" w:cs="宋体"/>
          <w:color w:val="auto"/>
          <w:szCs w:val="21"/>
          <w:highlight w:val="none"/>
        </w:rPr>
        <w:t>附表一：</w:t>
      </w:r>
    </w:p>
    <w:p>
      <w:pPr>
        <w:snapToGrid w:val="0"/>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31"/>
        <w:tblW w:w="146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6154"/>
        <w:gridCol w:w="6690"/>
        <w:gridCol w:w="1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（联合体各成员）</w:t>
            </w:r>
            <w:r>
              <w:rPr>
                <w:rFonts w:hint="eastAsia" w:ascii="宋体" w:hAnsi="宋体" w:cs="宋体"/>
                <w:color w:val="auto"/>
                <w:szCs w:val="21"/>
                <w:highlight w:val="none"/>
              </w:rPr>
              <w:t>参加投标的意思表达清楚，投标人代表被授权有效；</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r>
              <w:rPr>
                <w:rFonts w:hint="eastAsia" w:ascii="宋体" w:hAnsi="宋体" w:cs="宋体"/>
                <w:color w:val="auto"/>
                <w:szCs w:val="21"/>
                <w:highlight w:val="none"/>
              </w:rPr>
              <w:t>、法定代表人证明书</w:t>
            </w:r>
            <w:r>
              <w:rPr>
                <w:rFonts w:hint="eastAsia" w:ascii="宋体" w:hAnsi="宋体" w:cs="宋体"/>
                <w:color w:val="auto"/>
                <w:szCs w:val="21"/>
                <w:highlight w:val="none"/>
                <w:u w:val="single"/>
              </w:rPr>
              <w:t>扫描件</w:t>
            </w:r>
            <w:r>
              <w:rPr>
                <w:rFonts w:hint="eastAsia" w:ascii="宋体" w:hAnsi="宋体" w:cs="宋体"/>
                <w:color w:val="auto"/>
                <w:szCs w:val="21"/>
                <w:highlight w:val="none"/>
              </w:rPr>
              <w:t>；委托投标的还应提供法人授权委托证明书</w:t>
            </w:r>
            <w:r>
              <w:rPr>
                <w:rFonts w:hint="eastAsia" w:ascii="宋体" w:hAnsi="宋体" w:cs="宋体"/>
                <w:color w:val="auto"/>
                <w:szCs w:val="21"/>
                <w:highlight w:val="none"/>
                <w:u w:val="single"/>
              </w:rPr>
              <w:t>扫描件</w:t>
            </w:r>
            <w:r>
              <w:rPr>
                <w:rFonts w:hint="eastAsia" w:ascii="宋体" w:hAnsi="宋体" w:cs="宋体"/>
                <w:color w:val="auto"/>
                <w:szCs w:val="21"/>
                <w:highlight w:val="none"/>
                <w:u w:val="single"/>
                <w:lang w:eastAsia="zh-CN"/>
              </w:rPr>
              <w:t>，及授权委托人或2025年2月或2025年3月在本公司缴纳社保的有效社保证明</w:t>
            </w:r>
            <w:r>
              <w:rPr>
                <w:rFonts w:hint="eastAsia" w:ascii="宋体" w:hAnsi="宋体" w:cs="宋体"/>
                <w:color w:val="auto"/>
                <w:szCs w:val="21"/>
                <w:highlight w:val="none"/>
                <w:u w:val="single"/>
              </w:rPr>
              <w:t>。</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（联合体各成员）</w:t>
            </w:r>
            <w:r>
              <w:rPr>
                <w:rFonts w:hint="eastAsia" w:ascii="宋体" w:hAnsi="宋体" w:cs="宋体"/>
                <w:color w:val="auto"/>
                <w:szCs w:val="21"/>
                <w:highlight w:val="none"/>
              </w:rPr>
              <w:t>具有独立法人资格，按国家法律经营；</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营业执照扫描</w:t>
            </w:r>
            <w:r>
              <w:rPr>
                <w:rFonts w:hint="eastAsia" w:ascii="宋体" w:hAnsi="宋体" w:cs="宋体"/>
                <w:color w:val="auto"/>
                <w:highlight w:val="none"/>
              </w:rPr>
              <w:t>件或电子证照。</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3</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投标人持有建设行政主管部门颁发的</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企业资质证书及安全生产许可证；投标人</w:t>
            </w:r>
            <w:r>
              <w:rPr>
                <w:rFonts w:hint="eastAsia" w:ascii="宋体" w:hAnsi="宋体" w:cs="宋体"/>
                <w:color w:val="auto"/>
                <w:szCs w:val="21"/>
                <w:highlight w:val="none"/>
                <w:u w:val="single"/>
              </w:rPr>
              <w:t>（联合体各成员）</w:t>
            </w:r>
            <w:r>
              <w:rPr>
                <w:rFonts w:hint="eastAsia" w:ascii="宋体" w:hAnsi="宋体" w:cs="宋体"/>
                <w:color w:val="auto"/>
                <w:szCs w:val="21"/>
                <w:highlight w:val="none"/>
              </w:rPr>
              <w:t>资质符合公告要求；</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资质证书扫描件或电子证照，或符合招标公告规定的相关证明材料（如有）；安全生产许可证</w:t>
            </w:r>
            <w:r>
              <w:rPr>
                <w:rFonts w:hint="eastAsia" w:ascii="宋体" w:hAnsi="宋体" w:cs="宋体"/>
                <w:color w:val="auto"/>
                <w:szCs w:val="21"/>
                <w:highlight w:val="none"/>
                <w:u w:val="single"/>
              </w:rPr>
              <w:t>扫描件。</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投标人拟担任本工程项目负责人符合公告要求；</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使用有效期内的注册建造师注册证书扫描件或电子证照。</w:t>
            </w:r>
            <w:r>
              <w:rPr>
                <w:rFonts w:hint="eastAsia" w:ascii="宋体" w:hAnsi="宋体" w:eastAsia="宋体" w:cs="宋体"/>
                <w:color w:val="auto"/>
                <w:szCs w:val="21"/>
                <w:highlight w:val="none"/>
              </w:rPr>
              <w:t>（注：</w:t>
            </w:r>
            <w:r>
              <w:rPr>
                <w:rFonts w:hint="eastAsia" w:ascii="宋体" w:hAnsi="宋体" w:eastAsia="宋体" w:cs="宋体"/>
                <w:color w:val="auto"/>
                <w:szCs w:val="21"/>
                <w:highlight w:val="none"/>
                <w:u w:val="none"/>
              </w:rPr>
              <w:t>递交的注册建造师注册证书须符合招标公告第九条第4款注②的规定</w:t>
            </w:r>
            <w:r>
              <w:rPr>
                <w:rFonts w:hint="eastAsia" w:ascii="宋体" w:hAnsi="宋体" w:eastAsia="宋体" w:cs="宋体"/>
                <w:color w:val="auto"/>
                <w:szCs w:val="21"/>
                <w:highlight w:val="none"/>
              </w:rPr>
              <w:t>。）</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持有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项目负责人安全生产考核合格证（B类）或建筑施工企业项目负责人安全生产考核合格证；</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项目负责人安全生产考核合格证（B证）或建筑施工企业项目负责人安全生产考核合格证</w:t>
            </w:r>
            <w:r>
              <w:rPr>
                <w:rFonts w:hint="eastAsia" w:ascii="宋体" w:hAnsi="宋体" w:cs="宋体"/>
                <w:color w:val="auto"/>
                <w:szCs w:val="21"/>
                <w:highlight w:val="none"/>
                <w:u w:val="single"/>
              </w:rPr>
              <w:t>扫描件或电子证照。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投标人拟担任本工程技术负责人符合公告要求；</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bCs/>
                <w:color w:val="auto"/>
                <w:szCs w:val="21"/>
                <w:highlight w:val="none"/>
                <w:u w:val="single"/>
              </w:rPr>
              <w:t>拟委派技术负责人的职称证书扫描件。</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7</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专职安全员须具有</w:t>
            </w:r>
            <w:r>
              <w:rPr>
                <w:rFonts w:hint="eastAsia" w:ascii="宋体" w:hAnsi="宋体" w:cs="宋体"/>
                <w:color w:val="auto"/>
                <w:szCs w:val="21"/>
                <w:highlight w:val="none"/>
                <w:u w:val="single"/>
              </w:rPr>
              <w:t>有效期内的</w:t>
            </w:r>
            <w:r>
              <w:rPr>
                <w:rFonts w:hint="eastAsia" w:ascii="宋体" w:hAnsi="宋体" w:cs="宋体"/>
                <w:color w:val="auto"/>
                <w:szCs w:val="21"/>
                <w:highlight w:val="none"/>
              </w:rPr>
              <w:t>安全生产考核合格证（C证）或建筑施工企业专职安全生产管理人员安全生产考核合格证（C3）；</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专职安全员的安全生产考核合格证（C证）或建筑施工企业专职安全生产管理人员安全生产考核合格证</w:t>
            </w:r>
            <w:r>
              <w:rPr>
                <w:rFonts w:hint="eastAsia" w:ascii="宋体" w:hAnsi="宋体" w:cs="宋体"/>
                <w:color w:val="auto"/>
                <w:szCs w:val="21"/>
                <w:highlight w:val="none"/>
                <w:u w:val="single"/>
              </w:rPr>
              <w:t>扫描件或电子证照。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8</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投标人提供的投标人声明符合公告要求；</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9</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投标人声明中签字的项目负责人和技术负责人与本项目拟派的项目负责人和技术负责人一致；</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网上投标时选择拟投标的项目负责人、资格审查文件中拟委派的技术负责人及投标人声明。</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10</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Style w:val="39"/>
                <w:rFonts w:hint="default" w:cs="宋体"/>
                <w:color w:val="auto"/>
                <w:sz w:val="21"/>
                <w:szCs w:val="21"/>
                <w:highlight w:val="none"/>
              </w:rPr>
              <w:t>关于联合体投标：本项目</w:t>
            </w:r>
            <w:r>
              <w:rPr>
                <w:rStyle w:val="39"/>
                <w:rFonts w:hint="default" w:cs="宋体"/>
                <w:b/>
                <w:bCs/>
                <w:color w:val="auto"/>
                <w:sz w:val="21"/>
                <w:szCs w:val="21"/>
                <w:highlight w:val="none"/>
              </w:rPr>
              <w:t>接受</w:t>
            </w:r>
            <w:r>
              <w:rPr>
                <w:rStyle w:val="39"/>
                <w:rFonts w:hint="default" w:cs="宋体"/>
                <w:color w:val="auto"/>
                <w:sz w:val="21"/>
                <w:szCs w:val="21"/>
                <w:highlight w:val="none"/>
              </w:rPr>
              <w:t>联合体投标；</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strike/>
                <w:color w:val="auto"/>
                <w:szCs w:val="21"/>
                <w:highlight w:val="none"/>
                <w:u w:val="single"/>
              </w:rPr>
            </w:pPr>
            <w:r>
              <w:rPr>
                <w:rFonts w:hint="eastAsia" w:ascii="宋体" w:hAnsi="宋体" w:cs="宋体"/>
                <w:color w:val="auto"/>
                <w:szCs w:val="21"/>
                <w:highlight w:val="none"/>
                <w:u w:val="single"/>
              </w:rPr>
              <w:t>如联合体投标，应符合招标公告要求。</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11</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资格审查前，投标人（联合体各成员）须在广州交易集团有限公司（广州公共资源交易中心）企业库办理企业信息登记及拟担任本工程项目负责人、专职安全员须是本企业（联合体主办方）信息登记中的在册人员；</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b/>
                <w:bCs/>
                <w:color w:val="auto"/>
                <w:szCs w:val="21"/>
                <w:highlight w:val="none"/>
                <w:u w:val="single"/>
              </w:rPr>
              <w:t>投标人无需提供证明资料</w:t>
            </w:r>
            <w:r>
              <w:rPr>
                <w:rFonts w:hint="eastAsia" w:ascii="宋体" w:hAnsi="宋体" w:cs="宋体"/>
                <w:bCs/>
                <w:color w:val="auto"/>
                <w:szCs w:val="21"/>
                <w:highlight w:val="none"/>
                <w:u w:val="single"/>
              </w:rPr>
              <w:t>。</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12</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（联合体各成员）</w:t>
            </w:r>
            <w:r>
              <w:rPr>
                <w:rFonts w:hint="eastAsia" w:ascii="宋体" w:hAnsi="宋体" w:cs="宋体"/>
                <w:color w:val="auto"/>
                <w:szCs w:val="21"/>
                <w:highlight w:val="none"/>
              </w:rPr>
              <w:t>未出现以下情形：与其它投标人的单位负责人为同一人或者存在控股、管理关系的（按投标人提供的《投标人声明》第八条内容进行评审）；</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投标人声明</w:t>
            </w:r>
            <w:r>
              <w:rPr>
                <w:rFonts w:hint="eastAsia" w:ascii="宋体" w:hAnsi="宋体" w:cs="宋体"/>
                <w:color w:val="auto"/>
                <w:szCs w:val="21"/>
                <w:highlight w:val="none"/>
                <w:u w:val="single"/>
              </w:rPr>
              <w:t>扫描件。</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13</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投标人</w:t>
            </w:r>
            <w:r>
              <w:rPr>
                <w:rFonts w:hint="eastAsia" w:ascii="宋体" w:hAnsi="宋体" w:cs="宋体"/>
                <w:color w:val="auto"/>
                <w:szCs w:val="21"/>
                <w:highlight w:val="none"/>
                <w:u w:val="single"/>
              </w:rPr>
              <w:t>（联合体各成员）</w:t>
            </w:r>
            <w:r>
              <w:rPr>
                <w:rFonts w:hint="eastAsia" w:ascii="宋体" w:hAnsi="宋体" w:cs="宋体"/>
                <w:color w:val="auto"/>
                <w:szCs w:val="21"/>
                <w:highlight w:val="none"/>
              </w:rPr>
              <w:t>未被列入拖欠农民工工资失信联合惩戒对象名单；</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ascii="宋体" w:hAnsi="宋体" w:cs="宋体"/>
                <w:color w:val="auto"/>
                <w:szCs w:val="21"/>
                <w:highlight w:val="none"/>
                <w:u w:val="single"/>
              </w:rPr>
            </w:pPr>
            <w:r>
              <w:rPr>
                <w:rFonts w:hint="eastAsia" w:ascii="宋体" w:hAnsi="宋体" w:cs="宋体"/>
                <w:color w:val="auto"/>
                <w:szCs w:val="21"/>
                <w:highlight w:val="none"/>
                <w:u w:val="single"/>
              </w:rPr>
              <w:t>投标人无需提供资料，按投标截止时间广州交易集团有限公司（广州公共资源交易中心）交易系统比对的结果进行评审。</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14</w:t>
            </w:r>
          </w:p>
        </w:tc>
        <w:tc>
          <w:tcPr>
            <w:tcW w:w="615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投标人（联合体各方）未在以往工程中因不充分履约行为被本项目招标人书面拒绝投标的企业名单。</w:t>
            </w:r>
          </w:p>
        </w:tc>
        <w:tc>
          <w:tcPr>
            <w:tcW w:w="669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投标人无需提供资料，资格审查时，按招标公告附件三《被招标人拒绝投标的企业名单》进行评审。</w:t>
            </w:r>
          </w:p>
        </w:tc>
        <w:tc>
          <w:tcPr>
            <w:tcW w:w="109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rPr>
            </w:pPr>
          </w:p>
        </w:tc>
      </w:tr>
    </w:tbl>
    <w:p>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备注：1</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每一项目符合的打“○”，不符合的打“×”；</w:t>
      </w:r>
    </w:p>
    <w:p>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若评委意见不一致时，则按少数服从多数的原则，作出评审结论。汇总后，出现一个“×”的结论为“不通过”。</w:t>
      </w:r>
    </w:p>
    <w:p>
      <w:pPr>
        <w:snapToGrid w:val="0"/>
        <w:spacing w:line="36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napToGrid w:val="0"/>
        <w:spacing w:line="360" w:lineRule="auto"/>
        <w:ind w:firstLine="470" w:firstLineChars="224"/>
        <w:rPr>
          <w:rFonts w:ascii="宋体" w:hAnsi="宋体" w:cs="宋体"/>
          <w:color w:val="auto"/>
          <w:szCs w:val="21"/>
          <w:highlight w:val="none"/>
        </w:rPr>
      </w:pP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highlight w:val="none"/>
        </w:rPr>
        <w:sectPr>
          <w:endnotePr>
            <w:numFmt w:val="decimal"/>
          </w:endnotePr>
          <w:pgSz w:w="16838" w:h="11906" w:orient="landscape"/>
          <w:pgMar w:top="1361" w:right="1247" w:bottom="1361" w:left="1247" w:header="851" w:footer="907" w:gutter="0"/>
          <w:cols w:space="720" w:num="1"/>
          <w:titlePg/>
          <w:docGrid w:type="linesAndChars" w:linePitch="312" w:charSpace="0"/>
        </w:sect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附表二</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1"/>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692"/>
        <w:gridCol w:w="725"/>
        <w:gridCol w:w="725"/>
        <w:gridCol w:w="725"/>
        <w:gridCol w:w="725"/>
        <w:gridCol w:w="725"/>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9692" w:type="dxa"/>
            <w:tcBorders>
              <w:top w:val="single" w:color="auto" w:sz="4" w:space="0"/>
              <w:left w:val="single" w:color="auto" w:sz="4" w:space="0"/>
              <w:bottom w:val="single" w:color="auto" w:sz="4" w:space="0"/>
              <w:right w:val="single" w:color="auto" w:sz="4" w:space="0"/>
              <w:tl2br w:val="single" w:color="auto" w:sz="4" w:space="0"/>
            </w:tcBorders>
            <w:noWrap/>
          </w:tcPr>
          <w:p>
            <w:pPr>
              <w:adjustRightInd w:val="0"/>
              <w:snapToGrid w:val="0"/>
              <w:spacing w:line="360" w:lineRule="auto"/>
              <w:ind w:firstLine="8400" w:firstLineChars="4000"/>
              <w:rPr>
                <w:rFonts w:ascii="宋体" w:hAnsi="宋体" w:cs="宋体"/>
                <w:color w:val="auto"/>
                <w:szCs w:val="21"/>
                <w:highlight w:val="none"/>
              </w:rPr>
            </w:pPr>
            <w:r>
              <w:rPr>
                <w:rFonts w:hint="eastAsia" w:ascii="宋体" w:hAnsi="宋体" w:cs="宋体"/>
                <w:color w:val="auto"/>
                <w:szCs w:val="21"/>
                <w:highlight w:val="none"/>
              </w:rPr>
              <w:t>投标人</w:t>
            </w:r>
          </w:p>
          <w:p>
            <w:pPr>
              <w:adjustRightInd w:val="0"/>
              <w:snapToGrid w:val="0"/>
              <w:spacing w:line="360" w:lineRule="auto"/>
              <w:rPr>
                <w:rFonts w:ascii="宋体" w:hAnsi="宋体" w:cs="宋体"/>
                <w:color w:val="auto"/>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《广州建设工程施工招标投标书（技术标）》中填报的投标总工期不符合招标文件要求的；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u w:val="single"/>
              </w:rPr>
              <w:t>《广州建设工程施工招标投标书（技术标）》中填报的工程质量标准不符合招标文件要求的；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3</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投标文件中没有有效的法定代表人证明书，或由委托代理人签署的投标文件中没有法定代表人授权书；</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4</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技术标）》《投标函》《标函承诺书》《中小企业声明函》（如有）《分包意向协议书》（如有）《项目负责人驻场承诺书》《响应招标文件所附施工组织设计要点的承诺书》《危险性较大的分部分项工程安全管理措施》）</w:t>
            </w:r>
            <w:r>
              <w:rPr>
                <w:rFonts w:hint="eastAsia" w:ascii="宋体" w:hAnsi="宋体" w:cs="宋体"/>
                <w:color w:val="auto"/>
                <w:szCs w:val="21"/>
                <w:highlight w:val="none"/>
              </w:rPr>
              <w:t>，或主要内容（指投标文件组成内容）不全，或关键字迹模糊、无法辨认的；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5</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6</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无《参与编制技术标投标文件人员名单》的；</w:t>
            </w:r>
            <w:r>
              <w:rPr>
                <w:rFonts w:hint="eastAsia" w:ascii="宋体" w:hAnsi="宋体" w:cs="宋体"/>
                <w:color w:val="auto"/>
                <w:szCs w:val="21"/>
                <w:highlight w:val="none"/>
                <w:u w:val="single"/>
                <w:lang w:val="en-US" w:eastAsia="zh-CN"/>
              </w:rPr>
              <w:t>或未提供《参与编制经济标文件人员名单》表中人员2025年2月或2025年3月有效社保证明资料。</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7</w:t>
            </w:r>
          </w:p>
        </w:tc>
        <w:tc>
          <w:tcPr>
            <w:tcW w:w="969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5"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c>
          <w:tcPr>
            <w:tcW w:w="727" w:type="dxa"/>
            <w:tcBorders>
              <w:top w:val="single" w:color="auto" w:sz="4" w:space="0"/>
              <w:left w:val="single" w:color="auto" w:sz="4" w:space="0"/>
              <w:bottom w:val="single" w:color="auto" w:sz="4" w:space="0"/>
              <w:right w:val="single" w:color="auto" w:sz="4" w:space="0"/>
            </w:tcBorders>
            <w:noWrap/>
          </w:tcPr>
          <w:p>
            <w:pPr>
              <w:adjustRightInd w:val="0"/>
              <w:snapToGrid w:val="0"/>
              <w:spacing w:line="360" w:lineRule="auto"/>
              <w:rPr>
                <w:rFonts w:ascii="宋体" w:hAnsi="宋体" w:cs="宋体"/>
                <w:color w:val="auto"/>
                <w:szCs w:val="21"/>
                <w:highlight w:val="none"/>
              </w:rPr>
            </w:pPr>
          </w:p>
        </w:tc>
      </w:tr>
    </w:tbl>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3.凡出现以上任何一项情形，结论均为无效，否则就为有效。</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pPr>
        <w:snapToGrid w:val="0"/>
        <w:spacing w:line="360" w:lineRule="auto"/>
        <w:ind w:firstLine="470" w:firstLineChars="224"/>
        <w:rPr>
          <w:rFonts w:ascii="宋体" w:hAnsi="宋体" w:cs="宋体"/>
          <w:color w:val="auto"/>
          <w:szCs w:val="21"/>
          <w:highlight w:val="none"/>
        </w:rPr>
      </w:pP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Cs w:val="21"/>
          <w:highlight w:val="none"/>
        </w:rPr>
        <w:t>附表三</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bl>
      <w:tblPr>
        <w:tblStyle w:val="31"/>
        <w:tblW w:w="142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608"/>
        <w:gridCol w:w="857"/>
        <w:gridCol w:w="857"/>
        <w:gridCol w:w="857"/>
        <w:gridCol w:w="857"/>
        <w:gridCol w:w="857"/>
        <w:gridCol w:w="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序号</w:t>
            </w:r>
          </w:p>
        </w:tc>
        <w:tc>
          <w:tcPr>
            <w:tcW w:w="8608" w:type="dxa"/>
            <w:tcBorders>
              <w:top w:val="single" w:color="auto" w:sz="4" w:space="0"/>
              <w:left w:val="single" w:color="auto" w:sz="4" w:space="0"/>
              <w:bottom w:val="single" w:color="auto" w:sz="4" w:space="0"/>
              <w:right w:val="single" w:color="auto" w:sz="4" w:space="0"/>
              <w:tl2br w:val="single" w:color="auto" w:sz="4" w:space="0"/>
            </w:tcBorders>
            <w:noWrap/>
          </w:tcPr>
          <w:p>
            <w:pPr>
              <w:snapToGrid w:val="0"/>
              <w:spacing w:line="360" w:lineRule="auto"/>
              <w:ind w:firstLine="7350" w:firstLineChars="3500"/>
              <w:rPr>
                <w:rFonts w:ascii="宋体" w:hAnsi="宋体" w:cs="宋体"/>
                <w:color w:val="auto"/>
                <w:szCs w:val="21"/>
                <w:highlight w:val="none"/>
              </w:rPr>
            </w:pPr>
            <w:r>
              <w:rPr>
                <w:rFonts w:hint="eastAsia" w:ascii="宋体" w:hAnsi="宋体" w:cs="宋体"/>
                <w:color w:val="auto"/>
                <w:szCs w:val="21"/>
                <w:highlight w:val="none"/>
              </w:rPr>
              <w:t>投标人</w:t>
            </w:r>
          </w:p>
          <w:p>
            <w:pPr>
              <w:snapToGrid w:val="0"/>
              <w:spacing w:line="360" w:lineRule="auto"/>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评审内容</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对同一招标项目出现两个或以上的投标报价，且没有申明哪个有效；</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投标报价高于最高投标限价的；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3</w:t>
            </w:r>
          </w:p>
        </w:tc>
        <w:tc>
          <w:tcPr>
            <w:tcW w:w="860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投标报价低于成本的</w:t>
            </w:r>
            <w:r>
              <w:rPr>
                <w:rFonts w:hint="eastAsia" w:ascii="宋体" w:hAnsi="宋体" w:cs="宋体"/>
                <w:color w:val="auto"/>
                <w:szCs w:val="21"/>
                <w:highlight w:val="none"/>
                <w:u w:val="single"/>
              </w:rPr>
              <w:t>（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4</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投标文件未按规定的格式填写</w:t>
            </w:r>
            <w:r>
              <w:rPr>
                <w:rFonts w:hint="eastAsia" w:ascii="宋体" w:hAnsi="宋体" w:cs="宋体"/>
                <w:color w:val="auto"/>
                <w:szCs w:val="21"/>
                <w:highlight w:val="none"/>
                <w:u w:val="single"/>
              </w:rPr>
              <w:t>（指招标文件第四章提供格式的《广州建设工程施工招标投标书（经济标）》《对投标文件编制的承诺》）</w:t>
            </w:r>
            <w:r>
              <w:rPr>
                <w:rFonts w:hint="eastAsia" w:ascii="宋体" w:hAnsi="宋体" w:cs="宋体"/>
                <w:color w:val="auto"/>
                <w:szCs w:val="21"/>
                <w:highlight w:val="none"/>
              </w:rPr>
              <w:t>，或主要内容不全，或关键字迹模糊、无法辨认的；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5</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投标人之间存在《广东省实施&lt;中华人民共和国招标投标法&gt;》第十六条所禁止的情形的；</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6</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无《参与编制经济标投标文件人员名单》的；</w:t>
            </w:r>
            <w:r>
              <w:rPr>
                <w:rFonts w:hint="eastAsia" w:ascii="宋体" w:hAnsi="宋体" w:cs="宋体"/>
                <w:color w:val="auto"/>
                <w:szCs w:val="21"/>
                <w:highlight w:val="none"/>
                <w:u w:val="single"/>
                <w:lang w:val="en-US" w:eastAsia="zh-CN"/>
              </w:rPr>
              <w:t>或未提供《参与编制经济标文件人员名单》表中人员2025年2月或2025年3月有效社保证明资料。</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7</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无《对投标文件编制的承诺》；</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8</w:t>
            </w:r>
          </w:p>
        </w:tc>
        <w:tc>
          <w:tcPr>
            <w:tcW w:w="860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投标人与本项目其他投标人的投标文件工程量清单编制机器硬件信息一致的[以</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交易平台评标系统的检索信息为准]。</w:t>
            </w: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7"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c>
          <w:tcPr>
            <w:tcW w:w="858" w:type="dxa"/>
            <w:tcBorders>
              <w:top w:val="single" w:color="auto" w:sz="4" w:space="0"/>
              <w:left w:val="single" w:color="auto" w:sz="4" w:space="0"/>
              <w:bottom w:val="single" w:color="auto" w:sz="4" w:space="0"/>
              <w:right w:val="single" w:color="auto" w:sz="4" w:space="0"/>
            </w:tcBorders>
            <w:noWrap/>
          </w:tcPr>
          <w:p>
            <w:pPr>
              <w:snapToGrid w:val="0"/>
              <w:spacing w:line="360" w:lineRule="auto"/>
              <w:rPr>
                <w:rFonts w:ascii="宋体" w:hAnsi="宋体" w:cs="宋体"/>
                <w:color w:val="auto"/>
                <w:szCs w:val="21"/>
                <w:highlight w:val="none"/>
              </w:rPr>
            </w:pPr>
          </w:p>
        </w:tc>
      </w:tr>
    </w:tbl>
    <w:p>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pPr>
        <w:snapToGrid w:val="0"/>
        <w:spacing w:line="360" w:lineRule="auto"/>
        <w:ind w:firstLine="458"/>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pPr>
        <w:snapToGrid w:val="0"/>
        <w:spacing w:line="360" w:lineRule="auto"/>
        <w:ind w:firstLine="458"/>
        <w:rPr>
          <w:rFonts w:ascii="宋体" w:hAnsi="宋体" w:cs="宋体"/>
          <w:b/>
          <w:bCs/>
          <w:color w:val="auto"/>
          <w:szCs w:val="21"/>
          <w:highlight w:val="none"/>
        </w:rPr>
      </w:pPr>
      <w:r>
        <w:rPr>
          <w:rFonts w:hint="eastAsia" w:ascii="宋体" w:hAnsi="宋体" w:cs="宋体"/>
          <w:b/>
          <w:bCs/>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snapToGrid w:val="0"/>
        <w:spacing w:line="360" w:lineRule="auto"/>
        <w:ind w:firstLine="470" w:firstLineChars="224"/>
        <w:rPr>
          <w:rFonts w:ascii="宋体" w:hAnsi="宋体" w:cs="宋体"/>
          <w:color w:val="auto"/>
          <w:szCs w:val="21"/>
          <w:highlight w:val="none"/>
        </w:rPr>
      </w:pPr>
    </w:p>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评委签名：</w:t>
      </w:r>
    </w:p>
    <w:p>
      <w:pPr>
        <w:snapToGrid w:val="0"/>
        <w:spacing w:line="360" w:lineRule="auto"/>
        <w:ind w:firstLine="470" w:firstLineChars="224"/>
        <w:rPr>
          <w:rFonts w:ascii="宋体" w:hAnsi="宋体" w:cs="宋体"/>
          <w:color w:val="auto"/>
          <w:szCs w:val="21"/>
          <w:highlight w:val="none"/>
        </w:rPr>
      </w:pPr>
    </w:p>
    <w:p>
      <w:pPr>
        <w:pStyle w:val="6"/>
        <w:snapToGrid w:val="0"/>
        <w:spacing w:line="360" w:lineRule="auto"/>
        <w:rPr>
          <w:rFonts w:ascii="宋体" w:hAnsi="宋体" w:cs="宋体"/>
          <w:color w:val="auto"/>
          <w:sz w:val="24"/>
          <w:szCs w:val="24"/>
          <w:highlight w:val="none"/>
        </w:rPr>
      </w:pPr>
    </w:p>
    <w:p>
      <w:pPr>
        <w:snapToGrid w:val="0"/>
        <w:spacing w:line="360" w:lineRule="auto"/>
        <w:jc w:val="left"/>
        <w:rPr>
          <w:rFonts w:ascii="宋体" w:hAnsi="宋体" w:cs="宋体"/>
          <w:b/>
          <w:bCs/>
          <w:color w:val="auto"/>
          <w:sz w:val="24"/>
          <w:szCs w:val="24"/>
          <w:highlight w:val="none"/>
        </w:rPr>
        <w:sectPr>
          <w:footerReference r:id="rId11" w:type="default"/>
          <w:pgSz w:w="16840" w:h="11907" w:orient="landscape"/>
          <w:pgMar w:top="1418" w:right="1247" w:bottom="1418" w:left="1247" w:header="851" w:footer="992" w:gutter="0"/>
          <w:cols w:space="720" w:num="1"/>
          <w:docGrid w:type="lines" w:linePitch="312" w:charSpace="0"/>
        </w:sectPr>
      </w:pPr>
    </w:p>
    <w:p>
      <w:pPr>
        <w:snapToGrid w:val="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附表四</w:t>
      </w:r>
      <w:r>
        <w:rPr>
          <w:rFonts w:hint="eastAsia" w:ascii="宋体" w:hAnsi="宋体" w:cs="宋体"/>
          <w:b/>
          <w:bCs/>
          <w:color w:val="auto"/>
          <w:sz w:val="24"/>
          <w:szCs w:val="24"/>
          <w:highlight w:val="none"/>
          <w:lang w:val="en-US" w:eastAsia="zh-CN"/>
        </w:rPr>
        <w:t>-1</w:t>
      </w:r>
    </w:p>
    <w:p>
      <w:pPr>
        <w:snapToGrid w:val="0"/>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技术标（答辩）评分表</w:t>
      </w:r>
    </w:p>
    <w:tbl>
      <w:tblPr>
        <w:tblStyle w:val="31"/>
        <w:tblW w:w="4994"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3"/>
        <w:gridCol w:w="3228"/>
        <w:gridCol w:w="568"/>
        <w:gridCol w:w="2830"/>
        <w:gridCol w:w="3012"/>
        <w:gridCol w:w="2950"/>
        <w:gridCol w:w="1179"/>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blHeader/>
          <w:jc w:val="center"/>
        </w:trPr>
        <w:tc>
          <w:tcPr>
            <w:tcW w:w="325" w:type="pct"/>
            <w:tcBorders>
              <w:top w:val="single" w:color="auto" w:sz="8" w:space="0"/>
              <w:left w:val="single" w:color="auto" w:sz="8"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评分项目</w:t>
            </w:r>
          </w:p>
        </w:tc>
        <w:tc>
          <w:tcPr>
            <w:tcW w:w="1046" w:type="pct"/>
            <w:tcBorders>
              <w:top w:val="single" w:color="auto" w:sz="8" w:space="0"/>
              <w:left w:val="single" w:color="auto" w:sz="4" w:space="0"/>
              <w:bottom w:val="single" w:color="auto" w:sz="4" w:space="0"/>
              <w:right w:val="single" w:color="auto" w:sz="4" w:space="0"/>
            </w:tcBorders>
            <w:noWrap w:val="0"/>
            <w:vAlign w:val="center"/>
          </w:tcPr>
          <w:p>
            <w:pPr>
              <w:pStyle w:val="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评分内容</w:t>
            </w:r>
          </w:p>
        </w:tc>
        <w:tc>
          <w:tcPr>
            <w:tcW w:w="183" w:type="pct"/>
            <w:tcBorders>
              <w:top w:val="single" w:color="auto" w:sz="8" w:space="0"/>
              <w:left w:val="single" w:color="auto" w:sz="4" w:space="0"/>
              <w:bottom w:val="single" w:color="auto" w:sz="4" w:space="0"/>
              <w:right w:val="single" w:color="auto" w:sz="4" w:space="0"/>
            </w:tcBorders>
            <w:noWrap w:val="0"/>
            <w:vAlign w:val="center"/>
          </w:tcPr>
          <w:p>
            <w:pPr>
              <w:pStyle w:val="4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c>
          <w:tcPr>
            <w:tcW w:w="3231" w:type="pct"/>
            <w:gridSpan w:val="4"/>
            <w:tcBorders>
              <w:top w:val="single" w:color="auto" w:sz="8" w:space="0"/>
              <w:left w:val="single" w:color="auto" w:sz="4" w:space="0"/>
              <w:bottom w:val="single" w:color="auto" w:sz="4" w:space="0"/>
              <w:right w:val="single" w:color="auto" w:sz="4" w:space="0"/>
            </w:tcBorders>
            <w:noWrap w:val="0"/>
            <w:vAlign w:val="center"/>
          </w:tcPr>
          <w:p>
            <w:pPr>
              <w:pStyle w:val="40"/>
              <w:ind w:firstLine="422" w:firstLineChars="200"/>
              <w:jc w:val="center"/>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blHeader/>
          <w:jc w:val="center"/>
        </w:trPr>
        <w:tc>
          <w:tcPr>
            <w:tcW w:w="325" w:type="pct"/>
            <w:vMerge w:val="restart"/>
            <w:tcBorders>
              <w:top w:val="single" w:color="auto" w:sz="8" w:space="0"/>
              <w:left w:val="single" w:color="auto" w:sz="8"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答辩</w:t>
            </w:r>
          </w:p>
          <w:p>
            <w:pPr>
              <w:pStyle w:val="40"/>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ascii="宋体" w:hAnsi="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（10分）</w:t>
            </w:r>
          </w:p>
        </w:tc>
        <w:tc>
          <w:tcPr>
            <w:tcW w:w="1230" w:type="pct"/>
            <w:gridSpan w:val="2"/>
            <w:tcBorders>
              <w:top w:val="single" w:color="auto" w:sz="8" w:space="0"/>
              <w:left w:val="single" w:color="auto" w:sz="4" w:space="0"/>
              <w:bottom w:val="single" w:color="auto" w:sz="4" w:space="0"/>
              <w:right w:val="single" w:color="auto" w:sz="4" w:space="0"/>
            </w:tcBorders>
            <w:noWrap w:val="0"/>
            <w:vAlign w:val="center"/>
          </w:tcPr>
          <w:p>
            <w:pPr>
              <w:pStyle w:val="40"/>
              <w:jc w:val="center"/>
              <w:rPr>
                <w:rFonts w:hint="eastAsia" w:ascii="宋体" w:hAnsi="宋体" w:eastAsia="宋体" w:cs="宋体"/>
                <w:color w:val="auto"/>
                <w:sz w:val="21"/>
                <w:szCs w:val="21"/>
                <w:highlight w:val="none"/>
              </w:rPr>
            </w:pPr>
          </w:p>
        </w:tc>
        <w:tc>
          <w:tcPr>
            <w:tcW w:w="917" w:type="pc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优</w:t>
            </w:r>
          </w:p>
        </w:tc>
        <w:tc>
          <w:tcPr>
            <w:tcW w:w="976" w:type="pc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良</w:t>
            </w:r>
          </w:p>
        </w:tc>
        <w:tc>
          <w:tcPr>
            <w:tcW w:w="956" w:type="pc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一般</w:t>
            </w:r>
          </w:p>
        </w:tc>
        <w:tc>
          <w:tcPr>
            <w:tcW w:w="380" w:type="pc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差</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0" w:hRule="atLeast"/>
          <w:tblHeader/>
          <w:jc w:val="center"/>
        </w:trPr>
        <w:tc>
          <w:tcPr>
            <w:tcW w:w="325" w:type="pct"/>
            <w:vMerge w:val="continue"/>
            <w:tcBorders>
              <w:left w:val="single" w:color="auto" w:sz="8"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ind w:left="-63" w:leftChars="-30" w:right="-63" w:rightChars="-30"/>
              <w:jc w:val="center"/>
              <w:textAlignment w:val="auto"/>
              <w:rPr>
                <w:rFonts w:hint="eastAsia" w:ascii="宋体" w:hAnsi="宋体" w:cs="宋体"/>
                <w:color w:val="auto"/>
                <w:sz w:val="21"/>
                <w:szCs w:val="21"/>
                <w:highlight w:val="none"/>
                <w:lang w:val="en-US" w:eastAsia="zh-CN"/>
              </w:rPr>
            </w:pPr>
          </w:p>
        </w:tc>
        <w:tc>
          <w:tcPr>
            <w:tcW w:w="1046" w:type="pct"/>
            <w:tcBorders>
              <w:top w:val="single" w:color="auto" w:sz="4" w:space="0"/>
              <w:left w:val="single" w:color="auto" w:sz="4" w:space="0"/>
              <w:bottom w:val="single" w:color="auto" w:sz="4" w:space="0"/>
              <w:right w:val="single" w:color="auto" w:sz="4" w:space="0"/>
            </w:tcBorders>
            <w:noWrap w:val="0"/>
            <w:vAlign w:val="center"/>
          </w:tcPr>
          <w:p>
            <w:pPr>
              <w:pStyle w:val="4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1、对本项目履约水平的介绍：介绍内容包括但不限于：对本项目施工重点和难点的分析和应对措施，施工组织方案及施工方法，工程重点难点、施工关键技术工艺把握及应用，技术措施等。</w:t>
            </w:r>
          </w:p>
          <w:p>
            <w:pPr>
              <w:pStyle w:val="4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评委针对其陈述内容所提的相关问题</w:t>
            </w:r>
            <w:r>
              <w:rPr>
                <w:rFonts w:hint="eastAsia" w:ascii="宋体" w:hAnsi="宋体" w:eastAsia="宋体" w:cs="宋体"/>
                <w:color w:val="auto"/>
                <w:sz w:val="21"/>
                <w:szCs w:val="21"/>
                <w:highlight w:val="none"/>
                <w:lang w:eastAsia="zh-CN"/>
              </w:rPr>
              <w:t>。</w:t>
            </w:r>
          </w:p>
        </w:tc>
        <w:tc>
          <w:tcPr>
            <w:tcW w:w="183" w:type="pct"/>
            <w:tcBorders>
              <w:top w:val="single" w:color="auto" w:sz="4" w:space="0"/>
              <w:left w:val="single" w:color="auto" w:sz="4" w:space="0"/>
              <w:bottom w:val="single" w:color="auto" w:sz="4" w:space="0"/>
              <w:right w:val="single" w:color="auto" w:sz="4" w:space="0"/>
            </w:tcBorders>
            <w:noWrap w:val="0"/>
            <w:vAlign w:val="center"/>
          </w:tcPr>
          <w:p>
            <w:pPr>
              <w:pStyle w:val="40"/>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17" w:type="pct"/>
            <w:tcBorders>
              <w:top w:val="single" w:color="auto" w:sz="8"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对本项目工程重点、难点分析透切，制定的相应对策针对性强，施工组织方案及施工方法先进，施工关键技术工艺把握及应用准确，技术措施能充分保障工程质量、工期和施工安全生产；回答评委提问思路清晰、内容准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得</w:t>
            </w:r>
            <w:r>
              <w:rPr>
                <w:rFonts w:hint="eastAsia" w:ascii="宋体" w:hAnsi="宋体" w:eastAsia="宋体" w:cs="宋体"/>
                <w:color w:val="auto"/>
                <w:kern w:val="0"/>
                <w:sz w:val="21"/>
                <w:szCs w:val="21"/>
                <w:highlight w:val="none"/>
                <w:u w:val="single"/>
                <w:lang w:val="en-US" w:eastAsia="zh-CN"/>
              </w:rPr>
              <w:t>[10-</w:t>
            </w:r>
            <w:r>
              <w:rPr>
                <w:rFonts w:hint="eastAsia" w:ascii="宋体" w:hAnsi="宋体" w:cs="宋体"/>
                <w:color w:val="auto"/>
                <w:kern w:val="0"/>
                <w:sz w:val="21"/>
                <w:szCs w:val="21"/>
                <w:highlight w:val="none"/>
                <w:u w:val="single"/>
                <w:lang w:val="en-US" w:eastAsia="zh-CN"/>
              </w:rPr>
              <w:t>7）</w:t>
            </w:r>
            <w:r>
              <w:rPr>
                <w:rFonts w:hint="eastAsia" w:ascii="宋体" w:hAnsi="宋体" w:cs="宋体"/>
                <w:color w:val="auto"/>
                <w:kern w:val="0"/>
                <w:sz w:val="21"/>
                <w:szCs w:val="21"/>
                <w:highlight w:val="none"/>
                <w:lang w:val="en-US" w:eastAsia="zh-CN"/>
              </w:rPr>
              <w:t>分。</w:t>
            </w:r>
          </w:p>
        </w:tc>
        <w:tc>
          <w:tcPr>
            <w:tcW w:w="976" w:type="pct"/>
            <w:tcBorders>
              <w:top w:val="single" w:color="auto" w:sz="8"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分</w:t>
            </w:r>
            <w:r>
              <w:rPr>
                <w:rFonts w:hint="eastAsia" w:ascii="宋体" w:hAnsi="宋体" w:eastAsia="宋体" w:cs="宋体"/>
                <w:color w:val="auto"/>
                <w:kern w:val="0"/>
                <w:sz w:val="21"/>
                <w:szCs w:val="21"/>
                <w:highlight w:val="none"/>
              </w:rPr>
              <w:t>对本项目工程重点、难点分析较透切，制定的相应对策针对性较强，施工组织方案及施工方法较好，施工关键技术工艺把握及应用较准确，技术措施较能保障工程质量、工期和施工安全生产；回答评委提问思路比较清晰、内容较准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u w:val="none"/>
                <w:lang w:val="en-US" w:eastAsia="zh-CN"/>
              </w:rPr>
              <w:t>得</w:t>
            </w:r>
            <w:r>
              <w:rPr>
                <w:rFonts w:hint="eastAsia" w:ascii="宋体" w:hAnsi="宋体" w:eastAsia="宋体" w:cs="宋体"/>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7</w:t>
            </w:r>
            <w:r>
              <w:rPr>
                <w:rFonts w:hint="eastAsia" w:ascii="宋体" w:hAnsi="宋体" w:eastAsia="宋体" w:cs="宋体"/>
                <w:color w:val="auto"/>
                <w:kern w:val="0"/>
                <w:sz w:val="21"/>
                <w:szCs w:val="21"/>
                <w:highlight w:val="none"/>
                <w:u w:val="single"/>
                <w:lang w:val="en-US" w:eastAsia="zh-CN"/>
              </w:rPr>
              <w:t>-</w:t>
            </w:r>
            <w:r>
              <w:rPr>
                <w:rFonts w:hint="eastAsia" w:ascii="宋体" w:hAnsi="宋体" w:cs="宋体"/>
                <w:color w:val="auto"/>
                <w:kern w:val="0"/>
                <w:sz w:val="21"/>
                <w:szCs w:val="21"/>
                <w:highlight w:val="none"/>
                <w:u w:val="single"/>
                <w:lang w:val="en-US" w:eastAsia="zh-CN"/>
              </w:rPr>
              <w:t>4）</w:t>
            </w:r>
            <w:r>
              <w:rPr>
                <w:rFonts w:hint="eastAsia" w:ascii="宋体" w:hAnsi="宋体" w:cs="宋体"/>
                <w:color w:val="auto"/>
                <w:kern w:val="0"/>
                <w:sz w:val="21"/>
                <w:szCs w:val="21"/>
                <w:highlight w:val="none"/>
                <w:lang w:val="en-US" w:eastAsia="zh-CN"/>
              </w:rPr>
              <w:t>分。</w:t>
            </w:r>
          </w:p>
        </w:tc>
        <w:tc>
          <w:tcPr>
            <w:tcW w:w="956" w:type="pct"/>
            <w:tcBorders>
              <w:top w:val="single" w:color="auto" w:sz="8"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本项目工程重点、难点分析一般，制定的相应对策针对性一般，施工组织方案及施工方法一般，施工关键技术工艺把握及应用基本可行，技术措施基本保障工程质量、工期和施工安全生产；回答评委提问思路一般、内容不太准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得</w:t>
            </w:r>
            <w:r>
              <w:rPr>
                <w:rFonts w:hint="eastAsia" w:ascii="宋体" w:hAnsi="宋体" w:cs="宋体"/>
                <w:color w:val="auto"/>
                <w:kern w:val="0"/>
                <w:sz w:val="21"/>
                <w:szCs w:val="21"/>
                <w:highlight w:val="none"/>
                <w:u w:val="single"/>
                <w:lang w:val="en-US" w:eastAsia="zh-CN"/>
              </w:rPr>
              <w:t>[4-0)</w:t>
            </w:r>
            <w:r>
              <w:rPr>
                <w:rFonts w:hint="eastAsia" w:ascii="宋体" w:hAnsi="宋体" w:cs="宋体"/>
                <w:color w:val="auto"/>
                <w:kern w:val="0"/>
                <w:sz w:val="21"/>
                <w:szCs w:val="21"/>
                <w:highlight w:val="none"/>
                <w:lang w:val="en-US" w:eastAsia="zh-CN"/>
              </w:rPr>
              <w:t>分。</w:t>
            </w:r>
          </w:p>
        </w:tc>
        <w:tc>
          <w:tcPr>
            <w:tcW w:w="380" w:type="pct"/>
            <w:tcBorders>
              <w:top w:val="single" w:color="auto" w:sz="8"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项目负责人、项目技术负责人均未参加答辩</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得0分。</w:t>
            </w:r>
          </w:p>
        </w:tc>
      </w:tr>
    </w:tbl>
    <w:p>
      <w:pPr>
        <w:pStyle w:val="40"/>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仿宋" w:hAnsi="仿宋" w:eastAsia="仿宋" w:cs="宋体"/>
          <w:color w:val="auto"/>
          <w:sz w:val="21"/>
          <w:szCs w:val="21"/>
          <w:highlight w:val="none"/>
        </w:rPr>
      </w:pPr>
      <w:r>
        <w:rPr>
          <w:rFonts w:hint="eastAsia" w:ascii="仿宋" w:hAnsi="仿宋" w:eastAsia="仿宋" w:cs="宋体"/>
          <w:b/>
          <w:color w:val="auto"/>
          <w:sz w:val="21"/>
          <w:szCs w:val="21"/>
          <w:highlight w:val="none"/>
        </w:rPr>
        <w:t>备注</w:t>
      </w:r>
      <w:r>
        <w:rPr>
          <w:rFonts w:hint="eastAsia" w:ascii="仿宋" w:hAnsi="仿宋" w:eastAsia="仿宋" w:cs="宋体"/>
          <w:color w:val="auto"/>
          <w:sz w:val="21"/>
          <w:szCs w:val="21"/>
          <w:highlight w:val="none"/>
        </w:rPr>
        <w:t>：</w:t>
      </w:r>
    </w:p>
    <w:p>
      <w:pPr>
        <w:pStyle w:val="40"/>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b/>
          <w:bCs/>
          <w:color w:val="auto"/>
          <w:sz w:val="21"/>
          <w:szCs w:val="21"/>
          <w:highlight w:val="none"/>
          <w:u w:val="none"/>
        </w:rPr>
        <w:t>1.分值范围的解释:</w:t>
      </w:r>
      <w:r>
        <w:rPr>
          <w:rFonts w:hint="eastAsia" w:ascii="仿宋" w:hAnsi="仿宋" w:eastAsia="仿宋" w:cs="仿宋"/>
          <w:color w:val="auto"/>
          <w:sz w:val="21"/>
          <w:szCs w:val="21"/>
          <w:highlight w:val="none"/>
          <w:u w:val="none"/>
        </w:rPr>
        <w:t>评标委员会对</w:t>
      </w:r>
      <w:r>
        <w:rPr>
          <w:rFonts w:hint="eastAsia" w:ascii="仿宋" w:hAnsi="仿宋" w:eastAsia="仿宋" w:cs="仿宋"/>
          <w:color w:val="auto"/>
          <w:sz w:val="21"/>
          <w:szCs w:val="21"/>
          <w:highlight w:val="none"/>
          <w:u w:val="none"/>
          <w:lang w:eastAsia="zh-CN"/>
        </w:rPr>
        <w:t>答辩</w:t>
      </w:r>
      <w:r>
        <w:rPr>
          <w:rFonts w:hint="eastAsia" w:ascii="仿宋" w:hAnsi="仿宋" w:eastAsia="仿宋" w:cs="仿宋"/>
          <w:color w:val="auto"/>
          <w:sz w:val="21"/>
          <w:szCs w:val="21"/>
          <w:highlight w:val="none"/>
          <w:u w:val="none"/>
        </w:rPr>
        <w:t>评分时，</w:t>
      </w:r>
      <w:r>
        <w:rPr>
          <w:rFonts w:hint="eastAsia" w:ascii="仿宋" w:hAnsi="仿宋" w:eastAsia="仿宋" w:cs="仿宋"/>
          <w:color w:val="auto"/>
          <w:sz w:val="21"/>
          <w:szCs w:val="21"/>
          <w:highlight w:val="none"/>
          <w:u w:val="none"/>
          <w:lang w:eastAsia="zh-CN"/>
        </w:rPr>
        <w:t>答辩</w:t>
      </w:r>
      <w:r>
        <w:rPr>
          <w:rFonts w:hint="eastAsia" w:ascii="仿宋" w:hAnsi="仿宋" w:eastAsia="仿宋" w:cs="仿宋"/>
          <w:color w:val="auto"/>
          <w:sz w:val="21"/>
          <w:szCs w:val="21"/>
          <w:highlight w:val="none"/>
          <w:u w:val="none"/>
        </w:rPr>
        <w:t>评分表中“[*-*）”等分值，允许以‌0.5分的倍数进行评分（如1.0、1.5、2.0、2.5等，以此类推）。“[”表示含本数，“)”表示不含本数。</w:t>
      </w:r>
    </w:p>
    <w:p>
      <w:pPr>
        <w:pStyle w:val="40"/>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b/>
          <w:bCs/>
          <w:color w:val="auto"/>
          <w:sz w:val="21"/>
          <w:szCs w:val="21"/>
          <w:highlight w:val="none"/>
          <w:u w:val="none"/>
        </w:rPr>
        <w:t>2.</w:t>
      </w:r>
      <w:r>
        <w:rPr>
          <w:rFonts w:hint="eastAsia" w:ascii="仿宋" w:hAnsi="仿宋" w:eastAsia="仿宋" w:cs="仿宋"/>
          <w:color w:val="auto"/>
          <w:sz w:val="21"/>
          <w:szCs w:val="21"/>
          <w:highlight w:val="none"/>
          <w:u w:val="none"/>
        </w:rPr>
        <w:t>所有评委每个分项的分数汇总后去掉一个最高分和一个最低分的算术平均值为投标人的最终得分。分数出现小数点，保留小数点后二位小数，第三位小数四舍五入,若投标人满足多个档次的，按最高档计分一次，不累计。</w:t>
      </w:r>
    </w:p>
    <w:p>
      <w:pPr>
        <w:pStyle w:val="40"/>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lang w:val="en-US" w:eastAsia="zh-CN"/>
        </w:rPr>
        <w:t>3.</w:t>
      </w:r>
      <w:r>
        <w:rPr>
          <w:rFonts w:hint="eastAsia" w:ascii="仿宋" w:hAnsi="仿宋" w:eastAsia="仿宋" w:cs="仿宋"/>
          <w:b/>
          <w:bCs/>
          <w:color w:val="auto"/>
          <w:sz w:val="21"/>
          <w:szCs w:val="21"/>
          <w:highlight w:val="none"/>
          <w:u w:val="none"/>
        </w:rPr>
        <w:t>答辩要求：</w:t>
      </w:r>
    </w:p>
    <w:p>
      <w:pPr>
        <w:ind w:firstLine="420" w:firstLineChars="200"/>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（1）答辩人员组成：答辩小组由投标人拟派至本项目的项目负责人、技术负责人中1人或2人构成。</w:t>
      </w:r>
    </w:p>
    <w:p>
      <w:pPr>
        <w:ind w:firstLine="420" w:firstLineChars="200"/>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（2）答辩通知：①电话或短信通知时间：</w:t>
      </w:r>
      <w:r>
        <w:rPr>
          <w:rFonts w:hint="eastAsia" w:ascii="仿宋" w:hAnsi="仿宋" w:eastAsia="仿宋" w:cs="仿宋"/>
          <w:color w:val="auto"/>
          <w:szCs w:val="21"/>
          <w:highlight w:val="none"/>
          <w:u w:val="none"/>
        </w:rPr>
        <w:t>本项目开标当天下午</w:t>
      </w:r>
      <w:r>
        <w:rPr>
          <w:rFonts w:hint="eastAsia" w:ascii="仿宋" w:hAnsi="仿宋" w:eastAsia="仿宋" w:cs="仿宋"/>
          <w:color w:val="auto"/>
          <w:szCs w:val="21"/>
          <w:highlight w:val="none"/>
          <w:u w:val="none"/>
          <w:lang w:val="en-US" w:eastAsia="zh-CN"/>
        </w:rPr>
        <w:t>17</w:t>
      </w:r>
      <w:r>
        <w:rPr>
          <w:rFonts w:hint="eastAsia" w:ascii="仿宋" w:hAnsi="仿宋" w:eastAsia="仿宋" w:cs="仿宋"/>
          <w:color w:val="auto"/>
          <w:szCs w:val="21"/>
          <w:highlight w:val="none"/>
          <w:u w:val="none"/>
        </w:rPr>
        <w:t>时00分至</w:t>
      </w:r>
      <w:r>
        <w:rPr>
          <w:rFonts w:hint="eastAsia" w:ascii="仿宋" w:hAnsi="仿宋" w:eastAsia="仿宋" w:cs="仿宋"/>
          <w:color w:val="auto"/>
          <w:szCs w:val="21"/>
          <w:highlight w:val="none"/>
          <w:u w:val="none"/>
          <w:lang w:val="en-US" w:eastAsia="zh-CN"/>
        </w:rPr>
        <w:t>18</w:t>
      </w:r>
      <w:r>
        <w:rPr>
          <w:rFonts w:hint="eastAsia" w:ascii="仿宋" w:hAnsi="仿宋" w:eastAsia="仿宋" w:cs="仿宋"/>
          <w:color w:val="auto"/>
          <w:szCs w:val="21"/>
          <w:highlight w:val="none"/>
          <w:u w:val="none"/>
        </w:rPr>
        <w:t>时</w:t>
      </w:r>
      <w:r>
        <w:rPr>
          <w:rFonts w:hint="eastAsia" w:ascii="仿宋" w:hAnsi="仿宋" w:eastAsia="仿宋" w:cs="仿宋"/>
          <w:color w:val="auto"/>
          <w:szCs w:val="21"/>
          <w:highlight w:val="none"/>
          <w:u w:val="none"/>
          <w:lang w:val="en-US" w:eastAsia="zh-CN"/>
        </w:rPr>
        <w:t>00</w:t>
      </w:r>
      <w:r>
        <w:rPr>
          <w:rFonts w:hint="eastAsia" w:ascii="仿宋" w:hAnsi="仿宋" w:eastAsia="仿宋" w:cs="仿宋"/>
          <w:color w:val="auto"/>
          <w:szCs w:val="21"/>
          <w:highlight w:val="none"/>
          <w:u w:val="none"/>
        </w:rPr>
        <w:t>分</w:t>
      </w:r>
      <w:r>
        <w:rPr>
          <w:rFonts w:hint="eastAsia" w:ascii="仿宋" w:hAnsi="仿宋" w:eastAsia="仿宋" w:cs="仿宋"/>
          <w:b w:val="0"/>
          <w:bCs w:val="0"/>
          <w:color w:val="auto"/>
          <w:sz w:val="21"/>
          <w:szCs w:val="21"/>
          <w:highlight w:val="none"/>
          <w:u w:val="none"/>
        </w:rPr>
        <w:t>；②签到时间：评标当日（首日）上午</w:t>
      </w:r>
      <w:r>
        <w:rPr>
          <w:rFonts w:hint="eastAsia" w:ascii="仿宋" w:hAnsi="仿宋" w:eastAsia="仿宋" w:cs="仿宋"/>
          <w:b w:val="0"/>
          <w:bCs w:val="0"/>
          <w:color w:val="auto"/>
          <w:sz w:val="21"/>
          <w:szCs w:val="21"/>
          <w:highlight w:val="none"/>
          <w:u w:val="none"/>
          <w:lang w:val="en-US" w:eastAsia="zh-CN"/>
        </w:rPr>
        <w:t>8:30</w:t>
      </w:r>
      <w:r>
        <w:rPr>
          <w:rFonts w:hint="eastAsia" w:ascii="仿宋" w:hAnsi="仿宋" w:eastAsia="仿宋" w:cs="仿宋"/>
          <w:b w:val="0"/>
          <w:bCs w:val="0"/>
          <w:color w:val="auto"/>
          <w:sz w:val="21"/>
          <w:szCs w:val="21"/>
          <w:highlight w:val="none"/>
          <w:u w:val="none"/>
        </w:rPr>
        <w:t>-</w:t>
      </w:r>
      <w:r>
        <w:rPr>
          <w:rFonts w:hint="eastAsia" w:ascii="仿宋" w:hAnsi="仿宋" w:eastAsia="仿宋" w:cs="仿宋"/>
          <w:b w:val="0"/>
          <w:bCs w:val="0"/>
          <w:color w:val="auto"/>
          <w:sz w:val="21"/>
          <w:szCs w:val="21"/>
          <w:highlight w:val="none"/>
          <w:u w:val="none"/>
          <w:lang w:val="en-US" w:eastAsia="zh-CN"/>
        </w:rPr>
        <w:t>9</w:t>
      </w:r>
      <w:r>
        <w:rPr>
          <w:rFonts w:hint="eastAsia" w:ascii="仿宋" w:hAnsi="仿宋" w:eastAsia="仿宋" w:cs="仿宋"/>
          <w:b w:val="0"/>
          <w:bCs w:val="0"/>
          <w:color w:val="auto"/>
          <w:sz w:val="21"/>
          <w:szCs w:val="21"/>
          <w:highlight w:val="none"/>
          <w:u w:val="none"/>
        </w:rPr>
        <w:t>:</w:t>
      </w:r>
      <w:r>
        <w:rPr>
          <w:rFonts w:hint="eastAsia" w:ascii="仿宋" w:hAnsi="仿宋" w:eastAsia="仿宋" w:cs="仿宋"/>
          <w:b w:val="0"/>
          <w:bCs w:val="0"/>
          <w:color w:val="auto"/>
          <w:sz w:val="21"/>
          <w:szCs w:val="21"/>
          <w:highlight w:val="none"/>
          <w:u w:val="none"/>
          <w:lang w:val="en-US" w:eastAsia="zh-CN"/>
        </w:rPr>
        <w:t>3</w:t>
      </w:r>
      <w:r>
        <w:rPr>
          <w:rFonts w:hint="eastAsia" w:ascii="仿宋" w:hAnsi="仿宋" w:eastAsia="仿宋" w:cs="仿宋"/>
          <w:b w:val="0"/>
          <w:bCs w:val="0"/>
          <w:color w:val="auto"/>
          <w:sz w:val="21"/>
          <w:szCs w:val="21"/>
          <w:highlight w:val="none"/>
          <w:u w:val="none"/>
        </w:rPr>
        <w:t>0。</w:t>
      </w:r>
    </w:p>
    <w:p>
      <w:pPr>
        <w:ind w:firstLine="420" w:firstLineChars="200"/>
        <w:rPr>
          <w:rFonts w:hint="eastAsia" w:ascii="仿宋" w:hAnsi="仿宋" w:eastAsia="仿宋" w:cs="仿宋"/>
          <w:b w:val="0"/>
          <w:bCs w:val="0"/>
          <w:color w:val="auto"/>
          <w:sz w:val="21"/>
          <w:szCs w:val="21"/>
          <w:highlight w:val="none"/>
          <w:u w:val="none"/>
        </w:rPr>
      </w:pPr>
      <w:r>
        <w:rPr>
          <w:rFonts w:hint="eastAsia" w:ascii="仿宋" w:hAnsi="仿宋" w:eastAsia="仿宋" w:cs="仿宋"/>
          <w:color w:val="auto"/>
          <w:szCs w:val="21"/>
          <w:highlight w:val="none"/>
          <w:u w:val="none"/>
        </w:rPr>
        <w:t>本项目开标当天下午1</w:t>
      </w:r>
      <w:r>
        <w:rPr>
          <w:rFonts w:hint="eastAsia" w:ascii="仿宋" w:hAnsi="仿宋" w:eastAsia="仿宋" w:cs="仿宋"/>
          <w:color w:val="auto"/>
          <w:szCs w:val="21"/>
          <w:highlight w:val="none"/>
          <w:u w:val="none"/>
          <w:lang w:eastAsia="zh-CN"/>
        </w:rPr>
        <w:t>7</w:t>
      </w:r>
      <w:r>
        <w:rPr>
          <w:rFonts w:hint="eastAsia" w:ascii="仿宋" w:hAnsi="仿宋" w:eastAsia="仿宋" w:cs="仿宋"/>
          <w:color w:val="auto"/>
          <w:szCs w:val="21"/>
          <w:highlight w:val="none"/>
          <w:u w:val="none"/>
        </w:rPr>
        <w:t>时00分至1</w:t>
      </w:r>
      <w:r>
        <w:rPr>
          <w:rFonts w:hint="eastAsia" w:ascii="仿宋" w:hAnsi="仿宋" w:eastAsia="仿宋" w:cs="仿宋"/>
          <w:color w:val="auto"/>
          <w:szCs w:val="21"/>
          <w:highlight w:val="none"/>
          <w:u w:val="none"/>
          <w:lang w:eastAsia="zh-CN"/>
        </w:rPr>
        <w:t>8</w:t>
      </w:r>
      <w:r>
        <w:rPr>
          <w:rFonts w:hint="eastAsia" w:ascii="仿宋" w:hAnsi="仿宋" w:eastAsia="仿宋" w:cs="仿宋"/>
          <w:color w:val="auto"/>
          <w:szCs w:val="21"/>
          <w:highlight w:val="none"/>
          <w:u w:val="none"/>
        </w:rPr>
        <w:t>时</w:t>
      </w:r>
      <w:r>
        <w:rPr>
          <w:rFonts w:hint="eastAsia" w:ascii="仿宋" w:hAnsi="仿宋" w:eastAsia="仿宋" w:cs="仿宋"/>
          <w:color w:val="auto"/>
          <w:szCs w:val="21"/>
          <w:highlight w:val="none"/>
          <w:u w:val="none"/>
          <w:lang w:eastAsia="zh-CN"/>
        </w:rPr>
        <w:t>0</w:t>
      </w:r>
      <w:r>
        <w:rPr>
          <w:rFonts w:hint="eastAsia" w:ascii="仿宋" w:hAnsi="仿宋" w:eastAsia="仿宋" w:cs="仿宋"/>
          <w:color w:val="auto"/>
          <w:szCs w:val="21"/>
          <w:highlight w:val="none"/>
          <w:u w:val="none"/>
          <w:lang w:val="en-US" w:eastAsia="zh-CN"/>
        </w:rPr>
        <w:t>0</w:t>
      </w:r>
      <w:r>
        <w:rPr>
          <w:rFonts w:hint="eastAsia" w:ascii="仿宋" w:hAnsi="仿宋" w:eastAsia="仿宋" w:cs="仿宋"/>
          <w:color w:val="auto"/>
          <w:szCs w:val="21"/>
          <w:highlight w:val="none"/>
          <w:u w:val="none"/>
        </w:rPr>
        <w:t>分，招标代理对投标人在广州交易集团有限公司（广州公共资源交易中心）交易平台投标登记的被授权人联系电话进行3次电话通知（通知顺序：按《开标记录表》由小到大的序号顺序，通知电话：020-83549690或13902293693），各投标人有义务确保评标当日（评标时间为开标后五个工作日内进行）投标登记的被授权人联系电话畅通有效。若电话无法接通，招标代理将以短信留言告知答辩时间，短信发送后即视为投标人已接收答辩通知。若投标人的答辩人员因未及时收信而错过答辩环节，由此丧失答辩资格的不利后果由投标人自行承担。投标人的答辩人员须在评标当天（首日）上午</w:t>
      </w:r>
      <w:r>
        <w:rPr>
          <w:rFonts w:hint="eastAsia" w:ascii="仿宋" w:hAnsi="仿宋" w:eastAsia="仿宋" w:cs="仿宋"/>
          <w:color w:val="auto"/>
          <w:szCs w:val="21"/>
          <w:highlight w:val="none"/>
          <w:u w:val="none"/>
          <w:lang w:eastAsia="zh-CN"/>
        </w:rPr>
        <w:t>8</w:t>
      </w:r>
      <w:r>
        <w:rPr>
          <w:rFonts w:hint="eastAsia" w:ascii="仿宋" w:hAnsi="仿宋" w:eastAsia="仿宋" w:cs="仿宋"/>
          <w:color w:val="auto"/>
          <w:szCs w:val="21"/>
          <w:highlight w:val="none"/>
          <w:u w:val="none"/>
        </w:rPr>
        <w:t>时</w:t>
      </w:r>
      <w:r>
        <w:rPr>
          <w:rFonts w:hint="eastAsia" w:ascii="仿宋" w:hAnsi="仿宋" w:eastAsia="仿宋" w:cs="仿宋"/>
          <w:color w:val="auto"/>
          <w:szCs w:val="21"/>
          <w:highlight w:val="none"/>
          <w:u w:val="none"/>
          <w:lang w:eastAsia="zh-CN"/>
        </w:rPr>
        <w:t>3</w:t>
      </w:r>
      <w:r>
        <w:rPr>
          <w:rFonts w:hint="eastAsia" w:ascii="仿宋" w:hAnsi="仿宋" w:eastAsia="仿宋" w:cs="仿宋"/>
          <w:color w:val="auto"/>
          <w:szCs w:val="21"/>
          <w:highlight w:val="none"/>
          <w:u w:val="none"/>
          <w:lang w:val="en-US" w:eastAsia="zh-CN"/>
        </w:rPr>
        <w:t>0</w:t>
      </w:r>
      <w:r>
        <w:rPr>
          <w:rFonts w:hint="eastAsia" w:ascii="仿宋" w:hAnsi="仿宋" w:eastAsia="仿宋" w:cs="仿宋"/>
          <w:color w:val="auto"/>
          <w:szCs w:val="21"/>
          <w:highlight w:val="none"/>
          <w:u w:val="none"/>
        </w:rPr>
        <w:t>分至</w:t>
      </w:r>
      <w:r>
        <w:rPr>
          <w:rFonts w:hint="eastAsia" w:ascii="仿宋" w:hAnsi="仿宋" w:eastAsia="仿宋" w:cs="仿宋"/>
          <w:color w:val="auto"/>
          <w:szCs w:val="21"/>
          <w:highlight w:val="none"/>
          <w:u w:val="none"/>
          <w:lang w:val="en-US" w:eastAsia="zh-CN"/>
        </w:rPr>
        <w:t>9</w:t>
      </w:r>
      <w:r>
        <w:rPr>
          <w:rFonts w:hint="eastAsia" w:ascii="仿宋" w:hAnsi="仿宋" w:eastAsia="仿宋" w:cs="仿宋"/>
          <w:color w:val="auto"/>
          <w:szCs w:val="21"/>
          <w:highlight w:val="none"/>
          <w:u w:val="none"/>
        </w:rPr>
        <w:t>时</w:t>
      </w:r>
      <w:r>
        <w:rPr>
          <w:rFonts w:hint="eastAsia" w:ascii="仿宋" w:hAnsi="仿宋" w:eastAsia="仿宋" w:cs="仿宋"/>
          <w:color w:val="auto"/>
          <w:szCs w:val="21"/>
          <w:highlight w:val="none"/>
          <w:u w:val="none"/>
          <w:lang w:val="en-US" w:eastAsia="zh-CN"/>
        </w:rPr>
        <w:t>30</w:t>
      </w:r>
      <w:r>
        <w:rPr>
          <w:rFonts w:hint="eastAsia" w:ascii="仿宋" w:hAnsi="仿宋" w:eastAsia="仿宋" w:cs="仿宋"/>
          <w:color w:val="auto"/>
          <w:szCs w:val="21"/>
          <w:highlight w:val="none"/>
          <w:u w:val="none"/>
        </w:rPr>
        <w:t>分到达指定场地按规定办理签到手续。</w:t>
      </w:r>
    </w:p>
    <w:p>
      <w:pPr>
        <w:ind w:firstLine="420" w:firstLineChars="200"/>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3）答辩人员的到场要求：投标人的答辩人员需在评标当日（首日），按招标代理通知的具体时间与地点，前往指定场地办理签到手续。参加答辩时，应按要求在规定时间内签到，并向招标人或招标代理提交以下材料（所有材料均需加盖单位公章）：法定代表人证明书（格式自拟）、法人身份证正反面复印件、授权委托书（格式自拟，需列明所有参加答辩人员姓名、身份证号码、拟任本项目职务）、答辩人员身份证正反面复印件、2025年2月或2025年3月社保证明复印件。参与答辩人员须出示身份证原件，经招标代理核对身份无误后完成签到。未能出示上述证明文件或文件不齐全，以及未在规定时间内签到的投标人，不得参加答辩环节，相关不利后果由投标人自行承担。</w:t>
      </w:r>
    </w:p>
    <w:p>
      <w:pPr>
        <w:ind w:firstLine="420" w:firstLineChars="200"/>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4）答辩顺序：答辩顺序依据《开标记录表》（以交易中心系统生成的PDF版为准）从小到大的序号确定。评标当天签到截止后，答辩人员按照《开标记录表》序号依次进场答辩。投标人应提前做好答辩准备工作，若因自身原因无法参加答辩，视为自动放弃。本项目评标答辩仅在首次评标时开展，无论投标人是否存在被否决投标情况，或项目是否存在复核、重评情形，已确定的答辩评分均不作更改。投标人参与答辩并不意味着其通过资格审查或有效性审查。</w:t>
      </w:r>
    </w:p>
    <w:p>
      <w:pPr>
        <w:ind w:firstLine="420" w:firstLineChars="200"/>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5）答辩形式与要求：答辩人进入答辩区域前需同时把手机、智能手表、蓝牙耳机、平板电脑、手提电脑等电子设备锁进答辩等候区外的储存柜且密码条由招标代理工作人员代为保管，待答辩人员答辩完毕后归还。</w:t>
      </w:r>
    </w:p>
    <w:p>
      <w:pPr>
        <w:ind w:firstLine="420" w:firstLineChars="200"/>
        <w:rPr>
          <w:rFonts w:hint="eastAsia" w:ascii="仿宋" w:hAnsi="仿宋" w:eastAsia="仿宋" w:cs="仿宋"/>
          <w:b w:val="0"/>
          <w:bCs w:val="0"/>
          <w:color w:val="auto"/>
          <w:sz w:val="21"/>
          <w:szCs w:val="21"/>
          <w:highlight w:val="none"/>
          <w:u w:val="none"/>
        </w:rPr>
      </w:pPr>
      <w:r>
        <w:rPr>
          <w:rFonts w:hint="eastAsia" w:ascii="仿宋" w:hAnsi="仿宋" w:eastAsia="仿宋" w:cs="仿宋"/>
          <w:b w:val="0"/>
          <w:bCs w:val="0"/>
          <w:color w:val="auto"/>
          <w:sz w:val="21"/>
          <w:szCs w:val="21"/>
          <w:highlight w:val="none"/>
          <w:u w:val="none"/>
        </w:rPr>
        <w:t>（6）答辩时长控制：每家投标人答辩总时长控制在10分钟内，其中陈述时间5分钟，答辩时间5分钟；若超出规定时间，评委有权打断并结束陈述或答辩。</w:t>
      </w:r>
    </w:p>
    <w:p>
      <w:pPr>
        <w:snapToGrid w:val="0"/>
        <w:spacing w:line="360" w:lineRule="auto"/>
        <w:rPr>
          <w:rFonts w:hint="eastAsia" w:ascii="宋体" w:hAnsi="宋体" w:cs="宋体"/>
          <w:b/>
          <w:bCs/>
          <w:color w:val="auto"/>
          <w:sz w:val="24"/>
          <w:szCs w:val="24"/>
          <w:highlight w:val="none"/>
        </w:rPr>
      </w:pPr>
    </w:p>
    <w:p>
      <w:pPr>
        <w:snapToGrid/>
        <w:spacing w:line="24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snapToGrid w:val="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rPr>
        <w:t>附表四</w:t>
      </w:r>
      <w:r>
        <w:rPr>
          <w:rFonts w:hint="eastAsia" w:ascii="宋体" w:hAnsi="宋体" w:cs="宋体"/>
          <w:b/>
          <w:bCs/>
          <w:color w:val="auto"/>
          <w:sz w:val="24"/>
          <w:szCs w:val="24"/>
          <w:highlight w:val="none"/>
          <w:lang w:val="en-US" w:eastAsia="zh-CN"/>
        </w:rPr>
        <w:t>-2</w:t>
      </w:r>
    </w:p>
    <w:p>
      <w:pPr>
        <w:snapToGrid w:val="0"/>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技术标详细审查评分表</w:t>
      </w:r>
    </w:p>
    <w:tbl>
      <w:tblPr>
        <w:tblStyle w:val="31"/>
        <w:tblW w:w="4989" w:type="pct"/>
        <w:jc w:val="center"/>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537"/>
        <w:gridCol w:w="903"/>
        <w:gridCol w:w="720"/>
        <w:gridCol w:w="11583"/>
      </w:tblGrid>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blHeader/>
          <w:jc w:val="center"/>
        </w:trPr>
        <w:tc>
          <w:tcPr>
            <w:tcW w:w="343" w:type="pct"/>
            <w:tcBorders>
              <w:top w:val="single" w:color="auto" w:sz="8" w:space="0"/>
              <w:left w:val="single" w:color="auto" w:sz="8" w:space="0"/>
              <w:bottom w:val="single" w:color="auto" w:sz="4" w:space="0"/>
              <w:right w:val="single" w:color="auto" w:sz="4" w:space="0"/>
            </w:tcBorders>
            <w:noWrap w:val="0"/>
            <w:vAlign w:val="center"/>
          </w:tcPr>
          <w:p>
            <w:pPr>
              <w:pStyle w:val="40"/>
              <w:keepNext w:val="0"/>
              <w:keepLines w:val="0"/>
              <w:pageBreakBefore w:val="0"/>
              <w:widowControl w:val="0"/>
              <w:kinsoku/>
              <w:wordWrap/>
              <w:overflowPunct/>
              <w:topLinePunct w:val="0"/>
              <w:autoSpaceDE/>
              <w:autoSpaceDN/>
              <w:bidi w:val="0"/>
              <w:adjustRightInd/>
              <w:snapToGrid/>
              <w:spacing w:line="240" w:lineRule="auto"/>
              <w:ind w:left="-63" w:leftChars="-30" w:right="-63" w:rightChars="-30"/>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评分项目</w:t>
            </w:r>
          </w:p>
        </w:tc>
        <w:tc>
          <w:tcPr>
            <w:tcW w:w="487" w:type="pct"/>
            <w:gridSpan w:val="2"/>
            <w:tcBorders>
              <w:top w:val="single" w:color="auto" w:sz="8" w:space="0"/>
              <w:left w:val="single" w:color="auto" w:sz="4" w:space="0"/>
              <w:bottom w:val="single" w:color="auto" w:sz="4" w:space="0"/>
              <w:right w:val="single" w:color="auto" w:sz="4" w:space="0"/>
            </w:tcBorders>
            <w:noWrap w:val="0"/>
            <w:vAlign w:val="center"/>
          </w:tcPr>
          <w:p>
            <w:pPr>
              <w:pStyle w:val="4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评分内容</w:t>
            </w:r>
          </w:p>
        </w:tc>
        <w:tc>
          <w:tcPr>
            <w:tcW w:w="243" w:type="pct"/>
            <w:tcBorders>
              <w:top w:val="single" w:color="auto" w:sz="8" w:space="0"/>
              <w:left w:val="single" w:color="auto" w:sz="4" w:space="0"/>
              <w:bottom w:val="single" w:color="auto" w:sz="4" w:space="0"/>
              <w:right w:val="single" w:color="auto" w:sz="4" w:space="0"/>
            </w:tcBorders>
            <w:noWrap w:val="0"/>
            <w:vAlign w:val="center"/>
          </w:tcPr>
          <w:p>
            <w:pPr>
              <w:pStyle w:val="40"/>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分值</w:t>
            </w:r>
          </w:p>
        </w:tc>
        <w:tc>
          <w:tcPr>
            <w:tcW w:w="3924" w:type="pct"/>
            <w:tcBorders>
              <w:top w:val="single" w:color="auto" w:sz="8" w:space="0"/>
              <w:left w:val="single" w:color="auto" w:sz="4" w:space="0"/>
              <w:bottom w:val="single" w:color="auto" w:sz="4" w:space="0"/>
              <w:right w:val="single" w:color="auto" w:sz="4" w:space="0"/>
            </w:tcBorders>
            <w:noWrap w:val="0"/>
            <w:vAlign w:val="center"/>
          </w:tcPr>
          <w:p>
            <w:pPr>
              <w:pStyle w:val="40"/>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000000"/>
                <w:sz w:val="21"/>
                <w:szCs w:val="21"/>
              </w:rPr>
            </w:pPr>
            <w:r>
              <w:rPr>
                <w:rFonts w:hint="eastAsia" w:ascii="宋体" w:hAnsi="宋体" w:eastAsia="宋体" w:cs="宋体"/>
                <w:b/>
                <w:bCs/>
                <w:color w:val="000000"/>
                <w:sz w:val="21"/>
                <w:szCs w:val="21"/>
              </w:rPr>
              <w:t>评审标准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3" w:type="pct"/>
            <w:vMerge w:val="restart"/>
            <w:tcBorders>
              <w:left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一</w:t>
            </w:r>
            <w:r>
              <w:rPr>
                <w:rFonts w:hint="eastAsia" w:ascii="宋体" w:hAnsi="宋体" w:eastAsia="宋体" w:cs="宋体"/>
                <w:color w:val="000000"/>
                <w:sz w:val="21"/>
                <w:szCs w:val="21"/>
              </w:rPr>
              <w:t>、项目组织管理机构能力（</w:t>
            </w:r>
            <w:r>
              <w:rPr>
                <w:rFonts w:hint="eastAsia" w:ascii="宋体" w:hAnsi="宋体" w:eastAsia="宋体" w:cs="宋体"/>
                <w:color w:val="000000"/>
                <w:sz w:val="21"/>
                <w:szCs w:val="21"/>
                <w:lang w:val="en-US" w:eastAsia="zh-CN"/>
              </w:rPr>
              <w:t>70</w:t>
            </w:r>
            <w:r>
              <w:rPr>
                <w:rFonts w:hint="eastAsia" w:ascii="宋体" w:hAnsi="宋体" w:eastAsia="宋体" w:cs="宋体"/>
                <w:color w:val="000000"/>
                <w:sz w:val="21"/>
                <w:szCs w:val="21"/>
              </w:rPr>
              <w:t>分）</w:t>
            </w:r>
          </w:p>
        </w:tc>
        <w:tc>
          <w:tcPr>
            <w:tcW w:w="182" w:type="pct"/>
            <w:vMerge w:val="restar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105" w:leftChars="-50" w:right="-105" w:rightChars="-50"/>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项目管理机构</w:t>
            </w:r>
          </w:p>
        </w:tc>
        <w:tc>
          <w:tcPr>
            <w:tcW w:w="304"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w:t>
            </w:r>
            <w:r>
              <w:rPr>
                <w:rFonts w:hint="eastAsia" w:ascii="宋体" w:hAnsi="宋体" w:eastAsia="宋体" w:cs="宋体"/>
                <w:color w:val="000000"/>
                <w:sz w:val="21"/>
                <w:szCs w:val="21"/>
              </w:rPr>
              <w:t>负责人</w:t>
            </w:r>
          </w:p>
        </w:tc>
        <w:tc>
          <w:tcPr>
            <w:tcW w:w="243"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28</w:t>
            </w:r>
          </w:p>
        </w:tc>
        <w:tc>
          <w:tcPr>
            <w:tcW w:w="392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从业能力：①具有市政公用工程类专业中级或以上技术职称，得</w:t>
            </w:r>
            <w:r>
              <w:rPr>
                <w:rFonts w:hint="eastAsia" w:ascii="宋体" w:hAnsi="宋体" w:eastAsia="宋体" w:cs="宋体"/>
                <w:color w:val="000000"/>
                <w:sz w:val="21"/>
                <w:szCs w:val="21"/>
                <w:highlight w:val="none"/>
                <w:lang w:val="en-US" w:eastAsia="zh-CN"/>
              </w:rPr>
              <w:t>20</w:t>
            </w:r>
            <w:r>
              <w:rPr>
                <w:rFonts w:hint="eastAsia" w:ascii="宋体" w:hAnsi="宋体" w:eastAsia="宋体" w:cs="宋体"/>
                <w:color w:val="000000"/>
                <w:sz w:val="21"/>
                <w:szCs w:val="21"/>
                <w:highlight w:val="none"/>
              </w:rPr>
              <w:t>分。</w:t>
            </w:r>
          </w:p>
          <w:p>
            <w:pPr>
              <w:pStyle w:val="25"/>
              <w:keepNext w:val="0"/>
              <w:keepLines w:val="0"/>
              <w:pageBreakBefore w:val="0"/>
              <w:widowControl w:val="0"/>
              <w:kinsoku/>
              <w:wordWrap/>
              <w:overflowPunct/>
              <w:topLinePunct w:val="0"/>
              <w:autoSpaceDE/>
              <w:autoSpaceDN/>
              <w:bidi w:val="0"/>
              <w:adjustRightInd/>
              <w:snapToGrid/>
              <w:spacing w:line="240" w:lineRule="auto"/>
              <w:ind w:left="1260" w:leftChars="500" w:hanging="210" w:hangingChars="100"/>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highlight w:val="none"/>
              </w:rPr>
              <w:t>②</w:t>
            </w:r>
            <w:r>
              <w:rPr>
                <w:rFonts w:hint="eastAsia" w:ascii="宋体" w:hAnsi="宋体" w:eastAsia="宋体" w:cs="宋体"/>
                <w:color w:val="000000"/>
                <w:sz w:val="21"/>
                <w:szCs w:val="21"/>
                <w:highlight w:val="none"/>
                <w:lang w:val="en-US" w:eastAsia="zh-CN"/>
              </w:rPr>
              <w:t>业绩：项目负责人自</w:t>
            </w:r>
            <w:r>
              <w:rPr>
                <w:rFonts w:hint="eastAsia" w:ascii="宋体" w:hAnsi="宋体" w:eastAsia="宋体" w:cs="宋体"/>
                <w:color w:val="000000"/>
                <w:sz w:val="21"/>
                <w:szCs w:val="21"/>
                <w:highlight w:val="none"/>
                <w:u w:val="single"/>
                <w:lang w:val="en-US" w:eastAsia="zh-CN"/>
              </w:rPr>
              <w:t>2020</w:t>
            </w:r>
            <w:r>
              <w:rPr>
                <w:rFonts w:hint="eastAsia" w:ascii="宋体" w:hAnsi="宋体" w:eastAsia="宋体" w:cs="宋体"/>
                <w:color w:val="000000"/>
                <w:sz w:val="21"/>
                <w:szCs w:val="21"/>
                <w:highlight w:val="none"/>
                <w:lang w:val="en-US" w:eastAsia="zh-CN"/>
              </w:rPr>
              <w:t>年1月1日</w:t>
            </w:r>
            <w:r>
              <w:rPr>
                <w:rFonts w:hint="eastAsia" w:ascii="宋体" w:hAnsi="宋体" w:eastAsia="宋体" w:cs="宋体"/>
                <w:color w:val="000000"/>
                <w:sz w:val="21"/>
                <w:szCs w:val="21"/>
              </w:rPr>
              <w:t>至今完成过质量合格的</w:t>
            </w:r>
            <w:r>
              <w:rPr>
                <w:rFonts w:hint="eastAsia" w:ascii="宋体" w:hAnsi="宋体" w:eastAsia="宋体" w:cs="宋体"/>
                <w:color w:val="000000"/>
                <w:sz w:val="21"/>
                <w:szCs w:val="21"/>
                <w:highlight w:val="none"/>
                <w:lang w:val="en-US" w:eastAsia="zh-CN"/>
              </w:rPr>
              <w:t>且工程造价金额大于或等于</w:t>
            </w:r>
            <w:r>
              <w:rPr>
                <w:rFonts w:hint="eastAsia" w:ascii="宋体" w:hAnsi="宋体" w:eastAsia="宋体" w:cs="宋体"/>
                <w:color w:val="000000"/>
                <w:sz w:val="21"/>
                <w:szCs w:val="21"/>
                <w:highlight w:val="none"/>
                <w:u w:val="single"/>
                <w:lang w:val="en-US" w:eastAsia="zh-CN"/>
              </w:rPr>
              <w:t>1400</w:t>
            </w:r>
            <w:r>
              <w:rPr>
                <w:rFonts w:hint="eastAsia" w:ascii="宋体" w:hAnsi="宋体" w:eastAsia="宋体" w:cs="宋体"/>
                <w:color w:val="000000"/>
                <w:sz w:val="21"/>
                <w:szCs w:val="21"/>
                <w:highlight w:val="none"/>
                <w:lang w:val="en-US" w:eastAsia="zh-CN"/>
              </w:rPr>
              <w:t>万元</w:t>
            </w:r>
            <w:r>
              <w:rPr>
                <w:rFonts w:hint="eastAsia" w:ascii="宋体" w:hAnsi="宋体" w:eastAsia="宋体" w:cs="宋体"/>
                <w:color w:val="000000"/>
                <w:kern w:val="2"/>
                <w:sz w:val="21"/>
                <w:szCs w:val="21"/>
                <w:highlight w:val="none"/>
                <w:lang w:val="en-US" w:eastAsia="zh-CN" w:bidi="ar-SA"/>
              </w:rPr>
              <w:t>的</w:t>
            </w:r>
            <w:r>
              <w:rPr>
                <w:rFonts w:hint="eastAsia" w:ascii="宋体" w:hAnsi="宋体" w:eastAsia="宋体" w:cs="宋体"/>
                <w:color w:val="000000"/>
                <w:sz w:val="21"/>
                <w:szCs w:val="21"/>
                <w:highlight w:val="none"/>
                <w:lang w:val="en-US" w:eastAsia="zh-CN"/>
              </w:rPr>
              <w:t>【市政公用】</w:t>
            </w:r>
            <w:r>
              <w:rPr>
                <w:rFonts w:hint="eastAsia" w:ascii="宋体" w:hAnsi="宋体" w:eastAsia="宋体" w:cs="宋体"/>
                <w:color w:val="000000"/>
                <w:sz w:val="21"/>
                <w:szCs w:val="21"/>
                <w:highlight w:val="none"/>
              </w:rPr>
              <w:t>工程施工总承包或工程总承包施工部分业绩</w:t>
            </w:r>
            <w:r>
              <w:rPr>
                <w:rFonts w:hint="eastAsia" w:ascii="宋体" w:hAnsi="宋体" w:eastAsia="宋体" w:cs="宋体"/>
                <w:color w:val="000000"/>
                <w:sz w:val="21"/>
                <w:szCs w:val="21"/>
                <w:highlight w:val="none"/>
                <w:u w:val="none"/>
                <w:lang w:val="en-US" w:eastAsia="zh-CN"/>
              </w:rPr>
              <w:t>，得</w:t>
            </w:r>
            <w:r>
              <w:rPr>
                <w:rFonts w:hint="eastAsia" w:ascii="宋体" w:hAnsi="宋体" w:eastAsia="宋体" w:cs="宋体"/>
                <w:color w:val="000000"/>
                <w:sz w:val="21"/>
                <w:szCs w:val="21"/>
                <w:highlight w:val="none"/>
                <w:u w:val="single"/>
                <w:lang w:val="en-US" w:eastAsia="zh-CN"/>
              </w:rPr>
              <w:t>8</w:t>
            </w:r>
            <w:r>
              <w:rPr>
                <w:rFonts w:hint="eastAsia" w:ascii="宋体" w:hAnsi="宋体" w:eastAsia="宋体" w:cs="宋体"/>
                <w:color w:val="000000"/>
                <w:sz w:val="21"/>
                <w:szCs w:val="21"/>
                <w:highlight w:val="none"/>
                <w:u w:val="none"/>
                <w:lang w:val="en-US" w:eastAsia="zh-CN"/>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3" w:type="pct"/>
            <w:vMerge w:val="continue"/>
            <w:tcBorders>
              <w:left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8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p>
        </w:tc>
        <w:tc>
          <w:tcPr>
            <w:tcW w:w="304"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技术负责人</w:t>
            </w:r>
          </w:p>
        </w:tc>
        <w:tc>
          <w:tcPr>
            <w:tcW w:w="243"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18</w:t>
            </w:r>
          </w:p>
        </w:tc>
        <w:tc>
          <w:tcPr>
            <w:tcW w:w="39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从业能力：具有市政公用工程类专业高级或以上技术职称，得</w:t>
            </w:r>
            <w:r>
              <w:rPr>
                <w:rFonts w:hint="eastAsia" w:ascii="宋体" w:hAnsi="宋体" w:eastAsia="宋体" w:cs="宋体"/>
                <w:color w:val="000000"/>
                <w:sz w:val="21"/>
                <w:szCs w:val="21"/>
                <w:highlight w:val="none"/>
                <w:lang w:val="en-US" w:eastAsia="zh-CN"/>
              </w:rPr>
              <w:t>18</w:t>
            </w:r>
            <w:r>
              <w:rPr>
                <w:rFonts w:hint="eastAsia" w:ascii="宋体" w:hAnsi="宋体" w:eastAsia="宋体" w:cs="宋体"/>
                <w:color w:val="000000"/>
                <w:sz w:val="21"/>
                <w:szCs w:val="21"/>
                <w:highlight w:val="none"/>
              </w:rPr>
              <w:t>分</w:t>
            </w:r>
            <w:r>
              <w:rPr>
                <w:rFonts w:hint="eastAsia" w:ascii="宋体" w:hAnsi="宋体" w:cs="宋体"/>
                <w:color w:val="000000"/>
                <w:sz w:val="21"/>
                <w:szCs w:val="21"/>
                <w:highlight w:val="none"/>
                <w:lang w:eastAsia="zh-CN"/>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3" w:type="pct"/>
            <w:vMerge w:val="continue"/>
            <w:tcBorders>
              <w:left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8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p>
        </w:tc>
        <w:tc>
          <w:tcPr>
            <w:tcW w:w="304"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质量负责人</w:t>
            </w:r>
          </w:p>
        </w:tc>
        <w:tc>
          <w:tcPr>
            <w:tcW w:w="243"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39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从业能力：具有市政公用工程类专业中级或以上技术职称，得</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3" w:type="pct"/>
            <w:vMerge w:val="continue"/>
            <w:tcBorders>
              <w:left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8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p>
        </w:tc>
        <w:tc>
          <w:tcPr>
            <w:tcW w:w="304"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安全负责人</w:t>
            </w:r>
          </w:p>
        </w:tc>
        <w:tc>
          <w:tcPr>
            <w:tcW w:w="243"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highlight w:val="none"/>
                <w:lang w:val="en-US" w:eastAsia="zh-CN"/>
              </w:rPr>
            </w:pPr>
            <w:r>
              <w:rPr>
                <w:rFonts w:hint="eastAsia" w:ascii="宋体" w:hAnsi="宋体" w:eastAsia="宋体" w:cs="宋体"/>
                <w:color w:val="000000"/>
                <w:sz w:val="21"/>
                <w:szCs w:val="21"/>
                <w:highlight w:val="none"/>
                <w:lang w:val="en-US" w:eastAsia="zh-CN"/>
              </w:rPr>
              <w:t>8</w:t>
            </w:r>
          </w:p>
        </w:tc>
        <w:tc>
          <w:tcPr>
            <w:tcW w:w="39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从业能力：具有安全工程专业中级或以上技术职称或市政公用工程类专业中级或以上技术职称，且具有安全生产考核合格证（B类）或安全生产考核合格证（C类）或建筑施工企业项目负责人安全生产考核合格证书或建筑施工企业专职安全生产管理人员安全生产考核合格证书（C3），得</w:t>
            </w:r>
            <w:r>
              <w:rPr>
                <w:rFonts w:hint="eastAsia" w:ascii="宋体" w:hAnsi="宋体" w:cs="宋体"/>
                <w:color w:val="000000"/>
                <w:sz w:val="21"/>
                <w:szCs w:val="21"/>
                <w:highlight w:val="none"/>
                <w:lang w:val="en-US" w:eastAsia="zh-CN"/>
              </w:rPr>
              <w:t>8</w:t>
            </w:r>
            <w:r>
              <w:rPr>
                <w:rFonts w:hint="eastAsia" w:ascii="宋体" w:hAnsi="宋体" w:eastAsia="宋体" w:cs="宋体"/>
                <w:color w:val="000000"/>
                <w:sz w:val="21"/>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3" w:type="pct"/>
            <w:vMerge w:val="continue"/>
            <w:tcBorders>
              <w:left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182"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p>
        </w:tc>
        <w:tc>
          <w:tcPr>
            <w:tcW w:w="304" w:type="pct"/>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造价负责人</w:t>
            </w:r>
          </w:p>
        </w:tc>
        <w:tc>
          <w:tcPr>
            <w:tcW w:w="243" w:type="pct"/>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8</w:t>
            </w:r>
          </w:p>
        </w:tc>
        <w:tc>
          <w:tcPr>
            <w:tcW w:w="39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从业能力：具有有效的注册造价师（或一级注册造价师）证书</w:t>
            </w:r>
            <w:r>
              <w:rPr>
                <w:rFonts w:hint="eastAsia" w:ascii="宋体" w:hAnsi="宋体" w:cs="宋体"/>
                <w:color w:val="000000"/>
                <w:sz w:val="21"/>
                <w:szCs w:val="21"/>
                <w:lang w:eastAsia="zh-CN"/>
              </w:rPr>
              <w:t>，</w:t>
            </w:r>
            <w:r>
              <w:rPr>
                <w:rFonts w:hint="eastAsia" w:ascii="宋体" w:hAnsi="宋体" w:eastAsia="宋体" w:cs="宋体"/>
                <w:color w:val="000000"/>
                <w:sz w:val="21"/>
                <w:szCs w:val="21"/>
              </w:rPr>
              <w:t>或具有工程造价类专业高级或以上技术职称，得</w:t>
            </w:r>
            <w:r>
              <w:rPr>
                <w:rFonts w:hint="eastAsia" w:ascii="宋体" w:hAnsi="宋体" w:cs="宋体"/>
                <w:color w:val="000000"/>
                <w:sz w:val="21"/>
                <w:szCs w:val="21"/>
                <w:lang w:val="en-US" w:eastAsia="zh-CN"/>
              </w:rPr>
              <w:t>8</w:t>
            </w:r>
            <w:r>
              <w:rPr>
                <w:rFonts w:hint="eastAsia" w:ascii="宋体" w:hAnsi="宋体" w:eastAsia="宋体" w:cs="宋体"/>
                <w:color w:val="000000"/>
                <w:sz w:val="21"/>
                <w:szCs w:val="21"/>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075" w:type="pct"/>
            <w:gridSpan w:val="4"/>
            <w:tcBorders>
              <w:left w:val="single" w:color="auto" w:sz="8" w:space="0"/>
              <w:right w:val="single" w:color="auto" w:sz="4" w:space="0"/>
            </w:tcBorders>
            <w:noWrap w:val="0"/>
            <w:vAlign w:val="top"/>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392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注：①上述人员须提供身份证、毕业证书（大学专科（或以上）学历）及</w:t>
            </w:r>
            <w:r>
              <w:rPr>
                <w:rFonts w:hint="eastAsia" w:ascii="宋体" w:hAnsi="宋体" w:cs="宋体"/>
                <w:color w:val="000000"/>
                <w:sz w:val="21"/>
                <w:szCs w:val="21"/>
                <w:highlight w:val="none"/>
                <w:lang w:eastAsia="zh-CN"/>
              </w:rPr>
              <w:t>2025年2月或2025年3月</w:t>
            </w:r>
            <w:r>
              <w:rPr>
                <w:rFonts w:hint="eastAsia" w:ascii="宋体" w:hAnsi="宋体" w:eastAsia="宋体" w:cs="宋体"/>
                <w:color w:val="000000"/>
                <w:sz w:val="21"/>
                <w:szCs w:val="21"/>
                <w:highlight w:val="none"/>
              </w:rPr>
              <w:t>有效社保证明，且须按相应要求提供职称证、有效期内的注册证及有效期内的安全生产考核合格证（B类）或安全生产考核合格证（C类）或建筑施工企业项目负责人安全生产考核合格证书或建筑施工企业专职安全生产管理人员安全生产考核合格证书（C3），所有资料为扫描件并加盖投标人电子公章</w:t>
            </w:r>
            <w:r>
              <w:rPr>
                <w:rFonts w:hint="eastAsia" w:ascii="宋体" w:hAnsi="宋体" w:cs="宋体"/>
                <w:color w:val="000000"/>
                <w:sz w:val="21"/>
                <w:szCs w:val="21"/>
                <w:highlight w:val="none"/>
                <w:lang w:eastAsia="zh-CN"/>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②项目负责人、技术负责人、质量负责人、安全负责人、造价负责人不得兼任，且安全负责人不能同时兼任专职安全员。</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③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④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eastAsia="宋体" w:cs="宋体"/>
                <w:color w:val="000000"/>
                <w:sz w:val="21"/>
                <w:szCs w:val="21"/>
                <w:highlight w:val="none"/>
                <w:lang w:val="en-US" w:eastAsia="zh-CN"/>
              </w:rPr>
              <w:t>。</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3" w:type="pct"/>
            <w:vMerge w:val="restart"/>
            <w:tcBorders>
              <w:top w:val="single" w:color="auto" w:sz="4" w:space="0"/>
              <w:left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eastAsia="zh-CN"/>
              </w:rPr>
              <w:t>二</w:t>
            </w:r>
            <w:r>
              <w:rPr>
                <w:rFonts w:hint="eastAsia" w:ascii="宋体" w:hAnsi="宋体" w:eastAsia="宋体" w:cs="宋体"/>
                <w:color w:val="000000"/>
                <w:sz w:val="21"/>
                <w:szCs w:val="21"/>
              </w:rPr>
              <w:t>、企业资信（</w:t>
            </w:r>
            <w:r>
              <w:rPr>
                <w:rFonts w:hint="eastAsia" w:ascii="宋体" w:hAnsi="宋体" w:eastAsia="宋体" w:cs="宋体"/>
                <w:color w:val="000000"/>
                <w:sz w:val="21"/>
                <w:szCs w:val="21"/>
                <w:lang w:val="en-US" w:eastAsia="zh-CN"/>
              </w:rPr>
              <w:t>20</w:t>
            </w:r>
            <w:r>
              <w:rPr>
                <w:rFonts w:hint="eastAsia" w:ascii="宋体" w:hAnsi="宋体" w:eastAsia="宋体" w:cs="宋体"/>
                <w:color w:val="000000"/>
                <w:sz w:val="21"/>
                <w:szCs w:val="21"/>
              </w:rPr>
              <w:t>分）</w:t>
            </w:r>
          </w:p>
        </w:tc>
        <w:tc>
          <w:tcPr>
            <w:tcW w:w="487" w:type="pct"/>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企业类似工程业绩</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16</w:t>
            </w:r>
          </w:p>
        </w:tc>
        <w:tc>
          <w:tcPr>
            <w:tcW w:w="392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投标人自</w:t>
            </w:r>
            <w:r>
              <w:rPr>
                <w:rFonts w:hint="eastAsia" w:ascii="宋体" w:hAnsi="宋体" w:eastAsia="宋体" w:cs="宋体"/>
                <w:color w:val="000000"/>
                <w:sz w:val="21"/>
                <w:szCs w:val="21"/>
                <w:highlight w:val="none"/>
                <w:u w:val="single"/>
                <w:lang w:val="en-US" w:eastAsia="zh-CN"/>
              </w:rPr>
              <w:t>2022</w:t>
            </w:r>
            <w:r>
              <w:rPr>
                <w:rFonts w:hint="eastAsia" w:ascii="宋体" w:hAnsi="宋体" w:eastAsia="宋体" w:cs="宋体"/>
                <w:color w:val="000000"/>
                <w:sz w:val="21"/>
                <w:szCs w:val="21"/>
                <w:highlight w:val="none"/>
              </w:rPr>
              <w:t>年1月1日至今完成过质量合格的</w:t>
            </w:r>
            <w:r>
              <w:rPr>
                <w:rFonts w:hint="eastAsia" w:ascii="宋体" w:hAnsi="宋体" w:eastAsia="宋体" w:cs="宋体"/>
                <w:color w:val="000000"/>
                <w:sz w:val="21"/>
                <w:szCs w:val="21"/>
                <w:highlight w:val="none"/>
                <w:lang w:val="en-US" w:eastAsia="zh-CN"/>
              </w:rPr>
              <w:t>且工程造价金额大于或等于</w:t>
            </w:r>
            <w:r>
              <w:rPr>
                <w:rFonts w:hint="eastAsia" w:ascii="宋体" w:hAnsi="宋体" w:eastAsia="宋体" w:cs="宋体"/>
                <w:color w:val="000000"/>
                <w:sz w:val="21"/>
                <w:szCs w:val="21"/>
                <w:highlight w:val="none"/>
                <w:u w:val="single"/>
                <w:lang w:val="en-US" w:eastAsia="zh-CN"/>
              </w:rPr>
              <w:t xml:space="preserve"> 1400 </w:t>
            </w:r>
            <w:r>
              <w:rPr>
                <w:rFonts w:hint="eastAsia" w:ascii="宋体" w:hAnsi="宋体" w:eastAsia="宋体" w:cs="宋体"/>
                <w:color w:val="000000"/>
                <w:sz w:val="21"/>
                <w:szCs w:val="21"/>
                <w:highlight w:val="none"/>
                <w:lang w:val="en-US" w:eastAsia="zh-CN"/>
              </w:rPr>
              <w:t>万元</w:t>
            </w:r>
            <w:r>
              <w:rPr>
                <w:rFonts w:hint="eastAsia" w:ascii="宋体" w:hAnsi="宋体" w:eastAsia="宋体" w:cs="宋体"/>
                <w:color w:val="000000"/>
                <w:kern w:val="2"/>
                <w:sz w:val="21"/>
                <w:szCs w:val="21"/>
                <w:highlight w:val="none"/>
                <w:lang w:val="en-US" w:eastAsia="zh-CN" w:bidi="ar-SA"/>
              </w:rPr>
              <w:t>的</w:t>
            </w:r>
            <w:r>
              <w:rPr>
                <w:rFonts w:hint="eastAsia" w:ascii="宋体" w:hAnsi="宋体" w:eastAsia="宋体" w:cs="宋体"/>
                <w:color w:val="000000"/>
                <w:sz w:val="21"/>
                <w:szCs w:val="21"/>
                <w:highlight w:val="none"/>
              </w:rPr>
              <w:t>市政公用工程</w:t>
            </w:r>
            <w:r>
              <w:rPr>
                <w:rFonts w:hint="eastAsia" w:ascii="宋体" w:hAnsi="宋体" w:eastAsia="宋体" w:cs="宋体"/>
                <w:color w:val="000000"/>
                <w:sz w:val="21"/>
                <w:szCs w:val="21"/>
                <w:highlight w:val="none"/>
                <w:u w:val="single"/>
              </w:rPr>
              <w:t>施工</w:t>
            </w:r>
            <w:r>
              <w:rPr>
                <w:rFonts w:hint="eastAsia" w:ascii="宋体" w:hAnsi="宋体" w:eastAsia="宋体" w:cs="宋体"/>
                <w:color w:val="000000"/>
                <w:sz w:val="21"/>
                <w:szCs w:val="21"/>
                <w:highlight w:val="none"/>
                <w:u w:val="single"/>
                <w:lang w:val="en-US" w:eastAsia="zh-CN"/>
              </w:rPr>
              <w:t>总承包或工程总承包施工部分业绩</w:t>
            </w:r>
            <w:r>
              <w:rPr>
                <w:rFonts w:hint="eastAsia" w:ascii="宋体" w:hAnsi="宋体" w:eastAsia="宋体" w:cs="宋体"/>
                <w:color w:val="000000"/>
                <w:sz w:val="21"/>
                <w:szCs w:val="21"/>
                <w:highlight w:val="none"/>
              </w:rPr>
              <w:t>一项得</w:t>
            </w:r>
            <w:r>
              <w:rPr>
                <w:rFonts w:hint="eastAsia" w:ascii="宋体" w:hAnsi="宋体" w:eastAsia="宋体" w:cs="宋体"/>
                <w:color w:val="000000"/>
                <w:sz w:val="21"/>
                <w:szCs w:val="21"/>
                <w:highlight w:val="none"/>
                <w:u w:val="single"/>
                <w:lang w:val="en-US" w:eastAsia="zh-CN"/>
              </w:rPr>
              <w:t>8</w:t>
            </w:r>
            <w:r>
              <w:rPr>
                <w:rFonts w:hint="eastAsia" w:ascii="宋体" w:hAnsi="宋体" w:eastAsia="宋体" w:cs="宋体"/>
                <w:color w:val="000000"/>
                <w:sz w:val="21"/>
                <w:szCs w:val="21"/>
                <w:highlight w:val="none"/>
              </w:rPr>
              <w:t>分，最多得</w:t>
            </w:r>
            <w:r>
              <w:rPr>
                <w:rFonts w:hint="eastAsia" w:ascii="宋体" w:hAnsi="宋体" w:eastAsia="宋体" w:cs="宋体"/>
                <w:color w:val="000000"/>
                <w:sz w:val="21"/>
                <w:szCs w:val="21"/>
                <w:highlight w:val="none"/>
                <w:lang w:val="en-US" w:eastAsia="zh-CN"/>
              </w:rPr>
              <w:t>16</w:t>
            </w:r>
            <w:r>
              <w:rPr>
                <w:rFonts w:hint="eastAsia" w:ascii="宋体" w:hAnsi="宋体" w:eastAsia="宋体" w:cs="宋体"/>
                <w:color w:val="000000"/>
                <w:sz w:val="21"/>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43" w:type="pct"/>
            <w:vMerge w:val="continue"/>
            <w:tcBorders>
              <w:left w:val="single" w:color="auto" w:sz="8"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c>
          <w:tcPr>
            <w:tcW w:w="487" w:type="pct"/>
            <w:gridSpan w:val="2"/>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第三方评价</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3924" w:type="pct"/>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按各企业自</w:t>
            </w:r>
            <w:r>
              <w:rPr>
                <w:rFonts w:hint="eastAsia" w:ascii="宋体" w:hAnsi="宋体" w:eastAsia="宋体" w:cs="宋体"/>
                <w:color w:val="000000"/>
                <w:sz w:val="21"/>
                <w:szCs w:val="21"/>
                <w:highlight w:val="none"/>
                <w:u w:val="single"/>
                <w:lang w:val="en-US" w:eastAsia="zh-CN"/>
              </w:rPr>
              <w:t>2022</w:t>
            </w:r>
            <w:r>
              <w:rPr>
                <w:rFonts w:hint="eastAsia" w:ascii="宋体" w:hAnsi="宋体" w:eastAsia="宋体" w:cs="宋体"/>
                <w:color w:val="000000"/>
                <w:sz w:val="21"/>
                <w:szCs w:val="21"/>
                <w:highlight w:val="none"/>
              </w:rPr>
              <w:t>年至今获得过税务机关评定的“A级纳税人”称号得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分；获得过税务机关评定的“B级纳税人”称号得</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分；获得过税务机关评定的“M级纳税人”称号得1分。最多得</w:t>
            </w:r>
            <w:r>
              <w:rPr>
                <w:rFonts w:hint="eastAsia" w:ascii="宋体" w:hAnsi="宋体" w:eastAsia="宋体" w:cs="宋体"/>
                <w:color w:val="000000"/>
                <w:sz w:val="21"/>
                <w:szCs w:val="21"/>
                <w:highlight w:val="none"/>
                <w:lang w:val="en-US" w:eastAsia="zh-CN"/>
              </w:rPr>
              <w:t>4</w:t>
            </w:r>
            <w:r>
              <w:rPr>
                <w:rFonts w:hint="eastAsia" w:ascii="宋体" w:hAnsi="宋体" w:eastAsia="宋体" w:cs="宋体"/>
                <w:color w:val="000000"/>
                <w:sz w:val="21"/>
                <w:szCs w:val="21"/>
                <w:highlight w:val="none"/>
              </w:rPr>
              <w:t>分。</w:t>
            </w:r>
          </w:p>
        </w:tc>
      </w:tr>
      <w:tr>
        <w:tblPrEx>
          <w:tblBorders>
            <w:top w:val="single" w:color="auto" w:sz="8" w:space="0"/>
            <w:left w:val="single" w:color="auto" w:sz="8"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31" w:type="pct"/>
            <w:gridSpan w:val="3"/>
            <w:tcBorders>
              <w:left w:val="single" w:color="auto" w:sz="8"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eastAsia="宋体" w:cs="宋体"/>
                <w:color w:val="auto"/>
                <w:sz w:val="21"/>
                <w:szCs w:val="21"/>
                <w:highlight w:val="none"/>
              </w:rPr>
              <w:t>合计（一+二）</w:t>
            </w:r>
          </w:p>
        </w:tc>
        <w:tc>
          <w:tcPr>
            <w:tcW w:w="24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0</w:t>
            </w:r>
          </w:p>
        </w:tc>
        <w:tc>
          <w:tcPr>
            <w:tcW w:w="392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000000"/>
                <w:sz w:val="21"/>
                <w:szCs w:val="21"/>
              </w:rPr>
            </w:pPr>
          </w:p>
        </w:tc>
      </w:tr>
    </w:tbl>
    <w:p>
      <w:pPr>
        <w:pStyle w:val="40"/>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仿宋" w:hAnsi="仿宋" w:eastAsia="仿宋" w:cs="宋体"/>
          <w:color w:val="auto"/>
          <w:sz w:val="21"/>
          <w:szCs w:val="21"/>
          <w:highlight w:val="none"/>
        </w:rPr>
      </w:pPr>
      <w:r>
        <w:rPr>
          <w:rFonts w:hint="eastAsia" w:ascii="仿宋" w:hAnsi="仿宋" w:eastAsia="仿宋" w:cs="宋体"/>
          <w:b/>
          <w:color w:val="auto"/>
          <w:sz w:val="21"/>
          <w:szCs w:val="21"/>
          <w:highlight w:val="none"/>
        </w:rPr>
        <w:t>备注</w:t>
      </w:r>
      <w:r>
        <w:rPr>
          <w:rFonts w:hint="eastAsia" w:ascii="仿宋" w:hAnsi="仿宋" w:eastAsia="仿宋" w:cs="宋体"/>
          <w:color w:val="auto"/>
          <w:sz w:val="21"/>
          <w:szCs w:val="21"/>
          <w:highlight w:val="none"/>
        </w:rPr>
        <w:t>：</w:t>
      </w:r>
    </w:p>
    <w:p>
      <w:pPr>
        <w:pStyle w:val="4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评委对业绩认定意见不一致时，则由招标人解释招标文件后，评委讨论业绩认定标准；经讨论后标准仍不一致时，则按少数服从多数处理。按少数服从多数仍不能形成一致意见时，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pStyle w:val="40"/>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2.项目负责人业绩：</w:t>
      </w:r>
    </w:p>
    <w:p>
      <w:pPr>
        <w:pStyle w:val="4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none"/>
          <w:lang w:eastAsia="zh-CN"/>
        </w:rPr>
      </w:pPr>
      <w:r>
        <w:rPr>
          <w:rFonts w:hint="eastAsia" w:ascii="仿宋" w:hAnsi="仿宋" w:eastAsia="仿宋" w:cs="仿宋"/>
          <w:color w:val="auto"/>
          <w:sz w:val="21"/>
          <w:szCs w:val="21"/>
          <w:highlight w:val="none"/>
          <w:u w:val="none"/>
        </w:rPr>
        <w:t>业绩需提供相关证明材料。其中：工程总承包业绩包括勘察设计施工总承包或设计施工总承包或设计采购施工总承包或勘察设计采购施工总承包业绩等。投标人须提供业绩的中标通知书或免招标的相关证明、招标公告网页首页截图(需显示网址）（适用于公开招标项目）、中标公示或中标候选人公示网页截图(需显示网址）（适用于公开招标项目）、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Pr>
          <w:rFonts w:hint="eastAsia" w:ascii="仿宋" w:hAnsi="仿宋" w:eastAsia="仿宋" w:cs="仿宋"/>
          <w:color w:val="auto"/>
          <w:sz w:val="21"/>
          <w:szCs w:val="21"/>
          <w:highlight w:val="none"/>
          <w:u w:val="single"/>
        </w:rPr>
        <w:t>市政公用工程施工总承包</w:t>
      </w:r>
      <w:r>
        <w:rPr>
          <w:rFonts w:hint="eastAsia" w:ascii="仿宋" w:hAnsi="仿宋" w:eastAsia="仿宋" w:cs="仿宋"/>
          <w:color w:val="auto"/>
          <w:sz w:val="21"/>
          <w:szCs w:val="21"/>
          <w:highlight w:val="none"/>
          <w:u w:val="none"/>
        </w:rPr>
        <w:t>资质方能承接的业绩。竣工验收文件须有对应职位及该人员的姓名（如竣工文件无对应职位及该人员姓名的，则投标人需提供体现该人员以对应职位参与过该项目的其他经建设单位盖章确认的证明材料扫描件并加盖投标人电子印章，无提供证明材料不计分）。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w:t>
      </w:r>
      <w:r>
        <w:rPr>
          <w:rFonts w:hint="eastAsia" w:ascii="仿宋" w:hAnsi="仿宋" w:eastAsia="仿宋" w:cs="仿宋"/>
          <w:color w:val="auto"/>
          <w:sz w:val="21"/>
          <w:szCs w:val="21"/>
          <w:highlight w:val="none"/>
          <w:u w:val="none"/>
          <w:lang w:eastAsia="zh-CN"/>
        </w:rPr>
        <w:t>。</w:t>
      </w:r>
    </w:p>
    <w:p>
      <w:pPr>
        <w:pStyle w:val="40"/>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3.企业类似工程业绩：</w:t>
      </w:r>
    </w:p>
    <w:p>
      <w:pPr>
        <w:pStyle w:val="4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业绩需提供相关证明材料。其中：工程总承包业绩包括勘察设计施工总承包或设计施工总承包或设计采购施工总承包或勘察设计采购施工总承包业绩等。投标人须提供业绩的中标通知书或免招标的相关证明、施工合同或工程总承包合同（不含补充合同）、竣工验收证明文件（验收文件至少具有建设单位、设计、施工和监理单位盖章）。完成时间以竣工验收证明材料为准。业绩金额以业绩中标通知书为准，若中标通知书没有显示中标金额或免招标的，以施工合同或工程总承包合同的施工费合同金额为准（不含补充合同）。上述资料显示的内容须一致且工程业绩须为</w:t>
      </w:r>
      <w:r>
        <w:rPr>
          <w:rFonts w:hint="eastAsia" w:ascii="仿宋" w:hAnsi="仿宋" w:eastAsia="仿宋" w:cs="仿宋"/>
          <w:color w:val="auto"/>
          <w:sz w:val="21"/>
          <w:szCs w:val="21"/>
          <w:highlight w:val="none"/>
          <w:u w:val="single"/>
        </w:rPr>
        <w:t>市政公用工程施工总承包</w:t>
      </w:r>
      <w:r>
        <w:rPr>
          <w:rFonts w:hint="eastAsia" w:ascii="仿宋" w:hAnsi="仿宋" w:eastAsia="仿宋" w:cs="仿宋"/>
          <w:color w:val="auto"/>
          <w:sz w:val="21"/>
          <w:szCs w:val="21"/>
          <w:highlight w:val="none"/>
          <w:u w:val="none"/>
        </w:rPr>
        <w:t>资质方能承接的业绩。不符合上述条件或提供的资料不齐全的业绩不予评审。评标委员会对业绩的评审以投标人提供的完整的证明资料为依据（提供相关证明材料的，中标单位须准备相关证明材料的原件待查，如原件不齐或与投标文件不符的，招标人有权取消其中标人资格，并上报建设行政主管部门）。其中，市政公用工程包括：给水工程、排水工程、燃气工程、热力工程、城市道路工程、城市桥梁工程、城市隧道工程（指城市规划区内的穿山过江隧道、地铁隧道、地下交通工程、地下过街通道）、公共交通工程、轨道交通工程、环境卫生工程、照明工程、绿化工程。</w:t>
      </w:r>
    </w:p>
    <w:p>
      <w:pPr>
        <w:pStyle w:val="40"/>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仿宋" w:hAnsi="仿宋" w:eastAsia="仿宋" w:cs="仿宋"/>
          <w:b/>
          <w:bCs/>
          <w:color w:val="auto"/>
          <w:sz w:val="21"/>
          <w:szCs w:val="21"/>
          <w:highlight w:val="none"/>
          <w:u w:val="none"/>
        </w:rPr>
      </w:pPr>
      <w:r>
        <w:rPr>
          <w:rFonts w:hint="eastAsia" w:ascii="仿宋" w:hAnsi="仿宋" w:eastAsia="仿宋" w:cs="仿宋"/>
          <w:b/>
          <w:bCs/>
          <w:color w:val="auto"/>
          <w:sz w:val="21"/>
          <w:szCs w:val="21"/>
          <w:highlight w:val="none"/>
          <w:u w:val="none"/>
        </w:rPr>
        <w:t>4.第三方评价：</w:t>
      </w:r>
    </w:p>
    <w:p>
      <w:pPr>
        <w:pStyle w:val="4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纳税信用A级纳税人”须提供国家税务总局官网（http://www.chinatax.gov.cn/）“纳税信用A级纳税人名单公布栏”查询结果网页截图或其省级（含直辖市）税务局官网“纳税信用A级纳税人名单公布栏”查询结果网页截图。时间以国家税务总局或其省级（含直辖市）税务局网站纳税信用信息查询结果的网页截图公布的评价年度为准。“B级纳税人”和“M级纳税人”须提供证书扫描件或须提供在电子税务局系统上查询的年度纳税信用证明信息扫描件。时间以证书或网页截图公布的评价年度为准。若投标人满足多个档次的，按最高档计分一次，不累计。上述资料显示的纳税人全称须与投标人名称一致，否则不得分。不满足上述要求或无提交上述资料不得分。</w:t>
      </w:r>
    </w:p>
    <w:p>
      <w:pPr>
        <w:pStyle w:val="4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5.本表按百分制评分，所有评委每个分项的分数汇总后去掉一个最高分和一个最低分的算术平均值为投标人的最终得分。分数出现小数点，保留小数点后二位小数，第三位小数四舍五入,若投标人满足多个档次的，按最高档计分一次，不累计。</w:t>
      </w:r>
    </w:p>
    <w:p>
      <w:pPr>
        <w:pStyle w:val="4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6.项目管理机构人员不得兼任。</w:t>
      </w:r>
    </w:p>
    <w:p>
      <w:pPr>
        <w:pStyle w:val="4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7.除了项目组织管理机构能力可计算投标人的分公司（不具备独立法人）或投标人的分支机构（不具备独立法人）外，评分表内其他评分项目只计算投标人自身（不计算投标人的分公司、子公司和分支机构），否则不得分。</w:t>
      </w:r>
    </w:p>
    <w:p>
      <w:pPr>
        <w:pStyle w:val="4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8.若为联合体，评分内容只计算主办方得分。</w:t>
      </w:r>
    </w:p>
    <w:p>
      <w:pPr>
        <w:pStyle w:val="4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9.投标人提供的网页信息截图或证明材料扫描件内容必须清晰可辨，如因网页信息截图或证明材料扫描件内容模糊导致评标时无法判断的，后果由投标人自负。</w:t>
      </w:r>
    </w:p>
    <w:p>
      <w:pPr>
        <w:snapToGrid w:val="0"/>
        <w:spacing w:line="360" w:lineRule="auto"/>
        <w:rPr>
          <w:rFonts w:hint="eastAsia" w:ascii="宋体" w:hAnsi="宋体" w:cs="宋体"/>
          <w:b/>
          <w:bCs/>
          <w:color w:val="auto"/>
          <w:sz w:val="24"/>
          <w:szCs w:val="24"/>
          <w:highlight w:val="none"/>
        </w:rPr>
      </w:pPr>
    </w:p>
    <w:p>
      <w:pPr>
        <w:snapToGrid/>
        <w:spacing w:line="240" w:lineRule="auto"/>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pPr>
        <w:pStyle w:val="6"/>
        <w:ind w:firstLine="0"/>
        <w:rPr>
          <w:rFonts w:hint="eastAsia"/>
        </w:rPr>
      </w:pP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附表五（适用于区间抽取法）</w:t>
      </w:r>
    </w:p>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经济标评分表</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76"/>
        <w:gridCol w:w="956"/>
        <w:gridCol w:w="956"/>
        <w:gridCol w:w="956"/>
        <w:gridCol w:w="956"/>
        <w:gridCol w:w="956"/>
        <w:gridCol w:w="956"/>
        <w:gridCol w:w="956"/>
        <w:gridCol w:w="956"/>
        <w:gridCol w:w="956"/>
        <w:gridCol w:w="956"/>
        <w:gridCol w:w="956"/>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投标报价PT（元）</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计算评标参考价的等分点值X</w:t>
            </w:r>
          </w:p>
        </w:tc>
        <w:tc>
          <w:tcPr>
            <w:tcW w:w="4282" w:type="pct"/>
            <w:gridSpan w:val="12"/>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评标参考价PC（元）</w:t>
            </w:r>
          </w:p>
        </w:tc>
        <w:tc>
          <w:tcPr>
            <w:tcW w:w="4282" w:type="pct"/>
            <w:gridSpan w:val="12"/>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偏差（（PT-PC）/PC）（%）</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减分（A）</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得分(I=100-A)</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71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得分排名次序</w:t>
            </w: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6"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c>
          <w:tcPr>
            <w:tcW w:w="357"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 w:val="24"/>
                <w:szCs w:val="24"/>
                <w:highlight w:val="none"/>
              </w:rPr>
            </w:pPr>
          </w:p>
        </w:tc>
      </w:tr>
    </w:tbl>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评委签名：</w:t>
      </w:r>
    </w:p>
    <w:p>
      <w:pPr>
        <w:pStyle w:val="40"/>
        <w:ind w:firstLine="420" w:firstLineChars="200"/>
        <w:rPr>
          <w:rFonts w:ascii="仿宋" w:hAnsi="仿宋" w:eastAsia="仿宋" w:cs="仿宋"/>
          <w:color w:val="auto"/>
          <w:sz w:val="21"/>
          <w:szCs w:val="21"/>
          <w:highlight w:val="none"/>
        </w:rPr>
      </w:pPr>
    </w:p>
    <w:p>
      <w:pPr>
        <w:snapToGrid w:val="0"/>
        <w:spacing w:line="360" w:lineRule="auto"/>
        <w:jc w:val="left"/>
        <w:rPr>
          <w:rFonts w:ascii="宋体" w:hAnsi="宋体" w:cs="宋体"/>
          <w:b/>
          <w:bCs/>
          <w:color w:val="auto"/>
          <w:sz w:val="24"/>
          <w:szCs w:val="24"/>
          <w:highlight w:val="none"/>
        </w:rPr>
        <w:sectPr>
          <w:pgSz w:w="16840" w:h="11907" w:orient="landscape"/>
          <w:pgMar w:top="1361" w:right="1134" w:bottom="1361" w:left="1134" w:header="851" w:footer="992" w:gutter="0"/>
          <w:cols w:space="720" w:num="1"/>
          <w:docGrid w:type="lines" w:linePitch="312" w:charSpace="0"/>
        </w:sectPr>
      </w:pPr>
    </w:p>
    <w:p>
      <w:pPr>
        <w:snapToGrid w:val="0"/>
        <w:spacing w:line="360" w:lineRule="auto"/>
        <w:rPr>
          <w:rFonts w:ascii="宋体" w:hAnsi="宋体" w:cs="宋体"/>
          <w:b/>
          <w:bCs/>
          <w:color w:val="auto"/>
          <w:sz w:val="24"/>
          <w:szCs w:val="24"/>
          <w:highlight w:val="none"/>
        </w:rPr>
      </w:pPr>
      <w:r>
        <w:rPr>
          <w:rFonts w:hint="eastAsia" w:ascii="宋体" w:hAnsi="宋体" w:cs="宋体"/>
          <w:b/>
          <w:bCs/>
          <w:color w:val="auto"/>
          <w:sz w:val="24"/>
          <w:szCs w:val="24"/>
          <w:highlight w:val="none"/>
        </w:rPr>
        <w:t>附表六</w:t>
      </w:r>
    </w:p>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算术复核表</w:t>
      </w:r>
    </w:p>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工程名称：投标人：单位：元</w:t>
      </w:r>
    </w:p>
    <w:tbl>
      <w:tblPr>
        <w:tblStyle w:val="31"/>
        <w:tblW w:w="5000" w:type="pct"/>
        <w:tblInd w:w="0" w:type="dxa"/>
        <w:tblLayout w:type="fixed"/>
        <w:tblCellMar>
          <w:top w:w="0" w:type="dxa"/>
          <w:left w:w="108" w:type="dxa"/>
          <w:bottom w:w="0" w:type="dxa"/>
          <w:right w:w="108" w:type="dxa"/>
        </w:tblCellMar>
      </w:tblPr>
      <w:tblGrid>
        <w:gridCol w:w="661"/>
        <w:gridCol w:w="2000"/>
        <w:gridCol w:w="1133"/>
        <w:gridCol w:w="1417"/>
        <w:gridCol w:w="1843"/>
        <w:gridCol w:w="2552"/>
        <w:gridCol w:w="5182"/>
      </w:tblGrid>
      <w:tr>
        <w:tblPrEx>
          <w:tblCellMar>
            <w:top w:w="0" w:type="dxa"/>
            <w:left w:w="108" w:type="dxa"/>
            <w:bottom w:w="0" w:type="dxa"/>
            <w:right w:w="108" w:type="dxa"/>
          </w:tblCellMar>
        </w:tblPrEx>
        <w:trPr>
          <w:trHeight w:val="705" w:hRule="atLeast"/>
        </w:trPr>
        <w:tc>
          <w:tcPr>
            <w:tcW w:w="223"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编号</w:t>
            </w:r>
          </w:p>
        </w:tc>
        <w:tc>
          <w:tcPr>
            <w:tcW w:w="676"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算术校核项目</w:t>
            </w:r>
          </w:p>
        </w:tc>
        <w:tc>
          <w:tcPr>
            <w:tcW w:w="383"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修正前投标</w:t>
            </w:r>
          </w:p>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报价A</w:t>
            </w:r>
          </w:p>
        </w:tc>
        <w:tc>
          <w:tcPr>
            <w:tcW w:w="479"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修正后投标</w:t>
            </w:r>
          </w:p>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报价B</w:t>
            </w:r>
          </w:p>
        </w:tc>
        <w:tc>
          <w:tcPr>
            <w:tcW w:w="623"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修正率</w:t>
            </w:r>
          </w:p>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r=|A-B|/A*100%</w:t>
            </w:r>
          </w:p>
        </w:tc>
        <w:tc>
          <w:tcPr>
            <w:tcW w:w="863"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经评审的最终投标报价</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[单位工程1]</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[单位工程2]</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n</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[单位工程n]</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p>
        </w:tc>
      </w:tr>
      <w:tr>
        <w:tblPrEx>
          <w:tblCellMar>
            <w:top w:w="0" w:type="dxa"/>
            <w:left w:w="108" w:type="dxa"/>
            <w:bottom w:w="0" w:type="dxa"/>
            <w:right w:w="108" w:type="dxa"/>
          </w:tblCellMar>
        </w:tblPrEx>
        <w:trPr>
          <w:trHeight w:val="600" w:hRule="atLeast"/>
        </w:trPr>
        <w:tc>
          <w:tcPr>
            <w:tcW w:w="223" w:type="pct"/>
            <w:tcBorders>
              <w:top w:val="nil"/>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w:t>
            </w:r>
          </w:p>
        </w:tc>
        <w:tc>
          <w:tcPr>
            <w:tcW w:w="676"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投标总报价</w:t>
            </w:r>
          </w:p>
        </w:tc>
        <w:tc>
          <w:tcPr>
            <w:tcW w:w="38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479"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623" w:type="pct"/>
            <w:tcBorders>
              <w:top w:val="nil"/>
              <w:left w:val="nil"/>
              <w:bottom w:val="single" w:color="auto" w:sz="4" w:space="0"/>
              <w:right w:val="single" w:color="auto" w:sz="4" w:space="0"/>
              <w:tr2bl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863" w:type="pct"/>
            <w:tcBorders>
              <w:top w:val="nil"/>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52" w:type="pct"/>
            <w:tcBorders>
              <w:top w:val="single" w:color="auto" w:sz="4" w:space="0"/>
              <w:left w:val="nil"/>
              <w:bottom w:val="single" w:color="auto" w:sz="4" w:space="0"/>
              <w:right w:val="single" w:color="auto" w:sz="4" w:space="0"/>
            </w:tcBorders>
            <w:noWrap/>
            <w:vAlign w:val="center"/>
          </w:tcPr>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∑A=A</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+A</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+…An；∑B=B</w:t>
            </w:r>
            <w:r>
              <w:rPr>
                <w:rFonts w:hint="eastAsia" w:ascii="宋体" w:hAnsi="宋体" w:cs="宋体"/>
                <w:color w:val="auto"/>
                <w:kern w:val="0"/>
                <w:sz w:val="24"/>
                <w:szCs w:val="24"/>
                <w:highlight w:val="none"/>
                <w:vertAlign w:val="subscript"/>
              </w:rPr>
              <w:t>1</w:t>
            </w:r>
            <w:r>
              <w:rPr>
                <w:rFonts w:hint="eastAsia" w:ascii="宋体" w:hAnsi="宋体" w:cs="宋体"/>
                <w:color w:val="auto"/>
                <w:kern w:val="0"/>
                <w:sz w:val="24"/>
                <w:szCs w:val="24"/>
                <w:highlight w:val="none"/>
              </w:rPr>
              <w:t>+B</w:t>
            </w:r>
            <w:r>
              <w:rPr>
                <w:rFonts w:hint="eastAsia" w:ascii="宋体" w:hAnsi="宋体" w:cs="宋体"/>
                <w:color w:val="auto"/>
                <w:kern w:val="0"/>
                <w:sz w:val="24"/>
                <w:szCs w:val="24"/>
                <w:highlight w:val="none"/>
                <w:vertAlign w:val="subscript"/>
              </w:rPr>
              <w:t>2</w:t>
            </w:r>
            <w:r>
              <w:rPr>
                <w:rFonts w:hint="eastAsia" w:ascii="宋体" w:hAnsi="宋体" w:cs="宋体"/>
                <w:color w:val="auto"/>
                <w:kern w:val="0"/>
                <w:sz w:val="24"/>
                <w:szCs w:val="24"/>
                <w:highlight w:val="none"/>
              </w:rPr>
              <w:t>+…Bn</w:t>
            </w:r>
          </w:p>
        </w:tc>
      </w:tr>
    </w:tbl>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修正原则：</w:t>
      </w:r>
      <w:r>
        <w:rPr>
          <w:rFonts w:hint="eastAsia" w:ascii="宋体" w:hAnsi="宋体" w:cs="宋体"/>
          <w:color w:val="auto"/>
          <w:sz w:val="24"/>
          <w:szCs w:val="24"/>
          <w:highlight w:val="none"/>
        </w:rPr>
        <w:t>按就低不就高原则，当修正后报价小于原报价，总价按修正后报价；当修正后报价大于原报价，总价按原报价，并在签订合同时载明在结算价中扣除修正报价与原报价的差额。</w:t>
      </w:r>
    </w:p>
    <w:p>
      <w:pPr>
        <w:snapToGrid w:val="0"/>
        <w:spacing w:line="360" w:lineRule="auto"/>
        <w:rPr>
          <w:rFonts w:ascii="宋体" w:hAnsi="宋体" w:cs="宋体"/>
          <w:color w:val="auto"/>
          <w:kern w:val="0"/>
          <w:sz w:val="24"/>
          <w:szCs w:val="24"/>
          <w:highlight w:val="none"/>
        </w:rPr>
      </w:pPr>
      <w:r>
        <w:rPr>
          <w:rFonts w:hint="eastAsia" w:ascii="宋体" w:hAnsi="宋体" w:cs="宋体"/>
          <w:color w:val="auto"/>
          <w:kern w:val="0"/>
          <w:sz w:val="24"/>
          <w:szCs w:val="24"/>
          <w:highlight w:val="none"/>
        </w:rPr>
        <w:t>评委签名：日期：</w:t>
      </w:r>
    </w:p>
    <w:p>
      <w:pPr>
        <w:pStyle w:val="40"/>
        <w:ind w:firstLine="420" w:firstLineChars="200"/>
        <w:rPr>
          <w:rFonts w:ascii="仿宋" w:hAnsi="仿宋" w:eastAsia="仿宋" w:cs="仿宋"/>
          <w:color w:val="auto"/>
          <w:sz w:val="21"/>
          <w:szCs w:val="21"/>
          <w:highlight w:val="none"/>
        </w:rPr>
      </w:pPr>
    </w:p>
    <w:p>
      <w:pPr>
        <w:snapToGrid w:val="0"/>
        <w:spacing w:line="360" w:lineRule="auto"/>
        <w:jc w:val="left"/>
        <w:rPr>
          <w:rFonts w:ascii="宋体" w:hAnsi="宋体" w:cs="宋体"/>
          <w:b/>
          <w:bCs/>
          <w:color w:val="auto"/>
          <w:sz w:val="24"/>
          <w:szCs w:val="24"/>
          <w:highlight w:val="none"/>
        </w:rPr>
        <w:sectPr>
          <w:pgSz w:w="16840" w:h="11907" w:orient="landscape"/>
          <w:pgMar w:top="1418" w:right="1134" w:bottom="1418" w:left="1134" w:header="851" w:footer="992" w:gutter="0"/>
          <w:cols w:space="720" w:num="1"/>
          <w:docGrid w:type="lines" w:linePitch="312" w:charSpace="0"/>
        </w:sectPr>
      </w:pPr>
    </w:p>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算术复核表</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8"/>
        <w:gridCol w:w="4300"/>
        <w:gridCol w:w="2329"/>
        <w:gridCol w:w="3100"/>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编号</w:t>
            </w: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投标人名称</w:t>
            </w: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原投标报价（A）</w:t>
            </w: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算数复核后投标报价（B）</w:t>
            </w: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516"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821"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093"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c>
          <w:tcPr>
            <w:tcW w:w="1207" w:type="pct"/>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 w:val="24"/>
                <w:szCs w:val="24"/>
                <w:highlight w:val="none"/>
              </w:rPr>
            </w:pPr>
          </w:p>
        </w:tc>
      </w:tr>
    </w:tbl>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评委签名：</w:t>
      </w:r>
    </w:p>
    <w:p>
      <w:pPr>
        <w:pStyle w:val="40"/>
        <w:ind w:firstLine="420" w:firstLineChars="200"/>
        <w:rPr>
          <w:rFonts w:ascii="仿宋" w:hAnsi="仿宋" w:eastAsia="仿宋" w:cs="仿宋"/>
          <w:color w:val="auto"/>
          <w:sz w:val="21"/>
          <w:szCs w:val="21"/>
          <w:highlight w:val="none"/>
        </w:rPr>
      </w:pPr>
    </w:p>
    <w:p>
      <w:pPr>
        <w:pStyle w:val="40"/>
        <w:ind w:firstLine="420" w:firstLineChars="200"/>
        <w:rPr>
          <w:rFonts w:ascii="仿宋" w:hAnsi="仿宋" w:eastAsia="仿宋" w:cs="仿宋"/>
          <w:color w:val="auto"/>
          <w:sz w:val="21"/>
          <w:szCs w:val="21"/>
          <w:highlight w:val="none"/>
        </w:rPr>
      </w:pPr>
    </w:p>
    <w:p>
      <w:pPr>
        <w:pStyle w:val="40"/>
        <w:ind w:firstLine="420" w:firstLineChars="200"/>
        <w:rPr>
          <w:rFonts w:ascii="仿宋" w:hAnsi="仿宋" w:eastAsia="仿宋" w:cs="仿宋"/>
          <w:color w:val="auto"/>
          <w:sz w:val="21"/>
          <w:szCs w:val="21"/>
          <w:highlight w:val="none"/>
        </w:rPr>
        <w:sectPr>
          <w:pgSz w:w="16840" w:h="11907" w:orient="landscape"/>
          <w:pgMar w:top="1440" w:right="1440" w:bottom="1440" w:left="1440" w:header="851" w:footer="992" w:gutter="0"/>
          <w:cols w:space="720" w:num="1"/>
          <w:docGrid w:type="lines" w:linePitch="312" w:charSpace="0"/>
        </w:sectPr>
      </w:pPr>
    </w:p>
    <w:p>
      <w:pPr>
        <w:snapToGrid w:val="0"/>
        <w:rPr>
          <w:rFonts w:ascii="宋体" w:hAnsi="宋体" w:cs="宋体"/>
          <w:b/>
          <w:bCs/>
          <w:color w:val="auto"/>
          <w:sz w:val="24"/>
          <w:szCs w:val="24"/>
          <w:highlight w:val="none"/>
        </w:rPr>
      </w:pPr>
      <w:r>
        <w:rPr>
          <w:rFonts w:hint="eastAsia" w:ascii="宋体" w:hAnsi="宋体" w:cs="宋体"/>
          <w:b/>
          <w:bCs/>
          <w:color w:val="auto"/>
          <w:sz w:val="24"/>
          <w:szCs w:val="24"/>
          <w:highlight w:val="none"/>
        </w:rPr>
        <w:t>附表七</w:t>
      </w:r>
    </w:p>
    <w:p>
      <w:pPr>
        <w:pStyle w:val="40"/>
        <w:rPr>
          <w:rFonts w:ascii="仿宋" w:hAnsi="仿宋" w:eastAsia="仿宋" w:cs="仿宋"/>
          <w:color w:val="auto"/>
          <w:sz w:val="21"/>
          <w:szCs w:val="21"/>
          <w:highlight w:val="none"/>
        </w:rPr>
      </w:pPr>
    </w:p>
    <w:p>
      <w:pPr>
        <w:snapToGrid w:val="0"/>
        <w:spacing w:line="360" w:lineRule="auto"/>
        <w:jc w:val="center"/>
        <w:rPr>
          <w:rFonts w:ascii="宋体" w:hAnsi="宋体" w:cs="宋体"/>
          <w:b/>
          <w:color w:val="auto"/>
          <w:sz w:val="24"/>
          <w:szCs w:val="24"/>
          <w:highlight w:val="none"/>
        </w:rPr>
      </w:pPr>
      <w:r>
        <w:rPr>
          <w:rFonts w:hint="eastAsia" w:ascii="宋体" w:hAnsi="宋体" w:cs="宋体"/>
          <w:b/>
          <w:color w:val="auto"/>
          <w:sz w:val="24"/>
          <w:szCs w:val="24"/>
          <w:highlight w:val="none"/>
        </w:rPr>
        <w:t>评标委员会成员声明</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广州开发区财政投资建设项目管理中心</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本人就参与</w:t>
      </w:r>
      <w:r>
        <w:rPr>
          <w:rFonts w:hint="eastAsia" w:ascii="宋体" w:hAnsi="宋体" w:cs="宋体"/>
          <w:color w:val="auto"/>
          <w:szCs w:val="21"/>
          <w:highlight w:val="none"/>
          <w:u w:val="single"/>
          <w:lang w:eastAsia="zh-CN"/>
        </w:rPr>
        <w:t>天鹿湖森林公园森林步道</w:t>
      </w:r>
      <w:r>
        <w:rPr>
          <w:rFonts w:hint="eastAsia" w:ascii="宋体" w:hAnsi="宋体" w:cs="宋体"/>
          <w:color w:val="auto"/>
          <w:szCs w:val="21"/>
          <w:highlight w:val="none"/>
          <w:u w:val="single"/>
        </w:rPr>
        <w:t>施工总承包</w:t>
      </w:r>
      <w:r>
        <w:rPr>
          <w:rFonts w:hint="eastAsia" w:ascii="宋体" w:hAnsi="宋体" w:cs="宋体"/>
          <w:color w:val="auto"/>
          <w:szCs w:val="21"/>
          <w:highlight w:val="none"/>
        </w:rPr>
        <w:t>项目的评标工作，作出郑重声明：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如果本人违反上述声明内容，造成的后果由本人自行承担。</w:t>
      </w:r>
    </w:p>
    <w:p>
      <w:pPr>
        <w:ind w:firstLine="420" w:firstLineChars="200"/>
        <w:rPr>
          <w:rFonts w:ascii="宋体" w:hAnsi="宋体" w:cs="宋体"/>
          <w:color w:val="auto"/>
          <w:szCs w:val="21"/>
          <w:highlight w:val="none"/>
        </w:rPr>
      </w:pPr>
    </w:p>
    <w:p>
      <w:pPr>
        <w:pStyle w:val="40"/>
        <w:ind w:firstLine="420" w:firstLineChars="200"/>
        <w:rPr>
          <w:rFonts w:ascii="仿宋" w:hAnsi="仿宋" w:eastAsia="仿宋" w:cs="仿宋"/>
          <w:color w:val="auto"/>
          <w:sz w:val="21"/>
          <w:szCs w:val="21"/>
          <w:highlight w:val="none"/>
        </w:rPr>
      </w:pP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声明人：（签名）</w:t>
      </w:r>
    </w:p>
    <w:p>
      <w:pPr>
        <w:pStyle w:val="40"/>
        <w:ind w:firstLine="420" w:firstLineChars="200"/>
        <w:rPr>
          <w:rFonts w:ascii="仿宋" w:hAnsi="仿宋" w:eastAsia="仿宋" w:cs="仿宋"/>
          <w:color w:val="auto"/>
          <w:sz w:val="21"/>
          <w:szCs w:val="21"/>
          <w:highlight w:val="none"/>
        </w:rPr>
      </w:pPr>
    </w:p>
    <w:p>
      <w:pPr>
        <w:pStyle w:val="40"/>
        <w:rPr>
          <w:rFonts w:ascii="仿宋" w:hAnsi="仿宋" w:eastAsia="仿宋" w:cs="仿宋"/>
          <w:color w:val="auto"/>
          <w:sz w:val="21"/>
          <w:szCs w:val="21"/>
          <w:highlight w:val="none"/>
        </w:rPr>
      </w:pPr>
    </w:p>
    <w:p>
      <w:pPr>
        <w:pStyle w:val="40"/>
        <w:ind w:firstLine="420" w:firstLineChars="200"/>
        <w:rPr>
          <w:rFonts w:ascii="仿宋" w:hAnsi="仿宋" w:eastAsia="仿宋" w:cs="仿宋"/>
          <w:color w:val="auto"/>
          <w:sz w:val="21"/>
          <w:szCs w:val="21"/>
          <w:highlight w:val="none"/>
        </w:rPr>
        <w:sectPr>
          <w:pgSz w:w="11907" w:h="16840"/>
          <w:pgMar w:top="1440" w:right="1270" w:bottom="1440" w:left="1270" w:header="851" w:footer="992" w:gutter="0"/>
          <w:cols w:space="720" w:num="1"/>
          <w:docGrid w:type="lines" w:linePitch="312" w:charSpace="0"/>
        </w:sectPr>
      </w:pPr>
    </w:p>
    <w:p>
      <w:pPr>
        <w:snapToGrid w:val="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附表</w:t>
      </w:r>
      <w:r>
        <w:rPr>
          <w:rFonts w:hint="eastAsia" w:ascii="宋体" w:hAnsi="宋体" w:cs="宋体"/>
          <w:b/>
          <w:bCs/>
          <w:color w:val="auto"/>
          <w:sz w:val="24"/>
          <w:szCs w:val="24"/>
          <w:highlight w:val="none"/>
          <w:lang w:val="en-US" w:eastAsia="zh-CN"/>
        </w:rPr>
        <w:t>八</w:t>
      </w:r>
    </w:p>
    <w:p>
      <w:pPr>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定标因素表（定标阶段用表）</w:t>
      </w:r>
    </w:p>
    <w:p>
      <w:pPr>
        <w:rPr>
          <w:rFonts w:hint="eastAsia" w:ascii="宋体" w:hAnsi="宋体" w:eastAsia="宋体" w:cs="宋体"/>
          <w:sz w:val="24"/>
        </w:rPr>
      </w:pPr>
      <w:r>
        <w:rPr>
          <w:rFonts w:hint="eastAsia" w:ascii="宋体" w:hAnsi="宋体" w:eastAsia="宋体" w:cs="宋体"/>
          <w:sz w:val="24"/>
          <w:lang w:eastAsia="zh-CN"/>
        </w:rPr>
        <w:t>项目</w:t>
      </w:r>
      <w:r>
        <w:rPr>
          <w:rFonts w:hint="eastAsia" w:ascii="宋体" w:hAnsi="宋体" w:eastAsia="宋体" w:cs="宋体"/>
          <w:sz w:val="24"/>
        </w:rPr>
        <w:t>名称：</w:t>
      </w:r>
    </w:p>
    <w:tbl>
      <w:tblPr>
        <w:tblStyle w:val="31"/>
        <w:tblW w:w="92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448"/>
        <w:gridCol w:w="5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r>
              <w:rPr>
                <w:rFonts w:hint="eastAsia" w:ascii="宋体" w:hAnsi="宋体" w:eastAsia="宋体" w:cs="宋体"/>
                <w:b/>
                <w:bCs/>
                <w:color w:val="auto"/>
                <w:sz w:val="24"/>
                <w:szCs w:val="24"/>
                <w:highlight w:val="none"/>
              </w:rPr>
              <w:t>序号</w:t>
            </w:r>
          </w:p>
        </w:tc>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评价项目</w:t>
            </w:r>
          </w:p>
        </w:tc>
        <w:tc>
          <w:tcPr>
            <w:tcW w:w="5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定标评价的内容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方案因素</w:t>
            </w:r>
          </w:p>
        </w:tc>
        <w:tc>
          <w:tcPr>
            <w:tcW w:w="5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定标委员会对合格的中标候选人的方案进行评审，方案包括：安全控制措施、质量控制措施、绿色节能控制措施、进度控制措施等，鼓励将建筑业科技创新应用在项目中。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4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价格因素</w:t>
            </w:r>
          </w:p>
        </w:tc>
        <w:tc>
          <w:tcPr>
            <w:tcW w:w="58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rPr>
              <w:t>定标委员会对各合格中标候选人的投标报价进行横向对比。</w:t>
            </w:r>
          </w:p>
        </w:tc>
      </w:tr>
    </w:tbl>
    <w:p>
      <w:pPr>
        <w:rPr>
          <w:rFonts w:ascii="仿宋" w:hAnsi="仿宋" w:eastAsia="仿宋" w:cs="仿宋"/>
          <w:color w:val="auto"/>
          <w:sz w:val="21"/>
          <w:szCs w:val="21"/>
          <w:highlight w:val="none"/>
        </w:rPr>
      </w:pPr>
    </w:p>
    <w:p>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pPr>
        <w:snapToGrid w:val="0"/>
        <w:spacing w:line="360" w:lineRule="auto"/>
        <w:jc w:val="left"/>
        <w:outlineLvl w:val="2"/>
        <w:rPr>
          <w:rFonts w:hint="eastAsia" w:ascii="宋体" w:hAnsi="宋体" w:eastAsia="宋体" w:cs="宋体"/>
          <w:sz w:val="24"/>
          <w:lang w:val="en-US" w:eastAsia="zh-CN"/>
        </w:rPr>
      </w:pPr>
      <w:r>
        <w:rPr>
          <w:rFonts w:hint="eastAsia" w:ascii="宋体" w:hAnsi="宋体" w:eastAsia="宋体" w:cs="宋体"/>
          <w:sz w:val="24"/>
        </w:rPr>
        <w:t>附表</w:t>
      </w:r>
      <w:r>
        <w:rPr>
          <w:rFonts w:hint="eastAsia" w:ascii="宋体" w:hAnsi="宋体" w:cs="宋体"/>
          <w:sz w:val="24"/>
          <w:lang w:val="en-US" w:eastAsia="zh-CN"/>
        </w:rPr>
        <w:t>八</w:t>
      </w:r>
      <w:r>
        <w:rPr>
          <w:rFonts w:hint="eastAsia" w:ascii="宋体" w:hAnsi="宋体" w:eastAsia="宋体" w:cs="宋体"/>
          <w:sz w:val="24"/>
          <w:lang w:val="en-US" w:eastAsia="zh-CN"/>
        </w:rPr>
        <w:t>-1</w:t>
      </w:r>
    </w:p>
    <w:p>
      <w:pPr>
        <w:pStyle w:val="25"/>
        <w:spacing w:line="240" w:lineRule="auto"/>
        <w:rPr>
          <w:rFonts w:hint="eastAsia" w:ascii="宋体" w:hAnsi="宋体" w:cs="宋体"/>
          <w:b/>
          <w:i w:val="0"/>
          <w:iCs w:val="0"/>
          <w:color w:val="auto"/>
          <w:kern w:val="0"/>
          <w:sz w:val="24"/>
          <w:szCs w:val="24"/>
          <w:highlight w:val="none"/>
        </w:rPr>
      </w:pPr>
    </w:p>
    <w:p>
      <w:pPr>
        <w:pStyle w:val="25"/>
        <w:rPr>
          <w:rFonts w:hint="eastAsia"/>
          <w:sz w:val="24"/>
          <w:szCs w:val="24"/>
        </w:rPr>
      </w:pPr>
      <w:r>
        <w:rPr>
          <w:rFonts w:hint="eastAsia" w:ascii="宋体" w:hAnsi="宋体" w:cs="宋体"/>
          <w:b/>
          <w:i w:val="0"/>
          <w:iCs w:val="0"/>
          <w:color w:val="auto"/>
          <w:kern w:val="0"/>
          <w:sz w:val="24"/>
          <w:szCs w:val="24"/>
          <w:highlight w:val="none"/>
        </w:rPr>
        <w:t>（本页发给定标委员会成员，本轮投票结束时收回）</w:t>
      </w:r>
    </w:p>
    <w:p>
      <w:pPr>
        <w:snapToGrid w:val="0"/>
        <w:spacing w:line="240" w:lineRule="exact"/>
        <w:jc w:val="center"/>
        <w:outlineLvl w:val="2"/>
        <w:rPr>
          <w:rFonts w:hint="eastAsia" w:ascii="宋体" w:hAnsi="宋体" w:eastAsia="宋体" w:cs="宋体"/>
          <w:b/>
          <w:sz w:val="30"/>
          <w:szCs w:val="30"/>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outlineLvl w:val="2"/>
        <w:rPr>
          <w:rFonts w:hint="eastAsia" w:ascii="宋体" w:hAnsi="宋体" w:eastAsia="宋体" w:cs="宋体"/>
          <w:b/>
          <w:sz w:val="30"/>
          <w:szCs w:val="30"/>
        </w:rPr>
      </w:pPr>
      <w:r>
        <w:rPr>
          <w:rFonts w:hint="eastAsia" w:ascii="宋体" w:hAnsi="宋体" w:eastAsia="宋体" w:cs="宋体"/>
          <w:b/>
          <w:sz w:val="30"/>
          <w:szCs w:val="30"/>
        </w:rPr>
        <w:t>定标选票表（定标阶段）</w:t>
      </w:r>
    </w:p>
    <w:p>
      <w:pPr>
        <w:spacing w:line="240" w:lineRule="exact"/>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p>
    <w:tbl>
      <w:tblPr>
        <w:tblStyle w:val="31"/>
        <w:tblW w:w="93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4"/>
        <w:gridCol w:w="4830"/>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2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eastAsia="zh-CN"/>
              </w:rPr>
              <w:t>合格</w:t>
            </w:r>
            <w:r>
              <w:rPr>
                <w:rFonts w:hint="eastAsia" w:ascii="宋体" w:hAnsi="宋体" w:eastAsia="宋体" w:cs="宋体"/>
                <w:b/>
                <w:color w:val="auto"/>
                <w:kern w:val="0"/>
                <w:sz w:val="24"/>
                <w:szCs w:val="24"/>
                <w:highlight w:val="none"/>
                <w:lang w:val="en-US" w:eastAsia="zh-CN"/>
              </w:rPr>
              <w:t>中标候选人</w:t>
            </w:r>
            <w:r>
              <w:rPr>
                <w:rFonts w:hint="eastAsia" w:ascii="宋体" w:hAnsi="宋体" w:cs="宋体"/>
                <w:b/>
                <w:color w:val="auto"/>
                <w:kern w:val="0"/>
                <w:sz w:val="24"/>
                <w:szCs w:val="24"/>
                <w:highlight w:val="none"/>
              </w:rPr>
              <w:t>名称</w:t>
            </w:r>
          </w:p>
        </w:tc>
        <w:tc>
          <w:tcPr>
            <w:tcW w:w="483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eastAsia="宋体" w:cs="宋体"/>
                <w:b/>
                <w:color w:val="auto"/>
                <w:kern w:val="0"/>
                <w:sz w:val="24"/>
                <w:szCs w:val="24"/>
                <w:highlight w:val="none"/>
                <w:lang w:eastAsia="zh-CN"/>
              </w:rPr>
            </w:pPr>
            <w:r>
              <w:rPr>
                <w:rFonts w:hint="eastAsia" w:ascii="宋体" w:hAnsi="宋体" w:cs="宋体"/>
                <w:b/>
                <w:color w:val="auto"/>
                <w:kern w:val="0"/>
                <w:sz w:val="24"/>
                <w:szCs w:val="24"/>
                <w:highlight w:val="none"/>
              </w:rPr>
              <w:t>评语</w:t>
            </w:r>
          </w:p>
        </w:tc>
        <w:tc>
          <w:tcPr>
            <w:tcW w:w="176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是否支持为中标人（填写“是”或“否”）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jc w:val="center"/>
        </w:trPr>
        <w:tc>
          <w:tcPr>
            <w:tcW w:w="2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宋体" w:hAnsi="宋体" w:cs="宋体"/>
                <w:color w:val="auto"/>
                <w:kern w:val="0"/>
                <w:szCs w:val="24"/>
                <w:highlight w:val="none"/>
              </w:rPr>
            </w:pPr>
          </w:p>
        </w:tc>
        <w:tc>
          <w:tcPr>
            <w:tcW w:w="483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宋体" w:hAnsi="宋体" w:cs="宋体"/>
                <w:color w:val="auto"/>
                <w:kern w:val="0"/>
                <w:szCs w:val="24"/>
                <w:highlight w:val="none"/>
              </w:rPr>
            </w:pPr>
          </w:p>
        </w:tc>
        <w:tc>
          <w:tcPr>
            <w:tcW w:w="176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jc w:val="center"/>
        </w:trPr>
        <w:tc>
          <w:tcPr>
            <w:tcW w:w="2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宋体" w:hAnsi="宋体" w:cs="宋体"/>
                <w:color w:val="auto"/>
                <w:kern w:val="0"/>
                <w:szCs w:val="24"/>
                <w:highlight w:val="none"/>
              </w:rPr>
            </w:pPr>
          </w:p>
        </w:tc>
        <w:tc>
          <w:tcPr>
            <w:tcW w:w="483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宋体" w:hAnsi="宋体" w:cs="宋体"/>
                <w:color w:val="auto"/>
                <w:kern w:val="0"/>
                <w:szCs w:val="24"/>
                <w:highlight w:val="none"/>
              </w:rPr>
            </w:pPr>
          </w:p>
        </w:tc>
        <w:tc>
          <w:tcPr>
            <w:tcW w:w="176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宋体" w:hAnsi="宋体" w:cs="宋体"/>
                <w:color w:val="auto"/>
                <w:kern w:val="0"/>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04" w:hRule="atLeast"/>
          <w:jc w:val="center"/>
        </w:trPr>
        <w:tc>
          <w:tcPr>
            <w:tcW w:w="279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40" w:lineRule="auto"/>
              <w:jc w:val="center"/>
              <w:rPr>
                <w:rFonts w:ascii="宋体" w:hAnsi="宋体" w:cs="宋体"/>
                <w:color w:val="auto"/>
                <w:kern w:val="0"/>
                <w:szCs w:val="24"/>
                <w:highlight w:val="none"/>
              </w:rPr>
            </w:pPr>
            <w:r>
              <w:rPr>
                <w:rFonts w:hint="eastAsia" w:ascii="宋体" w:hAnsi="宋体" w:eastAsia="宋体" w:cs="宋体"/>
                <w:color w:val="auto"/>
                <w:kern w:val="0"/>
                <w:szCs w:val="24"/>
                <w:highlight w:val="none"/>
              </w:rPr>
              <w:t>……</w:t>
            </w:r>
          </w:p>
        </w:tc>
        <w:tc>
          <w:tcPr>
            <w:tcW w:w="4830"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宋体" w:hAnsi="宋体" w:cs="宋体"/>
                <w:color w:val="auto"/>
                <w:kern w:val="0"/>
                <w:szCs w:val="24"/>
                <w:highlight w:val="none"/>
              </w:rPr>
            </w:pPr>
          </w:p>
        </w:tc>
        <w:tc>
          <w:tcPr>
            <w:tcW w:w="1766" w:type="dxa"/>
            <w:tcBorders>
              <w:top w:val="single" w:color="auto" w:sz="4" w:space="0"/>
              <w:left w:val="nil"/>
              <w:bottom w:val="single" w:color="auto" w:sz="4" w:space="0"/>
              <w:right w:val="single" w:color="auto" w:sz="4" w:space="0"/>
            </w:tcBorders>
            <w:noWrap w:val="0"/>
            <w:vAlign w:val="center"/>
          </w:tcPr>
          <w:p>
            <w:pPr>
              <w:adjustRightInd w:val="0"/>
              <w:snapToGrid w:val="0"/>
              <w:spacing w:line="240" w:lineRule="auto"/>
              <w:jc w:val="center"/>
              <w:rPr>
                <w:rFonts w:ascii="宋体" w:hAnsi="宋体" w:cs="宋体"/>
                <w:color w:val="auto"/>
                <w:kern w:val="0"/>
                <w:szCs w:val="24"/>
                <w:highlight w:val="none"/>
              </w:rPr>
            </w:pPr>
          </w:p>
        </w:tc>
      </w:tr>
    </w:tbl>
    <w:p>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正式投票规则：</w:t>
      </w:r>
    </w:p>
    <w:p>
      <w:pPr>
        <w:numPr>
          <w:ilvl w:val="0"/>
          <w:numId w:val="0"/>
        </w:num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sz w:val="21"/>
          <w:szCs w:val="21"/>
          <w:highlight w:val="none"/>
        </w:rPr>
        <w:t>以上表格用于</w:t>
      </w:r>
      <w:r>
        <w:rPr>
          <w:rFonts w:hint="eastAsia" w:ascii="宋体" w:hAnsi="宋体" w:eastAsia="宋体" w:cs="宋体"/>
          <w:color w:val="auto"/>
          <w:sz w:val="21"/>
          <w:szCs w:val="21"/>
          <w:highlight w:val="none"/>
          <w:u w:val="none"/>
        </w:rPr>
        <w:t>撰写评语和正式投票；对进入定标阶段的全部合格的中标候选人，由定标委员会成员分别按照上表填写评语并注明是否支持该中标候选人为中标人。上表“是否支持为中标人（是或否）”一列，填写“是”，表示投票支持相应的中标候选人为中标人；填写“否”，表示不支持相应的中标候选人为中标人</w:t>
      </w:r>
      <w:r>
        <w:rPr>
          <w:rFonts w:hint="eastAsia" w:ascii="宋体" w:hAnsi="宋体" w:eastAsia="宋体" w:cs="宋体"/>
          <w:color w:val="auto"/>
          <w:sz w:val="21"/>
          <w:szCs w:val="21"/>
          <w:highlight w:val="none"/>
        </w:rPr>
        <w:t>。</w:t>
      </w:r>
    </w:p>
    <w:p>
      <w:pPr>
        <w:numPr>
          <w:ilvl w:val="0"/>
          <w:numId w:val="0"/>
        </w:numPr>
        <w:spacing w:line="380" w:lineRule="exact"/>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b w:val="0"/>
          <w:bCs w:val="0"/>
          <w:color w:val="auto"/>
          <w:sz w:val="21"/>
          <w:szCs w:val="21"/>
          <w:highlight w:val="none"/>
        </w:rPr>
        <w:t>由定标委员会成员进行投票，各定标委员会成员只能支持一家</w:t>
      </w:r>
      <w:r>
        <w:rPr>
          <w:rFonts w:hint="eastAsia" w:ascii="宋体" w:hAnsi="宋体" w:eastAsia="宋体" w:cs="宋体"/>
          <w:b w:val="0"/>
          <w:bCs w:val="0"/>
          <w:color w:val="auto"/>
          <w:sz w:val="21"/>
          <w:szCs w:val="21"/>
          <w:highlight w:val="none"/>
          <w:lang w:val="en-US" w:eastAsia="zh-CN"/>
        </w:rPr>
        <w:t>中标候选人。</w:t>
      </w:r>
    </w:p>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）投票结束后，点票人员对投票人数、票数和</w:t>
      </w:r>
      <w:r>
        <w:rPr>
          <w:rFonts w:hint="eastAsia" w:ascii="宋体" w:hAnsi="宋体" w:eastAsia="宋体" w:cs="宋体"/>
          <w:color w:val="auto"/>
          <w:sz w:val="21"/>
          <w:szCs w:val="21"/>
        </w:rPr>
        <w:t>每票对应的合格中标候选人总数</w:t>
      </w:r>
      <w:r>
        <w:rPr>
          <w:rFonts w:hint="eastAsia" w:ascii="宋体" w:hAnsi="宋体" w:eastAsia="宋体" w:cs="宋体"/>
          <w:color w:val="auto"/>
          <w:sz w:val="21"/>
          <w:szCs w:val="21"/>
          <w:highlight w:val="none"/>
        </w:rPr>
        <w:t>加以核对和统计，作废的选票不得统计，并向定标委员会报告。</w:t>
      </w:r>
    </w:p>
    <w:p>
      <w:pPr>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）定标委员会成员应当独立投票，自投票开始至最终排名统计结果公布期间，任何人不得非法干预、影响投票过程，不得透露、协商、改变投票结果，不得使用通信联络工具。</w:t>
      </w:r>
    </w:p>
    <w:p>
      <w:pPr>
        <w:spacing w:line="360" w:lineRule="auto"/>
        <w:ind w:firstLine="480"/>
        <w:rPr>
          <w:rFonts w:hint="eastAsia" w:ascii="宋体" w:hAnsi="宋体" w:eastAsia="宋体" w:cs="Times New Roman"/>
          <w:color w:val="auto"/>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zCs w:val="21"/>
        </w:rPr>
      </w:pPr>
      <w:r>
        <w:rPr>
          <w:rFonts w:hint="eastAsia" w:ascii="宋体" w:hAnsi="宋体" w:eastAsia="宋体" w:cs="宋体"/>
          <w:szCs w:val="21"/>
        </w:rPr>
        <w:t>定标委员签名：</w:t>
      </w:r>
    </w:p>
    <w:p>
      <w:pPr>
        <w:keepNext w:val="0"/>
        <w:keepLines w:val="0"/>
        <w:pageBreakBefore w:val="0"/>
        <w:widowControl w:val="0"/>
        <w:kinsoku/>
        <w:wordWrap/>
        <w:overflowPunct/>
        <w:topLinePunct w:val="0"/>
        <w:autoSpaceDE/>
        <w:autoSpaceDN/>
        <w:bidi w:val="0"/>
        <w:adjustRightInd/>
        <w:snapToGrid w:val="0"/>
        <w:spacing w:line="360" w:lineRule="auto"/>
        <w:ind w:firstLine="5250" w:firstLineChars="2500"/>
        <w:jc w:val="left"/>
        <w:textAlignment w:val="auto"/>
        <w:outlineLvl w:val="9"/>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val="0"/>
        <w:spacing w:line="360" w:lineRule="auto"/>
        <w:ind w:firstLine="5250" w:firstLineChars="2500"/>
        <w:jc w:val="left"/>
        <w:textAlignment w:val="auto"/>
        <w:outlineLvl w:val="9"/>
        <w:rPr>
          <w:rFonts w:hint="eastAsia" w:ascii="宋体" w:hAnsi="宋体" w:eastAsia="宋体" w:cs="宋体"/>
          <w:szCs w:val="21"/>
        </w:rPr>
      </w:pPr>
      <w:r>
        <w:rPr>
          <w:rFonts w:hint="eastAsia" w:ascii="宋体" w:hAnsi="宋体" w:eastAsia="宋体" w:cs="宋体"/>
          <w:szCs w:val="21"/>
        </w:rPr>
        <w:t>日期：     年   月   日</w:t>
      </w:r>
    </w:p>
    <w:p>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pPr>
        <w:snapToGrid w:val="0"/>
        <w:spacing w:line="360" w:lineRule="atLeast"/>
        <w:jc w:val="left"/>
        <w:outlineLvl w:val="2"/>
        <w:rPr>
          <w:rFonts w:hint="eastAsia" w:ascii="宋体" w:hAnsi="宋体" w:eastAsia="宋体" w:cs="宋体"/>
          <w:b/>
          <w:sz w:val="30"/>
          <w:szCs w:val="30"/>
          <w:lang w:val="en-US" w:eastAsia="zh-CN"/>
        </w:rPr>
      </w:pPr>
      <w:r>
        <w:rPr>
          <w:rFonts w:hint="eastAsia" w:ascii="宋体" w:hAnsi="宋体" w:eastAsia="宋体" w:cs="宋体"/>
          <w:sz w:val="24"/>
        </w:rPr>
        <w:t>附表</w:t>
      </w:r>
      <w:r>
        <w:rPr>
          <w:rFonts w:hint="eastAsia" w:ascii="宋体" w:hAnsi="宋体" w:cs="宋体"/>
          <w:sz w:val="24"/>
          <w:lang w:val="en-US" w:eastAsia="zh-CN"/>
        </w:rPr>
        <w:t>八</w:t>
      </w:r>
      <w:r>
        <w:rPr>
          <w:rFonts w:hint="eastAsia" w:ascii="宋体" w:hAnsi="宋体" w:eastAsia="宋体" w:cs="宋体"/>
          <w:sz w:val="24"/>
          <w:lang w:val="en-US" w:eastAsia="zh-CN"/>
        </w:rPr>
        <w:t>-</w:t>
      </w:r>
      <w:r>
        <w:rPr>
          <w:rFonts w:hint="default" w:ascii="宋体" w:hAnsi="宋体" w:eastAsia="宋体" w:cs="宋体"/>
          <w:sz w:val="24"/>
          <w:lang w:val="en-US" w:eastAsia="zh-CN"/>
        </w:rPr>
        <w:t>2</w:t>
      </w:r>
    </w:p>
    <w:p>
      <w:pPr>
        <w:spacing w:line="360" w:lineRule="exact"/>
        <w:ind w:right="-325" w:rightChars="-155"/>
        <w:jc w:val="left"/>
        <w:rPr>
          <w:rFonts w:hint="eastAsia" w:ascii="宋体" w:hAnsi="宋体" w:eastAsia="宋体" w:cs="宋体"/>
          <w:szCs w:val="21"/>
        </w:rPr>
      </w:pPr>
    </w:p>
    <w:p>
      <w:pPr>
        <w:snapToGrid w:val="0"/>
        <w:spacing w:line="360" w:lineRule="auto"/>
        <w:jc w:val="center"/>
        <w:outlineLvl w:val="2"/>
        <w:rPr>
          <w:rFonts w:hint="eastAsia" w:ascii="宋体" w:hAnsi="宋体" w:eastAsia="宋体" w:cs="宋体"/>
          <w:b/>
          <w:sz w:val="30"/>
          <w:szCs w:val="30"/>
        </w:rPr>
      </w:pPr>
      <w:r>
        <w:rPr>
          <w:rFonts w:hint="eastAsia" w:ascii="宋体" w:hAnsi="宋体" w:eastAsia="宋体" w:cs="宋体"/>
          <w:b/>
          <w:sz w:val="30"/>
          <w:szCs w:val="30"/>
        </w:rPr>
        <w:t>投票汇总表格（定标阶段）</w:t>
      </w:r>
    </w:p>
    <w:p>
      <w:pPr>
        <w:ind w:left="210"/>
        <w:jc w:val="left"/>
        <w:rPr>
          <w:rFonts w:hint="eastAsia" w:ascii="宋体" w:hAnsi="宋体" w:eastAsia="宋体" w:cs="宋体"/>
          <w:smallCaps/>
          <w:sz w:val="20"/>
          <w:szCs w:val="20"/>
        </w:rPr>
      </w:pPr>
    </w:p>
    <w:p>
      <w:pPr>
        <w:jc w:val="left"/>
        <w:rPr>
          <w:rFonts w:hint="eastAsia" w:ascii="宋体" w:hAnsi="宋体"/>
          <w:color w:val="auto"/>
          <w:szCs w:val="21"/>
          <w:highlight w:val="none"/>
        </w:rPr>
      </w:pPr>
      <w:r>
        <w:rPr>
          <w:rFonts w:hint="eastAsia" w:ascii="宋体" w:hAnsi="宋体" w:cs="宋体"/>
          <w:color w:val="auto"/>
          <w:sz w:val="24"/>
          <w:szCs w:val="24"/>
          <w:highlight w:val="none"/>
          <w:lang w:val="en-US" w:eastAsia="zh-CN"/>
        </w:rPr>
        <w:t>项目</w:t>
      </w:r>
      <w:r>
        <w:rPr>
          <w:rFonts w:hint="eastAsia" w:ascii="宋体" w:hAnsi="宋体" w:eastAsia="宋体" w:cs="宋体"/>
          <w:color w:val="auto"/>
          <w:sz w:val="24"/>
          <w:szCs w:val="24"/>
          <w:highlight w:val="none"/>
        </w:rPr>
        <w:t>名称</w:t>
      </w:r>
      <w:r>
        <w:rPr>
          <w:rFonts w:hint="eastAsia" w:ascii="宋体" w:hAnsi="宋体"/>
          <w:color w:val="auto"/>
          <w:szCs w:val="21"/>
          <w:highlight w:val="none"/>
        </w:rPr>
        <w:t>：</w:t>
      </w:r>
    </w:p>
    <w:tbl>
      <w:tblPr>
        <w:tblStyle w:val="31"/>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5540"/>
        <w:gridCol w:w="2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5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序号</w:t>
            </w:r>
          </w:p>
        </w:tc>
        <w:tc>
          <w:tcPr>
            <w:tcW w:w="5540"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投标人名称</w:t>
            </w:r>
          </w:p>
        </w:tc>
        <w:tc>
          <w:tcPr>
            <w:tcW w:w="219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olor w:val="auto"/>
                <w:szCs w:val="21"/>
                <w:highlight w:val="none"/>
              </w:rPr>
            </w:pPr>
            <w:r>
              <w:rPr>
                <w:rFonts w:hint="eastAsia" w:ascii="宋体" w:hAnsi="宋体"/>
                <w:color w:val="auto"/>
                <w:szCs w:val="21"/>
                <w:highlight w:val="none"/>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5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highlight w:val="none"/>
              </w:rPr>
            </w:pPr>
          </w:p>
        </w:tc>
        <w:tc>
          <w:tcPr>
            <w:tcW w:w="5540" w:type="dxa"/>
            <w:vMerge w:val="continue"/>
            <w:tcBorders>
              <w:left w:val="single" w:color="auto" w:sz="4" w:space="0"/>
              <w:bottom w:val="single" w:color="auto" w:sz="4" w:space="0"/>
              <w:right w:val="single" w:color="auto" w:sz="4" w:space="0"/>
            </w:tcBorders>
            <w:noWrap w:val="0"/>
            <w:vAlign w:val="top"/>
          </w:tcPr>
          <w:p>
            <w:pPr>
              <w:widowControl/>
              <w:jc w:val="center"/>
              <w:rPr>
                <w:rFonts w:ascii="宋体" w:hAnsi="宋体"/>
                <w:color w:val="auto"/>
                <w:szCs w:val="21"/>
                <w:highlight w:val="none"/>
              </w:rPr>
            </w:pPr>
          </w:p>
        </w:tc>
        <w:tc>
          <w:tcPr>
            <w:tcW w:w="219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55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55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55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55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55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55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145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olor w:val="auto"/>
                <w:szCs w:val="21"/>
                <w:highlight w:val="none"/>
                <w:lang w:eastAsia="zh-CN"/>
              </w:rPr>
            </w:pPr>
            <w:r>
              <w:rPr>
                <w:rFonts w:hint="eastAsia" w:ascii="宋体" w:hAnsi="宋体" w:cs="宋体"/>
                <w:color w:val="auto"/>
                <w:sz w:val="24"/>
                <w:highlight w:val="none"/>
                <w:lang w:val="en-US" w:eastAsia="zh-CN"/>
              </w:rPr>
              <w:t>7</w:t>
            </w:r>
          </w:p>
        </w:tc>
        <w:tc>
          <w:tcPr>
            <w:tcW w:w="5540"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auto"/>
                <w:szCs w:val="21"/>
                <w:highlight w:val="none"/>
              </w:rPr>
            </w:pPr>
          </w:p>
        </w:tc>
        <w:tc>
          <w:tcPr>
            <w:tcW w:w="21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Cs w:val="21"/>
                <w:highlight w:val="none"/>
              </w:rPr>
            </w:pPr>
          </w:p>
        </w:tc>
      </w:tr>
    </w:tbl>
    <w:p>
      <w:pPr>
        <w:rPr>
          <w:rFonts w:hint="eastAsia" w:ascii="宋体" w:hAnsi="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360" w:lineRule="auto"/>
        <w:ind w:left="0" w:right="669" w:firstLine="0" w:firstLineChars="0"/>
        <w:jc w:val="left"/>
        <w:textAlignment w:val="auto"/>
        <w:rPr>
          <w:rFonts w:hint="eastAsia" w:ascii="宋体" w:hAnsi="宋体" w:eastAsia="宋体" w:cs="宋体"/>
          <w:szCs w:val="21"/>
        </w:rPr>
      </w:pPr>
      <w:r>
        <w:rPr>
          <w:rFonts w:hint="eastAsia" w:ascii="宋体" w:hAnsi="宋体" w:eastAsia="宋体" w:cs="宋体"/>
          <w:szCs w:val="21"/>
        </w:rPr>
        <w:t>定标委员会全体成员签名：</w:t>
      </w:r>
    </w:p>
    <w:p>
      <w:pPr>
        <w:keepNext w:val="0"/>
        <w:keepLines w:val="0"/>
        <w:pageBreakBefore w:val="0"/>
        <w:widowControl w:val="0"/>
        <w:kinsoku/>
        <w:wordWrap/>
        <w:overflowPunct/>
        <w:topLinePunct w:val="0"/>
        <w:autoSpaceDE/>
        <w:autoSpaceDN/>
        <w:bidi w:val="0"/>
        <w:adjustRightInd/>
        <w:snapToGrid/>
        <w:spacing w:line="360" w:lineRule="auto"/>
        <w:ind w:left="0" w:right="669" w:firstLine="0" w:firstLine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left="0" w:right="669" w:firstLine="0" w:firstLine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left="0" w:right="669" w:firstLine="5460" w:firstLineChars="2600"/>
        <w:jc w:val="left"/>
        <w:textAlignment w:val="auto"/>
        <w:rPr>
          <w:rFonts w:hint="eastAsia" w:ascii="宋体" w:hAnsi="宋体" w:eastAsia="宋体" w:cs="宋体"/>
          <w:color w:val="auto"/>
          <w:sz w:val="24"/>
          <w:szCs w:val="24"/>
          <w:highlight w:val="none"/>
        </w:rPr>
      </w:pPr>
      <w:r>
        <w:rPr>
          <w:rFonts w:hint="eastAsia" w:ascii="宋体" w:hAnsi="宋体" w:eastAsia="宋体" w:cs="宋体"/>
          <w:szCs w:val="21"/>
        </w:rPr>
        <w:t>日期：     年   月   日</w:t>
      </w:r>
    </w:p>
    <w:p>
      <w:pPr>
        <w:pStyle w:val="40"/>
        <w:rPr>
          <w:rFonts w:ascii="仿宋" w:hAnsi="仿宋" w:eastAsia="仿宋" w:cs="仿宋"/>
          <w:color w:val="auto"/>
          <w:sz w:val="21"/>
          <w:szCs w:val="21"/>
          <w:highlight w:val="none"/>
        </w:rPr>
      </w:pPr>
    </w:p>
    <w:p>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pPr>
        <w:spacing w:line="360" w:lineRule="auto"/>
        <w:outlineLvl w:val="1"/>
        <w:rPr>
          <w:rFonts w:hint="eastAsia" w:ascii="宋体" w:hAnsi="宋体" w:eastAsia="宋体" w:cs="宋体"/>
          <w:sz w:val="24"/>
          <w:lang w:val="en-US" w:eastAsia="zh-CN"/>
        </w:rPr>
      </w:pPr>
      <w:bookmarkStart w:id="27" w:name="_Toc20676"/>
      <w:r>
        <w:rPr>
          <w:rFonts w:hint="eastAsia" w:ascii="宋体" w:hAnsi="宋体" w:eastAsia="宋体" w:cs="宋体"/>
          <w:sz w:val="24"/>
        </w:rPr>
        <w:t>附表</w:t>
      </w:r>
      <w:r>
        <w:rPr>
          <w:rFonts w:hint="eastAsia" w:ascii="宋体" w:hAnsi="宋体" w:cs="宋体"/>
          <w:sz w:val="24"/>
          <w:lang w:val="en-US" w:eastAsia="zh-CN"/>
        </w:rPr>
        <w:t>八</w:t>
      </w:r>
      <w:r>
        <w:rPr>
          <w:rFonts w:hint="eastAsia" w:ascii="宋体" w:hAnsi="宋体" w:eastAsia="宋体" w:cs="宋体"/>
          <w:sz w:val="24"/>
          <w:lang w:val="en-US" w:eastAsia="zh-CN"/>
        </w:rPr>
        <w:t>-</w:t>
      </w:r>
      <w:r>
        <w:rPr>
          <w:rFonts w:hint="default" w:ascii="宋体" w:hAnsi="宋体" w:eastAsia="宋体" w:cs="宋体"/>
          <w:sz w:val="24"/>
          <w:lang w:val="en-US" w:eastAsia="zh-CN"/>
        </w:rPr>
        <w:t>3</w:t>
      </w:r>
    </w:p>
    <w:p>
      <w:pPr>
        <w:pStyle w:val="6"/>
        <w:rPr>
          <w:rFonts w:hint="eastAsia" w:ascii="宋体" w:hAnsi="宋体" w:eastAsia="宋体" w:cs="宋体"/>
          <w:lang w:val="en-US" w:eastAsia="zh-CN"/>
        </w:rPr>
      </w:pPr>
    </w:p>
    <w:bookmarkEnd w:id="27"/>
    <w:p>
      <w:pPr>
        <w:snapToGrid w:val="0"/>
        <w:spacing w:line="360" w:lineRule="auto"/>
        <w:jc w:val="center"/>
        <w:outlineLvl w:val="2"/>
        <w:rPr>
          <w:rFonts w:hint="eastAsia" w:ascii="宋体" w:hAnsi="宋体" w:eastAsia="宋体" w:cs="宋体"/>
          <w:b/>
          <w:sz w:val="30"/>
          <w:szCs w:val="30"/>
        </w:rPr>
      </w:pPr>
      <w:bookmarkStart w:id="28" w:name="_Toc27918"/>
      <w:r>
        <w:rPr>
          <w:rFonts w:hint="eastAsia" w:ascii="宋体" w:hAnsi="宋体" w:eastAsia="宋体" w:cs="宋体"/>
          <w:b/>
          <w:sz w:val="30"/>
          <w:szCs w:val="30"/>
        </w:rPr>
        <w:t>附加投票的合格中标候选人名单（定标阶段）（如有）</w:t>
      </w:r>
    </w:p>
    <w:p>
      <w:pPr>
        <w:snapToGrid w:val="0"/>
        <w:spacing w:line="360" w:lineRule="auto"/>
        <w:ind w:left="210"/>
        <w:jc w:val="center"/>
        <w:rPr>
          <w:rFonts w:hint="eastAsia" w:ascii="宋体" w:hAnsi="宋体" w:eastAsia="宋体" w:cs="宋体"/>
          <w:smallCaps/>
          <w:sz w:val="30"/>
          <w:szCs w:val="30"/>
        </w:rPr>
      </w:pPr>
    </w:p>
    <w:p>
      <w:pPr>
        <w:rPr>
          <w:rFonts w:ascii="宋体" w:hAnsi="宋体" w:cs="宋体"/>
          <w:color w:val="auto"/>
          <w:szCs w:val="21"/>
        </w:rPr>
      </w:pPr>
      <w:r>
        <w:rPr>
          <w:rFonts w:hint="eastAsia" w:ascii="宋体" w:hAnsi="宋体" w:cs="宋体"/>
          <w:color w:val="auto"/>
          <w:szCs w:val="21"/>
        </w:rPr>
        <w:t>项目名称：</w:t>
      </w:r>
    </w:p>
    <w:tbl>
      <w:tblPr>
        <w:tblStyle w:val="31"/>
        <w:tblW w:w="83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2"/>
        <w:gridCol w:w="1932"/>
        <w:gridCol w:w="1932"/>
        <w:gridCol w:w="1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25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color w:val="auto"/>
                <w:kern w:val="0"/>
                <w:sz w:val="24"/>
                <w:szCs w:val="24"/>
              </w:rPr>
            </w:pPr>
            <w:r>
              <w:rPr>
                <w:rFonts w:hint="eastAsia" w:ascii="宋体" w:hAnsi="宋体" w:cs="宋体"/>
                <w:b/>
                <w:color w:val="auto"/>
                <w:kern w:val="0"/>
                <w:sz w:val="24"/>
                <w:szCs w:val="24"/>
              </w:rPr>
              <w:t>合格中标候选人</w:t>
            </w: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szCs w:val="24"/>
              </w:rPr>
            </w:pPr>
          </w:p>
        </w:tc>
        <w:tc>
          <w:tcPr>
            <w:tcW w:w="193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szCs w:val="24"/>
              </w:rPr>
            </w:pPr>
          </w:p>
        </w:tc>
        <w:tc>
          <w:tcPr>
            <w:tcW w:w="193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kern w:val="0"/>
                <w:sz w:val="24"/>
                <w:szCs w:val="24"/>
              </w:rPr>
            </w:pPr>
            <w:r>
              <w:rPr>
                <w:rFonts w:hint="eastAsia" w:ascii="宋体" w:hAnsi="宋体" w:cs="宋体"/>
                <w:color w:val="auto"/>
                <w:sz w:val="24"/>
                <w:szCs w:val="24"/>
              </w:rPr>
              <w:t>……</w:t>
            </w:r>
          </w:p>
        </w:tc>
      </w:tr>
    </w:tbl>
    <w:p>
      <w:pPr>
        <w:spacing w:line="360" w:lineRule="auto"/>
        <w:ind w:left="275" w:hanging="275" w:hangingChars="131"/>
        <w:rPr>
          <w:rFonts w:ascii="宋体" w:hAnsi="宋体" w:cs="宋体"/>
          <w:color w:val="auto"/>
          <w:szCs w:val="21"/>
        </w:rPr>
      </w:pPr>
      <w:r>
        <w:rPr>
          <w:rFonts w:hint="eastAsia" w:ascii="宋体" w:hAnsi="宋体" w:cs="宋体"/>
          <w:color w:val="auto"/>
          <w:szCs w:val="21"/>
        </w:rPr>
        <w:t>注：本表用于投票出现票数相同的情况。</w:t>
      </w:r>
    </w:p>
    <w:p>
      <w:pPr>
        <w:spacing w:line="300" w:lineRule="exact"/>
        <w:ind w:right="-325" w:rightChars="-155" w:firstLine="420" w:firstLineChars="200"/>
        <w:rPr>
          <w:rFonts w:hint="eastAsia" w:ascii="宋体" w:hAnsi="宋体" w:eastAsia="宋体" w:cs="宋体"/>
          <w:szCs w:val="21"/>
        </w:rPr>
      </w:pPr>
    </w:p>
    <w:p>
      <w:pPr>
        <w:spacing w:line="300" w:lineRule="exact"/>
        <w:ind w:right="-325" w:rightChars="-155"/>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right="-325" w:rightChars="-155"/>
        <w:jc w:val="left"/>
        <w:textAlignment w:val="auto"/>
        <w:outlineLvl w:val="9"/>
        <w:rPr>
          <w:rFonts w:hint="eastAsia" w:ascii="宋体" w:hAnsi="宋体" w:eastAsia="宋体" w:cs="宋体"/>
          <w:szCs w:val="21"/>
        </w:rPr>
      </w:pPr>
      <w:r>
        <w:rPr>
          <w:rFonts w:hint="eastAsia" w:ascii="宋体" w:hAnsi="宋体" w:eastAsia="宋体" w:cs="宋体"/>
          <w:szCs w:val="21"/>
        </w:rPr>
        <w:t>定标委员会全体成员签名：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firstLine="5040" w:firstLineChars="2400"/>
        <w:jc w:val="left"/>
        <w:textAlignment w:val="auto"/>
        <w:outlineLvl w:val="9"/>
        <w:rPr>
          <w:rFonts w:hint="eastAsia" w:ascii="宋体" w:hAnsi="宋体" w:eastAsia="宋体" w:cs="宋体"/>
          <w:sz w:val="24"/>
          <w:lang w:val="en-US" w:eastAsia="zh-CN"/>
        </w:rPr>
      </w:pPr>
      <w:r>
        <w:rPr>
          <w:rFonts w:hint="eastAsia" w:ascii="宋体" w:hAnsi="宋体" w:eastAsia="宋体" w:cs="宋体"/>
          <w:szCs w:val="21"/>
        </w:rPr>
        <w:t>日期：     年   月   日</w:t>
      </w:r>
    </w:p>
    <w:p>
      <w:pPr>
        <w:rPr>
          <w:rFonts w:hint="eastAsia" w:ascii="宋体" w:hAnsi="宋体" w:eastAsia="宋体" w:cs="宋体"/>
        </w:rPr>
      </w:pPr>
    </w:p>
    <w:bookmarkEnd w:id="28"/>
    <w:p>
      <w:pPr>
        <w:pStyle w:val="40"/>
        <w:rPr>
          <w:rFonts w:ascii="仿宋" w:hAnsi="仿宋" w:eastAsia="仿宋" w:cs="仿宋"/>
          <w:color w:val="auto"/>
          <w:sz w:val="21"/>
          <w:szCs w:val="21"/>
          <w:highlight w:val="none"/>
        </w:rPr>
      </w:pPr>
    </w:p>
    <w:p>
      <w:pPr>
        <w:pStyle w:val="40"/>
        <w:rPr>
          <w:rFonts w:ascii="仿宋" w:hAnsi="仿宋" w:eastAsia="仿宋" w:cs="仿宋"/>
          <w:color w:val="auto"/>
          <w:sz w:val="21"/>
          <w:szCs w:val="21"/>
          <w:highlight w:val="none"/>
        </w:rPr>
        <w:sectPr>
          <w:pgSz w:w="11907" w:h="16840"/>
          <w:pgMar w:top="1440" w:right="1270" w:bottom="1440" w:left="1270" w:header="851" w:footer="992" w:gutter="0"/>
          <w:cols w:space="720" w:num="1"/>
          <w:docGrid w:type="lines" w:linePitch="312" w:charSpace="0"/>
        </w:sectPr>
      </w:pPr>
    </w:p>
    <w:p>
      <w:pPr>
        <w:pStyle w:val="6"/>
        <w:ind w:left="0" w:leftChars="0" w:firstLine="0" w:firstLineChars="0"/>
        <w:rPr>
          <w:rFonts w:hint="eastAsia" w:ascii="宋体" w:hAnsi="宋体" w:eastAsia="宋体" w:cs="宋体"/>
          <w:lang w:val="en-US"/>
        </w:rPr>
      </w:pPr>
      <w:r>
        <w:rPr>
          <w:rFonts w:hint="eastAsia" w:ascii="宋体" w:hAnsi="宋体" w:eastAsia="宋体" w:cs="宋体"/>
          <w:sz w:val="24"/>
        </w:rPr>
        <w:t>附表</w:t>
      </w:r>
      <w:r>
        <w:rPr>
          <w:rFonts w:hint="eastAsia" w:ascii="宋体" w:hAnsi="宋体" w:cs="宋体"/>
          <w:sz w:val="24"/>
          <w:lang w:val="en-US" w:eastAsia="zh-CN"/>
        </w:rPr>
        <w:t>八</w:t>
      </w:r>
      <w:r>
        <w:rPr>
          <w:rFonts w:hint="eastAsia" w:ascii="宋体" w:hAnsi="宋体" w:eastAsia="宋体" w:cs="宋体"/>
          <w:sz w:val="24"/>
          <w:lang w:val="en-US" w:eastAsia="zh-CN"/>
        </w:rPr>
        <w:t>-</w:t>
      </w:r>
      <w:r>
        <w:rPr>
          <w:rFonts w:hint="default" w:ascii="宋体" w:hAnsi="宋体" w:eastAsia="宋体" w:cs="宋体"/>
          <w:sz w:val="24"/>
          <w:lang w:val="en-US" w:eastAsia="zh-CN"/>
        </w:rPr>
        <w:t>4</w:t>
      </w:r>
    </w:p>
    <w:p>
      <w:pPr>
        <w:pStyle w:val="40"/>
        <w:rPr>
          <w:rFonts w:ascii="仿宋" w:hAnsi="仿宋" w:eastAsia="仿宋" w:cs="仿宋"/>
          <w:color w:val="auto"/>
          <w:sz w:val="21"/>
          <w:szCs w:val="21"/>
          <w:highlight w:val="none"/>
        </w:rPr>
      </w:pPr>
    </w:p>
    <w:p>
      <w:pPr>
        <w:snapToGrid w:val="0"/>
        <w:spacing w:line="360" w:lineRule="auto"/>
        <w:jc w:val="center"/>
        <w:outlineLvl w:val="2"/>
        <w:rPr>
          <w:rFonts w:hint="eastAsia" w:ascii="宋体" w:hAnsi="宋体" w:eastAsia="宋体" w:cs="宋体"/>
          <w:b/>
          <w:sz w:val="30"/>
          <w:szCs w:val="30"/>
        </w:rPr>
      </w:pPr>
      <w:r>
        <w:rPr>
          <w:rFonts w:hint="eastAsia" w:ascii="宋体" w:hAnsi="宋体" w:eastAsia="宋体" w:cs="宋体"/>
          <w:b/>
          <w:sz w:val="30"/>
          <w:szCs w:val="30"/>
        </w:rPr>
        <w:t>附加定标选票表（定标阶段）（如有）</w:t>
      </w:r>
    </w:p>
    <w:p>
      <w:pPr>
        <w:jc w:val="center"/>
        <w:rPr>
          <w:rFonts w:hint="eastAsia" w:ascii="宋体" w:hAnsi="宋体" w:eastAsia="宋体" w:cs="宋体"/>
          <w:b/>
          <w:sz w:val="30"/>
          <w:szCs w:val="30"/>
        </w:rPr>
      </w:pPr>
    </w:p>
    <w:p>
      <w:pPr>
        <w:rPr>
          <w:rFonts w:ascii="宋体" w:hAnsi="宋体" w:cs="宋体"/>
          <w:color w:val="auto"/>
          <w:szCs w:val="21"/>
        </w:rPr>
      </w:pPr>
      <w:r>
        <w:rPr>
          <w:rFonts w:hint="eastAsia" w:ascii="宋体" w:hAnsi="宋体" w:cs="宋体"/>
          <w:color w:val="auto"/>
          <w:szCs w:val="21"/>
        </w:rPr>
        <w:t>项目名称：</w:t>
      </w:r>
    </w:p>
    <w:tbl>
      <w:tblPr>
        <w:tblStyle w:val="129"/>
        <w:tblW w:w="483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9"/>
        <w:gridCol w:w="5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45" w:type="pct"/>
            <w:vAlign w:val="center"/>
          </w:tcPr>
          <w:p>
            <w:pPr>
              <w:jc w:val="center"/>
              <w:rPr>
                <w:rFonts w:ascii="宋体" w:hAnsi="宋体"/>
                <w:b/>
                <w:color w:val="auto"/>
                <w:sz w:val="24"/>
                <w:szCs w:val="24"/>
              </w:rPr>
            </w:pPr>
            <w:r>
              <w:rPr>
                <w:rFonts w:hint="eastAsia" w:ascii="宋体" w:hAnsi="宋体" w:cs="宋体"/>
                <w:b/>
                <w:bCs/>
                <w:color w:val="auto"/>
                <w:sz w:val="24"/>
                <w:szCs w:val="24"/>
              </w:rPr>
              <w:t>支持的合格中标候选人</w:t>
            </w:r>
          </w:p>
        </w:tc>
        <w:tc>
          <w:tcPr>
            <w:tcW w:w="2955" w:type="pct"/>
            <w:vAlign w:val="center"/>
          </w:tcPr>
          <w:p>
            <w:pPr>
              <w:jc w:val="center"/>
              <w:rPr>
                <w:rFonts w:ascii="宋体" w:hAnsi="宋体" w:cs="宋体"/>
                <w:b/>
                <w:bCs/>
                <w:color w:val="auto"/>
                <w:sz w:val="24"/>
                <w:szCs w:val="24"/>
              </w:rPr>
            </w:pPr>
            <w:r>
              <w:rPr>
                <w:rFonts w:hint="eastAsia" w:ascii="宋体" w:hAnsi="宋体"/>
                <w:b/>
                <w:color w:val="auto"/>
                <w:sz w:val="24"/>
                <w:szCs w:val="24"/>
              </w:rPr>
              <w:t>支持理由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2045" w:type="pct"/>
            <w:vAlign w:val="center"/>
          </w:tcPr>
          <w:p>
            <w:pPr>
              <w:ind w:right="-162" w:rightChars="-77"/>
              <w:jc w:val="center"/>
              <w:rPr>
                <w:rFonts w:ascii="宋体" w:hAnsi="宋体" w:cs="宋体"/>
                <w:b/>
                <w:bCs/>
                <w:color w:val="auto"/>
                <w:sz w:val="24"/>
                <w:szCs w:val="24"/>
              </w:rPr>
            </w:pPr>
          </w:p>
        </w:tc>
        <w:tc>
          <w:tcPr>
            <w:tcW w:w="2955" w:type="pct"/>
            <w:vAlign w:val="center"/>
          </w:tcPr>
          <w:p>
            <w:pPr>
              <w:jc w:val="center"/>
              <w:rPr>
                <w:rFonts w:ascii="宋体" w:hAnsi="宋体" w:cs="宋体"/>
                <w:color w:val="auto"/>
                <w:sz w:val="24"/>
                <w:szCs w:val="24"/>
              </w:rPr>
            </w:pPr>
          </w:p>
        </w:tc>
      </w:tr>
    </w:tbl>
    <w:p>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Cs w:val="21"/>
        </w:rPr>
      </w:pPr>
      <w:r>
        <w:rPr>
          <w:rFonts w:hint="eastAsia" w:ascii="宋体" w:hAnsi="宋体" w:cs="宋体"/>
          <w:color w:val="auto"/>
          <w:szCs w:val="21"/>
        </w:rPr>
        <w:t>正式投票规则：</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Cs w:val="21"/>
        </w:rPr>
      </w:pPr>
      <w:r>
        <w:rPr>
          <w:rFonts w:hint="eastAsia" w:ascii="宋体" w:hAnsi="宋体" w:cs="宋体"/>
          <w:color w:val="auto"/>
          <w:szCs w:val="21"/>
        </w:rPr>
        <w:t>（1）以上表格用于正式投票，投票时须注明支持的合格中标候选人及支持理由。</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Cs w:val="21"/>
        </w:rPr>
      </w:pPr>
      <w:r>
        <w:rPr>
          <w:rFonts w:hint="eastAsia" w:ascii="宋体" w:hAnsi="宋体" w:cs="宋体"/>
          <w:color w:val="auto"/>
          <w:szCs w:val="21"/>
        </w:rPr>
        <w:t>（2）由定标委员会成员进行投票，各定标委员会成员只能支持一家合格中标候选人。</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Cs w:val="21"/>
        </w:rPr>
      </w:pPr>
      <w:r>
        <w:rPr>
          <w:rFonts w:hint="eastAsia" w:ascii="宋体" w:hAnsi="宋体" w:cs="宋体"/>
          <w:color w:val="auto"/>
          <w:szCs w:val="21"/>
        </w:rPr>
        <w:t>（3）投票结束后，点票人员对投票人数、票数和每票对应的合格中标候选人总数加以核对和统计，作废的选票不得统计，并向定标委员会报告。</w:t>
      </w:r>
    </w:p>
    <w:p>
      <w:pPr>
        <w:keepNext w:val="0"/>
        <w:keepLines w:val="0"/>
        <w:pageBreakBefore w:val="0"/>
        <w:widowControl w:val="0"/>
        <w:kinsoku/>
        <w:wordWrap/>
        <w:overflowPunct/>
        <w:topLinePunct w:val="0"/>
        <w:autoSpaceDE/>
        <w:autoSpaceDN/>
        <w:bidi w:val="0"/>
        <w:adjustRightInd/>
        <w:snapToGrid/>
        <w:textAlignment w:val="auto"/>
        <w:rPr>
          <w:rFonts w:ascii="宋体" w:hAnsi="宋体" w:cs="宋体"/>
          <w:color w:val="auto"/>
          <w:szCs w:val="21"/>
        </w:rPr>
      </w:pPr>
      <w:r>
        <w:rPr>
          <w:rFonts w:hint="eastAsia" w:ascii="宋体" w:hAnsi="宋体" w:cs="宋体"/>
          <w:color w:val="auto"/>
          <w:szCs w:val="21"/>
        </w:rPr>
        <w:t>（4）定标委员会成员应当独立投票，自投票开始至最终排名统计结果公布期间，任何人不得非法干预、影响投票过程，不得透露、协商、改变投票结果，不得使用通信联络工具。</w:t>
      </w:r>
    </w:p>
    <w:p>
      <w:pPr>
        <w:rPr>
          <w:rFonts w:hint="eastAsia" w:ascii="宋体" w:hAnsi="宋体" w:eastAsia="宋体" w:cs="宋体"/>
          <w:sz w:val="24"/>
          <w:szCs w:val="22"/>
        </w:rPr>
      </w:pPr>
    </w:p>
    <w:p>
      <w:pPr>
        <w:rPr>
          <w:rFonts w:hint="eastAsia" w:ascii="宋体" w:hAnsi="宋体" w:eastAsia="宋体" w:cs="宋体"/>
          <w:sz w:val="24"/>
          <w:szCs w:val="22"/>
        </w:rPr>
      </w:pPr>
    </w:p>
    <w:p>
      <w:pPr>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val="0"/>
        <w:spacing w:line="360" w:lineRule="auto"/>
        <w:jc w:val="left"/>
        <w:textAlignment w:val="auto"/>
        <w:outlineLvl w:val="9"/>
        <w:rPr>
          <w:rFonts w:hint="eastAsia" w:ascii="宋体" w:hAnsi="宋体" w:eastAsia="宋体" w:cs="宋体"/>
          <w:szCs w:val="21"/>
        </w:rPr>
      </w:pPr>
      <w:r>
        <w:rPr>
          <w:rFonts w:hint="eastAsia" w:ascii="宋体" w:hAnsi="宋体" w:eastAsia="宋体" w:cs="宋体"/>
          <w:szCs w:val="21"/>
        </w:rPr>
        <w:t>定标委员签名：</w:t>
      </w:r>
    </w:p>
    <w:p>
      <w:pPr>
        <w:keepNext w:val="0"/>
        <w:keepLines w:val="0"/>
        <w:pageBreakBefore w:val="0"/>
        <w:widowControl w:val="0"/>
        <w:kinsoku/>
        <w:wordWrap/>
        <w:overflowPunct/>
        <w:topLinePunct w:val="0"/>
        <w:autoSpaceDE/>
        <w:autoSpaceDN/>
        <w:bidi w:val="0"/>
        <w:adjustRightInd/>
        <w:spacing w:line="360" w:lineRule="auto"/>
        <w:ind w:left="0" w:right="430" w:firstLine="5250" w:firstLineChars="2500"/>
        <w:jc w:val="left"/>
        <w:textAlignment w:val="auto"/>
        <w:outlineLvl w:val="9"/>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pacing w:line="360" w:lineRule="auto"/>
        <w:ind w:left="0" w:right="430" w:firstLine="5460" w:firstLineChars="26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szCs w:val="21"/>
        </w:rPr>
        <w:t>日期：     年   月   日</w:t>
      </w:r>
    </w:p>
    <w:p>
      <w:pPr>
        <w:pStyle w:val="40"/>
        <w:rPr>
          <w:rFonts w:ascii="仿宋" w:hAnsi="仿宋" w:eastAsia="仿宋" w:cs="仿宋"/>
          <w:color w:val="auto"/>
          <w:sz w:val="21"/>
          <w:szCs w:val="21"/>
          <w:highlight w:val="none"/>
        </w:rPr>
      </w:pPr>
    </w:p>
    <w:p>
      <w:pPr>
        <w:pStyle w:val="40"/>
        <w:rPr>
          <w:rFonts w:ascii="仿宋" w:hAnsi="仿宋" w:eastAsia="仿宋" w:cs="仿宋"/>
          <w:color w:val="auto"/>
          <w:sz w:val="21"/>
          <w:szCs w:val="21"/>
          <w:highlight w:val="none"/>
        </w:rPr>
      </w:pPr>
    </w:p>
    <w:p>
      <w:pPr>
        <w:pStyle w:val="40"/>
        <w:rPr>
          <w:rFonts w:ascii="仿宋" w:hAnsi="仿宋" w:eastAsia="仿宋" w:cs="仿宋"/>
          <w:color w:val="auto"/>
          <w:sz w:val="21"/>
          <w:szCs w:val="21"/>
          <w:highlight w:val="none"/>
        </w:rPr>
        <w:sectPr>
          <w:pgSz w:w="11907" w:h="16840"/>
          <w:pgMar w:top="1440" w:right="1270" w:bottom="1440" w:left="1270" w:header="851" w:footer="992" w:gutter="0"/>
          <w:cols w:space="720" w:num="1"/>
          <w:docGrid w:type="lines" w:linePitch="312" w:charSpace="0"/>
        </w:sectPr>
      </w:pPr>
    </w:p>
    <w:p>
      <w:pPr>
        <w:spacing w:line="360" w:lineRule="auto"/>
        <w:outlineLvl w:val="1"/>
        <w:rPr>
          <w:rFonts w:hint="eastAsia" w:ascii="宋体" w:hAnsi="宋体" w:eastAsia="宋体" w:cs="宋体"/>
          <w:sz w:val="24"/>
          <w:lang w:val="en-US" w:eastAsia="zh-CN"/>
        </w:rPr>
      </w:pPr>
      <w:r>
        <w:rPr>
          <w:rFonts w:hint="eastAsia" w:ascii="宋体" w:hAnsi="宋体" w:eastAsia="宋体" w:cs="宋体"/>
          <w:sz w:val="24"/>
        </w:rPr>
        <w:t>附表</w:t>
      </w:r>
      <w:r>
        <w:rPr>
          <w:rFonts w:hint="eastAsia" w:ascii="宋体" w:hAnsi="宋体" w:cs="宋体"/>
          <w:sz w:val="24"/>
          <w:lang w:val="en-US" w:eastAsia="zh-CN"/>
        </w:rPr>
        <w:t>八</w:t>
      </w:r>
      <w:r>
        <w:rPr>
          <w:rFonts w:hint="eastAsia" w:ascii="宋体" w:hAnsi="宋体" w:eastAsia="宋体" w:cs="宋体"/>
          <w:sz w:val="24"/>
          <w:lang w:val="en-US" w:eastAsia="zh-CN"/>
        </w:rPr>
        <w:t>-</w:t>
      </w:r>
      <w:r>
        <w:rPr>
          <w:rFonts w:hint="default" w:ascii="宋体" w:hAnsi="宋体" w:eastAsia="宋体" w:cs="宋体"/>
          <w:sz w:val="24"/>
          <w:lang w:val="en-US" w:eastAsia="zh-CN"/>
        </w:rPr>
        <w:t>5</w:t>
      </w:r>
    </w:p>
    <w:p>
      <w:pPr>
        <w:pStyle w:val="6"/>
        <w:rPr>
          <w:rFonts w:hint="eastAsia" w:ascii="宋体" w:hAnsi="宋体" w:eastAsia="宋体" w:cs="宋体"/>
          <w:lang w:val="en-US" w:eastAsia="zh-CN"/>
        </w:rPr>
      </w:pPr>
    </w:p>
    <w:p>
      <w:pPr>
        <w:jc w:val="center"/>
        <w:rPr>
          <w:rFonts w:hint="eastAsia" w:ascii="宋体" w:hAnsi="宋体" w:eastAsia="宋体" w:cs="宋体"/>
          <w:b/>
          <w:sz w:val="30"/>
          <w:szCs w:val="30"/>
        </w:rPr>
      </w:pPr>
      <w:r>
        <w:rPr>
          <w:rFonts w:hint="eastAsia" w:ascii="宋体" w:hAnsi="宋体" w:eastAsia="宋体" w:cs="宋体"/>
          <w:b/>
          <w:sz w:val="30"/>
          <w:szCs w:val="30"/>
        </w:rPr>
        <w:t>附加投票汇总表（定标阶段）（如有）</w:t>
      </w:r>
    </w:p>
    <w:p>
      <w:pPr>
        <w:ind w:left="210"/>
        <w:jc w:val="center"/>
        <w:rPr>
          <w:rFonts w:hint="eastAsia" w:ascii="宋体" w:hAnsi="宋体" w:eastAsia="宋体" w:cs="宋体"/>
          <w:smallCaps/>
          <w:sz w:val="30"/>
          <w:szCs w:val="30"/>
        </w:rPr>
      </w:pPr>
    </w:p>
    <w:p>
      <w:pPr>
        <w:rPr>
          <w:rFonts w:ascii="宋体" w:hAnsi="宋体" w:cs="宋体"/>
          <w:color w:val="auto"/>
          <w:szCs w:val="21"/>
        </w:rPr>
      </w:pPr>
      <w:r>
        <w:rPr>
          <w:rFonts w:hint="eastAsia" w:ascii="宋体" w:hAnsi="宋体" w:cs="宋体"/>
          <w:color w:val="auto"/>
          <w:szCs w:val="21"/>
        </w:rPr>
        <w:t>项目名称：</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2"/>
        <w:gridCol w:w="5802"/>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b/>
                <w:color w:val="auto"/>
                <w:sz w:val="24"/>
                <w:szCs w:val="24"/>
              </w:rPr>
              <w:t>序号</w:t>
            </w:r>
          </w:p>
        </w:tc>
        <w:tc>
          <w:tcPr>
            <w:tcW w:w="3027" w:type="pct"/>
            <w:tcBorders>
              <w:top w:val="single" w:color="auto" w:sz="4" w:space="0"/>
              <w:left w:val="nil"/>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b/>
                <w:color w:val="auto"/>
                <w:sz w:val="24"/>
                <w:szCs w:val="24"/>
              </w:rPr>
              <w:t>合格中标候选人</w:t>
            </w:r>
          </w:p>
        </w:tc>
        <w:tc>
          <w:tcPr>
            <w:tcW w:w="1335" w:type="pct"/>
            <w:tcBorders>
              <w:top w:val="single" w:color="auto" w:sz="4" w:space="0"/>
              <w:left w:val="nil"/>
              <w:bottom w:val="single" w:color="auto" w:sz="4" w:space="0"/>
              <w:right w:val="single" w:color="auto" w:sz="4" w:space="0"/>
            </w:tcBorders>
            <w:vAlign w:val="center"/>
          </w:tcPr>
          <w:p>
            <w:pPr>
              <w:jc w:val="center"/>
              <w:rPr>
                <w:rFonts w:ascii="宋体" w:hAnsi="宋体" w:cs="宋体"/>
                <w:b/>
                <w:color w:val="auto"/>
                <w:sz w:val="24"/>
                <w:szCs w:val="24"/>
              </w:rPr>
            </w:pPr>
            <w:r>
              <w:rPr>
                <w:rFonts w:hint="eastAsia" w:ascii="宋体" w:hAnsi="宋体" w:cs="宋体"/>
                <w:b/>
                <w:color w:val="auto"/>
                <w:sz w:val="24"/>
                <w:szCs w:val="24"/>
              </w:rPr>
              <w:t>得票数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ascii="宋体" w:hAnsi="宋体" w:cs="宋体"/>
                <w:color w:val="auto"/>
                <w:sz w:val="24"/>
                <w:szCs w:val="24"/>
              </w:rPr>
              <w:t>1</w:t>
            </w:r>
          </w:p>
        </w:tc>
        <w:tc>
          <w:tcPr>
            <w:tcW w:w="3027"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szCs w:val="24"/>
              </w:rPr>
            </w:pPr>
          </w:p>
        </w:tc>
        <w:tc>
          <w:tcPr>
            <w:tcW w:w="1335"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ascii="宋体" w:hAnsi="宋体" w:cs="宋体"/>
                <w:color w:val="auto"/>
                <w:sz w:val="24"/>
                <w:szCs w:val="24"/>
              </w:rPr>
              <w:t>2</w:t>
            </w:r>
          </w:p>
        </w:tc>
        <w:tc>
          <w:tcPr>
            <w:tcW w:w="3027"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szCs w:val="24"/>
              </w:rPr>
            </w:pPr>
          </w:p>
        </w:tc>
        <w:tc>
          <w:tcPr>
            <w:tcW w:w="1335"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8" w:type="pc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rPr>
            </w:pPr>
            <w:r>
              <w:rPr>
                <w:rFonts w:hint="eastAsia" w:asciiTheme="minorEastAsia" w:hAnsiTheme="minorEastAsia" w:eastAsiaTheme="minorEastAsia" w:cstheme="minorEastAsia"/>
                <w:color w:val="auto"/>
                <w:sz w:val="24"/>
                <w:szCs w:val="24"/>
              </w:rPr>
              <w:t>……</w:t>
            </w:r>
          </w:p>
        </w:tc>
        <w:tc>
          <w:tcPr>
            <w:tcW w:w="3027"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szCs w:val="24"/>
              </w:rPr>
            </w:pPr>
          </w:p>
        </w:tc>
        <w:tc>
          <w:tcPr>
            <w:tcW w:w="1335" w:type="pct"/>
            <w:tcBorders>
              <w:top w:val="single" w:color="auto" w:sz="4" w:space="0"/>
              <w:left w:val="nil"/>
              <w:bottom w:val="single" w:color="auto" w:sz="4" w:space="0"/>
              <w:right w:val="single" w:color="auto" w:sz="4" w:space="0"/>
            </w:tcBorders>
            <w:vAlign w:val="center"/>
          </w:tcPr>
          <w:p>
            <w:pPr>
              <w:jc w:val="center"/>
              <w:rPr>
                <w:rFonts w:ascii="宋体" w:hAnsi="宋体" w:cs="宋体"/>
                <w:color w:val="auto"/>
                <w:sz w:val="24"/>
                <w:szCs w:val="24"/>
              </w:rPr>
            </w:pPr>
          </w:p>
        </w:tc>
      </w:tr>
    </w:tbl>
    <w:p>
      <w:pPr>
        <w:spacing w:line="360" w:lineRule="atLeast"/>
        <w:rPr>
          <w:rFonts w:hint="eastAsia" w:ascii="宋体" w:hAnsi="宋体" w:eastAsia="宋体" w:cs="宋体"/>
          <w:szCs w:val="21"/>
        </w:rPr>
      </w:pPr>
      <w:r>
        <w:rPr>
          <w:rFonts w:hint="eastAsia" w:ascii="宋体" w:hAnsi="宋体" w:eastAsia="宋体" w:cs="宋体"/>
          <w:szCs w:val="21"/>
        </w:rPr>
        <w:t>备注：本表用于投票出现票数相同的情况，票数多的排序靠前，得票数相同的合格中标候选人进行再次票决确定排序。</w:t>
      </w:r>
    </w:p>
    <w:p>
      <w:pPr>
        <w:spacing w:line="360" w:lineRule="auto"/>
        <w:ind w:right="420"/>
        <w:rPr>
          <w:rFonts w:hint="eastAsia" w:ascii="宋体" w:hAnsi="宋体" w:eastAsia="宋体" w:cs="宋体"/>
          <w:szCs w:val="22"/>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r>
        <w:rPr>
          <w:rFonts w:hint="eastAsia" w:ascii="宋体" w:hAnsi="宋体" w:eastAsia="宋体" w:cs="宋体"/>
          <w:szCs w:val="21"/>
        </w:rPr>
        <w:t>定标委员会全体成员签名：</w:t>
      </w: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szCs w:val="21"/>
        </w:rPr>
      </w:pPr>
    </w:p>
    <w:p>
      <w:pPr>
        <w:keepNext w:val="0"/>
        <w:keepLines w:val="0"/>
        <w:pageBreakBefore w:val="0"/>
        <w:widowControl w:val="0"/>
        <w:kinsoku/>
        <w:wordWrap/>
        <w:overflowPunct/>
        <w:topLinePunct w:val="0"/>
        <w:autoSpaceDE/>
        <w:autoSpaceDN/>
        <w:bidi w:val="0"/>
        <w:adjustRightInd/>
        <w:snapToGrid/>
        <w:spacing w:line="360" w:lineRule="auto"/>
        <w:ind w:right="0" w:rightChars="0" w:firstLine="5250" w:firstLineChars="2500"/>
        <w:jc w:val="left"/>
        <w:textAlignment w:val="auto"/>
        <w:rPr>
          <w:rFonts w:hint="eastAsia" w:ascii="宋体" w:hAnsi="宋体" w:eastAsia="宋体" w:cs="宋体"/>
          <w:color w:val="auto"/>
          <w:sz w:val="24"/>
          <w:szCs w:val="24"/>
          <w:highlight w:val="none"/>
        </w:rPr>
      </w:pPr>
      <w:r>
        <w:rPr>
          <w:rFonts w:hint="eastAsia" w:ascii="宋体" w:hAnsi="宋体" w:eastAsia="宋体" w:cs="宋体"/>
          <w:szCs w:val="21"/>
        </w:rPr>
        <w:t>日期：     年   月   日</w:t>
      </w:r>
    </w:p>
    <w:p>
      <w:pPr>
        <w:pStyle w:val="40"/>
        <w:rPr>
          <w:rFonts w:ascii="仿宋" w:hAnsi="仿宋" w:eastAsia="仿宋" w:cs="仿宋"/>
          <w:color w:val="auto"/>
          <w:sz w:val="21"/>
          <w:szCs w:val="21"/>
          <w:highlight w:val="none"/>
        </w:rPr>
      </w:pPr>
    </w:p>
    <w:p>
      <w:pPr>
        <w:rPr>
          <w:rFonts w:ascii="仿宋" w:hAnsi="仿宋" w:eastAsia="仿宋" w:cs="仿宋"/>
          <w:color w:val="auto"/>
          <w:sz w:val="21"/>
          <w:szCs w:val="21"/>
          <w:highlight w:val="none"/>
        </w:rPr>
      </w:pPr>
      <w:r>
        <w:rPr>
          <w:rFonts w:ascii="仿宋" w:hAnsi="仿宋" w:eastAsia="仿宋" w:cs="仿宋"/>
          <w:color w:val="auto"/>
          <w:sz w:val="21"/>
          <w:szCs w:val="21"/>
          <w:highlight w:val="none"/>
        </w:rPr>
        <w:br w:type="page"/>
      </w:r>
    </w:p>
    <w:p>
      <w:pPr>
        <w:rPr>
          <w:rFonts w:hint="eastAsia" w:ascii="宋体" w:hAnsi="宋体" w:eastAsia="宋体" w:cs="宋体"/>
          <w:kern w:val="0"/>
          <w:sz w:val="24"/>
          <w:lang w:val="en-US" w:eastAsia="zh-CN"/>
        </w:rPr>
      </w:pPr>
      <w:r>
        <w:rPr>
          <w:rFonts w:hint="eastAsia" w:ascii="宋体" w:hAnsi="宋体" w:eastAsia="宋体" w:cs="宋体"/>
          <w:kern w:val="0"/>
          <w:sz w:val="24"/>
        </w:rPr>
        <w:t>附表</w:t>
      </w:r>
      <w:r>
        <w:rPr>
          <w:rFonts w:hint="eastAsia" w:ascii="宋体" w:hAnsi="宋体" w:cs="宋体"/>
          <w:kern w:val="0"/>
          <w:sz w:val="24"/>
          <w:lang w:val="en-US" w:eastAsia="zh-CN"/>
        </w:rPr>
        <w:t>八</w:t>
      </w:r>
      <w:r>
        <w:rPr>
          <w:rFonts w:hint="eastAsia" w:ascii="宋体" w:hAnsi="宋体" w:eastAsia="宋体" w:cs="宋体"/>
          <w:kern w:val="0"/>
          <w:sz w:val="24"/>
          <w:lang w:val="en-US" w:eastAsia="zh-CN"/>
        </w:rPr>
        <w:t>-</w:t>
      </w:r>
      <w:r>
        <w:rPr>
          <w:rFonts w:hint="default" w:ascii="宋体" w:hAnsi="宋体" w:eastAsia="宋体" w:cs="宋体"/>
          <w:kern w:val="0"/>
          <w:sz w:val="24"/>
          <w:lang w:val="en-US" w:eastAsia="zh-CN"/>
        </w:rPr>
        <w:t>6</w:t>
      </w:r>
    </w:p>
    <w:p>
      <w:pPr>
        <w:pStyle w:val="6"/>
        <w:ind w:left="0" w:leftChars="0" w:firstLine="0" w:firstLineChars="0"/>
        <w:rPr>
          <w:rFonts w:hint="eastAsia" w:ascii="宋体" w:hAnsi="宋体" w:eastAsia="宋体" w:cs="宋体"/>
          <w:lang w:val="en-US" w:eastAsia="zh-CN"/>
        </w:rPr>
      </w:pPr>
    </w:p>
    <w:p>
      <w:pPr>
        <w:jc w:val="center"/>
        <w:rPr>
          <w:rFonts w:hint="eastAsia" w:ascii="宋体" w:hAnsi="宋体" w:eastAsia="宋体" w:cs="宋体"/>
          <w:b/>
          <w:sz w:val="30"/>
          <w:szCs w:val="30"/>
        </w:rPr>
      </w:pPr>
      <w:r>
        <w:rPr>
          <w:rFonts w:hint="eastAsia" w:ascii="宋体" w:hAnsi="宋体" w:eastAsia="宋体" w:cs="宋体"/>
          <w:b/>
          <w:sz w:val="30"/>
          <w:szCs w:val="30"/>
        </w:rPr>
        <w:t>定标投票情况汇总表（定标阶段）</w:t>
      </w:r>
    </w:p>
    <w:p>
      <w:pPr>
        <w:ind w:left="210"/>
        <w:jc w:val="left"/>
        <w:rPr>
          <w:rFonts w:hint="eastAsia" w:ascii="宋体" w:hAnsi="宋体" w:eastAsia="宋体" w:cs="宋体"/>
          <w:smallCaps/>
          <w:sz w:val="20"/>
          <w:szCs w:val="20"/>
        </w:rPr>
      </w:pPr>
    </w:p>
    <w:p>
      <w:pPr>
        <w:rPr>
          <w:rFonts w:hint="eastAsia" w:ascii="宋体" w:hAnsi="宋体" w:eastAsia="宋体" w:cs="宋体"/>
          <w:sz w:val="24"/>
          <w:szCs w:val="22"/>
        </w:rPr>
      </w:pPr>
      <w:r>
        <w:rPr>
          <w:rFonts w:hint="eastAsia" w:ascii="宋体" w:hAnsi="宋体" w:cs="宋体"/>
          <w:sz w:val="24"/>
          <w:szCs w:val="22"/>
          <w:lang w:eastAsia="zh-CN"/>
        </w:rPr>
        <w:t>项目</w:t>
      </w:r>
      <w:r>
        <w:rPr>
          <w:rFonts w:hint="eastAsia" w:ascii="宋体" w:hAnsi="宋体" w:eastAsia="宋体" w:cs="宋体"/>
          <w:sz w:val="24"/>
          <w:szCs w:val="22"/>
        </w:rPr>
        <w:t>名称：</w:t>
      </w:r>
    </w:p>
    <w:tbl>
      <w:tblPr>
        <w:tblStyle w:val="31"/>
        <w:tblW w:w="484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
        <w:gridCol w:w="4308"/>
        <w:gridCol w:w="1292"/>
        <w:gridCol w:w="1303"/>
        <w:gridCol w:w="1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b/>
                <w:kern w:val="0"/>
                <w:sz w:val="24"/>
              </w:rPr>
            </w:pPr>
            <w:r>
              <w:rPr>
                <w:rFonts w:hint="eastAsia" w:ascii="宋体" w:hAnsi="宋体" w:cs="宋体"/>
                <w:b/>
                <w:kern w:val="0"/>
                <w:sz w:val="24"/>
              </w:rPr>
              <w:t>序号</w:t>
            </w:r>
          </w:p>
        </w:tc>
        <w:tc>
          <w:tcPr>
            <w:tcW w:w="2321"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kern w:val="0"/>
                <w:sz w:val="24"/>
              </w:rPr>
            </w:pPr>
            <w:r>
              <w:rPr>
                <w:rFonts w:hint="eastAsia" w:ascii="宋体" w:hAnsi="宋体" w:cs="宋体"/>
                <w:b/>
                <w:kern w:val="0"/>
                <w:sz w:val="24"/>
              </w:rPr>
              <w:t>投标人名称</w:t>
            </w:r>
          </w:p>
        </w:tc>
        <w:tc>
          <w:tcPr>
            <w:tcW w:w="69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kern w:val="0"/>
                <w:sz w:val="24"/>
              </w:rPr>
            </w:pPr>
            <w:r>
              <w:rPr>
                <w:rFonts w:hint="eastAsia" w:ascii="宋体" w:hAnsi="宋体" w:cs="宋体"/>
                <w:b/>
                <w:kern w:val="0"/>
                <w:sz w:val="24"/>
              </w:rPr>
              <w:t>得票数</w:t>
            </w:r>
          </w:p>
        </w:tc>
        <w:tc>
          <w:tcPr>
            <w:tcW w:w="70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kern w:val="0"/>
                <w:sz w:val="24"/>
              </w:rPr>
            </w:pPr>
            <w:r>
              <w:rPr>
                <w:rFonts w:hint="eastAsia" w:ascii="宋体" w:hAnsi="宋体" w:cs="宋体"/>
                <w:b/>
                <w:kern w:val="0"/>
                <w:sz w:val="24"/>
              </w:rPr>
              <w:t>附加投票（如有）</w:t>
            </w:r>
          </w:p>
        </w:tc>
        <w:tc>
          <w:tcPr>
            <w:tcW w:w="88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b/>
                <w:kern w:val="0"/>
                <w:sz w:val="24"/>
              </w:rPr>
            </w:pPr>
            <w:r>
              <w:rPr>
                <w:rFonts w:hint="eastAsia" w:ascii="宋体" w:hAnsi="宋体" w:cs="宋体"/>
                <w:b/>
                <w:kern w:val="0"/>
                <w:sz w:val="24"/>
              </w:rPr>
              <w:t>是否被推荐</w:t>
            </w:r>
          </w:p>
          <w:p>
            <w:pPr>
              <w:jc w:val="center"/>
              <w:rPr>
                <w:rFonts w:hint="eastAsia" w:ascii="宋体" w:hAnsi="宋体" w:cs="宋体"/>
                <w:b/>
                <w:kern w:val="0"/>
                <w:sz w:val="24"/>
              </w:rPr>
            </w:pPr>
            <w:r>
              <w:rPr>
                <w:rFonts w:hint="eastAsia" w:ascii="宋体" w:hAnsi="宋体" w:cs="宋体"/>
                <w:b/>
                <w:kern w:val="0"/>
                <w:sz w:val="24"/>
              </w:rPr>
              <w:t>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1</w:t>
            </w:r>
          </w:p>
        </w:tc>
        <w:tc>
          <w:tcPr>
            <w:tcW w:w="2321" w:type="pct"/>
            <w:tcBorders>
              <w:top w:val="single" w:color="auto" w:sz="4" w:space="0"/>
              <w:left w:val="nil"/>
              <w:bottom w:val="single" w:color="auto" w:sz="4" w:space="0"/>
              <w:right w:val="single" w:color="auto" w:sz="4" w:space="0"/>
            </w:tcBorders>
            <w:noWrap w:val="0"/>
            <w:vAlign w:val="center"/>
          </w:tcPr>
          <w:p>
            <w:pPr>
              <w:spacing w:line="360" w:lineRule="exact"/>
              <w:textAlignment w:val="center"/>
              <w:rPr>
                <w:rFonts w:hint="eastAsia" w:ascii="宋体" w:hAnsi="宋体" w:cs="宋体"/>
                <w:kern w:val="0"/>
                <w:sz w:val="24"/>
              </w:rPr>
            </w:pPr>
          </w:p>
        </w:tc>
        <w:tc>
          <w:tcPr>
            <w:tcW w:w="69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70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88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2</w:t>
            </w:r>
          </w:p>
        </w:tc>
        <w:tc>
          <w:tcPr>
            <w:tcW w:w="2321" w:type="pct"/>
            <w:tcBorders>
              <w:top w:val="single" w:color="auto" w:sz="4" w:space="0"/>
              <w:left w:val="nil"/>
              <w:bottom w:val="single" w:color="auto" w:sz="4" w:space="0"/>
              <w:right w:val="single" w:color="auto" w:sz="4" w:space="0"/>
            </w:tcBorders>
            <w:noWrap w:val="0"/>
            <w:vAlign w:val="center"/>
          </w:tcPr>
          <w:p>
            <w:pPr>
              <w:spacing w:line="360" w:lineRule="exact"/>
              <w:textAlignment w:val="center"/>
              <w:rPr>
                <w:rFonts w:hint="eastAsia" w:ascii="宋体" w:hAnsi="宋体" w:cs="宋体"/>
                <w:kern w:val="0"/>
                <w:sz w:val="24"/>
              </w:rPr>
            </w:pPr>
          </w:p>
        </w:tc>
        <w:tc>
          <w:tcPr>
            <w:tcW w:w="69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702"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88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3</w:t>
            </w:r>
          </w:p>
        </w:tc>
        <w:tc>
          <w:tcPr>
            <w:tcW w:w="2321" w:type="pct"/>
            <w:tcBorders>
              <w:top w:val="single" w:color="auto" w:sz="4" w:space="0"/>
              <w:left w:val="nil"/>
              <w:bottom w:val="single" w:color="auto" w:sz="4" w:space="0"/>
              <w:right w:val="single" w:color="auto" w:sz="4" w:space="0"/>
            </w:tcBorders>
            <w:noWrap w:val="0"/>
            <w:vAlign w:val="center"/>
          </w:tcPr>
          <w:p>
            <w:pPr>
              <w:spacing w:line="360" w:lineRule="exact"/>
              <w:textAlignment w:val="center"/>
              <w:rPr>
                <w:rFonts w:hint="eastAsia" w:ascii="宋体" w:hAnsi="宋体" w:cs="宋体"/>
                <w:kern w:val="0"/>
                <w:sz w:val="24"/>
              </w:rPr>
            </w:pPr>
          </w:p>
        </w:tc>
        <w:tc>
          <w:tcPr>
            <w:tcW w:w="69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702"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c>
          <w:tcPr>
            <w:tcW w:w="88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4</w:t>
            </w:r>
          </w:p>
        </w:tc>
        <w:tc>
          <w:tcPr>
            <w:tcW w:w="2321" w:type="pct"/>
            <w:tcBorders>
              <w:top w:val="single" w:color="auto" w:sz="4" w:space="0"/>
              <w:left w:val="nil"/>
              <w:bottom w:val="single" w:color="auto" w:sz="4" w:space="0"/>
              <w:right w:val="single" w:color="auto" w:sz="4" w:space="0"/>
            </w:tcBorders>
            <w:noWrap w:val="0"/>
            <w:vAlign w:val="center"/>
          </w:tcPr>
          <w:p>
            <w:pPr>
              <w:spacing w:line="360" w:lineRule="exact"/>
              <w:textAlignment w:val="center"/>
              <w:rPr>
                <w:rFonts w:hint="eastAsia" w:ascii="宋体" w:hAnsi="宋体" w:cs="宋体"/>
                <w:kern w:val="0"/>
                <w:sz w:val="24"/>
              </w:rPr>
            </w:pPr>
          </w:p>
        </w:tc>
        <w:tc>
          <w:tcPr>
            <w:tcW w:w="69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702"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c>
          <w:tcPr>
            <w:tcW w:w="88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5</w:t>
            </w:r>
          </w:p>
        </w:tc>
        <w:tc>
          <w:tcPr>
            <w:tcW w:w="2321" w:type="pct"/>
            <w:tcBorders>
              <w:top w:val="single" w:color="auto" w:sz="4" w:space="0"/>
              <w:left w:val="nil"/>
              <w:bottom w:val="single" w:color="auto" w:sz="4" w:space="0"/>
              <w:right w:val="single" w:color="auto" w:sz="4" w:space="0"/>
            </w:tcBorders>
            <w:noWrap w:val="0"/>
            <w:vAlign w:val="center"/>
          </w:tcPr>
          <w:p>
            <w:pPr>
              <w:spacing w:line="360" w:lineRule="exact"/>
              <w:textAlignment w:val="center"/>
              <w:rPr>
                <w:rFonts w:hint="eastAsia" w:ascii="宋体" w:hAnsi="宋体" w:cs="宋体"/>
                <w:kern w:val="0"/>
                <w:sz w:val="24"/>
              </w:rPr>
            </w:pPr>
          </w:p>
        </w:tc>
        <w:tc>
          <w:tcPr>
            <w:tcW w:w="69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702"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c>
          <w:tcPr>
            <w:tcW w:w="88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6</w:t>
            </w:r>
          </w:p>
        </w:tc>
        <w:tc>
          <w:tcPr>
            <w:tcW w:w="2321" w:type="pct"/>
            <w:tcBorders>
              <w:top w:val="single" w:color="auto" w:sz="4" w:space="0"/>
              <w:left w:val="nil"/>
              <w:bottom w:val="single" w:color="auto" w:sz="4" w:space="0"/>
              <w:right w:val="single" w:color="auto" w:sz="4" w:space="0"/>
            </w:tcBorders>
            <w:noWrap w:val="0"/>
            <w:vAlign w:val="center"/>
          </w:tcPr>
          <w:p>
            <w:pPr>
              <w:spacing w:line="360" w:lineRule="exact"/>
              <w:textAlignment w:val="center"/>
              <w:rPr>
                <w:rFonts w:hint="eastAsia" w:ascii="宋体" w:hAnsi="宋体" w:cs="宋体"/>
                <w:kern w:val="0"/>
                <w:sz w:val="24"/>
              </w:rPr>
            </w:pPr>
          </w:p>
        </w:tc>
        <w:tc>
          <w:tcPr>
            <w:tcW w:w="69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702"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c>
          <w:tcPr>
            <w:tcW w:w="88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96"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0"/>
                <w:sz w:val="24"/>
              </w:rPr>
            </w:pPr>
            <w:r>
              <w:rPr>
                <w:rFonts w:hint="eastAsia" w:ascii="宋体" w:hAnsi="宋体" w:cs="宋体"/>
                <w:kern w:val="0"/>
                <w:sz w:val="24"/>
              </w:rPr>
              <w:t>7</w:t>
            </w:r>
          </w:p>
        </w:tc>
        <w:tc>
          <w:tcPr>
            <w:tcW w:w="2321" w:type="pct"/>
            <w:tcBorders>
              <w:top w:val="single" w:color="auto" w:sz="4" w:space="0"/>
              <w:left w:val="nil"/>
              <w:bottom w:val="single" w:color="auto" w:sz="4" w:space="0"/>
              <w:right w:val="single" w:color="auto" w:sz="4" w:space="0"/>
            </w:tcBorders>
            <w:noWrap w:val="0"/>
            <w:vAlign w:val="center"/>
          </w:tcPr>
          <w:p>
            <w:pPr>
              <w:spacing w:line="360" w:lineRule="exact"/>
              <w:textAlignment w:val="center"/>
              <w:rPr>
                <w:rFonts w:hint="eastAsia" w:ascii="宋体" w:hAnsi="宋体" w:cs="宋体"/>
                <w:kern w:val="0"/>
                <w:sz w:val="24"/>
              </w:rPr>
            </w:pPr>
          </w:p>
        </w:tc>
        <w:tc>
          <w:tcPr>
            <w:tcW w:w="696"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c>
          <w:tcPr>
            <w:tcW w:w="702"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4"/>
              </w:rPr>
            </w:pPr>
          </w:p>
        </w:tc>
        <w:tc>
          <w:tcPr>
            <w:tcW w:w="883" w:type="pct"/>
            <w:tcBorders>
              <w:top w:val="single" w:color="auto" w:sz="4" w:space="0"/>
              <w:left w:val="nil"/>
              <w:bottom w:val="single" w:color="auto" w:sz="4" w:space="0"/>
              <w:right w:val="single" w:color="auto" w:sz="4" w:space="0"/>
            </w:tcBorders>
            <w:noWrap w:val="0"/>
            <w:vAlign w:val="center"/>
          </w:tcPr>
          <w:p>
            <w:pPr>
              <w:jc w:val="center"/>
              <w:rPr>
                <w:rFonts w:hint="eastAsia" w:ascii="宋体" w:hAnsi="宋体" w:cs="宋体"/>
                <w:kern w:val="0"/>
                <w:sz w:val="24"/>
              </w:rPr>
            </w:pPr>
          </w:p>
        </w:tc>
      </w:tr>
    </w:tbl>
    <w:p>
      <w:pPr>
        <w:rPr>
          <w:rFonts w:hint="eastAsia" w:ascii="宋体" w:hAnsi="宋体" w:eastAsia="宋体" w:cs="宋体"/>
          <w:szCs w:val="21"/>
        </w:rPr>
      </w:pPr>
      <w:r>
        <w:rPr>
          <w:rFonts w:hint="eastAsia" w:ascii="宋体" w:hAnsi="宋体" w:eastAsia="宋体" w:cs="宋体"/>
          <w:szCs w:val="21"/>
        </w:rPr>
        <w:t>注：得</w:t>
      </w:r>
      <w:r>
        <w:rPr>
          <w:rFonts w:hint="eastAsia" w:ascii="宋体" w:hAnsi="宋体" w:cs="宋体"/>
          <w:szCs w:val="21"/>
          <w:lang w:eastAsia="zh-CN"/>
        </w:rPr>
        <w:t>票</w:t>
      </w:r>
      <w:r>
        <w:rPr>
          <w:rFonts w:hint="eastAsia" w:ascii="宋体" w:hAnsi="宋体" w:eastAsia="宋体" w:cs="宋体"/>
          <w:szCs w:val="21"/>
        </w:rPr>
        <w:t>最</w:t>
      </w:r>
      <w:r>
        <w:rPr>
          <w:rFonts w:hint="eastAsia" w:ascii="宋体" w:hAnsi="宋体" w:cs="宋体"/>
          <w:szCs w:val="21"/>
          <w:lang w:eastAsia="zh-CN"/>
        </w:rPr>
        <w:t>多</w:t>
      </w:r>
      <w:r>
        <w:rPr>
          <w:rFonts w:hint="eastAsia" w:ascii="宋体" w:hAnsi="宋体" w:eastAsia="宋体" w:cs="宋体"/>
          <w:szCs w:val="21"/>
        </w:rPr>
        <w:t>的合格中标候选人直接确定为中标人。</w:t>
      </w:r>
    </w:p>
    <w:p>
      <w:pPr>
        <w:spacing w:line="400" w:lineRule="exact"/>
        <w:rPr>
          <w:rFonts w:hint="eastAsia" w:ascii="宋体" w:hAnsi="宋体" w:eastAsia="宋体" w:cs="宋体"/>
          <w:szCs w:val="21"/>
        </w:rPr>
      </w:pPr>
    </w:p>
    <w:p>
      <w:pPr>
        <w:spacing w:line="360" w:lineRule="exact"/>
        <w:ind w:right="-325" w:rightChars="-155"/>
        <w:jc w:val="left"/>
        <w:rPr>
          <w:rFonts w:hint="eastAsia" w:ascii="宋体" w:hAnsi="宋体" w:eastAsia="宋体" w:cs="宋体"/>
          <w:szCs w:val="21"/>
        </w:rPr>
      </w:pPr>
      <w:r>
        <w:rPr>
          <w:rFonts w:hint="eastAsia" w:ascii="宋体" w:hAnsi="宋体" w:eastAsia="宋体" w:cs="宋体"/>
          <w:szCs w:val="21"/>
        </w:rPr>
        <w:t>定标委员会全体成员签名：</w:t>
      </w:r>
    </w:p>
    <w:p>
      <w:pPr>
        <w:pStyle w:val="25"/>
        <w:ind w:left="0" w:leftChars="0" w:firstLine="0" w:firstLineChars="0"/>
        <w:rPr>
          <w:rFonts w:hint="eastAsia"/>
        </w:rPr>
      </w:pPr>
    </w:p>
    <w:p>
      <w:pPr>
        <w:rPr>
          <w:rFonts w:hint="eastAsia"/>
        </w:rPr>
      </w:pPr>
    </w:p>
    <w:p>
      <w:pPr>
        <w:rPr>
          <w:rFonts w:hint="eastAsia"/>
        </w:rPr>
      </w:pPr>
    </w:p>
    <w:p>
      <w:pPr>
        <w:ind w:firstLine="5670" w:firstLineChars="2700"/>
        <w:rPr>
          <w:rFonts w:hint="eastAsia" w:ascii="宋体" w:hAnsi="宋体" w:eastAsia="宋体" w:cs="宋体"/>
        </w:rPr>
      </w:pPr>
      <w:r>
        <w:rPr>
          <w:rFonts w:hint="eastAsia" w:ascii="宋体" w:hAnsi="宋体" w:eastAsia="宋体" w:cs="宋体"/>
          <w:szCs w:val="21"/>
        </w:rPr>
        <w:t>日期：     年   月   日</w:t>
      </w:r>
    </w:p>
    <w:p>
      <w:pPr>
        <w:pStyle w:val="40"/>
        <w:rPr>
          <w:rFonts w:ascii="仿宋" w:hAnsi="仿宋" w:eastAsia="仿宋" w:cs="仿宋"/>
          <w:color w:val="auto"/>
          <w:sz w:val="21"/>
          <w:szCs w:val="21"/>
          <w:highlight w:val="none"/>
        </w:rPr>
      </w:pPr>
    </w:p>
    <w:p>
      <w:pPr>
        <w:pStyle w:val="40"/>
        <w:rPr>
          <w:rFonts w:ascii="仿宋" w:hAnsi="仿宋" w:eastAsia="仿宋" w:cs="仿宋"/>
          <w:color w:val="auto"/>
          <w:sz w:val="21"/>
          <w:szCs w:val="21"/>
          <w:highlight w:val="none"/>
        </w:rPr>
      </w:pPr>
    </w:p>
    <w:p>
      <w:pPr>
        <w:pStyle w:val="40"/>
        <w:ind w:firstLine="420" w:firstLineChars="200"/>
        <w:rPr>
          <w:rFonts w:ascii="仿宋" w:hAnsi="仿宋" w:eastAsia="仿宋" w:cs="仿宋"/>
          <w:color w:val="auto"/>
          <w:sz w:val="21"/>
          <w:szCs w:val="21"/>
          <w:highlight w:val="none"/>
        </w:rPr>
      </w:pPr>
    </w:p>
    <w:p>
      <w:pPr>
        <w:snapToGrid w:val="0"/>
        <w:spacing w:line="360" w:lineRule="auto"/>
        <w:jc w:val="left"/>
        <w:rPr>
          <w:rFonts w:ascii="宋体" w:hAnsi="宋体" w:cs="宋体"/>
          <w:b/>
          <w:bCs/>
          <w:color w:val="auto"/>
          <w:sz w:val="24"/>
          <w:szCs w:val="24"/>
          <w:highlight w:val="none"/>
        </w:rPr>
        <w:sectPr>
          <w:pgSz w:w="11907" w:h="16840"/>
          <w:pgMar w:top="1440" w:right="1270" w:bottom="1440" w:left="1270" w:header="851" w:footer="992" w:gutter="0"/>
          <w:cols w:space="720" w:num="1"/>
          <w:docGrid w:type="lines" w:linePitch="312" w:charSpace="0"/>
        </w:sectPr>
      </w:pPr>
    </w:p>
    <w:p>
      <w:pPr>
        <w:pStyle w:val="3"/>
        <w:keepNext w:val="0"/>
        <w:keepLines w:val="0"/>
        <w:snapToGrid w:val="0"/>
        <w:spacing w:before="0" w:after="0"/>
        <w:jc w:val="center"/>
        <w:rPr>
          <w:rFonts w:hint="eastAsia" w:ascii="宋体" w:hAnsi="宋体" w:cs="宋体"/>
          <w:color w:val="auto"/>
          <w:sz w:val="44"/>
          <w:szCs w:val="44"/>
          <w:highlight w:val="none"/>
        </w:rPr>
      </w:pPr>
      <w:bookmarkStart w:id="29" w:name="_Toc5789"/>
      <w:bookmarkStart w:id="30" w:name="_Toc504659100"/>
      <w:bookmarkStart w:id="31" w:name="_Toc504053942"/>
      <w:bookmarkStart w:id="32" w:name="_Toc500249621"/>
    </w:p>
    <w:p>
      <w:pPr>
        <w:pStyle w:val="3"/>
        <w:snapToGrid w:val="0"/>
        <w:spacing w:before="0" w:after="0"/>
        <w:jc w:val="center"/>
        <w:rPr>
          <w:rFonts w:ascii="宋体" w:hAnsi="宋体" w:cs="宋体"/>
          <w:color w:val="auto"/>
          <w:sz w:val="44"/>
          <w:szCs w:val="44"/>
          <w:highlight w:val="none"/>
        </w:rPr>
      </w:pPr>
      <w:r>
        <w:rPr>
          <w:rFonts w:hint="eastAsia" w:ascii="宋体" w:hAnsi="宋体" w:cs="宋体"/>
          <w:color w:val="auto"/>
          <w:sz w:val="44"/>
          <w:szCs w:val="44"/>
          <w:highlight w:val="none"/>
        </w:rPr>
        <w:t>第三章</w:t>
      </w:r>
      <w:r>
        <w:rPr>
          <w:rFonts w:hint="eastAsia" w:ascii="宋体" w:hAnsi="宋体" w:cs="宋体"/>
          <w:color w:val="auto"/>
          <w:sz w:val="44"/>
          <w:szCs w:val="44"/>
          <w:highlight w:val="none"/>
          <w:lang w:val="en-US" w:eastAsia="zh-CN"/>
        </w:rPr>
        <w:t xml:space="preserve">  </w:t>
      </w:r>
      <w:r>
        <w:rPr>
          <w:rFonts w:hint="eastAsia" w:ascii="宋体" w:hAnsi="宋体" w:cs="宋体"/>
          <w:color w:val="auto"/>
          <w:sz w:val="44"/>
          <w:szCs w:val="44"/>
          <w:highlight w:val="none"/>
        </w:rPr>
        <w:t>合同条款</w:t>
      </w:r>
      <w:bookmarkEnd w:id="29"/>
      <w:bookmarkEnd w:id="30"/>
      <w:bookmarkEnd w:id="31"/>
      <w:bookmarkEnd w:id="32"/>
    </w:p>
    <w:p>
      <w:pPr>
        <w:spacing w:line="240" w:lineRule="exact"/>
        <w:ind w:firstLine="420" w:firstLineChars="200"/>
        <w:rPr>
          <w:color w:val="auto"/>
          <w:highlight w:val="none"/>
        </w:rPr>
      </w:pPr>
    </w:p>
    <w:p>
      <w:pPr>
        <w:ind w:firstLine="638" w:firstLineChars="304"/>
        <w:rPr>
          <w:color w:val="auto"/>
          <w:highlight w:val="none"/>
        </w:rPr>
      </w:pPr>
      <w:r>
        <w:rPr>
          <w:rFonts w:hint="eastAsia"/>
          <w:color w:val="auto"/>
          <w:highlight w:val="none"/>
        </w:rPr>
        <w:drawing>
          <wp:anchor distT="0" distB="0" distL="114300" distR="114300" simplePos="0" relativeHeight="251659264" behindDoc="0" locked="0" layoutInCell="1" allowOverlap="1">
            <wp:simplePos x="0" y="0"/>
            <wp:positionH relativeFrom="column">
              <wp:posOffset>4848860</wp:posOffset>
            </wp:positionH>
            <wp:positionV relativeFrom="paragraph">
              <wp:posOffset>304165</wp:posOffset>
            </wp:positionV>
            <wp:extent cx="2236470" cy="1798955"/>
            <wp:effectExtent l="0" t="0" r="11430" b="4445"/>
            <wp:wrapSquare wrapText="bothSides"/>
            <wp:docPr id="1" name="图片 10"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C:\Users\lanxing\Desktop\93b1542184114cf8b316f10d4b2d5c42.png93b1542184114cf8b316f10d4b2d5c42"/>
                    <pic:cNvPicPr>
                      <a:picLocks noChangeAspect="1"/>
                    </pic:cNvPicPr>
                  </pic:nvPicPr>
                  <pic:blipFill>
                    <a:blip r:embed="rId21"/>
                    <a:stretch>
                      <a:fillRect/>
                    </a:stretch>
                  </pic:blipFill>
                  <pic:spPr>
                    <a:xfrm>
                      <a:off x="0" y="0"/>
                      <a:ext cx="2236470" cy="1798955"/>
                    </a:xfrm>
                    <a:prstGeom prst="rect">
                      <a:avLst/>
                    </a:prstGeom>
                    <a:noFill/>
                    <a:ln>
                      <a:noFill/>
                    </a:ln>
                  </pic:spPr>
                </pic:pic>
              </a:graphicData>
            </a:graphic>
          </wp:anchor>
        </w:drawing>
      </w:r>
      <w:r>
        <w:rPr>
          <w:color w:val="auto"/>
          <w:highlight w:val="none"/>
        </w:rPr>
        <w:drawing>
          <wp:inline distT="0" distB="0" distL="114300" distR="114300">
            <wp:extent cx="2497455" cy="259715"/>
            <wp:effectExtent l="0" t="0" r="4445"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22"/>
                    <a:stretch>
                      <a:fillRect/>
                    </a:stretch>
                  </pic:blipFill>
                  <pic:spPr>
                    <a:xfrm>
                      <a:off x="0" y="0"/>
                      <a:ext cx="2497455" cy="259715"/>
                    </a:xfrm>
                    <a:prstGeom prst="rect">
                      <a:avLst/>
                    </a:prstGeom>
                    <a:noFill/>
                    <a:ln>
                      <a:noFill/>
                    </a:ln>
                  </pic:spPr>
                </pic:pic>
              </a:graphicData>
            </a:graphic>
          </wp:inline>
        </w:drawing>
      </w:r>
    </w:p>
    <w:p>
      <w:pPr>
        <w:ind w:firstLine="8400" w:firstLineChars="3500"/>
        <w:rPr>
          <w:color w:val="auto"/>
          <w:sz w:val="24"/>
          <w:highlight w:val="none"/>
        </w:rPr>
      </w:pPr>
    </w:p>
    <w:p>
      <w:pPr>
        <w:tabs>
          <w:tab w:val="left" w:pos="870"/>
        </w:tabs>
        <w:ind w:firstLine="240" w:firstLineChars="100"/>
        <w:rPr>
          <w:color w:val="auto"/>
          <w:sz w:val="24"/>
          <w:highlight w:val="none"/>
        </w:rPr>
      </w:pPr>
      <w:r>
        <w:rPr>
          <w:color w:val="auto"/>
          <w:sz w:val="24"/>
          <w:highlight w:val="none"/>
        </w:rPr>
        <w:drawing>
          <wp:anchor distT="0" distB="0" distL="114300" distR="114300" simplePos="0" relativeHeight="251661312" behindDoc="1" locked="0" layoutInCell="1" allowOverlap="0">
            <wp:simplePos x="0" y="0"/>
            <wp:positionH relativeFrom="column">
              <wp:posOffset>371475</wp:posOffset>
            </wp:positionH>
            <wp:positionV relativeFrom="paragraph">
              <wp:posOffset>39370</wp:posOffset>
            </wp:positionV>
            <wp:extent cx="790575" cy="161925"/>
            <wp:effectExtent l="0" t="0" r="9525" b="3175"/>
            <wp:wrapTight wrapText="bothSides">
              <wp:wrapPolygon>
                <wp:start x="1041" y="1694"/>
                <wp:lineTo x="0" y="8471"/>
                <wp:lineTo x="1041" y="18635"/>
                <wp:lineTo x="7634" y="20329"/>
                <wp:lineTo x="18043" y="20329"/>
                <wp:lineTo x="21166" y="18635"/>
                <wp:lineTo x="21166" y="10165"/>
                <wp:lineTo x="18390" y="1694"/>
                <wp:lineTo x="1041" y="1694"/>
              </wp:wrapPolygon>
            </wp:wrapTight>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23"/>
                    <a:stretch>
                      <a:fillRect/>
                    </a:stretch>
                  </pic:blipFill>
                  <pic:spPr>
                    <a:xfrm>
                      <a:off x="0" y="0"/>
                      <a:ext cx="790575" cy="161925"/>
                    </a:xfrm>
                    <a:prstGeom prst="rect">
                      <a:avLst/>
                    </a:prstGeom>
                    <a:noFill/>
                    <a:ln>
                      <a:noFill/>
                    </a:ln>
                  </pic:spPr>
                </pic:pic>
              </a:graphicData>
            </a:graphic>
          </wp:anchor>
        </w:drawing>
      </w:r>
      <w:r>
        <w:rPr>
          <w:rFonts w:hint="eastAsia"/>
          <w:color w:val="auto"/>
          <w:sz w:val="24"/>
          <w:highlight w:val="none"/>
        </w:rPr>
        <w:t>穗开建管施[202]  号 /               /</w:t>
      </w:r>
    </w:p>
    <w:p>
      <w:pPr>
        <w:rPr>
          <w:rFonts w:ascii="方正大标宋简体" w:eastAsia="方正大标宋简体"/>
          <w:color w:val="auto"/>
          <w:sz w:val="28"/>
          <w:szCs w:val="28"/>
          <w:highlight w:val="none"/>
        </w:rPr>
      </w:pPr>
    </w:p>
    <w:p>
      <w:pPr>
        <w:ind w:firstLine="840" w:firstLineChars="400"/>
        <w:rPr>
          <w:color w:val="auto"/>
          <w:highlight w:val="none"/>
        </w:rPr>
      </w:pPr>
    </w:p>
    <w:p>
      <w:pPr>
        <w:ind w:firstLine="840" w:firstLineChars="400"/>
        <w:rPr>
          <w:color w:val="auto"/>
          <w:highlight w:val="none"/>
        </w:rPr>
      </w:pPr>
    </w:p>
    <w:p>
      <w:pPr>
        <w:ind w:firstLine="840" w:firstLineChars="400"/>
        <w:rPr>
          <w:color w:val="auto"/>
          <w:highlight w:val="none"/>
        </w:rPr>
      </w:pPr>
    </w:p>
    <w:p>
      <w:pPr>
        <w:snapToGrid w:val="0"/>
        <w:spacing w:line="440" w:lineRule="exact"/>
        <w:ind w:left="-197" w:leftChars="-94"/>
        <w:jc w:val="center"/>
        <w:rPr>
          <w:rFonts w:ascii="宋体" w:hAnsi="宋体"/>
          <w:color w:val="auto"/>
          <w:highlight w:val="none"/>
        </w:rPr>
      </w:pPr>
    </w:p>
    <w:p>
      <w:pPr>
        <w:snapToGrid w:val="0"/>
        <w:spacing w:line="440" w:lineRule="exact"/>
        <w:ind w:left="-197" w:leftChars="-94"/>
        <w:jc w:val="center"/>
        <w:rPr>
          <w:rFonts w:ascii="宋体" w:hAnsi="宋体"/>
          <w:color w:val="auto"/>
          <w:highlight w:val="none"/>
        </w:rPr>
      </w:pPr>
    </w:p>
    <w:p>
      <w:pPr>
        <w:snapToGrid w:val="0"/>
        <w:spacing w:line="440" w:lineRule="exact"/>
        <w:ind w:left="-197" w:leftChars="-94"/>
        <w:jc w:val="center"/>
        <w:rPr>
          <w:rFonts w:ascii="宋体" w:hAnsi="宋体"/>
          <w:color w:val="auto"/>
          <w:highlight w:val="none"/>
        </w:rPr>
      </w:pPr>
      <w:r>
        <w:rPr>
          <w:rFonts w:hint="eastAsia"/>
          <w:color w:val="auto"/>
          <w:highlight w:val="none"/>
        </w:rPr>
        <w:drawing>
          <wp:anchor distT="0" distB="0" distL="114300" distR="114300" simplePos="0" relativeHeight="251660288" behindDoc="0" locked="0" layoutInCell="1" allowOverlap="1">
            <wp:simplePos x="0" y="0"/>
            <wp:positionH relativeFrom="column">
              <wp:posOffset>895350</wp:posOffset>
            </wp:positionH>
            <wp:positionV relativeFrom="paragraph">
              <wp:posOffset>163195</wp:posOffset>
            </wp:positionV>
            <wp:extent cx="5295900" cy="590550"/>
            <wp:effectExtent l="0" t="0" r="0" b="635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4"/>
                    <a:stretch>
                      <a:fillRect/>
                    </a:stretch>
                  </pic:blipFill>
                  <pic:spPr>
                    <a:xfrm>
                      <a:off x="0" y="0"/>
                      <a:ext cx="5295900" cy="590550"/>
                    </a:xfrm>
                    <a:prstGeom prst="rect">
                      <a:avLst/>
                    </a:prstGeom>
                    <a:noFill/>
                    <a:ln>
                      <a:noFill/>
                    </a:ln>
                  </pic:spPr>
                </pic:pic>
              </a:graphicData>
            </a:graphic>
          </wp:anchor>
        </w:drawing>
      </w:r>
    </w:p>
    <w:p>
      <w:pPr>
        <w:snapToGrid w:val="0"/>
        <w:spacing w:line="440" w:lineRule="exact"/>
        <w:ind w:left="-197" w:leftChars="-94"/>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jc w:val="center"/>
        <w:rPr>
          <w:rFonts w:ascii="宋体" w:hAnsi="宋体"/>
          <w:color w:val="auto"/>
          <w:highlight w:val="none"/>
        </w:rPr>
      </w:pPr>
    </w:p>
    <w:p>
      <w:pPr>
        <w:spacing w:line="480" w:lineRule="exact"/>
        <w:rPr>
          <w:rFonts w:ascii="仿宋_GB2312" w:hAnsi="仿宋" w:eastAsia="仿宋_GB2312"/>
          <w:color w:val="auto"/>
          <w:sz w:val="28"/>
          <w:szCs w:val="28"/>
          <w:highlight w:val="none"/>
        </w:rPr>
      </w:pPr>
    </w:p>
    <w:p>
      <w:pPr>
        <w:spacing w:line="480" w:lineRule="exact"/>
        <w:jc w:val="center"/>
        <w:rPr>
          <w:rFonts w:ascii="仿宋_GB2312" w:hAnsi="仿宋" w:eastAsia="仿宋_GB2312"/>
          <w:color w:val="auto"/>
          <w:sz w:val="28"/>
          <w:szCs w:val="28"/>
          <w:highlight w:val="none"/>
        </w:rPr>
      </w:pPr>
    </w:p>
    <w:p>
      <w:pPr>
        <w:spacing w:line="480" w:lineRule="exact"/>
        <w:ind w:firstLine="2520" w:firstLineChars="90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项目名称：</w:t>
      </w:r>
    </w:p>
    <w:p>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发包人（甲方）：</w:t>
      </w:r>
      <w:r>
        <w:rPr>
          <w:rFonts w:hint="eastAsia" w:ascii="方正大标宋简体" w:hAnsi="仿宋" w:eastAsia="方正大标宋简体"/>
          <w:color w:val="auto"/>
          <w:sz w:val="28"/>
          <w:szCs w:val="28"/>
          <w:highlight w:val="none"/>
          <w:u w:val="single"/>
        </w:rPr>
        <w:t>广州开发区财政投资建设项目管理中心</w:t>
      </w:r>
    </w:p>
    <w:p>
      <w:pPr>
        <w:snapToGrid w:val="0"/>
        <w:spacing w:line="440" w:lineRule="exact"/>
        <w:ind w:firstLine="2660" w:firstLineChars="950"/>
        <w:rPr>
          <w:rFonts w:ascii="方正大标宋简体" w:hAnsi="宋体" w:eastAsia="方正大标宋简体"/>
          <w:color w:val="auto"/>
          <w:sz w:val="28"/>
          <w:szCs w:val="28"/>
          <w:highlight w:val="none"/>
          <w:u w:val="single"/>
        </w:rPr>
      </w:pPr>
      <w:r>
        <w:rPr>
          <w:rFonts w:hint="eastAsia" w:ascii="仿宋_GB2312" w:hAnsi="仿宋" w:eastAsia="仿宋_GB2312"/>
          <w:color w:val="auto"/>
          <w:sz w:val="28"/>
          <w:szCs w:val="28"/>
          <w:highlight w:val="none"/>
        </w:rPr>
        <w:t>承包人（乙方）：</w:t>
      </w:r>
    </w:p>
    <w:p>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合同签订日期：</w:t>
      </w:r>
      <w:r>
        <w:rPr>
          <w:rFonts w:hint="eastAsia" w:ascii="方正大标宋简体" w:hAnsi="仿宋" w:eastAsia="方正大标宋简体"/>
          <w:color w:val="auto"/>
          <w:sz w:val="28"/>
          <w:szCs w:val="28"/>
          <w:highlight w:val="none"/>
          <w:u w:val="single"/>
        </w:rPr>
        <w:t>2025年</w:t>
      </w:r>
      <w:r>
        <w:rPr>
          <w:rFonts w:hint="eastAsia" w:ascii="方正大标宋简体" w:hAnsi="仿宋" w:eastAsia="方正大标宋简体"/>
          <w:color w:val="auto"/>
          <w:sz w:val="28"/>
          <w:szCs w:val="28"/>
          <w:highlight w:val="none"/>
          <w:u w:val="single"/>
          <w:lang w:val="en-US" w:eastAsia="zh-CN"/>
        </w:rPr>
        <w:t xml:space="preserve">   </w:t>
      </w:r>
      <w:r>
        <w:rPr>
          <w:rFonts w:hint="eastAsia" w:ascii="方正大标宋简体" w:hAnsi="仿宋" w:eastAsia="方正大标宋简体"/>
          <w:color w:val="auto"/>
          <w:sz w:val="28"/>
          <w:szCs w:val="28"/>
          <w:highlight w:val="none"/>
          <w:u w:val="single"/>
        </w:rPr>
        <w:t>月</w:t>
      </w:r>
      <w:r>
        <w:rPr>
          <w:rFonts w:hint="eastAsia" w:ascii="方正大标宋简体" w:hAnsi="仿宋" w:eastAsia="方正大标宋简体"/>
          <w:color w:val="auto"/>
          <w:sz w:val="28"/>
          <w:szCs w:val="28"/>
          <w:highlight w:val="none"/>
          <w:u w:val="single"/>
          <w:lang w:val="en-US" w:eastAsia="zh-CN"/>
        </w:rPr>
        <w:t xml:space="preserve">   </w:t>
      </w:r>
      <w:r>
        <w:rPr>
          <w:rFonts w:hint="eastAsia" w:ascii="方正大标宋简体" w:hAnsi="仿宋" w:eastAsia="方正大标宋简体"/>
          <w:color w:val="auto"/>
          <w:sz w:val="28"/>
          <w:szCs w:val="28"/>
          <w:highlight w:val="none"/>
          <w:u w:val="single"/>
        </w:rPr>
        <w:t>日</w:t>
      </w:r>
    </w:p>
    <w:p>
      <w:pPr>
        <w:spacing w:line="480" w:lineRule="exact"/>
        <w:ind w:firstLine="2660" w:firstLineChars="950"/>
        <w:rPr>
          <w:rFonts w:ascii="方正大标宋简体" w:hAnsi="仿宋" w:eastAsia="方正大标宋简体"/>
          <w:color w:val="auto"/>
          <w:sz w:val="28"/>
          <w:szCs w:val="28"/>
          <w:highlight w:val="none"/>
          <w:u w:val="single"/>
        </w:rPr>
      </w:pPr>
      <w:r>
        <w:rPr>
          <w:rFonts w:hint="eastAsia" w:ascii="仿宋_GB2312" w:hAnsi="仿宋" w:eastAsia="仿宋_GB2312"/>
          <w:color w:val="auto"/>
          <w:sz w:val="28"/>
          <w:szCs w:val="28"/>
          <w:highlight w:val="none"/>
        </w:rPr>
        <w:t>签订地点：</w:t>
      </w:r>
      <w:r>
        <w:rPr>
          <w:rFonts w:hint="eastAsia" w:ascii="方正大标宋简体" w:hAnsi="仿宋" w:eastAsia="方正大标宋简体"/>
          <w:color w:val="auto"/>
          <w:sz w:val="28"/>
          <w:szCs w:val="28"/>
          <w:highlight w:val="none"/>
          <w:u w:val="single"/>
        </w:rPr>
        <w:t>广州市黄埔区</w:t>
      </w:r>
    </w:p>
    <w:p>
      <w:pPr>
        <w:spacing w:line="480" w:lineRule="exact"/>
        <w:jc w:val="center"/>
        <w:rPr>
          <w:rFonts w:ascii="宋体" w:hAnsi="宋体"/>
          <w:color w:val="auto"/>
          <w:highlight w:val="none"/>
        </w:rPr>
      </w:pPr>
      <w:r>
        <w:rPr>
          <w:color w:val="auto"/>
          <w:highlight w:val="none"/>
        </w:rPr>
        <w:drawing>
          <wp:anchor distT="0" distB="0" distL="114300" distR="114300" simplePos="0" relativeHeight="251663360" behindDoc="0" locked="0" layoutInCell="1" allowOverlap="0">
            <wp:simplePos x="0" y="0"/>
            <wp:positionH relativeFrom="column">
              <wp:posOffset>4445</wp:posOffset>
            </wp:positionH>
            <wp:positionV relativeFrom="paragraph">
              <wp:posOffset>148590</wp:posOffset>
            </wp:positionV>
            <wp:extent cx="7562850" cy="1838325"/>
            <wp:effectExtent l="0" t="0" r="0" b="9525"/>
            <wp:wrapNone/>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5"/>
                    <pic:cNvPicPr>
                      <a:picLocks noChangeAspect="1"/>
                    </pic:cNvPicPr>
                  </pic:nvPicPr>
                  <pic:blipFill>
                    <a:blip r:embed="rId25"/>
                    <a:stretch>
                      <a:fillRect/>
                    </a:stretch>
                  </pic:blipFill>
                  <pic:spPr>
                    <a:xfrm>
                      <a:off x="0" y="0"/>
                      <a:ext cx="7562850" cy="1838325"/>
                    </a:xfrm>
                    <a:prstGeom prst="rect">
                      <a:avLst/>
                    </a:prstGeom>
                    <a:noFill/>
                    <a:ln>
                      <a:noFill/>
                    </a:ln>
                  </pic:spPr>
                </pic:pic>
              </a:graphicData>
            </a:graphic>
          </wp:anchor>
        </w:drawing>
      </w:r>
    </w:p>
    <w:p>
      <w:pPr>
        <w:snapToGrid w:val="0"/>
        <w:spacing w:line="440" w:lineRule="exact"/>
        <w:ind w:left="-197" w:leftChars="-94"/>
        <w:jc w:val="center"/>
        <w:rPr>
          <w:rFonts w:ascii="宋体" w:hAnsi="宋体"/>
          <w:color w:val="auto"/>
          <w:highlight w:val="none"/>
        </w:rPr>
        <w:sectPr>
          <w:headerReference r:id="rId14" w:type="first"/>
          <w:footerReference r:id="rId17" w:type="first"/>
          <w:headerReference r:id="rId12" w:type="default"/>
          <w:footerReference r:id="rId15" w:type="default"/>
          <w:headerReference r:id="rId13" w:type="even"/>
          <w:footerReference r:id="rId16" w:type="even"/>
          <w:pgSz w:w="11906" w:h="16838"/>
          <w:pgMar w:top="0" w:right="0" w:bottom="0" w:left="0" w:header="4" w:footer="851" w:gutter="284"/>
          <w:cols w:space="720" w:num="1"/>
          <w:docGrid w:type="lines" w:linePitch="408" w:charSpace="0"/>
        </w:sectPr>
      </w:pPr>
    </w:p>
    <w:p>
      <w:pPr>
        <w:snapToGrid w:val="0"/>
        <w:spacing w:line="440" w:lineRule="exact"/>
        <w:jc w:val="center"/>
        <w:rPr>
          <w:rFonts w:ascii="宋体" w:hAnsi="宋体"/>
          <w:b/>
          <w:bCs/>
          <w:color w:val="auto"/>
          <w:sz w:val="28"/>
          <w:szCs w:val="28"/>
          <w:highlight w:val="none"/>
        </w:rPr>
      </w:pPr>
      <w:r>
        <w:rPr>
          <w:rFonts w:hint="eastAsia" w:ascii="宋体" w:hAnsi="宋体"/>
          <w:b/>
          <w:color w:val="auto"/>
          <w:sz w:val="28"/>
          <w:szCs w:val="28"/>
          <w:highlight w:val="none"/>
        </w:rPr>
        <w:t>第一部分</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协议书</w:t>
      </w:r>
    </w:p>
    <w:p>
      <w:pPr>
        <w:snapToGrid w:val="0"/>
        <w:spacing w:line="440" w:lineRule="exact"/>
        <w:ind w:firstLine="480"/>
        <w:rPr>
          <w:rFonts w:hint="eastAsia" w:ascii="宋体" w:hAnsi="宋体"/>
          <w:color w:val="auto"/>
          <w:sz w:val="24"/>
          <w:highlight w:val="none"/>
        </w:rPr>
      </w:pP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发包人（甲方）：</w:t>
      </w:r>
    </w:p>
    <w:p>
      <w:pPr>
        <w:snapToGrid w:val="0"/>
        <w:spacing w:line="440" w:lineRule="exact"/>
        <w:ind w:firstLine="480"/>
        <w:rPr>
          <w:rFonts w:ascii="宋体" w:hAnsi="宋体"/>
          <w:color w:val="auto"/>
          <w:sz w:val="24"/>
          <w:highlight w:val="none"/>
          <w:u w:val="single"/>
        </w:rPr>
      </w:pPr>
      <w:r>
        <w:rPr>
          <w:rFonts w:hint="eastAsia" w:ascii="宋体" w:hAnsi="宋体"/>
          <w:color w:val="auto"/>
          <w:sz w:val="24"/>
          <w:highlight w:val="none"/>
        </w:rPr>
        <w:t>承包人（乙方）：</w:t>
      </w:r>
    </w:p>
    <w:p>
      <w:pPr>
        <w:pStyle w:val="55"/>
        <w:snapToGrid w:val="0"/>
        <w:spacing w:line="440" w:lineRule="exact"/>
        <w:rPr>
          <w:rFonts w:ascii="宋体" w:hAnsi="宋体"/>
          <w:color w:val="auto"/>
          <w:szCs w:val="24"/>
          <w:highlight w:val="none"/>
        </w:rPr>
      </w:pPr>
      <w:r>
        <w:rPr>
          <w:rFonts w:hint="eastAsia" w:ascii="宋体" w:hAnsi="宋体"/>
          <w:color w:val="auto"/>
          <w:szCs w:val="24"/>
          <w:highlight w:val="none"/>
        </w:rPr>
        <w:t>依照《中华人民共和国民法典》、《中华人民共和国建筑法》及其他有关法律、行政法规，遵循平等、自愿、公平和诚实信用的原则，双方就本建设工程施工事项协商一致，订立本合同。</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一、工程概况</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工程名称：</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工程地点：</w:t>
      </w:r>
      <w:r>
        <w:rPr>
          <w:rFonts w:hint="eastAsia" w:ascii="宋体" w:hAnsi="宋体"/>
          <w:color w:val="auto"/>
          <w:sz w:val="24"/>
          <w:highlight w:val="none"/>
          <w:u w:val="single"/>
          <w:lang w:val="en-US" w:eastAsia="zh-CN"/>
        </w:rPr>
        <w:t xml:space="preserve">              </w:t>
      </w:r>
      <w:r>
        <w:rPr>
          <w:rFonts w:hint="eastAsia" w:ascii="宋体" w:hAnsi="宋体"/>
          <w:bCs/>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工程内容：</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。具体内容以施工图纸及工程量清单为准。</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u w:val="single"/>
        </w:rPr>
        <w:t>建设业主有权根据工程实施情况，对承包人的承包范围和承包工程量进行适当调整</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工程立项批准文号：</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napToGrid w:val="0"/>
        <w:spacing w:line="440" w:lineRule="exact"/>
        <w:ind w:firstLine="480"/>
        <w:jc w:val="left"/>
        <w:rPr>
          <w:rFonts w:ascii="宋体" w:hAnsi="宋体"/>
          <w:color w:val="auto"/>
          <w:sz w:val="24"/>
          <w:highlight w:val="none"/>
          <w:u w:val="single"/>
        </w:rPr>
      </w:pPr>
      <w:r>
        <w:rPr>
          <w:rFonts w:hint="eastAsia" w:ascii="宋体" w:hAnsi="宋体"/>
          <w:color w:val="auto"/>
          <w:sz w:val="24"/>
          <w:highlight w:val="none"/>
        </w:rPr>
        <w:t>资金来源：</w:t>
      </w:r>
      <w:r>
        <w:rPr>
          <w:rFonts w:hint="eastAsia" w:ascii="宋体" w:hAnsi="宋体"/>
          <w:color w:val="auto"/>
          <w:sz w:val="24"/>
          <w:highlight w:val="none"/>
          <w:u w:val="single"/>
        </w:rPr>
        <w:t>财政投资</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二、工程承包范围及承包方式</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（一）承包范围：</w:t>
      </w:r>
      <w:r>
        <w:rPr>
          <w:rFonts w:hint="eastAsia" w:ascii="宋体" w:hAnsi="宋体"/>
          <w:color w:val="auto"/>
          <w:sz w:val="24"/>
          <w:highlight w:val="none"/>
          <w:u w:val="single"/>
        </w:rPr>
        <w:t>按发包人确认的施工图纸、图纸会审纪录和有关变更文件、资料、招标文件、承包人投标文件以及双方签订的有关协议所包含的内容</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（二）承包方式：</w:t>
      </w:r>
      <w:r>
        <w:rPr>
          <w:rFonts w:ascii="宋体" w:hAnsi="宋体"/>
          <w:color w:val="auto"/>
          <w:sz w:val="24"/>
          <w:highlight w:val="none"/>
          <w:u w:val="single"/>
        </w:rPr>
        <w:t>包工、包料、包工期、包质量、包安全、包文</w:t>
      </w:r>
      <w:r>
        <w:rPr>
          <w:rFonts w:hint="eastAsia" w:ascii="宋体" w:hAnsi="宋体"/>
          <w:color w:val="auto"/>
          <w:sz w:val="24"/>
          <w:highlight w:val="none"/>
          <w:u w:val="single"/>
        </w:rPr>
        <w:t>明施工、包验收、包保修、综合单价包干，</w:t>
      </w:r>
      <w:r>
        <w:rPr>
          <w:rFonts w:ascii="宋体" w:hAnsi="宋体"/>
          <w:color w:val="auto"/>
          <w:sz w:val="24"/>
          <w:highlight w:val="none"/>
          <w:u w:val="single"/>
        </w:rPr>
        <w:t>措施项目费（除施工围蔽费用外）包干，施工围蔽清单综合单价包干，工程量按实计量</w:t>
      </w:r>
      <w:r>
        <w:rPr>
          <w:rFonts w:hint="eastAsia" w:ascii="宋体" w:hAnsi="宋体"/>
          <w:color w:val="auto"/>
          <w:sz w:val="24"/>
          <w:highlight w:val="none"/>
        </w:rPr>
        <w:t>。</w:t>
      </w:r>
    </w:p>
    <w:p>
      <w:pPr>
        <w:snapToGrid w:val="0"/>
        <w:spacing w:line="440" w:lineRule="exact"/>
        <w:ind w:firstLine="482" w:firstLineChars="200"/>
        <w:rPr>
          <w:rFonts w:ascii="宋体" w:hAnsi="宋体"/>
          <w:b/>
          <w:bCs/>
          <w:color w:val="auto"/>
          <w:sz w:val="24"/>
          <w:highlight w:val="none"/>
          <w:u w:val="single"/>
        </w:rPr>
      </w:pPr>
      <w:r>
        <w:rPr>
          <w:rFonts w:hint="eastAsia" w:ascii="宋体" w:hAnsi="宋体"/>
          <w:b/>
          <w:bCs/>
          <w:color w:val="auto"/>
          <w:sz w:val="24"/>
          <w:highlight w:val="none"/>
        </w:rPr>
        <w:t>三、合同工期</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暂定开工日期：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snapToGrid w:val="0"/>
        <w:spacing w:line="440" w:lineRule="exact"/>
        <w:ind w:left="480"/>
        <w:rPr>
          <w:rFonts w:ascii="宋体" w:hAnsi="宋体"/>
          <w:color w:val="auto"/>
          <w:sz w:val="24"/>
          <w:highlight w:val="none"/>
          <w:u w:val="single"/>
        </w:rPr>
      </w:pPr>
      <w:r>
        <w:rPr>
          <w:rFonts w:hint="eastAsia" w:ascii="宋体" w:hAnsi="宋体"/>
          <w:color w:val="auto"/>
          <w:sz w:val="24"/>
          <w:highlight w:val="none"/>
        </w:rPr>
        <w:t>暂定竣工日期：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snapToGrid w:val="0"/>
        <w:spacing w:line="440" w:lineRule="exact"/>
        <w:ind w:left="480"/>
        <w:rPr>
          <w:rFonts w:ascii="宋体" w:hAnsi="宋体"/>
          <w:dstrike/>
          <w:color w:val="auto"/>
          <w:sz w:val="24"/>
          <w:highlight w:val="none"/>
        </w:rPr>
      </w:pPr>
      <w:r>
        <w:rPr>
          <w:rFonts w:hint="eastAsia" w:ascii="宋体" w:hAnsi="宋体"/>
          <w:color w:val="auto"/>
          <w:sz w:val="24"/>
          <w:highlight w:val="none"/>
        </w:rPr>
        <w:t>合同工期为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日历天。</w:t>
      </w:r>
      <w:r>
        <w:rPr>
          <w:rFonts w:hint="eastAsia" w:ascii="宋体" w:hAnsi="宋体"/>
          <w:strike w:val="0"/>
          <w:dstrike w:val="0"/>
          <w:color w:val="auto"/>
          <w:sz w:val="24"/>
          <w:highlight w:val="none"/>
        </w:rPr>
        <w:t>实际开工日期以批准的开工报告为准。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四、质量标准</w:t>
      </w:r>
    </w:p>
    <w:p>
      <w:pPr>
        <w:pStyle w:val="40"/>
        <w:snapToGrid w:val="0"/>
        <w:spacing w:line="4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施工要求：符合设计图纸要求和国家、省、市相关法律法规规定要求及行业工程质量标准，</w:t>
      </w:r>
      <w:r>
        <w:rPr>
          <w:rFonts w:hint="eastAsia" w:ascii="宋体" w:hAnsi="宋体" w:eastAsia="宋体" w:cs="宋体"/>
          <w:color w:val="auto"/>
          <w:sz w:val="24"/>
          <w:highlight w:val="none"/>
          <w:u w:val="single"/>
        </w:rPr>
        <w:t>且达到投标承诺的</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标准</w:t>
      </w:r>
      <w:r>
        <w:rPr>
          <w:rFonts w:hint="eastAsia" w:ascii="宋体" w:hAnsi="宋体" w:eastAsia="宋体" w:cs="宋体"/>
          <w:color w:val="auto"/>
          <w:sz w:val="24"/>
          <w:highlight w:val="none"/>
        </w:rPr>
        <w:t>。</w:t>
      </w:r>
    </w:p>
    <w:p>
      <w:pPr>
        <w:spacing w:line="400" w:lineRule="exact"/>
        <w:ind w:firstLine="480" w:firstLineChars="200"/>
        <w:rPr>
          <w:rFonts w:ascii="宋体" w:hAnsi="宋体"/>
          <w:color w:val="auto"/>
          <w:kern w:val="0"/>
          <w:sz w:val="24"/>
          <w:highlight w:val="none"/>
          <w:u w:val="single"/>
        </w:rPr>
      </w:pPr>
      <w:r>
        <w:rPr>
          <w:rFonts w:hint="eastAsia" w:ascii="宋体" w:hAnsi="宋体"/>
          <w:color w:val="auto"/>
          <w:kern w:val="0"/>
          <w:sz w:val="24"/>
          <w:highlight w:val="none"/>
        </w:rPr>
        <w:t>工程质量标准</w:t>
      </w:r>
      <w:r>
        <w:rPr>
          <w:rFonts w:hint="eastAsia" w:ascii="宋体" w:hAnsi="宋体"/>
          <w:color w:val="auto"/>
          <w:kern w:val="0"/>
          <w:sz w:val="24"/>
          <w:highlight w:val="none"/>
          <w:u w:val="single"/>
        </w:rPr>
        <w:t>：合格，且达到投标承诺的</w:t>
      </w:r>
      <w:r>
        <w:rPr>
          <w:rFonts w:hint="eastAsia" w:ascii="宋体" w:hAnsi="宋体"/>
          <w:color w:val="auto"/>
          <w:kern w:val="0"/>
          <w:sz w:val="24"/>
          <w:highlight w:val="none"/>
          <w:u w:val="single"/>
          <w:lang w:val="en-US" w:eastAsia="zh-CN"/>
        </w:rPr>
        <w:t xml:space="preserve">            </w:t>
      </w:r>
      <w:r>
        <w:rPr>
          <w:rFonts w:hint="eastAsia" w:ascii="宋体" w:hAnsi="宋体"/>
          <w:color w:val="auto"/>
          <w:kern w:val="0"/>
          <w:sz w:val="24"/>
          <w:highlight w:val="none"/>
          <w:u w:val="single"/>
        </w:rPr>
        <w:t>标准。</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五、合同价款</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rPr>
        <w:t>合同价款暂定为￥</w:t>
      </w:r>
      <w:r>
        <w:rPr>
          <w:rFonts w:hint="eastAsia" w:ascii="宋体" w:hAnsi="宋体"/>
          <w:bCs/>
          <w:snapToGrid w:val="0"/>
          <w:color w:val="auto"/>
          <w:kern w:val="0"/>
          <w:sz w:val="24"/>
          <w:highlight w:val="none"/>
          <w:u w:val="single"/>
          <w:lang w:val="en-US" w:eastAsia="zh-CN"/>
        </w:rPr>
        <w:t xml:space="preserve">      </w:t>
      </w:r>
      <w:r>
        <w:rPr>
          <w:rFonts w:hint="eastAsia" w:ascii="宋体" w:hAnsi="宋体"/>
          <w:bCs/>
          <w:snapToGrid w:val="0"/>
          <w:color w:val="auto"/>
          <w:kern w:val="0"/>
          <w:sz w:val="24"/>
          <w:highlight w:val="none"/>
        </w:rPr>
        <w:t>元（大写：人民币），其中绿色施工安全防护措施费为元、暂列金额为</w:t>
      </w:r>
      <w:r>
        <w:rPr>
          <w:rFonts w:hint="eastAsia" w:ascii="宋体" w:hAnsi="宋体"/>
          <w:bCs/>
          <w:snapToGrid w:val="0"/>
          <w:color w:val="auto"/>
          <w:kern w:val="0"/>
          <w:sz w:val="24"/>
          <w:highlight w:val="none"/>
          <w:u w:val="single"/>
          <w:lang w:val="en-US" w:eastAsia="zh-CN"/>
        </w:rPr>
        <w:t xml:space="preserve">       </w:t>
      </w:r>
      <w:r>
        <w:rPr>
          <w:rFonts w:hint="eastAsia" w:ascii="宋体" w:hAnsi="宋体"/>
          <w:bCs/>
          <w:snapToGrid w:val="0"/>
          <w:color w:val="auto"/>
          <w:kern w:val="0"/>
          <w:sz w:val="24"/>
          <w:highlight w:val="none"/>
        </w:rPr>
        <w:t>元，人工费</w:t>
      </w:r>
      <w:r>
        <w:rPr>
          <w:rFonts w:hint="eastAsia" w:ascii="宋体" w:hAnsi="宋体"/>
          <w:bCs/>
          <w:snapToGrid w:val="0"/>
          <w:color w:val="auto"/>
          <w:kern w:val="0"/>
          <w:sz w:val="24"/>
          <w:highlight w:val="none"/>
          <w:u w:val="single"/>
          <w:lang w:val="en-US" w:eastAsia="zh-CN"/>
        </w:rPr>
        <w:t xml:space="preserve">     </w:t>
      </w:r>
      <w:r>
        <w:rPr>
          <w:rFonts w:hint="eastAsia" w:ascii="宋体" w:hAnsi="宋体"/>
          <w:bCs/>
          <w:snapToGrid w:val="0"/>
          <w:color w:val="auto"/>
          <w:kern w:val="0"/>
          <w:sz w:val="24"/>
          <w:highlight w:val="none"/>
        </w:rPr>
        <w:t>元，工人工资比例为</w:t>
      </w:r>
      <w:r>
        <w:rPr>
          <w:rFonts w:hint="eastAsia" w:ascii="宋体" w:hAnsi="宋体"/>
          <w:bCs/>
          <w:snapToGrid w:val="0"/>
          <w:color w:val="auto"/>
          <w:kern w:val="0"/>
          <w:sz w:val="24"/>
          <w:highlight w:val="none"/>
          <w:u w:val="single"/>
          <w:lang w:val="en-US" w:eastAsia="zh-CN"/>
        </w:rPr>
        <w:t xml:space="preserve">     </w:t>
      </w:r>
      <w:r>
        <w:rPr>
          <w:rFonts w:hint="eastAsia" w:ascii="宋体" w:hAnsi="宋体"/>
          <w:bCs/>
          <w:snapToGrid w:val="0"/>
          <w:color w:val="auto"/>
          <w:kern w:val="0"/>
          <w:sz w:val="24"/>
          <w:highlight w:val="none"/>
        </w:rPr>
        <w:t>。</w:t>
      </w:r>
    </w:p>
    <w:p>
      <w:pPr>
        <w:spacing w:line="440" w:lineRule="exact"/>
        <w:ind w:firstLine="480" w:firstLineChars="200"/>
        <w:rPr>
          <w:rFonts w:ascii="宋体" w:hAnsi="宋体"/>
          <w:bCs/>
          <w:snapToGrid w:val="0"/>
          <w:color w:val="auto"/>
          <w:kern w:val="0"/>
          <w:sz w:val="24"/>
          <w:highlight w:val="none"/>
        </w:rPr>
      </w:pPr>
      <w:r>
        <w:rPr>
          <w:rFonts w:hint="eastAsia" w:ascii="宋体" w:hAnsi="宋体"/>
          <w:bCs/>
          <w:snapToGrid w:val="0"/>
          <w:color w:val="auto"/>
          <w:kern w:val="0"/>
          <w:sz w:val="24"/>
          <w:highlight w:val="none"/>
          <w:u w:val="single"/>
        </w:rPr>
        <w:t>工程结算价款以广州开发区财政局审定结算为准</w:t>
      </w:r>
      <w:r>
        <w:rPr>
          <w:rFonts w:hint="eastAsia" w:ascii="宋体" w:hAnsi="宋体"/>
          <w:bCs/>
          <w:snapToGrid w:val="0"/>
          <w:color w:val="auto"/>
          <w:kern w:val="0"/>
          <w:sz w:val="24"/>
          <w:highlight w:val="none"/>
        </w:rPr>
        <w:t>。如遇审计部门审计发现本合同结算价款存在超付的情形，发包人有权据实要求承包人返还该部分款项。</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六、组成合同的文件</w:t>
      </w:r>
    </w:p>
    <w:p>
      <w:pPr>
        <w:spacing w:line="440" w:lineRule="exact"/>
        <w:ind w:firstLine="444" w:firstLineChars="185"/>
        <w:rPr>
          <w:rFonts w:ascii="宋体" w:hAnsi="宋体"/>
          <w:color w:val="auto"/>
          <w:sz w:val="24"/>
          <w:highlight w:val="none"/>
        </w:rPr>
      </w:pPr>
      <w:r>
        <w:rPr>
          <w:rFonts w:hint="eastAsia" w:ascii="宋体" w:hAnsi="宋体"/>
          <w:color w:val="auto"/>
          <w:sz w:val="24"/>
          <w:highlight w:val="none"/>
        </w:rPr>
        <w:t>组成本合同的文件包括：</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1.本合同履行期间发包人与承包人双方签订的补充合同（协议）或修正文件；</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2.本合同协议书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3.国家、广东省、广州市、广州开发区、</w:t>
      </w:r>
      <w:r>
        <w:rPr>
          <w:rFonts w:hint="eastAsia" w:ascii="宋体" w:hAnsi="宋体"/>
          <w:color w:val="auto"/>
          <w:sz w:val="24"/>
          <w:highlight w:val="none"/>
        </w:rPr>
        <w:t>黄埔</w:t>
      </w:r>
      <w:r>
        <w:rPr>
          <w:rFonts w:ascii="宋体" w:hAnsi="宋体"/>
          <w:color w:val="auto"/>
          <w:sz w:val="24"/>
          <w:highlight w:val="none"/>
        </w:rPr>
        <w:t>区关于本工程施工的有关文件（发包人在收到后尽快通报给承包人）；</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建设业主</w:t>
      </w:r>
      <w:r>
        <w:rPr>
          <w:rFonts w:ascii="宋体" w:hAnsi="宋体"/>
          <w:color w:val="auto"/>
          <w:sz w:val="24"/>
          <w:highlight w:val="none"/>
        </w:rPr>
        <w:t>针对本工程建设管理的各项制度、规定；</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5.中标通知书</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6.本合同专用条款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7.招标文件及附件（包括补充、修改、澄清文件及答疑纪要等）</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8.本合同通用条款</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9.投标文件及附件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10.标准、规范和其他有关技术文件</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11.图纸</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12.工程量清单</w:t>
      </w:r>
      <w:r>
        <w:rPr>
          <w:rFonts w:hint="eastAsia" w:ascii="宋体" w:hAnsi="宋体"/>
          <w:color w:val="auto"/>
          <w:sz w:val="24"/>
          <w:highlight w:val="none"/>
        </w:rPr>
        <w:t>；</w:t>
      </w:r>
    </w:p>
    <w:p>
      <w:pPr>
        <w:spacing w:line="440" w:lineRule="exact"/>
        <w:ind w:firstLine="444" w:firstLineChars="185"/>
        <w:rPr>
          <w:rFonts w:ascii="宋体" w:hAnsi="宋体"/>
          <w:color w:val="auto"/>
          <w:sz w:val="24"/>
          <w:highlight w:val="none"/>
        </w:rPr>
      </w:pPr>
      <w:r>
        <w:rPr>
          <w:rFonts w:ascii="宋体" w:hAnsi="宋体"/>
          <w:color w:val="auto"/>
          <w:sz w:val="24"/>
          <w:highlight w:val="none"/>
        </w:rPr>
        <w:t>13.合同附件（工程质量保修责任书、</w:t>
      </w:r>
      <w:r>
        <w:rPr>
          <w:rFonts w:hint="eastAsia" w:ascii="宋体" w:hAnsi="宋体"/>
          <w:color w:val="auto"/>
          <w:sz w:val="24"/>
          <w:highlight w:val="none"/>
        </w:rPr>
        <w:t>标函承诺书、项目负责人驻场承诺书、工程建设廉政协议书等）；</w:t>
      </w:r>
    </w:p>
    <w:p>
      <w:pPr>
        <w:pStyle w:val="56"/>
        <w:spacing w:line="440" w:lineRule="exact"/>
        <w:ind w:left="0" w:firstLine="480" w:firstLineChars="200"/>
        <w:rPr>
          <w:rFonts w:ascii="宋体" w:hAnsi="宋体" w:eastAsia="宋体"/>
          <w:color w:val="auto"/>
          <w:sz w:val="24"/>
          <w:highlight w:val="none"/>
        </w:rPr>
      </w:pPr>
      <w:r>
        <w:rPr>
          <w:rFonts w:hint="eastAsia" w:ascii="宋体" w:hAnsi="宋体" w:eastAsia="宋体"/>
          <w:color w:val="auto"/>
          <w:sz w:val="24"/>
          <w:highlight w:val="none"/>
        </w:rPr>
        <w:t>双方有关工程的洽商、变更等书面协议或文件视为本合同的组成部分。</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七、协议书中有关词语含义与本合同第二部分《通用条款》中分别赋予它们的定义相同。</w:t>
      </w:r>
    </w:p>
    <w:p>
      <w:pPr>
        <w:snapToGrid w:val="0"/>
        <w:spacing w:line="440" w:lineRule="exact"/>
        <w:ind w:firstLine="482" w:firstLineChars="200"/>
        <w:rPr>
          <w:rFonts w:ascii="宋体" w:hAnsi="宋体"/>
          <w:bCs/>
          <w:color w:val="auto"/>
          <w:sz w:val="24"/>
          <w:highlight w:val="none"/>
        </w:rPr>
      </w:pPr>
      <w:r>
        <w:rPr>
          <w:rFonts w:hint="eastAsia" w:ascii="宋体" w:hAnsi="宋体"/>
          <w:b/>
          <w:bCs/>
          <w:color w:val="auto"/>
          <w:sz w:val="24"/>
          <w:highlight w:val="none"/>
        </w:rPr>
        <w:t>八、承包人向发包人承诺按照合同约定进行施工、竣工并在质量保修期内承担工程质量保修责任。</w:t>
      </w:r>
    </w:p>
    <w:p>
      <w:pPr>
        <w:snapToGrid w:val="0"/>
        <w:spacing w:line="440" w:lineRule="exact"/>
        <w:ind w:left="0" w:firstLine="482" w:firstLineChars="200"/>
        <w:rPr>
          <w:rFonts w:hint="eastAsia" w:ascii="宋体" w:hAnsi="宋体" w:cs="Times New Roman"/>
          <w:b/>
          <w:bCs/>
          <w:color w:val="auto"/>
          <w:sz w:val="24"/>
          <w:highlight w:val="none"/>
        </w:rPr>
      </w:pPr>
      <w:r>
        <w:rPr>
          <w:rFonts w:hint="eastAsia" w:ascii="宋体" w:hAnsi="宋体"/>
          <w:b/>
          <w:bCs/>
          <w:color w:val="auto"/>
          <w:sz w:val="24"/>
          <w:highlight w:val="none"/>
        </w:rPr>
        <w:t>九、发包人向承包人承诺按照合同约定的期限和方式支付合同价款及其他应当支付的款项。</w:t>
      </w:r>
    </w:p>
    <w:p>
      <w:pPr>
        <w:snapToGrid w:val="0"/>
        <w:spacing w:line="440" w:lineRule="exact"/>
        <w:ind w:firstLine="482" w:firstLineChars="200"/>
        <w:rPr>
          <w:rFonts w:hint="eastAsia" w:ascii="宋体" w:hAnsi="宋体"/>
          <w:b/>
          <w:bCs/>
          <w:color w:val="auto"/>
          <w:sz w:val="24"/>
          <w:highlight w:val="none"/>
        </w:rPr>
      </w:pPr>
      <w:r>
        <w:rPr>
          <w:rFonts w:hint="eastAsia" w:ascii="宋体" w:hAnsi="宋体"/>
          <w:b/>
          <w:bCs/>
          <w:color w:val="FF0000"/>
          <w:sz w:val="24"/>
          <w:lang w:eastAsia="zh-CN"/>
        </w:rPr>
        <w:t>十、</w:t>
      </w:r>
      <w:bookmarkStart w:id="33" w:name="_Toc566321861"/>
      <w:r>
        <w:rPr>
          <w:rFonts w:hint="eastAsia" w:ascii="宋体" w:hAnsi="宋体"/>
          <w:b/>
          <w:bCs/>
          <w:color w:val="FF0000"/>
          <w:sz w:val="24"/>
          <w:lang w:eastAsia="zh-CN"/>
        </w:rPr>
        <w:t>承包人在本项目中存在《广州开发区财政投资建设项目管理中心拒绝投标资格惩戒措施清单》应予惩戒事实情形的，将被拒绝一定时期内参与发包人后续工程投标。</w:t>
      </w:r>
      <w:bookmarkEnd w:id="33"/>
      <w:r>
        <w:rPr>
          <w:rFonts w:hint="eastAsia" w:ascii="宋体" w:hAnsi="宋体"/>
          <w:b/>
          <w:bCs/>
          <w:color w:val="FF0000"/>
          <w:sz w:val="24"/>
          <w:lang w:eastAsia="zh-CN"/>
        </w:rPr>
        <w:t>惩戒期限3个月起，情形严重的，可视严重程度延长对承包人的拒绝投标时限，最长不超过3年。</w:t>
      </w:r>
    </w:p>
    <w:p>
      <w:pPr>
        <w:snapToGrid w:val="0"/>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w:t>
      </w:r>
      <w:r>
        <w:rPr>
          <w:rFonts w:hint="eastAsia" w:ascii="宋体" w:hAnsi="宋体"/>
          <w:b/>
          <w:bCs/>
          <w:color w:val="auto"/>
          <w:sz w:val="24"/>
          <w:highlight w:val="none"/>
          <w:lang w:eastAsia="zh-CN"/>
        </w:rPr>
        <w:t>一</w:t>
      </w:r>
      <w:r>
        <w:rPr>
          <w:rFonts w:hint="eastAsia" w:ascii="宋体" w:hAnsi="宋体"/>
          <w:b/>
          <w:bCs/>
          <w:color w:val="auto"/>
          <w:sz w:val="24"/>
          <w:highlight w:val="none"/>
        </w:rPr>
        <w:t>、合同生效</w:t>
      </w:r>
    </w:p>
    <w:p>
      <w:pPr>
        <w:snapToGrid w:val="0"/>
        <w:spacing w:line="440" w:lineRule="exact"/>
        <w:ind w:firstLine="482"/>
        <w:rPr>
          <w:rFonts w:ascii="宋体" w:hAnsi="宋体"/>
          <w:color w:val="auto"/>
          <w:sz w:val="24"/>
          <w:highlight w:val="none"/>
        </w:rPr>
      </w:pPr>
      <w:r>
        <w:rPr>
          <w:rFonts w:hint="eastAsia" w:ascii="宋体" w:hAnsi="宋体"/>
          <w:color w:val="auto"/>
          <w:sz w:val="24"/>
          <w:highlight w:val="none"/>
        </w:rPr>
        <w:t>合同订立时间：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合同订立地点：</w:t>
      </w:r>
      <w:r>
        <w:rPr>
          <w:rFonts w:hint="eastAsia" w:ascii="宋体" w:hAnsi="宋体"/>
          <w:color w:val="auto"/>
          <w:sz w:val="24"/>
          <w:highlight w:val="none"/>
          <w:u w:val="single"/>
        </w:rPr>
        <w:t>广州市黄埔区</w:t>
      </w:r>
    </w:p>
    <w:p>
      <w:pPr>
        <w:snapToGrid w:val="0"/>
        <w:spacing w:line="440" w:lineRule="exact"/>
        <w:ind w:firstLine="480"/>
        <w:rPr>
          <w:rFonts w:ascii="宋体" w:hAnsi="宋体"/>
          <w:color w:val="auto"/>
          <w:sz w:val="24"/>
          <w:highlight w:val="none"/>
        </w:rPr>
      </w:pPr>
      <w:r>
        <w:rPr>
          <w:rFonts w:hint="eastAsia" w:ascii="宋体" w:hAnsi="宋体"/>
          <w:color w:val="auto"/>
          <w:sz w:val="24"/>
          <w:highlight w:val="none"/>
        </w:rPr>
        <w:t>本合同双方约定：</w:t>
      </w:r>
      <w:r>
        <w:rPr>
          <w:rFonts w:hint="eastAsia" w:ascii="宋体" w:hAnsi="宋体"/>
          <w:color w:val="auto"/>
          <w:sz w:val="24"/>
          <w:highlight w:val="none"/>
          <w:u w:val="single"/>
        </w:rPr>
        <w:t>双方签名、盖章并在承包人提交履约担保</w:t>
      </w:r>
      <w:r>
        <w:rPr>
          <w:rFonts w:hint="eastAsia" w:ascii="宋体" w:hAnsi="宋体"/>
          <w:color w:val="auto"/>
          <w:sz w:val="24"/>
          <w:highlight w:val="none"/>
        </w:rPr>
        <w:t>后生效。</w:t>
      </w:r>
    </w:p>
    <w:p>
      <w:pPr>
        <w:snapToGrid w:val="0"/>
        <w:spacing w:line="440" w:lineRule="exact"/>
        <w:rPr>
          <w:rFonts w:ascii="宋体" w:hAnsi="宋体"/>
          <w:color w:val="auto"/>
          <w:sz w:val="24"/>
          <w:highlight w:val="none"/>
        </w:rPr>
      </w:pPr>
      <w:r>
        <w:rPr>
          <w:rFonts w:ascii="宋体" w:hAnsi="宋体"/>
          <w:color w:val="auto"/>
          <w:sz w:val="24"/>
          <w:highlight w:val="none"/>
        </w:rPr>
        <w:br w:type="page"/>
      </w:r>
    </w:p>
    <w:tbl>
      <w:tblPr>
        <w:tblStyle w:val="31"/>
        <w:tblW w:w="0" w:type="auto"/>
        <w:tblInd w:w="0" w:type="dxa"/>
        <w:tblLayout w:type="fixed"/>
        <w:tblCellMar>
          <w:top w:w="0" w:type="dxa"/>
          <w:left w:w="108" w:type="dxa"/>
          <w:bottom w:w="0" w:type="dxa"/>
          <w:right w:w="108" w:type="dxa"/>
        </w:tblCellMar>
      </w:tblPr>
      <w:tblGrid>
        <w:gridCol w:w="4839"/>
        <w:gridCol w:w="4297"/>
      </w:tblGrid>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发包人：（公章）</w:t>
            </w:r>
          </w:p>
        </w:tc>
        <w:tc>
          <w:tcPr>
            <w:tcW w:w="4297" w:type="dxa"/>
            <w:noWrap/>
          </w:tcPr>
          <w:p>
            <w:pPr>
              <w:snapToGrid w:val="0"/>
              <w:spacing w:line="440" w:lineRule="exact"/>
              <w:rPr>
                <w:rFonts w:ascii="宋体" w:hAnsi="宋体"/>
                <w:color w:val="auto"/>
                <w:sz w:val="24"/>
                <w:highlight w:val="none"/>
              </w:rPr>
            </w:pPr>
            <w:r>
              <w:rPr>
                <w:rFonts w:ascii="宋体" w:hAnsi="宋体"/>
                <w:color w:val="auto"/>
                <w:sz w:val="24"/>
                <w:highlight w:val="none"/>
              </w:rPr>
              <w:t>承包人：（公章）</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住所：</w:t>
            </w:r>
          </w:p>
        </w:tc>
        <w:tc>
          <w:tcPr>
            <w:tcW w:w="4297"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住所：</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c>
          <w:tcPr>
            <w:tcW w:w="4297" w:type="dxa"/>
            <w:noWrap/>
          </w:tcPr>
          <w:p>
            <w:pPr>
              <w:snapToGrid w:val="0"/>
              <w:spacing w:line="440" w:lineRule="exact"/>
              <w:rPr>
                <w:rFonts w:ascii="宋体" w:hAnsi="宋体"/>
                <w:color w:val="auto"/>
                <w:sz w:val="24"/>
                <w:highlight w:val="none"/>
              </w:rPr>
            </w:pPr>
            <w:r>
              <w:rPr>
                <w:rFonts w:ascii="宋体" w:hAnsi="宋体"/>
                <w:color w:val="auto"/>
                <w:sz w:val="24"/>
                <w:highlight w:val="none"/>
              </w:rPr>
              <w:t>法定代表人：</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c>
          <w:tcPr>
            <w:tcW w:w="4297"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委托代理人：</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电话：</w:t>
            </w:r>
          </w:p>
        </w:tc>
        <w:tc>
          <w:tcPr>
            <w:tcW w:w="4297"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电话：</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传真：</w:t>
            </w:r>
          </w:p>
        </w:tc>
        <w:tc>
          <w:tcPr>
            <w:tcW w:w="4297"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传真：</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c>
          <w:tcPr>
            <w:tcW w:w="4297"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开户银行：</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号：</w:t>
            </w:r>
          </w:p>
        </w:tc>
        <w:tc>
          <w:tcPr>
            <w:tcW w:w="4297"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帐</w:t>
            </w:r>
            <w:r>
              <w:rPr>
                <w:rFonts w:ascii="宋体" w:hAnsi="宋体"/>
                <w:color w:val="auto"/>
                <w:sz w:val="24"/>
                <w:highlight w:val="none"/>
              </w:rPr>
              <w:t>号：</w:t>
            </w:r>
          </w:p>
        </w:tc>
      </w:tr>
      <w:tr>
        <w:tblPrEx>
          <w:tblCellMar>
            <w:top w:w="0" w:type="dxa"/>
            <w:left w:w="108" w:type="dxa"/>
            <w:bottom w:w="0" w:type="dxa"/>
            <w:right w:w="108" w:type="dxa"/>
          </w:tblCellMar>
        </w:tblPrEx>
        <w:trPr>
          <w:trHeight w:val="1134" w:hRule="atLeast"/>
        </w:trPr>
        <w:tc>
          <w:tcPr>
            <w:tcW w:w="4839"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c>
          <w:tcPr>
            <w:tcW w:w="4297" w:type="dxa"/>
            <w:noWrap/>
          </w:tcPr>
          <w:p>
            <w:pPr>
              <w:snapToGrid w:val="0"/>
              <w:spacing w:line="440" w:lineRule="exact"/>
              <w:rPr>
                <w:rFonts w:ascii="宋体" w:hAnsi="宋体"/>
                <w:color w:val="auto"/>
                <w:sz w:val="24"/>
                <w:highlight w:val="none"/>
              </w:rPr>
            </w:pPr>
            <w:r>
              <w:rPr>
                <w:rFonts w:hint="eastAsia" w:ascii="宋体" w:hAnsi="宋体"/>
                <w:color w:val="auto"/>
                <w:sz w:val="24"/>
                <w:highlight w:val="none"/>
              </w:rPr>
              <w:t>邮政编码：</w:t>
            </w:r>
          </w:p>
        </w:tc>
      </w:tr>
    </w:tbl>
    <w:p>
      <w:pPr>
        <w:snapToGrid w:val="0"/>
        <w:spacing w:line="440" w:lineRule="exact"/>
        <w:ind w:firstLine="120" w:firstLineChars="50"/>
        <w:rPr>
          <w:rFonts w:ascii="宋体" w:hAnsi="宋体"/>
          <w:color w:val="auto"/>
          <w:sz w:val="24"/>
          <w:highlight w:val="none"/>
        </w:rPr>
      </w:pPr>
    </w:p>
    <w:p>
      <w:pPr>
        <w:snapToGrid w:val="0"/>
        <w:spacing w:line="440" w:lineRule="exact"/>
        <w:jc w:val="center"/>
        <w:rPr>
          <w:rFonts w:ascii="宋体" w:hAnsi="宋体"/>
          <w:color w:val="auto"/>
          <w:sz w:val="24"/>
          <w:highlight w:val="none"/>
        </w:rPr>
      </w:pPr>
      <w:r>
        <w:rPr>
          <w:rFonts w:ascii="宋体" w:hAnsi="宋体"/>
          <w:color w:val="auto"/>
          <w:sz w:val="24"/>
          <w:highlight w:val="none"/>
        </w:rPr>
        <w:br w:type="page"/>
      </w:r>
      <w:r>
        <w:rPr>
          <w:rFonts w:hint="eastAsia" w:ascii="宋体" w:hAnsi="宋体"/>
          <w:b/>
          <w:bCs/>
          <w:color w:val="auto"/>
          <w:sz w:val="28"/>
          <w:szCs w:val="28"/>
          <w:highlight w:val="none"/>
        </w:rPr>
        <w:t>第二部分</w:t>
      </w:r>
      <w:r>
        <w:rPr>
          <w:rFonts w:hint="eastAsia" w:ascii="宋体" w:hAnsi="宋体"/>
          <w:b/>
          <w:bCs/>
          <w:color w:val="auto"/>
          <w:sz w:val="28"/>
          <w:szCs w:val="28"/>
          <w:highlight w:val="none"/>
          <w:lang w:val="en-US" w:eastAsia="zh-CN"/>
        </w:rPr>
        <w:t xml:space="preserve">  </w:t>
      </w:r>
      <w:r>
        <w:rPr>
          <w:rFonts w:hint="eastAsia" w:ascii="宋体" w:hAnsi="宋体"/>
          <w:b/>
          <w:bCs/>
          <w:color w:val="auto"/>
          <w:sz w:val="28"/>
          <w:szCs w:val="28"/>
          <w:highlight w:val="none"/>
        </w:rPr>
        <w:t>通用条款</w:t>
      </w:r>
    </w:p>
    <w:p>
      <w:pPr>
        <w:spacing w:line="440" w:lineRule="exact"/>
        <w:jc w:val="center"/>
        <w:rPr>
          <w:rFonts w:ascii="宋体" w:hAnsi="宋体"/>
          <w:color w:val="auto"/>
          <w:sz w:val="24"/>
          <w:highlight w:val="none"/>
        </w:rPr>
      </w:pP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一、词语定义及合同文件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词语定义</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下列词语除专用条款另有约定外，应具有本条所赋予的定义：</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 通用条款：是根据法律、行政法规规定及建设工程施工的需要订立，通用于建设工程施工的条款。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 专用条款：是发包人与承包人根据法律、行政法规规定，结合具体工程实际，经协商达成一致意见的条款，是对通用条款的具体化、补充或修改。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1.3 发包人：指在协议书中约定，具有工程发包主体资格和支付工程价款能力的当事人以及取得该当事人资格的合法继承人。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 承包人：指在协议书中约定，被发包人接受的具有工程施工承包主体资格的当事人以及取得该当事人资格的合法继承人。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1.5 </w:t>
      </w:r>
      <w:r>
        <w:rPr>
          <w:rFonts w:hint="eastAsia" w:ascii="宋体" w:hAnsi="宋体"/>
          <w:color w:val="auto"/>
          <w:szCs w:val="21"/>
          <w:highlight w:val="none"/>
        </w:rPr>
        <w:t>项目负责人：指承包人在专用条款中指定的负责施工管理和合同履行的代表。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 设计单位：指发包人委托的负责本工程设计并取得相应工程设计资质等级证书的单位。</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1.7 监理单位：指发包人委托的负责本工程监理并取得相应在工程监理资质等级证书的单位。</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1.8 工程师：指本工程监理单位委派的总监理工程师或发包人指定的履行本合同的代表，其具体身份和职权由发包人承包人在专用条款中约定。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 工程造价管理部门：指国务院有关部门、县级以上人民政府建设行政主管部门或其委托的工程造价管理机构。</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1.10 工程：指发包人承包人在协议书中约定的承包范围内的工程。</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1.11 合同价款：指发包人承包人在协议书中约定，发包人用以支付承包人按照合同约定完成承包范围内全部工程并承担质量保修责任的款项。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1.12 追加合同价款：指在合同履行中发生需要增加合同价款的情况，经发包人确认后按计算合同价款的方法增加的合同价款。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1.13 </w:t>
      </w:r>
      <w:r>
        <w:rPr>
          <w:rFonts w:hint="eastAsia" w:ascii="宋体" w:hAnsi="宋体"/>
          <w:color w:val="auto"/>
          <w:szCs w:val="21"/>
          <w:highlight w:val="none"/>
        </w:rPr>
        <w:t>费用：指不包含在合同价款之内的应当由发包人或承包人承担的经济支出。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1.14 </w:t>
      </w:r>
      <w:r>
        <w:rPr>
          <w:rFonts w:hint="eastAsia" w:ascii="宋体" w:hAnsi="宋体"/>
          <w:color w:val="auto"/>
          <w:szCs w:val="21"/>
          <w:highlight w:val="none"/>
        </w:rPr>
        <w:t>工期：指发包人承包人在协议书中约定，按总日历天数（包括法定节假日）计算的承包天数。</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1.15 开工日期：指发包人承包人在协议书中约定，承包人开始施工的绝对或相对的日期。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1.16 竣工日期：指发包人承包人在协议书中约定，承包人完成承包范围内工程的绝对或相对的日期。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1.17 图纸：指由发包人提供或承包人提供并经发包人批准，满足承包人施工需要的所有图纸（包括配套说明和有关资料）。</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1.18 施工场地：指由发包人提供的用于工程施工的场所以及发包人在图纸中具体指定的供施工使用的任何其他场所。</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1.19 书面形式：指合同书、信件和数据电文（包括电报、电传、传真、电子数据交换和电子邮件）等可以有形地表现所载内容的形式。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1.20 违约责任：指合同一方不履行合同义务或履行合同义务不符合约定所应承担的责任。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1.21 索赔：指在合同履行过程中，对于并非自己的过错，而是应由对方承担责任的情况造成的实际损失，向对方提出经济补偿和（或）工期顺延的要求。</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1.22 不可抗力：指不能预见、不能避免并不能克服的客观情况。</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1.23 小时或天：本合同中规定按小时计算时间的，从事件有效开始时计算（不扣除休息时间）；规定按天计算时间的，开始当天不计入，从次日开始计算。时限的最后一天是休息日或者其他法定节假日的，以节假日次日为时限的最后一天，但竣工日期除外。时限的最后一天的截止时间为当日24小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2、合同文件及解释顺序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2.1 合同文件应能相互解释，互为说明。除专用条款另有约定外，组成本合同的文件及优先解释顺序如下：</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1）本合同协议书</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2）中标通知书</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3）投标书及其附件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4）本合同专用条款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5）本合同通用条款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6）标准、规范及有关技术文件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7）图纸</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8）工程量清单</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9）工程报价单或预算书</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合同履行中，发包人承包人有关工程的洽商、变更等书面协议或文件视为本合同的组成部分。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2.2当合同文件内容含糊不清或不相一致时，在不影响工程正常进行的情况下，由发包人承包人协商解决。双方也可以提请负责监理的工程师做出解释。双方协商不成或不同意负责监理的工程师的解释时，按本通用条款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3、语言文字和适用法律、标准及规范</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 语言文字</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本合同文件使用汉语语言文字书写、解释和说明。如专用条款约定使用两种以上（含两种）语言文字时，汉语应为解释和说明本合同的标准语言文字。</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在少数民族地区，双方可以约定使用少数民族语言文字书写和解释、说明本合同。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 适用法律和法规</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本合同文件适用国家的法律和行政法规。需要明示的法律、行政法规，由双方在专用条款中约定。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 适用标准、规范</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双方在专用条款内约定适用国家标准、规范和名称；没有国家标准、规范但有行业标准、规范的，约定适用行业标准、规范的名称；没有国家和行业标准、规范的，约定适用工程所在地地方标准、规范的名称。发包人应按专用条款约定的时间向承包人提供一式两份约定的标准、规范。</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国内没有相应标准、规范的，由发包人按专用条款约定的时间向承包人</w:t>
      </w:r>
      <w:r>
        <w:rPr>
          <w:rFonts w:hint="eastAsia" w:ascii="宋体" w:hAnsi="宋体"/>
          <w:color w:val="auto"/>
          <w:spacing w:val="4"/>
          <w:szCs w:val="21"/>
          <w:highlight w:val="none"/>
        </w:rPr>
        <w:t>提出施工技术要求，承包人按约定的时间和要求提出施工工艺，经发包人认</w:t>
      </w:r>
      <w:r>
        <w:rPr>
          <w:rFonts w:hint="eastAsia" w:ascii="宋体" w:hAnsi="宋体"/>
          <w:color w:val="auto"/>
          <w:szCs w:val="21"/>
          <w:highlight w:val="none"/>
        </w:rPr>
        <w:t>可后执行。发包人要求使用国外标准、规范的，应负责提供中文译本。</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本条所发生的购买、翻译标准、规范或制定施工工艺的费用，由发包人承担。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4、图纸</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4.1 </w:t>
      </w:r>
      <w:r>
        <w:rPr>
          <w:rFonts w:hint="eastAsia" w:ascii="宋体" w:hAnsi="宋体"/>
          <w:color w:val="auto"/>
          <w:szCs w:val="21"/>
          <w:highlight w:val="none"/>
        </w:rPr>
        <w:t>发包人应按专用条款约定的日期和套数，向承包人提供图纸。承包人需要增加图纸套数的，发包人应代为复制，复制费用由承包人承担。发包人对工程有保密要求的，应在专用条款中提出保密要求，保密措施费用由发包人承担，承包人在约定保密期限内履行保密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4.2 承包人未经发包人同意，不得将本工程图纸转给第三人。工程质量保修期满后，除承包人存档需要的图纸外，应将全部图纸退还给发包人。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4.3 承包人应在施工现场保留一套完整图纸，供工程师及有关人员进行工程检查时使用。</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二、双方一般权利和义务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5、工程师</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5.1实行工程监理的，发包人应在实施监理前将委托的监理单位名称、监理内容及监理权限以书面形式通知承包人。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5.2监理单位委派的总监理工程师在本合同中称工程师，其姓名、职务、职权由发包人承包人在专用条款内写明。工程师按合同约定行使职权，发包人在专用条款内要求工程师在行使某些职权前需要征得发包人批准的，工程师应征得发包人批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5.3 发包人派驻施工场地履行合同的代表在本合同中也称工程师，其姓名、职务、职权由发包人在专用条款内写明，但职权不得与监理单位委派的总监理工程师职权相互交叉。双方职权发生交叉或不明确时，由发包人予以明确，并以书面形式通知承包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5.4 </w:t>
      </w:r>
      <w:r>
        <w:rPr>
          <w:rFonts w:hint="eastAsia" w:ascii="宋体" w:hAnsi="宋体"/>
          <w:color w:val="auto"/>
          <w:szCs w:val="21"/>
          <w:highlight w:val="none"/>
        </w:rPr>
        <w:t>合同履行中，发生影响发包人承包人双方权利或义务的事件时，负责监理的工程师应依据合同在其职权范围内客观公正地进行处理。一方对工程师的处理有异议时，按本通用条款</w:t>
      </w:r>
      <w:r>
        <w:rPr>
          <w:rFonts w:ascii="宋体" w:hAnsi="宋体"/>
          <w:color w:val="auto"/>
          <w:szCs w:val="21"/>
          <w:highlight w:val="none"/>
        </w:rPr>
        <w:t>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5.5 </w:t>
      </w:r>
      <w:r>
        <w:rPr>
          <w:rFonts w:hint="eastAsia" w:ascii="宋体" w:hAnsi="宋体"/>
          <w:color w:val="auto"/>
          <w:szCs w:val="21"/>
          <w:highlight w:val="none"/>
        </w:rPr>
        <w:t>除合同内有明确约定或经发包人同意外，负责监理的工程师无权解除本合同约定的承包人的任何权利与义务。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5.6 不实行工程监理的，本合同中工程师专指发包人派驻施工现场履行合同的代表，其具体职权由发包人在专用条款中写明。</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6、工程师的委派和指令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6.1工程师可委派工程师代表，行使合同约定的自己的职权，并可在认为必要时撤回委派。委派和撤回均应提前7天以书面形式通知承包人，负责监理的工程师还应将委派和撤回通知发包人。委派书和撤回通知作为本合同附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工程师代表在工程师授权范围内向承包人发出的任何书面形式的函件，与工程师发出的函件具有同等效力。承包人对工程师代表向其发出的任何书面形式的函件有疑问时，可将此函件提交工程师，工程师应进行确认。工程师代表发出指令有失误时，工程师应进行纠正。</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除工程师或工程师代表外，发包人派驻工地的其他人员均无权向承包人发出任何指令。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6.2 </w:t>
      </w:r>
      <w:r>
        <w:rPr>
          <w:rFonts w:hint="eastAsia" w:ascii="宋体" w:hAnsi="宋体"/>
          <w:color w:val="auto"/>
          <w:szCs w:val="21"/>
          <w:highlight w:val="none"/>
        </w:rPr>
        <w:t>工程师的指令、通知由其本人签字后，以书面形式交给项目负责人，项目负责人在回执上签署姓名和收到时间后生效。确有必要时，工程师可发出口头指令，并在</w:t>
      </w:r>
      <w:r>
        <w:rPr>
          <w:rFonts w:ascii="宋体" w:hAnsi="宋体"/>
          <w:color w:val="auto"/>
          <w:szCs w:val="21"/>
          <w:highlight w:val="none"/>
        </w:rPr>
        <w:t>48小时内给予书面确认，承包人对工程师的指令应予执行。工程师不能及时给予书面确认的，承包人应于工程师发出口头指令后7天内提出书面确认要求。工程师在承包人提出确认要求后48小时内不予答复的，视为口头指令已被确认。</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承包人认为工程师指令不合理，应在收到指令后</w:t>
      </w:r>
      <w:r>
        <w:rPr>
          <w:rFonts w:ascii="宋体" w:hAnsi="宋体"/>
          <w:color w:val="auto"/>
          <w:szCs w:val="21"/>
          <w:highlight w:val="none"/>
        </w:rPr>
        <w:t>24小时内向工程师提出修改指令的书面报告，工程师在收到承包人报告后24小时内</w:t>
      </w:r>
      <w:r>
        <w:rPr>
          <w:rFonts w:hint="eastAsia" w:ascii="宋体" w:hAnsi="宋体"/>
          <w:color w:val="auto"/>
          <w:szCs w:val="21"/>
          <w:highlight w:val="none"/>
        </w:rPr>
        <w:t>作出修改指令或继续执行原指令的决定，并以书面形式通知承包人。紧急情况下，工程师要求承包人立即执行的指令或承包人虽有异议，但工程师决定仍继续执行的指令，承包人应予执行。因指令错误发生的追加合同价款和给承包人造成的损失由发包人承担，延误的工期相应顺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本款规定同样适用于由工程师代表发出的指令、通知。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6.3 </w:t>
      </w:r>
      <w:r>
        <w:rPr>
          <w:rFonts w:hint="eastAsia" w:ascii="宋体" w:hAnsi="宋体"/>
          <w:color w:val="auto"/>
          <w:szCs w:val="21"/>
          <w:highlight w:val="none"/>
        </w:rPr>
        <w:t>工程师应按合同约定，及时向承包人提供所需指令、批准并履行约定的</w:t>
      </w:r>
      <w:r>
        <w:rPr>
          <w:rFonts w:hint="eastAsia" w:ascii="宋体" w:hAnsi="宋体"/>
          <w:color w:val="auto"/>
          <w:spacing w:val="4"/>
          <w:szCs w:val="21"/>
          <w:highlight w:val="none"/>
        </w:rPr>
        <w:t>其他义务。由于工程师未能按合同约定履行义务造成工期延误，发包人应承</w:t>
      </w:r>
      <w:r>
        <w:rPr>
          <w:rFonts w:hint="eastAsia" w:ascii="宋体" w:hAnsi="宋体"/>
          <w:color w:val="auto"/>
          <w:szCs w:val="21"/>
          <w:highlight w:val="none"/>
        </w:rPr>
        <w:t>担延误造成的追加合同价款，并赔偿承包人有关损失，顺延延误的工期。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6.4 如需更换工程师，发包人应至少提前7天以书面形式通知承包人，后任继续行使合同文件约定的前任的职权，履行前任的义务。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项目负责人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7.1 </w:t>
      </w:r>
      <w:r>
        <w:rPr>
          <w:rFonts w:hint="eastAsia" w:ascii="宋体" w:hAnsi="宋体"/>
          <w:color w:val="auto"/>
          <w:szCs w:val="21"/>
          <w:highlight w:val="none"/>
        </w:rPr>
        <w:t>项目负责人的姓名、职务在专用条款内写明。</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7.2 </w:t>
      </w:r>
      <w:r>
        <w:rPr>
          <w:rFonts w:hint="eastAsia" w:ascii="宋体" w:hAnsi="宋体"/>
          <w:color w:val="auto"/>
          <w:szCs w:val="21"/>
          <w:highlight w:val="none"/>
        </w:rPr>
        <w:t>承包人依据合同发出的通知，以书面形式由项目负责人签字后送交工程师，工程师在回执上签署姓名和收到时间后生效。</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7.3 </w:t>
      </w:r>
      <w:r>
        <w:rPr>
          <w:rFonts w:hint="eastAsia" w:ascii="宋体" w:hAnsi="宋体"/>
          <w:color w:val="auto"/>
          <w:szCs w:val="21"/>
          <w:highlight w:val="none"/>
        </w:rPr>
        <w:t>项目负责人按发包人认可的施工组织设计（施工方案）和工程师依据合同发出的指令组织施工。在情况紧急且无法与工程师联系时，项目负责人应当采取保证人员生命和工程、财产安全的紧急措施，并在采取措施后</w:t>
      </w:r>
      <w:r>
        <w:rPr>
          <w:rFonts w:ascii="宋体" w:hAnsi="宋体"/>
          <w:color w:val="auto"/>
          <w:szCs w:val="21"/>
          <w:highlight w:val="none"/>
        </w:rPr>
        <w:t>48小时内向工程师送交报告。责任在发包人或第三人，由发包人承担由此发生的追加合同价款，相应顺延工期；责任在承包人，由承包人承担费用，不顺延工期。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7.4 </w:t>
      </w:r>
      <w:r>
        <w:rPr>
          <w:rFonts w:hint="eastAsia" w:ascii="宋体" w:hAnsi="宋体"/>
          <w:color w:val="auto"/>
          <w:szCs w:val="21"/>
          <w:highlight w:val="none"/>
        </w:rPr>
        <w:t>承包人如需更换项目负责人，应至少提前</w:t>
      </w:r>
      <w:r>
        <w:rPr>
          <w:rFonts w:ascii="宋体" w:hAnsi="宋体"/>
          <w:color w:val="auto"/>
          <w:szCs w:val="21"/>
          <w:highlight w:val="none"/>
        </w:rPr>
        <w:t>7天以书面形式通知发包人，并征得发包人同意。后任继续行使合同文件约定的前任的职权，履行前任的义务。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7.5 </w:t>
      </w:r>
      <w:r>
        <w:rPr>
          <w:rFonts w:hint="eastAsia" w:ascii="宋体" w:hAnsi="宋体"/>
          <w:color w:val="auto"/>
          <w:szCs w:val="21"/>
          <w:highlight w:val="none"/>
        </w:rPr>
        <w:t>发包人可以与承包人协商，建议更换其认为不称职的项目负责人。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8、发包人工作</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8.1 发包人按专用条款约定的内容和时间完成以下工作: </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办理土地征用、拆迁补偿、平整施工场地等工作，使施工场地具备施工条件，在开工后继续负责解决以上事项遗留问题；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将施工所需水、电、电讯线路从施工场地外部接至专用条款约定地点，保证施工期间的需要；</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开通施工场地与城乡公共道路的通道，以及专用条款约定的施工场地内的主要道路，满足施工运输的需要，保证施工期间的畅通。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向承包人提供施工场地的工程地质和地下管线资料，对资料的真实准确性负责；</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办理施工许可证及其他施工所需证件、批件和临时用地、停水、停电、中断道路交通、爆破作业等的申请批准文件（证明承包人自身资质的证件除外）；</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确定水准点与坐标控制点，以书面形式交给承包人，进行现场交验；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组织承包人和设计单位进行图纸会审和设计交底；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(8) 协调管理施工场地周围地下管线和邻近建筑物、构筑物（包括文物保护建筑）、古树名木的保护工作，承担有关费用；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 发包人应做的其他工作，双方在专用条款内约定。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8.2 发包人未履行8.1款各项义务，导致工期延误或给承包人造成损失的，发包人赔偿承包人有关损失，顺延延误的工期。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9、承包人工作</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9.1 承包人按专用条款约定的内容和时间完成以下工作：</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根据发包人委托，在其设计资质等级和业务允许的范围内，完成施工图设计或与工程配套的设计，经工程师确认后使用，发包人承担由此发生的费用；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向工程师提供年、季、月度工程进度计划及相应进度统计报表；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根据工程需要，提供和维修非夜间施工使用的照明、围栏设施，并负责安全保卫；</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按专用条款约定的数量和要求，向发包人提供施工场地办公和生活的房屋及设施，发包人承担由此发生的费用；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遵守政府有关主管部门对施工场地交通、施工噪音以及环境保护和安全生产等的管理规定，按规定办理有关手续，并以书面形式通知发包人，发包人承担由此发生的费用，因承包人责任造成的罚款除外；</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已竣工工程未交付发包人之前，承包人按专用条款约定负责已完工程的保护工作，保护期间发生损坏，承包人自费予以修复；发包人要求承包人采取特殊措施保护的工程部位和相应的追加合同价款，双方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按专用条款约定做好施工场地地下管线和邻近建筑物、构筑物（包括文物保护建筑）、古树名木的保护工作；</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保证施工场地清洁符合环境卫生管理的有关规定，交工前清理现场达到专用条款约定的要求，承担因自身原因违反有关规定造成的损失和罚款；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w:t>
      </w:r>
      <w:r>
        <w:rPr>
          <w:rFonts w:hint="eastAsia" w:ascii="宋体" w:hAnsi="宋体"/>
          <w:color w:val="auto"/>
          <w:spacing w:val="-6"/>
          <w:szCs w:val="21"/>
          <w:highlight w:val="none"/>
        </w:rPr>
        <w:t>办理施工许可证及施工所需证件、批件和临时用地、停水、停电、中断</w:t>
      </w:r>
      <w:r>
        <w:rPr>
          <w:rFonts w:hint="eastAsia" w:ascii="宋体" w:hAnsi="宋体"/>
          <w:color w:val="auto"/>
          <w:szCs w:val="21"/>
          <w:highlight w:val="none"/>
        </w:rPr>
        <w:t>道路交通、爆破作业等的申请批准手续（证明承包人自身资质的证件除外）；</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(10)承包人应做的其他工作，双方在专用条款内约定。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9.2承包人未能履行9.1款各项义务，造成发包人损失的，承包人赔偿发包人有关损失。</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三、施工组织设计和工期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10、进度计划</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10.1 承包人应按专用条款约定的日期，将施工组织设计和工程进度计划提交工程师，工程师按专用条款约定的时间予以确认或提出修改意见，逾期不确认也不提出书面意见的，视为同意。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10.2群体工程中单位工程分期进行施工的，承包人应按照发包人提供图纸及有关资料的时间，按单位工程编制进度计划，其具体内容双方在专用条款中约定。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10.3承包人必须按工程师确认的进度计划组织施工，接受工程师对进度的检查、监督。工程实际进度与经确认的进度计划不符时，承包人应按工程师的要求提出改进措施，经工程师确认后执行。因承包人的原因导致实际进度与进度计划不符，承包人无权就改进措施提出追加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11、开工及延期开工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11.1承包人应当按照协议书约定的开工日期开工。承包人不能按时开工，应当不迟于协议书约定的开工日期前7天，以书面形式向工程师提出延期开工的理由和要求。工程师应当在接到延期开工申请后的48小时内以书面形式答复承包人。工程师在接到延期开工申请后48小时内不答复，视为同意承包人要求，工期相应顺延。工程师不同意延期要求或承包人未在规定时间内提出延期开工要求，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11.2因发包人原因不能按照协议书约定的开工日期开工，工程师应以书面形式通知承</w:t>
      </w:r>
      <w:r>
        <w:rPr>
          <w:rFonts w:hint="eastAsia" w:ascii="宋体" w:hAnsi="宋体"/>
          <w:color w:val="auto"/>
          <w:szCs w:val="21"/>
          <w:highlight w:val="none"/>
        </w:rPr>
        <w:t>包人，推迟开工日期。发包人赔偿承包人因延期开工造成的损失，并相应顺延工期。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12、暂停施工</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工程师认为确有必要暂停施工时，应当以书面形式要求承包人暂停施工，并在提出要求后</w:t>
      </w:r>
      <w:r>
        <w:rPr>
          <w:rFonts w:ascii="宋体" w:hAnsi="宋体"/>
          <w:color w:val="auto"/>
          <w:szCs w:val="21"/>
          <w:highlight w:val="none"/>
        </w:rPr>
        <w:t>48小时内提出书面处理意见。承包人应当按工程师要求停止施工，并妥善保护已完工程。承包人实施工程师做出的处理意见后，可以书面形式提出复工要求，工程师应当在48小时内给予答复。工程师未能在规定时间内提出处理意见，或收到承包人复工要求后48小时内未予答复，承包人可自行复工。因发包人原因造成停工的，由发包人承担所发生的追加合同价款，赔偿承包人由此造成的损失，相应顺延工期；因承包人原因造成停工的，由承包人承担发生的费用，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13、工期延误</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13.1因以下原因造成工期延误，经工程师确认工期相应顺延；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发包人未能按专用条款的约定提供图纸及开工条件；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发包人未能按约定日期支付工程预付款、进度款，致使施工不能正常进行；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工程师未按合同约定提供所需指令、批准等，致使施工不能正常进行；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设计变更和工程量增加；</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(5) </w:t>
      </w:r>
      <w:r>
        <w:rPr>
          <w:rFonts w:hint="eastAsia" w:ascii="宋体" w:hAnsi="宋体"/>
          <w:color w:val="auto"/>
          <w:szCs w:val="21"/>
          <w:highlight w:val="none"/>
        </w:rPr>
        <w:t>一周内非承包人原因停水、停电、停气造成停工累计超过</w:t>
      </w:r>
      <w:r>
        <w:rPr>
          <w:rFonts w:ascii="宋体" w:hAnsi="宋体"/>
          <w:color w:val="auto"/>
          <w:szCs w:val="21"/>
          <w:highlight w:val="none"/>
        </w:rPr>
        <w:t>8小时；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(6) </w:t>
      </w:r>
      <w:r>
        <w:rPr>
          <w:rFonts w:hint="eastAsia" w:ascii="宋体" w:hAnsi="宋体"/>
          <w:color w:val="auto"/>
          <w:szCs w:val="21"/>
          <w:highlight w:val="none"/>
        </w:rPr>
        <w:t>不可抗力；</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(7) </w:t>
      </w:r>
      <w:r>
        <w:rPr>
          <w:rFonts w:hint="eastAsia" w:ascii="宋体" w:hAnsi="宋体"/>
          <w:color w:val="auto"/>
          <w:szCs w:val="21"/>
          <w:highlight w:val="none"/>
        </w:rPr>
        <w:t>专用条款中约定或工程师同意工期顺延的其他情况。</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13.2承包人在13.1款情况发生后14天内，就延误的工期以书面形式向工程师提出报告。工程师在收到报告后14天内予以确认，逾期不予确认也不提出修改意见，视为同意顺延工期。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14、工程竣工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14.1 承包人必须按照协议书约定的竣工日期或工程师同意顺延的工期竣工。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14.2 因承包人原因不能按照协议书约定的竣工日期或工程师同意顺延的工期竣工的，承包人承担违约责任。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14.3 施工中发包人如需提前竣工，双方协商一致后就应签订提前竣工协议，作为合同文件组成部分。提前竣工协议应包括承包人为保证工程质量和安全采取的措施、发包人为提前竣工提供的条件以及提前竣工所需的追加合同价款等内容。</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四、质量与检验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15、工程质量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w:t>
      </w:r>
      <w:r>
        <w:rPr>
          <w:rFonts w:ascii="宋体" w:hAnsi="宋体"/>
          <w:color w:val="auto"/>
          <w:spacing w:val="6"/>
          <w:szCs w:val="21"/>
          <w:highlight w:val="none"/>
        </w:rPr>
        <w:t xml:space="preserve">5.1 </w:t>
      </w:r>
      <w:r>
        <w:rPr>
          <w:rFonts w:hint="eastAsia" w:ascii="宋体" w:hAnsi="宋体"/>
          <w:color w:val="auto"/>
          <w:spacing w:val="6"/>
          <w:szCs w:val="21"/>
          <w:highlight w:val="none"/>
        </w:rPr>
        <w:t>工程质量应当达到协议书约定的质量标准，质量标准的评定以国家或</w:t>
      </w:r>
      <w:r>
        <w:rPr>
          <w:rFonts w:hint="eastAsia" w:ascii="宋体" w:hAnsi="宋体"/>
          <w:color w:val="auto"/>
          <w:szCs w:val="21"/>
          <w:highlight w:val="none"/>
        </w:rPr>
        <w:t>行业的质量检验评定标准为依据。因承包人原因工程质量达不到约定的质量标准，承包人承担违约责任。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15.2 双方对工程质量有争议，由双方同意的工程质量检测机构鉴定，所需费用及因此造成的损失，由责任方承担。双方均有责任，由双方根据其责任分别承担。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16、检查和返工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16.1 承包人应认真按照标准、规范和设计图纸要求以及工程师依据合同发出的指令施工，随时接受工程师的检查检验，为检查检验提供便利条件。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16.2 工程质量达不到约定标准的部分，工程师一经发现，应要求承包人拆除和重新施工，承包人应按工程师的要求拆除和重新施工，直到符合约定标准。因承包人原因达不到约定标准，由承包人承担拆除和重新施工的费用，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16.3 工程师的检查检验不应影响施工正常进行。如影响施工正常进行，检查检验不合格时，影响正常施工的费用由承包人承担。除此之外影响正常施工的追加合同价款由发包人承担，相应顺延工期。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16.4 因工程师指令失误或其他非承包人原因发生的追加合同价款，由发包人承担。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17、隐蔽工程和中间验收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17.1 </w:t>
      </w:r>
      <w:r>
        <w:rPr>
          <w:rFonts w:hint="eastAsia" w:ascii="宋体" w:hAnsi="宋体"/>
          <w:color w:val="auto"/>
          <w:szCs w:val="21"/>
          <w:highlight w:val="none"/>
        </w:rPr>
        <w:t>工程具备隐蔽条件或达到专用条款约定的中间验收部位，承包人进行自检，并在隐蔽或中间验收前</w:t>
      </w:r>
      <w:r>
        <w:rPr>
          <w:rFonts w:ascii="宋体" w:hAnsi="宋体"/>
          <w:color w:val="auto"/>
          <w:szCs w:val="21"/>
          <w:highlight w:val="none"/>
        </w:rPr>
        <w:t>48小时以书面形式通知工程师验收。通知包括隐蔽和中间验收的内容、验收时间和地点。承包人准备验收记录，验收合格，</w:t>
      </w:r>
      <w:r>
        <w:rPr>
          <w:rFonts w:hint="eastAsia" w:ascii="宋体" w:hAnsi="宋体"/>
          <w:color w:val="auto"/>
          <w:spacing w:val="4"/>
          <w:szCs w:val="21"/>
          <w:highlight w:val="none"/>
        </w:rPr>
        <w:t>工程师在验收记录上签字后，承包人可进行隐蔽和继续施工。验收不合格</w:t>
      </w:r>
      <w:r>
        <w:rPr>
          <w:rFonts w:hint="eastAsia" w:ascii="宋体" w:hAnsi="宋体"/>
          <w:color w:val="auto"/>
          <w:szCs w:val="21"/>
          <w:highlight w:val="none"/>
        </w:rPr>
        <w:t>，承包人在工程师限定的时间内修改后重新验收。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17.2 工程师不能按时进行验收，应在验收前24小时以书面形式向承包人提出延期要求，延期不能超过48小时。工程师未能按以上时间提出延期要求，不进行验收，承包人可自行组织验收，工程师应承认验收记录。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17.3 </w:t>
      </w:r>
      <w:r>
        <w:rPr>
          <w:rFonts w:hint="eastAsia" w:ascii="宋体" w:hAnsi="宋体"/>
          <w:color w:val="auto"/>
          <w:szCs w:val="21"/>
          <w:highlight w:val="none"/>
        </w:rPr>
        <w:t>经工程师验收，工程质量符合标准、规范和设计图纸等要求，验收</w:t>
      </w:r>
      <w:r>
        <w:rPr>
          <w:rFonts w:ascii="宋体" w:hAnsi="宋体"/>
          <w:color w:val="auto"/>
          <w:szCs w:val="21"/>
          <w:highlight w:val="none"/>
        </w:rPr>
        <w:t>24</w:t>
      </w:r>
      <w:r>
        <w:rPr>
          <w:rFonts w:hint="eastAsia" w:ascii="宋体" w:hAnsi="宋体"/>
          <w:color w:val="auto"/>
          <w:spacing w:val="4"/>
          <w:szCs w:val="21"/>
          <w:highlight w:val="none"/>
        </w:rPr>
        <w:t>小时后，工程师不在验收记录上签字，视为工程师已经认可验收记录，承包</w:t>
      </w:r>
      <w:r>
        <w:rPr>
          <w:rFonts w:hint="eastAsia" w:ascii="宋体" w:hAnsi="宋体"/>
          <w:color w:val="auto"/>
          <w:szCs w:val="21"/>
          <w:highlight w:val="none"/>
        </w:rPr>
        <w:t>人可进行隐蔽或继续施工。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18、重新检验</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19、工程试车</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19.1 双方约定需要试车的，试车内容应与承包人承包的安装范围相一致。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19.2 设备安装工程具备单机无负荷试车条件，承包人组织试车，并在试车前48小时以书面形式通知工程师。通知包括试车内容、时间、地点。承包人准备试车记录，发包人根据承包人要求为试车提供必要条件。试车合格，工程师在试车记录上签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19.3 工程师不能按时参加试车，须在开始试车前24小时以书面形式向承包人提出延期要求，延期不能超过48小时。工程师未能按以上时间提出延期要求，不参加试车，应承认试车记录。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19.4 设备安装工程具备无负荷联动试车条件，发包人组织试车，并在试车前48小时以书面形式通知承包人。通知包括试车内容、时间、地点和对承包人的要求，承包人按要求做好准备工作。试车合格，双方在试车记录上签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19.5双方责任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由于设计原因试车达不到验收要求，发包人应要求设计单位修改设计，承包人按修改后的设计重新安装。发包人承担修改设计、拆除及重新安装的全部费用和追加合同价款，工期相应顺延。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由于设备制造原因试车达不到验收要求，由该设备采购一方负责重新购置或修理，承包人负责拆除和重新安装。设备由承包人采购的，由承包人承担修理或重新购置、拆除及重新安装的费用，工期不予顺延；设备由发包人采购的，发包人承担上述各项追加合同价款，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由于承包人施工原因试车达不到验收要求，承包人按工程师要求重新安装和试车，并承担重新安装和试车的费用，工期不予顺延。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 </w:t>
      </w:r>
      <w:r>
        <w:rPr>
          <w:rFonts w:hint="eastAsia" w:ascii="宋体" w:hAnsi="宋体"/>
          <w:color w:val="auto"/>
          <w:szCs w:val="21"/>
          <w:highlight w:val="none"/>
        </w:rPr>
        <w:t>试车费用除已包括在合同价款之内或专用条款另有约定外，均由发包人承担。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 工程师在试车合格后不在试车记录上签字，试车结束24小时后，视为工程师已经认可试车记录，承包人可继续施工或办理竣工手续。</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19.6 投料试车应在工程竣工验收后由发包人负责，如发包人要求在工程竣工验收前进行或需要承包人配合时，应征得承包人同意，另行签订补充协议。</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五、安全施工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20、安全施工与检查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20.1承包人应遵守工程建设安全生产有关管理规定，严格按安全标准组织施工，并随时接受行业安全检查人员依法实施的监督检查，采取必要的安全防护措施，消除事故隐患。由于承包人安全措施不力造成事故的责任和因此发生的费用，由承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20.2发包人应对其在施工场地的工作人员进行安全教育，并对他们的安全负责。发包人不得要求承包人违反安全管理的规定进行施工。因发包人原因导致的安全事故，由发包人承担相应责任及发生的费用。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21、安全防护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21.1承包人在动力设备、输电线路、地下管道、密封防震车间、易燃易爆地段以及临街交通要道附近施工时，施工开始前应向工程师提出安全防护措施，经工程师认可后实施，防护措施费用由发包人承担。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21.2实施爆破作业，在放射、毒害性环境中施工（含储存、运输、使用）及使用毒害性、腐蚀性物品施工时，承包人应在施工前14天以书面形式通知工</w:t>
      </w:r>
      <w:r>
        <w:rPr>
          <w:rFonts w:hint="eastAsia" w:ascii="宋体" w:hAnsi="宋体"/>
          <w:color w:val="auto"/>
          <w:spacing w:val="2"/>
          <w:szCs w:val="21"/>
          <w:highlight w:val="none"/>
        </w:rPr>
        <w:t>程师，并提出相应的安全防护措施，经工程师认可后实施</w:t>
      </w:r>
      <w:r>
        <w:rPr>
          <w:rFonts w:ascii="宋体" w:hAnsi="宋体"/>
          <w:color w:val="auto"/>
          <w:spacing w:val="2"/>
          <w:szCs w:val="21"/>
          <w:highlight w:val="none"/>
        </w:rPr>
        <w:t>,由发包人承担安全</w:t>
      </w:r>
      <w:r>
        <w:rPr>
          <w:rFonts w:hint="eastAsia" w:ascii="宋体" w:hAnsi="宋体"/>
          <w:color w:val="auto"/>
          <w:szCs w:val="21"/>
          <w:highlight w:val="none"/>
        </w:rPr>
        <w:t>防护措施费用。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22、事故处理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22.1发生重大伤亡及其他安全事故，承包人应按有关规定立即上报有关部门并通知工程师，同时按政府有关部门要求处理，由事故责任方承担发生的费用。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22.2发包人承包人对事故责任有争议时，应按政府有关部门的认定处理。</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六、合同价款与支付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23、合同价款及调整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23.1招标工程的合同价款由发包人承包人依据中标通知书中的中标价格在协议书内约定。非招标工程的合同价款由发包人承包人依据工程预算书在协议书内约定。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23.2合同价款在协议书内约定后，任何一方不得擅自改变。下列三种确定合同价款的方式，双方可在专用条款内约定采用其中一种：</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固定价格合同。双方在专用条款内约定合同价款包含的风险范围和风险费用的计算方法，在约定的风险范围内合同价款不再调整。风险范围以外的合同价款调整方法，应当在专用条款内约定。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可调价格合同。合同价款可根据双方的约定而调整，双方在专用条款内约定合同价款调整方法。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成本加酬金合同。合同价款包括成本和酬金两部分，双方在专用条款内约定成本构成和酬金的计算方法。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23.3可调价格合同中合同价款的调整因素包括：</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法律、行政法规和国家有关政策变化影响合同价款；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工程造价管理部门公布的价格调整；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一周内非承包人原因停水、停电、停气造成的停工累计超过8小时；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双方约定的其他因素。</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23.4承包人应当在23.3款情况发生后14天内，将调整原因、金额以书面形式通知工程师，工程师确认调整金额后作为追加合同价款，与工程款同期支付。工程师收到承包人通知后14天内不予确认也不提出修改意见，视为已经同意该项调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24、工程预付款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实行工程预付款的，双方应当在专用条款内约定发包人向承包人预付工程款的时间和数额，开工后按约定的时间和比例逐次扣回。预付时间应不迟于约定的开工日期前</w:t>
      </w:r>
      <w:r>
        <w:rPr>
          <w:rFonts w:ascii="宋体" w:hAnsi="宋体"/>
          <w:color w:val="auto"/>
          <w:szCs w:val="21"/>
          <w:highlight w:val="none"/>
        </w:rPr>
        <w:t>7天。发包人不按约定预付，承包人在约定预付时间7天后向发包人发出要求预付的通知，发包人收到通知后仍不能按要求预付，承包人可在发出通告后7天停止施工，发包人应从约定应付之日起向承包人支付应付款的贷款利息，并承担违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25、工程量的确认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25.1 承包人应按专用条款约定的时间，向工程师提交已完工程量的报告。工程师接到报告后7天内按设计图纸核实已完工程量（以下称计量），并在计量前24小时通知承包人，承包人应为计量提供便利条件并派人参加。承包人收到通知后不参加计量，计量结果有效，作为工程价款支付的依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25.2 工程师收到承包人报告后7天内未进行计量，从第8天起，承包人报告中开列的工程量即视为被确认，作为工程价款支付的依据。工程师不按约定时间通知承包人，致使承包人未能参加计量，计量结果无效。</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25.3对承包人超出设计图纸范围和因承包人原因造成返工的工程量，工程师不予计量。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26、工程款（进度款）支付。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26.1 在确认计量结果后14天内，发包人应向承包人支付工程款（进度款）。按约定时间发包人应扣回的预付款，与工程款（进度款）同期结算。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26.2 本通用条款第23条确定调整的合同价款，第31条工程变更调整的合同价款及其他条款中约定的追加合同价款，应与工程款（进度款）同期调整支付。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26.3 发包人超过约定的支付时间不支付工程款（进度款），承包人可向发包人发出要求付款的通知，发包人收到承包人通知后仍不能按要求付款，可与承包人协商签订延期付款协议，经承包人同意后可延期支付。协议应明确延期支付的时间和从计量结果确认后第15天起计算应付款的贷款利息。</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26.4 发包人不按合同约定支付工程款（进度款），双方又未达成延期付款协议，导致施工无法进行，承包人可停止施工，由发包人承担违约责任。</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七、材料设备供应</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27、发包人供应材料设备</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27.1 实行发包人供应材料设备的，双方应当约定发包人供应材料设备的一览表，作为本合同附件（附件2）。一览表包括发包人供应材料设备的品种、规格、型号、数量、单价、质量等级、提供时间和地点。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27.2 发包人按一览表约定的内容提供材料设备，并向承包人提供产品合格证明，对其质量负责。发包人在所供材料设备到货前24小时，以书面形式通知承包人，由承包人派人与发包人共同清点。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27.3 发包人供应的材料设备，承包人派人参加清点后由承包人妥善保管，发包人支付相应保管费用。因承包人原因发生丢失损坏，由承包人负责赔偿。</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发包人未通知承包人清点，承包人不负责材料设备的保管，丢失损坏由发包人负责。</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27.4发包人供应的材料设备与一览表不符时，发包人承担有关责任。发包人应承担责任的具体内容，双方根据下列情况在专用条款内约定。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材料设备单价与一览表不符，由发包人承担所有价差；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材料设备的品种、规格、型号、质量等级与一览表不符，承包人可拒绝接收保管，由发包人运出施工场地并重新采购；</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发包人供应的材料规格、型号与一览表不符，经发包人同意，承包人可代为调剂串换，由发包人承担相应费用；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到货地点与一览表不符，由发包人负责运至一览表指定地点：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 供应数量少于一览表约定的数量时，由发包人补齐，多于一览表约定数量时，发包人负责将多出部分运出施工场地；</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 到货时间早于一览表约定时间，由发包人承担因此发生的保管费用；到货时间迟于一览表约定的供应时间，发包人赔偿由此造成的承包人损失，造成工期延误的，相应顺延工期。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27.5发包人供应的材料设备使用前，由承包人负责检验或试验，不合格的不得使用，检验或试验费用由发包人承担。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27.6发包人供应材料设备的结算方法，双方在专用条款内约定。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28、承包人采购材料设备</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28.1 </w:t>
      </w:r>
      <w:r>
        <w:rPr>
          <w:rFonts w:hint="eastAsia" w:ascii="宋体" w:hAnsi="宋体"/>
          <w:color w:val="auto"/>
          <w:szCs w:val="21"/>
          <w:highlight w:val="none"/>
        </w:rPr>
        <w:t>承包人负责采购材料设备的，应按照专用条款约定及设计和有关标准要求采购，并提供产品合格证明，对材料设备质量负责。承包人在材料设备到货前</w:t>
      </w:r>
      <w:r>
        <w:rPr>
          <w:rFonts w:ascii="宋体" w:hAnsi="宋体"/>
          <w:color w:val="auto"/>
          <w:szCs w:val="21"/>
          <w:highlight w:val="none"/>
        </w:rPr>
        <w:t>24小时通知工程师清点。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28.2</w:t>
      </w:r>
      <w:r>
        <w:rPr>
          <w:rFonts w:ascii="宋体" w:hAnsi="宋体"/>
          <w:color w:val="auto"/>
          <w:spacing w:val="8"/>
          <w:szCs w:val="21"/>
          <w:highlight w:val="none"/>
        </w:rPr>
        <w:t>承包人采购的材料设备与设计或标准要求不符时，承包人应按工程师要</w:t>
      </w:r>
      <w:r>
        <w:rPr>
          <w:rFonts w:hint="eastAsia" w:ascii="宋体" w:hAnsi="宋体"/>
          <w:color w:val="auto"/>
          <w:szCs w:val="21"/>
          <w:highlight w:val="none"/>
        </w:rPr>
        <w:t>求的时间运出施工场地，重新采购符合要求的产品，承担由此发生的费用，由此延误的工期不予顺延。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28.3 承包人采购的材料设备在使用前，承包人应按工程师的要求进行检验或试验，不合格的不得使用，检验或试验费用由承包人承担。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28.4 工程师发现承包人采购并使用不符合设计或标准要求的材料设备时，应要求由承包人负责修复、拆除或重新采购，并承担发生的费用，由此延误的工期不予顺延。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28.5 承包人需要使用代用材料时，应经工程师认可后才能使用，由此增减的合同价款双方以书面形式议定。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28.6 由承包人采购的材料设备，发包人不得指定生产厂或供应商。</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八、工程变更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29、工程设计变更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29.1施工中发包人需对原工程设计进行变更，应提前14天以书面形式向承包人发出变更通知。变更超过原设计标准或批准的建设规模时，发包人应报规划管理部门和其他有关部门重新审查批准，并由原设计单位提供变更的相应图纸和说明。承包人按照工程师发出的变更通知及有关要求，进行下列需要的变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更改工程有关部分的标高、基线、位置和尺寸；</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增减合同中约定的工程量；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改变有关工程的施工时间和顺序；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其他有关工程变更需要的附加工作。</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因变更导致合同价款的增减及造成的承包人损失，由发包人承担，延误的工期相应顺延。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29.2施工中承包人不得对原工程设计进行变更。因承包人擅自变更设计发生的费用和由此导致发包人的直接损失，由承包人承担，延误的工期不予顺延。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29.3承包人在施工中提出的合理化建议涉及到对设计图纸或施工组织设计的更改及对材料、设备的换用，须经工程师同意。未经同意擅自更改或换用时，承包人承担由此发生的费用，并赔偿发包人的有关损失，延误的工期不予顺延。</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工程师同意采用承包人合理化建议，所发生的费用和获得的收益，发包人承包人另行约定分担或分享。</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30、其他变更</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合同履行中发包人要求变更工程质量标准及发生其他实质性变更，由双方协商解决。</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31、确定变更价款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31.1承包人在工程变更确定后14天内，提出变更工程价款的报告，经工程师确认后调整合同价款。变更合同价款按下列方法进行：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合同中已有适用于变更工程的价格，按合同已有的价格变更合同价款；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合同中只有类似于变更工程的价格，可以参照类似价格变更合同价款；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合同中没有适用或类似于变更工程的价格，由承包人提出适当的变更价格，经工程师确认后执行。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31.2承包人在双方确定变更后14天内不向工程师提出变更工程价款报告时，视为该项变更不涉及合同价款的变更。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31.3工程师应在收到变更工程价款报告之日起14天内予以确认，工程师无正当理由不确认时，自变更工程价款报告送达之日起14天后视为变更工程价款报告已被确认。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31.4工程师不同意承包人提出的变更价款，按本通用条款第37条关于争议的约定处理。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31.5工程师确认增加的工程变更价款作为追加合同价款，与工程款同期支付。</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31.6因承包人自身原因导致的工程变更，承包人无权要求追加合同价款。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九、竣工验收与结算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32、竣工验收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32.1 </w:t>
      </w:r>
      <w:r>
        <w:rPr>
          <w:rFonts w:hint="eastAsia" w:ascii="宋体" w:hAnsi="宋体"/>
          <w:color w:val="auto"/>
          <w:szCs w:val="21"/>
          <w:highlight w:val="none"/>
        </w:rPr>
        <w:t>工程具备竣工验收条件，承包人按国家工程竣工验收有关规定，向发包人提供完整竣工资料及竣工验收报告。双方约定由承包人提供竣工图的，应当在专用条款内约定提供的日期和份数。</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32.2 </w:t>
      </w:r>
      <w:r>
        <w:rPr>
          <w:rFonts w:hint="eastAsia" w:ascii="宋体" w:hAnsi="宋体"/>
          <w:color w:val="auto"/>
          <w:szCs w:val="21"/>
          <w:highlight w:val="none"/>
        </w:rPr>
        <w:t>发包人收到竣工验收报告后</w:t>
      </w:r>
      <w:r>
        <w:rPr>
          <w:rFonts w:ascii="宋体" w:hAnsi="宋体"/>
          <w:color w:val="auto"/>
          <w:szCs w:val="21"/>
          <w:highlight w:val="none"/>
        </w:rPr>
        <w:t>28天内组织有关单位验收，并在验收后14天内给予认可或提出修改意见。承包人按要求修改，并承担由自身原因造成修改的费用。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32.3 发包人收到承包人送交的竣工验收报告后28天内不组织验收，或验收后14天内不提出修改意见，视为竣工验收报告已被认可。</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32.4 工程竣工验收通过，承包人送交竣工验收报告的日期为实际竣工日期。工程按发包人要求修改后通过竣工验收的，实际竣工日期为承包人修改后提请发包人验收的日期。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32.5 发包人收到承包人竣工验收报告后28天内不组织验收，从第29天起承担工程保管及一切意外责任。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32.6 中间交工工程的范围和竣工时间，双方在专用条款内约定，其验收程序按本通用条款32.1款至32.4款办理。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32.7 因特殊原因，发包人要求部分单位工程或工程部位甩项竣工的，双方另行签订甩项竣工协议，明确双方责任和工程价款支付方法。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32.8 工程未经竣工验收或竣工验收未通过的，发包人不得使用。发包人强行使用时，由此发生的质量问题及其他问题，由发包人承担责任。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33、竣工结算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33.1 工程竣工验收报告经发包人认可后28天内，承包人向发包人递交竣工结算报告及完整的结算资料，双方按照协议书约定的合同价款及专用条款约定的合同价款调整内容，进行工程竣工结算。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33.2 发包人收到承包人递交的竣工结算报告及结算资料后28天内进行核实，给予确认或者提出修改意见。发包人确认竣工结算报告后通知经办银行向承包人支付工程竣工结算价款。承包人收到竣工结算价款后14天内将竣工工程交付发包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33.3 </w:t>
      </w:r>
      <w:r>
        <w:rPr>
          <w:rFonts w:hint="eastAsia" w:ascii="宋体" w:hAnsi="宋体"/>
          <w:color w:val="auto"/>
          <w:szCs w:val="21"/>
          <w:highlight w:val="none"/>
        </w:rPr>
        <w:t>发包人收到竣工结算报告及结算资料后</w:t>
      </w:r>
      <w:r>
        <w:rPr>
          <w:rFonts w:ascii="宋体" w:hAnsi="宋体"/>
          <w:color w:val="auto"/>
          <w:szCs w:val="21"/>
          <w:highlight w:val="none"/>
        </w:rPr>
        <w:t>28天内无正当理由不支付工程竣工结算价款，从第29天起按承包人同期向银行贷款利率支付拖欠工程价款的利息，并承担违约责任。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33.4 </w:t>
      </w:r>
      <w:r>
        <w:rPr>
          <w:rFonts w:hint="eastAsia" w:ascii="宋体" w:hAnsi="宋体"/>
          <w:color w:val="auto"/>
          <w:szCs w:val="21"/>
          <w:highlight w:val="none"/>
        </w:rPr>
        <w:t>发包人收到竣工结算报告及结算资料后</w:t>
      </w:r>
      <w:r>
        <w:rPr>
          <w:rFonts w:ascii="宋体" w:hAnsi="宋体"/>
          <w:color w:val="auto"/>
          <w:szCs w:val="21"/>
          <w:highlight w:val="none"/>
        </w:rPr>
        <w:t>28天内不支付工程竣工结算价款，承包人可以催告发包人支付结算价款。发包人在收到竣工结算报告及结算资料后56天内仍不支付的，承包人可以与发包人协议将该工程折价，也可以由承包人申请人民法院将该工程依法拍卖，承包人就该工程折价或者拍卖的价款优先受偿。</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33.5 工程竣工验收报告经发包人认可后28天内，承包人未能向发包人递交竣工结算报告及完整的结算资料，造成工程竣工结算不能正常进行或工程竣工结算价款不能及时支付，发包人要求交付工程的，承包人应当交付；发包人不要求交付工程的，承包人承担保管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33.6 发包人承包人对工程竣工结算价款发生争议时，按本通用条款37条关于争议的约定处理。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34、质量保修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34.1 承包人应按法律、行政法规或国家关于工程质量保修的有关规定，对交付发包人使用的工程在质量保修期内承担质量保修责任。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34.2 质量保修工作的实施。承包人应在工程竣工验收之前，与发包人签订质量保修书，作为本合同附件（附件3）。</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34.3 质量保修书的主要内容包括：</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质量保修项目内容及范围；</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质量保修期；</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质量保修责任；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质量保修金的支付方法。</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十、违约、索赔和争议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35、违约</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35.1发包人违约。当发生下列情况时：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本通用条款第24条提到的发包人不按时支付工程预付款；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本通用条款第26.4款提到的发包人不按合同约定支付工程款，导致施工无法进行；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 </w:t>
      </w:r>
      <w:r>
        <w:rPr>
          <w:rFonts w:hint="eastAsia" w:ascii="宋体" w:hAnsi="宋体"/>
          <w:color w:val="auto"/>
          <w:szCs w:val="21"/>
          <w:highlight w:val="none"/>
        </w:rPr>
        <w:t>本通用条款第</w:t>
      </w:r>
      <w:r>
        <w:rPr>
          <w:rFonts w:ascii="宋体" w:hAnsi="宋体"/>
          <w:color w:val="auto"/>
          <w:szCs w:val="21"/>
          <w:highlight w:val="none"/>
        </w:rPr>
        <w:t>33.3款提到的发包人无正当理由不支付工程竣工结算价款；</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发包人不履行合同义务或不按合同约定履行义务的其他情况。</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发包人承担违约责任，赔偿因其违约给承包人造成的经济损失，顺延延误的工期。双方在专用条款内约定发包人赔偿承包人损失的计算方法或者发包人应当支付违约金的数额或计算方法。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35.2承包人违约。当发生下列情况时：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本通用条款第14.2款提到的因承包人原因不能按照协议书约定的竣工日期或工程师同意顺延的工期竣工；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本通用条款第15.1款提到的因承包人原因工程质量达不到协议书约定的质量标准；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承包人不履行合同义务或不按合同约定履行义务的其他情况。</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承包人承担违约责任，赔偿因其违约给发包人造成的损失。双方在专用条款内约定承包人赔偿发包人损失的计算方法或者承包人应当支付违约金的数额或计算方法。</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35.3一方违约后，另一方要求违约方继续履行合同时，违约方承担上述违约责任后仍应继续履行合同。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36、索赔</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36.1当</w:t>
      </w:r>
      <w:r>
        <w:rPr>
          <w:rFonts w:hint="eastAsia" w:ascii="宋体" w:hAnsi="宋体"/>
          <w:color w:val="auto"/>
          <w:szCs w:val="21"/>
          <w:highlight w:val="none"/>
        </w:rPr>
        <w:t>一方向另一方提出索赔时，要有正当索赔理由，且有索赔事件发生时的有效证据。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36.2发包人未能按合同约定履行自己的各项义务或发生错误以及应由发包人承担责任的其他情况，造成工期延误和（或）承包人不能及时得到合同价款及承包人的其他经济损失，承包人可按下列程序以书面形式向发包人索赔：</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索赔事件发生后28天内，向工程师发出索赔意向通知；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发出索赔意向通知后28天内，向工程师提出延长工期和（或）补偿经济损失的索赔报告及有关资料；</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工程师在收到承包人送交的索赔报告及有关资料后，于28天内给予答复，或要求承包人进一步补充索赔理由和证据；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工程师在收到承包人送交的索赔报告和有关资料后28天内未予答复或未对承包人作进一步要求，视为该项索赔已经认可；</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 当该索赔事件持续进行时，承包人应当阶段性向工程师发出索赔意向，在索赔事件终了后28天内，向工程师送交索赔的有关资料和最终索赔报告。索赔答复程序与（3）、（4）规定相同。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36.3承包人未能按合同约定履行自己的各项义务或发生错误，给发包人造成经济损失，发包人可按36.2款确定的时限向承包人提出索赔。</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37、争议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37.1发包人承包人在履行合同时发生争议，可以和解或者要求有关主管部门调解。当事人不愿和解、调解或者和解、调解不成的，双方可以在专用条款内约定以下一种方式解决争议：</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第一种解决方式：双方达成仲裁协议，向约定的仲裁委员会申请仲裁；</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第二种解决方式：向有管辖权的人民法院起诉。</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37.2发生争议后，除非出现下列情况的，双方都应继续履行合同，保持施工连续，保护好已完工程：</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单方违约导致合同确已无法履行，双方协议停止施工；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调解要求停止施工，且为双方接受；</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仲裁机构要求停止施工；</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法院要求停止施工。</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十一、其他</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38、工程分包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38.1 承包人按专用条款的约定分包所承包的部分工程，并与分包单位签订分包合同。非经发包人同意，承包人不得将承包工程的任何部分分包。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38.2 承包人不得将其承包的全部工程转包给他人，也不得将其承包的全部工程肢解以后以分包的名义分别转包给他人。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38.3 工程分包不能解除承包人任何责任与义务。承包人应在分包场地派驻相应管理人员，保证本合同的履行。分包单位的任何违约行为或疏忽导致工程损害或给发包人造成其他损失，承包人承担连带责任。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38.4分包工程价款由承包人与分包单位结算。发包人未经承包人同意不得以任何形式向分包单位支付各种工程款项。</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39、不可抗力</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39.1 </w:t>
      </w:r>
      <w:r>
        <w:rPr>
          <w:rFonts w:hint="eastAsia" w:ascii="宋体" w:hAnsi="宋体"/>
          <w:color w:val="auto"/>
          <w:szCs w:val="21"/>
          <w:highlight w:val="none"/>
        </w:rPr>
        <w:t>不可抗力包括因战争、动乱、空中飞行物体坠落或其他非发包人承包人责任造成的爆炸、火灾，以及专用条款约定的风、雨、雪、洪、震等自然灾害。</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39.2 不可抗力事件发生后，承包人应立即通知工程师，并在力所能及的条件下迅速采取措施，尽力减少损失，发包人应协助承包人采取措施。工程师认为应当暂停施工的，承包人应暂停施工。不可抗力事件结束后48小时内承包人向工程师通报受害情况和损失情况，及预计清理和修复的费用。不可抗力事件持续发生，承包人应每隔7天向工程师报告一次受害情况。不可抗力事件结束后14天内，承包人向工程师提交清理和修复费用的正式报告及有关资料。</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39.3 </w:t>
      </w:r>
      <w:r>
        <w:rPr>
          <w:rFonts w:hint="eastAsia" w:ascii="宋体" w:hAnsi="宋体"/>
          <w:color w:val="auto"/>
          <w:szCs w:val="21"/>
          <w:highlight w:val="none"/>
        </w:rPr>
        <w:t>因不可抗力事件导致的费用及延误的工期由双方按以下方法分别承担：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(1) </w:t>
      </w:r>
      <w:r>
        <w:rPr>
          <w:rFonts w:hint="eastAsia" w:ascii="宋体" w:hAnsi="宋体"/>
          <w:color w:val="auto"/>
          <w:szCs w:val="21"/>
          <w:highlight w:val="none"/>
        </w:rPr>
        <w:t>工程本身的损害、因工程损害导致第三人人员伤亡和财产损失以及运至施工场地用于施工的材料和待安装的设备的损害，由发包人承担；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发包人承包人人员伤亡由其所在单位负责，并承担相应费用；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 承包人机械设备损坏及停工损失，由承包人承担；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 停工期间，承包人应工程师要求留在施工场地的必要的管理人员及保卫人员的费用由发包人承担；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(5) 工程所需清理、修复费用，由发包人承担；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(6) 延误的工期相应顺延。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39.4因合同一方迟延履行合同后发生不可抗力的，不能免除迟延履行方的相应责任。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40、保险</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40.1工程开工前，发包人为建设工程和施工场地内的自有人员及第三</w:t>
      </w:r>
      <w:r>
        <w:rPr>
          <w:rFonts w:hint="eastAsia" w:ascii="宋体" w:hAnsi="宋体"/>
          <w:color w:val="auto"/>
          <w:szCs w:val="21"/>
          <w:highlight w:val="none"/>
        </w:rPr>
        <w:t>人人员生命财产办理保险，支付保险费用。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40.2运至施工场内用于工程的材料和待安装设备，由发包人办理保险，并支付保险费用。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40.3发包人可以将有关保险事项委托承包人办理，费用由发包人承担。</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40.4承包人必须为从事危险作业的职工办理意外伤害保险，并为施工场地内自有人员生命财产和施工机械设备办理保险，支付保险费用。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40.5保险事故发生时，发包人承包人有责任尽力采取必要的措施，防止或者减少损失。</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40.6具体投保内容和相关责任，发包人承包人在专用条款中约定。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41、担保</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41.1发包人、承包人为了全面履行合同，应互相提供以下担保：</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发包人向承包人提供履约担保，按合同约定支付工程价款及履行合同约定的其他义务。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(2) 承包人向发包人提供履约担保，按合同约定履行自己的各项义务。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41.2 一方违约后，另一方可要求提供担保的第三人承担相应责任。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41.3 提供担保的内容、方式和相关责任，发包人承包人除在专用条款中约定外，被担保方与担保方还应签订担保合同，作为本合同附件。</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42、专利技术及特殊工艺</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42.1 </w:t>
      </w:r>
      <w:r>
        <w:rPr>
          <w:rFonts w:hint="eastAsia" w:ascii="宋体" w:hAnsi="宋体"/>
          <w:color w:val="auto"/>
          <w:szCs w:val="21"/>
          <w:highlight w:val="none"/>
        </w:rPr>
        <w:t>发包人要求使用专利技术或特殊工艺，应负责办理相应的申报手续，承担申报、试验、使用等费用；承包人提出使用专利技术或特殊工艺，应取得工程师认可，承包人负责办理申报手续并承担有关费用。</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42.2 擅自使用专利技术侵犯他人专利权的，责任者依法承担相应责任。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43、文物和地下障碍物</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43.1 </w:t>
      </w:r>
      <w:r>
        <w:rPr>
          <w:rFonts w:hint="eastAsia" w:ascii="宋体" w:hAnsi="宋体"/>
          <w:color w:val="auto"/>
          <w:szCs w:val="21"/>
          <w:highlight w:val="none"/>
        </w:rPr>
        <w:t>在施工中发现古墓、古建筑遗址等文物及化石或其他有考古、地质研究等价值的物品时，承包人应立即保护好现场并于</w:t>
      </w:r>
      <w:r>
        <w:rPr>
          <w:rFonts w:ascii="宋体" w:hAnsi="宋体"/>
          <w:color w:val="auto"/>
          <w:szCs w:val="21"/>
          <w:highlight w:val="none"/>
        </w:rPr>
        <w:t>4小时内以书面形式通知工程师，工程师应于收到书面通知后24小时内报告当地文物管理部门，发包人承包人按文物管理部门的要求采取妥善保护措施。发包人承担由此发生的费用，顺延延误的工期。</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如发现后隐瞒不报，致使文物遭受破坏，责任者依法承担相应责任。</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43.2 </w:t>
      </w:r>
      <w:r>
        <w:rPr>
          <w:rFonts w:hint="eastAsia" w:ascii="宋体" w:hAnsi="宋体"/>
          <w:color w:val="auto"/>
          <w:szCs w:val="21"/>
          <w:highlight w:val="none"/>
        </w:rPr>
        <w:t>施工中发现影响施工的地下障碍物时，承包人应于</w:t>
      </w:r>
      <w:r>
        <w:rPr>
          <w:rFonts w:ascii="宋体" w:hAnsi="宋体"/>
          <w:color w:val="auto"/>
          <w:szCs w:val="21"/>
          <w:highlight w:val="none"/>
        </w:rPr>
        <w:t>8小时内以书面形式通知工程师，同时提出处置</w:t>
      </w:r>
      <w:r>
        <w:rPr>
          <w:rFonts w:hint="eastAsia" w:ascii="宋体" w:hAnsi="宋体"/>
          <w:color w:val="auto"/>
          <w:szCs w:val="21"/>
          <w:highlight w:val="none"/>
        </w:rPr>
        <w:t>方案，工程师收到</w:t>
      </w:r>
      <w:r>
        <w:rPr>
          <w:rFonts w:ascii="宋体" w:hAnsi="宋体"/>
          <w:color w:val="auto"/>
          <w:szCs w:val="21"/>
          <w:highlight w:val="none"/>
        </w:rPr>
        <w:t>处置</w:t>
      </w:r>
      <w:r>
        <w:rPr>
          <w:rFonts w:hint="eastAsia" w:ascii="宋体" w:hAnsi="宋体"/>
          <w:color w:val="auto"/>
          <w:szCs w:val="21"/>
          <w:highlight w:val="none"/>
        </w:rPr>
        <w:t>方案后</w:t>
      </w:r>
      <w:r>
        <w:rPr>
          <w:rFonts w:ascii="宋体" w:hAnsi="宋体"/>
          <w:color w:val="auto"/>
          <w:szCs w:val="21"/>
          <w:highlight w:val="none"/>
        </w:rPr>
        <w:t>24小时内予以认可或提出修正方案。发包人承担由此发生的费用，顺延延误的工期。</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所发现的地下障碍物有归属单位时，发包人应报请有关部门协同处置。</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44、合同解除</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44.1 发包人承包人协商一致，可以解除合同。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44.2 发生本通用条款第26.4款情况，停止施工超过56天，发包人仍不支付工程款（进度款），承包人有权解除合同。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44.3 发生本通用条款第38.2款禁止的情况，承包人将其承包的全部工程转包给他人或者肢解以后以分包的名义分别转包给他人，发包人有权解除合同。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44.4 有下列情形之一的，发包人承包人可以解除合同：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(1) 因不可抗力致使合同无法履行；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 xml:space="preserve">(2) </w:t>
      </w:r>
      <w:r>
        <w:rPr>
          <w:rFonts w:hint="eastAsia" w:ascii="宋体" w:hAnsi="宋体"/>
          <w:color w:val="auto"/>
          <w:szCs w:val="21"/>
          <w:highlight w:val="none"/>
        </w:rPr>
        <w:t>因一方违约（包括因发包人原因造成工程停建或缓建）致使合同无法履行。</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44.5一方依据44.2、44.3、44.4款约定要求解除合同的，应以书面形式向对方发出解除合同的通知，并在发出通知前7天告知对方，通知到达对方时合同解除。对解除合同有争议的，按本通用条款第37条关于争议的约定处理。</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44.6合同解除后，承包人应妥善做好已完工程和已购材料、设备的保护和移交工作，按发包人要求将自有机械设备和人员撤出施工场地。发包人应为承包人撤出提供必要条件，支付以上所发生的费用，并按合同约定支付已完工程价款。已经订货的材料、设备由订货方负责退货或解除订货合同，不能退还的货款和因退货、解除订货合同发生的费用，由发包人承担，因未及时退货造成的损失由责任方承担。除此之外，有过错的一方应当赔偿因</w:t>
      </w:r>
      <w:r>
        <w:rPr>
          <w:rFonts w:hint="eastAsia" w:ascii="宋体" w:hAnsi="宋体"/>
          <w:color w:val="auto"/>
          <w:szCs w:val="21"/>
          <w:highlight w:val="none"/>
        </w:rPr>
        <w:t>合同解除给对方造成的损失。</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44.7合同解除后，不影响双方在合同中约定的结算和清理条款的效力。</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45、合同生效与终止</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45.1双方在协议书中约定合同生效方式。</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45.2除本通用条款第34条外，发包人承包人履行合同全部义务，竣工结算价款支付完毕，承包人向发包人交付竣工工程后，本合同即告终止。</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45.3合同的权利义务终止后，发包人承包人应当遵循诚实信用原则，履行通知、协助、保密等义务。</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46、合同份数</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46.1本合同正本两份，具有同等效力，由发包人承包人分别保存一份。</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46.2本合同副本份数，由双方根据需要在专用条款内约定。</w:t>
      </w:r>
    </w:p>
    <w:p>
      <w:pPr>
        <w:spacing w:line="440" w:lineRule="exact"/>
        <w:ind w:firstLine="359" w:firstLineChars="171"/>
        <w:rPr>
          <w:rFonts w:ascii="宋体" w:hAnsi="宋体"/>
          <w:color w:val="auto"/>
          <w:szCs w:val="21"/>
          <w:highlight w:val="none"/>
        </w:rPr>
      </w:pPr>
      <w:r>
        <w:rPr>
          <w:rFonts w:ascii="宋体" w:hAnsi="宋体"/>
          <w:color w:val="auto"/>
          <w:szCs w:val="21"/>
          <w:highlight w:val="none"/>
        </w:rPr>
        <w:t>47、补充条款</w:t>
      </w:r>
    </w:p>
    <w:p>
      <w:pPr>
        <w:spacing w:line="440" w:lineRule="exact"/>
        <w:ind w:firstLine="359" w:firstLineChars="171"/>
        <w:rPr>
          <w:rFonts w:ascii="宋体" w:hAnsi="宋体"/>
          <w:color w:val="auto"/>
          <w:szCs w:val="21"/>
          <w:highlight w:val="none"/>
        </w:rPr>
      </w:pPr>
      <w:r>
        <w:rPr>
          <w:rFonts w:hint="eastAsia" w:ascii="宋体" w:hAnsi="宋体"/>
          <w:color w:val="auto"/>
          <w:szCs w:val="21"/>
          <w:highlight w:val="none"/>
        </w:rPr>
        <w:t>双方根据有关法律、行政法规规定，结合工程实际，经协商一致后，可对本通用条款内容具体化，补充或修改，在专用条款内约定。</w:t>
      </w:r>
    </w:p>
    <w:p>
      <w:pPr>
        <w:spacing w:line="440" w:lineRule="exact"/>
        <w:ind w:firstLine="359" w:firstLineChars="171"/>
        <w:jc w:val="center"/>
        <w:rPr>
          <w:rFonts w:ascii="宋体" w:hAnsi="宋体"/>
          <w:b/>
          <w:color w:val="auto"/>
          <w:sz w:val="28"/>
          <w:szCs w:val="28"/>
          <w:highlight w:val="none"/>
        </w:rPr>
      </w:pPr>
      <w:r>
        <w:rPr>
          <w:rFonts w:ascii="宋体" w:hAnsi="宋体"/>
          <w:color w:val="auto"/>
          <w:szCs w:val="21"/>
          <w:highlight w:val="none"/>
        </w:rPr>
        <w:br w:type="page"/>
      </w:r>
      <w:r>
        <w:rPr>
          <w:rFonts w:hint="eastAsia" w:ascii="宋体" w:hAnsi="宋体"/>
          <w:b/>
          <w:color w:val="auto"/>
          <w:sz w:val="28"/>
          <w:szCs w:val="28"/>
          <w:highlight w:val="none"/>
        </w:rPr>
        <w:t>第三部分</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专用条款</w:t>
      </w:r>
    </w:p>
    <w:p>
      <w:pPr>
        <w:snapToGrid w:val="0"/>
        <w:spacing w:line="440" w:lineRule="exact"/>
        <w:ind w:firstLine="397"/>
        <w:rPr>
          <w:rFonts w:ascii="宋体" w:hAnsi="宋体"/>
          <w:b/>
          <w:color w:val="auto"/>
          <w:sz w:val="24"/>
          <w:highlight w:val="none"/>
        </w:rPr>
      </w:pP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一、词语定义及合同文件</w:t>
      </w:r>
    </w:p>
    <w:p>
      <w:pPr>
        <w:snapToGrid w:val="0"/>
        <w:spacing w:line="440" w:lineRule="exact"/>
        <w:ind w:firstLine="482" w:firstLineChars="200"/>
        <w:rPr>
          <w:rFonts w:ascii="宋体" w:hAnsi="宋体" w:cs="宋体"/>
          <w:color w:val="auto"/>
          <w:sz w:val="24"/>
          <w:szCs w:val="24"/>
          <w:highlight w:val="none"/>
        </w:rPr>
      </w:pPr>
      <w:r>
        <w:rPr>
          <w:rFonts w:ascii="宋体" w:hAnsi="宋体" w:cs="宋体"/>
          <w:b/>
          <w:bCs/>
          <w:color w:val="auto"/>
          <w:sz w:val="24"/>
          <w:highlight w:val="none"/>
        </w:rPr>
        <w:t>1.词语定义</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1.6</w:t>
      </w:r>
      <w:r>
        <w:rPr>
          <w:rFonts w:hint="eastAsia" w:ascii="宋体" w:hAnsi="宋体" w:cs="宋体"/>
          <w:color w:val="auto"/>
          <w:sz w:val="24"/>
          <w:szCs w:val="24"/>
          <w:highlight w:val="none"/>
        </w:rPr>
        <w:t>设计单位</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本合同工程的设计单位是：</w:t>
      </w:r>
      <w:r>
        <w:rPr>
          <w:rFonts w:ascii="宋体" w:hAnsi="宋体" w:cs="宋体"/>
          <w:sz w:val="24"/>
          <w:szCs w:val="24"/>
          <w:u w:val="single"/>
        </w:rPr>
        <w:t xml:space="preserve">                      </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1.7</w:t>
      </w:r>
      <w:r>
        <w:rPr>
          <w:rFonts w:hint="eastAsia" w:ascii="宋体" w:hAnsi="宋体" w:cs="宋体"/>
          <w:color w:val="auto"/>
          <w:sz w:val="24"/>
          <w:szCs w:val="24"/>
          <w:highlight w:val="none"/>
        </w:rPr>
        <w:t>监理单位</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本合同工程的监理单位是：</w:t>
      </w:r>
      <w:r>
        <w:rPr>
          <w:rFonts w:ascii="宋体" w:hAnsi="宋体" w:cs="宋体"/>
          <w:sz w:val="24"/>
          <w:szCs w:val="24"/>
          <w:u w:val="single"/>
        </w:rPr>
        <w:t xml:space="preserve">                      </w:t>
      </w:r>
      <w:r>
        <w:rPr>
          <w:rFonts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1.24招标控制价：</w:t>
      </w:r>
      <w:r>
        <w:rPr>
          <w:rFonts w:hint="eastAsia" w:ascii="宋体" w:hAnsi="宋体" w:cs="宋体"/>
          <w:color w:val="auto"/>
          <w:sz w:val="24"/>
          <w:szCs w:val="24"/>
          <w:highlight w:val="none"/>
          <w:u w:val="single"/>
        </w:rPr>
        <w:t>指经招标人确定的最高投标限价，并在广州公共资源交易中心开发区、黄埔区交易部公示</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1.25中标下浮率：</w:t>
      </w:r>
      <w:r>
        <w:rPr>
          <w:rFonts w:hint="eastAsia" w:ascii="宋体" w:hAnsi="宋体" w:cs="宋体"/>
          <w:color w:val="auto"/>
          <w:sz w:val="24"/>
          <w:szCs w:val="24"/>
          <w:highlight w:val="none"/>
          <w:u w:val="single"/>
        </w:rPr>
        <w:t>中标下浮率</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1-中标价格÷招标控制价</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100%</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式中的中标价格及招标控制价均不含不可竞争的绿色施工安全防护措施费及暂列金额。</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1.26工人工资比例=</w:t>
      </w:r>
      <w:r>
        <w:rPr>
          <w:rFonts w:hint="eastAsia" w:ascii="宋体" w:hAnsi="宋体" w:cs="宋体"/>
          <w:color w:val="auto"/>
          <w:sz w:val="24"/>
          <w:szCs w:val="24"/>
          <w:highlight w:val="none"/>
        </w:rPr>
        <w:t>中标的人工费金额</w:t>
      </w:r>
      <w:r>
        <w:rPr>
          <w:rFonts w:ascii="宋体" w:hAnsi="宋体" w:cs="宋体"/>
          <w:color w:val="auto"/>
          <w:sz w:val="24"/>
          <w:szCs w:val="24"/>
          <w:highlight w:val="none"/>
        </w:rPr>
        <w:t>÷</w:t>
      </w:r>
      <w:r>
        <w:rPr>
          <w:rFonts w:hint="eastAsia" w:ascii="宋体" w:hAnsi="宋体" w:cs="宋体"/>
          <w:color w:val="auto"/>
          <w:sz w:val="24"/>
          <w:szCs w:val="24"/>
          <w:highlight w:val="none"/>
        </w:rPr>
        <w:t>中标价格</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2</w:t>
      </w:r>
      <w:r>
        <w:rPr>
          <w:rFonts w:hint="eastAsia" w:ascii="宋体" w:hAnsi="宋体" w:cs="宋体"/>
          <w:b/>
          <w:color w:val="auto"/>
          <w:sz w:val="24"/>
          <w:highlight w:val="none"/>
        </w:rPr>
        <w:t>、合同文件及解释顺序</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2.1</w:t>
      </w:r>
      <w:r>
        <w:rPr>
          <w:rFonts w:hint="eastAsia" w:ascii="宋体" w:hAnsi="宋体" w:cs="宋体"/>
          <w:color w:val="auto"/>
          <w:sz w:val="24"/>
          <w:szCs w:val="24"/>
          <w:highlight w:val="none"/>
        </w:rPr>
        <w:t>合同文件组成及解释顺序：</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本合同履行期间发包人与承包人双方签订的补充合同（协议）或修正文件；</w:t>
      </w:r>
      <w:r>
        <w:rPr>
          <w:rFonts w:ascii="宋体" w:hAnsi="宋体" w:cs="宋体"/>
          <w:color w:val="auto"/>
          <w:sz w:val="24"/>
          <w:szCs w:val="24"/>
          <w:highlight w:val="none"/>
          <w:u w:val="single"/>
        </w:rPr>
        <w:t>2.</w:t>
      </w:r>
      <w:r>
        <w:rPr>
          <w:rFonts w:hint="eastAsia" w:ascii="宋体" w:hAnsi="宋体" w:cs="宋体"/>
          <w:color w:val="auto"/>
          <w:sz w:val="24"/>
          <w:szCs w:val="24"/>
          <w:highlight w:val="none"/>
          <w:u w:val="single"/>
        </w:rPr>
        <w:t>本合同协议书；</w:t>
      </w:r>
      <w:r>
        <w:rPr>
          <w:rFonts w:ascii="宋体" w:hAnsi="宋体" w:cs="宋体"/>
          <w:color w:val="auto"/>
          <w:sz w:val="24"/>
          <w:szCs w:val="24"/>
          <w:highlight w:val="none"/>
          <w:u w:val="single"/>
        </w:rPr>
        <w:t>3.</w:t>
      </w:r>
      <w:r>
        <w:rPr>
          <w:rFonts w:hint="eastAsia" w:ascii="宋体" w:hAnsi="宋体" w:cs="宋体"/>
          <w:color w:val="auto"/>
          <w:sz w:val="24"/>
          <w:szCs w:val="24"/>
          <w:highlight w:val="none"/>
          <w:u w:val="single"/>
        </w:rPr>
        <w:t>国家、广东省、广州市、广州开发区黄埔区关于本工程施工的有关文件（发包人在收到后尽快通报给承包人）；</w:t>
      </w:r>
      <w:r>
        <w:rPr>
          <w:rFonts w:ascii="宋体" w:hAnsi="宋体" w:cs="宋体"/>
          <w:color w:val="auto"/>
          <w:sz w:val="24"/>
          <w:szCs w:val="24"/>
          <w:highlight w:val="none"/>
          <w:u w:val="single"/>
        </w:rPr>
        <w:t>4.</w:t>
      </w:r>
      <w:r>
        <w:rPr>
          <w:rFonts w:hint="eastAsia" w:ascii="宋体" w:hAnsi="宋体" w:cs="宋体"/>
          <w:color w:val="auto"/>
          <w:sz w:val="24"/>
          <w:szCs w:val="24"/>
          <w:highlight w:val="none"/>
          <w:u w:val="single"/>
        </w:rPr>
        <w:t>发包人针对本工程建设管理的各项制度、规定；</w:t>
      </w:r>
      <w:r>
        <w:rPr>
          <w:rFonts w:ascii="宋体" w:hAnsi="宋体" w:cs="宋体"/>
          <w:color w:val="auto"/>
          <w:sz w:val="24"/>
          <w:szCs w:val="24"/>
          <w:highlight w:val="none"/>
          <w:u w:val="single"/>
        </w:rPr>
        <w:t>5.</w:t>
      </w:r>
      <w:r>
        <w:rPr>
          <w:rFonts w:hint="eastAsia" w:ascii="宋体" w:hAnsi="宋体" w:cs="宋体"/>
          <w:color w:val="auto"/>
          <w:sz w:val="24"/>
          <w:szCs w:val="24"/>
          <w:highlight w:val="none"/>
          <w:u w:val="single"/>
        </w:rPr>
        <w:t>中标通知书；</w:t>
      </w:r>
      <w:r>
        <w:rPr>
          <w:rFonts w:ascii="宋体" w:hAnsi="宋体" w:cs="宋体"/>
          <w:color w:val="auto"/>
          <w:sz w:val="24"/>
          <w:szCs w:val="24"/>
          <w:highlight w:val="none"/>
          <w:u w:val="single"/>
        </w:rPr>
        <w:t>6.</w:t>
      </w:r>
      <w:r>
        <w:rPr>
          <w:rFonts w:hint="eastAsia" w:ascii="宋体" w:hAnsi="宋体" w:cs="宋体"/>
          <w:color w:val="auto"/>
          <w:sz w:val="24"/>
          <w:szCs w:val="24"/>
          <w:highlight w:val="none"/>
          <w:u w:val="single"/>
        </w:rPr>
        <w:t>本合同专用条款；</w:t>
      </w:r>
      <w:r>
        <w:rPr>
          <w:rFonts w:ascii="宋体" w:hAnsi="宋体" w:cs="宋体"/>
          <w:color w:val="auto"/>
          <w:sz w:val="24"/>
          <w:szCs w:val="24"/>
          <w:highlight w:val="none"/>
          <w:u w:val="single"/>
        </w:rPr>
        <w:t>7.</w:t>
      </w:r>
      <w:r>
        <w:rPr>
          <w:rFonts w:hint="eastAsia" w:ascii="宋体" w:hAnsi="宋体" w:cs="宋体"/>
          <w:color w:val="auto"/>
          <w:sz w:val="24"/>
          <w:szCs w:val="24"/>
          <w:highlight w:val="none"/>
          <w:u w:val="single"/>
        </w:rPr>
        <w:t>招标文件及附件（包括补充、修改、澄清文件及答疑纪要等）；</w:t>
      </w:r>
      <w:r>
        <w:rPr>
          <w:rFonts w:ascii="宋体" w:hAnsi="宋体" w:cs="宋体"/>
          <w:color w:val="auto"/>
          <w:sz w:val="24"/>
          <w:szCs w:val="24"/>
          <w:highlight w:val="none"/>
          <w:u w:val="single"/>
        </w:rPr>
        <w:t>8.</w:t>
      </w:r>
      <w:r>
        <w:rPr>
          <w:rFonts w:hint="eastAsia" w:ascii="宋体" w:hAnsi="宋体" w:cs="宋体"/>
          <w:color w:val="auto"/>
          <w:sz w:val="24"/>
          <w:szCs w:val="24"/>
          <w:highlight w:val="none"/>
          <w:u w:val="single"/>
        </w:rPr>
        <w:t>本合同通用条款；</w:t>
      </w:r>
      <w:r>
        <w:rPr>
          <w:rFonts w:ascii="宋体" w:hAnsi="宋体" w:cs="宋体"/>
          <w:color w:val="auto"/>
          <w:sz w:val="24"/>
          <w:szCs w:val="24"/>
          <w:highlight w:val="none"/>
          <w:u w:val="single"/>
        </w:rPr>
        <w:t>9.</w:t>
      </w:r>
      <w:r>
        <w:rPr>
          <w:rFonts w:hint="eastAsia" w:ascii="宋体" w:hAnsi="宋体" w:cs="宋体"/>
          <w:color w:val="auto"/>
          <w:sz w:val="24"/>
          <w:szCs w:val="24"/>
          <w:highlight w:val="none"/>
          <w:u w:val="single"/>
        </w:rPr>
        <w:t>投标文件及附件；</w:t>
      </w:r>
      <w:r>
        <w:rPr>
          <w:rFonts w:ascii="宋体" w:hAnsi="宋体" w:cs="宋体"/>
          <w:color w:val="auto"/>
          <w:sz w:val="24"/>
          <w:szCs w:val="24"/>
          <w:highlight w:val="none"/>
          <w:u w:val="single"/>
        </w:rPr>
        <w:t>10.</w:t>
      </w:r>
      <w:r>
        <w:rPr>
          <w:rFonts w:hint="eastAsia" w:ascii="宋体" w:hAnsi="宋体" w:cs="宋体"/>
          <w:color w:val="auto"/>
          <w:sz w:val="24"/>
          <w:szCs w:val="24"/>
          <w:highlight w:val="none"/>
          <w:u w:val="single"/>
        </w:rPr>
        <w:t>标准、规范和其他有关技术文件；</w:t>
      </w:r>
      <w:r>
        <w:rPr>
          <w:rFonts w:ascii="宋体" w:hAnsi="宋体" w:cs="宋体"/>
          <w:color w:val="auto"/>
          <w:sz w:val="24"/>
          <w:szCs w:val="24"/>
          <w:highlight w:val="none"/>
          <w:u w:val="single"/>
        </w:rPr>
        <w:t>11.</w:t>
      </w:r>
      <w:r>
        <w:rPr>
          <w:rFonts w:hint="eastAsia" w:ascii="宋体" w:hAnsi="宋体" w:cs="宋体"/>
          <w:color w:val="auto"/>
          <w:sz w:val="24"/>
          <w:szCs w:val="24"/>
          <w:highlight w:val="none"/>
          <w:u w:val="single"/>
        </w:rPr>
        <w:t>图纸；</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工程量清单；</w:t>
      </w:r>
      <w:r>
        <w:rPr>
          <w:rFonts w:ascii="宋体" w:hAnsi="宋体" w:cs="宋体"/>
          <w:color w:val="auto"/>
          <w:sz w:val="24"/>
          <w:szCs w:val="24"/>
          <w:highlight w:val="none"/>
          <w:u w:val="single"/>
        </w:rPr>
        <w:t>13.</w:t>
      </w:r>
      <w:r>
        <w:rPr>
          <w:rFonts w:hint="eastAsia" w:ascii="宋体" w:hAnsi="宋体" w:cs="宋体"/>
          <w:color w:val="auto"/>
          <w:sz w:val="24"/>
          <w:szCs w:val="24"/>
          <w:highlight w:val="none"/>
          <w:u w:val="single"/>
        </w:rPr>
        <w:t>合同附件（工程质量保修责任书、标函承诺书、项目负责人驻场承诺书、工程建设廉政协议书等）</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w:t>
      </w:r>
      <w:r>
        <w:rPr>
          <w:rFonts w:hint="eastAsia" w:ascii="宋体" w:hAnsi="宋体" w:cs="宋体"/>
          <w:b/>
          <w:color w:val="auto"/>
          <w:sz w:val="24"/>
          <w:highlight w:val="none"/>
        </w:rPr>
        <w:t>、语言文字和适用法律、标准及规范</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w:t>
      </w:r>
      <w:r>
        <w:rPr>
          <w:rFonts w:hint="eastAsia" w:ascii="宋体" w:hAnsi="宋体" w:cs="宋体"/>
          <w:color w:val="auto"/>
          <w:sz w:val="24"/>
          <w:szCs w:val="24"/>
          <w:highlight w:val="none"/>
        </w:rPr>
        <w:t>本合同除使用汉语外，还使用</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语言文字。</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w:t>
      </w:r>
      <w:r>
        <w:rPr>
          <w:rFonts w:hint="eastAsia" w:ascii="宋体" w:hAnsi="宋体" w:cs="宋体"/>
          <w:color w:val="auto"/>
          <w:sz w:val="24"/>
          <w:szCs w:val="24"/>
          <w:highlight w:val="none"/>
        </w:rPr>
        <w:t>适用法律和法规</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需要明示的法律、行政法规：</w:t>
      </w:r>
      <w:r>
        <w:rPr>
          <w:rFonts w:hint="eastAsia" w:ascii="宋体" w:hAnsi="宋体" w:cs="宋体"/>
          <w:color w:val="auto"/>
          <w:sz w:val="24"/>
          <w:szCs w:val="24"/>
          <w:highlight w:val="none"/>
          <w:u w:val="single"/>
        </w:rPr>
        <w:t>按照现行的法律、法规</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适用标准、规范</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适用标准、规范的名称：</w:t>
      </w:r>
      <w:r>
        <w:rPr>
          <w:rFonts w:hint="eastAsia" w:ascii="宋体" w:hAnsi="宋体" w:cs="宋体"/>
          <w:color w:val="auto"/>
          <w:sz w:val="24"/>
          <w:szCs w:val="24"/>
          <w:highlight w:val="none"/>
          <w:u w:val="single"/>
        </w:rPr>
        <w:t>相应工种现行施工规范</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发包人提供标准、规范的时间：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国内没有相应标准、规范时的约定：</w:t>
      </w:r>
      <w:r>
        <w:rPr>
          <w:rFonts w:hint="eastAsia" w:ascii="宋体" w:hAnsi="宋体" w:cs="宋体"/>
          <w:color w:val="auto"/>
          <w:sz w:val="24"/>
          <w:szCs w:val="24"/>
          <w:highlight w:val="none"/>
          <w:u w:val="single"/>
        </w:rPr>
        <w:t>按施工图纸，招标文件和广州开发区相关规定及答疑纪要的要求执行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w:t>
      </w:r>
      <w:r>
        <w:rPr>
          <w:rFonts w:hint="eastAsia" w:ascii="宋体" w:hAnsi="宋体" w:cs="宋体"/>
          <w:b/>
          <w:color w:val="auto"/>
          <w:sz w:val="24"/>
          <w:highlight w:val="none"/>
        </w:rPr>
        <w:t>、图纸</w:t>
      </w:r>
    </w:p>
    <w:p>
      <w:pPr>
        <w:snapToGrid w:val="0"/>
        <w:spacing w:line="440" w:lineRule="exact"/>
        <w:ind w:firstLine="315"/>
        <w:rPr>
          <w:rFonts w:ascii="宋体" w:hAnsi="宋体" w:cs="宋体"/>
          <w:color w:val="auto"/>
          <w:sz w:val="24"/>
          <w:szCs w:val="24"/>
          <w:highlight w:val="none"/>
          <w:u w:val="single"/>
        </w:rPr>
      </w:pPr>
      <w:r>
        <w:rPr>
          <w:rFonts w:ascii="宋体" w:hAnsi="宋体" w:cs="宋体"/>
          <w:color w:val="auto"/>
          <w:sz w:val="24"/>
          <w:szCs w:val="24"/>
          <w:highlight w:val="none"/>
        </w:rPr>
        <w:t>4.1</w:t>
      </w:r>
      <w:r>
        <w:rPr>
          <w:rFonts w:hint="eastAsia" w:ascii="宋体" w:hAnsi="宋体" w:cs="宋体"/>
          <w:color w:val="auto"/>
          <w:sz w:val="24"/>
          <w:szCs w:val="24"/>
          <w:highlight w:val="none"/>
        </w:rPr>
        <w:t>发包人向承包人提供图纸日期和套数：</w:t>
      </w:r>
      <w:r>
        <w:rPr>
          <w:rFonts w:hint="eastAsia" w:ascii="宋体" w:hAnsi="宋体" w:cs="宋体"/>
          <w:color w:val="auto"/>
          <w:sz w:val="24"/>
          <w:szCs w:val="24"/>
          <w:highlight w:val="none"/>
          <w:u w:val="single"/>
        </w:rPr>
        <w:t>开工前提供肆套图纸</w:t>
      </w:r>
      <w:r>
        <w:rPr>
          <w:rFonts w:hint="eastAsia" w:ascii="宋体" w:hAnsi="宋体" w:cs="宋体"/>
          <w:color w:val="auto"/>
          <w:sz w:val="24"/>
          <w:szCs w:val="24"/>
          <w:highlight w:val="none"/>
        </w:rPr>
        <w:t>。</w:t>
      </w:r>
    </w:p>
    <w:p>
      <w:pPr>
        <w:snapToGrid w:val="0"/>
        <w:spacing w:line="440" w:lineRule="exact"/>
        <w:ind w:left="997" w:leftChars="132" w:hanging="720" w:hangingChars="300"/>
        <w:rPr>
          <w:rFonts w:ascii="宋体" w:hAnsi="宋体" w:cs="宋体"/>
          <w:color w:val="auto"/>
          <w:sz w:val="24"/>
          <w:szCs w:val="24"/>
          <w:highlight w:val="none"/>
          <w:u w:val="single"/>
        </w:rPr>
      </w:pPr>
      <w:r>
        <w:rPr>
          <w:rFonts w:hint="eastAsia" w:ascii="宋体" w:hAnsi="宋体" w:cs="宋体"/>
          <w:color w:val="auto"/>
          <w:sz w:val="24"/>
          <w:szCs w:val="24"/>
          <w:highlight w:val="none"/>
        </w:rPr>
        <w:t>发包人对图纸的保密要求：</w:t>
      </w:r>
      <w:r>
        <w:rPr>
          <w:rFonts w:hint="eastAsia" w:ascii="宋体" w:hAnsi="宋体" w:cs="宋体"/>
          <w:color w:val="auto"/>
          <w:sz w:val="24"/>
          <w:szCs w:val="24"/>
          <w:highlight w:val="none"/>
          <w:u w:val="single"/>
        </w:rPr>
        <w:t>按本合同通用条款</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使用国外图纸的要求及费用承担：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二、双方一般权利和义务</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5</w:t>
      </w:r>
      <w:r>
        <w:rPr>
          <w:rFonts w:hint="eastAsia" w:ascii="宋体" w:hAnsi="宋体" w:cs="宋体"/>
          <w:b/>
          <w:color w:val="auto"/>
          <w:sz w:val="24"/>
          <w:highlight w:val="none"/>
        </w:rPr>
        <w:t>、工程师</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5.2</w:t>
      </w:r>
      <w:r>
        <w:rPr>
          <w:rFonts w:hint="eastAsia" w:ascii="宋体" w:hAnsi="宋体" w:cs="宋体"/>
          <w:color w:val="auto"/>
          <w:sz w:val="24"/>
          <w:szCs w:val="24"/>
          <w:highlight w:val="none"/>
        </w:rPr>
        <w:t>监理单位委派的工程师</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sz w:val="24"/>
          <w:szCs w:val="24"/>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总监理工程师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发包人委托的职权：</w:t>
      </w:r>
      <w:r>
        <w:rPr>
          <w:rFonts w:hint="eastAsia" w:ascii="宋体" w:hAnsi="宋体" w:cs="宋体"/>
          <w:color w:val="auto"/>
          <w:sz w:val="24"/>
          <w:szCs w:val="24"/>
          <w:highlight w:val="none"/>
          <w:u w:val="single"/>
        </w:rPr>
        <w:t>对本工程进行全过程的监理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需要取得发包人批准才能行使的职权：</w:t>
      </w:r>
      <w:r>
        <w:rPr>
          <w:rFonts w:hint="eastAsia" w:ascii="宋体" w:hAnsi="宋体" w:cs="宋体"/>
          <w:color w:val="auto"/>
          <w:sz w:val="24"/>
          <w:szCs w:val="24"/>
          <w:highlight w:val="none"/>
          <w:u w:val="single"/>
        </w:rPr>
        <w:t>按发包人与监理单位签订的监理合同有关规定执行，涉及变更签证或费用</w:t>
      </w:r>
      <w:r>
        <w:rPr>
          <w:rFonts w:hint="eastAsia" w:ascii="宋体" w:hAnsi="宋体" w:cs="宋体"/>
          <w:color w:val="auto"/>
          <w:sz w:val="24"/>
          <w:szCs w:val="24"/>
          <w:highlight w:val="none"/>
        </w:rPr>
        <w:t>调整、发布开工、停工、复工令等均需经</w:t>
      </w:r>
      <w:r>
        <w:rPr>
          <w:rFonts w:hint="eastAsia" w:ascii="宋体" w:hAnsi="宋体" w:cs="宋体"/>
          <w:color w:val="auto"/>
          <w:sz w:val="24"/>
          <w:szCs w:val="24"/>
          <w:highlight w:val="none"/>
          <w:u w:val="single"/>
        </w:rPr>
        <w:t>发包人书面认可</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常驻现场，代表监理单位履行与发包人签订的监理合同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5.3</w:t>
      </w:r>
      <w:r>
        <w:rPr>
          <w:rFonts w:hint="eastAsia" w:ascii="宋体" w:hAnsi="宋体" w:cs="宋体"/>
          <w:color w:val="auto"/>
          <w:sz w:val="24"/>
          <w:szCs w:val="24"/>
          <w:highlight w:val="none"/>
        </w:rPr>
        <w:t>发包人派驻的工程师</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sz w:val="24"/>
          <w:szCs w:val="24"/>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工程师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发包人代表，行使发包人的权利</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pacing w:val="-8"/>
          <w:sz w:val="24"/>
          <w:szCs w:val="24"/>
          <w:highlight w:val="none"/>
          <w:u w:val="single"/>
        </w:rPr>
      </w:pPr>
      <w:r>
        <w:rPr>
          <w:rFonts w:hint="eastAsia" w:ascii="宋体" w:hAnsi="宋体" w:cs="宋体"/>
          <w:color w:val="auto"/>
          <w:spacing w:val="-8"/>
          <w:sz w:val="24"/>
          <w:szCs w:val="24"/>
          <w:highlight w:val="none"/>
        </w:rPr>
        <w:t>义务：</w:t>
      </w:r>
      <w:r>
        <w:rPr>
          <w:rFonts w:hint="eastAsia" w:ascii="宋体" w:hAnsi="宋体" w:cs="宋体"/>
          <w:color w:val="auto"/>
          <w:spacing w:val="-8"/>
          <w:sz w:val="24"/>
          <w:szCs w:val="24"/>
          <w:highlight w:val="none"/>
          <w:u w:val="single"/>
        </w:rPr>
        <w:t>常驻现场，代表发包人负责工程质量、进度、技术、投资控制等施工期间的日常管理工作，履行与承包人签订的本建设工程施工合同。</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5.6</w:t>
      </w:r>
      <w:r>
        <w:rPr>
          <w:rFonts w:hint="eastAsia" w:ascii="宋体" w:hAnsi="宋体" w:cs="宋体"/>
          <w:color w:val="auto"/>
          <w:sz w:val="24"/>
          <w:szCs w:val="24"/>
          <w:highlight w:val="none"/>
        </w:rPr>
        <w:t>不实行监理的，工程师的职权：</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7</w:t>
      </w:r>
      <w:r>
        <w:rPr>
          <w:rFonts w:hint="eastAsia" w:ascii="宋体" w:hAnsi="宋体" w:cs="宋体"/>
          <w:b/>
          <w:color w:val="auto"/>
          <w:sz w:val="24"/>
          <w:highlight w:val="none"/>
        </w:rPr>
        <w:t>、项目负责人</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w:t>
      </w: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项目负责人</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姓名：</w:t>
      </w:r>
      <w:r>
        <w:rPr>
          <w:rFonts w:ascii="宋体" w:hAnsi="宋体" w:cs="宋体"/>
          <w:sz w:val="24"/>
          <w:szCs w:val="24"/>
          <w:u w:val="single"/>
        </w:rPr>
        <w:t xml:space="preserve">        </w:t>
      </w:r>
      <w:r>
        <w:rPr>
          <w:rFonts w:hint="eastAsia" w:ascii="宋体" w:hAnsi="宋体" w:cs="宋体"/>
          <w:color w:val="auto"/>
          <w:sz w:val="24"/>
          <w:szCs w:val="24"/>
          <w:highlight w:val="none"/>
        </w:rPr>
        <w:t>，职权：</w:t>
      </w:r>
      <w:r>
        <w:rPr>
          <w:rFonts w:hint="eastAsia" w:ascii="宋体" w:hAnsi="宋体" w:cs="宋体"/>
          <w:color w:val="auto"/>
          <w:sz w:val="24"/>
          <w:szCs w:val="24"/>
          <w:highlight w:val="none"/>
          <w:u w:val="single"/>
        </w:rPr>
        <w:t>代表承包人全权处理本工程的一切事务</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义务：</w:t>
      </w:r>
      <w:r>
        <w:rPr>
          <w:rFonts w:hint="eastAsia" w:ascii="宋体" w:hAnsi="宋体" w:cs="宋体"/>
          <w:color w:val="auto"/>
          <w:sz w:val="24"/>
          <w:szCs w:val="24"/>
          <w:highlight w:val="none"/>
          <w:u w:val="single"/>
        </w:rPr>
        <w:t>按照在投标文件中签署的（或在签订本合同前补充签署的）《项目负责人驻场承诺书》中的承诺常驻现场，代表承包人履行与发包人签订的本建设工程施工合同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7.4</w:t>
      </w:r>
      <w:r>
        <w:rPr>
          <w:rFonts w:hint="eastAsia" w:ascii="宋体" w:hAnsi="宋体" w:cs="宋体"/>
          <w:color w:val="auto"/>
          <w:sz w:val="24"/>
          <w:szCs w:val="24"/>
          <w:highlight w:val="none"/>
          <w:u w:val="single"/>
        </w:rPr>
        <w:t>承包人如需更换项目负责人或技术负责人，按有关规定执行，后任继续行使合同文件约定的前任的职权，履行前任的义务。未征得发包人书面同意，承包人不得更换项目负责人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7.5</w:t>
      </w:r>
      <w:r>
        <w:rPr>
          <w:rFonts w:hint="eastAsia" w:ascii="宋体" w:hAnsi="宋体" w:cs="宋体"/>
          <w:color w:val="auto"/>
          <w:sz w:val="24"/>
          <w:szCs w:val="24"/>
          <w:highlight w:val="none"/>
          <w:u w:val="single"/>
        </w:rPr>
        <w:t>发包人可以与承包人协商，建议更换其认为不称职的项目负责人，承包人应及时采纳发包人的建议予以更换，新更换的项目负责人应满足招标文件及本项目相应的资质要求并能胜任本项目的项目负责人工作</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7.6</w:t>
      </w:r>
      <w:r>
        <w:rPr>
          <w:rFonts w:hint="eastAsia" w:ascii="宋体" w:hAnsi="宋体" w:cs="宋体"/>
          <w:color w:val="auto"/>
          <w:sz w:val="24"/>
          <w:szCs w:val="24"/>
          <w:highlight w:val="none"/>
          <w:u w:val="single"/>
        </w:rPr>
        <w:t>承包人项目负责人不得兼任其他工程项目负责人，否则发包人可按单方面终止合同处理</w:t>
      </w:r>
      <w:r>
        <w:rPr>
          <w:rFonts w:hint="eastAsia" w:ascii="宋体" w:hAnsi="宋体" w:cs="宋体"/>
          <w:color w:val="auto"/>
          <w:sz w:val="24"/>
          <w:szCs w:val="24"/>
          <w:highlight w:val="none"/>
        </w:rPr>
        <w:t>。</w:t>
      </w:r>
    </w:p>
    <w:p>
      <w:pPr>
        <w:adjustRightInd w:val="0"/>
        <w:snapToGrid w:val="0"/>
        <w:spacing w:line="440" w:lineRule="exact"/>
        <w:ind w:right="11" w:firstLine="360" w:firstLineChars="150"/>
        <w:outlineLvl w:val="3"/>
        <w:rPr>
          <w:rFonts w:ascii="宋体" w:hAnsi="宋体" w:cs="宋体"/>
          <w:color w:val="auto"/>
          <w:sz w:val="24"/>
          <w:szCs w:val="24"/>
          <w:highlight w:val="none"/>
        </w:rPr>
      </w:pPr>
      <w:r>
        <w:rPr>
          <w:rFonts w:ascii="宋体" w:hAnsi="宋体" w:cs="宋体"/>
          <w:color w:val="auto"/>
          <w:sz w:val="24"/>
          <w:szCs w:val="24"/>
          <w:highlight w:val="none"/>
        </w:rPr>
        <w:t>7.7现场管理机构</w:t>
      </w:r>
    </w:p>
    <w:p>
      <w:pPr>
        <w:adjustRightInd w:val="0"/>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1）承包人必须按照投标文件的承诺建立现场管理机构，严格执行现行建设工程项目管理规范，并积极主动接受建设行政主管部门的监督和检查。</w:t>
      </w:r>
    </w:p>
    <w:p>
      <w:pPr>
        <w:adjustRightInd w:val="0"/>
        <w:snapToGrid w:val="0"/>
        <w:spacing w:line="440" w:lineRule="exact"/>
        <w:ind w:right="11" w:firstLine="460" w:firstLineChars="192"/>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2）现场管理机构各部主要组织管理人员在开工前必须全部到位，并接受总监理工程师和发包人代表的查验。承包人委派的现场管理机构各部主要组织管理人员不得有兼职情况存在，并需接受监理单位的监督。</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7.8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同意后方可更换。承包人必须保证后任人员的资质、资历、业绩、实际工作能力不低于前任人员的素质。</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7.9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7.10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8</w:t>
      </w:r>
      <w:r>
        <w:rPr>
          <w:rFonts w:hint="eastAsia" w:ascii="宋体" w:hAnsi="宋体" w:cs="宋体"/>
          <w:b/>
          <w:color w:val="auto"/>
          <w:sz w:val="24"/>
          <w:highlight w:val="none"/>
        </w:rPr>
        <w:t>、发包人工作</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8.1</w:t>
      </w:r>
      <w:r>
        <w:rPr>
          <w:rFonts w:hint="eastAsia" w:ascii="宋体" w:hAnsi="宋体" w:cs="宋体"/>
          <w:color w:val="auto"/>
          <w:sz w:val="24"/>
          <w:szCs w:val="24"/>
          <w:highlight w:val="none"/>
        </w:rPr>
        <w:t>发包人应按约定的时间和要求完成以下工作：</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）施工场地具备施工条件的要求及完成的时间：</w:t>
      </w:r>
      <w:r>
        <w:rPr>
          <w:rFonts w:hint="eastAsia" w:ascii="宋体" w:hAnsi="宋体" w:cs="宋体"/>
          <w:color w:val="auto"/>
          <w:sz w:val="24"/>
          <w:szCs w:val="24"/>
          <w:highlight w:val="none"/>
          <w:u w:val="single"/>
        </w:rPr>
        <w:t>土地征收、拆迁补偿工作完成时间原则上在开工前；因土地征收和拆迁补偿进度原因不能按时移交场地的，可采取分段逐步方式移交施工场地</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）将施工所需的水、电、电讯线路接至施工场地的时间、地点和供应要求：</w:t>
      </w:r>
      <w:r>
        <w:rPr>
          <w:rFonts w:hint="eastAsia" w:ascii="宋体" w:hAnsi="宋体" w:cs="宋体"/>
          <w:color w:val="auto"/>
          <w:sz w:val="24"/>
          <w:szCs w:val="24"/>
          <w:highlight w:val="none"/>
          <w:u w:val="single"/>
        </w:rPr>
        <w:t>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）施工场地与公共道路的通道开通时间和要求：</w:t>
      </w:r>
      <w:r>
        <w:rPr>
          <w:rFonts w:hint="eastAsia" w:ascii="宋体" w:hAnsi="宋体" w:cs="宋体"/>
          <w:color w:val="auto"/>
          <w:sz w:val="24"/>
          <w:szCs w:val="24"/>
          <w:highlight w:val="none"/>
          <w:u w:val="single"/>
        </w:rPr>
        <w:t>通道按现状，不论满足施工要求与否，该通道及施工便道均由承包人自行解决，费用已包在本工程中标总造价中</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）工程地质和地下管线资料的提供时间：</w:t>
      </w:r>
      <w:r>
        <w:rPr>
          <w:rFonts w:hint="eastAsia" w:ascii="宋体" w:hAnsi="宋体" w:cs="宋体"/>
          <w:color w:val="auto"/>
          <w:sz w:val="24"/>
          <w:szCs w:val="24"/>
          <w:highlight w:val="none"/>
          <w:u w:val="single"/>
        </w:rPr>
        <w:t>根据施工计划提前提供</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）由发包人办理的施工所需证件、批件的名称和完成时间：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）水准点与坐标控制点交验要求：</w:t>
      </w:r>
      <w:r>
        <w:rPr>
          <w:rFonts w:hint="eastAsia" w:ascii="宋体" w:hAnsi="宋体" w:cs="宋体"/>
          <w:color w:val="auto"/>
          <w:sz w:val="24"/>
          <w:szCs w:val="24"/>
          <w:highlight w:val="none"/>
          <w:u w:val="single"/>
        </w:rPr>
        <w:t>开工前交验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）图纸会审和设计交底时间：</w:t>
      </w:r>
      <w:r>
        <w:rPr>
          <w:rFonts w:hint="eastAsia" w:ascii="宋体" w:hAnsi="宋体" w:cs="宋体"/>
          <w:color w:val="auto"/>
          <w:sz w:val="24"/>
          <w:szCs w:val="24"/>
          <w:highlight w:val="none"/>
          <w:u w:val="single"/>
        </w:rPr>
        <w:t>工程施工前</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）协调处理施工场地周围地下管线和邻近建筑物、构筑物（含文物保护建筑）、古树名木的保护工作：</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）双方约定发包人应做的其他工作：</w:t>
      </w:r>
      <w:r>
        <w:rPr>
          <w:rFonts w:hint="eastAsia" w:ascii="宋体" w:hAnsi="宋体" w:cs="宋体"/>
          <w:color w:val="auto"/>
          <w:sz w:val="24"/>
          <w:szCs w:val="24"/>
          <w:highlight w:val="none"/>
          <w:u w:val="single"/>
        </w:rPr>
        <w:t>发包人按现有场地移交给承包人，承包人应无条件接受。</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8.2</w:t>
      </w:r>
      <w:r>
        <w:rPr>
          <w:rFonts w:hint="eastAsia" w:ascii="宋体" w:hAnsi="宋体" w:cs="宋体"/>
          <w:color w:val="auto"/>
          <w:sz w:val="24"/>
          <w:szCs w:val="24"/>
          <w:highlight w:val="none"/>
        </w:rPr>
        <w:t>发包人委托承包人办理的工作：</w:t>
      </w:r>
      <w:r>
        <w:rPr>
          <w:rFonts w:hint="eastAsia" w:ascii="宋体" w:hAnsi="宋体" w:cs="宋体"/>
          <w:color w:val="auto"/>
          <w:sz w:val="24"/>
          <w:szCs w:val="24"/>
          <w:highlight w:val="none"/>
          <w:u w:val="single"/>
        </w:rPr>
        <w:t>工程质监登记、合同鉴证、施工许可证、购买印花税等一切施工所需的审批、申领手续以及规划验收、消防验收、环保验收、防雷报建及验收、永久用水接驳及验收等工作。费用按政策规定各自承担相应部分。</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9</w:t>
      </w:r>
      <w:r>
        <w:rPr>
          <w:rFonts w:hint="eastAsia" w:ascii="宋体" w:hAnsi="宋体" w:cs="宋体"/>
          <w:b/>
          <w:color w:val="auto"/>
          <w:sz w:val="24"/>
          <w:highlight w:val="none"/>
        </w:rPr>
        <w:t>、承包人工作</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9.1</w:t>
      </w:r>
      <w:r>
        <w:rPr>
          <w:rFonts w:hint="eastAsia" w:ascii="宋体" w:hAnsi="宋体" w:cs="宋体"/>
          <w:color w:val="auto"/>
          <w:sz w:val="24"/>
          <w:szCs w:val="24"/>
          <w:highlight w:val="none"/>
        </w:rPr>
        <w:t>承包人应按约定时间和要求，完成以下工作：</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）需由设计资质等级和业务范围允许的承包人完成的设计文件提交时间：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）应提供计划、报表的名称及完成时间：</w:t>
      </w:r>
      <w:r>
        <w:rPr>
          <w:rFonts w:hint="eastAsia" w:ascii="宋体" w:hAnsi="宋体" w:cs="宋体"/>
          <w:color w:val="auto"/>
          <w:sz w:val="24"/>
          <w:szCs w:val="24"/>
          <w:highlight w:val="none"/>
          <w:u w:val="single"/>
        </w:rPr>
        <w:t>施工组织设计、管理人员架构表，于开工前三天报。提交工程年、季、月度计划及进度统计报表</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3）承担施工安全保卫工作及非夜间施工照明的责任和要求：</w:t>
      </w:r>
      <w:r>
        <w:rPr>
          <w:rFonts w:hint="eastAsia" w:ascii="宋体" w:hAnsi="宋体" w:cs="宋体"/>
          <w:color w:val="auto"/>
          <w:sz w:val="24"/>
          <w:szCs w:val="24"/>
          <w:highlight w:val="none"/>
          <w:u w:val="single"/>
        </w:rPr>
        <w:t>按招标文件要求及国家、省、市、区相关规定执行，并满足本工程需要</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根据工程需要，提供和维护施工使用的照明、围栏设施和警卫，并负责整个现场的安全生产和绿色施工、安全保卫。</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承包人自行解决办公、交通、生活及通讯等设施，费用已包含在本工程中标总造价中；</w:t>
      </w:r>
      <w:r>
        <w:rPr>
          <w:rFonts w:ascii="宋体" w:hAnsi="宋体" w:cs="宋体"/>
          <w:color w:val="auto"/>
          <w:sz w:val="24"/>
          <w:szCs w:val="24"/>
          <w:highlight w:val="none"/>
        </w:rPr>
        <w:t>向发包人或监理工程师提供的办公、交通和生活、通讯设施的要求：</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5）需承包人办理有关施工场地交通、环卫和施工噪音管理等手续：</w:t>
      </w:r>
      <w:r>
        <w:rPr>
          <w:rFonts w:hint="eastAsia" w:ascii="宋体" w:hAnsi="宋体" w:cs="宋体"/>
          <w:color w:val="auto"/>
          <w:sz w:val="24"/>
          <w:szCs w:val="24"/>
          <w:highlight w:val="none"/>
          <w:u w:val="single"/>
        </w:rPr>
        <w:t>承包人按本合同通用条款要求执行，并承担相关费用</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）已完工程成品保护的特殊要求及费用承担：</w:t>
      </w:r>
      <w:r>
        <w:rPr>
          <w:rFonts w:hint="eastAsia" w:ascii="宋体" w:hAnsi="宋体" w:cs="宋体"/>
          <w:color w:val="auto"/>
          <w:sz w:val="24"/>
          <w:szCs w:val="24"/>
          <w:highlight w:val="none"/>
          <w:u w:val="single"/>
        </w:rPr>
        <w:t>按本合同通用条款执行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）施工场地周围地下管线和邻近建筑物、构筑物（含文物保护建筑）、古树名木的保护要求及费用承担：</w:t>
      </w:r>
      <w:r>
        <w:rPr>
          <w:rFonts w:hint="eastAsia" w:ascii="宋体" w:hAnsi="宋体" w:cs="宋体"/>
          <w:color w:val="auto"/>
          <w:sz w:val="24"/>
          <w:szCs w:val="24"/>
          <w:highlight w:val="none"/>
          <w:u w:val="single"/>
        </w:rPr>
        <w:t>除文物保护外的保护费全部由承包人承担</w:t>
      </w:r>
      <w:r>
        <w:rPr>
          <w:rFonts w:hint="eastAsia" w:ascii="宋体" w:hAnsi="宋体" w:cs="宋体"/>
          <w:color w:val="auto"/>
          <w:sz w:val="24"/>
          <w:szCs w:val="24"/>
          <w:highlight w:val="none"/>
        </w:rPr>
        <w:t>。</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（8）施工场地清洁卫生的要求：</w:t>
      </w:r>
      <w:r>
        <w:rPr>
          <w:rFonts w:hint="eastAsia" w:ascii="宋体" w:hAnsi="宋体" w:cs="宋体"/>
          <w:color w:val="auto"/>
          <w:sz w:val="24"/>
          <w:szCs w:val="24"/>
          <w:highlight w:val="none"/>
          <w:u w:val="single"/>
        </w:rPr>
        <w:t>满足文明施工要求及广州市、黄埔区关于扬尘治理的有关要求。保证施工场地清洁符合环境卫生管理的有关规定，交工前清理现场达到合同约定的要求（包括建筑物周围余土、垃圾、生产和生活临时设施拆除），并将门窗、玻璃、地面擦扫干净，厕所厨房的排水和给水管道清理干净、畅通，做到工完场清。承担因自身原因违反有关规定造成的损失和罚款。</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9）双方约定承包人应做的其他工作：</w:t>
      </w:r>
    </w:p>
    <w:p>
      <w:pPr>
        <w:keepNext w:val="0"/>
        <w:keepLines w:val="0"/>
        <w:pageBreakBefore w:val="0"/>
        <w:widowControl w:val="0"/>
        <w:kinsoku/>
        <w:wordWrap/>
        <w:overflowPunct/>
        <w:topLinePunct w:val="0"/>
        <w:autoSpaceDE/>
        <w:autoSpaceDN/>
        <w:bidi w:val="0"/>
        <w:adjustRightInd/>
        <w:snapToGrid w:val="0"/>
        <w:spacing w:line="440" w:lineRule="exact"/>
        <w:ind w:firstLine="397"/>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承包人应根据相关规定及发包人的要求、合同约定对发包人另行发包的专业承包单位进行统一管理和配合服务。包括但不限于：项目总进度计划协调管理；公共临时设施管理；公共文明施工和安全生产设施管理；现场综合管理；内部沟通与外部协调；总体设计与技术督导的协调配合；为发包人另行发包的专业承包单位提供标高、基准点与平面控制、轴线；提供工作面（含基础、预埋件、预留孔洞）；提供施工用水、用电的接驳点；成品保护；协助发包人办理项目竣工验收、竣工资料和竣工备案；为发包人另行发包的专业承包单位提供生产、生活用场地；提供公共运输道路和通道；提供公共水平、垂直运输设施；提供公共外排栅、外脚手架；负责组织整体竣工验收及整体工程资料汇总及整理工作以及其它管理和配合服务。承包人应按照</w:t>
      </w:r>
      <w:r>
        <w:rPr>
          <w:rFonts w:hint="eastAsia" w:ascii="宋体" w:hAnsi="宋体" w:cs="宋体"/>
          <w:color w:val="auto"/>
          <w:sz w:val="24"/>
          <w:highlight w:val="none"/>
          <w:u w:val="single"/>
        </w:rPr>
        <w:t>《广州市住房和城乡建设局关于规范房屋建筑工程施工承发包管理的通知》(穗建规字〔2019〕10号)</w:t>
      </w:r>
      <w:r>
        <w:rPr>
          <w:rFonts w:hint="eastAsia" w:ascii="宋体" w:hAnsi="宋体" w:cs="宋体"/>
          <w:color w:val="auto"/>
          <w:sz w:val="24"/>
          <w:szCs w:val="24"/>
          <w:highlight w:val="none"/>
          <w:u w:val="single"/>
        </w:rPr>
        <w:t>的规定，对本工程所有专业承包工程负全面管理责任，对施工现场的安全生产、文明施工等工作负总责。承包人对发包人单独发包的专业工程的安全生产、文明施工等工作承担连带责任。承包人应主动配合发包人单独发包的其他专业承包工程的施工，承担由于自身管理、配合服务和协调不到位而导致的违约责任和连带违约责任。（注：总承包工程适用本条款）</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②承包人应按照《广州市建筑施工实名制管理办法》的规定，进场施工前在市建设领域管理应用信息平台上进行实名制登记并安排专职人员进行动态维护，实名制信息内容包含但不限以下内容：建筑从业人员基本信息、作业工人考勤与工资支付信息、施工进度情况信息等。承包人应对依法分包的专业工程和劳务工程的承包人实施统一管理，督促落实实名制管理。发包人及监理单位将不定期抽查承包人实名制管理的执行情况，如发现违反本合同有关约定的，将追究承包人相应违约责任。</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③承包人应按照《广州市建设领域工人工资支付分账管理实施细则》的规定选择商业银行开立工人工资支付专用账户，在用工之日起</w:t>
      </w:r>
      <w:r>
        <w:rPr>
          <w:rFonts w:ascii="宋体" w:hAnsi="宋体" w:cs="宋体"/>
          <w:color w:val="auto"/>
          <w:sz w:val="24"/>
          <w:szCs w:val="24"/>
          <w:highlight w:val="none"/>
        </w:rPr>
        <w:t>15日内为每个工人办理工人工资个人账户，保证按时足额支付工人工资。承包人应对</w:t>
      </w:r>
      <w:r>
        <w:rPr>
          <w:rFonts w:hint="eastAsia" w:ascii="宋体" w:hAnsi="宋体" w:cs="宋体"/>
          <w:color w:val="auto"/>
          <w:sz w:val="24"/>
          <w:szCs w:val="24"/>
          <w:highlight w:val="none"/>
        </w:rPr>
        <w:t>依法分包的专业工程和劳务工程的承包人实施统一管理，严格按国家、省、市关于农民工工资实施总承包单位代发制度的相关规定代发分包单位工人工资。</w:t>
      </w:r>
    </w:p>
    <w:p>
      <w:pPr>
        <w:snapToGrid w:val="0"/>
        <w:spacing w:line="440" w:lineRule="exact"/>
        <w:ind w:firstLine="397"/>
        <w:rPr>
          <w:rFonts w:ascii="宋体" w:hAnsi="宋体" w:cs="宋体"/>
          <w:color w:val="auto"/>
          <w:sz w:val="24"/>
          <w:highlight w:val="none"/>
        </w:rPr>
      </w:pPr>
      <w:r>
        <w:rPr>
          <w:rFonts w:hint="eastAsia" w:ascii="宋体" w:hAnsi="宋体" w:cs="宋体"/>
          <w:color w:val="auto"/>
          <w:sz w:val="24"/>
          <w:szCs w:val="24"/>
          <w:highlight w:val="none"/>
        </w:rPr>
        <w:t>④承包人应当建立工人考勤、工资结算和支付等管理台账，存档备查，并将相关信息按月报送发包人及监理单位。</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10）承包人应在本项目中投入使用燃料电池汽车等新能源工程车,且投入数量占本项目投入的建筑垃圾自卸车（渣土车）总数比例不得低于40%，相关费用已包含在合同价中，不另行计取。</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11）承包人应当建立燃料电池汽车等新能源工程车投入管理台账备查，并将投入现场的影像等相关资料按要求报送发包人及监理单位核查。</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三、施工组织设计和工期</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10</w:t>
      </w:r>
      <w:r>
        <w:rPr>
          <w:rFonts w:hint="eastAsia" w:ascii="宋体" w:hAnsi="宋体" w:cs="宋体"/>
          <w:b/>
          <w:color w:val="auto"/>
          <w:sz w:val="24"/>
          <w:highlight w:val="none"/>
        </w:rPr>
        <w:t>、进度计划</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10.1</w:t>
      </w:r>
      <w:r>
        <w:rPr>
          <w:rFonts w:hint="eastAsia" w:ascii="宋体" w:hAnsi="宋体" w:cs="宋体"/>
          <w:color w:val="auto"/>
          <w:sz w:val="24"/>
          <w:szCs w:val="24"/>
          <w:highlight w:val="none"/>
        </w:rPr>
        <w:t>承包人提供施工组织设计</w:t>
      </w:r>
      <w:r>
        <w:rPr>
          <w:rFonts w:ascii="宋体" w:hAnsi="宋体" w:cs="宋体"/>
          <w:color w:val="auto"/>
          <w:sz w:val="24"/>
          <w:szCs w:val="24"/>
          <w:highlight w:val="none"/>
        </w:rPr>
        <w:t>(施工方案)和进度计划时间：</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承包人应于接到中标通知书后</w:t>
      </w:r>
      <w:r>
        <w:rPr>
          <w:rFonts w:ascii="宋体" w:hAnsi="宋体" w:cs="宋体"/>
          <w:color w:val="auto"/>
          <w:sz w:val="24"/>
          <w:szCs w:val="24"/>
          <w:highlight w:val="none"/>
          <w:u w:val="single"/>
        </w:rPr>
        <w:t>4天内向发包人提交总体工程进度计划（网络计划），并</w:t>
      </w:r>
      <w:r>
        <w:rPr>
          <w:rFonts w:hint="eastAsia" w:ascii="宋体" w:hAnsi="宋体" w:cs="宋体"/>
          <w:color w:val="auto"/>
          <w:sz w:val="24"/>
          <w:szCs w:val="24"/>
          <w:highlight w:val="none"/>
          <w:u w:val="single"/>
        </w:rPr>
        <w:t>于开工前</w:t>
      </w:r>
      <w:r>
        <w:rPr>
          <w:rFonts w:ascii="宋体" w:hAnsi="宋体" w:cs="宋体"/>
          <w:color w:val="auto"/>
          <w:sz w:val="24"/>
          <w:szCs w:val="24"/>
          <w:highlight w:val="none"/>
          <w:u w:val="single"/>
        </w:rPr>
        <w:t>3天内提交施工组织设计（施工方案）给发包人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承包人提交的施工组织设计应当按监理工程师及国家、省、市及广州开发区关于施工承包管理的要求编制</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编制的工程进度计划内容应全面详实，且应针对承包管理范围内的各专业承包工程及建筑工程的全部或分项施工作业和特点提出施工方法、施工穿插顺序及时间安排，并在各节点位置标注相应的工程量、资金使用计划、人机组织及材料消耗量</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总监理工程师在接到承包人提交的施工组织设计和工程进度计划后，予以确认或提出修改意见</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工程师确认的时间：</w:t>
      </w:r>
      <w:r>
        <w:rPr>
          <w:rFonts w:hint="eastAsia" w:ascii="宋体" w:hAnsi="宋体" w:cs="宋体"/>
          <w:color w:val="auto"/>
          <w:sz w:val="24"/>
          <w:szCs w:val="24"/>
          <w:highlight w:val="none"/>
          <w:u w:val="single"/>
        </w:rPr>
        <w:t>开工前</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10.2</w:t>
      </w:r>
      <w:r>
        <w:rPr>
          <w:rFonts w:hint="eastAsia" w:ascii="宋体" w:hAnsi="宋体" w:cs="宋体"/>
          <w:color w:val="auto"/>
          <w:sz w:val="24"/>
          <w:szCs w:val="24"/>
          <w:highlight w:val="none"/>
          <w:u w:val="single"/>
        </w:rPr>
        <w:t>为便于总监理工程师掌握和控制工期，承包人应于每周一及每月底向总监理工程师填报各专业工程（含各分部、分项工程及专业承包工程）的周计划完成情况及当月进度计划完成情况（没完成计划的必须说明原因），并在此基础上更新工程进度计划、资金计划和其它工作计划。总监理工程师在接到报告后予以确认或提出书面意见，承包人必须按照总监理工程师的确认或者书面意见执行。（报监理工程师的同时，抄送一份给发包人。）</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10.3</w:t>
      </w:r>
      <w:r>
        <w:rPr>
          <w:rFonts w:hint="eastAsia" w:ascii="宋体" w:hAnsi="宋体" w:cs="宋体"/>
          <w:color w:val="auto"/>
          <w:sz w:val="24"/>
          <w:szCs w:val="24"/>
          <w:highlight w:val="none"/>
          <w:u w:val="single"/>
        </w:rPr>
        <w:t>工程实际进度与经总监理工程师确认的进度计划或者更新进度计划不符时，总监理工程师认为本工程或其中任何部分工程进度滞后而不能按预定工期完工，则应将此情况通知承包人，承包人应据此编制修改工程进度计划，采取总监理工程师同意的必要措施加快工程进度，属承包人原因，则承包人无权要求发包人支付任何附加费用。如承包人未能在工程师发布指令后</w:t>
      </w:r>
      <w:r>
        <w:rPr>
          <w:rFonts w:ascii="宋体" w:hAnsi="宋体" w:cs="宋体"/>
          <w:color w:val="auto"/>
          <w:sz w:val="24"/>
          <w:szCs w:val="24"/>
          <w:highlight w:val="none"/>
          <w:u w:val="single"/>
        </w:rPr>
        <w:t>10天内采取有效措施，工程进度仍然无明显改进，发包人有权解除部分或全部合同，将未完工程另行发包给其他有能力的第三方，承包人必须无条件服从，由此所造成的全部损失由承包人承担，并追究承包人的违约赔偿责任</w:t>
      </w:r>
      <w:r>
        <w:rPr>
          <w:rFonts w:hint="eastAsia" w:ascii="宋体" w:hAnsi="宋体" w:cs="宋体"/>
          <w:color w:val="auto"/>
          <w:sz w:val="24"/>
          <w:szCs w:val="24"/>
          <w:highlight w:val="none"/>
        </w:rPr>
        <w:t>。</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11、开工及延期开工</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w:t>
      </w:r>
      <w:r>
        <w:rPr>
          <w:rFonts w:hint="eastAsia" w:ascii="宋体" w:hAnsi="宋体" w:cs="宋体"/>
          <w:color w:val="auto"/>
          <w:sz w:val="24"/>
          <w:szCs w:val="24"/>
          <w:highlight w:val="none"/>
        </w:rPr>
        <w:t>开工日期和竣工日期</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11.1.1</w:t>
      </w:r>
      <w:r>
        <w:rPr>
          <w:rFonts w:hint="eastAsia" w:ascii="宋体" w:hAnsi="宋体" w:cs="宋体"/>
          <w:color w:val="auto"/>
          <w:sz w:val="24"/>
          <w:szCs w:val="24"/>
          <w:highlight w:val="none"/>
        </w:rPr>
        <w:t>本工程工期为</w:t>
      </w:r>
      <w:r>
        <w:rPr>
          <w:rFonts w:ascii="宋体" w:hAnsi="宋体" w:cs="宋体"/>
          <w:sz w:val="24"/>
          <w:szCs w:val="24"/>
          <w:u w:val="single"/>
        </w:rPr>
        <w:t xml:space="preserve">   </w:t>
      </w:r>
      <w:r>
        <w:rPr>
          <w:rFonts w:hint="eastAsia" w:ascii="宋体" w:hAnsi="宋体" w:cs="宋体"/>
          <w:color w:val="auto"/>
          <w:sz w:val="24"/>
          <w:szCs w:val="24"/>
          <w:highlight w:val="none"/>
        </w:rPr>
        <w:t>日历天。其中开工时间初定为</w:t>
      </w:r>
      <w:r>
        <w:rPr>
          <w:rFonts w:ascii="宋体" w:hAnsi="宋体" w:cs="宋体"/>
          <w:sz w:val="24"/>
          <w:szCs w:val="24"/>
          <w:u w:val="single"/>
        </w:rPr>
        <w:t xml:space="preserve">   </w:t>
      </w:r>
      <w:r>
        <w:rPr>
          <w:rFonts w:hint="eastAsia" w:ascii="宋体" w:hAnsi="宋体" w:cs="宋体"/>
          <w:color w:val="auto"/>
          <w:sz w:val="24"/>
          <w:szCs w:val="24"/>
          <w:highlight w:val="none"/>
        </w:rPr>
        <w:t>年</w:t>
      </w:r>
      <w:r>
        <w:rPr>
          <w:rFonts w:ascii="宋体" w:hAnsi="宋体" w:cs="宋体"/>
          <w:sz w:val="24"/>
          <w:szCs w:val="24"/>
          <w:u w:val="single"/>
        </w:rPr>
        <w:t xml:space="preserve">   </w:t>
      </w:r>
      <w:r>
        <w:rPr>
          <w:rFonts w:hint="eastAsia" w:ascii="宋体" w:hAnsi="宋体" w:cs="宋体"/>
          <w:color w:val="auto"/>
          <w:sz w:val="24"/>
          <w:szCs w:val="24"/>
          <w:highlight w:val="none"/>
        </w:rPr>
        <w:t>月</w:t>
      </w:r>
      <w:r>
        <w:rPr>
          <w:rFonts w:ascii="宋体" w:hAnsi="宋体" w:cs="宋体"/>
          <w:sz w:val="24"/>
          <w:szCs w:val="24"/>
          <w:u w:val="single"/>
        </w:rPr>
        <w:t xml:space="preserve">   </w:t>
      </w:r>
      <w:r>
        <w:rPr>
          <w:rFonts w:hint="eastAsia" w:ascii="宋体" w:hAnsi="宋体" w:cs="宋体"/>
          <w:color w:val="auto"/>
          <w:sz w:val="24"/>
          <w:szCs w:val="24"/>
          <w:highlight w:val="none"/>
        </w:rPr>
        <w:t>日。（具体开工日期以发包人或监理单位开工令或批准的开工报告日期为准）</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11.1.2</w:t>
      </w:r>
      <w:r>
        <w:rPr>
          <w:rFonts w:hint="eastAsia" w:ascii="宋体" w:hAnsi="宋体" w:cs="宋体"/>
          <w:color w:val="auto"/>
          <w:sz w:val="24"/>
          <w:szCs w:val="24"/>
          <w:highlight w:val="none"/>
        </w:rPr>
        <w:t>承包人必须采取一切有效措施保证竣工日期，不得延误。除非发生了以下情形：</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政府对本工程建设项目作出停建、缓建的决定</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重大设计变更导致本工程在规划、使用、功能方面有重大调整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不可抗力持续影响而延误工期超过</w:t>
      </w:r>
      <w:r>
        <w:rPr>
          <w:rFonts w:ascii="宋体" w:hAnsi="宋体" w:cs="宋体"/>
          <w:color w:val="auto"/>
          <w:sz w:val="24"/>
          <w:szCs w:val="24"/>
          <w:highlight w:val="none"/>
          <w:u w:val="single"/>
        </w:rPr>
        <w:t>12</w:t>
      </w:r>
      <w:r>
        <w:rPr>
          <w:rFonts w:hint="eastAsia" w:ascii="宋体" w:hAnsi="宋体" w:cs="宋体"/>
          <w:color w:val="auto"/>
          <w:sz w:val="24"/>
          <w:szCs w:val="24"/>
          <w:highlight w:val="none"/>
          <w:u w:val="single"/>
        </w:rPr>
        <w:t>天以上</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本合同专用条款约定的其他非承包人原因导致的工期延误</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11.2</w:t>
      </w:r>
      <w:r>
        <w:rPr>
          <w:rFonts w:hint="eastAsia" w:ascii="宋体" w:hAnsi="宋体" w:cs="宋体"/>
          <w:color w:val="auto"/>
          <w:sz w:val="24"/>
          <w:szCs w:val="24"/>
          <w:highlight w:val="none"/>
        </w:rPr>
        <w:t>延期开工：</w:t>
      </w:r>
    </w:p>
    <w:p>
      <w:pPr>
        <w:adjustRightInd w:val="0"/>
        <w:snapToGrid w:val="0"/>
        <w:spacing w:line="440" w:lineRule="exact"/>
        <w:ind w:right="11" w:firstLine="420" w:firstLineChars="175"/>
        <w:rPr>
          <w:rFonts w:ascii="宋体" w:hAnsi="宋体" w:cs="宋体"/>
          <w:color w:val="auto"/>
          <w:sz w:val="24"/>
          <w:szCs w:val="24"/>
          <w:highlight w:val="none"/>
          <w:u w:val="single"/>
        </w:rPr>
      </w:pPr>
      <w:r>
        <w:rPr>
          <w:rFonts w:ascii="宋体" w:hAnsi="宋体" w:cs="宋体"/>
          <w:color w:val="auto"/>
          <w:sz w:val="24"/>
          <w:szCs w:val="24"/>
          <w:highlight w:val="none"/>
        </w:rPr>
        <w:t>11.2.1</w:t>
      </w:r>
      <w:r>
        <w:rPr>
          <w:rFonts w:hint="eastAsia" w:ascii="宋体" w:hAnsi="宋体" w:cs="宋体"/>
          <w:color w:val="auto"/>
          <w:sz w:val="24"/>
          <w:szCs w:val="24"/>
          <w:highlight w:val="none"/>
          <w:u w:val="single"/>
        </w:rPr>
        <w:t>因发包人原因不能按照协议书约定的开工日期开工或暂停施工的，总监理工程师应通知承包人推迟开工日期，经监理单位、发包人确认后，工期可相应顺延，但不作费用补偿</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11.2.2</w:t>
      </w:r>
      <w:r>
        <w:rPr>
          <w:rFonts w:hint="eastAsia" w:ascii="宋体" w:hAnsi="宋体" w:cs="宋体"/>
          <w:color w:val="auto"/>
          <w:sz w:val="24"/>
          <w:szCs w:val="24"/>
          <w:highlight w:val="none"/>
          <w:u w:val="single"/>
        </w:rPr>
        <w:t>承包人未能主动及时地履行其协调、配合服务义务而造成专业承包单位无法开工，由此产生的工期延误等损失由承包人承担，并承担违约责任</w:t>
      </w:r>
      <w:r>
        <w:rPr>
          <w:rFonts w:hint="eastAsia" w:ascii="宋体" w:hAnsi="宋体" w:cs="宋体"/>
          <w:color w:val="auto"/>
          <w:sz w:val="24"/>
          <w:szCs w:val="24"/>
          <w:highlight w:val="none"/>
        </w:rPr>
        <w:t>。</w:t>
      </w:r>
    </w:p>
    <w:p>
      <w:pPr>
        <w:snapToGrid w:val="0"/>
        <w:spacing w:line="440" w:lineRule="exact"/>
        <w:ind w:firstLine="482" w:firstLineChars="200"/>
        <w:rPr>
          <w:rFonts w:ascii="宋体" w:hAnsi="宋体" w:cs="宋体"/>
          <w:b/>
          <w:color w:val="auto"/>
          <w:sz w:val="24"/>
          <w:highlight w:val="none"/>
        </w:rPr>
      </w:pPr>
      <w:r>
        <w:rPr>
          <w:rFonts w:ascii="宋体" w:hAnsi="宋体" w:cs="宋体"/>
          <w:b/>
          <w:color w:val="auto"/>
          <w:sz w:val="24"/>
          <w:highlight w:val="none"/>
        </w:rPr>
        <w:t>12、暂停施工</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12.1因下列原因，总监理工程师报经发包人同意，可通知承包人暂停施工：</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工程设计发生重大变更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不可抗力</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质量事故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安全生产事故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因承包人管理不善，可能导致现场混乱</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承包人违规施工，经监理工程师通知改正但仍不执行</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承包人不得以与发包人有争议为由或者以争议未解决为由而单方面停工。否则，应按约定承担工期延误的违约责任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因发生上述第（</w:t>
      </w:r>
      <w:r>
        <w:rPr>
          <w:rFonts w:ascii="宋体" w:hAnsi="宋体" w:cs="宋体"/>
          <w:color w:val="auto"/>
          <w:sz w:val="24"/>
          <w:szCs w:val="24"/>
          <w:highlight w:val="none"/>
          <w:u w:val="single"/>
        </w:rPr>
        <w:t>1）、（2）项原因而暂停施工</w:t>
      </w:r>
      <w:r>
        <w:rPr>
          <w:rFonts w:hint="eastAsia" w:ascii="宋体" w:hAnsi="宋体" w:cs="宋体"/>
          <w:color w:val="auto"/>
          <w:sz w:val="24"/>
          <w:szCs w:val="24"/>
          <w:highlight w:val="none"/>
          <w:u w:val="single"/>
        </w:rPr>
        <w:t>的，工期可协商调整，因发生上述第（</w:t>
      </w:r>
      <w:r>
        <w:rPr>
          <w:rFonts w:ascii="宋体" w:hAnsi="宋体" w:cs="宋体"/>
          <w:color w:val="auto"/>
          <w:sz w:val="24"/>
          <w:szCs w:val="24"/>
          <w:highlight w:val="none"/>
          <w:u w:val="single"/>
        </w:rPr>
        <w:t>3）、（4）、（5）、（6）项原因而暂停施工</w:t>
      </w:r>
      <w:r>
        <w:rPr>
          <w:rFonts w:hint="eastAsia" w:ascii="宋体" w:hAnsi="宋体" w:cs="宋体"/>
          <w:color w:val="auto"/>
          <w:sz w:val="24"/>
          <w:szCs w:val="24"/>
          <w:highlight w:val="none"/>
          <w:u w:val="single"/>
        </w:rPr>
        <w:t>的，工期不予顺延</w:t>
      </w:r>
      <w:r>
        <w:rPr>
          <w:rFonts w:ascii="宋体" w:hAnsi="宋体" w:cs="宋体"/>
          <w:color w:val="auto"/>
          <w:sz w:val="24"/>
          <w:szCs w:val="24"/>
          <w:highlight w:val="none"/>
          <w:u w:val="single"/>
        </w:rPr>
        <w:t>,承包人必须承担由此发生的费用并向发包人承担违约责任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12.2为了保证工程质量安全，凡</w:t>
      </w:r>
      <w:r>
        <w:rPr>
          <w:rFonts w:hint="eastAsia" w:ascii="宋体" w:hAnsi="宋体" w:cs="宋体"/>
          <w:color w:val="auto"/>
          <w:sz w:val="24"/>
          <w:szCs w:val="24"/>
          <w:highlight w:val="none"/>
        </w:rPr>
        <w:t>承包人出现下列情况之一（不限于此）的，总监理工程师有权下达停工令，责令承包人停工整改，由此造成的损失由承包人自行承担，工期不予顺延，如果造成工期延误的，承包人还应承担违约责任。</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拒绝监理单位管理</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施工组织设计（方案）未获总监理工程师批准而进行施工</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未经监理单位检验而进行下一道工序作业者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擅自采用未经监理单位及发包人认可或批准的材料的，或者使用的原材料、构配件不合格或未经检查确认的，或者擅自采用未经认可的代用材料的</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擅自变更设计图纸的要求</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转包工程</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擅自让未经总监理工程师批准的专业承包单位进场作业</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存在安全隐患，未按监理单位要求及时进行整改</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未按双方约定的资料上报要求上报所需资料的</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12.3因不可抗力引起工程停工，工期按</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第12.1款</w:t>
      </w:r>
      <w:r>
        <w:rPr>
          <w:rFonts w:hint="eastAsia" w:ascii="宋体" w:hAnsi="宋体" w:cs="宋体"/>
          <w:color w:val="auto"/>
          <w:sz w:val="24"/>
          <w:szCs w:val="24"/>
          <w:highlight w:val="none"/>
        </w:rPr>
        <w:t>约定执行，费用承担按以下原则：</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因工程损害导致第三方人员伤亡和财产损失，如系在工程竣工验收合格移交给发包人使用前造成的，费用由承包人承担；如系在工程竣工验收合格移交给发包人使用后发生的，费用由发包人承担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运至施工场地用于施工的材料和待安装的设备的损害，属发包人供应的由发包人承担；属承包人采购的由承包人承担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发包人承包人人员伤亡由其所在单位负责，并承担相应费用</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承包人机械设备损坏及停工损失由承包人承担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u w:val="single"/>
        </w:rPr>
        <w:t>停工期间，承包人应总监理工程师要求留在施工场地的必要的管理人员及保卫人员的费用由承包人承担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u w:val="single"/>
        </w:rPr>
        <w:t>工程所需清理、修复费用由发包人承担</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12.4</w:t>
      </w:r>
      <w:r>
        <w:rPr>
          <w:rFonts w:hint="eastAsia" w:ascii="宋体" w:hAnsi="宋体" w:cs="宋体"/>
          <w:color w:val="auto"/>
          <w:sz w:val="24"/>
          <w:szCs w:val="24"/>
          <w:highlight w:val="none"/>
          <w:u w:val="single"/>
        </w:rPr>
        <w:t>由于承包人自身原因或施工承包管理、配合及协调不力，而导致专业承包工程停工，产生的费用由承包人承担</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13、工期延误</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13.2</w:t>
      </w:r>
      <w:r>
        <w:rPr>
          <w:rFonts w:hint="eastAsia" w:ascii="宋体" w:hAnsi="宋体" w:cs="宋体"/>
          <w:color w:val="auto"/>
          <w:sz w:val="24"/>
          <w:szCs w:val="24"/>
          <w:highlight w:val="none"/>
          <w:u w:val="single"/>
        </w:rPr>
        <w:t>对于非因承包人原因发生的工期延误，承包人应当在工期延误事件发生后</w:t>
      </w:r>
      <w:r>
        <w:rPr>
          <w:rFonts w:ascii="宋体" w:hAnsi="宋体" w:cs="宋体"/>
          <w:color w:val="auto"/>
          <w:sz w:val="24"/>
          <w:szCs w:val="24"/>
          <w:highlight w:val="none"/>
          <w:u w:val="single"/>
        </w:rPr>
        <w:t>7天内就延误的内容经总监理工程师向发包人提出书面报告，逾期不报告，发包人不予确认；发包人在收到经总监理工程师确认报告后15个工作日内予以答复，逾期不予答复，承包人即可视为延期要求已被确认。经确认同意延期，可顺延工期，但不作费用补偿</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四、质量与验收</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15、工程质量</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15.3</w:t>
      </w:r>
      <w:r>
        <w:rPr>
          <w:rFonts w:hint="eastAsia" w:ascii="宋体" w:hAnsi="宋体" w:cs="宋体"/>
          <w:bCs/>
          <w:color w:val="auto"/>
          <w:sz w:val="24"/>
          <w:szCs w:val="24"/>
          <w:highlight w:val="none"/>
          <w:u w:val="single"/>
        </w:rPr>
        <w:t>承包人必须严格按照设计施工图和国家及行业颁发的现行有关设计、施工及验收规范的要求进行施工，确保工程质量，</w:t>
      </w:r>
      <w:r>
        <w:rPr>
          <w:rFonts w:hint="eastAsia" w:ascii="宋体" w:hAnsi="宋体" w:cs="宋体"/>
          <w:bCs/>
          <w:color w:val="auto"/>
          <w:sz w:val="24"/>
          <w:highlight w:val="none"/>
        </w:rPr>
        <w:t>工程的质量标准要求</w:t>
      </w:r>
      <w:r>
        <w:rPr>
          <w:rFonts w:hint="eastAsia" w:ascii="宋体" w:hAnsi="宋体" w:cs="宋体"/>
          <w:bCs/>
          <w:color w:val="auto"/>
          <w:sz w:val="24"/>
          <w:highlight w:val="none"/>
          <w:lang w:eastAsia="zh-CN"/>
        </w:rPr>
        <w:t>合格</w:t>
      </w:r>
      <w:r>
        <w:rPr>
          <w:rFonts w:hint="eastAsia" w:ascii="宋体" w:hAnsi="宋体" w:cs="宋体"/>
          <w:bCs/>
          <w:color w:val="auto"/>
          <w:sz w:val="24"/>
          <w:highlight w:val="none"/>
        </w:rPr>
        <w:t>，且达到投标承诺的质量标准</w:t>
      </w:r>
      <w:r>
        <w:rPr>
          <w:rFonts w:hint="eastAsia" w:ascii="宋体" w:hAnsi="宋体" w:cs="宋体"/>
          <w:bCs/>
          <w:color w:val="auto"/>
          <w:sz w:val="24"/>
          <w:szCs w:val="24"/>
          <w:highlight w:val="none"/>
          <w:u w:val="single"/>
        </w:rPr>
        <w:t>。承包人对图纸中存在的问题有责任和义务提前以书面形式报告工程师及发包人，以供发包人同监理人核实并及时要求设计方修改设计图纸</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15.4</w:t>
      </w:r>
      <w:r>
        <w:rPr>
          <w:rFonts w:hint="eastAsia" w:ascii="宋体" w:hAnsi="宋体" w:cs="宋体"/>
          <w:bCs/>
          <w:color w:val="auto"/>
          <w:sz w:val="24"/>
          <w:szCs w:val="24"/>
          <w:highlight w:val="none"/>
          <w:u w:val="single"/>
        </w:rPr>
        <w:t>本工程项目的所有材料、设备及配件须达到现行中华人民共和国以及省、自治区、直辖市或行业的工程建设标准、规范的要求，产品应有生产许可证书、出厂合格证书，经监理工程师和发包人代表认可后方可使用</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15.5</w:t>
      </w:r>
      <w:r>
        <w:rPr>
          <w:rFonts w:hint="eastAsia" w:ascii="宋体" w:hAnsi="宋体" w:cs="宋体"/>
          <w:bCs/>
          <w:color w:val="auto"/>
          <w:sz w:val="24"/>
          <w:szCs w:val="24"/>
          <w:highlight w:val="none"/>
          <w:u w:val="single"/>
        </w:rPr>
        <w:t>工程质量不符合设计要求、质量不合格者，监理工程师可指令承包人停工或返工，返工费用由承包人承担，工期不予顺延</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15.6</w:t>
      </w:r>
      <w:r>
        <w:rPr>
          <w:rFonts w:hint="eastAsia" w:ascii="宋体" w:hAnsi="宋体" w:cs="宋体"/>
          <w:bCs/>
          <w:color w:val="auto"/>
          <w:sz w:val="24"/>
          <w:szCs w:val="24"/>
          <w:highlight w:val="none"/>
          <w:u w:val="single"/>
        </w:rPr>
        <w:t>发生须紧急抢修事故，承包人接到通知后，应立即到达事故现场抢修；否则，发包人可以另委托单位抢修，属承包人施工质量问题造成的修复等费用全部由承包人承担</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15.7</w:t>
      </w:r>
      <w:r>
        <w:rPr>
          <w:rFonts w:hint="eastAsia" w:ascii="宋体" w:hAnsi="宋体" w:cs="宋体"/>
          <w:bCs/>
          <w:color w:val="auto"/>
          <w:sz w:val="24"/>
          <w:szCs w:val="24"/>
          <w:highlight w:val="none"/>
          <w:u w:val="single"/>
        </w:rPr>
        <w:t>本工程按照本合同专用条款</w:t>
      </w:r>
      <w:r>
        <w:rPr>
          <w:rFonts w:ascii="宋体" w:hAnsi="宋体" w:cs="宋体"/>
          <w:bCs/>
          <w:color w:val="auto"/>
          <w:sz w:val="24"/>
          <w:szCs w:val="24"/>
          <w:highlight w:val="none"/>
          <w:u w:val="single"/>
        </w:rPr>
        <w:t>3.3的约定进行质量验收。若承包人有违反操作规程和标准或施工质量不符合规定的，发包人及监理工程师有权令其停止（或暂停）施工，由此造成的损失均由承包人负责。如在施工过程中颁发新的</w:t>
      </w:r>
      <w:r>
        <w:rPr>
          <w:rFonts w:hint="eastAsia" w:ascii="宋体" w:hAnsi="宋体" w:cs="宋体"/>
          <w:bCs/>
          <w:color w:val="auto"/>
          <w:sz w:val="24"/>
          <w:szCs w:val="24"/>
          <w:highlight w:val="none"/>
          <w:u w:val="single"/>
        </w:rPr>
        <w:t>质量标准规范版本的，是否采用新版本规定，由监理工程师与有关各方洽商决定</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16、检查和返工</w:t>
      </w:r>
    </w:p>
    <w:p>
      <w:pPr>
        <w:snapToGrid w:val="0"/>
        <w:spacing w:line="440" w:lineRule="exact"/>
        <w:ind w:firstLine="397"/>
        <w:rPr>
          <w:rFonts w:ascii="宋体" w:hAnsi="宋体" w:cs="宋体"/>
          <w:bCs/>
          <w:color w:val="auto"/>
          <w:sz w:val="24"/>
          <w:szCs w:val="24"/>
          <w:highlight w:val="none"/>
        </w:rPr>
      </w:pPr>
      <w:r>
        <w:rPr>
          <w:rFonts w:ascii="宋体" w:hAnsi="宋体" w:cs="宋体"/>
          <w:bCs/>
          <w:color w:val="auto"/>
          <w:sz w:val="24"/>
          <w:szCs w:val="24"/>
          <w:highlight w:val="none"/>
        </w:rPr>
        <w:t>16.3工程师的检查检验：</w:t>
      </w:r>
      <w:r>
        <w:rPr>
          <w:rFonts w:hint="eastAsia" w:ascii="宋体" w:hAnsi="宋体" w:cs="宋体"/>
          <w:bCs/>
          <w:color w:val="auto"/>
          <w:sz w:val="24"/>
          <w:szCs w:val="24"/>
          <w:highlight w:val="none"/>
          <w:u w:val="single"/>
        </w:rPr>
        <w:t>工程师按规范、标准、设计图纸要求和频率所进行的检查检测不应成为承包人工期顺延的理由</w:t>
      </w:r>
      <w:r>
        <w:rPr>
          <w:rFonts w:hint="eastAsia" w:ascii="宋体" w:hAnsi="宋体" w:cs="宋体"/>
          <w:bCs/>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17</w:t>
      </w:r>
      <w:r>
        <w:rPr>
          <w:rFonts w:hint="eastAsia" w:ascii="宋体" w:hAnsi="宋体" w:cs="宋体"/>
          <w:b/>
          <w:color w:val="auto"/>
          <w:sz w:val="24"/>
          <w:highlight w:val="none"/>
        </w:rPr>
        <w:t>、隐蔽工程和中间验收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17.1</w:t>
      </w:r>
      <w:r>
        <w:rPr>
          <w:rFonts w:hint="eastAsia" w:ascii="宋体" w:hAnsi="宋体" w:cs="宋体"/>
          <w:color w:val="auto"/>
          <w:sz w:val="24"/>
          <w:szCs w:val="24"/>
          <w:highlight w:val="none"/>
        </w:rPr>
        <w:t>双方约定中间验收部位：</w:t>
      </w:r>
      <w:r>
        <w:rPr>
          <w:rFonts w:hint="eastAsia" w:ascii="宋体" w:hAnsi="宋体" w:cs="宋体"/>
          <w:color w:val="auto"/>
          <w:sz w:val="24"/>
          <w:szCs w:val="24"/>
          <w:highlight w:val="none"/>
          <w:u w:val="single"/>
        </w:rPr>
        <w:t>按相应工程施工及验收规范要求执行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19</w:t>
      </w:r>
      <w:r>
        <w:rPr>
          <w:rFonts w:hint="eastAsia" w:ascii="宋体" w:hAnsi="宋体" w:cs="宋体"/>
          <w:b/>
          <w:color w:val="auto"/>
          <w:sz w:val="24"/>
          <w:highlight w:val="none"/>
        </w:rPr>
        <w:t>、工程试车</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19.5</w:t>
      </w:r>
      <w:r>
        <w:rPr>
          <w:rFonts w:hint="eastAsia" w:ascii="宋体" w:hAnsi="宋体" w:cs="宋体"/>
          <w:color w:val="auto"/>
          <w:sz w:val="24"/>
          <w:szCs w:val="24"/>
          <w:highlight w:val="none"/>
        </w:rPr>
        <w:t>试车费用的承担：</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highlight w:val="none"/>
        </w:rPr>
      </w:pPr>
      <w:r>
        <w:rPr>
          <w:rFonts w:hint="eastAsia" w:ascii="宋体" w:hAnsi="宋体" w:cs="宋体"/>
          <w:b/>
          <w:color w:val="auto"/>
          <w:sz w:val="24"/>
          <w:highlight w:val="none"/>
        </w:rPr>
        <w:t>五、安全施工</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20、安全施工与检查</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20.3</w:t>
      </w:r>
      <w:r>
        <w:rPr>
          <w:rFonts w:hint="eastAsia" w:ascii="宋体" w:hAnsi="宋体" w:cs="宋体"/>
          <w:color w:val="auto"/>
          <w:sz w:val="24"/>
          <w:szCs w:val="24"/>
          <w:highlight w:val="none"/>
          <w:u w:val="single"/>
        </w:rPr>
        <w:t>承包人应建立安全责任制，明确各部门安全工作的岗位责任人，建立健全正常运转的各种安全工作保证体系和规章制度，将安全生产目标分解落实到实处</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20.4</w:t>
      </w:r>
      <w:r>
        <w:rPr>
          <w:rFonts w:hint="eastAsia" w:ascii="宋体" w:hAnsi="宋体" w:cs="宋体"/>
          <w:color w:val="auto"/>
          <w:sz w:val="24"/>
          <w:szCs w:val="24"/>
          <w:highlight w:val="none"/>
          <w:u w:val="single"/>
        </w:rPr>
        <w:t>承包人按规定数量配置安全员</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20.5</w:t>
      </w:r>
      <w:r>
        <w:rPr>
          <w:rFonts w:hint="eastAsia" w:ascii="宋体" w:hAnsi="宋体" w:cs="宋体"/>
          <w:color w:val="auto"/>
          <w:sz w:val="24"/>
          <w:szCs w:val="24"/>
          <w:highlight w:val="none"/>
          <w:u w:val="single"/>
        </w:rPr>
        <w:t>承包人在开工前须向质量安全监督机构提交备案的书面资料</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20.6</w:t>
      </w:r>
      <w:r>
        <w:rPr>
          <w:rFonts w:hint="eastAsia" w:ascii="宋体" w:hAnsi="宋体" w:cs="宋体"/>
          <w:color w:val="auto"/>
          <w:sz w:val="24"/>
          <w:szCs w:val="24"/>
          <w:highlight w:val="none"/>
          <w:u w:val="single"/>
        </w:rPr>
        <w:t>承包人在编制施工组织设计时，应当根据工程的特点编制相应的安全技术措施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20.7</w:t>
      </w:r>
      <w:r>
        <w:rPr>
          <w:rFonts w:hint="eastAsia" w:ascii="宋体" w:hAnsi="宋体" w:cs="宋体"/>
          <w:color w:val="auto"/>
          <w:sz w:val="24"/>
          <w:szCs w:val="24"/>
          <w:highlight w:val="none"/>
          <w:u w:val="single"/>
        </w:rPr>
        <w:t>承包人按有关安全和防护的规定组织施工生产，不得使用不合标准的防护器材、机具和材料</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20.8</w:t>
      </w:r>
      <w:r>
        <w:rPr>
          <w:rFonts w:hint="eastAsia" w:ascii="宋体" w:hAnsi="宋体" w:cs="宋体"/>
          <w:color w:val="auto"/>
          <w:sz w:val="24"/>
          <w:szCs w:val="24"/>
          <w:highlight w:val="none"/>
          <w:u w:val="single"/>
        </w:rPr>
        <w:t>在工程实施期间，施工场地一经移交给承包人，承包人即对自身施工场地负有全过程、全面的管理责任，必须对自身施工场地范围内的治安秩序、安全保卫、环境卫生以及周围房屋、市政设施等负全责，对自身施工场地范围内的交通道路、用水、用电、场地内的协调进行的管理和协调。承包人需对其施工场地布置、人员的管理、交通组织制订详细的方案，对施工时段作出合理安排，必须采用全封闭施工方案，确保不对周边环境、道路、行人和相邻施工现场造成不利影响，不得干扰周围居民的正常生活，不得影响学生的上课及正常的活动</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21、安全防护</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21.3</w:t>
      </w:r>
      <w:r>
        <w:rPr>
          <w:rFonts w:hint="eastAsia" w:ascii="宋体" w:hAnsi="宋体" w:cs="宋体"/>
          <w:color w:val="auto"/>
          <w:sz w:val="24"/>
          <w:szCs w:val="24"/>
          <w:highlight w:val="none"/>
          <w:u w:val="single"/>
        </w:rPr>
        <w:t>承包人应在施工现场采取维护安全、防范危险、预防火灾等措施，在特殊作业环境应对作业人员采取劳动保护措施</w:t>
      </w:r>
      <w:r>
        <w:rPr>
          <w:rFonts w:hint="eastAsia" w:ascii="宋体" w:hAnsi="宋体" w:cs="宋体"/>
          <w:color w:val="auto"/>
          <w:sz w:val="24"/>
          <w:szCs w:val="24"/>
          <w:highlight w:val="none"/>
        </w:rPr>
        <w:t>。</w:t>
      </w:r>
    </w:p>
    <w:p>
      <w:pPr>
        <w:tabs>
          <w:tab w:val="left" w:pos="2340"/>
        </w:tabs>
        <w:spacing w:line="440" w:lineRule="exact"/>
        <w:ind w:firstLine="480" w:firstLineChars="200"/>
        <w:jc w:val="left"/>
        <w:rPr>
          <w:rFonts w:ascii="宋体" w:hAnsi="宋体" w:cs="宋体"/>
          <w:color w:val="auto"/>
          <w:sz w:val="24"/>
          <w:highlight w:val="none"/>
        </w:rPr>
      </w:pPr>
      <w:r>
        <w:rPr>
          <w:rFonts w:ascii="宋体" w:hAnsi="宋体" w:cs="宋体"/>
          <w:color w:val="auto"/>
          <w:sz w:val="24"/>
          <w:szCs w:val="24"/>
          <w:highlight w:val="none"/>
        </w:rPr>
        <w:t>21.4</w:t>
      </w:r>
      <w:r>
        <w:rPr>
          <w:rFonts w:hint="eastAsia" w:ascii="宋体" w:hAnsi="宋体" w:cs="宋体"/>
          <w:color w:val="auto"/>
          <w:sz w:val="24"/>
          <w:highlight w:val="none"/>
          <w:u w:val="single"/>
        </w:rPr>
        <w:t>承包人应加强周边学校、居民住宅的环境保护，制定绿色施工安全防护措施（包括防尘、防噪音、施工围蔽等），施工现场严格按照《广州市建设工程文明施工管理规定》（广州市人民政府令第158号）、《广州市建设工程现场文明施工管理办法》（</w:t>
      </w:r>
      <w:r>
        <w:rPr>
          <w:rFonts w:hint="eastAsia" w:ascii="宋体" w:hAnsi="宋体" w:cs="宋体"/>
          <w:bCs/>
          <w:smallCaps/>
          <w:color w:val="auto"/>
          <w:sz w:val="24"/>
          <w:highlight w:val="none"/>
          <w:u w:val="single"/>
        </w:rPr>
        <w:t>穗建质</w:t>
      </w:r>
      <w:r>
        <w:rPr>
          <w:rFonts w:hint="eastAsia" w:ascii="宋体" w:hAnsi="宋体" w:cs="宋体"/>
          <w:color w:val="auto"/>
          <w:sz w:val="24"/>
          <w:highlight w:val="none"/>
          <w:u w:val="single"/>
        </w:rPr>
        <w:t>〔2008〕</w:t>
      </w:r>
      <w:r>
        <w:rPr>
          <w:rFonts w:hint="eastAsia" w:ascii="宋体" w:hAnsi="宋体" w:cs="宋体"/>
          <w:bCs/>
          <w:smallCaps/>
          <w:color w:val="auto"/>
          <w:sz w:val="24"/>
          <w:highlight w:val="none"/>
          <w:u w:val="single"/>
        </w:rPr>
        <w:t>937号）</w:t>
      </w:r>
      <w:r>
        <w:rPr>
          <w:rFonts w:hint="eastAsia" w:ascii="宋体" w:hAnsi="宋体" w:cs="宋体"/>
          <w:color w:val="auto"/>
          <w:sz w:val="24"/>
          <w:highlight w:val="none"/>
          <w:u w:val="single"/>
        </w:rPr>
        <w:t>、《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加强规范建设施工现场围蔽的通知》（穗建质〔2018〕1008号）、《广州市建设工程绿色施工围蔽指导图集（V2.0版）》(穗建质〔2020〕1号）、《关于进一步落实我区市政建设项目施工围蔽提升工作的通知》（穗埔建[2019]123号）及</w:t>
      </w:r>
      <w:r>
        <w:rPr>
          <w:rFonts w:hint="eastAsia" w:ascii="宋体" w:hAnsi="宋体" w:cs="宋体"/>
          <w:color w:val="auto"/>
          <w:sz w:val="24"/>
          <w:szCs w:val="24"/>
          <w:highlight w:val="none"/>
          <w:u w:val="single"/>
        </w:rPr>
        <w:t>《黄埔区住房和城乡建设局广州开发区建设和交通局关于进一步规范全区建设工程施工围蔽标准的通知》（穗埔建﹝</w:t>
      </w:r>
      <w:r>
        <w:rPr>
          <w:rFonts w:ascii="宋体" w:hAnsi="宋体" w:cs="宋体"/>
          <w:color w:val="auto"/>
          <w:sz w:val="24"/>
          <w:szCs w:val="24"/>
          <w:highlight w:val="none"/>
          <w:u w:val="single"/>
        </w:rPr>
        <w:t>2020﹞183号）实施。</w:t>
      </w:r>
      <w:r>
        <w:rPr>
          <w:rFonts w:ascii="宋体" w:hAnsi="宋体" w:cs="宋体"/>
          <w:color w:val="auto"/>
          <w:sz w:val="24"/>
          <w:highlight w:val="none"/>
        </w:rPr>
        <w:t>以上文件要求不一致的，以后发布文件为准，若相关部门发布有关施工围蔽新文件规定的，按新规定执行。</w:t>
      </w:r>
      <w:r>
        <w:rPr>
          <w:rFonts w:hint="eastAsia" w:ascii="宋体" w:hAnsi="宋体" w:cs="宋体"/>
          <w:color w:val="auto"/>
          <w:sz w:val="24"/>
          <w:highlight w:val="none"/>
          <w:u w:val="single"/>
        </w:rPr>
        <w:t>如承包人未及时按要求做好围蔽、落实工地扬尘防治等绿色施工安全防护措施，业主可另行委托单位实施，业主在工程款中扣减相应措施费用。承包人应当在项目施工前编制扬尘污染防治专项方案和扬尘污染防治费用使用计划，明确扬尘控制目标、防治部位、控制措施，并将扬尘污染防治费用专项使用。</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21.5</w:t>
      </w:r>
      <w:r>
        <w:rPr>
          <w:rFonts w:hint="eastAsia" w:ascii="宋体" w:hAnsi="宋体" w:cs="宋体"/>
          <w:color w:val="auto"/>
          <w:sz w:val="24"/>
          <w:szCs w:val="24"/>
          <w:highlight w:val="none"/>
          <w:u w:val="single"/>
        </w:rPr>
        <w:t>承包人应按规定对工程施工人员进行安全教育和管理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21.6</w:t>
      </w:r>
      <w:r>
        <w:rPr>
          <w:rFonts w:hint="eastAsia" w:ascii="宋体" w:hAnsi="宋体" w:cs="宋体"/>
          <w:color w:val="auto"/>
          <w:sz w:val="24"/>
          <w:szCs w:val="24"/>
          <w:highlight w:val="none"/>
          <w:u w:val="single"/>
        </w:rPr>
        <w:t>承包人应书面记录专项安全施工组织设计方案审查、安全检查、安全技术交底、安全隐患整改、安全教育等重要安全管理活动</w:t>
      </w:r>
      <w:r>
        <w:rPr>
          <w:rFonts w:hint="eastAsia" w:ascii="宋体" w:hAnsi="宋体" w:cs="宋体"/>
          <w:color w:val="auto"/>
          <w:sz w:val="24"/>
          <w:szCs w:val="24"/>
          <w:highlight w:val="none"/>
        </w:rPr>
        <w:t>。</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21.7承包人用于本项目的非标起重机械设备须严格执行</w:t>
      </w:r>
      <w:r>
        <w:rPr>
          <w:rFonts w:hint="eastAsia" w:ascii="宋体" w:hAnsi="宋体" w:cs="宋体"/>
          <w:color w:val="auto"/>
          <w:sz w:val="24"/>
          <w:szCs w:val="24"/>
          <w:highlight w:val="none"/>
          <w:u w:val="single"/>
        </w:rPr>
        <w:t>《关于印发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广州市非标建筑起重机械管理办法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w:t>
      </w:r>
      <w:r>
        <w:rPr>
          <w:rFonts w:ascii="宋体" w:hAnsi="宋体" w:cs="宋体"/>
          <w:color w:val="auto"/>
          <w:sz w:val="24"/>
          <w:szCs w:val="24"/>
          <w:highlight w:val="none"/>
          <w:u w:val="single"/>
        </w:rPr>
        <w:t>(穗建质[2010]999号)</w:t>
      </w:r>
      <w:r>
        <w:rPr>
          <w:rFonts w:hint="eastAsia" w:ascii="宋体" w:hAnsi="宋体" w:cs="宋体"/>
          <w:color w:val="auto"/>
          <w:sz w:val="24"/>
          <w:szCs w:val="24"/>
          <w:highlight w:val="none"/>
          <w:u w:val="single"/>
        </w:rPr>
        <w:t>的相关规定，非标起重机械设备是指没有国家或行业制造标准的各类起重机械设备，如非标架桥设备、竖井提升设备、非标龙门吊、贝雷架式或扒杆式起重装置等。</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21.8承包人用于本项目的起重设备须严格执行《关于建筑起重机械设备安全监督管理的通知》【穗建安监字[2006]24号】、《关于加强建设工地塔式起重机安全管理的若干规定》【穗建安监字[2006]5号】、《关于加强塔式起重机等垂直运输设备及附着升降脚手架施工安全监督管理的通知》</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穗建筑[2003]84号</w:t>
      </w:r>
      <w:r>
        <w:rPr>
          <w:rFonts w:hint="eastAsia" w:ascii="宋体" w:hAnsi="宋体" w:cs="宋体"/>
          <w:color w:val="auto"/>
          <w:sz w:val="24"/>
          <w:szCs w:val="24"/>
          <w:highlight w:val="none"/>
          <w:u w:val="single"/>
        </w:rPr>
        <w:t>】等相关规定。</w:t>
      </w:r>
    </w:p>
    <w:p>
      <w:pPr>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u w:val="single"/>
        </w:rPr>
        <w:t>21.9承包人在工程实施过程中，按照国家、省、市的相关规定制定相关的专项安全施工方案（如高支模、基坑支护、沉井等），组织专家评审通过后，报监理人、发包人审批后方可开展专项工程的施工。</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21.10根据《广州市城乡建设委员会关于印发广州市建设工程施工机械设备环保管理整治联合行动工作方案的函》（穗建质函[2014]2763号）要求，承包人应按上述文件规定执行，确保所有在用施工机械设备整洁、安全、有效，防止尾气污染的超标排放。所有施工机械必须具有出厂合格证明文件或进口设备检测证明文件，机械设备必须使用广州市推广使用的车用燃油。承包人应对正使用的机械设备定期维护保养并采取有效措施减少污染排放。承包人未按上述要求执行的，视为未按约定投入机械设备，按35.2.6</w:t>
      </w:r>
      <w:r>
        <w:rPr>
          <w:rFonts w:hint="eastAsia" w:ascii="宋体" w:hAnsi="宋体" w:cs="宋体"/>
          <w:color w:val="auto"/>
          <w:sz w:val="24"/>
          <w:szCs w:val="24"/>
          <w:highlight w:val="none"/>
        </w:rPr>
        <w:t>款（</w:t>
      </w:r>
      <w:r>
        <w:rPr>
          <w:rFonts w:ascii="宋体" w:hAnsi="宋体" w:cs="宋体"/>
          <w:color w:val="auto"/>
          <w:sz w:val="24"/>
          <w:szCs w:val="24"/>
          <w:highlight w:val="none"/>
        </w:rPr>
        <w:t>2）项承担违约责任。</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21.11承包人在施工期间要确保工程外场地清洁及道路畅通，如须使用他方道路，则还必须负责养护、保洁责任，否则责任自负。施工和警示标志明显，因施工造成人身损害和财产损失的，由承包人承担责任。</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21.12承包人必须考虑安全、环保等因素在局部施工范围进行施工，现场围蔽不符合国家有关安全措施及技术要求的，不得开展施工作业，由此造成的工期延长，由承包人自己负责，当作延误工期处理。</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21.13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21.14承包人应对当地现有的交通道路状况进行充分调查，充分考虑该路段的交通疏导问题和文明施工，制定可行的交通疏导（包括场内和场外）方案，确保原有道路的交通畅通和施工临时排水的通畅，并符合施工环保要求。承包人应与交警及公路管理部门协商，取得同意和协助，并负责承担道路改线或改善和其他费用。相关费用计入措施项目费中，结算时按发包人批准的实施方案，按合同约定结算。如果承包人不及时按要求设置，发包人可以另行委托实施。发包人按实际发生的费用在工程款中扣除，承包人不得有任何异议。</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22、事故处理</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w:t>
      </w:r>
      <w:r>
        <w:rPr>
          <w:rFonts w:hint="eastAsia" w:ascii="宋体" w:hAnsi="宋体" w:cs="宋体"/>
          <w:color w:val="auto"/>
          <w:sz w:val="24"/>
          <w:szCs w:val="24"/>
          <w:highlight w:val="none"/>
        </w:rPr>
        <w:t>如发生安全事故，除按法定程序办理有关事宜外，还必须按以下程序进行处理：</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22.3.1</w:t>
      </w:r>
      <w:r>
        <w:rPr>
          <w:rFonts w:hint="eastAsia" w:ascii="宋体" w:hAnsi="宋体" w:cs="宋体"/>
          <w:color w:val="auto"/>
          <w:sz w:val="24"/>
          <w:szCs w:val="24"/>
          <w:highlight w:val="none"/>
          <w:u w:val="single"/>
        </w:rPr>
        <w:t>报告安全事故：安全事故发生后，承包人应在</w:t>
      </w:r>
      <w:r>
        <w:rPr>
          <w:rFonts w:ascii="宋体" w:hAnsi="宋体" w:cs="宋体"/>
          <w:color w:val="auto"/>
          <w:sz w:val="24"/>
          <w:szCs w:val="24"/>
          <w:highlight w:val="none"/>
          <w:u w:val="single"/>
        </w:rPr>
        <w:t>1小时内用最快的信息传递手段，将发生事故的时间、地点、伤亡人数、事故原因等情况，报工程师和发包人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22.3.2</w:t>
      </w:r>
      <w:r>
        <w:rPr>
          <w:rFonts w:hint="eastAsia" w:ascii="宋体" w:hAnsi="宋体" w:cs="宋体"/>
          <w:color w:val="auto"/>
          <w:sz w:val="24"/>
          <w:szCs w:val="24"/>
          <w:highlight w:val="none"/>
          <w:u w:val="single"/>
        </w:rPr>
        <w:t>事故处理：承包人负责抢救伤员、排除险情，防止事故扩大蔓延，保护好现场，并做好标志，启动保险理赔程序</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22.3.3</w:t>
      </w:r>
      <w:r>
        <w:rPr>
          <w:rFonts w:hint="eastAsia" w:ascii="宋体" w:hAnsi="宋体" w:cs="宋体"/>
          <w:color w:val="auto"/>
          <w:sz w:val="24"/>
          <w:szCs w:val="24"/>
          <w:highlight w:val="none"/>
          <w:u w:val="single"/>
        </w:rPr>
        <w:t>事故调查：承包人应组织内部技术安全、质量部门的人员组成调查组，开展调查，并配合做好发包人或政府有关部门组织的调查工作</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22.3.4</w:t>
      </w:r>
      <w:r>
        <w:rPr>
          <w:rFonts w:hint="eastAsia" w:ascii="宋体" w:hAnsi="宋体" w:cs="宋体"/>
          <w:color w:val="auto"/>
          <w:sz w:val="24"/>
          <w:szCs w:val="24"/>
          <w:highlight w:val="none"/>
          <w:u w:val="single"/>
        </w:rPr>
        <w:t>调查报告：承包人应把事故发生经过、原因、性质、损失、责任、处理意见、纠正和预防措施撰写成调查报告，送工程师会审后报发包人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六、合同价款与支付</w:t>
      </w:r>
    </w:p>
    <w:p>
      <w:pPr>
        <w:snapToGrid w:val="0"/>
        <w:spacing w:line="440" w:lineRule="exact"/>
        <w:ind w:firstLine="397"/>
        <w:rPr>
          <w:rFonts w:ascii="宋体" w:hAnsi="宋体" w:cs="宋体"/>
          <w:color w:val="auto"/>
          <w:sz w:val="24"/>
          <w:highlight w:val="none"/>
          <w:u w:val="single"/>
        </w:rPr>
      </w:pPr>
      <w:r>
        <w:rPr>
          <w:rFonts w:ascii="宋体" w:hAnsi="宋体" w:cs="宋体"/>
          <w:b/>
          <w:color w:val="auto"/>
          <w:sz w:val="24"/>
          <w:highlight w:val="none"/>
        </w:rPr>
        <w:t>23</w:t>
      </w:r>
      <w:r>
        <w:rPr>
          <w:rFonts w:hint="eastAsia" w:ascii="宋体" w:hAnsi="宋体" w:cs="宋体"/>
          <w:b/>
          <w:color w:val="auto"/>
          <w:sz w:val="24"/>
          <w:highlight w:val="none"/>
        </w:rPr>
        <w:t>、合同价款及调整</w:t>
      </w:r>
    </w:p>
    <w:p>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t>23.2</w:t>
      </w:r>
      <w:r>
        <w:rPr>
          <w:rFonts w:hint="eastAsia" w:ascii="宋体" w:hAnsi="宋体" w:cs="宋体"/>
          <w:color w:val="auto"/>
          <w:sz w:val="24"/>
          <w:szCs w:val="24"/>
          <w:highlight w:val="none"/>
        </w:rPr>
        <w:t>本合同价款按照</w:t>
      </w:r>
      <w:r>
        <w:rPr>
          <w:rFonts w:hint="eastAsia" w:ascii="宋体" w:hAnsi="宋体" w:cs="宋体"/>
          <w:color w:val="auto"/>
          <w:sz w:val="24"/>
          <w:szCs w:val="24"/>
          <w:highlight w:val="none"/>
          <w:u w:val="single"/>
        </w:rPr>
        <w:t>协议书第五条、专用条款</w:t>
      </w:r>
      <w:r>
        <w:rPr>
          <w:rFonts w:ascii="宋体" w:hAnsi="宋体" w:cs="宋体"/>
          <w:color w:val="auto"/>
          <w:sz w:val="24"/>
          <w:szCs w:val="24"/>
          <w:highlight w:val="none"/>
          <w:u w:val="single"/>
        </w:rPr>
        <w:t>23.3款</w:t>
      </w:r>
      <w:r>
        <w:rPr>
          <w:rFonts w:hint="eastAsia" w:ascii="宋体" w:hAnsi="宋体" w:cs="宋体"/>
          <w:color w:val="auto"/>
          <w:sz w:val="24"/>
          <w:szCs w:val="24"/>
          <w:highlight w:val="none"/>
          <w:u w:val="single"/>
        </w:rPr>
        <w:t>和专用条款</w:t>
      </w:r>
      <w:r>
        <w:rPr>
          <w:rFonts w:ascii="宋体" w:hAnsi="宋体" w:cs="宋体"/>
          <w:color w:val="auto"/>
          <w:sz w:val="24"/>
          <w:szCs w:val="24"/>
          <w:highlight w:val="none"/>
          <w:u w:val="single"/>
        </w:rPr>
        <w:t>23.5款</w:t>
      </w:r>
      <w:r>
        <w:rPr>
          <w:rFonts w:ascii="宋体" w:hAnsi="宋体" w:cs="宋体"/>
          <w:color w:val="auto"/>
          <w:sz w:val="24"/>
          <w:szCs w:val="24"/>
          <w:highlight w:val="none"/>
        </w:rPr>
        <w:t>约定</w:t>
      </w:r>
      <w:r>
        <w:rPr>
          <w:rFonts w:hint="eastAsia" w:ascii="宋体" w:hAnsi="宋体" w:cs="宋体"/>
          <w:color w:val="auto"/>
          <w:sz w:val="24"/>
          <w:szCs w:val="24"/>
          <w:highlight w:val="none"/>
        </w:rPr>
        <w:t>执行，最终按结算终审部门审定价结算。</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本合同价款采用分部分项工程量清单固定综合单价方式确定，具体办法如下：</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分部分项工程量清单费：</w:t>
      </w:r>
      <w:r>
        <w:rPr>
          <w:rFonts w:hint="eastAsia" w:ascii="宋体" w:hAnsi="宋体" w:cs="宋体"/>
          <w:color w:val="auto"/>
          <w:sz w:val="24"/>
          <w:szCs w:val="24"/>
          <w:highlight w:val="none"/>
          <w:u w:val="single"/>
        </w:rPr>
        <w:t>除专用条款</w:t>
      </w:r>
      <w:r>
        <w:rPr>
          <w:rFonts w:ascii="宋体" w:hAnsi="宋体" w:cs="宋体"/>
          <w:color w:val="auto"/>
          <w:sz w:val="24"/>
          <w:szCs w:val="24"/>
          <w:highlight w:val="none"/>
          <w:u w:val="single"/>
        </w:rPr>
        <w:t>23.5.1及</w:t>
      </w:r>
      <w:r>
        <w:rPr>
          <w:rFonts w:hint="eastAsia" w:ascii="宋体" w:hAnsi="宋体" w:cs="宋体"/>
          <w:color w:val="auto"/>
          <w:sz w:val="24"/>
          <w:szCs w:val="24"/>
          <w:highlight w:val="none"/>
          <w:u w:val="single"/>
        </w:rPr>
        <w:t>专用条款</w:t>
      </w:r>
      <w:r>
        <w:rPr>
          <w:rFonts w:ascii="宋体" w:hAnsi="宋体" w:cs="宋体"/>
          <w:color w:val="auto"/>
          <w:sz w:val="24"/>
          <w:szCs w:val="24"/>
          <w:highlight w:val="none"/>
          <w:u w:val="single"/>
        </w:rPr>
        <w:t>23.5.2规定情况外，分部分项工程量清单综合单价固定不变，工程量按实计量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措施项目费：</w:t>
      </w:r>
      <w:r>
        <w:rPr>
          <w:rFonts w:hint="eastAsia" w:ascii="宋体" w:hAnsi="宋体" w:cs="宋体"/>
          <w:color w:val="auto"/>
          <w:sz w:val="24"/>
          <w:szCs w:val="24"/>
          <w:highlight w:val="none"/>
          <w:u w:val="single"/>
        </w:rPr>
        <w:t>措施项目费（除施工围蔽费用外）固定不变，包干使用，结算时不予调整，施工围蔽清单综合单价固定不变，工程量按实计量</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其他项目部分：</w:t>
      </w:r>
    </w:p>
    <w:p>
      <w:pPr>
        <w:snapToGrid w:val="0"/>
        <w:spacing w:line="440" w:lineRule="exact"/>
        <w:ind w:firstLine="360" w:firstLineChars="150"/>
        <w:rPr>
          <w:rFonts w:ascii="宋体" w:hAnsi="宋体" w:cs="宋体"/>
          <w:color w:val="auto"/>
          <w:sz w:val="24"/>
          <w:szCs w:val="24"/>
          <w:highlight w:val="non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,1)</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招标人部分为暂定价，按实际签订的专业承包合同或预留金使用情况进行调整和结算</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u w:val="single"/>
        </w:rPr>
      </w:pP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eq \o\ac(</w:instrText>
      </w:r>
      <w:r>
        <w:rPr>
          <w:rFonts w:hint="eastAsia" w:ascii="宋体" w:hAnsi="宋体" w:cs="宋体"/>
          <w:color w:val="auto"/>
          <w:position w:val="-4"/>
          <w:sz w:val="36"/>
          <w:szCs w:val="24"/>
          <w:highlight w:val="none"/>
        </w:rPr>
        <w:instrText xml:space="preserve">○</w:instrText>
      </w:r>
      <w:r>
        <w:rPr>
          <w:rFonts w:ascii="宋体" w:hAnsi="宋体" w:cs="宋体"/>
          <w:color w:val="auto"/>
          <w:sz w:val="24"/>
          <w:szCs w:val="24"/>
          <w:highlight w:val="none"/>
        </w:rPr>
        <w:instrText xml:space="preserve">,2)</w:instrText>
      </w:r>
      <w:r>
        <w:rPr>
          <w:rFonts w:ascii="宋体" w:hAnsi="宋体" w:cs="宋体"/>
          <w:color w:val="auto"/>
          <w:sz w:val="24"/>
          <w:szCs w:val="24"/>
          <w:highlight w:val="none"/>
        </w:rPr>
        <w:fldChar w:fldCharType="end"/>
      </w:r>
      <w:r>
        <w:rPr>
          <w:rFonts w:hint="eastAsia" w:ascii="宋体" w:hAnsi="宋体" w:cs="宋体"/>
          <w:color w:val="auto"/>
          <w:sz w:val="24"/>
          <w:szCs w:val="24"/>
          <w:highlight w:val="none"/>
          <w:u w:val="single"/>
        </w:rPr>
        <w:t>投标人部分为固定价格，结算时不作调整。（若实际没有发生，在结算时扣除未发生项目的费用）</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highlight w:val="none"/>
        </w:rPr>
        <w:t>③</w:t>
      </w:r>
      <w:r>
        <w:rPr>
          <w:rFonts w:hint="eastAsia" w:ascii="宋体" w:hAnsi="宋体" w:cs="宋体"/>
          <w:color w:val="auto"/>
          <w:sz w:val="24"/>
          <w:szCs w:val="24"/>
          <w:highlight w:val="none"/>
          <w:u w:val="single"/>
        </w:rPr>
        <w:t>投标人预算包干费部分按投标人报价中的费率取费，费率结算时不作调整。</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税金：税金按实计取</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23.3</w:t>
      </w:r>
      <w:r>
        <w:rPr>
          <w:rFonts w:hint="eastAsia" w:ascii="宋体" w:hAnsi="宋体" w:cs="宋体"/>
          <w:color w:val="auto"/>
          <w:sz w:val="24"/>
          <w:szCs w:val="24"/>
          <w:highlight w:val="none"/>
        </w:rPr>
        <w:t>双方约定合同价款的调整因素：</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发包人及监理单位共同确认工程量偏差</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发包人及监理单位共同确认工程变更、签证和新增工程</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物价变化</w:t>
      </w:r>
      <w:r>
        <w:rPr>
          <w:rFonts w:hint="eastAsia" w:ascii="宋体" w:hAnsi="宋体" w:cs="宋体"/>
          <w:color w:val="auto"/>
          <w:sz w:val="24"/>
          <w:szCs w:val="24"/>
          <w:highlight w:val="none"/>
        </w:rPr>
        <w:t>；</w:t>
      </w:r>
    </w:p>
    <w:p>
      <w:pPr>
        <w:numPr>
          <w:ilvl w:val="0"/>
          <w:numId w:val="2"/>
        </w:num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费用索赔事件或发包人负责的其他情况</w:t>
      </w:r>
      <w:r>
        <w:rPr>
          <w:rFonts w:hint="eastAsia" w:ascii="宋体" w:hAnsi="宋体" w:cs="宋体"/>
          <w:color w:val="auto"/>
          <w:sz w:val="24"/>
          <w:szCs w:val="24"/>
          <w:highlight w:val="none"/>
        </w:rPr>
        <w:t>。</w:t>
      </w:r>
    </w:p>
    <w:p>
      <w:pPr>
        <w:snapToGrid w:val="0"/>
        <w:spacing w:line="440" w:lineRule="exact"/>
        <w:ind w:firstLine="360" w:firstLineChars="150"/>
        <w:rPr>
          <w:rFonts w:ascii="宋体" w:hAnsi="宋体" w:cs="宋体"/>
          <w:color w:val="auto"/>
          <w:sz w:val="24"/>
          <w:szCs w:val="24"/>
          <w:highlight w:val="none"/>
        </w:rPr>
      </w:pPr>
      <w:r>
        <w:rPr>
          <w:rFonts w:hint="eastAsia" w:ascii="宋体" w:hAnsi="宋体" w:cs="宋体"/>
          <w:color w:val="auto"/>
          <w:sz w:val="24"/>
          <w:szCs w:val="24"/>
          <w:highlight w:val="none"/>
        </w:rPr>
        <w:t>以上调整事项涉及的价款计价原则按专用条款</w:t>
      </w:r>
      <w:r>
        <w:rPr>
          <w:rFonts w:ascii="宋体" w:hAnsi="宋体" w:cs="宋体"/>
          <w:color w:val="auto"/>
          <w:sz w:val="24"/>
          <w:szCs w:val="24"/>
          <w:highlight w:val="none"/>
        </w:rPr>
        <w:t>23.5款约定执行。</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23.4</w:t>
      </w:r>
      <w:r>
        <w:rPr>
          <w:rFonts w:hint="eastAsia" w:ascii="宋体" w:hAnsi="宋体" w:cs="宋体"/>
          <w:color w:val="auto"/>
          <w:sz w:val="24"/>
          <w:szCs w:val="24"/>
          <w:highlight w:val="none"/>
        </w:rPr>
        <w:t>承包人应在专用条款</w:t>
      </w:r>
      <w:r>
        <w:rPr>
          <w:rFonts w:ascii="宋体" w:hAnsi="宋体" w:cs="宋体"/>
          <w:color w:val="auto"/>
          <w:sz w:val="24"/>
          <w:szCs w:val="24"/>
          <w:highlight w:val="none"/>
        </w:rPr>
        <w:t>23.3款情况发生后</w:t>
      </w:r>
      <w:r>
        <w:rPr>
          <w:rFonts w:ascii="宋体" w:hAnsi="宋体" w:cs="宋体"/>
          <w:color w:val="auto"/>
          <w:sz w:val="24"/>
          <w:szCs w:val="24"/>
          <w:highlight w:val="none"/>
          <w:u w:val="single"/>
        </w:rPr>
        <w:t>3天</w:t>
      </w:r>
      <w:r>
        <w:rPr>
          <w:rFonts w:ascii="宋体" w:hAnsi="宋体" w:cs="宋体"/>
          <w:color w:val="auto"/>
          <w:sz w:val="24"/>
          <w:szCs w:val="24"/>
          <w:highlight w:val="none"/>
        </w:rPr>
        <w:t>内，将调整原因、金额以书面形式通知监理单位，必须经监理单位和发包人书面批准后作为调整合同价款的依据</w:t>
      </w:r>
      <w:r>
        <w:rPr>
          <w:rFonts w:hint="eastAsia" w:ascii="宋体" w:hAnsi="宋体" w:cs="宋体"/>
          <w:color w:val="auto"/>
          <w:sz w:val="24"/>
          <w:szCs w:val="24"/>
          <w:highlight w:val="none"/>
        </w:rPr>
        <w:t>。对承包人在没有得到发包人的同意和正式盖章书面函件的前提下进行的调整，发包人不予认可，一切责任和后果由承包人承担。</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w:t>
      </w:r>
      <w:r>
        <w:rPr>
          <w:rFonts w:hint="eastAsia" w:ascii="宋体" w:hAnsi="宋体" w:cs="宋体"/>
          <w:color w:val="auto"/>
          <w:sz w:val="24"/>
          <w:szCs w:val="24"/>
          <w:highlight w:val="none"/>
          <w:u w:val="single"/>
        </w:rPr>
        <w:t>合同价款调整原则</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23.5.1</w:t>
      </w:r>
      <w:r>
        <w:rPr>
          <w:rFonts w:hint="eastAsia" w:ascii="宋体" w:hAnsi="宋体" w:cs="宋体"/>
          <w:color w:val="auto"/>
          <w:sz w:val="24"/>
          <w:szCs w:val="24"/>
          <w:highlight w:val="none"/>
          <w:u w:val="single"/>
        </w:rPr>
        <w:t>变更、签证工程和新增工程：工程项目实施期间和结算时，招标文件工程量清单中漏列而由监理单位和招标人现场签证确认的工程项目；由于设计需要或项目建设实际需要，会引致工程量清单内数量发生变化、或工程量清单内项目的局部内容发生变化、或新增了工程量清单内没有的项目；原设计没有而由招标人批准设计变更产生的工程项目及经监理单位和招标人现场签证确认的工程项目；合同所确定的工程内容以外，非施工单位原因造成而施工过程中实际发生且需支付工程费用的，并经监理单位和招标人现场签证确认工程实际内容。变更、签证工程和新增工程按以下办法确定价格</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合同工程量清单中有相同适用项目的，则采用该项目投标综合单价；合同工程量清单中相同适用项目有多个的，取最有利于发包人的相同适用项目的投标综合单价。但新增工程量超过</w:t>
      </w:r>
      <w:r>
        <w:rPr>
          <w:rFonts w:ascii="宋体" w:hAnsi="宋体" w:cs="宋体"/>
          <w:color w:val="auto"/>
          <w:sz w:val="24"/>
          <w:szCs w:val="24"/>
          <w:highlight w:val="none"/>
          <w:u w:val="single"/>
        </w:rPr>
        <w:t>15%的，比较招标控制价对应的综合单价并执行中标下浮率和投标综合单价，取两者的较小值作为超出15%的新增工程量的综合单价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合同工程量清单中无相同适用项目、只有类似适用项目的，则按类似项目的综合单价对相应子目、消耗量、材料设备价格等进行调整换算，原管理费、利润水平不变，仅调整主材和主要设备价格。如合同工程量清单中类似项目的综合单价有两个以上，则由发包人按消耗量最少、管理费和利润取费最低的优先顺序选择类似项目综合单价进行换算。所换算主材及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材料、设备价格，由发包人、监理单位、承包人结合市场价共同协商确定。按上述原则调整后的换算综合单价最终均应执行中标下浮率</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合同工程量清单报价中没有相同或类似适用项目的，按以下原则计价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u w:val="single"/>
        </w:rPr>
        <w:t>由承包人依据变更工程资料，计量原则，按《广东省市政工程综合定额》（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标准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②</w:t>
      </w:r>
      <w:r>
        <w:rPr>
          <w:rFonts w:hint="eastAsia" w:ascii="宋体" w:hAnsi="宋体" w:cs="宋体"/>
          <w:color w:val="auto"/>
          <w:sz w:val="24"/>
          <w:szCs w:val="24"/>
          <w:highlight w:val="none"/>
          <w:u w:val="single"/>
        </w:rPr>
        <w:t>合同工程量清单没有相同或相类似且无相关定额的项目，承包人参照《广东省市政工程综合定额》（</w:t>
      </w:r>
      <w:r>
        <w:rPr>
          <w:rFonts w:ascii="宋体" w:hAnsi="宋体" w:cs="宋体"/>
          <w:color w:val="auto"/>
          <w:sz w:val="24"/>
          <w:szCs w:val="24"/>
          <w:highlight w:val="none"/>
          <w:u w:val="single"/>
        </w:rPr>
        <w:t>2018年）、《广东省房屋建筑与装饰工程综合定额》（2018年）、《广东省通用安装工程综合定额》（2018年）、《广东省园林绿化工程综合定额》（2018年）、《广东省建设工程施工机具台班费用编制规则（2018</w:t>
      </w:r>
      <w:r>
        <w:rPr>
          <w:rFonts w:hint="eastAsia" w:ascii="宋体" w:hAnsi="宋体" w:cs="宋体"/>
          <w:color w:val="auto"/>
          <w:sz w:val="24"/>
          <w:szCs w:val="24"/>
          <w:highlight w:val="none"/>
          <w:u w:val="single"/>
        </w:rPr>
        <w:t>）等相关定额编制原则（上述定额查找不到的可参考其它相关定额或由发包人与承包人协商确定）及工程实施期工程造价管理机构发布的材料设备参考价格编制综合单价并执行中标下浮率。其中材料、设备价格执行工程造价管理机构发布的实际施工月份《广州地区建设工程常用材料税前综合价格》（实际施工跨月份的，则按监理单位确认的各月施工完成的工程量为基础分别进行计算）；《广州地区建设工程常用材料税前综合价格》没有的材料、设备单价，参考实际施工期《广州地区建设工程材料（设备）厂商价格信息》计算税前价格（实际施工跨月份的，则按监理单位确认的各月施工完成的工程量为基础分别进行计算）</w:t>
      </w:r>
      <w:r>
        <w:rPr>
          <w:rFonts w:hint="eastAsia" w:ascii="宋体" w:hAnsi="宋体" w:cs="宋体"/>
          <w:color w:val="auto"/>
          <w:sz w:val="24"/>
          <w:highlight w:val="none"/>
        </w:rPr>
        <w:t>，且需对选用的厂商价格信息重新进行市场调研询价后方可使用。</w:t>
      </w:r>
      <w:r>
        <w:rPr>
          <w:rFonts w:hint="eastAsia" w:ascii="宋体" w:hAnsi="宋体" w:cs="宋体"/>
          <w:color w:val="auto"/>
          <w:sz w:val="24"/>
          <w:szCs w:val="24"/>
          <w:highlight w:val="none"/>
          <w:u w:val="single"/>
        </w:rPr>
        <w:t>《广州地区建设工程常用材料税前综合价格》及《广州地区建设工程材料（设备）厂商价格信息》均没有的相关价格的，由发包人、监理单位、承包人结合市场价共同协商确定</w:t>
      </w:r>
      <w:r>
        <w:rPr>
          <w:rFonts w:hint="eastAsia" w:ascii="宋体" w:hAnsi="宋体" w:cs="宋体"/>
          <w:color w:val="auto"/>
          <w:sz w:val="24"/>
          <w:szCs w:val="24"/>
          <w:highlight w:val="none"/>
        </w:rPr>
        <w:t>。</w:t>
      </w:r>
    </w:p>
    <w:p>
      <w:pPr>
        <w:pStyle w:val="58"/>
        <w:adjustRightInd w:val="0"/>
        <w:snapToGrid w:val="0"/>
        <w:spacing w:line="440" w:lineRule="exact"/>
        <w:ind w:right="11" w:firstLine="360" w:firstLineChars="15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u w:val="single"/>
        </w:rPr>
        <w:t>按上述原则确定价格时，措施项目费用（除施工围蔽外）不计取</w:t>
      </w:r>
      <w:r>
        <w:rPr>
          <w:rFonts w:ascii="宋体" w:hAnsi="宋体" w:cs="宋体"/>
          <w:color w:val="auto"/>
          <w:sz w:val="24"/>
          <w:highlight w:val="none"/>
          <w:u w:val="single"/>
        </w:rPr>
        <w:t>,清单计价及</w:t>
      </w:r>
      <w:r>
        <w:rPr>
          <w:rFonts w:hint="eastAsia" w:ascii="宋体" w:hAnsi="宋体" w:cs="宋体"/>
          <w:color w:val="auto"/>
          <w:sz w:val="24"/>
          <w:highlight w:val="none"/>
          <w:u w:val="single"/>
        </w:rPr>
        <w:t>税金的计取，应符合《广东省住房和城乡建设厅关于营业税改征增值税后调整广东省建设工程计价依据的通知》（粤建市【</w:t>
      </w:r>
      <w:r>
        <w:rPr>
          <w:rFonts w:ascii="宋体" w:hAnsi="宋体" w:cs="宋体"/>
          <w:color w:val="auto"/>
          <w:sz w:val="24"/>
          <w:highlight w:val="none"/>
          <w:u w:val="single"/>
        </w:rPr>
        <w:t>2016】1113号）、《广州市住房和城乡建设委员会转发关于营业税改增值税后调整广东省建设工程计价依据有关事项的通知》（穗建筑【2016】744号）及《广州市建设工程造价管理站关于营业税改征增值税后广州市建设工程计价有关问题的通知》（穗建造价【2016】31号）</w:t>
      </w:r>
      <w:r>
        <w:rPr>
          <w:rFonts w:hint="eastAsia" w:ascii="宋体" w:hAnsi="宋体" w:cs="宋体"/>
          <w:color w:val="auto"/>
          <w:sz w:val="24"/>
          <w:highlight w:val="none"/>
          <w:u w:val="single"/>
        </w:rPr>
        <w:t>、《广东省住房和城乡建设厅关于印发</w:t>
      </w:r>
      <w:r>
        <w:rPr>
          <w:rFonts w:ascii="宋体" w:hAnsi="宋体" w:cs="宋体"/>
          <w:color w:val="auto"/>
          <w:sz w:val="24"/>
          <w:highlight w:val="none"/>
          <w:u w:val="single"/>
        </w:rPr>
        <w:t>&lt;</w:t>
      </w:r>
      <w:r>
        <w:rPr>
          <w:rFonts w:hint="eastAsia" w:ascii="宋体" w:hAnsi="宋体" w:cs="宋体"/>
          <w:color w:val="auto"/>
          <w:sz w:val="24"/>
          <w:highlight w:val="none"/>
          <w:u w:val="single"/>
        </w:rPr>
        <w:t>广东省建设工程计价依据（</w:t>
      </w:r>
      <w:r>
        <w:rPr>
          <w:rFonts w:ascii="宋体" w:hAnsi="宋体" w:cs="宋体"/>
          <w:color w:val="auto"/>
          <w:sz w:val="24"/>
          <w:highlight w:val="none"/>
          <w:u w:val="single"/>
        </w:rPr>
        <w:t>2018)&gt;</w:t>
      </w:r>
      <w:r>
        <w:rPr>
          <w:rFonts w:hint="eastAsia" w:ascii="宋体" w:hAnsi="宋体" w:cs="宋体"/>
          <w:color w:val="auto"/>
          <w:sz w:val="24"/>
          <w:highlight w:val="none"/>
          <w:u w:val="single"/>
        </w:rPr>
        <w:t>的通知》（穗建市〔</w:t>
      </w:r>
      <w:r>
        <w:rPr>
          <w:rFonts w:ascii="宋体" w:hAnsi="宋体" w:cs="宋体"/>
          <w:color w:val="auto"/>
          <w:sz w:val="24"/>
          <w:highlight w:val="none"/>
          <w:u w:val="single"/>
        </w:rPr>
        <w:t>2019〕6号）</w:t>
      </w:r>
      <w:r>
        <w:rPr>
          <w:rFonts w:hint="eastAsia" w:ascii="宋体" w:hAnsi="宋体" w:cs="宋体"/>
          <w:color w:val="auto"/>
          <w:sz w:val="24"/>
          <w:highlight w:val="none"/>
          <w:u w:val="single"/>
        </w:rPr>
        <w:t>等相关文件的规定。</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 xml:space="preserve">23.5.2 </w:t>
      </w:r>
      <w:r>
        <w:rPr>
          <w:rFonts w:hint="eastAsia" w:ascii="宋体" w:hAnsi="宋体" w:cs="宋体"/>
          <w:color w:val="auto"/>
          <w:sz w:val="24"/>
          <w:szCs w:val="24"/>
          <w:highlight w:val="none"/>
          <w:u w:val="single"/>
        </w:rPr>
        <w:t>工程量发生变化时，如项目综合单价与招标控制价对应的综合单价×（</w:t>
      </w:r>
      <w:r>
        <w:rPr>
          <w:rFonts w:ascii="宋体" w:hAnsi="宋体" w:cs="宋体"/>
          <w:color w:val="auto"/>
          <w:sz w:val="24"/>
          <w:szCs w:val="24"/>
          <w:highlight w:val="none"/>
          <w:u w:val="single"/>
        </w:rPr>
        <w:t>1-中标下浮率)（下称基价）偏差超过一定幅度时，相应调整项目综合单价。其中项目综合单价＞（1+15%）×基价且工程量增加的，增加部分工程量的综合单价按基价执行；项目综合单价＜（1-15%）×基价且工程量减少的，减少部分工程量的综合单价按基价执行，并从合同价款中扣除</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23.5.3</w:t>
      </w:r>
      <w:r>
        <w:rPr>
          <w:rFonts w:hint="eastAsia" w:ascii="宋体" w:hAnsi="宋体" w:cs="宋体"/>
          <w:color w:val="auto"/>
          <w:sz w:val="24"/>
          <w:szCs w:val="24"/>
          <w:highlight w:val="none"/>
          <w:u w:val="single"/>
        </w:rPr>
        <w:t>物价涨跌的价格调整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1）合同履行期间，出现工程造价管理机构发布的人工、材料、工程设备和施工设备、机械台班单价涨跌超过本工程招标文件规定的投标截止日期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时广州市建设工程造价管理部门发布的人工、材料、工程设备和施工设备、机械台班相应单价且符合以下规定的，应调整合同价款。</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承包人承担工料机价格涨跌幅度在</w:t>
      </w:r>
      <w:r>
        <w:rPr>
          <w:rFonts w:ascii="宋体" w:hAnsi="宋体" w:cs="宋体"/>
          <w:color w:val="auto"/>
          <w:sz w:val="24"/>
          <w:szCs w:val="24"/>
          <w:highlight w:val="none"/>
          <w:u w:val="single"/>
        </w:rPr>
        <w:t xml:space="preserve">10%以内（含10%）的风险，不予调整合同价款；工料机价格涨跌幅度超过10%时，可以调整合同价款, </w:t>
      </w:r>
      <w:r>
        <w:rPr>
          <w:rFonts w:hint="eastAsia" w:ascii="宋体" w:hAnsi="宋体" w:cs="宋体"/>
          <w:color w:val="auto"/>
          <w:sz w:val="24"/>
          <w:szCs w:val="24"/>
          <w:highlight w:val="none"/>
          <w:u w:val="single"/>
        </w:rPr>
        <w:t>调整范围为人工、机械台班、砂、碎石、石屑，及《印发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关于区财政投资工程人工、材料（设备）、机械价格调整的意见</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的通知》（穗开环建〔</w:t>
      </w:r>
      <w:r>
        <w:rPr>
          <w:rFonts w:ascii="宋体" w:hAnsi="宋体" w:cs="宋体"/>
          <w:color w:val="auto"/>
          <w:sz w:val="24"/>
          <w:szCs w:val="24"/>
          <w:highlight w:val="none"/>
          <w:u w:val="single"/>
        </w:rPr>
        <w:t>2008〕59号）附件《各类工程可调价差材料（设备）清单》中对应工程类别规定的可调价材料（设备）且属《广州地区建设工程常用材料税前综合价格》（以下简称“综合价格”）包含的材料、设备；“综合价格”中没有的材料、设备均不予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2）价款调整的方法</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①当人工、机械台班、可调价格的材料设备价格上涨幅度超过</w:t>
      </w:r>
      <w:r>
        <w:rPr>
          <w:rFonts w:ascii="宋体" w:hAnsi="宋体" w:cs="宋体"/>
          <w:color w:val="auto"/>
          <w:sz w:val="24"/>
          <w:szCs w:val="24"/>
          <w:highlight w:val="none"/>
          <w:u w:val="single"/>
        </w:rPr>
        <w:t>10%时，超出10%的部分由发包人承担；当人工、机械台班、可调价格的材料设备价格下跌幅度超过10%时，超出10%的部分由承包人退回发包人。人工、机械台班价格按实际发生的数量调整，材料（设备）按各类工程消耗的主要材料（设备）进行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②价款调整以各调价工料机的数量乘以单价价差，再乘以（</w:t>
      </w:r>
      <w:r>
        <w:rPr>
          <w:rFonts w:ascii="宋体" w:hAnsi="宋体" w:cs="宋体"/>
          <w:color w:val="auto"/>
          <w:sz w:val="24"/>
          <w:szCs w:val="24"/>
          <w:highlight w:val="none"/>
          <w:u w:val="single"/>
        </w:rPr>
        <w:t>1-中标下浮率）计算。各工料机的数量按该当期实际完成的适用投标单价项目的工程量计取，各调价工料机的单价价差以广州市建设工程造价管理部门发布的价格信息为依据，按施工当月信息价格与招标文件规定的投标截止日期</w:t>
      </w:r>
      <w:r>
        <w:rPr>
          <w:rFonts w:hint="eastAsia" w:ascii="宋体" w:hAnsi="宋体" w:cs="宋体"/>
          <w:color w:val="auto"/>
          <w:sz w:val="24"/>
          <w:szCs w:val="24"/>
          <w:highlight w:val="none"/>
          <w:u w:val="single"/>
        </w:rPr>
        <w:t>前第</w:t>
      </w:r>
      <w:r>
        <w:rPr>
          <w:rFonts w:ascii="宋体" w:hAnsi="宋体" w:cs="宋体"/>
          <w:color w:val="auto"/>
          <w:sz w:val="24"/>
          <w:szCs w:val="24"/>
          <w:highlight w:val="none"/>
          <w:u w:val="single"/>
        </w:rPr>
        <w:t>28天</w:t>
      </w:r>
      <w:r>
        <w:rPr>
          <w:rFonts w:hint="eastAsia" w:ascii="宋体" w:hAnsi="宋体" w:cs="宋体"/>
          <w:color w:val="auto"/>
          <w:sz w:val="24"/>
          <w:szCs w:val="24"/>
          <w:highlight w:val="none"/>
          <w:u w:val="single"/>
        </w:rPr>
        <w:t>时广州市建设工程造价管理部门发布的人工、材料、工程设备和施工设备、机械台班信息价格差值计取。</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③价款调整以月为单位计算，结算时一次性调整，如施工期间需调整价款的，经发包人、承包人协商一致后可签订价差补充协议，作为追加（减）合同价款和支付工程进度款的依据。</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④各调价材料、设备的信息价格按广州市建设工程造价管理部门发布的当月“综合价格”计取，综合价格中没有的材料、设备单价，价差不予调整。</w:t>
      </w:r>
    </w:p>
    <w:p>
      <w:pPr>
        <w:snapToGrid w:val="0"/>
        <w:spacing w:line="440" w:lineRule="exact"/>
        <w:ind w:firstLine="338" w:firstLineChars="141"/>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3）由于承包人原因导致工期延误的，所延误时段内物价上涨的风险全部由承包人承担，不予调整；如物价下跌，则仍按第（2）款约定计算及扣回相应价款。</w:t>
      </w:r>
    </w:p>
    <w:p>
      <w:pPr>
        <w:snapToGrid w:val="0"/>
        <w:spacing w:line="440" w:lineRule="exact"/>
        <w:ind w:firstLine="338" w:firstLineChars="141"/>
        <w:rPr>
          <w:rFonts w:ascii="宋体" w:hAnsi="宋体" w:cs="宋体"/>
          <w:b/>
          <w:color w:val="auto"/>
          <w:sz w:val="24"/>
          <w:highlight w:val="none"/>
        </w:rPr>
      </w:pPr>
      <w:r>
        <w:rPr>
          <w:rFonts w:ascii="宋体" w:hAnsi="宋体" w:cs="宋体"/>
          <w:color w:val="auto"/>
          <w:sz w:val="24"/>
          <w:highlight w:val="none"/>
        </w:rPr>
        <w:t>24</w:t>
      </w:r>
      <w:r>
        <w:rPr>
          <w:rFonts w:hint="eastAsia" w:ascii="宋体" w:hAnsi="宋体" w:cs="宋体"/>
          <w:b/>
          <w:color w:val="auto"/>
          <w:sz w:val="24"/>
          <w:highlight w:val="none"/>
        </w:rPr>
        <w:t>、工程预付款、工人工资</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24.1工程预付款</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24.1.1发包人向承包人预付工程款的时间和金额或占合同价款总额的比例：按广州开发区财政投资建设项目管理中心</w:t>
      </w:r>
      <w:r>
        <w:rPr>
          <w:rFonts w:hint="eastAsia" w:ascii="宋体" w:hAnsi="宋体" w:cs="宋体"/>
          <w:color w:val="auto"/>
          <w:sz w:val="24"/>
          <w:szCs w:val="24"/>
          <w:highlight w:val="none"/>
        </w:rPr>
        <w:t>《关于加强建设工程预付款管理的通知》及相关规定核查，承包人相关情况符合要求，且合同生效及财政拨款到位后，发包人预付合同价【扣除绿色施工安全防护措施费，若工程量清单中有暂定金则扣除暂定金（含暂列金额和暂估价）部分】的</w:t>
      </w:r>
      <w:r>
        <w:rPr>
          <w:rFonts w:hint="eastAsia" w:ascii="宋体" w:hAnsi="宋体" w:cs="宋体"/>
          <w:color w:val="auto"/>
          <w:sz w:val="24"/>
          <w:szCs w:val="24"/>
          <w:highlight w:val="none"/>
          <w:u w:val="single"/>
        </w:rPr>
        <w:t>30</w:t>
      </w:r>
      <w:r>
        <w:rPr>
          <w:rFonts w:ascii="宋体" w:hAnsi="宋体" w:cs="宋体"/>
          <w:color w:val="auto"/>
          <w:sz w:val="24"/>
          <w:szCs w:val="24"/>
          <w:highlight w:val="none"/>
        </w:rPr>
        <w:t>%作为预付款，但最高不超过</w:t>
      </w:r>
      <w:r>
        <w:rPr>
          <w:rFonts w:hint="eastAsia" w:ascii="宋体" w:hAnsi="宋体" w:cs="宋体"/>
          <w:color w:val="auto"/>
          <w:sz w:val="24"/>
          <w:szCs w:val="24"/>
          <w:highlight w:val="none"/>
          <w:u w:val="single"/>
        </w:rPr>
        <w:t>1000</w:t>
      </w:r>
      <w:r>
        <w:rPr>
          <w:rFonts w:hint="eastAsia" w:ascii="宋体" w:hAnsi="宋体" w:cs="宋体"/>
          <w:color w:val="auto"/>
          <w:sz w:val="24"/>
          <w:szCs w:val="24"/>
          <w:highlight w:val="none"/>
        </w:rPr>
        <w:t>万元。预付款中，（预付款×工人工资比例）的部分需支付至工人工资专用账户。</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（注：根据工程实际，执行《广州开发区财政投资建设项目管理中心建设工程招投标管理办法补充规定（</w:t>
      </w:r>
      <w:r>
        <w:rPr>
          <w:rFonts w:ascii="宋体" w:hAnsi="宋体" w:cs="宋体"/>
          <w:color w:val="auto"/>
          <w:sz w:val="24"/>
          <w:szCs w:val="24"/>
          <w:highlight w:val="none"/>
        </w:rPr>
        <w:t>2021年试行）</w:t>
      </w:r>
      <w:r>
        <w:rPr>
          <w:rFonts w:hint="eastAsia" w:ascii="宋体" w:hAnsi="宋体" w:cs="宋体"/>
          <w:color w:val="auto"/>
          <w:sz w:val="24"/>
          <w:szCs w:val="24"/>
          <w:highlight w:val="none"/>
        </w:rPr>
        <w:t>广州开发区财政投资建设项目管理中心建设工程招投标管理办法补充规定》）</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24.1.2承包人收取预付款后，应优先用于按有关规定缴纳工伤保险和办理建筑意外伤害险，专款专用。</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24.1.3扣回预付款的时间、比例：</w:t>
      </w:r>
      <w:r>
        <w:rPr>
          <w:rFonts w:ascii="宋体" w:hAnsi="宋体" w:cs="宋体"/>
          <w:color w:val="auto"/>
          <w:sz w:val="24"/>
          <w:szCs w:val="24"/>
          <w:highlight w:val="none"/>
          <w:u w:val="single"/>
        </w:rPr>
        <w:t>按本合同专用条款26条约定执行</w:t>
      </w:r>
      <w:r>
        <w:rPr>
          <w:rFonts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24.2工人工资</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24.2.1</w:t>
      </w:r>
      <w:r>
        <w:rPr>
          <w:rFonts w:hint="eastAsia" w:ascii="宋体" w:hAnsi="宋体" w:cs="宋体"/>
          <w:color w:val="auto"/>
          <w:sz w:val="24"/>
          <w:szCs w:val="24"/>
          <w:highlight w:val="none"/>
        </w:rPr>
        <w:t>承包人需按有关规定与商业银行另行签订广州市建设领域工人工资支付专用账户管理协议、开设专用账户并报发包人备案</w:t>
      </w:r>
      <w:r>
        <w:rPr>
          <w:rFonts w:ascii="宋体" w:hAnsi="宋体" w:cs="宋体"/>
          <w:color w:val="auto"/>
          <w:sz w:val="24"/>
          <w:szCs w:val="24"/>
          <w:highlight w:val="none"/>
        </w:rPr>
        <w:t>,工人工资支付至专用账户</w:t>
      </w:r>
      <w:r>
        <w:rPr>
          <w:rFonts w:hint="eastAsia" w:ascii="宋体" w:hAnsi="宋体" w:cs="宋体"/>
          <w:color w:val="auto"/>
          <w:sz w:val="24"/>
          <w:szCs w:val="24"/>
          <w:highlight w:val="none"/>
        </w:rPr>
        <w:t>。</w:t>
      </w:r>
    </w:p>
    <w:p>
      <w:pPr>
        <w:snapToGrid w:val="0"/>
        <w:spacing w:line="440" w:lineRule="exact"/>
        <w:ind w:firstLine="338" w:firstLineChars="141"/>
        <w:rPr>
          <w:rFonts w:ascii="宋体" w:hAnsi="宋体" w:cs="宋体"/>
          <w:color w:val="auto"/>
          <w:sz w:val="24"/>
          <w:szCs w:val="24"/>
          <w:highlight w:val="none"/>
        </w:rPr>
      </w:pPr>
      <w:r>
        <w:rPr>
          <w:rFonts w:ascii="宋体" w:hAnsi="宋体" w:cs="宋体"/>
          <w:color w:val="auto"/>
          <w:sz w:val="24"/>
          <w:szCs w:val="24"/>
          <w:highlight w:val="none"/>
        </w:rPr>
        <w:t>24.2.2工人工资进度款与工程进度款同步支付，其中每期需支付的工程进度款×工人工资比例为该期工人工资进度款，支付至工人工资专用账户。</w:t>
      </w:r>
    </w:p>
    <w:p>
      <w:pPr>
        <w:snapToGrid w:val="0"/>
        <w:spacing w:line="440" w:lineRule="exact"/>
        <w:ind w:firstLine="360" w:firstLineChars="150"/>
        <w:rPr>
          <w:rFonts w:ascii="宋体" w:hAnsi="宋体" w:cs="宋体"/>
          <w:color w:val="auto"/>
          <w:sz w:val="24"/>
          <w:highlight w:val="none"/>
        </w:rPr>
      </w:pPr>
      <w:r>
        <w:rPr>
          <w:rFonts w:ascii="宋体" w:hAnsi="宋体" w:cs="宋体"/>
          <w:color w:val="auto"/>
          <w:sz w:val="24"/>
          <w:highlight w:val="none"/>
        </w:rPr>
        <w:t>25</w:t>
      </w:r>
      <w:r>
        <w:rPr>
          <w:rFonts w:hint="eastAsia" w:ascii="宋体" w:hAnsi="宋体" w:cs="宋体"/>
          <w:b/>
          <w:color w:val="auto"/>
          <w:sz w:val="24"/>
          <w:highlight w:val="none"/>
        </w:rPr>
        <w:t>、工程量确认</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25.1</w:t>
      </w:r>
      <w:r>
        <w:rPr>
          <w:rFonts w:hint="eastAsia" w:ascii="宋体" w:hAnsi="宋体" w:cs="宋体"/>
          <w:color w:val="auto"/>
          <w:sz w:val="24"/>
          <w:szCs w:val="24"/>
          <w:highlight w:val="none"/>
        </w:rPr>
        <w:t>承包人向工程师提交已完工程量报告的时间：</w:t>
      </w:r>
      <w:r>
        <w:rPr>
          <w:rFonts w:hint="eastAsia" w:ascii="宋体" w:hAnsi="宋体" w:cs="宋体"/>
          <w:color w:val="auto"/>
          <w:sz w:val="24"/>
          <w:szCs w:val="24"/>
          <w:highlight w:val="none"/>
          <w:u w:val="single"/>
        </w:rPr>
        <w:t>自开工之日起每周及每月报告已完成工程状况</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25.2双方一致同意不适用通用条款25.2款</w:t>
      </w:r>
      <w:r>
        <w:rPr>
          <w:rFonts w:hint="eastAsia" w:ascii="宋体" w:hAnsi="宋体" w:cs="宋体"/>
          <w:color w:val="auto"/>
          <w:sz w:val="24"/>
          <w:szCs w:val="24"/>
          <w:highlight w:val="none"/>
        </w:rPr>
        <w:t>，承包人完成工程量必须经发包人书面确认。</w:t>
      </w:r>
    </w:p>
    <w:p>
      <w:pPr>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26</w:t>
      </w:r>
      <w:r>
        <w:rPr>
          <w:rFonts w:hint="eastAsia" w:ascii="宋体" w:hAnsi="宋体" w:cs="宋体"/>
          <w:color w:val="auto"/>
          <w:sz w:val="24"/>
          <w:highlight w:val="none"/>
        </w:rPr>
        <w:t>、</w:t>
      </w:r>
      <w:r>
        <w:rPr>
          <w:rFonts w:hint="eastAsia" w:ascii="宋体" w:hAnsi="宋体" w:cs="宋体"/>
          <w:b/>
          <w:color w:val="auto"/>
          <w:sz w:val="24"/>
          <w:highlight w:val="none"/>
        </w:rPr>
        <w:t>工程款（进度款）支付</w:t>
      </w:r>
    </w:p>
    <w:p>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26.1双方约定的工程款（进度款）支付采取如下的</w:t>
      </w:r>
      <w:r>
        <w:rPr>
          <w:rFonts w:hint="eastAsia" w:ascii="宋体" w:hAnsi="宋体" w:cs="宋体"/>
          <w:color w:val="auto"/>
          <w:sz w:val="24"/>
          <w:szCs w:val="24"/>
          <w:highlight w:val="none"/>
          <w:u w:val="single"/>
        </w:rPr>
        <w:t>26.1.2</w:t>
      </w:r>
      <w:r>
        <w:rPr>
          <w:rFonts w:hint="eastAsia" w:ascii="宋体" w:hAnsi="宋体" w:cs="宋体"/>
          <w:color w:val="auto"/>
          <w:sz w:val="24"/>
          <w:szCs w:val="24"/>
          <w:highlight w:val="none"/>
        </w:rPr>
        <w:t>方式进行：</w:t>
      </w:r>
    </w:p>
    <w:p>
      <w:pPr>
        <w:snapToGrid w:val="0"/>
        <w:spacing w:line="440" w:lineRule="exact"/>
        <w:ind w:firstLine="480"/>
        <w:rPr>
          <w:rFonts w:ascii="宋体" w:hAnsi="宋体" w:cs="宋体"/>
          <w:color w:val="auto"/>
          <w:sz w:val="24"/>
          <w:szCs w:val="24"/>
          <w:highlight w:val="none"/>
        </w:rPr>
      </w:pPr>
      <w:r>
        <w:rPr>
          <w:rFonts w:ascii="宋体" w:hAnsi="宋体" w:cs="宋体"/>
          <w:color w:val="auto"/>
          <w:sz w:val="24"/>
          <w:szCs w:val="24"/>
          <w:highlight w:val="none"/>
        </w:rPr>
        <w:t>26.1.1</w:t>
      </w:r>
      <w:r>
        <w:rPr>
          <w:rFonts w:hint="eastAsia" w:ascii="宋体" w:hAnsi="宋体" w:cs="宋体"/>
          <w:color w:val="auto"/>
          <w:sz w:val="24"/>
          <w:szCs w:val="24"/>
          <w:highlight w:val="none"/>
        </w:rPr>
        <w:t>按累计完成工作量百分率支付工程款（进度款）方式：</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当完成工作量达到</w:t>
      </w:r>
      <w:r>
        <w:rPr>
          <w:rFonts w:ascii="宋体" w:hAnsi="宋体" w:cs="宋体"/>
          <w:color w:val="auto"/>
          <w:sz w:val="24"/>
          <w:szCs w:val="24"/>
          <w:highlight w:val="none"/>
          <w:u w:val="single"/>
        </w:rPr>
        <w:t>60%</w:t>
      </w:r>
      <w:r>
        <w:rPr>
          <w:rFonts w:hint="eastAsia" w:ascii="宋体" w:hAnsi="宋体" w:cs="宋体"/>
          <w:color w:val="auto"/>
          <w:sz w:val="24"/>
          <w:szCs w:val="24"/>
          <w:highlight w:val="none"/>
          <w:u w:val="single"/>
        </w:rPr>
        <w:t>时，支付工程进度款</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累计付款(含已支付的</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55%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工程完工，并通过初验后支付合同价款</w:t>
      </w:r>
      <w:r>
        <w:rPr>
          <w:rFonts w:ascii="宋体" w:hAnsi="宋体" w:cs="宋体"/>
          <w:color w:val="auto"/>
          <w:sz w:val="24"/>
          <w:szCs w:val="24"/>
          <w:highlight w:val="none"/>
          <w:u w:val="single"/>
        </w:rPr>
        <w:t>30%</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累计付款(含</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至合同价款</w:t>
      </w:r>
      <w:r>
        <w:rPr>
          <w:rFonts w:hint="eastAsia" w:ascii="宋体" w:hAnsi="宋体" w:cs="宋体"/>
          <w:color w:val="auto"/>
          <w:sz w:val="24"/>
          <w:szCs w:val="24"/>
          <w:highlight w:val="none"/>
          <w:u w:val="single"/>
        </w:rPr>
        <w:t>若有暂定金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扣除未计量部分暂定金</w:t>
      </w:r>
      <w:r>
        <w:rPr>
          <w:rFonts w:ascii="宋体" w:hAnsi="宋体" w:cs="宋体"/>
          <w:color w:val="auto"/>
          <w:sz w:val="24"/>
          <w:szCs w:val="24"/>
          <w:highlight w:val="none"/>
          <w:u w:val="single"/>
        </w:rPr>
        <w:t>(含暂列金额和暂估价)</w:t>
      </w:r>
      <w:r>
        <w:rPr>
          <w:rFonts w:hint="eastAsia" w:ascii="宋体" w:hAnsi="宋体" w:cs="宋体"/>
          <w:color w:val="auto"/>
          <w:sz w:val="24"/>
          <w:szCs w:val="24"/>
          <w:highlight w:val="none"/>
          <w:u w:val="single"/>
        </w:rPr>
        <w:t>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w:t>
      </w:r>
      <w:r>
        <w:rPr>
          <w:rFonts w:ascii="宋体" w:hAnsi="宋体" w:cs="宋体"/>
          <w:color w:val="auto"/>
          <w:sz w:val="24"/>
          <w:szCs w:val="24"/>
          <w:highlight w:val="none"/>
          <w:u w:val="single"/>
        </w:rPr>
        <w:t>(</w:t>
      </w:r>
      <w:r>
        <w:rPr>
          <w:rFonts w:hint="eastAsia" w:ascii="宋体" w:hAnsi="宋体" w:cs="宋体"/>
          <w:color w:val="auto"/>
          <w:sz w:val="24"/>
          <w:szCs w:val="24"/>
          <w:highlight w:val="none"/>
          <w:u w:val="single"/>
        </w:rPr>
        <w:t>含绿色施工安全防护措施费）至结算价的</w:t>
      </w:r>
      <w:r>
        <w:rPr>
          <w:rFonts w:ascii="宋体" w:hAnsi="宋体" w:cs="宋体"/>
          <w:color w:val="auto"/>
          <w:sz w:val="24"/>
          <w:szCs w:val="24"/>
          <w:highlight w:val="none"/>
          <w:u w:val="single"/>
        </w:rPr>
        <w:t>97%</w:t>
      </w:r>
      <w:r>
        <w:rPr>
          <w:rFonts w:hint="eastAsia" w:ascii="宋体" w:hAnsi="宋体" w:cs="宋体"/>
          <w:color w:val="auto"/>
          <w:sz w:val="24"/>
          <w:highlight w:val="none"/>
          <w:u w:val="single"/>
        </w:rPr>
        <w:t>；工程结算价款额度的3%作为保修金，待缺陷责任期期结束后结清（不计利息）</w:t>
      </w:r>
      <w:r>
        <w:rPr>
          <w:rFonts w:hint="eastAsia" w:ascii="宋体" w:hAnsi="宋体" w:cs="宋体"/>
          <w:color w:val="auto"/>
          <w:sz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26.1.2按月度支付工程款（进度款）</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承包人每月上报完成工程量报表，经监理审核及发包人确认后，发包人按经审定月度完成工程量的</w:t>
      </w:r>
      <w:r>
        <w:rPr>
          <w:rFonts w:ascii="宋体" w:hAnsi="宋体" w:cs="宋体"/>
          <w:color w:val="auto"/>
          <w:sz w:val="24"/>
          <w:szCs w:val="24"/>
          <w:highlight w:val="none"/>
          <w:u w:val="single"/>
        </w:rPr>
        <w:t>85%支付工程进度款</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从本工程发生的第一次进度款支付起，发包人每次按审定月度完成工程量的</w:t>
      </w:r>
      <w:r>
        <w:rPr>
          <w:rFonts w:ascii="宋体" w:hAnsi="宋体" w:cs="宋体"/>
          <w:color w:val="auto"/>
          <w:sz w:val="24"/>
          <w:szCs w:val="24"/>
          <w:highlight w:val="none"/>
          <w:u w:val="single"/>
        </w:rPr>
        <w:t>85%中之50%扣回预付款，每次按审定月度完成工程量的85%扣除应扣回的预付款后支付承包人当次的工程进度款，直至预付款全部扣回完毕止。预付款扣回完毕后，发包人按审定月度完成工程量的85%支付工程进度款；工程完工，累计支付</w:t>
      </w:r>
      <w:r>
        <w:rPr>
          <w:rFonts w:hint="eastAsia" w:ascii="宋体" w:hAnsi="宋体" w:cs="宋体"/>
          <w:color w:val="auto"/>
          <w:sz w:val="24"/>
          <w:szCs w:val="24"/>
          <w:highlight w:val="none"/>
          <w:u w:val="single"/>
        </w:rPr>
        <w:t>的工程款（含绿色施工安全防护措施费）不超过合同价若有暂定金（含暂列金额及暂估价）则扣除未计量部分暂定金后的</w:t>
      </w:r>
      <w:r>
        <w:rPr>
          <w:rFonts w:ascii="宋体" w:hAnsi="宋体" w:cs="宋体"/>
          <w:color w:val="auto"/>
          <w:sz w:val="24"/>
          <w:szCs w:val="24"/>
          <w:highlight w:val="none"/>
          <w:u w:val="single"/>
        </w:rPr>
        <w:t>85%</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工程通过验收并经广州开发区财政局审定施工结算后支付工程款（含绿色施工安全防护措施费）至结算价的</w:t>
      </w:r>
      <w:r>
        <w:rPr>
          <w:rFonts w:ascii="宋体" w:hAnsi="宋体" w:cs="宋体"/>
          <w:color w:val="auto"/>
          <w:sz w:val="24"/>
          <w:szCs w:val="24"/>
          <w:highlight w:val="none"/>
          <w:u w:val="single"/>
        </w:rPr>
        <w:t>97%</w:t>
      </w:r>
      <w:r>
        <w:rPr>
          <w:rFonts w:hint="eastAsia" w:ascii="宋体" w:hAnsi="宋体" w:cs="宋体"/>
          <w:color w:val="auto"/>
          <w:sz w:val="24"/>
          <w:highlight w:val="none"/>
          <w:u w:val="single"/>
        </w:rPr>
        <w:t>；工程结算价款额度的3%作为保修金，待缺陷责任期期结束后结清（不计利息）</w:t>
      </w:r>
      <w:r>
        <w:rPr>
          <w:rFonts w:hint="eastAsia" w:ascii="宋体" w:hAnsi="宋体" w:cs="宋体"/>
          <w:color w:val="auto"/>
          <w:sz w:val="24"/>
          <w:highlight w:val="none"/>
        </w:rPr>
        <w:t>。</w:t>
      </w:r>
    </w:p>
    <w:p>
      <w:pPr>
        <w:snapToGrid w:val="0"/>
        <w:spacing w:line="440" w:lineRule="exact"/>
        <w:ind w:firstLine="338" w:firstLineChars="141"/>
        <w:rPr>
          <w:rFonts w:ascii="宋体" w:hAnsi="宋体" w:cs="宋体"/>
          <w:color w:val="auto"/>
          <w:sz w:val="24"/>
          <w:szCs w:val="24"/>
          <w:highlight w:val="none"/>
        </w:rPr>
      </w:pPr>
      <w:r>
        <w:rPr>
          <w:rFonts w:hint="eastAsia" w:ascii="宋体" w:hAnsi="宋体" w:cs="宋体"/>
          <w:color w:val="auto"/>
          <w:sz w:val="24"/>
          <w:szCs w:val="24"/>
          <w:highlight w:val="none"/>
        </w:rPr>
        <w:t>上述所有款项均在广州开发区财政局审定该专项资金并拨款到位后支付，每期需支付的工程进度款×工人工资比例为该期工人工资进度款，支付至工人工资专用账户。办理工程款财政请款手续的时间不计入付款期限。</w:t>
      </w:r>
    </w:p>
    <w:p>
      <w:pPr>
        <w:adjustRightInd w:val="0"/>
        <w:snapToGrid w:val="0"/>
        <w:spacing w:line="440" w:lineRule="exact"/>
        <w:ind w:right="11" w:firstLine="420" w:firstLineChars="175"/>
        <w:rPr>
          <w:rFonts w:ascii="宋体" w:hAnsi="宋体" w:cs="宋体"/>
          <w:color w:val="auto"/>
          <w:sz w:val="24"/>
          <w:szCs w:val="24"/>
          <w:highlight w:val="none"/>
        </w:rPr>
      </w:pPr>
      <w:r>
        <w:rPr>
          <w:rFonts w:ascii="宋体" w:hAnsi="宋体" w:cs="宋体"/>
          <w:color w:val="auto"/>
          <w:sz w:val="24"/>
          <w:szCs w:val="24"/>
          <w:highlight w:val="none"/>
        </w:rPr>
        <w:t>26.2所有因变更、签证及价格调整等原因所调整增加的工程价款均应由承包人按广州开发区、</w:t>
      </w:r>
      <w:r>
        <w:rPr>
          <w:rFonts w:hint="eastAsia" w:ascii="宋体" w:hAnsi="宋体" w:cs="宋体"/>
          <w:color w:val="auto"/>
          <w:sz w:val="24"/>
          <w:szCs w:val="24"/>
          <w:highlight w:val="none"/>
        </w:rPr>
        <w:t>黄埔</w:t>
      </w:r>
      <w:r>
        <w:rPr>
          <w:rFonts w:ascii="宋体" w:hAnsi="宋体" w:cs="宋体"/>
          <w:color w:val="auto"/>
          <w:sz w:val="24"/>
          <w:szCs w:val="24"/>
          <w:highlight w:val="none"/>
        </w:rPr>
        <w:t>区及发包人相关规定程序，报监理初审，并经发包人审批同意后，按审定金额另行签订补充协议支付，或在工程结算中一并支付。</w:t>
      </w:r>
    </w:p>
    <w:p>
      <w:pPr>
        <w:snapToGrid w:val="0"/>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26.4</w:t>
      </w:r>
      <w:r>
        <w:rPr>
          <w:rFonts w:hint="eastAsia" w:ascii="宋体" w:hAnsi="宋体" w:cs="宋体"/>
          <w:color w:val="auto"/>
          <w:sz w:val="24"/>
          <w:szCs w:val="24"/>
          <w:highlight w:val="none"/>
        </w:rPr>
        <w:t>工程价款的支付条件：</w:t>
      </w:r>
    </w:p>
    <w:p>
      <w:pPr>
        <w:snapToGrid w:val="0"/>
        <w:spacing w:line="440" w:lineRule="exact"/>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1）支付</w:t>
      </w:r>
      <w:r>
        <w:rPr>
          <w:rFonts w:hint="eastAsia" w:ascii="宋体" w:hAnsi="宋体" w:cs="宋体"/>
          <w:color w:val="auto"/>
          <w:sz w:val="24"/>
          <w:szCs w:val="24"/>
          <w:highlight w:val="none"/>
        </w:rPr>
        <w:t>预付</w:t>
      </w:r>
      <w:r>
        <w:rPr>
          <w:rFonts w:ascii="宋体" w:hAnsi="宋体" w:cs="宋体"/>
          <w:color w:val="auto"/>
          <w:sz w:val="24"/>
          <w:szCs w:val="24"/>
          <w:highlight w:val="none"/>
        </w:rPr>
        <w:t>款：</w:t>
      </w:r>
      <w:r>
        <w:rPr>
          <w:rFonts w:hint="eastAsia" w:ascii="宋体" w:hAnsi="宋体" w:cs="宋体"/>
          <w:color w:val="auto"/>
          <w:sz w:val="24"/>
          <w:szCs w:val="24"/>
          <w:highlight w:val="none"/>
          <w:u w:val="single"/>
        </w:rPr>
        <w:t>承包人已与发包人签订工程施工合同，承包人承诺的项目管理人员、机械设备到位。已生效的履约担保已按发包人要求准时提交发包人，工程已经监理工程师批准动工，该工程财政拨款已到位。如工程因用地、拆迁等原因导致不能全面开工，则预付款的支付按可开工部分的工程量占总工程量的比例做相应调整</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2）支付工程款（进度款）：</w:t>
      </w:r>
      <w:r>
        <w:rPr>
          <w:rFonts w:hint="eastAsia" w:ascii="宋体" w:hAnsi="宋体" w:cs="宋体"/>
          <w:color w:val="auto"/>
          <w:sz w:val="24"/>
          <w:szCs w:val="24"/>
          <w:highlight w:val="none"/>
          <w:u w:val="single"/>
        </w:rPr>
        <w:t>承包人必须及时向监理工程师提供其完成工作量的计量支付汇总报表和相应的分项工程计量支付报表。完成的全部分项工程数量均需有监理工程师的签认手续，计算依据和相关的质量合格证明资料，需通过测量确定数量的必须附有完整的测量资料且有监理工程师的签认</w:t>
      </w:r>
      <w:r>
        <w:rPr>
          <w:rFonts w:hint="eastAsia" w:ascii="宋体" w:hAnsi="宋体" w:cs="宋体"/>
          <w:color w:val="auto"/>
          <w:sz w:val="24"/>
          <w:szCs w:val="24"/>
          <w:highlight w:val="none"/>
        </w:rPr>
        <w:t>。</w:t>
      </w:r>
    </w:p>
    <w:p>
      <w:pPr>
        <w:pStyle w:val="4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26.5</w:t>
      </w:r>
      <w:r>
        <w:rPr>
          <w:rFonts w:hint="eastAsia" w:ascii="宋体" w:hAnsi="宋体" w:eastAsia="宋体" w:cs="宋体"/>
          <w:color w:val="auto"/>
          <w:sz w:val="24"/>
          <w:highlight w:val="none"/>
          <w:u w:val="single"/>
        </w:rPr>
        <w:t>绿色施工安全防护措施费</w:t>
      </w:r>
      <w:r>
        <w:rPr>
          <w:rFonts w:hint="eastAsia" w:ascii="宋体" w:hAnsi="宋体" w:eastAsia="宋体" w:cs="宋体"/>
          <w:color w:val="auto"/>
          <w:sz w:val="24"/>
          <w:highlight w:val="none"/>
        </w:rPr>
        <w:t>支付的支付条件：</w:t>
      </w:r>
    </w:p>
    <w:p>
      <w:pPr>
        <w:pStyle w:val="40"/>
        <w:snapToGrid w:val="0"/>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绿色施工安全防护措施费</w:t>
      </w:r>
      <w:r>
        <w:rPr>
          <w:rFonts w:hint="eastAsia" w:ascii="宋体" w:hAnsi="宋体" w:eastAsia="宋体" w:cs="宋体"/>
          <w:color w:val="auto"/>
          <w:sz w:val="24"/>
          <w:highlight w:val="none"/>
        </w:rPr>
        <w:t>按在工程投标最高报价中的</w:t>
      </w:r>
      <w:r>
        <w:rPr>
          <w:rFonts w:hint="eastAsia" w:ascii="宋体" w:hAnsi="宋体" w:eastAsia="宋体" w:cs="宋体"/>
          <w:color w:val="auto"/>
          <w:sz w:val="24"/>
          <w:highlight w:val="none"/>
          <w:u w:val="single"/>
        </w:rPr>
        <w:t>绿色施工安全防护措施费</w:t>
      </w:r>
      <w:r>
        <w:rPr>
          <w:rFonts w:hint="eastAsia" w:ascii="宋体" w:hAnsi="宋体" w:eastAsia="宋体" w:cs="宋体"/>
          <w:color w:val="auto"/>
          <w:sz w:val="24"/>
          <w:highlight w:val="none"/>
        </w:rPr>
        <w:t>用计取，专款专用，并从本施工合同价款中提取（</w:t>
      </w:r>
      <w:r>
        <w:rPr>
          <w:rFonts w:hint="eastAsia" w:ascii="宋体" w:hAnsi="宋体" w:eastAsia="宋体" w:cs="宋体"/>
          <w:color w:val="auto"/>
          <w:sz w:val="24"/>
          <w:highlight w:val="none"/>
          <w:u w:val="single"/>
        </w:rPr>
        <w:t>绿色施工安全防护措施费</w:t>
      </w:r>
      <w:r>
        <w:rPr>
          <w:rFonts w:hint="eastAsia" w:ascii="宋体" w:hAnsi="宋体" w:eastAsia="宋体" w:cs="宋体"/>
          <w:color w:val="auto"/>
          <w:sz w:val="24"/>
          <w:highlight w:val="none"/>
        </w:rPr>
        <w:t>已包含在本工程中标价即施工合同价中）。该费用根据《广州开发区财政投资建设项目管理中心建设项目绿色施工安全防护措施费支付管理实施细则（2024年修订）》（穗开建管〔2024〕47号）及“穗建筑【2008】967号”文及“穗建筑【2018】981号”规定，分阶段支付</w:t>
      </w:r>
      <w:r>
        <w:rPr>
          <w:rFonts w:hint="eastAsia" w:ascii="宋体" w:hAnsi="宋体" w:eastAsia="宋体" w:cs="宋体"/>
          <w:color w:val="auto"/>
          <w:sz w:val="24"/>
          <w:highlight w:val="none"/>
          <w:u w:val="single"/>
        </w:rPr>
        <w:t>绿色施工安全防护措施费</w:t>
      </w:r>
      <w:r>
        <w:rPr>
          <w:rFonts w:hint="eastAsia" w:ascii="宋体" w:hAnsi="宋体" w:eastAsia="宋体" w:cs="宋体"/>
          <w:color w:val="auto"/>
          <w:sz w:val="24"/>
          <w:highlight w:val="none"/>
        </w:rPr>
        <w:t>：</w:t>
      </w:r>
    </w:p>
    <w:p>
      <w:pPr>
        <w:spacing w:line="440" w:lineRule="exact"/>
        <w:ind w:firstLine="480"/>
        <w:rPr>
          <w:rFonts w:ascii="宋体" w:hAnsi="宋体" w:cs="宋体"/>
          <w:color w:val="auto"/>
          <w:sz w:val="24"/>
          <w:highlight w:val="none"/>
        </w:rPr>
      </w:pPr>
      <w:r>
        <w:rPr>
          <w:rFonts w:ascii="宋体" w:hAnsi="宋体" w:cs="宋体"/>
          <w:color w:val="auto"/>
          <w:sz w:val="24"/>
          <w:highlight w:val="none"/>
        </w:rPr>
        <w:t>1</w:t>
      </w:r>
      <w:r>
        <w:rPr>
          <w:rFonts w:hint="eastAsia" w:ascii="宋体" w:hAnsi="宋体" w:cs="宋体"/>
          <w:color w:val="auto"/>
          <w:sz w:val="24"/>
          <w:highlight w:val="none"/>
        </w:rPr>
        <w:t>、工程项目开工日一个月内，由承包人主动向发包人提出申请，预付绿色施工安全防护措施费的</w:t>
      </w:r>
      <w:r>
        <w:rPr>
          <w:rFonts w:ascii="宋体" w:hAnsi="宋体" w:cs="宋体"/>
          <w:color w:val="auto"/>
          <w:sz w:val="24"/>
          <w:highlight w:val="none"/>
        </w:rPr>
        <w:t>50%</w:t>
      </w:r>
      <w:r>
        <w:rPr>
          <w:rFonts w:hint="eastAsia" w:ascii="宋体" w:hAnsi="宋体" w:cs="宋体"/>
          <w:color w:val="auto"/>
          <w:sz w:val="24"/>
          <w:highlight w:val="none"/>
        </w:rPr>
        <w:t>。</w:t>
      </w:r>
    </w:p>
    <w:p>
      <w:pPr>
        <w:spacing w:line="440" w:lineRule="exact"/>
        <w:ind w:firstLine="480"/>
        <w:rPr>
          <w:rFonts w:ascii="宋体" w:hAnsi="宋体" w:cs="宋体"/>
          <w:color w:val="auto"/>
          <w:sz w:val="24"/>
          <w:highlight w:val="none"/>
        </w:rPr>
      </w:pPr>
      <w:r>
        <w:rPr>
          <w:rFonts w:ascii="宋体" w:hAnsi="宋体" w:cs="宋体"/>
          <w:color w:val="auto"/>
          <w:sz w:val="24"/>
          <w:highlight w:val="none"/>
        </w:rPr>
        <w:t>2</w:t>
      </w:r>
      <w:r>
        <w:rPr>
          <w:rFonts w:hint="eastAsia" w:ascii="宋体" w:hAnsi="宋体" w:cs="宋体"/>
          <w:color w:val="auto"/>
          <w:sz w:val="24"/>
          <w:highlight w:val="none"/>
        </w:rPr>
        <w:t>、第一次现场验收合格后可以申请绿色施工安全防护措施费的40%。申请需提供区建管中心出具的《检查记录表》，且评定等级为合格或以上。</w:t>
      </w:r>
    </w:p>
    <w:p>
      <w:pPr>
        <w:spacing w:line="440" w:lineRule="exact"/>
        <w:ind w:firstLine="480"/>
        <w:rPr>
          <w:rFonts w:ascii="宋体" w:hAnsi="宋体" w:cs="宋体"/>
          <w:color w:val="auto"/>
          <w:sz w:val="24"/>
          <w:highlight w:val="none"/>
        </w:rPr>
      </w:pPr>
      <w:r>
        <w:rPr>
          <w:rFonts w:ascii="宋体" w:hAnsi="宋体" w:cs="宋体"/>
          <w:color w:val="auto"/>
          <w:sz w:val="24"/>
          <w:highlight w:val="none"/>
        </w:rPr>
        <w:t>3</w:t>
      </w:r>
      <w:r>
        <w:rPr>
          <w:rFonts w:hint="eastAsia" w:ascii="宋体" w:hAnsi="宋体" w:cs="宋体"/>
          <w:color w:val="auto"/>
          <w:sz w:val="24"/>
          <w:highlight w:val="none"/>
        </w:rPr>
        <w:t>、第二次现场验收合格后可以申请绿色施工安全防护措施费的10%。申请需提供区质监站出具的《建设工程施工安全评价书》且评定等级为合格或以上。</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u w:val="single"/>
        </w:rPr>
        <w:t>如存在特殊情况的，绿色施工安全防护措施费</w:t>
      </w:r>
      <w:r>
        <w:rPr>
          <w:rFonts w:hint="eastAsia" w:ascii="宋体" w:hAnsi="宋体" w:cs="宋体"/>
          <w:color w:val="auto"/>
          <w:sz w:val="24"/>
          <w:highlight w:val="none"/>
        </w:rPr>
        <w:t>具体支付方式及条件以《广州开发区财政投资建设项目管理中心建设项目绿色施工安全防护措施费支付管理实施细则（2024年修订）》（穗开建管〔2024〕47号）为准。</w:t>
      </w:r>
    </w:p>
    <w:p>
      <w:pPr>
        <w:pStyle w:val="60"/>
        <w:spacing w:line="440" w:lineRule="exact"/>
        <w:ind w:firstLine="480" w:firstLineChars="200"/>
        <w:outlineLvl w:val="1"/>
        <w:rPr>
          <w:rFonts w:ascii="宋体" w:hAnsi="宋体" w:cs="宋体"/>
          <w:color w:val="auto"/>
          <w:sz w:val="24"/>
          <w:szCs w:val="24"/>
          <w:highlight w:val="none"/>
        </w:rPr>
      </w:pPr>
      <w:r>
        <w:rPr>
          <w:rFonts w:ascii="宋体" w:hAnsi="宋体" w:cs="宋体"/>
          <w:color w:val="auto"/>
          <w:sz w:val="24"/>
          <w:szCs w:val="24"/>
          <w:highlight w:val="none"/>
        </w:rPr>
        <w:t>26.6根据广州市环境保护局《关于开展建筑施工扬尘排污费征收工作的通知》（穗环〔2015〕114号）及广州开发区建设和环境保护局《关于开展建筑施工扬尘排污费征收工作的通知》（穗开环〔2015〕20号）规定，本工程需向环保部门交纳建筑施工扬尘排污费，该费用由环保部门根据《广州市建筑施工扬尘排放量核算办法》和《排污费征收标准及计算方法》核定。根据环保部门开具的《排放污染物与排污费缴纳金额核定表》，超标及落后产能部分由承包人承担，其余部分由发包人承担。缴纳方式如下：由承包人以发包人名义先行垫付资金向环保部门缴纳，并在10个工作日内凭缴费凭证就除超标及落后产能外的费用向发包人提交报销申请，逾期未提出申请视为放弃相关权利。</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七、材料设备供应</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27</w:t>
      </w:r>
      <w:r>
        <w:rPr>
          <w:rFonts w:hint="eastAsia" w:ascii="宋体" w:hAnsi="宋体" w:cs="宋体"/>
          <w:b/>
          <w:color w:val="auto"/>
          <w:sz w:val="24"/>
          <w:highlight w:val="none"/>
        </w:rPr>
        <w:t>、发包人供应材料设备</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27.4</w:t>
      </w:r>
      <w:r>
        <w:rPr>
          <w:rFonts w:hint="eastAsia" w:ascii="宋体" w:hAnsi="宋体" w:cs="宋体"/>
          <w:color w:val="auto"/>
          <w:sz w:val="24"/>
          <w:szCs w:val="24"/>
          <w:highlight w:val="none"/>
        </w:rPr>
        <w:t>发包人供应的材料设备与一览表不符时，双方约定发包人承担责任如下：</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材料设备单价与一览表不符：</w:t>
      </w:r>
      <w:r>
        <w:rPr>
          <w:rFonts w:ascii="宋体" w:hAnsi="宋体" w:cs="宋体"/>
          <w:color w:val="auto"/>
          <w:sz w:val="24"/>
          <w:highlight w:val="none"/>
          <w:u w:val="single"/>
        </w:rPr>
        <mc:AlternateContent>
          <mc:Choice Requires="wps">
            <w:drawing>
              <wp:anchor distT="0" distB="0" distL="114300" distR="114300" simplePos="0" relativeHeight="251662336" behindDoc="0" locked="0" layoutInCell="0" allowOverlap="1">
                <wp:simplePos x="0" y="0"/>
                <wp:positionH relativeFrom="column">
                  <wp:posOffset>3556000</wp:posOffset>
                </wp:positionH>
                <wp:positionV relativeFrom="paragraph">
                  <wp:posOffset>0</wp:posOffset>
                </wp:positionV>
                <wp:extent cx="635" cy="0"/>
                <wp:effectExtent l="0" t="4445" r="0" b="5080"/>
                <wp:wrapNone/>
                <wp:docPr id="4" name="直接连接符 1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接连接符 14" o:spid="_x0000_s1026" o:spt="20" style="position:absolute;left:0pt;margin-left:280pt;margin-top:0pt;height:0pt;width:0.05pt;z-index:251662336;mso-width-relative:page;mso-height-relative:page;" filled="f" stroked="t" coordsize="21600,21600" o:allowincell="f" o:gfxdata="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zl&#10;5BDTAAAABQEAAA8AAAAAAAAAAQAgAAAAIgAAAGRycy9kb3ducmV2LnhtbFBLAQIUABQAAAAIAIdO&#10;4kCyb+Jp7wEAAOMDAAAOAAAAAAAAAAEAIAAAACIBAABkcnMvZTJvRG9jLnhtbFBLBQYAAAAABgAG&#10;AFkBAACDBQAAAAA=&#10;">
                <v:fill on="f" focussize="0,0"/>
                <v:stroke color="#000000" joinstyle="round"/>
                <v:imagedata o:title=""/>
                <o:lock v:ext="edit" aspectratio="f"/>
              </v:line>
            </w:pict>
          </mc:Fallback>
        </mc:AlternateConten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材料设备的品种、规格、型号、质量等级与一览表不符：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承包人可代为调剂串换的材料：</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到货地点与一览表不符：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供应数量与一览表不符：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）到货时间与一览表不符；</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tabs>
          <w:tab w:val="left" w:pos="70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27.6</w:t>
      </w:r>
      <w:r>
        <w:rPr>
          <w:rFonts w:hint="eastAsia" w:ascii="宋体" w:hAnsi="宋体" w:cs="宋体"/>
          <w:color w:val="auto"/>
          <w:sz w:val="24"/>
          <w:szCs w:val="24"/>
          <w:highlight w:val="none"/>
        </w:rPr>
        <w:t>发包人供应材料设备的结算方法：</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28</w:t>
      </w:r>
      <w:r>
        <w:rPr>
          <w:rFonts w:hint="eastAsia" w:ascii="宋体" w:hAnsi="宋体" w:cs="宋体"/>
          <w:b/>
          <w:color w:val="auto"/>
          <w:sz w:val="24"/>
          <w:highlight w:val="none"/>
        </w:rPr>
        <w:t>、承包人采购材料设备</w:t>
      </w:r>
    </w:p>
    <w:p>
      <w:pPr>
        <w:keepNext w:val="0"/>
        <w:keepLines w:val="0"/>
        <w:pageBreakBefore w:val="0"/>
        <w:widowControl w:val="0"/>
        <w:kinsoku/>
        <w:wordWrap/>
        <w:overflowPunct/>
        <w:topLinePunct w:val="0"/>
        <w:autoSpaceDE/>
        <w:autoSpaceDN/>
        <w:bidi w:val="0"/>
        <w:adjustRightInd/>
        <w:snapToGrid/>
        <w:spacing w:line="440" w:lineRule="exact"/>
        <w:ind w:firstLine="397"/>
        <w:textAlignment w:val="auto"/>
        <w:rPr>
          <w:rFonts w:ascii="宋体" w:hAnsi="宋体" w:cs="宋体"/>
          <w:color w:val="auto"/>
          <w:sz w:val="24"/>
          <w:szCs w:val="24"/>
          <w:highlight w:val="none"/>
          <w:u w:val="single"/>
        </w:rPr>
      </w:pPr>
      <w:r>
        <w:rPr>
          <w:rFonts w:ascii="宋体" w:hAnsi="宋体" w:cs="宋体"/>
          <w:color w:val="auto"/>
          <w:sz w:val="24"/>
          <w:szCs w:val="24"/>
          <w:highlight w:val="none"/>
        </w:rPr>
        <w:t>28.1</w:t>
      </w:r>
      <w:r>
        <w:rPr>
          <w:rFonts w:hint="eastAsia" w:ascii="宋体" w:hAnsi="宋体" w:cs="宋体"/>
          <w:color w:val="auto"/>
          <w:sz w:val="24"/>
          <w:szCs w:val="24"/>
          <w:highlight w:val="none"/>
        </w:rPr>
        <w:t>承包人采购材料设备的约定：</w:t>
      </w:r>
      <w:r>
        <w:rPr>
          <w:rFonts w:hint="eastAsia" w:ascii="宋体" w:hAnsi="宋体" w:cs="宋体"/>
          <w:color w:val="auto"/>
          <w:sz w:val="24"/>
          <w:szCs w:val="24"/>
          <w:highlight w:val="none"/>
          <w:u w:val="single"/>
        </w:rPr>
        <w:t>由承包人负责采购材料设备的，按招标文件规定和本合同专用条款第</w:t>
      </w:r>
      <w:r>
        <w:rPr>
          <w:rFonts w:ascii="宋体" w:hAnsi="宋体" w:cs="宋体"/>
          <w:color w:val="auto"/>
          <w:sz w:val="24"/>
          <w:szCs w:val="24"/>
          <w:highlight w:val="none"/>
          <w:u w:val="single"/>
        </w:rPr>
        <w:t>47.28</w:t>
      </w:r>
      <w:r>
        <w:rPr>
          <w:rFonts w:hint="eastAsia" w:ascii="宋体" w:hAnsi="宋体" w:cs="宋体"/>
          <w:color w:val="auto"/>
          <w:sz w:val="24"/>
          <w:szCs w:val="24"/>
          <w:highlight w:val="none"/>
          <w:u w:val="single"/>
        </w:rPr>
        <w:t>条约定、工程设计的有关标准并以符合相关行政主管部门颁发的环保标准或要求进行采购，对材料设备质量负责。承包人应将各项材料设备的供货人及品种、规格、数量和供货时间等报送监理人审批，并向监理人提交其负责提供材料设备的合格证明和质量证明文件，满足合同约定的质量标准，承包人在材料设备到货前</w:t>
      </w:r>
      <w:r>
        <w:rPr>
          <w:rFonts w:ascii="宋体" w:hAnsi="宋体" w:cs="宋体"/>
          <w:color w:val="auto"/>
          <w:sz w:val="24"/>
          <w:szCs w:val="24"/>
          <w:highlight w:val="none"/>
          <w:u w:val="single"/>
        </w:rPr>
        <w:t>24小时通知工程师清点。</w:t>
      </w:r>
    </w:p>
    <w:p>
      <w:pPr>
        <w:keepNext w:val="0"/>
        <w:keepLines w:val="0"/>
        <w:pageBreakBefore w:val="0"/>
        <w:widowControl w:val="0"/>
        <w:kinsoku/>
        <w:wordWrap/>
        <w:overflowPunct/>
        <w:topLinePunct w:val="0"/>
        <w:autoSpaceDE/>
        <w:autoSpaceDN/>
        <w:bidi w:val="0"/>
        <w:adjustRightInd/>
        <w:snapToGrid/>
        <w:spacing w:line="440" w:lineRule="exact"/>
        <w:ind w:firstLine="397"/>
        <w:textAlignment w:val="auto"/>
        <w:rPr>
          <w:rFonts w:ascii="宋体" w:hAnsi="宋体" w:cs="宋体"/>
          <w:color w:val="auto"/>
          <w:sz w:val="24"/>
          <w:szCs w:val="24"/>
          <w:highlight w:val="none"/>
          <w:u w:val="single"/>
        </w:rPr>
      </w:pPr>
      <w:r>
        <w:rPr>
          <w:rFonts w:ascii="宋体" w:hAnsi="宋体" w:cs="宋体"/>
          <w:color w:val="auto"/>
          <w:sz w:val="24"/>
          <w:szCs w:val="24"/>
          <w:highlight w:val="none"/>
          <w:u w:val="single"/>
        </w:rPr>
        <w:t>28.2对承包人提供的材料和设备，承包人应会同监理人、发包人进行检验和交货验收，查验材料合格证明和产品合格证书，并按合同约定和监理人或发包人的指示，进行材料的抽样检验和工程设备的检验检测，检验检测结果提交监理人。不合格的不得使用，检验或试验费用由承包人承担。</w:t>
      </w:r>
    </w:p>
    <w:p>
      <w:pPr>
        <w:keepNext w:val="0"/>
        <w:keepLines w:val="0"/>
        <w:pageBreakBefore w:val="0"/>
        <w:widowControl w:val="0"/>
        <w:kinsoku/>
        <w:wordWrap/>
        <w:overflowPunct/>
        <w:topLinePunct w:val="0"/>
        <w:autoSpaceDE/>
        <w:autoSpaceDN/>
        <w:bidi w:val="0"/>
        <w:adjustRightInd/>
        <w:snapToGrid/>
        <w:spacing w:line="440" w:lineRule="exact"/>
        <w:ind w:firstLine="397"/>
        <w:textAlignment w:val="auto"/>
        <w:rPr>
          <w:rFonts w:ascii="宋体" w:hAnsi="宋体" w:cs="宋体"/>
          <w:color w:val="auto"/>
          <w:sz w:val="24"/>
          <w:szCs w:val="24"/>
          <w:highlight w:val="none"/>
          <w:u w:val="single"/>
        </w:rPr>
      </w:pPr>
      <w:r>
        <w:rPr>
          <w:rFonts w:ascii="宋体" w:hAnsi="宋体" w:cs="宋体"/>
          <w:color w:val="auto"/>
          <w:sz w:val="24"/>
          <w:szCs w:val="24"/>
          <w:highlight w:val="none"/>
          <w:u w:val="single"/>
        </w:rPr>
        <w:t>28.3所有材料、设备报价必须报监理、业主同意后方可使用。</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八、工程变更</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29、工程设计变更</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29.4</w:t>
      </w:r>
      <w:r>
        <w:rPr>
          <w:rFonts w:hint="eastAsia" w:ascii="宋体" w:hAnsi="宋体" w:cs="宋体"/>
          <w:color w:val="auto"/>
          <w:sz w:val="24"/>
          <w:szCs w:val="24"/>
          <w:highlight w:val="none"/>
          <w:u w:val="single"/>
        </w:rPr>
        <w:t>开工前，发包人组织承包人、监理单位、设计单位对施工图纸进行会审。</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同时，如实施工程变更，承包人应以书面形式通知发包人和监理工程师，经监理工程师审查并报发包人同意后，由发包人与设计单位商定修改或变更设计方案进行实施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29.5</w:t>
      </w:r>
      <w:r>
        <w:rPr>
          <w:rFonts w:hint="eastAsia" w:ascii="宋体" w:hAnsi="宋体" w:cs="宋体"/>
          <w:color w:val="auto"/>
          <w:sz w:val="24"/>
          <w:szCs w:val="24"/>
          <w:highlight w:val="none"/>
          <w:u w:val="single"/>
        </w:rPr>
        <w:t>变更应由监理工程师发出变更指令，没有监理工程师的指令，承包人不得进行上述变更</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29.6</w:t>
      </w:r>
      <w:r>
        <w:rPr>
          <w:rFonts w:hint="eastAsia" w:ascii="宋体" w:hAnsi="宋体" w:cs="宋体"/>
          <w:color w:val="auto"/>
          <w:sz w:val="24"/>
          <w:szCs w:val="24"/>
          <w:highlight w:val="none"/>
          <w:u w:val="single"/>
        </w:rPr>
        <w:t>按施工图纸实施使得工程量少于施工合同工程量清单中已确定或有规定的数量的，则该项工程量减少不需要任何指令</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29.7</w:t>
      </w:r>
      <w:r>
        <w:rPr>
          <w:rFonts w:hint="eastAsia" w:ascii="宋体" w:hAnsi="宋体" w:cs="宋体"/>
          <w:color w:val="auto"/>
          <w:sz w:val="24"/>
          <w:szCs w:val="24"/>
          <w:highlight w:val="none"/>
          <w:u w:val="single"/>
        </w:rPr>
        <w:t>所有涉及工期和工程量的变更均应获得发包人书面批准才能生效</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29.8</w:t>
      </w:r>
      <w:r>
        <w:rPr>
          <w:rFonts w:hint="eastAsia" w:ascii="宋体" w:hAnsi="宋体" w:cs="宋体"/>
          <w:color w:val="auto"/>
          <w:sz w:val="24"/>
          <w:szCs w:val="24"/>
          <w:highlight w:val="none"/>
          <w:u w:val="single"/>
        </w:rPr>
        <w:t>当发包人提出变更通知，承包人认为产生了增加费用，承包人应在发包人提出通知要求后</w:t>
      </w:r>
      <w:r>
        <w:rPr>
          <w:rFonts w:ascii="宋体" w:hAnsi="宋体" w:cs="宋体"/>
          <w:color w:val="auto"/>
          <w:sz w:val="24"/>
          <w:szCs w:val="24"/>
          <w:highlight w:val="none"/>
          <w:u w:val="single"/>
        </w:rPr>
        <w:t>3-7天（时间视变更大小而定）内向发包人提交增加费用报告，报告内应说明变更原因、增加费用金额、增加费用计算书，若承包人不在规定的时间内提供增加费用报告，该类变更所涉及的增加费用视为包括在合同价款中。发包人提出变更通知的时间是指承包人收取变更通知时进行登记交接的时间</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29.9</w:t>
      </w:r>
      <w:r>
        <w:rPr>
          <w:rFonts w:hint="eastAsia" w:ascii="宋体" w:hAnsi="宋体" w:cs="宋体"/>
          <w:color w:val="auto"/>
          <w:sz w:val="24"/>
          <w:szCs w:val="24"/>
          <w:highlight w:val="none"/>
          <w:u w:val="single"/>
        </w:rPr>
        <w:t>工程变更申报程序按广州开发区、黄埔区以及建设业主的有关规定执行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29.10</w:t>
      </w:r>
      <w:r>
        <w:rPr>
          <w:rFonts w:ascii="宋体" w:hAnsi="宋体" w:cs="宋体"/>
          <w:color w:val="auto"/>
          <w:sz w:val="24"/>
          <w:szCs w:val="24"/>
          <w:highlight w:val="none"/>
          <w:u w:val="single"/>
        </w:rPr>
        <w:t>工程实施过程中发包人有权对承包内容和范围进行调整，如实际工程量相对施工图纸及施工合同工程量发生变化，承包人不得有任何异议，且承包人不得以任何理由要求发包人补偿任何费用（承包人要充分考虑最不利因素影响）。涉及本合同约定的合同价款调整的，按相关约定处理</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30、其它变更</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30.1工程现场签证：</w:t>
      </w:r>
      <w:r>
        <w:rPr>
          <w:rFonts w:hint="eastAsia" w:ascii="宋体" w:hAnsi="宋体" w:cs="宋体"/>
          <w:color w:val="auto"/>
          <w:sz w:val="24"/>
          <w:szCs w:val="24"/>
          <w:highlight w:val="none"/>
          <w:u w:val="single"/>
        </w:rPr>
        <w:t>工程现场签证是指施工生产活动中用以证实在施工中遇到的某些特殊情况的一种书面证明资料，一般指按承发包合同约定，由承发包双方代表就施工过程中涉及合同价款之外的责任事件所作的签认证明</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承包人需对施工图纸进行会审，如需对工程量清单错漏进行确认，承包人需在前四分之一工期阶段内且最长不得超过中标通知书发出之日起</w:t>
      </w:r>
      <w:r>
        <w:rPr>
          <w:rFonts w:ascii="宋体" w:hAnsi="宋体" w:cs="宋体"/>
          <w:color w:val="auto"/>
          <w:sz w:val="24"/>
          <w:szCs w:val="24"/>
          <w:highlight w:val="none"/>
          <w:u w:val="single"/>
        </w:rPr>
        <w:t>6个月内向发包人提出，</w:t>
      </w:r>
      <w:r>
        <w:rPr>
          <w:rFonts w:hint="eastAsia" w:ascii="宋体" w:hAnsi="宋体" w:cs="宋体"/>
          <w:color w:val="auto"/>
          <w:sz w:val="24"/>
          <w:szCs w:val="24"/>
          <w:highlight w:val="none"/>
          <w:u w:val="single"/>
        </w:rPr>
        <w:t>并按</w:t>
      </w:r>
      <w:r>
        <w:rPr>
          <w:rFonts w:hint="eastAsia" w:ascii="宋体" w:hAnsi="宋体" w:cs="宋体"/>
          <w:color w:val="auto"/>
          <w:sz w:val="24"/>
          <w:highlight w:val="none"/>
          <w:u w:val="single"/>
        </w:rPr>
        <w:t>《广州开发区财政投资建设项目管理中心工程量清单错漏申报管理办法（2024年）》（穗开建管〔2024〕54号）</w:t>
      </w:r>
      <w:r>
        <w:rPr>
          <w:rFonts w:hint="eastAsia" w:ascii="宋体" w:hAnsi="宋体" w:cs="宋体"/>
          <w:color w:val="auto"/>
          <w:sz w:val="24"/>
          <w:szCs w:val="24"/>
          <w:highlight w:val="none"/>
          <w:u w:val="single"/>
        </w:rPr>
        <w:t>办理申报手续，同时需配合发包人的复核工作，双方对复核结果盖章签名后方可作为最终结算依据；如因特殊原因，承包人无法在规定时间内申报的，经发包人同意后方可申报。承包人未按上述规定进行申报的，发包人对应申报而未办理申报手续的漏量漏项不予确认。</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30.2签证的计价：</w:t>
      </w:r>
      <w:r>
        <w:rPr>
          <w:rFonts w:hint="eastAsia" w:ascii="宋体" w:hAnsi="宋体" w:cs="宋体"/>
          <w:color w:val="auto"/>
          <w:sz w:val="24"/>
          <w:szCs w:val="24"/>
          <w:highlight w:val="none"/>
          <w:u w:val="single"/>
        </w:rPr>
        <w:t>按招标文件及合同中关于工程变更的计价有关规定执行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30.3签证实施前所需的施工方案：</w:t>
      </w:r>
      <w:r>
        <w:rPr>
          <w:rFonts w:hint="eastAsia" w:ascii="宋体" w:hAnsi="宋体" w:cs="宋体"/>
          <w:color w:val="auto"/>
          <w:sz w:val="24"/>
          <w:szCs w:val="24"/>
          <w:highlight w:val="none"/>
          <w:u w:val="single"/>
        </w:rPr>
        <w:t>若签证事件发生时，需使用没有被监理工程师批准过的施工方案，则必须将该施工方案提前报监理工程师和发包人批准，经批准后才能实施，否则发包人将按最经济的施工方案对该签证进行计价</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30.4</w:t>
      </w:r>
      <w:r>
        <w:rPr>
          <w:rFonts w:hint="eastAsia" w:ascii="宋体" w:hAnsi="宋体" w:cs="宋体"/>
          <w:color w:val="auto"/>
          <w:sz w:val="24"/>
          <w:szCs w:val="24"/>
          <w:highlight w:val="none"/>
          <w:u w:val="single"/>
        </w:rPr>
        <w:t>工程现场签证申报程序按广州开发区、黄埔区以及建设业主的有关规定执行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31、确定变更价款</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31.1</w:t>
      </w:r>
      <w:r>
        <w:rPr>
          <w:rFonts w:ascii="宋体" w:hAnsi="宋体" w:cs="宋体"/>
          <w:color w:val="auto"/>
          <w:sz w:val="24"/>
          <w:szCs w:val="24"/>
          <w:highlight w:val="none"/>
          <w:u w:val="single"/>
        </w:rPr>
        <w:t>承包人在工程变更确定后14天内，提出变更工程价款的报告，经工程师确认后调整合同价款。</w:t>
      </w:r>
      <w:r>
        <w:rPr>
          <w:rFonts w:hint="eastAsia" w:ascii="宋体" w:hAnsi="宋体" w:cs="宋体"/>
          <w:color w:val="auto"/>
          <w:sz w:val="24"/>
          <w:szCs w:val="24"/>
          <w:highlight w:val="none"/>
          <w:u w:val="single"/>
        </w:rPr>
        <w:t>变更合同价款确定原则按本合同相关约定执行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31.3</w:t>
      </w:r>
      <w:r>
        <w:rPr>
          <w:rFonts w:ascii="宋体" w:hAnsi="宋体" w:cs="宋体"/>
          <w:color w:val="auto"/>
          <w:sz w:val="24"/>
          <w:szCs w:val="24"/>
          <w:highlight w:val="none"/>
          <w:u w:val="single"/>
        </w:rPr>
        <w:t>所有变更工程价款的报告必须按规定程序报发包人审核确认</w:t>
      </w:r>
      <w:r>
        <w:rPr>
          <w:rFonts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31.5</w:t>
      </w:r>
      <w:r>
        <w:rPr>
          <w:rFonts w:ascii="宋体" w:hAnsi="宋体" w:cs="宋体"/>
          <w:color w:val="auto"/>
          <w:sz w:val="24"/>
          <w:szCs w:val="24"/>
          <w:highlight w:val="none"/>
          <w:u w:val="single"/>
        </w:rPr>
        <w:t>工程变更价款的支付按本合同相关约定支付</w:t>
      </w:r>
      <w:r>
        <w:rPr>
          <w:rFonts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31.7</w:t>
      </w:r>
      <w:r>
        <w:rPr>
          <w:rFonts w:hint="eastAsia" w:ascii="宋体" w:hAnsi="宋体" w:cs="宋体"/>
          <w:color w:val="auto"/>
          <w:sz w:val="24"/>
          <w:szCs w:val="24"/>
          <w:highlight w:val="none"/>
          <w:u w:val="single"/>
        </w:rPr>
        <w:t>发生上述规定的变更后，承包人在收到发包人变更通知的</w:t>
      </w:r>
      <w:r>
        <w:rPr>
          <w:rFonts w:ascii="宋体" w:hAnsi="宋体" w:cs="宋体"/>
          <w:color w:val="auto"/>
          <w:sz w:val="24"/>
          <w:szCs w:val="24"/>
          <w:highlight w:val="none"/>
          <w:u w:val="single"/>
        </w:rPr>
        <w:t>7天内按合同文件规定的计价方式内容编出变更工程建议送交监理单位</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31.8</w:t>
      </w:r>
      <w:r>
        <w:rPr>
          <w:rFonts w:hint="eastAsia" w:ascii="宋体" w:hAnsi="宋体" w:cs="宋体"/>
          <w:color w:val="auto"/>
          <w:sz w:val="24"/>
          <w:szCs w:val="24"/>
          <w:highlight w:val="none"/>
          <w:u w:val="single"/>
        </w:rPr>
        <w:t>在工程变更价款计算时，承包人应按招标文件相关规定编制变更工程的预算，提供变更依据及详细的计算资料，报监理单位和发包人批准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31.9</w:t>
      </w:r>
      <w:r>
        <w:rPr>
          <w:rFonts w:hint="eastAsia" w:ascii="宋体" w:hAnsi="宋体" w:cs="宋体"/>
          <w:color w:val="auto"/>
          <w:sz w:val="24"/>
          <w:szCs w:val="24"/>
          <w:highlight w:val="none"/>
          <w:u w:val="single"/>
        </w:rPr>
        <w:t>工程变更、签证申报程序按广州开发区、黄埔区以及建设业主的有关规定执行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九、竣工验收与结算</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32</w:t>
      </w:r>
      <w:r>
        <w:rPr>
          <w:rFonts w:hint="eastAsia" w:ascii="宋体" w:hAnsi="宋体" w:cs="宋体"/>
          <w:b/>
          <w:color w:val="auto"/>
          <w:sz w:val="24"/>
          <w:highlight w:val="none"/>
        </w:rPr>
        <w:t>、竣工验收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32.1</w:t>
      </w:r>
      <w:r>
        <w:rPr>
          <w:rFonts w:hint="eastAsia" w:ascii="宋体" w:hAnsi="宋体" w:cs="宋体"/>
          <w:color w:val="auto"/>
          <w:sz w:val="24"/>
          <w:szCs w:val="24"/>
          <w:highlight w:val="none"/>
        </w:rPr>
        <w:t>承包人提供竣工图纸的约定：</w:t>
      </w:r>
      <w:r>
        <w:rPr>
          <w:rFonts w:hint="eastAsia" w:ascii="宋体" w:hAnsi="宋体" w:cs="宋体"/>
          <w:color w:val="auto"/>
          <w:sz w:val="24"/>
          <w:szCs w:val="24"/>
          <w:highlight w:val="none"/>
          <w:u w:val="single"/>
        </w:rPr>
        <w:t>承包人工程竣工资料必须按照国家及广州市、开发区有关工程竣工资料档案管理的要求进行整理归档。承包人在工程竣工验收合格后四十五个日历天内，向建设单位提供符合要求按规格编制成册的工程竣工图及有关的技术档案资料一式伍份</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32.6</w:t>
      </w:r>
      <w:r>
        <w:rPr>
          <w:rFonts w:hint="eastAsia" w:ascii="宋体" w:hAnsi="宋体" w:cs="宋体"/>
          <w:color w:val="auto"/>
          <w:sz w:val="24"/>
          <w:szCs w:val="24"/>
          <w:highlight w:val="none"/>
        </w:rPr>
        <w:t>中间交工工程的范围和竣工时间：</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33、竣工结算</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承发包双方一致同意不适用</w:t>
      </w:r>
      <w:r>
        <w:rPr>
          <w:rFonts w:hint="eastAsia" w:ascii="宋体" w:hAnsi="宋体" w:cs="宋体"/>
          <w:color w:val="auto"/>
          <w:sz w:val="24"/>
          <w:szCs w:val="24"/>
          <w:highlight w:val="none"/>
          <w:u w:val="single"/>
        </w:rPr>
        <w:t>通用条款</w:t>
      </w:r>
      <w:r>
        <w:rPr>
          <w:rFonts w:ascii="宋体" w:hAnsi="宋体" w:cs="宋体"/>
          <w:color w:val="auto"/>
          <w:sz w:val="24"/>
          <w:szCs w:val="24"/>
          <w:highlight w:val="none"/>
          <w:u w:val="single"/>
        </w:rPr>
        <w:t>33.2款、33.3款、33.4款</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竣工结算办法：</w:t>
      </w:r>
      <w:r>
        <w:rPr>
          <w:rFonts w:hint="eastAsia" w:ascii="宋体" w:hAnsi="宋体" w:cs="宋体"/>
          <w:color w:val="auto"/>
          <w:sz w:val="24"/>
          <w:szCs w:val="24"/>
          <w:highlight w:val="none"/>
          <w:u w:val="single"/>
        </w:rPr>
        <w:t>所有工程量（含暂定工程量的结算）的结算均以广州开发区财政局审定的金额为准。工程竣工后，承包人编制本工程的结算书送监理单位审核，经监理单位审核后送发包人复审，按规定送广州开发区财政局审核，并以区财政局审定本工程的结算为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竣工结算提交时间：</w:t>
      </w:r>
      <w:r>
        <w:rPr>
          <w:rFonts w:hint="eastAsia" w:ascii="宋体" w:hAnsi="宋体" w:cs="宋体"/>
          <w:color w:val="auto"/>
          <w:sz w:val="24"/>
          <w:szCs w:val="24"/>
          <w:highlight w:val="none"/>
          <w:u w:val="single"/>
        </w:rPr>
        <w:t>承包人须按《广州开发区财政投资建设项目管理中心施工类合同结算编审指引</w:t>
      </w:r>
      <w:r>
        <w:rPr>
          <w:rFonts w:hint="eastAsia" w:ascii="宋体" w:hAnsi="宋体" w:cs="宋体"/>
          <w:color w:val="auto"/>
          <w:sz w:val="24"/>
          <w:szCs w:val="24"/>
          <w:highlight w:val="none"/>
          <w:u w:val="single"/>
          <w:lang w:val="en-US" w:eastAsia="zh-CN"/>
        </w:rPr>
        <w:t>2024年修订稿</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（穗开建管</w:t>
      </w:r>
      <w:r>
        <w:rPr>
          <w:rFonts w:hint="eastAsia" w:ascii="宋体" w:hAnsi="宋体" w:cs="宋体"/>
          <w:color w:val="auto"/>
          <w:sz w:val="24"/>
          <w:szCs w:val="24"/>
          <w:highlight w:val="none"/>
          <w:u w:val="single"/>
          <w:lang w:val="en-US" w:eastAsia="zh-CN"/>
        </w:rPr>
        <w:t>[2024]65号）</w:t>
      </w:r>
      <w:r>
        <w:rPr>
          <w:rFonts w:hint="eastAsia" w:ascii="宋体" w:hAnsi="宋体" w:cs="宋体"/>
          <w:color w:val="auto"/>
          <w:sz w:val="24"/>
          <w:szCs w:val="24"/>
          <w:highlight w:val="none"/>
          <w:u w:val="single"/>
        </w:rPr>
        <w:t>及区有关规定编制及办理建设项目工程结算</w:t>
      </w:r>
      <w:r>
        <w:rPr>
          <w:rFonts w:hint="eastAsia" w:ascii="宋体" w:hAnsi="宋体" w:cs="宋体"/>
          <w:color w:val="auto"/>
          <w:sz w:val="24"/>
          <w:szCs w:val="24"/>
          <w:highlight w:val="none"/>
        </w:rPr>
        <w:t>。</w:t>
      </w:r>
    </w:p>
    <w:p>
      <w:pPr>
        <w:pStyle w:val="59"/>
        <w:keepNext w:val="0"/>
        <w:keepLines w:val="0"/>
        <w:pageBreakBefore w:val="0"/>
        <w:widowControl w:val="0"/>
        <w:kinsoku/>
        <w:wordWrap/>
        <w:overflowPunct/>
        <w:topLinePunct w:val="0"/>
        <w:autoSpaceDE/>
        <w:autoSpaceDN/>
        <w:bidi w:val="0"/>
        <w:adjustRightInd/>
        <w:snapToGrid/>
        <w:spacing w:line="440" w:lineRule="exact"/>
        <w:ind w:firstLine="397"/>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承包人未按前款规定的期限和内容编制及办理建设项目工程结算（非承包人原因无法办理工程结算的情况除外），经发包人或代建单位或监理人书面通知之日起</w:t>
      </w:r>
      <w:r>
        <w:rPr>
          <w:rFonts w:ascii="宋体" w:hAnsi="宋体" w:cs="宋体"/>
          <w:color w:val="auto"/>
          <w:sz w:val="24"/>
          <w:szCs w:val="24"/>
          <w:highlight w:val="none"/>
          <w:u w:val="single"/>
        </w:rPr>
        <w:t>2个月内（最长期限不得超过6个月）仍未提交编制及办理建设项目工程结算的相关文件的，监理人和发包人有权根据发包人已有资料进行审核，并报区财政局审定，区财政局审定的竣工结算合同总价视同是经承包人认可的工程竣工结算合同总价。</w:t>
      </w:r>
    </w:p>
    <w:p>
      <w:pPr>
        <w:pStyle w:val="59"/>
        <w:keepNext w:val="0"/>
        <w:keepLines w:val="0"/>
        <w:pageBreakBefore w:val="0"/>
        <w:widowControl w:val="0"/>
        <w:kinsoku/>
        <w:wordWrap/>
        <w:overflowPunct/>
        <w:topLinePunct w:val="0"/>
        <w:autoSpaceDE/>
        <w:autoSpaceDN/>
        <w:bidi w:val="0"/>
        <w:adjustRightInd/>
        <w:snapToGrid/>
        <w:spacing w:line="440" w:lineRule="exact"/>
        <w:ind w:firstLine="397"/>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承包人应实事求是报审项目投资，编制项目竣工结算报告，如提交的施工合同结算，经财政评审后核减率超过10%的，超出部分产生的中介评审费用由承包人负担，在结算审核中予以扣除。</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十、违约、索赔和争议</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35</w:t>
      </w:r>
      <w:r>
        <w:rPr>
          <w:rFonts w:hint="eastAsia" w:ascii="宋体" w:hAnsi="宋体" w:cs="宋体"/>
          <w:b/>
          <w:color w:val="auto"/>
          <w:sz w:val="24"/>
          <w:szCs w:val="24"/>
          <w:highlight w:val="none"/>
        </w:rPr>
        <w:t>、违约</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35.1</w:t>
      </w:r>
      <w:r>
        <w:rPr>
          <w:rFonts w:hint="eastAsia" w:ascii="宋体" w:hAnsi="宋体" w:cs="宋体"/>
          <w:color w:val="auto"/>
          <w:sz w:val="24"/>
          <w:szCs w:val="24"/>
          <w:highlight w:val="none"/>
        </w:rPr>
        <w:t>本合同中关于发包人违约的具体责任如下：</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本合同通用条款第</w:t>
      </w:r>
      <w:r>
        <w:rPr>
          <w:rFonts w:ascii="宋体" w:hAnsi="宋体" w:cs="宋体"/>
          <w:color w:val="auto"/>
          <w:sz w:val="24"/>
          <w:szCs w:val="24"/>
          <w:highlight w:val="none"/>
        </w:rPr>
        <w:t>35.1条约定发包人违约应承担的责任：</w:t>
      </w:r>
      <w:r>
        <w:rPr>
          <w:rFonts w:hint="eastAsia" w:ascii="宋体" w:hAnsi="宋体" w:cs="宋体"/>
          <w:color w:val="auto"/>
          <w:sz w:val="24"/>
          <w:szCs w:val="24"/>
          <w:highlight w:val="none"/>
          <w:u w:val="single"/>
        </w:rPr>
        <w:t>顺延工期，但不作费用赔偿</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rPr>
        <w:t>双方约定的发包人其他违约责任：</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w:t>
      </w:r>
      <w:r>
        <w:rPr>
          <w:rFonts w:hint="eastAsia" w:ascii="宋体" w:hAnsi="宋体" w:cs="宋体"/>
          <w:color w:val="auto"/>
          <w:sz w:val="24"/>
          <w:szCs w:val="24"/>
          <w:highlight w:val="none"/>
        </w:rPr>
        <w:t>本合同中关于承包人违约的具体责任如下：</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35.2.1工期延误的违约责任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承包人未按发包人或监理单位开工令要求时间开工的，每迟延开工</w:t>
      </w:r>
      <w:r>
        <w:rPr>
          <w:rFonts w:ascii="宋体" w:hAnsi="宋体" w:cs="宋体"/>
          <w:color w:val="auto"/>
          <w:sz w:val="24"/>
          <w:szCs w:val="24"/>
          <w:highlight w:val="none"/>
          <w:u w:val="single"/>
        </w:rPr>
        <w:t>1</w:t>
      </w:r>
      <w:r>
        <w:rPr>
          <w:rFonts w:hint="eastAsia" w:ascii="宋体" w:hAnsi="宋体" w:cs="宋体"/>
          <w:color w:val="auto"/>
          <w:sz w:val="24"/>
          <w:szCs w:val="24"/>
          <w:highlight w:val="none"/>
          <w:u w:val="single"/>
        </w:rPr>
        <w:t>天，应向发包人支付违约金</w:t>
      </w:r>
      <w:r>
        <w:rPr>
          <w:rFonts w:ascii="宋体" w:hAnsi="宋体" w:cs="宋体"/>
          <w:color w:val="auto"/>
          <w:sz w:val="24"/>
          <w:szCs w:val="24"/>
          <w:highlight w:val="none"/>
          <w:u w:val="single"/>
        </w:rPr>
        <w:t>5000元；迟延开工超过20</w:t>
      </w:r>
      <w:r>
        <w:rPr>
          <w:rFonts w:hint="eastAsia" w:ascii="宋体" w:hAnsi="宋体" w:cs="宋体"/>
          <w:color w:val="auto"/>
          <w:sz w:val="24"/>
          <w:szCs w:val="24"/>
          <w:highlight w:val="none"/>
          <w:u w:val="single"/>
        </w:rPr>
        <w:t>天的，发包人有权根据实际情况单方面解除合同</w:t>
      </w:r>
      <w:r>
        <w:rPr>
          <w:rFonts w:hint="eastAsia" w:ascii="宋体" w:hAnsi="宋体" w:cs="宋体"/>
          <w:color w:val="auto"/>
          <w:sz w:val="24"/>
          <w:szCs w:val="24"/>
          <w:highlight w:val="none"/>
        </w:rPr>
        <w:t>。</w:t>
      </w:r>
    </w:p>
    <w:p>
      <w:pPr>
        <w:spacing w:line="440" w:lineRule="exact"/>
        <w:ind w:firstLine="56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因承包人的原因造成工期延误，其中属节点工期延误，从延误的第一天起，每天支付违约金</w:t>
      </w:r>
      <w:r>
        <w:rPr>
          <w:rFonts w:ascii="宋体" w:hAnsi="宋体" w:cs="宋体"/>
          <w:color w:val="auto"/>
          <w:sz w:val="24"/>
          <w:szCs w:val="24"/>
          <w:highlight w:val="none"/>
          <w:u w:val="single"/>
        </w:rPr>
        <w:t>5000</w:t>
      </w:r>
      <w:r>
        <w:rPr>
          <w:rFonts w:hint="eastAsia" w:ascii="宋体" w:hAnsi="宋体" w:cs="宋体"/>
          <w:color w:val="auto"/>
          <w:sz w:val="24"/>
          <w:szCs w:val="24"/>
          <w:highlight w:val="none"/>
          <w:u w:val="single"/>
        </w:rPr>
        <w:t>元，如在下一个节点赶回工期，可免除上述违约金。属总工期延误，从总工期延误的第一天起，每天支付违约金</w:t>
      </w:r>
      <w:r>
        <w:rPr>
          <w:rFonts w:ascii="宋体" w:hAnsi="宋体" w:cs="宋体"/>
          <w:color w:val="auto"/>
          <w:sz w:val="24"/>
          <w:szCs w:val="24"/>
          <w:highlight w:val="none"/>
          <w:u w:val="single"/>
        </w:rPr>
        <w:t>20000元</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延误工期超过</w:t>
      </w:r>
      <w:r>
        <w:rPr>
          <w:rFonts w:ascii="宋体" w:hAnsi="宋体" w:cs="宋体"/>
          <w:color w:val="auto"/>
          <w:sz w:val="24"/>
          <w:szCs w:val="24"/>
          <w:highlight w:val="none"/>
          <w:u w:val="single"/>
        </w:rPr>
        <w:t>20天的，发包人可视情况终止合同。</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承包人必须按期完成主要工序的施工任务，若属承包人原因逾期达</w:t>
      </w:r>
      <w:r>
        <w:rPr>
          <w:rFonts w:ascii="宋体" w:hAnsi="宋体" w:cs="宋体"/>
          <w:color w:val="auto"/>
          <w:sz w:val="24"/>
          <w:szCs w:val="24"/>
          <w:highlight w:val="none"/>
          <w:u w:val="single"/>
        </w:rPr>
        <w:t>10天未完成主要节点的施工任务时，</w:t>
      </w:r>
      <w:r>
        <w:rPr>
          <w:rFonts w:hint="eastAsia" w:ascii="宋体" w:hAnsi="宋体" w:cs="宋体"/>
          <w:color w:val="auto"/>
          <w:sz w:val="24"/>
          <w:szCs w:val="24"/>
          <w:highlight w:val="none"/>
          <w:u w:val="single"/>
        </w:rPr>
        <w:t>除按第（</w:t>
      </w:r>
      <w:r>
        <w:rPr>
          <w:rFonts w:ascii="宋体" w:hAnsi="宋体" w:cs="宋体"/>
          <w:color w:val="auto"/>
          <w:sz w:val="24"/>
          <w:szCs w:val="24"/>
          <w:highlight w:val="none"/>
          <w:u w:val="single"/>
        </w:rPr>
        <w:t>2）项约定承担违约责任外，</w:t>
      </w:r>
      <w:r>
        <w:rPr>
          <w:rFonts w:hint="eastAsia" w:ascii="宋体" w:hAnsi="宋体" w:cs="宋体"/>
          <w:color w:val="auto"/>
          <w:sz w:val="24"/>
          <w:szCs w:val="24"/>
          <w:highlight w:val="none"/>
          <w:u w:val="single"/>
        </w:rPr>
        <w:t>发包人可要求撤换项目负责人，承包人应予以执行，并在总工期不调整的前提下自行消化节点工期的延误。逾期</w:t>
      </w:r>
      <w:r>
        <w:rPr>
          <w:rFonts w:ascii="宋体" w:hAnsi="宋体" w:cs="宋体"/>
          <w:color w:val="auto"/>
          <w:sz w:val="24"/>
          <w:szCs w:val="24"/>
          <w:highlight w:val="none"/>
          <w:u w:val="single"/>
        </w:rPr>
        <w:t>20天未完成主要节点的施工任务时，属承包人进度严重违约行为，发包人可</w:t>
      </w:r>
      <w:r>
        <w:rPr>
          <w:rFonts w:hint="eastAsia" w:ascii="宋体" w:hAnsi="宋体" w:cs="宋体"/>
          <w:color w:val="auto"/>
          <w:sz w:val="24"/>
          <w:szCs w:val="24"/>
          <w:highlight w:val="none"/>
          <w:u w:val="single"/>
        </w:rPr>
        <w:t>单方面终止合同，将承包人作不良纪录报区建设行政主管部门备案。并由承包人承担相应的进度严重违约责任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承包人承担的进度严重违约责任为：如果承包人出现进度严重违约事件，则须无条件接受发包人终止合同，并在接到终止合同通知书之日起</w:t>
      </w:r>
      <w:r>
        <w:rPr>
          <w:rFonts w:ascii="宋体" w:hAnsi="宋体" w:cs="宋体"/>
          <w:color w:val="auto"/>
          <w:sz w:val="24"/>
          <w:szCs w:val="24"/>
          <w:highlight w:val="none"/>
          <w:u w:val="single"/>
        </w:rPr>
        <w:t>5个</w:t>
      </w:r>
      <w:r>
        <w:rPr>
          <w:rFonts w:hint="eastAsia" w:ascii="宋体" w:hAnsi="宋体" w:cs="宋体"/>
          <w:color w:val="auto"/>
          <w:sz w:val="24"/>
          <w:szCs w:val="24"/>
          <w:highlight w:val="none"/>
          <w:u w:val="single"/>
        </w:rPr>
        <w:t>日历天内（发包人应予以配合），在监理工程师的监督下退场完毕。退场完毕后由监理工程师出具《退出完结证明书》，并据此进行相关结算。承包人按履约担保金额支付违约金。给发包人造成的损失超过履约担保金额的部分，承包人还应承担赔偿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工程施工过程中（竣工验收前），承包人必须按发包人、监理人的要求及时为专业工程（电信、电力管线、电力走廊、煤气、道路绿化、路灯、交通设施等）提供工作面及为专业工程穿插施工所需各项配合工作给予方便，承包人应在施工方案中充分考虑专业工程穿插施工所需的穿插工作面及工期，由于承包人未能给予专业工程穿插施工，造成总施工工期的延误，施工工期不予顺延，承包人承担由于工期延误所产生的损失。因承包人原因造成其他专业工程工期延误的，从延误其他专业工程工期第一天起，每延误一天，承包人支付</w:t>
      </w:r>
      <w:r>
        <w:rPr>
          <w:rFonts w:ascii="宋体" w:hAnsi="宋体" w:cs="宋体"/>
          <w:color w:val="auto"/>
          <w:sz w:val="24"/>
          <w:szCs w:val="24"/>
          <w:highlight w:val="none"/>
          <w:u w:val="single"/>
        </w:rPr>
        <w:t>5000元违约金</w:t>
      </w:r>
      <w:r>
        <w:rPr>
          <w:rFonts w:hint="eastAsia" w:ascii="宋体" w:hAnsi="宋体" w:cs="宋体"/>
          <w:color w:val="auto"/>
          <w:sz w:val="24"/>
          <w:szCs w:val="24"/>
          <w:highlight w:val="none"/>
        </w:rPr>
        <w:t>。</w:t>
      </w:r>
    </w:p>
    <w:p>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w:t>
      </w:r>
      <w:r>
        <w:rPr>
          <w:rFonts w:ascii="宋体" w:hAnsi="宋体" w:cs="宋体"/>
          <w:snapToGrid w:val="0"/>
          <w:color w:val="auto"/>
          <w:kern w:val="0"/>
          <w:sz w:val="24"/>
          <w:szCs w:val="24"/>
          <w:highlight w:val="none"/>
        </w:rPr>
        <w:t>6</w:t>
      </w:r>
      <w:r>
        <w:rPr>
          <w:rFonts w:hint="eastAsia" w:ascii="宋体" w:hAnsi="宋体" w:cs="宋体"/>
          <w:snapToGrid w:val="0"/>
          <w:color w:val="auto"/>
          <w:kern w:val="0"/>
          <w:sz w:val="24"/>
          <w:szCs w:val="24"/>
          <w:highlight w:val="none"/>
        </w:rPr>
        <w:t>）</w:t>
      </w:r>
      <w:r>
        <w:rPr>
          <w:rFonts w:hint="eastAsia" w:ascii="宋体" w:hAnsi="宋体" w:cs="宋体"/>
          <w:snapToGrid w:val="0"/>
          <w:color w:val="auto"/>
          <w:kern w:val="0"/>
          <w:sz w:val="24"/>
          <w:szCs w:val="24"/>
          <w:highlight w:val="none"/>
          <w:u w:val="single"/>
        </w:rPr>
        <w:t>承包人违反合同专用条款的约定和发包人的规定，逾期完成竣工档案的整理、移交、送审备案工作的，每逾期</w:t>
      </w:r>
      <w:r>
        <w:rPr>
          <w:rFonts w:ascii="宋体" w:hAnsi="宋体" w:cs="宋体"/>
          <w:snapToGrid w:val="0"/>
          <w:color w:val="auto"/>
          <w:kern w:val="0"/>
          <w:sz w:val="24"/>
          <w:szCs w:val="24"/>
          <w:highlight w:val="none"/>
          <w:u w:val="single"/>
        </w:rPr>
        <w:t>1天，承包人支付违约金5000元</w:t>
      </w:r>
      <w:r>
        <w:rPr>
          <w:rFonts w:hint="eastAsia" w:ascii="宋体" w:hAnsi="宋体" w:cs="宋体"/>
          <w:snapToGrid w:val="0"/>
          <w:color w:val="auto"/>
          <w:kern w:val="0"/>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35.2.2</w:t>
      </w:r>
      <w:r>
        <w:rPr>
          <w:rFonts w:hint="eastAsia" w:ascii="宋体" w:hAnsi="宋体" w:cs="宋体"/>
          <w:color w:val="auto"/>
          <w:sz w:val="24"/>
          <w:szCs w:val="24"/>
          <w:highlight w:val="none"/>
        </w:rPr>
        <w:t>安全、文明施工要求及违约处理：</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必须按本合同的约定编制施工组织设计（施工方案、包括安全文明施工措施），经过监理人和发包人审核确认后按其施工，不得随意更改。如果根据实际情况确需修改，则需经工程师及发包人审批同意。如果未经工程师及发包人审批同意而擅自更改施工组织设计（施工方案，包括安全文明施工措施）或不按照施工组织设计（施工方案，包括安全文明施工措施）施工，则发包人将扣减更改部分的造价（该造价按广东省相关综合定额和取费标准计算，不下浮）；同时，每擅自更改一次，承包人需支付</w:t>
      </w:r>
      <w:r>
        <w:rPr>
          <w:rFonts w:ascii="宋体" w:hAnsi="宋体" w:cs="宋体"/>
          <w:color w:val="auto"/>
          <w:sz w:val="24"/>
          <w:szCs w:val="24"/>
          <w:highlight w:val="none"/>
          <w:u w:val="single"/>
        </w:rPr>
        <w:t>10000</w:t>
      </w:r>
      <w:r>
        <w:rPr>
          <w:rFonts w:hint="eastAsia" w:ascii="宋体" w:hAnsi="宋体" w:cs="宋体"/>
          <w:color w:val="auto"/>
          <w:sz w:val="24"/>
          <w:szCs w:val="24"/>
          <w:highlight w:val="none"/>
          <w:u w:val="single"/>
        </w:rPr>
        <w:t>元人民币违约金给发包人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承包人应严格遵守国家、省、市及开发区有关防火、爆破和施工安全以及文明施工、深夜施工、环卫和城市管理等规定，建立规章制度和防护措施，并组织施工。在相关部门的检查中，承包人施工场地被评为不合格工地或被通报批评或者被新闻媒体曝光的，每发生一次，承包人支付</w:t>
      </w:r>
      <w:r>
        <w:rPr>
          <w:rFonts w:ascii="宋体" w:hAnsi="宋体" w:cs="宋体"/>
          <w:color w:val="auto"/>
          <w:sz w:val="24"/>
          <w:szCs w:val="24"/>
          <w:highlight w:val="none"/>
          <w:u w:val="single"/>
        </w:rPr>
        <w:t>10000元违约金</w:t>
      </w:r>
      <w:r>
        <w:rPr>
          <w:rFonts w:hint="eastAsia" w:ascii="宋体" w:hAnsi="宋体" w:cs="宋体"/>
          <w:color w:val="auto"/>
          <w:sz w:val="24"/>
          <w:szCs w:val="24"/>
          <w:highlight w:val="none"/>
          <w:u w:val="single"/>
        </w:rPr>
        <w:t>，如发包人因此被相关部门处罚的，罚金由承包人承担</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u w:val="single"/>
        </w:rPr>
        <w:t>如果承包人未按招投标文件及本合同要求做好安全、文明施工相关措施，经监理工程师或发包人检查发现的，每发现一次，承包人支付</w:t>
      </w:r>
      <w:r>
        <w:rPr>
          <w:rFonts w:ascii="宋体" w:hAnsi="宋体" w:cs="宋体"/>
          <w:color w:val="auto"/>
          <w:sz w:val="24"/>
          <w:szCs w:val="24"/>
          <w:highlight w:val="none"/>
          <w:u w:val="single"/>
        </w:rPr>
        <w:t>5000元违约金，并按发包人或监理单位要求限期整改，未在限期内完成整改的，每延期一天，承包人支付10000元违约金</w:t>
      </w:r>
      <w:r>
        <w:rPr>
          <w:rFonts w:hint="eastAsia" w:ascii="宋体" w:hAnsi="宋体" w:cs="宋体"/>
          <w:color w:val="auto"/>
          <w:sz w:val="24"/>
          <w:szCs w:val="24"/>
          <w:highlight w:val="none"/>
        </w:rPr>
        <w:t>。</w:t>
      </w:r>
    </w:p>
    <w:p>
      <w:pPr>
        <w:snapToGrid w:val="0"/>
        <w:spacing w:line="440" w:lineRule="exact"/>
        <w:ind w:firstLine="397"/>
        <w:rPr>
          <w:rFonts w:ascii="宋体" w:hAnsi="宋体" w:cs="宋体"/>
          <w:snapToGrid w:val="0"/>
          <w:color w:val="auto"/>
          <w:kern w:val="0"/>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u w:val="single"/>
        </w:rPr>
        <w:t>在施工过程中发生安全事故的，除按照国家、省、市规定进行处理外。若导致人员伤亡的，承包人按下列办法支付违约金：如发生死亡事故，死亡</w:t>
      </w:r>
      <w:r>
        <w:rPr>
          <w:rFonts w:ascii="宋体" w:hAnsi="宋体" w:cs="宋体"/>
          <w:color w:val="auto"/>
          <w:sz w:val="24"/>
          <w:szCs w:val="24"/>
          <w:highlight w:val="none"/>
          <w:u w:val="single"/>
        </w:rPr>
        <w:t>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20万元；死亡2人，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40万元；死亡3人或以上，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80万元。如发生重伤事故，重伤1人，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10万元；重伤2人，</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20万元；重伤3人或以上，</w:t>
      </w:r>
      <w:r>
        <w:rPr>
          <w:rFonts w:hint="eastAsia" w:ascii="宋体" w:hAnsi="宋体" w:cs="宋体"/>
          <w:color w:val="auto"/>
          <w:sz w:val="24"/>
          <w:szCs w:val="24"/>
          <w:highlight w:val="none"/>
          <w:u w:val="single"/>
        </w:rPr>
        <w:t>支付</w:t>
      </w:r>
      <w:r>
        <w:rPr>
          <w:rFonts w:ascii="宋体" w:hAnsi="宋体" w:cs="宋体"/>
          <w:color w:val="auto"/>
          <w:sz w:val="24"/>
          <w:szCs w:val="24"/>
          <w:highlight w:val="none"/>
          <w:u w:val="single"/>
        </w:rPr>
        <w:t>40万元。因承包人原因发生一般安全事故，未造成人员伤亡</w:t>
      </w:r>
      <w:r>
        <w:rPr>
          <w:rFonts w:hint="eastAsia" w:ascii="宋体" w:hAnsi="宋体" w:cs="宋体"/>
          <w:color w:val="auto"/>
          <w:sz w:val="24"/>
          <w:szCs w:val="24"/>
          <w:highlight w:val="none"/>
          <w:u w:val="single"/>
        </w:rPr>
        <w:t>或造成人员轻伤及轻微财产损失的，每发生一次，承包人支付违约金</w:t>
      </w:r>
      <w:r>
        <w:rPr>
          <w:rFonts w:ascii="宋体" w:hAnsi="宋体" w:cs="宋体"/>
          <w:color w:val="auto"/>
          <w:sz w:val="24"/>
          <w:szCs w:val="24"/>
          <w:highlight w:val="none"/>
          <w:u w:val="single"/>
        </w:rPr>
        <w:t>5000元</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在本工程余泥渣土清运施工和建筑垃圾排放运输时，承包人必须严格执行《广州市建筑废弃物管理条例（</w:t>
      </w:r>
      <w:r>
        <w:rPr>
          <w:rFonts w:ascii="宋体" w:hAnsi="宋体" w:cs="宋体"/>
          <w:color w:val="auto"/>
          <w:sz w:val="24"/>
          <w:szCs w:val="24"/>
          <w:highlight w:val="none"/>
          <w:u w:val="single"/>
        </w:rPr>
        <w:t>2015年修正本）》</w:t>
      </w:r>
      <w:r>
        <w:rPr>
          <w:rFonts w:hint="eastAsia" w:ascii="宋体" w:hAnsi="宋体" w:cs="宋体"/>
          <w:color w:val="auto"/>
          <w:sz w:val="24"/>
          <w:szCs w:val="24"/>
          <w:highlight w:val="none"/>
          <w:u w:val="single"/>
        </w:rPr>
        <w:t>、《广州市市容环境卫生管理规定》、《广州市建设工程现场文明施工管理办法》《关于加强施工现场余泥渣土排放管理工作的通知》（穗建筑【</w:t>
      </w:r>
      <w:r>
        <w:rPr>
          <w:rFonts w:ascii="宋体" w:hAnsi="宋体" w:cs="宋体"/>
          <w:color w:val="auto"/>
          <w:sz w:val="24"/>
          <w:szCs w:val="24"/>
          <w:highlight w:val="none"/>
          <w:u w:val="single"/>
        </w:rPr>
        <w:t>2008】60号）等广州市、</w:t>
      </w:r>
      <w:r>
        <w:rPr>
          <w:rFonts w:hint="eastAsia" w:ascii="宋体" w:hAnsi="宋体" w:cs="宋体"/>
          <w:color w:val="auto"/>
          <w:sz w:val="24"/>
          <w:szCs w:val="24"/>
          <w:highlight w:val="none"/>
          <w:u w:val="single"/>
        </w:rPr>
        <w:t>黄埔</w:t>
      </w:r>
      <w:r>
        <w:rPr>
          <w:rFonts w:ascii="宋体" w:hAnsi="宋体" w:cs="宋体"/>
          <w:color w:val="auto"/>
          <w:sz w:val="24"/>
          <w:szCs w:val="24"/>
          <w:highlight w:val="none"/>
          <w:u w:val="single"/>
        </w:rPr>
        <w:t>区相关管理规定的标准和要求，保证落实“</w:t>
      </w:r>
      <w:r>
        <w:rPr>
          <w:rFonts w:hint="eastAsia" w:ascii="宋体" w:hAnsi="宋体" w:cs="宋体"/>
          <w:color w:val="auto"/>
          <w:sz w:val="24"/>
          <w:szCs w:val="24"/>
          <w:highlight w:val="none"/>
          <w:u w:val="single"/>
        </w:rPr>
        <w:t>一不准进，三不准出”规定，办齐排放有关证照，雇请有合格准运证车辆和具备资质的运输企业，设立专职人员管理余泥渣土、建筑垃圾的运输工作，并对分包单位依法排放余泥渣土、建筑垃圾进行监管。承包人因违反本款约定所造成的一切责任后果全部由承包人承担。经发包人或相关部门检查发现承包人未执行本款约定的，每发现一次，承包人支付</w:t>
      </w:r>
      <w:r>
        <w:rPr>
          <w:rFonts w:ascii="宋体" w:hAnsi="宋体" w:cs="宋体"/>
          <w:color w:val="auto"/>
          <w:sz w:val="24"/>
          <w:szCs w:val="24"/>
          <w:highlight w:val="none"/>
          <w:u w:val="single"/>
        </w:rPr>
        <w:t>5000元违约金。同时，发包人将根据承包人</w:t>
      </w:r>
      <w:r>
        <w:rPr>
          <w:rFonts w:hint="eastAsia" w:ascii="宋体" w:hAnsi="宋体" w:cs="宋体"/>
          <w:color w:val="auto"/>
          <w:sz w:val="24"/>
          <w:szCs w:val="24"/>
          <w:highlight w:val="none"/>
          <w:u w:val="single"/>
        </w:rPr>
        <w:t>违反余泥渣土运输管理有关规定而造成的不良后果的严重程度，上报区建设行政主管部门进行处理</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35.2.3工程质量方面的违约责任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承包人必须保证用于本合同工程所有的材料设备的品牌、型号、规格、质量等符合本合同及招投标文件的要求，严禁假冒伪劣产品，严禁以次充好，严禁未经发包人批准即以其他产品（包括承包人的产品）顶替本合同及招投标文件中规定的产品。承包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百分之二的违约金给发包人</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2</w:t>
      </w:r>
      <w:r>
        <w:rPr>
          <w:rFonts w:ascii="宋体" w:hAnsi="宋体" w:cs="宋体"/>
          <w:color w:val="auto"/>
          <w:sz w:val="24"/>
          <w:szCs w:val="24"/>
          <w:highlight w:val="none"/>
          <w:u w:val="single"/>
        </w:rPr>
        <w:t>）承包人在缺陷责任期内，未能对工程接收证书所列的缺陷清单的内容或缺陷责任期内发生的缺陷进行修复，而又拒绝按监理人指示再进行修复，发包人可委托其他单位修复，所需费用由承包人承担，发包人可在工程质量保修金中抵扣，保修金不足抵扣的，由承包人另行支付。</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3</w:t>
      </w:r>
      <w:r>
        <w:rPr>
          <w:rFonts w:ascii="宋体" w:hAnsi="宋体" w:cs="宋体"/>
          <w:color w:val="auto"/>
          <w:sz w:val="24"/>
          <w:szCs w:val="24"/>
          <w:highlight w:val="none"/>
          <w:u w:val="single"/>
        </w:rPr>
        <w:t>）对施工质量问题存在争议，应请国家认可的第三方机构出具检测报告，检测费用由责任方承担。</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35.2.4关于第三方质量安全评估的违约责任：</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承包人应严格遵守中心制定的建设工程第三方质量安全评估服务相关管理办法，配合完成第三方质量安全评估工作。根据每次评估结果，经评估确定为一般违约情况的，承包人每次应支付</w:t>
      </w:r>
      <w:r>
        <w:rPr>
          <w:rFonts w:ascii="宋体" w:hAnsi="宋体" w:cs="宋体"/>
          <w:color w:val="auto"/>
          <w:sz w:val="24"/>
          <w:szCs w:val="24"/>
          <w:highlight w:val="none"/>
          <w:u w:val="single"/>
        </w:rPr>
        <w:t>10000元违约金给发包人；经评估确定为严重违约情况的，承包人每次应支付50000元违约金给发包人。</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35.2.5关于农民工工资支付的违约责任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u w:val="single"/>
        </w:rPr>
        <w:t>承包人拖欠农民工工资（含代发的分包单位工人工资），被农民工投诉属实的，承包人必须在</w:t>
      </w:r>
      <w:r>
        <w:rPr>
          <w:rFonts w:ascii="宋体" w:hAnsi="宋体" w:cs="宋体"/>
          <w:color w:val="auto"/>
          <w:sz w:val="24"/>
          <w:szCs w:val="24"/>
          <w:highlight w:val="none"/>
          <w:u w:val="single"/>
        </w:rPr>
        <w:t>3天内发放拖欠的款项。若继续拖延被投诉2次及以上，经查实，承包人除应立即支付拖欠款项外，还应支付10000</w:t>
      </w:r>
      <w:r>
        <w:rPr>
          <w:rFonts w:hint="eastAsia" w:ascii="宋体" w:hAnsi="宋体" w:cs="宋体"/>
          <w:color w:val="auto"/>
          <w:sz w:val="24"/>
          <w:szCs w:val="24"/>
          <w:highlight w:val="none"/>
          <w:u w:val="single"/>
        </w:rPr>
        <w:t>违约金给发包人。因承包人拖欠农民工工资，导致农民工采取停工、集聚围阻发包人办公地点甚至政府办公部门等过激行动的，承包人应支付</w:t>
      </w:r>
      <w:r>
        <w:rPr>
          <w:rFonts w:ascii="宋体" w:hAnsi="宋体" w:cs="宋体"/>
          <w:color w:val="auto"/>
          <w:sz w:val="24"/>
          <w:szCs w:val="24"/>
          <w:highlight w:val="none"/>
          <w:u w:val="single"/>
        </w:rPr>
        <w:t>50000</w:t>
      </w:r>
      <w:r>
        <w:rPr>
          <w:rFonts w:hint="eastAsia" w:ascii="宋体" w:hAnsi="宋体" w:cs="宋体"/>
          <w:color w:val="auto"/>
          <w:sz w:val="24"/>
          <w:szCs w:val="24"/>
          <w:highlight w:val="none"/>
          <w:u w:val="single"/>
        </w:rPr>
        <w:t>元违约金，并立即采取切实有效措施予以整改；拒不采取切实有效措施整改的，或整改效果不明显的，发包人可用承包人工程款垫付。若承包人在本工程内发生无故拖欠农民工工资现象，将被作不良记录，上报区建设行政主管部门</w:t>
      </w:r>
      <w:r>
        <w:rPr>
          <w:rFonts w:hint="eastAsia" w:ascii="宋体" w:hAnsi="宋体" w:cs="宋体"/>
          <w:color w:val="auto"/>
          <w:sz w:val="24"/>
          <w:szCs w:val="24"/>
          <w:highlight w:val="none"/>
        </w:rPr>
        <w:t>。</w:t>
      </w:r>
    </w:p>
    <w:p>
      <w:pPr>
        <w:pStyle w:val="58"/>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35.2.6</w:t>
      </w:r>
      <w:r>
        <w:rPr>
          <w:rFonts w:hint="eastAsia" w:ascii="宋体" w:hAnsi="宋体" w:cs="宋体"/>
          <w:color w:val="auto"/>
          <w:sz w:val="24"/>
          <w:highlight w:val="none"/>
        </w:rPr>
        <w:t>项目管理机构人员、机械设备、劳动力到位方面的违约责任：</w:t>
      </w:r>
    </w:p>
    <w:p>
      <w:pPr>
        <w:pStyle w:val="58"/>
        <w:numPr>
          <w:ilvl w:val="0"/>
          <w:numId w:val="3"/>
        </w:numPr>
        <w:snapToGrid w:val="0"/>
        <w:spacing w:line="440" w:lineRule="exact"/>
        <w:ind w:firstLine="397"/>
        <w:rPr>
          <w:rFonts w:ascii="宋体" w:hAnsi="宋体" w:cs="宋体"/>
          <w:color w:val="auto"/>
          <w:sz w:val="24"/>
          <w:highlight w:val="none"/>
          <w:u w:val="single"/>
        </w:rPr>
      </w:pPr>
      <w:r>
        <w:rPr>
          <w:rFonts w:hint="eastAsia" w:ascii="宋体" w:hAnsi="宋体" w:cs="宋体"/>
          <w:color w:val="auto"/>
          <w:sz w:val="24"/>
          <w:highlight w:val="none"/>
          <w:u w:val="single"/>
        </w:rPr>
        <w:t>承包人必须保证投标文件中确定的项目负责人及其项目技术负责人、主要施工管理人员能及时地、始终地参与本工程施工管理，在未征得发包人书面同意之前不得更换。如未征得发包人书面同意，擅自更换项目负责人或项目技术负责人的，承包人每更换一人次，需支付</w:t>
      </w:r>
      <w:r>
        <w:rPr>
          <w:rFonts w:ascii="宋体" w:hAnsi="宋体" w:cs="宋体"/>
          <w:color w:val="auto"/>
          <w:sz w:val="24"/>
          <w:highlight w:val="none"/>
          <w:u w:val="single"/>
        </w:rPr>
        <w:t>50000元违约金给发包人，擅自更换主要施工管理人员的，每更换一人次，承包人需支付30000元违约金给发包人</w:t>
      </w:r>
      <w:r>
        <w:rPr>
          <w:rFonts w:hint="eastAsia" w:ascii="宋体" w:hAnsi="宋体" w:cs="宋体"/>
          <w:color w:val="auto"/>
          <w:sz w:val="24"/>
          <w:highlight w:val="none"/>
        </w:rPr>
        <w:t>。但征得</w:t>
      </w:r>
      <w:r>
        <w:rPr>
          <w:rFonts w:hint="eastAsia" w:ascii="宋体" w:hAnsi="宋体" w:cs="宋体"/>
          <w:color w:val="auto"/>
          <w:sz w:val="24"/>
          <w:highlight w:val="none"/>
          <w:u w:val="single"/>
        </w:rPr>
        <w:t>发包人书面同意更换或因发包人按本协议要求更换仍需支付违约金，具体为：更换项目负责人或项目技术负责人的，承包人每更换一人次，需支付</w:t>
      </w:r>
      <w:r>
        <w:rPr>
          <w:rFonts w:ascii="宋体" w:hAnsi="宋体" w:cs="宋体"/>
          <w:color w:val="auto"/>
          <w:sz w:val="24"/>
          <w:highlight w:val="none"/>
          <w:u w:val="single"/>
        </w:rPr>
        <w:t>30000元违约金给发包人，更换主要施工管理人员的，每更换一人次，承包人需支付10000元违约金给发包人</w:t>
      </w:r>
    </w:p>
    <w:p>
      <w:pPr>
        <w:pStyle w:val="58"/>
        <w:snapToGrid w:val="0"/>
        <w:spacing w:line="440" w:lineRule="exact"/>
        <w:rPr>
          <w:rFonts w:ascii="宋体" w:hAnsi="宋体" w:cs="宋体"/>
          <w:color w:val="auto"/>
          <w:sz w:val="24"/>
          <w:highlight w:val="none"/>
          <w:u w:val="single"/>
        </w:rPr>
      </w:pPr>
      <w:r>
        <w:rPr>
          <w:rFonts w:ascii="宋体" w:hAnsi="宋体" w:cs="宋体"/>
          <w:color w:val="auto"/>
          <w:sz w:val="24"/>
          <w:highlight w:val="none"/>
        </w:rPr>
        <w:t>（2</w:t>
      </w:r>
      <w:r>
        <w:rPr>
          <w:rFonts w:hint="eastAsia" w:ascii="宋体" w:hAnsi="宋体" w:cs="宋体"/>
          <w:color w:val="auto"/>
          <w:sz w:val="24"/>
          <w:highlight w:val="none"/>
        </w:rPr>
        <w:t>）</w:t>
      </w:r>
      <w:r>
        <w:rPr>
          <w:rFonts w:hint="eastAsia" w:ascii="宋体" w:hAnsi="宋体" w:cs="宋体"/>
          <w:color w:val="auto"/>
          <w:sz w:val="24"/>
          <w:highlight w:val="none"/>
          <w:u w:val="single"/>
        </w:rPr>
        <w:t>如果承包人未按投标文件中的《拟投入本工程施工的主要机械设备配备表》投入机械设备，经监理工程师或发包人代表检查发现的，将书面告知限期整改，未在限期内完成整改的，每延期一天，承包人需支付</w:t>
      </w:r>
      <w:r>
        <w:rPr>
          <w:rFonts w:ascii="宋体" w:hAnsi="宋体" w:cs="宋体"/>
          <w:color w:val="auto"/>
          <w:sz w:val="24"/>
          <w:highlight w:val="none"/>
          <w:u w:val="single"/>
        </w:rPr>
        <w:t>10000元违约金给发包人。且承包人应按照本合同相关约定投入相应比例的新能源工程车，否则发包人有权要求其限期整改，逾期不整改的，每缺少提供一台，承包人支付违约金20000元/台。</w:t>
      </w:r>
    </w:p>
    <w:p>
      <w:pPr>
        <w:pStyle w:val="58"/>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color w:val="auto"/>
          <w:sz w:val="24"/>
          <w:highlight w:val="none"/>
          <w:u w:val="single"/>
        </w:rPr>
        <w:t>如果承包人未投标文件中的人力投入计划投入人力，经监理工程师和发包人代表检查发现的，每发现一次，承包人支付</w:t>
      </w:r>
      <w:r>
        <w:rPr>
          <w:rFonts w:ascii="宋体" w:hAnsi="宋体" w:cs="宋体"/>
          <w:color w:val="auto"/>
          <w:sz w:val="24"/>
          <w:highlight w:val="none"/>
          <w:u w:val="single"/>
        </w:rPr>
        <w:t>10000元违约金给发包人</w:t>
      </w:r>
      <w:r>
        <w:rPr>
          <w:rFonts w:hint="eastAsia" w:ascii="宋体" w:hAnsi="宋体" w:cs="宋体"/>
          <w:color w:val="auto"/>
          <w:sz w:val="24"/>
          <w:highlight w:val="none"/>
        </w:rPr>
        <w:t>。</w:t>
      </w:r>
    </w:p>
    <w:p>
      <w:pPr>
        <w:pStyle w:val="58"/>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w:t>
      </w:r>
      <w:r>
        <w:rPr>
          <w:rFonts w:hint="eastAsia" w:ascii="宋体" w:hAnsi="宋体" w:cs="宋体"/>
          <w:color w:val="auto"/>
          <w:sz w:val="24"/>
          <w:highlight w:val="none"/>
          <w:u w:val="single"/>
        </w:rPr>
        <w:t>如果检查发现承包人超过三次未按承诺投入的人力、机械、物力组织施工，发包人将作为不良纪录报区建设行政主管部门备案。如果检查发现承包人没有按施工组织设计的进度安排推进工程建设，使主要工序的工期延误超过</w:t>
      </w:r>
      <w:r>
        <w:rPr>
          <w:rFonts w:ascii="宋体" w:hAnsi="宋体" w:cs="宋体"/>
          <w:color w:val="auto"/>
          <w:sz w:val="24"/>
          <w:highlight w:val="none"/>
          <w:u w:val="single"/>
        </w:rPr>
        <w:t>10天，没有按发包人的意见撤换现场负责人；或者按发包人的意见撤换现场负责人后，仍然无法有效控制工程进度，</w:t>
      </w:r>
      <w:r>
        <w:rPr>
          <w:rFonts w:hint="eastAsia" w:ascii="宋体" w:hAnsi="宋体" w:cs="宋体"/>
          <w:color w:val="auto"/>
          <w:sz w:val="24"/>
          <w:highlight w:val="none"/>
          <w:u w:val="single"/>
        </w:rPr>
        <w:t>承包人除需按本条第（</w:t>
      </w:r>
      <w:r>
        <w:rPr>
          <w:rFonts w:ascii="宋体" w:hAnsi="宋体" w:cs="宋体"/>
          <w:color w:val="auto"/>
          <w:sz w:val="24"/>
          <w:highlight w:val="none"/>
          <w:u w:val="single"/>
        </w:rPr>
        <w:t>1）项支付违约金外，发包人将发出书面警告，警告发出后15</w:t>
      </w:r>
      <w:r>
        <w:rPr>
          <w:rFonts w:hint="eastAsia" w:ascii="宋体" w:hAnsi="宋体" w:cs="宋体"/>
          <w:color w:val="auto"/>
          <w:sz w:val="24"/>
          <w:highlight w:val="none"/>
          <w:u w:val="single"/>
        </w:rPr>
        <w:t>天内，主要工序的工期延误仍然超过</w:t>
      </w:r>
      <w:r>
        <w:rPr>
          <w:rFonts w:ascii="宋体" w:hAnsi="宋体" w:cs="宋体"/>
          <w:color w:val="auto"/>
          <w:sz w:val="24"/>
          <w:highlight w:val="none"/>
          <w:u w:val="single"/>
        </w:rPr>
        <w:t>10天，发包人将作为不良纪录报区建</w:t>
      </w:r>
      <w:r>
        <w:rPr>
          <w:rFonts w:hint="eastAsia" w:ascii="宋体" w:hAnsi="宋体" w:cs="宋体"/>
          <w:color w:val="auto"/>
          <w:sz w:val="24"/>
          <w:highlight w:val="none"/>
          <w:u w:val="single"/>
        </w:rPr>
        <w:t>设行政主管部门备案。对此，承包人不得有异议</w:t>
      </w:r>
      <w:r>
        <w:rPr>
          <w:rFonts w:hint="eastAsia" w:ascii="宋体" w:hAnsi="宋体" w:cs="宋体"/>
          <w:color w:val="auto"/>
          <w:sz w:val="24"/>
          <w:highlight w:val="none"/>
        </w:rPr>
        <w:t>。</w:t>
      </w:r>
    </w:p>
    <w:p>
      <w:pPr>
        <w:pStyle w:val="58"/>
        <w:snapToGrid w:val="0"/>
        <w:spacing w:line="440" w:lineRule="exact"/>
        <w:ind w:firstLine="397"/>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w:t>
      </w:r>
      <w:r>
        <w:rPr>
          <w:rFonts w:hint="eastAsia" w:ascii="宋体" w:hAnsi="宋体" w:cs="宋体"/>
          <w:color w:val="auto"/>
          <w:sz w:val="24"/>
          <w:highlight w:val="none"/>
          <w:u w:val="single"/>
        </w:rPr>
        <w:t>承包人的项目负责人、技术负责人、安全负责人、质量负责人、防火负责人等必须常驻施工现场，且须无条件参加每周的工地例会以及发包人书面通知的其它会议，如有缺席，则每人每缺席一次，承包人需支付</w:t>
      </w:r>
      <w:r>
        <w:rPr>
          <w:rFonts w:ascii="宋体" w:hAnsi="宋体" w:cs="宋体"/>
          <w:color w:val="auto"/>
          <w:sz w:val="24"/>
          <w:highlight w:val="none"/>
          <w:u w:val="single"/>
        </w:rPr>
        <w:t>5000元人民币违约金</w:t>
      </w:r>
      <w:r>
        <w:rPr>
          <w:rFonts w:hint="eastAsia" w:ascii="宋体" w:hAnsi="宋体" w:cs="宋体"/>
          <w:color w:val="auto"/>
          <w:sz w:val="24"/>
          <w:highlight w:val="none"/>
        </w:rPr>
        <w:t>。</w:t>
      </w:r>
    </w:p>
    <w:p>
      <w:pPr>
        <w:pStyle w:val="58"/>
        <w:snapToGrid w:val="0"/>
        <w:spacing w:line="440" w:lineRule="exact"/>
        <w:ind w:firstLine="397"/>
        <w:rPr>
          <w:rFonts w:ascii="宋体" w:hAnsi="宋体" w:cs="宋体"/>
          <w:color w:val="auto"/>
          <w:sz w:val="24"/>
          <w:highlight w:val="none"/>
        </w:rPr>
      </w:pPr>
      <w:r>
        <w:rPr>
          <w:rFonts w:ascii="宋体" w:hAnsi="宋体" w:cs="宋体"/>
          <w:color w:val="auto"/>
          <w:sz w:val="24"/>
          <w:highlight w:val="none"/>
        </w:rPr>
        <w:t>35.2.7工程转包违约责任</w:t>
      </w:r>
      <w:r>
        <w:rPr>
          <w:rFonts w:hint="eastAsia" w:ascii="宋体" w:hAnsi="宋体" w:cs="宋体"/>
          <w:color w:val="auto"/>
          <w:sz w:val="24"/>
          <w:highlight w:val="none"/>
        </w:rPr>
        <w:t>：</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highlight w:val="none"/>
          <w:u w:val="single"/>
        </w:rPr>
        <w:t>合同约定的工程项目承包人不得转包，必须分包的少量子项工程和专业工程，承包人应按招标文件、投标文件要求向小微企业工程分包(分包意向协议约定小微企业的合同份额占到合同总金额30%以上的)。并事先需取得监理人、发包人的审查同意后方可进场施工。否则，发包人有权单方面终止合同，并令其立即退场，工程项目另行处理，承包人还应按履约担保金额支付违约金，发包人的损失超过履约担保金额的部分，承包人还应承担赔偿责任。发包人有权将承包人列入黑名单，拒绝承包人在一年内参与发包人后续项目投标，且发包人将上报建设主管部门，对承包人违法行为进行处罚。</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承包人在本工程中有转包、转让、出借资质证书或者以其他方式允许他人以本企业的名义承揽工程的，发包人将解除合同，承包人按合同价的</w:t>
      </w:r>
      <w:r>
        <w:rPr>
          <w:rFonts w:ascii="宋体" w:hAnsi="宋体" w:cs="宋体"/>
          <w:color w:val="auto"/>
          <w:sz w:val="24"/>
          <w:szCs w:val="24"/>
          <w:highlight w:val="none"/>
          <w:u w:val="single"/>
        </w:rPr>
        <w:t>10%承担违约金。因此导致发包人损失超出违约金的部分，承包人应负责赔偿。</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35.2.8解除合同的违约责任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35.2.8.1因承包人严重违约</w:t>
      </w:r>
      <w:r>
        <w:rPr>
          <w:rFonts w:hint="eastAsia" w:ascii="宋体" w:hAnsi="宋体" w:cs="宋体"/>
          <w:color w:val="auto"/>
          <w:sz w:val="24"/>
          <w:szCs w:val="24"/>
          <w:highlight w:val="none"/>
          <w:u w:val="single"/>
        </w:rPr>
        <w:t>导致发包人单方面解除合同或承包人违约擅自解除合同的，承包人应向发包人支付本合同价款</w:t>
      </w:r>
      <w:r>
        <w:rPr>
          <w:rFonts w:ascii="宋体" w:hAnsi="宋体" w:cs="宋体"/>
          <w:color w:val="auto"/>
          <w:sz w:val="24"/>
          <w:szCs w:val="24"/>
          <w:highlight w:val="none"/>
          <w:u w:val="single"/>
        </w:rPr>
        <w:t>10%的违约金，因解除合同导致发包人的损失超过违约金的部分，承包人还应承担赔偿责任。合同解除后，承包人应妥善做好已完工程和已购材料、设备的保护和移交工作。发包人可派员进驻施工场地，另行组织人员或委托其他承包人施工。发包人因继续完成该工程的需要，有权扣留使用承包人在现场的材料、设备和临时设施，也可要求承包人自行将自有机械设备和人员撤出施工场地，但发包人的这一行为不免除承包人应承担的违约责任，也不影响发包人根据合同约定享有的索赔权利。</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35.2.8.2不适用通用条款44.6条的约定。</w:t>
      </w:r>
    </w:p>
    <w:p>
      <w:pPr>
        <w:tabs>
          <w:tab w:val="left" w:pos="8280"/>
        </w:tabs>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35.2.9</w:t>
      </w:r>
      <w:r>
        <w:rPr>
          <w:rFonts w:hint="eastAsia" w:ascii="宋体" w:hAnsi="宋体" w:cs="宋体"/>
          <w:color w:val="auto"/>
          <w:sz w:val="24"/>
          <w:szCs w:val="24"/>
          <w:highlight w:val="none"/>
        </w:rPr>
        <w:t>办理结算的违约责任：</w:t>
      </w:r>
    </w:p>
    <w:p>
      <w:pPr>
        <w:tabs>
          <w:tab w:val="left" w:pos="8280"/>
        </w:tabs>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承包人不执行《广州开发区财政投资建设项目管理中心施工类合同结算编审指引</w:t>
      </w:r>
      <w:r>
        <w:rPr>
          <w:rFonts w:hint="eastAsia" w:ascii="宋体" w:hAnsi="宋体" w:cs="宋体"/>
          <w:color w:val="auto"/>
          <w:sz w:val="24"/>
          <w:szCs w:val="24"/>
          <w:highlight w:val="none"/>
          <w:u w:val="single"/>
          <w:lang w:val="en-US" w:eastAsia="zh-CN"/>
        </w:rPr>
        <w:t>2024年修订稿</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eastAsia="zh-CN"/>
        </w:rPr>
        <w:t>（穗开建管</w:t>
      </w:r>
      <w:r>
        <w:rPr>
          <w:rFonts w:hint="eastAsia" w:ascii="宋体" w:hAnsi="宋体" w:cs="宋体"/>
          <w:color w:val="auto"/>
          <w:sz w:val="24"/>
          <w:szCs w:val="24"/>
          <w:highlight w:val="none"/>
          <w:u w:val="single"/>
          <w:lang w:val="en-US" w:eastAsia="zh-CN"/>
        </w:rPr>
        <w:t>[2024]65号）</w:t>
      </w:r>
      <w:r>
        <w:rPr>
          <w:rFonts w:hint="eastAsia" w:ascii="宋体" w:hAnsi="宋体" w:cs="宋体"/>
          <w:color w:val="auto"/>
          <w:sz w:val="24"/>
          <w:szCs w:val="24"/>
          <w:highlight w:val="none"/>
          <w:u w:val="single"/>
        </w:rPr>
        <w:t>有关规定的，须按该指引有关规定承担违约责任</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35.2.10</w:t>
      </w:r>
      <w:r>
        <w:rPr>
          <w:rFonts w:hint="eastAsia" w:ascii="宋体" w:hAnsi="宋体" w:cs="宋体"/>
          <w:color w:val="auto"/>
          <w:sz w:val="24"/>
          <w:szCs w:val="24"/>
          <w:highlight w:val="none"/>
          <w:u w:val="single"/>
        </w:rPr>
        <w:t>除上述违约责任外，因承包人履行本合同不符合约定或相关规定，发包人可根据实际情况，给予承包人通报批评及作不良记录等处罚措施；情节严重的，可报请上级行政主管部门给予相应处罚</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35.2.11</w:t>
      </w:r>
      <w:r>
        <w:rPr>
          <w:rFonts w:hint="eastAsia" w:ascii="宋体" w:hAnsi="宋体" w:cs="宋体"/>
          <w:color w:val="auto"/>
          <w:sz w:val="24"/>
          <w:szCs w:val="24"/>
          <w:highlight w:val="none"/>
          <w:u w:val="single"/>
        </w:rPr>
        <w:t>承包人违约责任的认定方式、送达程序及违约金的处理</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1）认定方式：以发包人发出的通知、通报、会议纪要等书面文件确定的内容为准。</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2）送达程序：发包人以下列方式之一将书面违约处理决定送达承包人：</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1）承包人现场管理机构工作人员签收。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2）承包人其他工作人员签收。</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u w:val="single"/>
        </w:rPr>
        <w:t>3）发包人邮寄送达。</w:t>
      </w:r>
    </w:p>
    <w:p>
      <w:pPr>
        <w:snapToGrid w:val="0"/>
        <w:spacing w:line="440" w:lineRule="exact"/>
        <w:ind w:firstLine="397"/>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3）发包人以书面形式作出的违约处理决定一经送达承包人立即生效。承包人如有足够证据证明不应由其承担违约责任的，应在收到违约处理决定后3天内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37</w:t>
      </w:r>
      <w:r>
        <w:rPr>
          <w:rFonts w:hint="eastAsia" w:ascii="宋体" w:hAnsi="宋体" w:cs="宋体"/>
          <w:b/>
          <w:color w:val="auto"/>
          <w:sz w:val="24"/>
          <w:highlight w:val="none"/>
        </w:rPr>
        <w:t>、争议</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37.1</w:t>
      </w:r>
      <w:r>
        <w:rPr>
          <w:rFonts w:hint="eastAsia" w:ascii="宋体" w:hAnsi="宋体" w:cs="宋体"/>
          <w:color w:val="auto"/>
          <w:sz w:val="24"/>
          <w:szCs w:val="24"/>
          <w:highlight w:val="none"/>
        </w:rPr>
        <w:t>双方约定，在履行合同过程中产生争议时：</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）由双方协商解决；</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）协商不成的，向</w:t>
      </w:r>
      <w:r>
        <w:rPr>
          <w:rFonts w:hint="eastAsia" w:ascii="宋体" w:hAnsi="宋体" w:cs="宋体"/>
          <w:color w:val="auto"/>
          <w:sz w:val="24"/>
          <w:szCs w:val="24"/>
          <w:highlight w:val="none"/>
          <w:u w:val="single"/>
        </w:rPr>
        <w:t>工程所在地</w:t>
      </w:r>
      <w:r>
        <w:rPr>
          <w:rFonts w:hint="eastAsia" w:ascii="宋体" w:hAnsi="宋体" w:cs="宋体"/>
          <w:color w:val="auto"/>
          <w:sz w:val="24"/>
          <w:szCs w:val="24"/>
          <w:highlight w:val="none"/>
        </w:rPr>
        <w:t>人民法院提起诉讼。</w:t>
      </w:r>
    </w:p>
    <w:p>
      <w:pPr>
        <w:snapToGrid w:val="0"/>
        <w:spacing w:line="440" w:lineRule="exact"/>
        <w:ind w:firstLine="397"/>
        <w:rPr>
          <w:rFonts w:ascii="宋体" w:hAnsi="宋体" w:cs="宋体"/>
          <w:b/>
          <w:color w:val="auto"/>
          <w:sz w:val="24"/>
          <w:highlight w:val="none"/>
        </w:rPr>
      </w:pPr>
      <w:r>
        <w:rPr>
          <w:rFonts w:hint="eastAsia" w:ascii="宋体" w:hAnsi="宋体" w:cs="宋体"/>
          <w:b/>
          <w:color w:val="auto"/>
          <w:sz w:val="24"/>
          <w:highlight w:val="none"/>
        </w:rPr>
        <w:t>十一、其他</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38</w:t>
      </w:r>
      <w:r>
        <w:rPr>
          <w:rFonts w:hint="eastAsia" w:ascii="宋体" w:hAnsi="宋体" w:cs="宋体"/>
          <w:b/>
          <w:color w:val="auto"/>
          <w:sz w:val="24"/>
          <w:highlight w:val="none"/>
        </w:rPr>
        <w:t>、工程分包</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38.1</w:t>
      </w:r>
      <w:r>
        <w:rPr>
          <w:rFonts w:hint="eastAsia" w:ascii="宋体" w:hAnsi="宋体" w:cs="宋体"/>
          <w:color w:val="auto"/>
          <w:sz w:val="24"/>
          <w:highlight w:val="none"/>
        </w:rPr>
        <w:t>（1）本工程发包人同意承包人分包的工程：非主体非关键工程。承包人应按招标文件、投标文件要求向小微企业工程分包(分包意向协议约定小微企业的合同份额占到合同总金额30%以上的)。承包人分包工程的，需先报发包人同意，分包合同签订后必须报发包人备案。承包人与分包单位签订的分包合同中应明确工人工资比例及支付期限。</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2）劳务分包必须严格执行广州市相关规定，禁止分包劳务给无资质单位或个人。在发包人同意承包人进行劳务分包的情况下，劳务分包单位须与向政府相关部门备案的劳务分包的单位一致，不得私自变更劳务分包单位。</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39</w:t>
      </w:r>
      <w:r>
        <w:rPr>
          <w:rFonts w:hint="eastAsia" w:ascii="宋体" w:hAnsi="宋体" w:cs="宋体"/>
          <w:b/>
          <w:color w:val="auto"/>
          <w:sz w:val="24"/>
          <w:highlight w:val="none"/>
        </w:rPr>
        <w:t>、不可抗力</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39.1</w:t>
      </w:r>
      <w:r>
        <w:rPr>
          <w:rFonts w:hint="eastAsia" w:ascii="宋体" w:hAnsi="宋体" w:cs="宋体"/>
          <w:color w:val="auto"/>
          <w:sz w:val="24"/>
          <w:szCs w:val="24"/>
          <w:highlight w:val="none"/>
        </w:rPr>
        <w:t>双方关于不可抗力的约定：按本合同通用条款执行，自然灾害的范围及其认定方式，按下述约定执行：</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u w:val="single"/>
        </w:rPr>
        <w:t>异常天气：仅指</w:t>
      </w:r>
      <w:r>
        <w:rPr>
          <w:rFonts w:ascii="宋体" w:hAnsi="宋体" w:cs="宋体"/>
          <w:color w:val="auto"/>
          <w:sz w:val="24"/>
          <w:szCs w:val="24"/>
          <w:highlight w:val="none"/>
          <w:u w:val="single"/>
        </w:rPr>
        <w:t>50年一遇以上（含50年）的洪水、10级（含本数）以上台风，因异常天气袭击工地为确保安全而停工的，承包人应于台风、洪水天气结束之日起七日内，向当地气象部门索取工程所在地台风、暴雨天气资料或报告（含气象实况及对此分析的内容），连同施工日志、现场照片办理证据保全公证，方可认定为是不可抗力</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u w:val="single"/>
        </w:rPr>
        <w:t>里氏</w:t>
      </w:r>
      <w:r>
        <w:rPr>
          <w:rFonts w:ascii="宋体" w:hAnsi="宋体" w:cs="宋体"/>
          <w:color w:val="auto"/>
          <w:sz w:val="24"/>
          <w:szCs w:val="24"/>
          <w:highlight w:val="none"/>
          <w:u w:val="single"/>
        </w:rPr>
        <w:t>5级（含本数）以上地震</w:t>
      </w:r>
      <w:r>
        <w:rPr>
          <w:rFonts w:hint="eastAsia" w:ascii="宋体" w:hAnsi="宋体" w:cs="宋体"/>
          <w:color w:val="auto"/>
          <w:sz w:val="24"/>
          <w:szCs w:val="24"/>
          <w:highlight w:val="none"/>
        </w:rPr>
        <w:t>。</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39.3双方关于不可抗力事件导致的</w:t>
      </w:r>
      <w:r>
        <w:rPr>
          <w:rFonts w:hint="eastAsia" w:ascii="宋体" w:hAnsi="宋体" w:cs="宋体"/>
          <w:color w:val="auto"/>
          <w:sz w:val="24"/>
          <w:szCs w:val="24"/>
          <w:highlight w:val="none"/>
        </w:rPr>
        <w:t>费用承担</w:t>
      </w:r>
      <w:r>
        <w:rPr>
          <w:rFonts w:hint="eastAsia" w:ascii="宋体" w:hAnsi="宋体" w:cs="宋体"/>
          <w:color w:val="auto"/>
          <w:sz w:val="24"/>
          <w:szCs w:val="24"/>
          <w:highlight w:val="none"/>
          <w:u w:val="single"/>
        </w:rPr>
        <w:t>按本专用条款</w:t>
      </w:r>
      <w:r>
        <w:rPr>
          <w:rFonts w:ascii="宋体" w:hAnsi="宋体" w:cs="宋体"/>
          <w:color w:val="auto"/>
          <w:sz w:val="24"/>
          <w:szCs w:val="24"/>
          <w:highlight w:val="none"/>
          <w:u w:val="single"/>
        </w:rPr>
        <w:t>12.3款约定</w:t>
      </w:r>
      <w:r>
        <w:rPr>
          <w:rFonts w:ascii="宋体" w:hAnsi="宋体" w:cs="宋体"/>
          <w:color w:val="auto"/>
          <w:sz w:val="24"/>
          <w:szCs w:val="24"/>
          <w:highlight w:val="none"/>
        </w:rPr>
        <w:t>执行</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40</w:t>
      </w:r>
      <w:r>
        <w:rPr>
          <w:rFonts w:hint="eastAsia" w:ascii="宋体" w:hAnsi="宋体" w:cs="宋体"/>
          <w:b/>
          <w:color w:val="auto"/>
          <w:sz w:val="24"/>
          <w:highlight w:val="none"/>
        </w:rPr>
        <w:t>、保险</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40.2承包人对其运至施工场地内用于工程的材料和待安装设备办理保险并支付保险费</w:t>
      </w:r>
      <w:r>
        <w:rPr>
          <w:rFonts w:hint="eastAsia" w:ascii="宋体" w:hAnsi="宋体" w:cs="宋体"/>
          <w:color w:val="auto"/>
          <w:sz w:val="24"/>
          <w:szCs w:val="24"/>
          <w:highlight w:val="none"/>
        </w:rPr>
        <w:t>用。</w:t>
      </w:r>
    </w:p>
    <w:p>
      <w:pPr>
        <w:snapToGrid w:val="0"/>
        <w:spacing w:line="440" w:lineRule="exact"/>
        <w:ind w:firstLine="397"/>
        <w:rPr>
          <w:rFonts w:ascii="宋体" w:hAnsi="宋体" w:cs="宋体"/>
          <w:color w:val="auto"/>
          <w:sz w:val="24"/>
          <w:szCs w:val="24"/>
          <w:highlight w:val="none"/>
        </w:rPr>
      </w:pPr>
      <w:r>
        <w:rPr>
          <w:rFonts w:ascii="宋体" w:hAnsi="宋体" w:cs="宋体"/>
          <w:color w:val="auto"/>
          <w:sz w:val="24"/>
          <w:szCs w:val="24"/>
          <w:highlight w:val="none"/>
        </w:rPr>
        <w:t>40.6</w:t>
      </w:r>
      <w:r>
        <w:rPr>
          <w:rFonts w:hint="eastAsia" w:ascii="宋体" w:hAnsi="宋体" w:cs="宋体"/>
          <w:color w:val="auto"/>
          <w:sz w:val="24"/>
          <w:szCs w:val="24"/>
          <w:highlight w:val="none"/>
        </w:rPr>
        <w:t>本工程双方约定投保内容如下：</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发包人投保内容：</w:t>
      </w:r>
      <w:r>
        <w:rPr>
          <w:rFonts w:hint="eastAsia" w:ascii="宋体" w:hAnsi="宋体" w:cs="宋体"/>
          <w:color w:val="auto"/>
          <w:sz w:val="24"/>
          <w:szCs w:val="24"/>
          <w:highlight w:val="none"/>
          <w:u w:val="single"/>
        </w:rPr>
        <w:t>按广州市建设项目劳动保险相关规定投保</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发包人委托承包人办理的保险事项：</w:t>
      </w:r>
      <w:r>
        <w:rPr>
          <w:rFonts w:ascii="宋体" w:hAnsi="宋体" w:cs="宋体"/>
          <w:color w:val="auto"/>
          <w:sz w:val="24"/>
          <w:szCs w:val="24"/>
          <w:highlight w:val="none"/>
          <w:u w:val="single"/>
        </w:rPr>
        <w:t xml:space="preserve">       /           </w:t>
      </w:r>
      <w:r>
        <w:rPr>
          <w:rFonts w:hint="eastAsia" w:ascii="宋体" w:hAnsi="宋体" w:cs="宋体"/>
          <w:color w:val="auto"/>
          <w:sz w:val="24"/>
          <w:szCs w:val="24"/>
          <w:highlight w:val="none"/>
        </w:rPr>
        <w:t>。</w:t>
      </w:r>
    </w:p>
    <w:p>
      <w:pPr>
        <w:snapToGrid w:val="0"/>
        <w:spacing w:line="440" w:lineRule="exact"/>
        <w:ind w:left="397"/>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承包人投保内容：</w:t>
      </w:r>
      <w:r>
        <w:rPr>
          <w:rFonts w:hint="eastAsia" w:ascii="宋体" w:hAnsi="宋体" w:cs="宋体"/>
          <w:color w:val="auto"/>
          <w:sz w:val="24"/>
          <w:szCs w:val="24"/>
          <w:highlight w:val="none"/>
          <w:u w:val="single"/>
        </w:rPr>
        <w:t>开工前承包人应当投保安全生产责任保险，且该保险保障场所应包含本项目，合同价视作已含该项费用。承包人未按规定购买安全生产责任保险，发包人可视严重程度拒绝该单位一定时期内参与后续工程投标</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41</w:t>
      </w:r>
      <w:r>
        <w:rPr>
          <w:rFonts w:hint="eastAsia" w:ascii="宋体" w:hAnsi="宋体" w:cs="宋体"/>
          <w:b/>
          <w:color w:val="auto"/>
          <w:sz w:val="24"/>
          <w:highlight w:val="none"/>
        </w:rPr>
        <w:t>、担保</w:t>
      </w:r>
    </w:p>
    <w:p>
      <w:pPr>
        <w:snapToGrid w:val="0"/>
        <w:spacing w:line="440" w:lineRule="exact"/>
        <w:ind w:firstLine="397"/>
        <w:rPr>
          <w:rFonts w:hint="eastAsia" w:ascii="宋体" w:hAnsi="宋体" w:cs="宋体"/>
          <w:color w:val="auto"/>
          <w:sz w:val="24"/>
          <w:szCs w:val="24"/>
          <w:highlight w:val="none"/>
        </w:rPr>
      </w:pPr>
      <w:r>
        <w:rPr>
          <w:rFonts w:ascii="宋体" w:hAnsi="宋体" w:cs="宋体"/>
          <w:color w:val="auto"/>
          <w:sz w:val="24"/>
          <w:szCs w:val="24"/>
          <w:highlight w:val="none"/>
        </w:rPr>
        <w:t>41.1</w:t>
      </w:r>
      <w:r>
        <w:rPr>
          <w:rFonts w:hint="eastAsia" w:ascii="宋体" w:hAnsi="宋体" w:cs="宋体"/>
          <w:color w:val="auto"/>
          <w:sz w:val="24"/>
          <w:szCs w:val="24"/>
          <w:highlight w:val="none"/>
        </w:rPr>
        <w:t>本工程双方约定担保事项如下：</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（1）发包人向承包人提供支付担保，担保方式为：支付担保保函。</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（2）承包人按如下方式向发包人提供履约担保：</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①履约担保：承包人向发包人提交担保金额为中标价10%的履约担保，担保形式执行《关于规范招投标领域工程建设保证金收取有关工作的通知》（粤发改法规函〔2022〕1178 号）规定。担保到期但工程尚未验收的，承包人应自觉办理担保延期手续，确保担保期限不出现空缺，否则，发包人不予支付工程款。</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首次办理履约担保，如合同工期低于1年的，担保期限可按合同工期，如合同工期高于1年的，担保期限不低于1年。</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履约担保办理延期手续时，若项目的完成工程量不足一半，担保金额按中标价的10%；若项目的完成工程量超过一半，担保金额可按中标价的5%；其他特殊情况需调整的，需报发包人审议同意。</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②履约担保的返还方式：在工程验收合格后返还承包人。</w:t>
      </w:r>
    </w:p>
    <w:p>
      <w:pPr>
        <w:snapToGrid w:val="0"/>
        <w:spacing w:line="440" w:lineRule="exact"/>
        <w:ind w:firstLine="397"/>
        <w:rPr>
          <w:rFonts w:hint="eastAsia" w:ascii="宋体" w:hAnsi="宋体" w:cs="宋体"/>
          <w:color w:val="auto"/>
          <w:sz w:val="24"/>
          <w:szCs w:val="24"/>
          <w:highlight w:val="none"/>
        </w:rPr>
      </w:pPr>
      <w:r>
        <w:rPr>
          <w:rFonts w:hint="eastAsia" w:ascii="宋体" w:hAnsi="宋体" w:cs="宋体"/>
          <w:color w:val="auto"/>
          <w:sz w:val="24"/>
          <w:szCs w:val="24"/>
          <w:highlight w:val="none"/>
        </w:rPr>
        <w:t>履约担保的管理和格式按《广州开发区财政投资建设项目管理中心建设工程保函管理细则》执行。</w:t>
      </w:r>
    </w:p>
    <w:p>
      <w:pPr>
        <w:adjustRightInd w:val="0"/>
        <w:snapToGrid w:val="0"/>
        <w:spacing w:line="440" w:lineRule="exact"/>
        <w:ind w:right="11" w:firstLine="480" w:firstLineChars="200"/>
        <w:outlineLvl w:val="3"/>
        <w:rPr>
          <w:rFonts w:hint="eastAsia" w:ascii="宋体" w:hAnsi="宋体" w:cs="宋体"/>
          <w:color w:val="auto"/>
          <w:sz w:val="24"/>
          <w:szCs w:val="24"/>
          <w:highlight w:val="none"/>
        </w:rPr>
      </w:pPr>
      <w:r>
        <w:rPr>
          <w:rFonts w:hint="eastAsia" w:ascii="宋体" w:hAnsi="宋体" w:cs="宋体"/>
          <w:color w:val="auto"/>
          <w:sz w:val="24"/>
          <w:szCs w:val="24"/>
          <w:highlight w:val="none"/>
        </w:rPr>
        <w:t>（3）承包人提交的履约担保是对本合同约定的承包人的全部义务（包括但不限于承包人违约后应支付的违约金和赔偿金）的担保，承包人的任何一次不履行或不完全履行合同义务的行为，发包人均有权提出索赔。</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46</w:t>
      </w:r>
      <w:r>
        <w:rPr>
          <w:rFonts w:hint="eastAsia" w:ascii="宋体" w:hAnsi="宋体" w:cs="宋体"/>
          <w:b/>
          <w:color w:val="auto"/>
          <w:sz w:val="24"/>
          <w:highlight w:val="none"/>
        </w:rPr>
        <w:t>、合同份数</w:t>
      </w:r>
    </w:p>
    <w:p>
      <w:pPr>
        <w:snapToGrid w:val="0"/>
        <w:spacing w:line="440" w:lineRule="exact"/>
        <w:ind w:firstLine="397"/>
        <w:rPr>
          <w:rFonts w:ascii="宋体" w:hAnsi="宋体" w:cs="宋体"/>
          <w:color w:val="auto"/>
          <w:sz w:val="24"/>
          <w:szCs w:val="24"/>
          <w:highlight w:val="none"/>
          <w:u w:val="single"/>
        </w:rPr>
      </w:pPr>
      <w:r>
        <w:rPr>
          <w:rFonts w:ascii="宋体" w:hAnsi="宋体" w:cs="宋体"/>
          <w:color w:val="auto"/>
          <w:sz w:val="24"/>
          <w:szCs w:val="24"/>
          <w:highlight w:val="none"/>
        </w:rPr>
        <w:t>46.1</w:t>
      </w:r>
      <w:r>
        <w:rPr>
          <w:rFonts w:hint="eastAsia" w:ascii="宋体" w:hAnsi="宋体" w:cs="宋体"/>
          <w:color w:val="auto"/>
          <w:sz w:val="24"/>
          <w:szCs w:val="24"/>
          <w:highlight w:val="none"/>
        </w:rPr>
        <w:t>双方约定合同正副本份数：</w:t>
      </w:r>
      <w:r>
        <w:rPr>
          <w:rFonts w:hint="eastAsia" w:ascii="宋体" w:hAnsi="宋体" w:cs="宋体"/>
          <w:color w:val="auto"/>
          <w:sz w:val="24"/>
          <w:szCs w:val="24"/>
          <w:highlight w:val="none"/>
          <w:u w:val="single"/>
        </w:rPr>
        <w:t>共拾份，正本一式贰份，发包人承包人各执壹份；副本捌份，发包人肆份，承包人叁份，监理人壹份</w:t>
      </w:r>
      <w:r>
        <w:rPr>
          <w:rFonts w:hint="eastAsia" w:ascii="宋体" w:hAnsi="宋体" w:cs="宋体"/>
          <w:color w:val="auto"/>
          <w:sz w:val="24"/>
          <w:szCs w:val="24"/>
          <w:highlight w:val="none"/>
        </w:rPr>
        <w:t>。</w:t>
      </w:r>
    </w:p>
    <w:p>
      <w:pPr>
        <w:snapToGrid w:val="0"/>
        <w:spacing w:line="440" w:lineRule="exact"/>
        <w:ind w:firstLine="397"/>
        <w:rPr>
          <w:rFonts w:ascii="宋体" w:hAnsi="宋体" w:cs="宋体"/>
          <w:b/>
          <w:color w:val="auto"/>
          <w:sz w:val="24"/>
          <w:highlight w:val="none"/>
        </w:rPr>
      </w:pPr>
      <w:r>
        <w:rPr>
          <w:rFonts w:ascii="宋体" w:hAnsi="宋体" w:cs="宋体"/>
          <w:b/>
          <w:color w:val="auto"/>
          <w:sz w:val="24"/>
          <w:highlight w:val="none"/>
        </w:rPr>
        <w:t>47</w:t>
      </w:r>
      <w:r>
        <w:rPr>
          <w:rFonts w:hint="eastAsia" w:ascii="宋体" w:hAnsi="宋体" w:cs="宋体"/>
          <w:b/>
          <w:color w:val="auto"/>
          <w:sz w:val="24"/>
          <w:highlight w:val="none"/>
        </w:rPr>
        <w:t>、补充条款</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安全、文明、科学、规范的施工要求</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w:t>
      </w:r>
      <w:r>
        <w:rPr>
          <w:rFonts w:hint="eastAsia" w:ascii="宋体" w:hAnsi="宋体" w:cs="宋体"/>
          <w:color w:val="auto"/>
          <w:sz w:val="24"/>
          <w:szCs w:val="24"/>
          <w:highlight w:val="none"/>
          <w:u w:val="single"/>
        </w:rPr>
        <w:t>承包人在开工前，必须按照广州市、开发区有关要求办理好相应的施工手续方可开工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w:t>
      </w:r>
      <w:r>
        <w:rPr>
          <w:rFonts w:hint="eastAsia" w:ascii="宋体" w:hAnsi="宋体" w:cs="宋体"/>
          <w:color w:val="auto"/>
          <w:sz w:val="24"/>
          <w:szCs w:val="24"/>
          <w:highlight w:val="none"/>
          <w:u w:val="single"/>
        </w:rPr>
        <w:t>施工范围的具体位置及可交付承包人施工安排的用地范围，由承包人根据现场勘察情况报发包人同意确定，建筑轴线控制基点由承包人联系规划局提供</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w:t>
      </w:r>
      <w:r>
        <w:rPr>
          <w:rFonts w:hint="eastAsia" w:ascii="宋体" w:hAnsi="宋体" w:cs="宋体"/>
          <w:color w:val="auto"/>
          <w:sz w:val="24"/>
          <w:szCs w:val="24"/>
          <w:highlight w:val="none"/>
          <w:u w:val="single"/>
        </w:rPr>
        <w:t>承包人必须保证在收到中标通知书后五天内进场作好施工准备，十五天内提交有关开工报告、施工组织设计、主要材料厂家、材料品牌的选择报验，完成本工程所需的相关工作（如配合比试验、土工试验、场地原地面标高测量、导线放线及复测工作、水准点加密、现场临时设施建设等工作），经监理工程师批准开工或下达开工令后正式施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47.4</w:t>
      </w:r>
      <w:r>
        <w:rPr>
          <w:rFonts w:hint="eastAsia" w:ascii="宋体" w:hAnsi="宋体" w:cs="宋体"/>
          <w:color w:val="auto"/>
          <w:sz w:val="24"/>
          <w:szCs w:val="24"/>
          <w:highlight w:val="none"/>
          <w:u w:val="single"/>
        </w:rPr>
        <w:t>承包人在施工期间要确保工程外场地清洁及道路畅通，如须使用他方道路，则还必须负责养护、保洁责任，否则责任自负。施工和警示标志明显，因施工造成人身损害和财产损失的，由承包人承担责任</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47.5</w:t>
      </w:r>
      <w:r>
        <w:rPr>
          <w:rFonts w:hint="eastAsia" w:ascii="宋体" w:hAnsi="宋体" w:cs="宋体"/>
          <w:color w:val="auto"/>
          <w:sz w:val="24"/>
          <w:szCs w:val="24"/>
          <w:highlight w:val="none"/>
          <w:u w:val="single"/>
        </w:rPr>
        <w:t>承包人必须考虑安全、环保等因素在局部施工范围进行围蔽施工，现场围蔽不符合国家有关安全措施及技术要求的，不得开展施工作业，由此造成的工期延长，由承包人自己负责，当作延误工期处理</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47.6</w:t>
      </w:r>
      <w:r>
        <w:rPr>
          <w:rFonts w:hint="eastAsia" w:ascii="宋体" w:hAnsi="宋体" w:cs="宋体"/>
          <w:color w:val="auto"/>
          <w:sz w:val="24"/>
          <w:szCs w:val="24"/>
          <w:highlight w:val="none"/>
          <w:u w:val="single"/>
        </w:rPr>
        <w:t>承包人应注意对现有的道路、供水管、排水管、绿化、路灯、电力与通讯设施等进行保护，如因承包人原因损坏，承包人应无条件修复，由此引起的任何安全事故由承包人负责，并承担由此产生的一切费用。若承包人不能按要求修复的，则由发包人委托其它单位修复，费用从承包人工程款中扣付</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47.7</w:t>
      </w:r>
      <w:r>
        <w:rPr>
          <w:rFonts w:hint="eastAsia" w:ascii="宋体" w:hAnsi="宋体" w:cs="宋体"/>
          <w:color w:val="auto"/>
          <w:sz w:val="24"/>
          <w:szCs w:val="24"/>
          <w:highlight w:val="none"/>
          <w:u w:val="single"/>
        </w:rPr>
        <w:t>场内土方开挖时，承包人向发包人书面申请，并按发包人的书面批复进行调配平衡，不得任意处置，多余土方由承包人自行安排外运，竣工退场时必须清理施工现场，并达到发包人要求；若承包人未及时外运，则由发包人另行委托其他单位外运，所需费用从承包人工程款中扣付</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47.8</w:t>
      </w:r>
      <w:r>
        <w:rPr>
          <w:rFonts w:hint="eastAsia" w:ascii="宋体" w:hAnsi="宋体" w:cs="宋体"/>
          <w:color w:val="auto"/>
          <w:sz w:val="24"/>
          <w:szCs w:val="24"/>
          <w:highlight w:val="none"/>
          <w:u w:val="single"/>
        </w:rPr>
        <w:t>若遇阻碍施工需拆迁的旧建（构）筑物、地下孤石等障碍物，由承包人负责清障，所需清障费用经监理、发包人现场签证调整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47.9</w:t>
      </w:r>
      <w:r>
        <w:rPr>
          <w:rFonts w:hint="eastAsia" w:ascii="宋体" w:hAnsi="宋体" w:cs="宋体"/>
          <w:color w:val="auto"/>
          <w:sz w:val="24"/>
          <w:szCs w:val="24"/>
          <w:highlight w:val="none"/>
          <w:u w:val="single"/>
        </w:rPr>
        <w:t>在工程完成初验及工程实物移交给发包人或开发区有关的接收单位或部门后一个月内，承包人必须拆除本工程全部的施工临时设施，做到工完场清；否则，发包人有权安排清拆，由此所发生的一切费用在承包人的结算工程款中扣除</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47.10</w:t>
      </w:r>
      <w:r>
        <w:rPr>
          <w:rFonts w:hint="eastAsia" w:ascii="宋体" w:hAnsi="宋体" w:cs="宋体"/>
          <w:color w:val="auto"/>
          <w:sz w:val="24"/>
          <w:szCs w:val="24"/>
          <w:highlight w:val="none"/>
          <w:u w:val="single"/>
        </w:rPr>
        <w:t>双方根据国家有关规定，结合具体工程约定质量缺陷责任期如下</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1、</w:t>
      </w:r>
      <w:r>
        <w:rPr>
          <w:rFonts w:hint="eastAsia" w:ascii="宋体" w:hAnsi="宋体" w:cs="宋体"/>
          <w:color w:val="auto"/>
          <w:sz w:val="24"/>
          <w:szCs w:val="24"/>
          <w:highlight w:val="none"/>
          <w:u w:val="single"/>
        </w:rPr>
        <w:t>基础设施工程、房屋建筑的地基基础工程和主体结构工程为</w:t>
      </w:r>
      <w:r>
        <w:rPr>
          <w:rFonts w:ascii="宋体" w:hAnsi="宋体" w:cs="宋体"/>
          <w:color w:val="auto"/>
          <w:sz w:val="24"/>
          <w:szCs w:val="24"/>
          <w:highlight w:val="none"/>
          <w:u w:val="single"/>
        </w:rPr>
        <w:t>2年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2、</w:t>
      </w:r>
      <w:r>
        <w:rPr>
          <w:rFonts w:hint="eastAsia" w:ascii="宋体" w:hAnsi="宋体" w:cs="宋体"/>
          <w:color w:val="auto"/>
          <w:sz w:val="24"/>
          <w:szCs w:val="24"/>
          <w:highlight w:val="none"/>
          <w:u w:val="single"/>
        </w:rPr>
        <w:t>屋面防水工程为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年，室外装饰工程为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3、</w:t>
      </w:r>
      <w:r>
        <w:rPr>
          <w:rFonts w:hint="eastAsia" w:ascii="宋体" w:hAnsi="宋体" w:cs="宋体"/>
          <w:color w:val="auto"/>
          <w:sz w:val="24"/>
          <w:szCs w:val="24"/>
          <w:highlight w:val="none"/>
          <w:u w:val="single"/>
        </w:rPr>
        <w:t>电力管线、上下水管线安装工程为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w:t>
      </w:r>
      <w:r>
        <w:rPr>
          <w:rFonts w:hint="eastAsia" w:ascii="宋体" w:hAnsi="宋体" w:cs="宋体"/>
          <w:color w:val="auto"/>
          <w:sz w:val="24"/>
          <w:szCs w:val="24"/>
          <w:highlight w:val="none"/>
          <w:u w:val="single"/>
        </w:rPr>
        <w:t>供热及供冷为</w:t>
      </w:r>
      <w:r>
        <w:rPr>
          <w:rFonts w:ascii="宋体" w:hAnsi="宋体" w:cs="宋体"/>
          <w:color w:val="auto"/>
          <w:sz w:val="24"/>
          <w:szCs w:val="24"/>
          <w:highlight w:val="none"/>
          <w:u w:val="single"/>
        </w:rPr>
        <w:t xml:space="preserve"> 2 </w:t>
      </w:r>
      <w:r>
        <w:rPr>
          <w:rFonts w:hint="eastAsia" w:ascii="宋体" w:hAnsi="宋体" w:cs="宋体"/>
          <w:color w:val="auto"/>
          <w:sz w:val="24"/>
          <w:szCs w:val="24"/>
          <w:highlight w:val="none"/>
          <w:u w:val="single"/>
        </w:rPr>
        <w:t>个采暖期及供冷期</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5、</w:t>
      </w:r>
      <w:r>
        <w:rPr>
          <w:rFonts w:hint="eastAsia" w:ascii="宋体" w:hAnsi="宋体" w:cs="宋体"/>
          <w:color w:val="auto"/>
          <w:sz w:val="24"/>
          <w:szCs w:val="24"/>
          <w:highlight w:val="none"/>
          <w:u w:val="single"/>
        </w:rPr>
        <w:t>室外的上下水和小区道路等市政公用工程为</w:t>
      </w:r>
      <w:r>
        <w:rPr>
          <w:rFonts w:ascii="宋体" w:hAnsi="宋体" w:cs="宋体"/>
          <w:color w:val="auto"/>
          <w:sz w:val="24"/>
          <w:szCs w:val="24"/>
          <w:highlight w:val="none"/>
          <w:u w:val="single"/>
        </w:rPr>
        <w:t xml:space="preserve">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6、</w:t>
      </w:r>
      <w:r>
        <w:rPr>
          <w:rFonts w:hint="eastAsia" w:ascii="宋体" w:hAnsi="宋体" w:cs="宋体"/>
          <w:color w:val="auto"/>
          <w:sz w:val="24"/>
          <w:szCs w:val="24"/>
          <w:highlight w:val="none"/>
          <w:u w:val="single"/>
        </w:rPr>
        <w:t>市政道路排水工程为</w:t>
      </w:r>
      <w:r>
        <w:rPr>
          <w:rFonts w:ascii="宋体" w:hAnsi="宋体" w:cs="宋体"/>
          <w:color w:val="auto"/>
          <w:sz w:val="24"/>
          <w:szCs w:val="24"/>
          <w:highlight w:val="none"/>
          <w:u w:val="single"/>
        </w:rPr>
        <w:t xml:space="preserve"> 2 年，市政供水工程为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7、</w:t>
      </w:r>
      <w:r>
        <w:rPr>
          <w:rFonts w:hint="eastAsia" w:ascii="宋体" w:hAnsi="宋体" w:cs="宋体"/>
          <w:color w:val="auto"/>
          <w:sz w:val="24"/>
          <w:szCs w:val="24"/>
          <w:highlight w:val="none"/>
          <w:u w:val="single"/>
        </w:rPr>
        <w:t>市政供电工程为</w:t>
      </w:r>
      <w:r>
        <w:rPr>
          <w:rFonts w:ascii="宋体" w:hAnsi="宋体" w:cs="宋体"/>
          <w:color w:val="auto"/>
          <w:sz w:val="24"/>
          <w:szCs w:val="24"/>
          <w:highlight w:val="none"/>
          <w:u w:val="single"/>
        </w:rPr>
        <w:t xml:space="preserve"> 2 年，市政道路照明工程 2 年，市政交通设施工程为 2 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8、</w:t>
      </w:r>
      <w:r>
        <w:rPr>
          <w:rFonts w:hint="eastAsia" w:ascii="宋体" w:hAnsi="宋体" w:cs="宋体"/>
          <w:color w:val="auto"/>
          <w:sz w:val="24"/>
          <w:szCs w:val="24"/>
          <w:highlight w:val="none"/>
          <w:u w:val="single"/>
        </w:rPr>
        <w:t>园林建筑工程为</w:t>
      </w:r>
      <w:r>
        <w:rPr>
          <w:rFonts w:ascii="宋体" w:hAnsi="宋体" w:cs="宋体"/>
          <w:color w:val="auto"/>
          <w:sz w:val="24"/>
          <w:szCs w:val="24"/>
          <w:highlight w:val="none"/>
          <w:u w:val="single"/>
        </w:rPr>
        <w:t>1年，喷淋工程为2年，胸径15cm</w:t>
      </w:r>
      <w:r>
        <w:rPr>
          <w:rFonts w:hint="eastAsia" w:ascii="宋体" w:hAnsi="宋体" w:cs="宋体"/>
          <w:color w:val="auto"/>
          <w:sz w:val="24"/>
          <w:szCs w:val="24"/>
          <w:highlight w:val="none"/>
          <w:u w:val="single"/>
        </w:rPr>
        <w:t>以内（含</w:t>
      </w:r>
      <w:r>
        <w:rPr>
          <w:rFonts w:ascii="宋体" w:hAnsi="宋体" w:cs="宋体"/>
          <w:color w:val="auto"/>
          <w:sz w:val="24"/>
          <w:szCs w:val="24"/>
          <w:highlight w:val="none"/>
          <w:u w:val="single"/>
        </w:rPr>
        <w:t>15cm</w:t>
      </w:r>
      <w:r>
        <w:rPr>
          <w:rFonts w:hint="eastAsia" w:ascii="宋体" w:hAnsi="宋体" w:cs="宋体"/>
          <w:color w:val="auto"/>
          <w:sz w:val="24"/>
          <w:szCs w:val="24"/>
          <w:highlight w:val="none"/>
          <w:u w:val="single"/>
        </w:rPr>
        <w:t>）的苗木养护期为</w:t>
      </w:r>
      <w:r>
        <w:rPr>
          <w:rFonts w:ascii="宋体" w:hAnsi="宋体" w:cs="宋体"/>
          <w:color w:val="auto"/>
          <w:sz w:val="24"/>
          <w:szCs w:val="24"/>
          <w:highlight w:val="none"/>
          <w:u w:val="single"/>
        </w:rPr>
        <w:t>3个月，胸径15cm</w:t>
      </w:r>
      <w:r>
        <w:rPr>
          <w:rFonts w:hint="eastAsia" w:ascii="宋体" w:hAnsi="宋体" w:cs="宋体"/>
          <w:color w:val="auto"/>
          <w:sz w:val="24"/>
          <w:szCs w:val="24"/>
          <w:highlight w:val="none"/>
          <w:u w:val="single"/>
        </w:rPr>
        <w:t>以上的苗木养护期为</w:t>
      </w:r>
      <w:r>
        <w:rPr>
          <w:rFonts w:ascii="宋体" w:hAnsi="宋体" w:cs="宋体"/>
          <w:color w:val="auto"/>
          <w:sz w:val="24"/>
          <w:szCs w:val="24"/>
          <w:highlight w:val="none"/>
          <w:u w:val="single"/>
        </w:rPr>
        <w:t>1年</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9、</w:t>
      </w:r>
      <w:r>
        <w:rPr>
          <w:rFonts w:hint="eastAsia" w:ascii="宋体" w:hAnsi="宋体" w:cs="宋体"/>
          <w:color w:val="auto"/>
          <w:sz w:val="24"/>
          <w:szCs w:val="24"/>
          <w:highlight w:val="none"/>
          <w:u w:val="single"/>
        </w:rPr>
        <w:t>除上述专业工程外其它工程的质量缺陷责任期按相关规定或经双方另行协商确定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工程质量缺陷责任期从广州开发区管委会或其相关职能部门批准的提前移交之日或者正式通过竣工验收之日（以先发生日期为准）算起。缺陷责任期内，由承包人原因造成的缺陷，承包人应负责维修，并承担鉴定及维修费用。如承包人不维修也不承担费用，发包人可按合同约定扣除质量保修金，并由承包人承担违约责任。承包人维修并承担相应费用后，不免除对工程的一般损失赔偿责任</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47.11</w:t>
      </w:r>
      <w:r>
        <w:rPr>
          <w:rFonts w:hint="eastAsia" w:ascii="宋体" w:hAnsi="宋体" w:cs="宋体"/>
          <w:color w:val="auto"/>
          <w:sz w:val="24"/>
          <w:szCs w:val="24"/>
          <w:highlight w:val="none"/>
          <w:u w:val="single"/>
        </w:rPr>
        <w:t>本工程的保修期按本合同《工程质量保修责任书》规定的保修期限实行。在保修期内因施工质量而造成返修，其费用由承包人负责。工程质量按市政工程现行验评标准组织验收认定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47.12施工现场生活区应设置信息公示栏，每月10日前将上月作业工人考勤和工资结算和支付信息在信息公示栏进行公示，公示期不少于5天。</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农民工佣工要求</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47.13</w:t>
      </w:r>
      <w:r>
        <w:rPr>
          <w:rFonts w:hint="eastAsia" w:ascii="宋体" w:hAnsi="宋体" w:cs="宋体"/>
          <w:color w:val="auto"/>
          <w:sz w:val="24"/>
          <w:szCs w:val="24"/>
          <w:highlight w:val="none"/>
          <w:u w:val="single"/>
        </w:rPr>
        <w:t>承包人必须按照穗开规[200</w:t>
      </w:r>
      <w:r>
        <w:rPr>
          <w:rFonts w:hint="eastAsia" w:ascii="宋体" w:hAnsi="宋体" w:cs="宋体"/>
          <w:color w:val="auto"/>
          <w:sz w:val="24"/>
          <w:szCs w:val="24"/>
          <w:highlight w:val="none"/>
          <w:u w:val="single"/>
          <w:lang w:val="en-US" w:eastAsia="zh-CN"/>
        </w:rPr>
        <w:t>4</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58号文的有关要求及规定优先使用广州开发区的农民工</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47.14</w:t>
      </w:r>
      <w:r>
        <w:rPr>
          <w:rFonts w:hint="eastAsia" w:ascii="宋体" w:hAnsi="宋体" w:cs="宋体"/>
          <w:color w:val="auto"/>
          <w:sz w:val="24"/>
          <w:szCs w:val="24"/>
          <w:highlight w:val="none"/>
          <w:u w:val="single"/>
        </w:rPr>
        <w:t>承包人必须严格执行穗开纪</w:t>
      </w:r>
      <w:r>
        <w:rPr>
          <w:rFonts w:ascii="宋体" w:hAnsi="宋体" w:cs="宋体"/>
          <w:color w:val="auto"/>
          <w:sz w:val="24"/>
          <w:szCs w:val="24"/>
          <w:highlight w:val="none"/>
          <w:u w:val="single"/>
        </w:rPr>
        <w:t>[2005]10号文的规定和要求，在本工程施工中使用劳工时，一律由承包人签订用工合同，建立工资直接支付制度，承包人每月按时发放劳工工资，自觉接受发包人和主管部门的监督，不论何种原因决不拖欠或克扣劳工工资。否则，可由员工代表知会有关部门，或拨打投诉电话。承包人必须将上述内容在本工程开工的十日内向全体员工张榜公开。如承包人违约，发包人有权解除合同，并追究承包人由此给发包人造成的一切损失</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47.15</w:t>
      </w:r>
      <w:r>
        <w:rPr>
          <w:rFonts w:hint="eastAsia" w:ascii="宋体" w:hAnsi="宋体" w:cs="宋体"/>
          <w:color w:val="auto"/>
          <w:sz w:val="24"/>
          <w:szCs w:val="24"/>
          <w:highlight w:val="none"/>
          <w:u w:val="single"/>
        </w:rPr>
        <w:t>承包人应按照《广州市住房和城乡建设委员会关于印发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广州市建筑施工实名制管理办法</w:t>
      </w:r>
      <w:r>
        <w:rPr>
          <w:rFonts w:ascii="宋体" w:hAnsi="宋体" w:cs="宋体"/>
          <w:color w:val="auto"/>
          <w:sz w:val="24"/>
          <w:szCs w:val="24"/>
          <w:highlight w:val="none"/>
          <w:u w:val="single"/>
        </w:rPr>
        <w:t>&gt;</w:t>
      </w:r>
      <w:r>
        <w:rPr>
          <w:rFonts w:hint="eastAsia" w:ascii="宋体" w:hAnsi="宋体" w:cs="宋体"/>
          <w:color w:val="auto"/>
          <w:sz w:val="24"/>
          <w:szCs w:val="24"/>
          <w:highlight w:val="none"/>
          <w:u w:val="single"/>
        </w:rPr>
        <w:t>的通知》（穗建规字</w:t>
      </w:r>
      <w:r>
        <w:rPr>
          <w:rFonts w:ascii="宋体" w:hAnsi="宋体" w:cs="宋体"/>
          <w:color w:val="auto"/>
          <w:sz w:val="24"/>
          <w:szCs w:val="24"/>
          <w:highlight w:val="none"/>
          <w:u w:val="single"/>
        </w:rPr>
        <w:t>[2017]4号）、《关于印发广州市建设领域工人工资支付分帐管理实施细则的通知》（穗建规字[2020]37号）、《广州市根治拖欠农民工工资工作领导小组办公室关于广州市建设领域工程项目全面实施农民工工资总包代发制度的通知》及广州市黄埔区、开发区对应出台的相关文件规定办理建筑工地实名制管理和工人工资支付分帐管理事宜；防止出现拖欠工人工资情况。承包人违法转包、分包工程的或其他承包人原因导致相应工程出现拖欠工人工资情况的，承包人对拖欠工人工资承担清偿责任，对此引起的纠纷负全责，造成</w:t>
      </w:r>
      <w:r>
        <w:rPr>
          <w:rFonts w:hint="eastAsia" w:ascii="宋体" w:hAnsi="宋体" w:cs="宋体"/>
          <w:color w:val="auto"/>
          <w:sz w:val="24"/>
          <w:szCs w:val="24"/>
          <w:highlight w:val="none"/>
          <w:u w:val="single"/>
        </w:rPr>
        <w:t>发包人损失（包括但不限于发包人因此而支付的赔偿款、律师费、诉讼费、保全费、公证费、鉴定费等）的，承包人须承担全部责任。</w:t>
      </w:r>
    </w:p>
    <w:p>
      <w:pPr>
        <w:spacing w:line="440" w:lineRule="exact"/>
        <w:ind w:firstLine="480" w:firstLineChars="200"/>
        <w:rPr>
          <w:rFonts w:ascii="宋体" w:hAnsi="宋体" w:cs="宋体"/>
          <w:b/>
          <w:color w:val="auto"/>
          <w:sz w:val="24"/>
          <w:szCs w:val="24"/>
          <w:highlight w:val="none"/>
        </w:rPr>
      </w:pPr>
      <w:r>
        <w:rPr>
          <w:rFonts w:ascii="宋体" w:hAnsi="宋体" w:cs="宋体"/>
          <w:color w:val="auto"/>
          <w:sz w:val="24"/>
          <w:szCs w:val="24"/>
          <w:highlight w:val="none"/>
        </w:rPr>
        <w:t>47.16</w:t>
      </w:r>
      <w:r>
        <w:rPr>
          <w:rFonts w:hint="eastAsia" w:ascii="宋体" w:hAnsi="宋体" w:cs="宋体"/>
          <w:color w:val="auto"/>
          <w:sz w:val="24"/>
          <w:szCs w:val="24"/>
          <w:highlight w:val="none"/>
          <w:u w:val="single"/>
        </w:rPr>
        <w:t>若承包人在本工程内发生无故拖欠农民工工资现象，将被作不良记录，上报区建设行政主管部门</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若承包人转包或者违法分包造成拖欠工人工资的，除上报区建设行政主管部门外，还将提请省建设行业主管部门禁止在广东省行政区域范围内承包工程。</w:t>
      </w:r>
    </w:p>
    <w:p>
      <w:pPr>
        <w:snapToGrid w:val="0"/>
        <w:spacing w:line="440" w:lineRule="exact"/>
        <w:ind w:firstLine="48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项目管理机构人员、机械设备、劳动力到位方面的要求</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47.17</w:t>
      </w:r>
      <w:r>
        <w:rPr>
          <w:rFonts w:hint="eastAsia" w:ascii="宋体" w:hAnsi="宋体" w:cs="宋体"/>
          <w:color w:val="auto"/>
          <w:sz w:val="24"/>
          <w:szCs w:val="24"/>
          <w:highlight w:val="none"/>
          <w:u w:val="single"/>
        </w:rPr>
        <w:t>合同签订后，项目负责人、项目班子主要成员不到位，则工程师不签发开工令，工期不顺延。施工中班子主要成员离开工地应向工程师请假，经批准后才能离开，擅自离开工地，工程师将发出停工令，待人员回到岗位后才批准复工，由此产生的工期和经济损失由承包人自负，造成发包人和建设管理方损失的，发包人和建设管理方保留索赔的权利</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47.18</w:t>
      </w:r>
      <w:r>
        <w:rPr>
          <w:rFonts w:hint="eastAsia" w:ascii="宋体" w:hAnsi="宋体" w:cs="宋体"/>
          <w:color w:val="auto"/>
          <w:sz w:val="24"/>
          <w:szCs w:val="24"/>
          <w:highlight w:val="none"/>
          <w:u w:val="single"/>
        </w:rPr>
        <w:t>尽管承包人已按投标文件附表中所列的数量派遣了各类管理人员，但若监理工程师经论证认为这些人员仍不足以适应现场施工的需要且不能保证工程质量时，监理工程师有权要求承包人继续增派或雇佣这类人员，并书面通知承包人和抄送发包人。承包人在接到上述通知后应立即执行监理工程师的上述指示，不得无故拖延</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47.19</w:t>
      </w:r>
      <w:r>
        <w:rPr>
          <w:rFonts w:hint="eastAsia" w:ascii="宋体" w:hAnsi="宋体" w:cs="宋体"/>
          <w:color w:val="auto"/>
          <w:sz w:val="24"/>
          <w:szCs w:val="24"/>
          <w:highlight w:val="none"/>
          <w:u w:val="single"/>
        </w:rPr>
        <w:t>现场施工时，施工员（技术员）不在施工现场不得施工，否则发包人可随时要求停工，工期延误由承包人负责</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47.20</w:t>
      </w:r>
      <w:r>
        <w:rPr>
          <w:rFonts w:hint="eastAsia" w:ascii="宋体" w:hAnsi="宋体" w:cs="宋体"/>
          <w:color w:val="auto"/>
          <w:sz w:val="24"/>
          <w:szCs w:val="24"/>
          <w:highlight w:val="none"/>
          <w:u w:val="single"/>
        </w:rPr>
        <w:t>承包人派往现场的管理人员若因不负责任、或玩忽职守、或严重失职等给发包人造成经济损失，承包人承担相应的经济责任和连带法律责任</w:t>
      </w:r>
      <w:r>
        <w:rPr>
          <w:rFonts w:hint="eastAsia" w:ascii="宋体" w:hAnsi="宋体" w:cs="宋体"/>
          <w:color w:val="auto"/>
          <w:sz w:val="24"/>
          <w:szCs w:val="24"/>
          <w:highlight w:val="none"/>
        </w:rPr>
        <w:t>。</w:t>
      </w:r>
    </w:p>
    <w:p>
      <w:pPr>
        <w:snapToGrid w:val="0"/>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b/>
          <w:color w:val="auto"/>
          <w:sz w:val="24"/>
          <w:szCs w:val="24"/>
          <w:highlight w:val="none"/>
        </w:rPr>
        <w:t>投标报价及造价承包和变更结算方式的要求</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47.21</w:t>
      </w:r>
      <w:r>
        <w:rPr>
          <w:rFonts w:hint="eastAsia" w:ascii="宋体" w:hAnsi="宋体" w:cs="宋体"/>
          <w:color w:val="auto"/>
          <w:sz w:val="24"/>
          <w:szCs w:val="24"/>
          <w:highlight w:val="none"/>
          <w:u w:val="single"/>
        </w:rPr>
        <w:t>工程量清单报价中有关问题的说明：</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①</w:t>
      </w:r>
      <w:r>
        <w:rPr>
          <w:rFonts w:hint="eastAsia" w:ascii="宋体" w:hAnsi="宋体" w:cs="宋体"/>
          <w:color w:val="auto"/>
          <w:sz w:val="24"/>
          <w:szCs w:val="24"/>
          <w:highlight w:val="none"/>
          <w:u w:val="single"/>
        </w:rPr>
        <w:t>投标时</w:t>
      </w:r>
      <w:r>
        <w:rPr>
          <w:rFonts w:ascii="宋体" w:hAnsi="宋体" w:cs="宋体"/>
          <w:color w:val="auto"/>
          <w:sz w:val="24"/>
          <w:szCs w:val="24"/>
          <w:highlight w:val="none"/>
          <w:u w:val="single"/>
        </w:rPr>
        <w:t>,土方</w:t>
      </w:r>
      <w:r>
        <w:rPr>
          <w:rFonts w:hint="eastAsia" w:ascii="宋体" w:hAnsi="宋体" w:cs="宋体"/>
          <w:color w:val="auto"/>
          <w:sz w:val="24"/>
          <w:szCs w:val="24"/>
          <w:highlight w:val="none"/>
          <w:u w:val="single"/>
        </w:rPr>
        <w:t>的弃运距离暂按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内考虑，超过</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按</w:t>
      </w:r>
      <w:r>
        <w:rPr>
          <w:rFonts w:ascii="宋体" w:hAnsi="宋体" w:cs="宋体"/>
          <w:color w:val="auto"/>
          <w:sz w:val="24"/>
          <w:szCs w:val="24"/>
          <w:highlight w:val="none"/>
          <w:u w:val="single"/>
        </w:rPr>
        <w:t>15km</w:t>
      </w:r>
      <w:r>
        <w:rPr>
          <w:rFonts w:hint="eastAsia" w:ascii="宋体" w:hAnsi="宋体" w:cs="宋体"/>
          <w:color w:val="auto"/>
          <w:sz w:val="24"/>
          <w:szCs w:val="24"/>
          <w:highlight w:val="none"/>
          <w:u w:val="single"/>
        </w:rPr>
        <w:t>计算，结算时按招标人确认的实际运距计算</w:t>
      </w:r>
      <w:r>
        <w:rPr>
          <w:rFonts w:ascii="宋体" w:hAnsi="宋体" w:cs="宋体"/>
          <w:color w:val="auto"/>
          <w:sz w:val="24"/>
          <w:szCs w:val="24"/>
          <w:highlight w:val="none"/>
          <w:u w:val="single"/>
        </w:rPr>
        <w:t>,实际运距超过15公里</w:t>
      </w:r>
      <w:r>
        <w:rPr>
          <w:rFonts w:hint="eastAsia" w:ascii="宋体" w:hAnsi="宋体" w:cs="宋体"/>
          <w:color w:val="auto"/>
          <w:sz w:val="24"/>
          <w:szCs w:val="24"/>
          <w:highlight w:val="none"/>
          <w:u w:val="single"/>
        </w:rPr>
        <w:t>时按</w:t>
      </w:r>
      <w:r>
        <w:rPr>
          <w:rFonts w:ascii="宋体" w:hAnsi="宋体" w:cs="宋体"/>
          <w:color w:val="auto"/>
          <w:sz w:val="24"/>
          <w:szCs w:val="24"/>
          <w:highlight w:val="none"/>
          <w:u w:val="single"/>
        </w:rPr>
        <w:t>15公里</w:t>
      </w:r>
      <w:r>
        <w:rPr>
          <w:rFonts w:hint="eastAsia" w:ascii="宋体" w:hAnsi="宋体" w:cs="宋体"/>
          <w:color w:val="auto"/>
          <w:sz w:val="24"/>
          <w:szCs w:val="24"/>
          <w:highlight w:val="none"/>
          <w:u w:val="single"/>
        </w:rPr>
        <w:t>包干。</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③</w:t>
      </w:r>
      <w:r>
        <w:rPr>
          <w:rFonts w:ascii="宋体" w:hAnsi="宋体" w:cs="宋体"/>
          <w:color w:val="auto"/>
          <w:sz w:val="24"/>
          <w:szCs w:val="24"/>
          <w:highlight w:val="none"/>
          <w:u w:val="single"/>
        </w:rPr>
        <w:t>工程量清单中措施项目清单费计价表中的绿色施工安全防护措施费执行</w:t>
      </w:r>
      <w:r>
        <w:rPr>
          <w:rFonts w:hint="eastAsia" w:ascii="宋体" w:hAnsi="宋体" w:cs="宋体"/>
          <w:color w:val="auto"/>
          <w:sz w:val="24"/>
          <w:szCs w:val="24"/>
          <w:highlight w:val="none"/>
          <w:u w:val="single"/>
        </w:rPr>
        <w:t>《广东省住房和城乡建设厅关于印发</w:t>
      </w:r>
      <w:r>
        <w:rPr>
          <w:rFonts w:ascii="宋体" w:hAnsi="宋体" w:cs="宋体"/>
          <w:color w:val="auto"/>
          <w:sz w:val="24"/>
          <w:szCs w:val="24"/>
          <w:highlight w:val="none"/>
          <w:u w:val="single"/>
        </w:rPr>
        <w:t>&lt;</w:t>
      </w:r>
      <w:r>
        <w:rPr>
          <w:rFonts w:hint="eastAsia" w:ascii="宋体" w:hAnsi="宋体" w:cs="宋体"/>
          <w:color w:val="auto"/>
          <w:sz w:val="24"/>
          <w:szCs w:val="24"/>
          <w:highlight w:val="none"/>
          <w:u w:val="single"/>
        </w:rPr>
        <w:t>广东省建设工程计价依据（</w:t>
      </w:r>
      <w:r>
        <w:rPr>
          <w:rFonts w:ascii="宋体" w:hAnsi="宋体" w:cs="宋体"/>
          <w:color w:val="auto"/>
          <w:sz w:val="24"/>
          <w:szCs w:val="24"/>
          <w:highlight w:val="none"/>
          <w:u w:val="single"/>
        </w:rPr>
        <w:t>2018)&gt;</w:t>
      </w:r>
      <w:r>
        <w:rPr>
          <w:rFonts w:hint="eastAsia" w:ascii="宋体" w:hAnsi="宋体" w:cs="宋体"/>
          <w:color w:val="auto"/>
          <w:sz w:val="24"/>
          <w:szCs w:val="24"/>
          <w:highlight w:val="none"/>
          <w:u w:val="single"/>
        </w:rPr>
        <w:t>的通知》（穗建市〔</w:t>
      </w:r>
      <w:r>
        <w:rPr>
          <w:rFonts w:ascii="宋体" w:hAnsi="宋体" w:cs="宋体"/>
          <w:color w:val="auto"/>
          <w:sz w:val="24"/>
          <w:szCs w:val="24"/>
          <w:highlight w:val="none"/>
          <w:u w:val="single"/>
        </w:rPr>
        <w:t>2019〕6号）文，</w:t>
      </w:r>
      <w:r>
        <w:rPr>
          <w:rFonts w:hint="eastAsia" w:ascii="宋体" w:hAnsi="宋体" w:cs="宋体"/>
          <w:color w:val="auto"/>
          <w:sz w:val="24"/>
          <w:szCs w:val="24"/>
          <w:highlight w:val="none"/>
          <w:u w:val="single"/>
        </w:rPr>
        <w:t>绿色施工安全防护措施费</w:t>
      </w:r>
      <w:r>
        <w:rPr>
          <w:rFonts w:ascii="宋体" w:hAnsi="宋体" w:cs="宋体"/>
          <w:color w:val="auto"/>
          <w:sz w:val="24"/>
          <w:szCs w:val="24"/>
          <w:highlight w:val="none"/>
          <w:u w:val="single"/>
        </w:rPr>
        <w:t>按</w:t>
      </w:r>
      <w:r>
        <w:rPr>
          <w:rFonts w:hint="eastAsia" w:ascii="宋体" w:hAnsi="宋体" w:cs="宋体"/>
          <w:color w:val="auto"/>
          <w:sz w:val="24"/>
          <w:szCs w:val="24"/>
          <w:highlight w:val="none"/>
          <w:u w:val="single"/>
        </w:rPr>
        <w:t>发包人公布的本工程招标控制价中的绿色施工安全防护措施费计取，作为非竞争费用，在投标报价中单列，不参与投标竞价，该费用从工程施工中标价中提取，专款专用</w:t>
      </w:r>
      <w:r>
        <w:rPr>
          <w:rFonts w:hint="eastAsia" w:ascii="宋体" w:hAnsi="宋体" w:cs="宋体"/>
          <w:color w:val="auto"/>
          <w:sz w:val="24"/>
          <w:szCs w:val="24"/>
          <w:highlight w:val="none"/>
        </w:rPr>
        <w:t>。</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47.22</w:t>
      </w:r>
      <w:r>
        <w:rPr>
          <w:rFonts w:hint="eastAsia" w:ascii="宋体" w:hAnsi="宋体" w:cs="宋体"/>
          <w:color w:val="auto"/>
          <w:sz w:val="24"/>
          <w:szCs w:val="24"/>
          <w:highlight w:val="none"/>
          <w:u w:val="single"/>
        </w:rPr>
        <w:t>本工程承包人通过现场考察，提出具体施工方案，无论在工程施工期间或是在质量保修期内，若因施工而引起的一切索赔、赔偿、诉讼费用和其他开支，由承包人承担全部责任。该项费用在措施项目费中设有独立单项项目，该费用包干使用（施工围蔽费用除外），且承包人不得以任何理由要求发包人另行增加该部分费用（承包人要充分考虑最不利因素影响而采用的施工方案所需的费用）。</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47.23</w:t>
      </w:r>
      <w:r>
        <w:rPr>
          <w:rFonts w:hint="eastAsia" w:ascii="宋体" w:hAnsi="宋体" w:cs="宋体"/>
          <w:color w:val="auto"/>
          <w:sz w:val="24"/>
          <w:szCs w:val="24"/>
          <w:highlight w:val="none"/>
          <w:u w:val="single"/>
        </w:rPr>
        <w:t>承包人应结合本工程招标内容对现场进行充分的调查，充分考虑工程招标内容及施工组织方案，承包单位应与相关管理部门（如铁路管理部门）协商，取得同意协调，按要求完成工程招标内容，工程及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none"/>
        </w:rPr>
        <w:t>47.24</w:t>
      </w:r>
      <w:r>
        <w:rPr>
          <w:rFonts w:hint="eastAsia" w:ascii="宋体" w:hAnsi="宋体" w:cs="宋体"/>
          <w:color w:val="auto"/>
          <w:sz w:val="24"/>
          <w:szCs w:val="24"/>
          <w:highlight w:val="none"/>
          <w:u w:val="single"/>
        </w:rPr>
        <w:t>承包人应根据区相关主管部门批复的水土保持实施方案及相关规定完成本工程的水土保持工作，承担防止水土流失职责，相关费用包含在合同价中，不另行计费。如果承包人不及时按要求完成上述工作，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none"/>
        </w:rPr>
        <w:t>47.25</w:t>
      </w:r>
      <w:r>
        <w:rPr>
          <w:rFonts w:hint="eastAsia" w:ascii="宋体" w:hAnsi="宋体" w:cs="宋体"/>
          <w:color w:val="auto"/>
          <w:sz w:val="24"/>
          <w:szCs w:val="24"/>
          <w:highlight w:val="none"/>
          <w:u w:val="single"/>
        </w:rPr>
        <w:t>承包人应使用绿色生产达标企业生产的混凝土，若不遵守承诺，自愿按不履行合同约定处理。</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none"/>
        </w:rPr>
        <w:t>47.26</w:t>
      </w:r>
      <w:r>
        <w:rPr>
          <w:rFonts w:hint="eastAsia" w:ascii="宋体" w:hAnsi="宋体" w:cs="宋体"/>
          <w:color w:val="auto"/>
          <w:sz w:val="24"/>
          <w:szCs w:val="24"/>
          <w:highlight w:val="none"/>
          <w:u w:val="single"/>
        </w:rPr>
        <w:t>承包人人应按有关规定协助发包人完成公共排水设施竣工图纸备案工作。</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47.27</w:t>
      </w:r>
      <w:r>
        <w:rPr>
          <w:rFonts w:hint="eastAsia" w:ascii="宋体" w:hAnsi="宋体" w:cs="宋体"/>
          <w:color w:val="auto"/>
          <w:sz w:val="24"/>
          <w:szCs w:val="24"/>
          <w:highlight w:val="none"/>
          <w:u w:val="single"/>
        </w:rPr>
        <w:t>在整个合同执行期间发包人如发现有不合理投标报价的，发包人有权按有关规定和合同约定进行调整，并将书面通知承包人，并以此作为结算依据</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47.28</w:t>
      </w:r>
      <w:r>
        <w:rPr>
          <w:rFonts w:hint="eastAsia" w:ascii="宋体" w:hAnsi="宋体" w:cs="宋体"/>
          <w:color w:val="auto"/>
          <w:sz w:val="24"/>
          <w:highlight w:val="none"/>
          <w:u w:val="single"/>
        </w:rPr>
        <w:t>所有材料品牌选择均须报发包人、监理工程师确认，且经检验合格后方能使用。</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47.29</w:t>
      </w:r>
      <w:r>
        <w:rPr>
          <w:rFonts w:hint="eastAsia" w:ascii="宋体" w:hAnsi="宋体" w:cs="宋体"/>
          <w:color w:val="auto"/>
          <w:sz w:val="24"/>
          <w:szCs w:val="24"/>
          <w:highlight w:val="none"/>
          <w:u w:val="single"/>
        </w:rPr>
        <w:t>在本工程实施过程中，若与其他工程发生重叠情况或因征地拆迁问题而无法实施的工程，发包人有权取消重叠部分及无法实施部分的工程量，并按照减少的工程量扣除相应的工程款，承包人不得有异议。另外，由于前述原因造成的工程损失，发包人不予赔偿</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47.30</w:t>
      </w:r>
      <w:r>
        <w:rPr>
          <w:rFonts w:hint="eastAsia" w:ascii="宋体" w:hAnsi="宋体" w:cs="宋体"/>
          <w:color w:val="auto"/>
          <w:sz w:val="24"/>
          <w:szCs w:val="24"/>
          <w:highlight w:val="none"/>
          <w:u w:val="single"/>
        </w:rPr>
        <w:t>在承包人严重违约、不可抗力或政府政策性调整情况下或根据工程实施实际情况，发包人可对本合同承包范围和承包内容进行调整，发包人对承包人的损失不予补偿（本合同其他条款约定可进行造价调整的除外）</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47.31</w:t>
      </w:r>
      <w:r>
        <w:rPr>
          <w:rFonts w:hint="eastAsia" w:ascii="宋体" w:hAnsi="宋体" w:cs="宋体"/>
          <w:color w:val="auto"/>
          <w:sz w:val="24"/>
          <w:szCs w:val="24"/>
          <w:highlight w:val="none"/>
          <w:u w:val="single"/>
        </w:rPr>
        <w:t>承包人须按照发包人与监理人签订的委托监理合同接受监理人的全过程监理</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47.32</w:t>
      </w:r>
      <w:r>
        <w:rPr>
          <w:rFonts w:hint="eastAsia" w:ascii="宋体" w:hAnsi="宋体" w:cs="宋体"/>
          <w:color w:val="auto"/>
          <w:sz w:val="24"/>
          <w:szCs w:val="24"/>
          <w:highlight w:val="none"/>
          <w:u w:val="single"/>
        </w:rPr>
        <w:t>如广州开发区、黄埔区对工程竣工验收及备案有相关规定，则本合同执行该规定</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47.33</w:t>
      </w:r>
      <w:r>
        <w:rPr>
          <w:rFonts w:hint="eastAsia" w:ascii="宋体" w:hAnsi="宋体" w:cs="宋体"/>
          <w:color w:val="auto"/>
          <w:sz w:val="24"/>
          <w:szCs w:val="24"/>
          <w:highlight w:val="none"/>
          <w:u w:val="single"/>
        </w:rPr>
        <w:t>如果审计机关依法对本工程实施审计，发包人、承包人及监理单位应积极配合</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47.34</w:t>
      </w:r>
      <w:r>
        <w:rPr>
          <w:rFonts w:hint="eastAsia" w:ascii="宋体" w:hAnsi="宋体" w:cs="宋体"/>
          <w:color w:val="auto"/>
          <w:sz w:val="24"/>
          <w:szCs w:val="24"/>
          <w:highlight w:val="none"/>
          <w:u w:val="single"/>
        </w:rPr>
        <w:t>本合同在实施过程中所发生的文件来往，双方不得拒绝签收。如果发生类似事件，发文一方可以监理工程师签收为准，视为送达</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47.35</w:t>
      </w:r>
      <w:r>
        <w:rPr>
          <w:rFonts w:hint="eastAsia" w:ascii="宋体" w:hAnsi="宋体" w:cs="宋体"/>
          <w:color w:val="auto"/>
          <w:sz w:val="24"/>
          <w:szCs w:val="24"/>
          <w:highlight w:val="none"/>
          <w:u w:val="single"/>
        </w:rPr>
        <w:t>关于现场文件送达后的时效约定：如果涉及到安全、质量、工期（或进度）、经济、技术方案等的报审文件，在发往现场项目部的同时，抄送一份给对方公司，按约定的时效执行；如果属于一般性文件，就直接发往对方现场项目部，项目部如果在约定的时效内未作答复，发文一方再追加一份给对方公司并重新约定答复时效，如果对方公司仍然没有答复，则按重新约定的时效执行</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47.36</w:t>
      </w:r>
      <w:r>
        <w:rPr>
          <w:rFonts w:hint="eastAsia" w:ascii="宋体" w:hAnsi="宋体" w:cs="宋体"/>
          <w:color w:val="auto"/>
          <w:sz w:val="24"/>
          <w:szCs w:val="24"/>
          <w:highlight w:val="none"/>
          <w:u w:val="single"/>
        </w:rPr>
        <w:t>在本合同实施过程中所发生的违约金、罚款、扣款等费用，经监理工程师核实并通知承包人后直接作为财务扣款依据（无需承包人签认或同意），可由发包人在履约担保中主张或在工程款中扣除，承包人对此无异议</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47.37</w:t>
      </w:r>
      <w:r>
        <w:rPr>
          <w:rFonts w:hint="eastAsia" w:ascii="宋体" w:hAnsi="宋体" w:cs="宋体"/>
          <w:color w:val="auto"/>
          <w:sz w:val="24"/>
          <w:szCs w:val="24"/>
          <w:highlight w:val="none"/>
          <w:u w:val="single"/>
        </w:rPr>
        <w:t>承包人施工过程中不得侵犯他人的专利权或者其他合法权益，否则由承包人承担相关责任，并保证不因该侵权行为影响工程建设</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47.38</w:t>
      </w:r>
      <w:r>
        <w:rPr>
          <w:rFonts w:hint="eastAsia" w:ascii="宋体" w:hAnsi="宋体" w:cs="宋体"/>
          <w:color w:val="auto"/>
          <w:sz w:val="24"/>
          <w:szCs w:val="24"/>
          <w:highlight w:val="none"/>
          <w:u w:val="single"/>
        </w:rPr>
        <w:t>承包人与发包人签订合同时所提供的开户银行名称及帐号不得擅自变更，如需变更必须征得发包人的书面同意，否则发包人有权停止工程款的拨付，所造成的一切后果由承包人承担</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47.39</w:t>
      </w:r>
      <w:r>
        <w:rPr>
          <w:rFonts w:hint="eastAsia" w:ascii="宋体" w:hAnsi="宋体" w:cs="宋体"/>
          <w:color w:val="auto"/>
          <w:sz w:val="24"/>
          <w:szCs w:val="24"/>
          <w:highlight w:val="none"/>
          <w:u w:val="single"/>
        </w:rPr>
        <w:t>如发包人为本工程的代建单位，则本工程建设业主同时享有本合同项下属发包人的权利，并且合同中约定需发包人审批的事项，必须经建设业主审批同意后方可实施</w:t>
      </w:r>
      <w:r>
        <w:rPr>
          <w:rFonts w:hint="eastAsia" w:ascii="宋体" w:hAnsi="宋体" w:cs="宋体"/>
          <w:color w:val="auto"/>
          <w:sz w:val="24"/>
          <w:szCs w:val="24"/>
          <w:highlight w:val="none"/>
        </w:rPr>
        <w:t>。</w:t>
      </w:r>
    </w:p>
    <w:p>
      <w:pPr>
        <w:spacing w:line="440" w:lineRule="exact"/>
        <w:ind w:firstLine="480" w:firstLineChars="200"/>
        <w:rPr>
          <w:rFonts w:ascii="宋体" w:hAnsi="宋体" w:cs="宋体"/>
          <w:i/>
          <w:color w:val="auto"/>
          <w:sz w:val="24"/>
          <w:szCs w:val="24"/>
          <w:highlight w:val="none"/>
        </w:rPr>
      </w:pPr>
      <w:r>
        <w:rPr>
          <w:rFonts w:ascii="宋体" w:hAnsi="宋体" w:cs="宋体"/>
          <w:color w:val="auto"/>
          <w:sz w:val="24"/>
          <w:szCs w:val="24"/>
          <w:highlight w:val="none"/>
        </w:rPr>
        <w:t>47.40</w:t>
      </w:r>
      <w:r>
        <w:rPr>
          <w:rFonts w:hint="eastAsia" w:ascii="宋体" w:hAnsi="宋体" w:cs="宋体"/>
          <w:color w:val="auto"/>
          <w:sz w:val="24"/>
          <w:szCs w:val="24"/>
          <w:highlight w:val="none"/>
          <w:u w:val="single"/>
        </w:rPr>
        <w:t>《广州开发区财政投资建设项目管理中心绿化景观工程计量管理办法》将作为合同附件，各相关单位须遵照执行</w:t>
      </w:r>
      <w:r>
        <w:rPr>
          <w:rFonts w:hint="eastAsia" w:ascii="宋体" w:hAnsi="宋体" w:cs="宋体"/>
          <w:color w:val="auto"/>
          <w:sz w:val="24"/>
          <w:szCs w:val="24"/>
          <w:highlight w:val="none"/>
        </w:rPr>
        <w:t>。</w:t>
      </w:r>
      <w:r>
        <w:rPr>
          <w:rFonts w:ascii="宋体" w:hAnsi="宋体" w:cs="宋体"/>
          <w:i/>
          <w:color w:val="auto"/>
          <w:sz w:val="24"/>
          <w:szCs w:val="24"/>
          <w:highlight w:val="none"/>
        </w:rPr>
        <w:t>(</w:t>
      </w:r>
      <w:r>
        <w:rPr>
          <w:rFonts w:hint="eastAsia" w:ascii="宋体" w:hAnsi="宋体" w:cs="宋体"/>
          <w:i/>
          <w:color w:val="auto"/>
          <w:sz w:val="24"/>
          <w:szCs w:val="24"/>
          <w:highlight w:val="none"/>
        </w:rPr>
        <w:t>注：该条款适用于绿化施工工程</w:t>
      </w:r>
      <w:r>
        <w:rPr>
          <w:rFonts w:ascii="宋体" w:hAnsi="宋体" w:cs="宋体"/>
          <w:i/>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47.41</w:t>
      </w:r>
      <w:r>
        <w:rPr>
          <w:rFonts w:hint="eastAsia" w:ascii="宋体" w:hAnsi="宋体" w:cs="宋体"/>
          <w:color w:val="auto"/>
          <w:sz w:val="24"/>
          <w:szCs w:val="24"/>
          <w:highlight w:val="none"/>
          <w:u w:val="single"/>
        </w:rPr>
        <w:t>工程获得国家、省级、市级所发奖项的，可给予通报表彰，但不给予任何物质奖励</w:t>
      </w:r>
      <w:r>
        <w:rPr>
          <w:rFonts w:hint="eastAsia" w:ascii="宋体" w:hAnsi="宋体" w:cs="宋体"/>
          <w:color w:val="auto"/>
          <w:sz w:val="24"/>
          <w:szCs w:val="24"/>
          <w:highlight w:val="none"/>
        </w:rPr>
        <w:t>。</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rPr>
        <w:t>47.42</w:t>
      </w:r>
      <w:r>
        <w:rPr>
          <w:rFonts w:hint="eastAsia" w:ascii="宋体" w:hAnsi="宋体" w:cs="宋体"/>
          <w:color w:val="auto"/>
          <w:sz w:val="24"/>
          <w:szCs w:val="24"/>
          <w:highlight w:val="none"/>
          <w:u w:val="single"/>
        </w:rPr>
        <w:t>如本合同需缴纳合同印花税，承包人需在有关税务部门规定期限及结清本合同费用前，代缴按规定属发包人缴纳的部分，代缴后发包人按代缴金额实报实销。承包人未按规定期限代缴印花税的，因此产生的滞纳金由承包人承担。</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47.43</w:t>
      </w:r>
      <w:r>
        <w:rPr>
          <w:rFonts w:hint="eastAsia" w:ascii="宋体" w:hAnsi="宋体" w:cs="宋体"/>
          <w:color w:val="auto"/>
          <w:sz w:val="24"/>
          <w:szCs w:val="24"/>
          <w:highlight w:val="none"/>
          <w:u w:val="single"/>
        </w:rPr>
        <w:t>如承包人为联合体的，本合同由联合体的主办方负责签订。并由联合体主办方负责开具合同价款全额发票、收取合同款项，联合体主办方收取合同款项后由联合体各方自行分配相应款项，或由联合体各方负责开具其对应价款的全额发票，具体分配事宜与发包人无关。</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47.44</w:t>
      </w:r>
      <w:r>
        <w:rPr>
          <w:rFonts w:hint="eastAsia" w:ascii="宋体" w:hAnsi="宋体" w:cs="宋体"/>
          <w:color w:val="auto"/>
          <w:sz w:val="24"/>
          <w:szCs w:val="24"/>
          <w:highlight w:val="none"/>
          <w:u w:val="single"/>
        </w:rPr>
        <w:t>如承包人及承包人的项目负责人存在因与工程项目施工相关的车辆运输而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经发包人核实，发包人有权终止合同。</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47.45</w:t>
      </w:r>
      <w:r>
        <w:rPr>
          <w:rFonts w:hint="eastAsia" w:ascii="宋体" w:hAnsi="宋体" w:cs="宋体"/>
          <w:color w:val="auto"/>
          <w:sz w:val="24"/>
          <w:szCs w:val="24"/>
          <w:highlight w:val="none"/>
          <w:u w:val="single"/>
        </w:rPr>
        <w:t>如承包人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不良行为记录（处罚有效期内）的单位或个体经营者运输的，经发包人核实，发包人有权终止合同。</w:t>
      </w:r>
    </w:p>
    <w:p>
      <w:pPr>
        <w:spacing w:line="440" w:lineRule="exact"/>
        <w:ind w:firstLine="480" w:firstLineChars="200"/>
        <w:rPr>
          <w:rFonts w:ascii="宋体" w:hAnsi="宋体" w:cs="宋体"/>
          <w:color w:val="auto"/>
          <w:sz w:val="24"/>
          <w:highlight w:val="none"/>
        </w:rPr>
      </w:pPr>
      <w:r>
        <w:rPr>
          <w:rFonts w:ascii="宋体" w:hAnsi="宋体" w:cs="宋体"/>
          <w:color w:val="auto"/>
          <w:sz w:val="24"/>
          <w:highlight w:val="none"/>
        </w:rPr>
        <w:t>47.4</w:t>
      </w:r>
      <w:r>
        <w:rPr>
          <w:rFonts w:hint="eastAsia" w:ascii="宋体" w:hAnsi="宋体" w:cs="宋体"/>
          <w:color w:val="auto"/>
          <w:sz w:val="24"/>
          <w:highlight w:val="none"/>
        </w:rPr>
        <w:t>6</w:t>
      </w:r>
      <w:r>
        <w:rPr>
          <w:rFonts w:ascii="宋体" w:hAnsi="宋体" w:cs="宋体"/>
          <w:color w:val="auto"/>
          <w:sz w:val="24"/>
          <w:highlight w:val="none"/>
          <w:u w:val="single"/>
        </w:rPr>
        <w:t>开工前中标人应当投保安全生产责任保险，且该保险保障场所应包含中标项目。投标人的投标报价视为包含该项目费用。中标人未按规定购买安全生产责任保险，招标人可视严重程度拒绝该单位一定时期内参与后续工程投标。</w:t>
      </w:r>
    </w:p>
    <w:p>
      <w:pPr>
        <w:spacing w:line="440" w:lineRule="exact"/>
        <w:ind w:firstLine="480" w:firstLineChars="200"/>
        <w:rPr>
          <w:rFonts w:ascii="宋体" w:hAnsi="宋体" w:cs="宋体"/>
          <w:color w:val="auto"/>
          <w:sz w:val="24"/>
          <w:highlight w:val="none"/>
          <w:u w:val="single"/>
        </w:rPr>
      </w:pPr>
      <w:r>
        <w:rPr>
          <w:rFonts w:ascii="宋体" w:hAnsi="宋体" w:cs="宋体"/>
          <w:color w:val="auto"/>
          <w:sz w:val="24"/>
          <w:szCs w:val="24"/>
          <w:highlight w:val="none"/>
          <w:u w:val="single"/>
        </w:rPr>
        <w:t>47.47</w:t>
      </w:r>
      <w:r>
        <w:rPr>
          <w:rFonts w:hint="eastAsia" w:ascii="宋体" w:hAnsi="宋体" w:cs="宋体"/>
          <w:color w:val="auto"/>
          <w:sz w:val="24"/>
          <w:highlight w:val="none"/>
          <w:u w:val="single"/>
        </w:rPr>
        <w:t>承包人在施工过程中应严格执行《城市绿化条例》、《广东省城市绿化条例》、《广州市绿化条例》、《广州市城市树木保护管理规定（试行）》（穗林业园林规字〔2022〕1号）等法规规定。不得破坏树木和树木立地生境，不得随意更改树木根颈处的地形标高。对可能影响绿地使用功能或树木正常生长的，应采取避让和保护措施。涉及树木周边环境施工时，承包人应对可能受损的树木采取保护措施，包括设立保护区域、使用保护物料包裹树干、设置临时支撑、定期检查树木健康状况等。工程建设应符合相关规划和标准，保证树木的生长空间。相关费用包含在合同价中，不另行计费。如果承包人不及时按要求完成，发包人可以另行委托实施，发包人按实际发生的费用在工程款中扣除，承包人不得有任何异议。</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highlight w:val="none"/>
          <w:u w:val="single"/>
        </w:rPr>
        <w:t xml:space="preserve">47.48 </w:t>
      </w:r>
      <w:r>
        <w:rPr>
          <w:rFonts w:hint="eastAsia" w:ascii="宋体" w:hAnsi="宋体" w:cs="宋体"/>
          <w:color w:val="auto"/>
          <w:sz w:val="24"/>
          <w:highlight w:val="none"/>
          <w:u w:val="single"/>
        </w:rPr>
        <w:t>承包人应严格保护古树名木、古树后续资源、行道树、大树等树木，禁止擅自砍伐树木，禁止擅自迁移树木。如承包人未经批准擅自砍伐树木、损害绿化、损害树木及绿化保护设施的，发包人将上报绿化行政主管部门，视情节轻重给予相应处罚，构成犯罪的将依法移交相关机关追究刑事责任。</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47.49 承包人应切实遵守《中华人民共和国文物保护法》、《中华人民共和国文物保护法实施条例》、《广州市文物保护规定》等文物保护相关法律、法规规定，在工程施工前，协助发包人按规定履行文物保护相关审批手续，及配合相关单位完成考古调查、勘探相关工作。不得因施工发生损毁文物的情况。承包人应加强对其施工队伍及分包单位（如有）关于文物保护相关法律、法规的宣传教育，保证施工全过程不违反文物保护相关规定。如因承包人原因发生未履行文物考古调查、勘探等前置工作擅自开工建设的，由承包人承担全部法律责任，发包人将上报文物行政主管部门，视情节轻重给予相应处罚，构成犯罪的将依法移交相关机关追究刑事责任。</w:t>
      </w:r>
    </w:p>
    <w:p>
      <w:pPr>
        <w:spacing w:line="440" w:lineRule="exact"/>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47.50如承包人存在出让投标资格、与其他单位围标串标、行贿、在投标文件中提供虚假材料、少放或不放业绩、奖项等客观评审资料减少自身竞争力、拖欠农民工工资、将中标工程转包或者违法分包等行为的，发包人将拒绝承包人在一年内参与后续招标项目的投标。</w:t>
      </w:r>
    </w:p>
    <w:p>
      <w:pPr>
        <w:spacing w:line="440" w:lineRule="exact"/>
        <w:ind w:firstLine="480" w:firstLineChars="200"/>
        <w:rPr>
          <w:rFonts w:ascii="宋体" w:hAnsi="宋体" w:cs="宋体"/>
          <w:color w:val="auto"/>
          <w:sz w:val="24"/>
          <w:szCs w:val="24"/>
          <w:highlight w:val="none"/>
          <w:u w:val="single"/>
        </w:rPr>
      </w:pPr>
      <w:r>
        <w:rPr>
          <w:rFonts w:ascii="宋体" w:hAnsi="宋体" w:cs="宋体"/>
          <w:color w:val="auto"/>
          <w:sz w:val="24"/>
          <w:szCs w:val="24"/>
          <w:highlight w:val="none"/>
          <w:u w:val="single"/>
        </w:rPr>
        <w:t>47.5</w:t>
      </w:r>
      <w:r>
        <w:rPr>
          <w:rFonts w:hint="eastAsia" w:ascii="宋体" w:hAnsi="宋体" w:cs="宋体"/>
          <w:color w:val="auto"/>
          <w:sz w:val="24"/>
          <w:szCs w:val="24"/>
          <w:highlight w:val="none"/>
          <w:u w:val="single"/>
        </w:rPr>
        <w:t>1未尽事宜，经双方友好协商解决。</w:t>
      </w:r>
    </w:p>
    <w:p>
      <w:pPr>
        <w:spacing w:line="440" w:lineRule="exact"/>
        <w:ind w:firstLine="420" w:firstLineChars="200"/>
        <w:rPr>
          <w:rFonts w:ascii="宋体" w:hAnsi="宋体"/>
          <w:color w:val="auto"/>
          <w:szCs w:val="21"/>
          <w:highlight w:val="none"/>
          <w:u w:val="single"/>
        </w:rPr>
      </w:pPr>
    </w:p>
    <w:p>
      <w:pPr>
        <w:rPr>
          <w:rFonts w:ascii="宋体" w:hAnsi="宋体"/>
          <w:color w:val="auto"/>
          <w:szCs w:val="21"/>
          <w:highlight w:val="none"/>
          <w:u w:val="single"/>
        </w:rPr>
      </w:pPr>
      <w:r>
        <w:rPr>
          <w:rFonts w:ascii="宋体" w:hAnsi="宋体"/>
          <w:color w:val="auto"/>
          <w:szCs w:val="21"/>
          <w:highlight w:val="none"/>
          <w:u w:val="single"/>
        </w:rPr>
        <w:br w:type="page"/>
      </w:r>
    </w:p>
    <w:p>
      <w:pPr>
        <w:pStyle w:val="25"/>
        <w:keepNext w:val="0"/>
        <w:keepLines w:val="0"/>
        <w:pageBreakBefore w:val="0"/>
        <w:widowControl w:val="0"/>
        <w:kinsoku/>
        <w:wordWrap/>
        <w:overflowPunct/>
        <w:topLinePunct w:val="0"/>
        <w:autoSpaceDE/>
        <w:autoSpaceDN/>
        <w:bidi w:val="0"/>
        <w:adjustRightInd/>
        <w:snapToGrid w:val="0"/>
        <w:spacing w:line="240" w:lineRule="exact"/>
        <w:ind w:left="0" w:leftChars="0" w:firstLine="0" w:firstLineChars="0"/>
        <w:textAlignment w:val="auto"/>
      </w:pPr>
    </w:p>
    <w:p>
      <w:pPr>
        <w:numPr>
          <w:ilvl w:val="0"/>
          <w:numId w:val="4"/>
        </w:num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 xml:space="preserve"> </w:t>
      </w:r>
      <w:r>
        <w:rPr>
          <w:rFonts w:hint="eastAsia" w:ascii="宋体" w:hAnsi="宋体" w:cs="宋体"/>
          <w:b/>
          <w:bCs/>
          <w:color w:val="auto"/>
          <w:sz w:val="28"/>
          <w:szCs w:val="28"/>
          <w:highlight w:val="none"/>
        </w:rPr>
        <w:t>绿化种植专篇</w:t>
      </w:r>
    </w:p>
    <w:p>
      <w:pPr>
        <w:spacing w:line="440" w:lineRule="exact"/>
        <w:rPr>
          <w:rFonts w:ascii="宋体" w:hAnsi="宋体" w:cs="宋体"/>
          <w:color w:val="auto"/>
          <w:sz w:val="24"/>
          <w:highlight w:val="none"/>
        </w:rPr>
      </w:pPr>
      <w:r>
        <w:rPr>
          <w:rFonts w:hint="eastAsia" w:ascii="宋体" w:hAnsi="宋体" w:cs="宋体"/>
          <w:color w:val="auto"/>
          <w:sz w:val="24"/>
          <w:highlight w:val="none"/>
        </w:rPr>
        <w:t>（本专篇适用于绿化建设项目、房建及道路配套绿化项目。）</w:t>
      </w:r>
    </w:p>
    <w:p>
      <w:pPr>
        <w:spacing w:line="440" w:lineRule="exact"/>
        <w:rPr>
          <w:rFonts w:ascii="宋体" w:hAnsi="宋体" w:cs="宋体"/>
          <w:color w:val="auto"/>
          <w:sz w:val="24"/>
          <w:szCs w:val="24"/>
          <w:highlight w:val="none"/>
        </w:rPr>
      </w:pP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发包人（甲方）：</w:t>
      </w:r>
      <w:r>
        <w:rPr>
          <w:rFonts w:hint="eastAsia" w:ascii="宋体" w:hAnsi="宋体" w:cs="宋体"/>
          <w:color w:val="auto"/>
          <w:sz w:val="24"/>
          <w:szCs w:val="24"/>
          <w:highlight w:val="none"/>
          <w:u w:val="single"/>
        </w:rPr>
        <w:t>广州开发区财政投资建设项目管理中心</w:t>
      </w:r>
    </w:p>
    <w:p>
      <w:pPr>
        <w:spacing w:line="440" w:lineRule="exact"/>
        <w:rPr>
          <w:rFonts w:ascii="宋体" w:hAnsi="宋体" w:cs="宋体"/>
          <w:color w:val="auto"/>
          <w:sz w:val="24"/>
          <w:szCs w:val="24"/>
          <w:highlight w:val="none"/>
        </w:rPr>
      </w:pPr>
      <w:r>
        <w:rPr>
          <w:rFonts w:hint="eastAsia" w:ascii="宋体" w:hAnsi="宋体" w:cs="宋体"/>
          <w:color w:val="auto"/>
          <w:sz w:val="24"/>
          <w:szCs w:val="24"/>
          <w:highlight w:val="none"/>
        </w:rPr>
        <w:t>承包人（乙方）：</w:t>
      </w:r>
    </w:p>
    <w:p>
      <w:pPr>
        <w:spacing w:line="440" w:lineRule="exact"/>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为提高绿化苗木选取和种植苗木质量，加强科学绿化建设和管理，提升项目绿化种植和养护管理标准，制订本项目绿化种植专篇。</w:t>
      </w:r>
    </w:p>
    <w:p>
      <w:pPr>
        <w:spacing w:line="440" w:lineRule="exact"/>
        <w:ind w:firstLine="482" w:firstLineChars="200"/>
        <w:jc w:val="left"/>
        <w:rPr>
          <w:rFonts w:ascii="宋体" w:hAnsi="宋体" w:cs="宋体"/>
          <w:b/>
          <w:bCs/>
          <w:color w:val="auto"/>
          <w:sz w:val="24"/>
          <w:szCs w:val="24"/>
          <w:highlight w:val="none"/>
        </w:rPr>
      </w:pPr>
      <w:r>
        <w:rPr>
          <w:rFonts w:hint="eastAsia" w:ascii="宋体" w:hAnsi="宋体" w:cs="宋体"/>
          <w:b/>
          <w:bCs/>
          <w:color w:val="auto"/>
          <w:sz w:val="24"/>
          <w:szCs w:val="24"/>
          <w:highlight w:val="none"/>
        </w:rPr>
        <w:t>一、绿化种植、养护内容及范围</w:t>
      </w:r>
    </w:p>
    <w:p>
      <w:pPr>
        <w:spacing w:line="440" w:lineRule="exact"/>
        <w:ind w:firstLine="480" w:firstLineChars="200"/>
        <w:jc w:val="left"/>
        <w:rPr>
          <w:rFonts w:ascii="宋体" w:hAnsi="宋体" w:cs="宋体"/>
          <w:color w:val="auto"/>
          <w:kern w:val="0"/>
          <w:sz w:val="24"/>
          <w:szCs w:val="24"/>
          <w:highlight w:val="none"/>
        </w:rPr>
      </w:pPr>
      <w:r>
        <w:rPr>
          <w:rFonts w:ascii="宋体" w:hAnsi="宋体" w:cs="宋体"/>
          <w:color w:val="auto"/>
          <w:kern w:val="0"/>
          <w:sz w:val="24"/>
          <w:szCs w:val="24"/>
          <w:highlight w:val="none"/>
        </w:rPr>
        <w:t>1、本项目绿化工程</w:t>
      </w:r>
      <w:r>
        <w:rPr>
          <w:rFonts w:hint="eastAsia" w:ascii="宋体" w:hAnsi="宋体" w:cs="宋体"/>
          <w:color w:val="auto"/>
          <w:kern w:val="0"/>
          <w:sz w:val="24"/>
          <w:szCs w:val="24"/>
          <w:highlight w:val="none"/>
        </w:rPr>
        <w:t>范围：</w:t>
      </w:r>
      <w:r>
        <w:rPr>
          <w:rFonts w:hint="eastAsia" w:ascii="宋体" w:hAnsi="宋体" w:cs="宋体"/>
          <w:color w:val="auto"/>
          <w:sz w:val="24"/>
          <w:szCs w:val="24"/>
          <w:highlight w:val="none"/>
          <w:u w:val="single"/>
        </w:rPr>
        <w:t>本项目施工合同约定的承包范围内的全部绿化工程内容</w:t>
      </w:r>
      <w:r>
        <w:rPr>
          <w:rFonts w:hint="eastAsia" w:ascii="宋体" w:hAnsi="宋体" w:cs="宋体"/>
          <w:color w:val="auto"/>
          <w:kern w:val="0"/>
          <w:sz w:val="24"/>
          <w:szCs w:val="24"/>
          <w:highlight w:val="none"/>
        </w:rPr>
        <w:t>。</w:t>
      </w:r>
    </w:p>
    <w:p>
      <w:pPr>
        <w:pStyle w:val="14"/>
        <w:spacing w:line="440" w:lineRule="exact"/>
        <w:ind w:firstLine="480" w:firstLineChars="200"/>
        <w:rPr>
          <w:rFonts w:ascii="宋体" w:hAns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highlight w:val="none"/>
        </w:rPr>
        <w:t>本项目苗木供应清单，详见招标工程量清单。</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二、质量要求</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要求符合国家、省、市园林绿化规程、检评标准、相关要求及行业标准，包括但不限于以下：</w:t>
      </w:r>
    </w:p>
    <w:p>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1、</w:t>
      </w:r>
      <w:r>
        <w:rPr>
          <w:rFonts w:hint="eastAsia" w:ascii="宋体" w:hAnsi="宋体" w:cs="宋体"/>
          <w:b/>
          <w:bCs/>
          <w:color w:val="auto"/>
          <w:sz w:val="24"/>
          <w:szCs w:val="24"/>
          <w:highlight w:val="none"/>
        </w:rPr>
        <w:t>相关法律法规与政策文件</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《城市绿化条例》（</w:t>
      </w:r>
      <w:r>
        <w:rPr>
          <w:rFonts w:ascii="宋体" w:hAnsi="宋体" w:cs="宋体"/>
          <w:color w:val="auto"/>
          <w:sz w:val="24"/>
          <w:szCs w:val="24"/>
          <w:highlight w:val="none"/>
        </w:rPr>
        <w:t xml:space="preserve">2017 </w:t>
      </w:r>
      <w:r>
        <w:rPr>
          <w:rFonts w:hint="eastAsia" w:ascii="宋体" w:hAnsi="宋体" w:cs="宋体"/>
          <w:color w:val="auto"/>
          <w:sz w:val="24"/>
          <w:szCs w:val="24"/>
          <w:highlight w:val="none"/>
        </w:rPr>
        <w:t>年修订）；</w:t>
      </w:r>
    </w:p>
    <w:p>
      <w:pPr>
        <w:pStyle w:val="29"/>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《广东省城市绿化条例》（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pPr>
        <w:pStyle w:val="29"/>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《广州市绿化条例》（</w:t>
      </w:r>
      <w:r>
        <w:rPr>
          <w:rFonts w:ascii="宋体" w:hAnsi="宋体" w:cs="宋体"/>
          <w:color w:val="auto"/>
          <w:sz w:val="24"/>
          <w:szCs w:val="24"/>
          <w:highlight w:val="none"/>
        </w:rPr>
        <w:t xml:space="preserve">2022 </w:t>
      </w:r>
      <w:r>
        <w:rPr>
          <w:rFonts w:hint="eastAsia" w:ascii="宋体" w:hAnsi="宋体" w:cs="宋体"/>
          <w:color w:val="auto"/>
          <w:sz w:val="24"/>
          <w:szCs w:val="24"/>
          <w:highlight w:val="none"/>
        </w:rPr>
        <w:t>年修订）</w:t>
      </w:r>
    </w:p>
    <w:p>
      <w:pPr>
        <w:pStyle w:val="29"/>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《国务院办公厅关于科学绿化的指导意见》（国办发〔</w:t>
      </w:r>
      <w:r>
        <w:rPr>
          <w:rFonts w:ascii="宋体" w:hAnsi="宋体" w:cs="宋体"/>
          <w:color w:val="auto"/>
          <w:sz w:val="24"/>
          <w:szCs w:val="24"/>
          <w:highlight w:val="none"/>
        </w:rPr>
        <w:t xml:space="preserve">2021〕19 </w:t>
      </w:r>
      <w:r>
        <w:rPr>
          <w:rFonts w:hint="eastAsia" w:ascii="宋体" w:hAnsi="宋体" w:cs="宋体"/>
          <w:color w:val="auto"/>
          <w:sz w:val="24"/>
          <w:szCs w:val="24"/>
          <w:highlight w:val="none"/>
        </w:rPr>
        <w:t>号）</w:t>
      </w:r>
    </w:p>
    <w:p>
      <w:pPr>
        <w:pStyle w:val="29"/>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）《中共广东省委关于深入推进绿美广东生态建设的决定》（</w:t>
      </w:r>
      <w:r>
        <w:rPr>
          <w:rFonts w:ascii="宋体" w:hAnsi="宋体" w:cs="宋体"/>
          <w:color w:val="auto"/>
          <w:sz w:val="24"/>
          <w:szCs w:val="24"/>
          <w:highlight w:val="none"/>
        </w:rPr>
        <w:t>2022</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12</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8 </w:t>
      </w:r>
      <w:r>
        <w:rPr>
          <w:rFonts w:hint="eastAsia" w:ascii="宋体" w:hAnsi="宋体" w:cs="宋体"/>
          <w:color w:val="auto"/>
          <w:sz w:val="24"/>
          <w:szCs w:val="24"/>
          <w:highlight w:val="none"/>
        </w:rPr>
        <w:t>日中国共产党广东省第十三届委员会第二次全体会议通过）</w:t>
      </w:r>
    </w:p>
    <w:p>
      <w:pPr>
        <w:pStyle w:val="29"/>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w:t>
      </w:r>
      <w:r>
        <w:rPr>
          <w:rFonts w:hint="eastAsia" w:ascii="宋体" w:hAnsi="宋体" w:cs="宋体"/>
          <w:color w:val="auto"/>
          <w:sz w:val="24"/>
          <w:szCs w:val="24"/>
          <w:highlight w:val="none"/>
        </w:rPr>
        <w:t>）《广东省人民政府办公厅关于科学绿化的实施意见》（粤府办〔</w:t>
      </w:r>
      <w:r>
        <w:rPr>
          <w:rFonts w:ascii="宋体" w:hAnsi="宋体" w:cs="宋体"/>
          <w:color w:val="auto"/>
          <w:sz w:val="24"/>
          <w:szCs w:val="24"/>
          <w:highlight w:val="none"/>
        </w:rPr>
        <w:t xml:space="preserve">2021〕48 </w:t>
      </w:r>
      <w:r>
        <w:rPr>
          <w:rFonts w:hint="eastAsia" w:ascii="宋体" w:hAnsi="宋体" w:cs="宋体"/>
          <w:color w:val="auto"/>
          <w:sz w:val="24"/>
          <w:szCs w:val="24"/>
          <w:highlight w:val="none"/>
        </w:rPr>
        <w:t>号）</w:t>
      </w:r>
    </w:p>
    <w:p>
      <w:pPr>
        <w:pStyle w:val="29"/>
        <w:spacing w:line="440" w:lineRule="exact"/>
        <w:ind w:firstLine="28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w:t>
      </w:r>
      <w:r>
        <w:rPr>
          <w:rFonts w:hint="eastAsia" w:ascii="宋体" w:hAnsi="宋体" w:cs="宋体"/>
          <w:color w:val="auto"/>
          <w:sz w:val="24"/>
          <w:szCs w:val="24"/>
          <w:highlight w:val="none"/>
        </w:rPr>
        <w:t>）中共广州市委办公厅广州市人民政府办公厅印发《广州市关于科学绿化的实施意见》的通知（穗办〔</w:t>
      </w:r>
      <w:r>
        <w:rPr>
          <w:rFonts w:ascii="宋体" w:hAnsi="宋体" w:cs="宋体"/>
          <w:color w:val="auto"/>
          <w:sz w:val="24"/>
          <w:szCs w:val="24"/>
          <w:highlight w:val="none"/>
        </w:rPr>
        <w:t>2021〕11号</w:t>
      </w:r>
      <w:r>
        <w:rPr>
          <w:rFonts w:hint="eastAsia" w:ascii="宋体" w:hAnsi="宋体" w:cs="宋体"/>
          <w:color w:val="auto"/>
          <w:sz w:val="24"/>
          <w:szCs w:val="24"/>
          <w:highlight w:val="none"/>
        </w:rPr>
        <w:t>）</w:t>
      </w:r>
    </w:p>
    <w:p>
      <w:pPr>
        <w:pStyle w:val="29"/>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w:t>
      </w:r>
      <w:r>
        <w:rPr>
          <w:rFonts w:hint="eastAsia" w:ascii="宋体" w:hAnsi="宋体" w:cs="宋体"/>
          <w:color w:val="auto"/>
          <w:sz w:val="24"/>
          <w:szCs w:val="24"/>
          <w:highlight w:val="none"/>
        </w:rPr>
        <w:t>）《广州市林业和园林局关于印发广州市树木修剪技术指引（试行）的通知》（穗林业园林通〔</w:t>
      </w:r>
      <w:r>
        <w:rPr>
          <w:rFonts w:ascii="宋体" w:hAnsi="宋体" w:cs="宋体"/>
          <w:color w:val="auto"/>
          <w:sz w:val="24"/>
          <w:szCs w:val="24"/>
          <w:highlight w:val="none"/>
        </w:rPr>
        <w:t xml:space="preserve">2021〕153 </w:t>
      </w:r>
      <w:r>
        <w:rPr>
          <w:rFonts w:hint="eastAsia" w:ascii="宋体" w:hAnsi="宋体" w:cs="宋体"/>
          <w:color w:val="auto"/>
          <w:sz w:val="24"/>
          <w:szCs w:val="24"/>
          <w:highlight w:val="none"/>
        </w:rPr>
        <w:t>号）</w:t>
      </w:r>
    </w:p>
    <w:p>
      <w:pPr>
        <w:pStyle w:val="29"/>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w:t>
      </w:r>
      <w:r>
        <w:rPr>
          <w:rFonts w:hint="eastAsia" w:ascii="宋体" w:hAnsi="宋体" w:cs="宋体"/>
          <w:color w:val="auto"/>
          <w:sz w:val="24"/>
          <w:szCs w:val="24"/>
          <w:highlight w:val="none"/>
        </w:rPr>
        <w:t>）《广州市林业和园林局关于规范提升全市树木支撑的通知》（穗林业园林通〔</w:t>
      </w:r>
      <w:r>
        <w:rPr>
          <w:rFonts w:ascii="宋体" w:hAnsi="宋体" w:cs="宋体"/>
          <w:color w:val="auto"/>
          <w:sz w:val="24"/>
          <w:szCs w:val="24"/>
          <w:highlight w:val="none"/>
        </w:rPr>
        <w:t xml:space="preserve">2019〕100 </w:t>
      </w:r>
      <w:r>
        <w:rPr>
          <w:rFonts w:hint="eastAsia" w:ascii="宋体" w:hAnsi="宋体" w:cs="宋体"/>
          <w:color w:val="auto"/>
          <w:sz w:val="24"/>
          <w:szCs w:val="24"/>
          <w:highlight w:val="none"/>
        </w:rPr>
        <w:t>号）</w:t>
      </w:r>
    </w:p>
    <w:p>
      <w:pPr>
        <w:pStyle w:val="29"/>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w:t>
      </w:r>
      <w:r>
        <w:rPr>
          <w:rFonts w:hint="eastAsia" w:ascii="宋体" w:hAnsi="宋体" w:cs="宋体"/>
          <w:color w:val="auto"/>
          <w:sz w:val="24"/>
          <w:szCs w:val="24"/>
          <w:highlight w:val="none"/>
        </w:rPr>
        <w:t>黄埔区住房和城乡建设局 广州开发区建设和交通局关于印发《黄埔区绿化苗木选用及种植技术指引（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》的通知（穗埔建〔</w:t>
      </w:r>
      <w:r>
        <w:rPr>
          <w:rFonts w:ascii="宋体" w:hAnsi="宋体" w:cs="宋体"/>
          <w:color w:val="auto"/>
          <w:sz w:val="24"/>
          <w:szCs w:val="24"/>
          <w:highlight w:val="none"/>
        </w:rPr>
        <w:t>2023</w:t>
      </w:r>
      <w:r>
        <w:rPr>
          <w:rFonts w:hint="eastAsia" w:ascii="宋体" w:hAnsi="宋体" w:cs="宋体"/>
          <w:color w:val="auto"/>
          <w:sz w:val="24"/>
          <w:szCs w:val="24"/>
          <w:highlight w:val="none"/>
        </w:rPr>
        <w:t>〕</w:t>
      </w:r>
      <w:r>
        <w:rPr>
          <w:rFonts w:ascii="宋体" w:hAnsi="宋体" w:cs="宋体"/>
          <w:color w:val="auto"/>
          <w:sz w:val="24"/>
          <w:szCs w:val="24"/>
          <w:highlight w:val="none"/>
        </w:rPr>
        <w:t>93 号</w:t>
      </w:r>
      <w:r>
        <w:rPr>
          <w:rFonts w:hint="eastAsia" w:ascii="宋体" w:hAnsi="宋体" w:cs="宋体"/>
          <w:color w:val="auto"/>
          <w:sz w:val="24"/>
          <w:szCs w:val="24"/>
          <w:highlight w:val="none"/>
        </w:rPr>
        <w:t>）</w:t>
      </w:r>
    </w:p>
    <w:p>
      <w:pPr>
        <w:pStyle w:val="29"/>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11）</w:t>
      </w:r>
      <w:r>
        <w:rPr>
          <w:rFonts w:hint="eastAsia" w:ascii="宋体" w:hAnsi="宋体" w:cs="宋体"/>
          <w:color w:val="auto"/>
          <w:sz w:val="24"/>
          <w:szCs w:val="24"/>
          <w:highlight w:val="none"/>
        </w:rPr>
        <w:t>《黄埔区住房和城乡建设局广州开发区建设和交通局关于加强科学绿化工作的提醒函》（穗埔建函</w:t>
      </w:r>
      <w:r>
        <w:rPr>
          <w:rFonts w:ascii="宋体" w:hAnsi="宋体" w:cs="宋体"/>
          <w:color w:val="auto"/>
          <w:sz w:val="24"/>
          <w:szCs w:val="24"/>
          <w:highlight w:val="none"/>
        </w:rPr>
        <w:t>[2023]2767号）</w:t>
      </w:r>
    </w:p>
    <w:p>
      <w:pPr>
        <w:spacing w:line="440" w:lineRule="exact"/>
        <w:jc w:val="left"/>
        <w:rPr>
          <w:rFonts w:ascii="宋体" w:hAnsi="宋体" w:cs="宋体"/>
          <w:b/>
          <w:bCs/>
          <w:color w:val="auto"/>
          <w:sz w:val="24"/>
          <w:szCs w:val="24"/>
          <w:highlight w:val="none"/>
        </w:rPr>
      </w:pPr>
      <w:r>
        <w:rPr>
          <w:rFonts w:ascii="宋体" w:hAnsi="宋体" w:cs="宋体"/>
          <w:b/>
          <w:bCs/>
          <w:color w:val="auto"/>
          <w:sz w:val="24"/>
          <w:szCs w:val="24"/>
          <w:highlight w:val="none"/>
        </w:rPr>
        <w:t>2、相关标准规范</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1）《园林绿化工程项目规范》（GB55014-2021）；</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2）《城市园林绿化评价标准》GBT 50563-2010；</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3）《城市绿地草坪建植与管理技术规程》GBT 19535.2-2004；</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4）《城市园林绿化评价标准》[附条文说明]GB/T 50563-2010；</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5）《地表水环境质量标准》GB 3838-2002；</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6）《园林树木安全性评价技术规范》DB4401/T17—2019</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7）《广东城市绿化工程施工和验收规范》DBBT581-2009</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8）《城市园林绿化工程施工及验收规范》DB11/T 212-2017；</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9）《城市园林绿化用苗-木本苗木分级》DB440300/T 28—2006；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10）《城市绿化和园林绿地用植物材料-木本苗》CJT 24-1999；</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 xml:space="preserve">11）《城市绿化和园林绿地用植物材料- </w:t>
      </w:r>
      <w:r>
        <w:rPr>
          <w:rFonts w:hint="eastAsia" w:ascii="宋体" w:hAnsi="宋体" w:cs="宋体"/>
          <w:color w:val="auto"/>
          <w:sz w:val="24"/>
          <w:szCs w:val="24"/>
          <w:highlight w:val="none"/>
        </w:rPr>
        <w:t>球根花卉种球》</w:t>
      </w:r>
      <w:r>
        <w:rPr>
          <w:rFonts w:ascii="宋体" w:hAnsi="宋体" w:cs="宋体"/>
          <w:color w:val="auto"/>
          <w:sz w:val="24"/>
          <w:szCs w:val="24"/>
          <w:highlight w:val="none"/>
        </w:rPr>
        <w:t>CJT135-2001</w:t>
      </w:r>
      <w:r>
        <w:rPr>
          <w:rFonts w:hint="eastAsia" w:ascii="宋体" w:hAnsi="宋体" w:cs="宋体"/>
          <w:color w:val="auto"/>
          <w:sz w:val="24"/>
          <w:szCs w:val="24"/>
          <w:highlight w:val="none"/>
        </w:rPr>
        <w:t>；</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12）《绿化种植土壤》CJ/T340-2016；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13）《园林植物筛选通用技术要求》CJT 512-2017；</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14）《城市主要绿化竹种苗木等级》LYT 2345-2014；</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15）《绿化全冠苗木栽植技术规程》LYT 2632-2016；</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16）《森林植物检疫技术规程》；</w:t>
      </w:r>
    </w:p>
    <w:p>
      <w:pPr>
        <w:spacing w:line="44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17）《广州市主要乡土和适生植物名录》；</w:t>
      </w:r>
    </w:p>
    <w:p>
      <w:pPr>
        <w:spacing w:line="440" w:lineRule="exact"/>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ascii="宋体" w:hAnsi="宋体" w:cs="宋体"/>
          <w:color w:val="auto"/>
          <w:sz w:val="24"/>
          <w:szCs w:val="24"/>
          <w:highlight w:val="none"/>
        </w:rPr>
        <w:t>18</w:t>
      </w:r>
      <w:r>
        <w:rPr>
          <w:rFonts w:hint="eastAsia" w:ascii="宋体" w:hAnsi="宋体" w:cs="宋体"/>
          <w:color w:val="auto"/>
          <w:sz w:val="24"/>
          <w:szCs w:val="24"/>
          <w:highlight w:val="none"/>
        </w:rPr>
        <w:t>）《城市道路绿化规划与设计规范》</w:t>
      </w:r>
      <w:r>
        <w:rPr>
          <w:rFonts w:hint="eastAsia" w:ascii="宋体" w:hAnsi="宋体" w:cs="宋体"/>
          <w:color w:val="auto"/>
          <w:sz w:val="24"/>
          <w:szCs w:val="24"/>
          <w:highlight w:val="none"/>
          <w:lang w:eastAsia="zh-CN"/>
        </w:rPr>
        <w:t>。</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三、绿化种植、养护要求</w:t>
      </w:r>
    </w:p>
    <w:p>
      <w:pPr>
        <w:numPr>
          <w:ilvl w:val="0"/>
          <w:numId w:val="5"/>
        </w:numPr>
        <w:spacing w:line="440" w:lineRule="exact"/>
        <w:ind w:firstLine="549" w:firstLineChars="228"/>
        <w:rPr>
          <w:rFonts w:ascii="宋体" w:hAnsi="宋体" w:cs="宋体"/>
          <w:b/>
          <w:bCs/>
          <w:color w:val="auto"/>
          <w:sz w:val="24"/>
          <w:szCs w:val="24"/>
          <w:highlight w:val="none"/>
        </w:rPr>
      </w:pPr>
      <w:r>
        <w:rPr>
          <w:rFonts w:hint="eastAsia" w:ascii="宋体" w:hAnsi="宋体" w:cs="宋体"/>
          <w:b/>
          <w:bCs/>
          <w:color w:val="auto"/>
          <w:sz w:val="24"/>
          <w:szCs w:val="24"/>
          <w:highlight w:val="none"/>
        </w:rPr>
        <w:t>绿化苗木选用和种植过程要求</w:t>
      </w:r>
    </w:p>
    <w:p>
      <w:pPr>
        <w:spacing w:line="440" w:lineRule="exact"/>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承包人应严格按照本项目《苗木供应清单》要求选用苗木，执行《黄埔区绿化苗木选用及种植技术指引（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加强对绿化种植全过程的监管监控，严格把控好绿化苗木品质，精细化深翻整理绿地，因地制宜塑造地形，保证土质营养成分及酸碱度，高标准高质量开挖种植穴，严格控制种植穴的尺寸，确保做到深挖浅埋的要求，规范绿化苗木选苗、起苗、包扎、修剪，做足做全绿化苗木运输保护措施，标准化进行绿化种植、淋水、支撑、挂牌等工作，提高绿化种植成活率，促进绿化苗木健康茁壮成长，并在规定时间内整理好苗木种植资料。项目中使用的苗木，应来自珠三角地区正规苗圃场生产培育苗木，不应使用古树名木或从森林中移栽的大树。因改造而需迁移的树木应通过有效截枝、控根等技术措施进行迁地抚育，达到种植标准后，方可作为大规格苗木重新应用于园林绿化中。</w:t>
      </w:r>
    </w:p>
    <w:p>
      <w:pPr>
        <w:spacing w:line="440" w:lineRule="exact"/>
        <w:ind w:firstLine="482" w:firstLineChars="200"/>
        <w:rPr>
          <w:rFonts w:ascii="宋体" w:hAnsi="宋体" w:cs="宋体"/>
          <w:b/>
          <w:bCs/>
          <w:color w:val="auto"/>
          <w:sz w:val="24"/>
          <w:szCs w:val="24"/>
          <w:highlight w:val="none"/>
        </w:rPr>
      </w:pPr>
      <w:r>
        <w:rPr>
          <w:rFonts w:ascii="宋体" w:hAnsi="宋体" w:cs="宋体"/>
          <w:b/>
          <w:bCs/>
          <w:color w:val="auto"/>
          <w:sz w:val="24"/>
          <w:szCs w:val="24"/>
          <w:highlight w:val="none"/>
        </w:rPr>
        <w:t>2、绿化养护技术及时间要求</w:t>
      </w:r>
    </w:p>
    <w:p>
      <w:pPr>
        <w:pStyle w:val="25"/>
        <w:spacing w:line="440" w:lineRule="exact"/>
        <w:ind w:left="0" w:leftChars="0" w:firstLine="560"/>
        <w:rPr>
          <w:rFonts w:ascii="宋体" w:hAnsi="宋体" w:cs="宋体"/>
          <w:color w:val="auto"/>
          <w:highlight w:val="none"/>
        </w:rPr>
      </w:pPr>
      <w:r>
        <w:rPr>
          <w:rFonts w:ascii="宋体" w:hAnsi="宋体" w:cs="宋体"/>
          <w:color w:val="auto"/>
          <w:highlight w:val="none"/>
        </w:rPr>
        <w:t>承包人应认真学习并执行《黄埔区园林绿化养护技术指引（1.0版）》的具体要求，规范项目中绿化灌溉、施肥、修剪、病虫害综合防治、日常养护管理工作。</w:t>
      </w:r>
    </w:p>
    <w:p>
      <w:pPr>
        <w:snapToGrid w:val="0"/>
        <w:spacing w:line="440" w:lineRule="exact"/>
        <w:ind w:firstLine="581" w:firstLineChars="241"/>
        <w:rPr>
          <w:rFonts w:ascii="宋体" w:hAnsi="宋体" w:cs="宋体"/>
          <w:color w:val="auto"/>
          <w:sz w:val="24"/>
          <w:szCs w:val="28"/>
          <w:highlight w:val="none"/>
        </w:rPr>
      </w:pPr>
      <w:r>
        <w:rPr>
          <w:rFonts w:hint="eastAsia" w:ascii="宋体" w:hAnsi="宋体" w:cs="宋体"/>
          <w:b/>
          <w:bCs/>
          <w:color w:val="auto"/>
          <w:sz w:val="24"/>
          <w:szCs w:val="28"/>
          <w:highlight w:val="none"/>
        </w:rPr>
        <w:t>养护期：</w:t>
      </w:r>
      <w:r>
        <w:rPr>
          <w:rFonts w:hint="eastAsia" w:ascii="宋体" w:hAnsi="宋体"/>
          <w:color w:val="auto"/>
          <w:sz w:val="24"/>
          <w:highlight w:val="none"/>
        </w:rPr>
        <w:t>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3</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hint="eastAsia" w:ascii="宋体" w:hAnsi="宋体" w:cs="宋体"/>
          <w:color w:val="auto"/>
          <w:sz w:val="24"/>
          <w:highlight w:val="none"/>
        </w:rPr>
        <w:t>自本项目绿化工程通过竣工验收之日起</w:t>
      </w:r>
      <w:r>
        <w:rPr>
          <w:rFonts w:ascii="宋体" w:hAnsi="宋体"/>
          <w:color w:val="auto"/>
          <w:sz w:val="24"/>
          <w:highlight w:val="none"/>
          <w:u w:val="single"/>
        </w:rPr>
        <w:t xml:space="preserve"> 1</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p>
    <w:p>
      <w:pPr>
        <w:spacing w:line="440" w:lineRule="exact"/>
        <w:ind w:firstLine="480" w:firstLineChars="200"/>
        <w:rPr>
          <w:rFonts w:ascii="宋体" w:hAnsi="宋体" w:cs="宋体"/>
          <w:color w:val="auto"/>
          <w:sz w:val="24"/>
          <w:highlight w:val="none"/>
        </w:rPr>
      </w:pPr>
      <w:r>
        <w:rPr>
          <w:rFonts w:hint="eastAsia" w:ascii="宋体" w:hAnsi="宋体" w:cs="宋体"/>
          <w:color w:val="auto"/>
          <w:sz w:val="24"/>
          <w:szCs w:val="24"/>
          <w:highlight w:val="none"/>
        </w:rPr>
        <w:t>养护期内，承包人需负责项目中绿化灌溉、施肥、修剪、病虫害综合防治、日常养护管理工作，及时更换不符合清单要求的苗木，提高绿化种植成活率，确保绿化移交时符合《黄埔区绿化苗木选用及种植技术指引（</w:t>
      </w:r>
      <w:r>
        <w:rPr>
          <w:rFonts w:ascii="宋体" w:hAnsi="宋体" w:cs="宋体"/>
          <w:color w:val="auto"/>
          <w:sz w:val="24"/>
          <w:szCs w:val="24"/>
          <w:highlight w:val="none"/>
        </w:rPr>
        <w:t>1.0版）》</w:t>
      </w:r>
      <w:r>
        <w:rPr>
          <w:rFonts w:hint="eastAsia" w:ascii="宋体" w:hAnsi="宋体" w:cs="宋体"/>
          <w:color w:val="auto"/>
          <w:sz w:val="24"/>
          <w:szCs w:val="24"/>
          <w:highlight w:val="none"/>
        </w:rPr>
        <w:t>《黄埔区园林绿化养护技术指引（</w:t>
      </w:r>
      <w:r>
        <w:rPr>
          <w:rFonts w:ascii="宋体" w:hAnsi="宋体" w:cs="宋体"/>
          <w:color w:val="auto"/>
          <w:sz w:val="24"/>
          <w:szCs w:val="24"/>
          <w:highlight w:val="none"/>
        </w:rPr>
        <w:t>1.0版）》及发包人要求。</w:t>
      </w:r>
    </w:p>
    <w:p>
      <w:pPr>
        <w:spacing w:line="440" w:lineRule="exact"/>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四、责任与义务</w:t>
      </w:r>
    </w:p>
    <w:p>
      <w:pPr>
        <w:keepNext w:val="0"/>
        <w:keepLines w:val="0"/>
        <w:pageBreakBefore w:val="0"/>
        <w:widowControl w:val="0"/>
        <w:kinsoku/>
        <w:wordWrap/>
        <w:overflowPunct/>
        <w:topLinePunct w:val="0"/>
        <w:autoSpaceDE/>
        <w:autoSpaceDN/>
        <w:bidi w:val="0"/>
        <w:adjustRightInd/>
        <w:snapToGrid/>
        <w:spacing w:line="440" w:lineRule="exact"/>
        <w:ind w:firstLine="397"/>
        <w:jc w:val="left"/>
        <w:textAlignment w:val="auto"/>
        <w:rPr>
          <w:rFonts w:ascii="宋体" w:hAnsi="宋体" w:cs="宋体"/>
          <w:color w:val="auto"/>
          <w:sz w:val="24"/>
          <w:szCs w:val="24"/>
          <w:highlight w:val="none"/>
        </w:rPr>
      </w:pPr>
      <w:r>
        <w:rPr>
          <w:rFonts w:ascii="宋体" w:hAnsi="宋体" w:cs="宋体"/>
          <w:color w:val="auto"/>
          <w:sz w:val="24"/>
          <w:szCs w:val="24"/>
          <w:highlight w:val="none"/>
        </w:rPr>
        <w:t>1、承包人应严格按照本项目《苗木供应清单》执行苗木选用、种植和养护工作。</w:t>
      </w:r>
      <w:r>
        <w:rPr>
          <w:rFonts w:hint="eastAsia" w:ascii="宋体" w:hAnsi="宋体" w:cs="宋体"/>
          <w:color w:val="auto"/>
          <w:sz w:val="24"/>
          <w:szCs w:val="24"/>
          <w:highlight w:val="none"/>
        </w:rPr>
        <w:t>如经发包人</w:t>
      </w:r>
      <w:r>
        <w:rPr>
          <w:rFonts w:hint="eastAsia" w:ascii="宋体" w:hAnsi="宋体" w:cs="宋体"/>
          <w:color w:val="auto"/>
          <w:kern w:val="0"/>
          <w:sz w:val="24"/>
          <w:szCs w:val="24"/>
          <w:highlight w:val="none"/>
        </w:rPr>
        <w:t>或本项目监理单位</w:t>
      </w:r>
      <w:r>
        <w:rPr>
          <w:rFonts w:hint="eastAsia" w:ascii="宋体" w:hAnsi="宋体" w:cs="宋体"/>
          <w:color w:val="auto"/>
          <w:sz w:val="24"/>
          <w:szCs w:val="24"/>
          <w:highlight w:val="none"/>
        </w:rPr>
        <w:t>巡查发现苗木不符合清单要求的，应按照发包人或者监理单位的要求及时更换；每逾期一天，由发包人扣减绿化工程造价的万分之一作为违约金。同时，发包人有权另行委托其他服务单位实施整改，以保证按时按质按量完成整改，所需费用从承包人工程款中全额扣除。</w:t>
      </w:r>
    </w:p>
    <w:p>
      <w:pPr>
        <w:keepNext w:val="0"/>
        <w:keepLines w:val="0"/>
        <w:pageBreakBefore w:val="0"/>
        <w:widowControl w:val="0"/>
        <w:kinsoku/>
        <w:wordWrap/>
        <w:overflowPunct/>
        <w:topLinePunct w:val="0"/>
        <w:autoSpaceDE/>
        <w:autoSpaceDN/>
        <w:bidi w:val="0"/>
        <w:adjustRightInd/>
        <w:snapToGrid/>
        <w:spacing w:line="440" w:lineRule="exact"/>
        <w:ind w:firstLine="397"/>
        <w:jc w:val="left"/>
        <w:textAlignment w:val="auto"/>
        <w:rPr>
          <w:rFonts w:ascii="宋体" w:hAnsi="宋体" w:cs="宋体"/>
          <w:color w:val="auto"/>
          <w:sz w:val="24"/>
          <w:szCs w:val="24"/>
          <w:highlight w:val="none"/>
        </w:rPr>
      </w:pPr>
      <w:r>
        <w:rPr>
          <w:rFonts w:ascii="宋体" w:hAnsi="宋体" w:cs="宋体"/>
          <w:color w:val="auto"/>
          <w:sz w:val="24"/>
          <w:szCs w:val="24"/>
          <w:highlight w:val="none"/>
        </w:rPr>
        <w:t>2、承包人应规范苗木种植过程及绿化灌溉、施肥、修剪、病虫害综合防治、日常养护管理等工作，发包人应不定期对承包人绿化种植成效进行抽查、加强对绿化种植全过程的监管监控，如承包人绿化种植效果达不到项目要求，发包人有权要求其限期整改。</w:t>
      </w:r>
      <w:r>
        <w:rPr>
          <w:rFonts w:hint="eastAsia" w:ascii="宋体" w:hAnsi="宋体" w:cs="宋体"/>
          <w:color w:val="auto"/>
          <w:sz w:val="24"/>
          <w:szCs w:val="24"/>
          <w:highlight w:val="none"/>
        </w:rPr>
        <w:t>每逾期一天，由发包人扣减绿化工程造价的万分之一作为违约金。同时，发包人有权另行委托其他服务单位实施整改，以保证按时按质按量完成整改，所需费用从承包人工程款中全额扣除。</w:t>
      </w:r>
    </w:p>
    <w:p>
      <w:pPr>
        <w:pStyle w:val="29"/>
        <w:spacing w:line="440" w:lineRule="exact"/>
        <w:ind w:firstLine="241"/>
        <w:rPr>
          <w:rFonts w:ascii="宋体" w:hAnsi="宋体" w:cs="宋体"/>
          <w:b/>
          <w:bCs/>
          <w:color w:val="auto"/>
          <w:sz w:val="24"/>
          <w:szCs w:val="24"/>
          <w:highlight w:val="none"/>
        </w:rPr>
      </w:pPr>
      <w:r>
        <w:rPr>
          <w:rFonts w:hint="eastAsia" w:ascii="宋体" w:hAnsi="宋体" w:cs="宋体"/>
          <w:b/>
          <w:bCs/>
          <w:color w:val="auto"/>
          <w:sz w:val="24"/>
          <w:szCs w:val="24"/>
          <w:highlight w:val="none"/>
        </w:rPr>
        <w:t>五、其它</w:t>
      </w:r>
    </w:p>
    <w:p>
      <w:pPr>
        <w:pStyle w:val="29"/>
        <w:spacing w:line="440" w:lineRule="exact"/>
        <w:ind w:firstLine="240"/>
        <w:rPr>
          <w:rFonts w:ascii="宋体" w:hAnsi="宋体" w:cs="宋体"/>
          <w:color w:val="auto"/>
          <w:sz w:val="24"/>
          <w:highlight w:val="none"/>
        </w:rPr>
      </w:pPr>
      <w:r>
        <w:rPr>
          <w:rFonts w:hint="eastAsia" w:ascii="宋体" w:hAnsi="宋体" w:cs="宋体"/>
          <w:color w:val="auto"/>
          <w:sz w:val="24"/>
          <w:szCs w:val="24"/>
          <w:highlight w:val="none"/>
        </w:rPr>
        <w:t>本专篇是为规范本项目绿化工程种植、养护工作制定，未提及的内容均按施工合同专用条款的约定执行。</w:t>
      </w:r>
    </w:p>
    <w:p>
      <w:pPr>
        <w:widowControl/>
        <w:jc w:val="left"/>
        <w:rPr>
          <w:rFonts w:ascii="宋体" w:hAnsi="宋体" w:cs="宋体"/>
          <w:color w:val="auto"/>
          <w:sz w:val="24"/>
          <w:highlight w:val="none"/>
        </w:rPr>
      </w:pPr>
      <w:r>
        <w:rPr>
          <w:rFonts w:hint="eastAsia" w:ascii="宋体" w:hAnsi="宋体" w:cs="宋体"/>
          <w:color w:val="auto"/>
          <w:sz w:val="24"/>
          <w:highlight w:val="none"/>
        </w:rPr>
        <w:br w:type="page"/>
      </w:r>
    </w:p>
    <w:p>
      <w:pPr>
        <w:spacing w:line="520" w:lineRule="exact"/>
        <w:rPr>
          <w:rFonts w:ascii="宋体" w:hAnsi="宋体" w:cs="宋体"/>
          <w:color w:val="auto"/>
          <w:sz w:val="24"/>
          <w:highlight w:val="none"/>
        </w:rPr>
      </w:pPr>
      <w:r>
        <w:rPr>
          <w:rFonts w:hint="eastAsia" w:ascii="宋体" w:hAnsi="宋体" w:cs="宋体"/>
          <w:color w:val="auto"/>
          <w:sz w:val="24"/>
          <w:highlight w:val="none"/>
        </w:rPr>
        <w:t>附表：</w:t>
      </w:r>
    </w:p>
    <w:p>
      <w:pPr>
        <w:spacing w:line="520" w:lineRule="exact"/>
        <w:jc w:val="center"/>
        <w:rPr>
          <w:rFonts w:ascii="宋体" w:hAnsi="宋体" w:cs="宋体"/>
          <w:color w:val="auto"/>
          <w:sz w:val="24"/>
          <w:highlight w:val="none"/>
        </w:rPr>
      </w:pPr>
      <w:r>
        <w:rPr>
          <w:rFonts w:hint="eastAsia" w:ascii="宋体" w:hAnsi="宋体" w:cs="宋体"/>
          <w:color w:val="auto"/>
          <w:sz w:val="24"/>
          <w:highlight w:val="none"/>
        </w:rPr>
        <w:t>苗木供应清单</w:t>
      </w:r>
    </w:p>
    <w:p>
      <w:pPr>
        <w:pStyle w:val="18"/>
        <w:spacing w:line="520" w:lineRule="exact"/>
        <w:rPr>
          <w:rFonts w:ascii="宋体" w:hAnsi="宋体" w:cs="宋体"/>
          <w:color w:val="auto"/>
          <w:sz w:val="24"/>
          <w:highlight w:val="none"/>
        </w:rPr>
      </w:pPr>
      <w:r>
        <w:rPr>
          <w:rFonts w:hint="eastAsia" w:ascii="宋体" w:hAnsi="宋体" w:cs="宋体"/>
          <w:color w:val="auto"/>
          <w:sz w:val="24"/>
          <w:highlight w:val="none"/>
        </w:rPr>
        <w:t>项目名称：</w:t>
      </w:r>
    </w:p>
    <w:tbl>
      <w:tblPr>
        <w:tblStyle w:val="31"/>
        <w:tblW w:w="9352" w:type="dxa"/>
        <w:tblInd w:w="93" w:type="dxa"/>
        <w:tblLayout w:type="fixed"/>
        <w:tblCellMar>
          <w:top w:w="0" w:type="dxa"/>
          <w:left w:w="108" w:type="dxa"/>
          <w:bottom w:w="0" w:type="dxa"/>
          <w:right w:w="108" w:type="dxa"/>
        </w:tblCellMar>
      </w:tblPr>
      <w:tblGrid>
        <w:gridCol w:w="549"/>
        <w:gridCol w:w="750"/>
        <w:gridCol w:w="1080"/>
        <w:gridCol w:w="1003"/>
        <w:gridCol w:w="1006"/>
        <w:gridCol w:w="884"/>
        <w:gridCol w:w="1080"/>
        <w:gridCol w:w="1080"/>
        <w:gridCol w:w="953"/>
        <w:gridCol w:w="967"/>
      </w:tblGrid>
      <w:tr>
        <w:tblPrEx>
          <w:tblCellMar>
            <w:top w:w="0" w:type="dxa"/>
            <w:left w:w="108" w:type="dxa"/>
            <w:bottom w:w="0" w:type="dxa"/>
            <w:right w:w="108" w:type="dxa"/>
          </w:tblCellMar>
        </w:tblPrEx>
        <w:trPr>
          <w:trHeight w:val="435" w:hRule="atLeast"/>
        </w:trPr>
        <w:tc>
          <w:tcPr>
            <w:tcW w:w="5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9"/>
                <w:rFonts w:hint="default"/>
                <w:color w:val="auto"/>
                <w:highlight w:val="none"/>
              </w:rPr>
              <w:t>序号</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9"/>
                <w:rFonts w:hint="default"/>
                <w:color w:val="auto"/>
                <w:highlight w:val="none"/>
              </w:rPr>
              <w:t>苗木名称</w:t>
            </w:r>
          </w:p>
        </w:tc>
        <w:tc>
          <w:tcPr>
            <w:tcW w:w="613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9"/>
                <w:rFonts w:hint="default"/>
                <w:color w:val="auto"/>
                <w:highlight w:val="none"/>
              </w:rPr>
              <w:t>规格（单位：CM）</w:t>
            </w:r>
          </w:p>
        </w:tc>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9"/>
                <w:rFonts w:hint="default"/>
                <w:color w:val="auto"/>
                <w:highlight w:val="none"/>
              </w:rPr>
              <w:t>规格（单位：个）</w:t>
            </w:r>
          </w:p>
        </w:tc>
      </w:tr>
      <w:tr>
        <w:tblPrEx>
          <w:tblCellMar>
            <w:top w:w="0" w:type="dxa"/>
            <w:left w:w="108" w:type="dxa"/>
            <w:bottom w:w="0" w:type="dxa"/>
            <w:right w:w="108" w:type="dxa"/>
          </w:tblCellMar>
        </w:tblPrEx>
        <w:trPr>
          <w:trHeight w:val="420" w:hRule="atLeast"/>
        </w:trPr>
        <w:tc>
          <w:tcPr>
            <w:tcW w:w="5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auto"/>
                <w:sz w:val="24"/>
                <w:highlight w:val="none"/>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9"/>
                <w:rFonts w:hint="default"/>
                <w:color w:val="auto"/>
                <w:highlight w:val="none"/>
              </w:rPr>
              <w:t>胸（地）径(Ф)</w:t>
            </w:r>
          </w:p>
        </w:tc>
        <w:tc>
          <w:tcPr>
            <w:tcW w:w="10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9"/>
                <w:rFonts w:hint="default"/>
                <w:color w:val="auto"/>
                <w:highlight w:val="none"/>
              </w:rPr>
              <w:t>株高（H）</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9"/>
                <w:rFonts w:hint="default"/>
                <w:color w:val="auto"/>
                <w:highlight w:val="none"/>
              </w:rPr>
              <w:t>分枝点高(Ⓗ</w:t>
            </w:r>
          </w:p>
        </w:tc>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9"/>
                <w:rFonts w:hint="default"/>
                <w:color w:val="auto"/>
                <w:highlight w:val="none"/>
              </w:rPr>
              <w:t>冠幅（P）</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宋体" w:hAnsi="宋体" w:cs="宋体"/>
                <w:color w:val="auto"/>
                <w:sz w:val="24"/>
                <w:highlight w:val="none"/>
              </w:rPr>
            </w:pPr>
            <w:r>
              <w:rPr>
                <w:rStyle w:val="39"/>
                <w:rFonts w:hint="default"/>
                <w:color w:val="auto"/>
                <w:highlight w:val="none"/>
              </w:rPr>
              <w:t>土球规格直径* 高度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9"/>
                <w:rFonts w:hint="default"/>
                <w:color w:val="auto"/>
                <w:highlight w:val="none"/>
              </w:rPr>
              <w:t>种植穴直径* 高度</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9"/>
                <w:rFonts w:hint="default"/>
                <w:color w:val="auto"/>
                <w:highlight w:val="none"/>
              </w:rPr>
              <w:t>层托数(T)</w:t>
            </w:r>
          </w:p>
        </w:tc>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宋体" w:hAnsi="宋体" w:cs="宋体"/>
                <w:color w:val="auto"/>
                <w:sz w:val="24"/>
                <w:highlight w:val="none"/>
              </w:rPr>
            </w:pPr>
            <w:r>
              <w:rPr>
                <w:rStyle w:val="39"/>
                <w:rFonts w:hint="default"/>
                <w:color w:val="auto"/>
                <w:highlight w:val="none"/>
              </w:rPr>
              <w:t>分枝数量</w:t>
            </w: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r>
      <w:tr>
        <w:tblPrEx>
          <w:tblCellMar>
            <w:top w:w="0" w:type="dxa"/>
            <w:left w:w="108" w:type="dxa"/>
            <w:bottom w:w="0" w:type="dxa"/>
            <w:right w:w="108" w:type="dxa"/>
          </w:tblCellMar>
        </w:tblPrEx>
        <w:trPr>
          <w:trHeight w:val="270" w:hRule="atLeast"/>
        </w:trPr>
        <w:tc>
          <w:tcPr>
            <w:tcW w:w="5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7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8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5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80" w:lineRule="exact"/>
              <w:rPr>
                <w:rFonts w:ascii="宋体" w:hAnsi="宋体" w:cs="宋体"/>
                <w:color w:val="auto"/>
                <w:sz w:val="24"/>
                <w:highlight w:val="none"/>
              </w:rPr>
            </w:pPr>
          </w:p>
        </w:tc>
      </w:tr>
    </w:tbl>
    <w:p>
      <w:pPr>
        <w:pStyle w:val="18"/>
        <w:spacing w:line="480" w:lineRule="exact"/>
        <w:rPr>
          <w:color w:val="auto"/>
          <w:sz w:val="24"/>
          <w:highlight w:val="none"/>
        </w:rPr>
      </w:pPr>
    </w:p>
    <w:p>
      <w:pPr>
        <w:numPr>
          <w:ilvl w:val="255"/>
          <w:numId w:val="0"/>
        </w:numPr>
        <w:rPr>
          <w:rFonts w:ascii="宋体" w:hAnsi="宋体" w:cs="宋体"/>
          <w:b/>
          <w:bCs/>
          <w:color w:val="auto"/>
          <w:sz w:val="28"/>
          <w:szCs w:val="28"/>
          <w:highlight w:val="none"/>
        </w:rPr>
      </w:pPr>
    </w:p>
    <w:p>
      <w:pPr>
        <w:numPr>
          <w:ilvl w:val="255"/>
          <w:numId w:val="0"/>
        </w:numPr>
        <w:rPr>
          <w:rFonts w:ascii="宋体" w:hAnsi="宋体" w:cs="宋体"/>
          <w:b/>
          <w:bCs/>
          <w:color w:val="auto"/>
          <w:sz w:val="28"/>
          <w:szCs w:val="28"/>
          <w:highlight w:val="none"/>
        </w:rPr>
      </w:pPr>
    </w:p>
    <w:p>
      <w:pPr>
        <w:numPr>
          <w:ilvl w:val="255"/>
          <w:numId w:val="0"/>
        </w:numPr>
        <w:rPr>
          <w:rFonts w:ascii="宋体" w:hAnsi="宋体" w:cs="宋体"/>
          <w:b/>
          <w:bCs/>
          <w:color w:val="auto"/>
          <w:sz w:val="28"/>
          <w:szCs w:val="28"/>
          <w:highlight w:val="none"/>
        </w:rPr>
      </w:pPr>
    </w:p>
    <w:p>
      <w:pPr>
        <w:widowControl/>
        <w:jc w:val="left"/>
        <w:rPr>
          <w:rFonts w:ascii="宋体" w:hAnsi="宋体"/>
          <w:b/>
          <w:color w:val="auto"/>
          <w:sz w:val="28"/>
          <w:szCs w:val="28"/>
          <w:highlight w:val="none"/>
        </w:rPr>
      </w:pPr>
      <w:r>
        <w:rPr>
          <w:rFonts w:hint="eastAsia" w:ascii="宋体" w:hAnsi="宋体"/>
          <w:b/>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b w:val="0"/>
          <w:bCs/>
          <w:color w:val="auto"/>
          <w:sz w:val="24"/>
          <w:szCs w:val="24"/>
          <w:highlight w:val="none"/>
        </w:rPr>
      </w:pPr>
    </w:p>
    <w:p>
      <w:pPr>
        <w:spacing w:line="440" w:lineRule="exact"/>
        <w:jc w:val="center"/>
        <w:rPr>
          <w:rFonts w:ascii="宋体" w:hAnsi="宋体"/>
          <w:b/>
          <w:color w:val="auto"/>
          <w:sz w:val="28"/>
          <w:szCs w:val="28"/>
          <w:highlight w:val="none"/>
        </w:rPr>
      </w:pPr>
      <w:r>
        <w:rPr>
          <w:rFonts w:hint="eastAsia" w:ascii="宋体" w:hAnsi="宋体"/>
          <w:b/>
          <w:color w:val="auto"/>
          <w:sz w:val="28"/>
          <w:szCs w:val="28"/>
          <w:highlight w:val="none"/>
        </w:rPr>
        <w:t>第五部分</w:t>
      </w:r>
      <w:r>
        <w:rPr>
          <w:rFonts w:hint="eastAsia" w:ascii="宋体" w:hAnsi="宋体"/>
          <w:b/>
          <w:color w:val="auto"/>
          <w:sz w:val="28"/>
          <w:szCs w:val="28"/>
          <w:highlight w:val="none"/>
          <w:lang w:val="en-US" w:eastAsia="zh-CN"/>
        </w:rPr>
        <w:t xml:space="preserve">  </w:t>
      </w:r>
      <w:r>
        <w:rPr>
          <w:rFonts w:hint="eastAsia" w:ascii="宋体" w:hAnsi="宋体"/>
          <w:b/>
          <w:color w:val="auto"/>
          <w:sz w:val="28"/>
          <w:szCs w:val="28"/>
          <w:highlight w:val="none"/>
        </w:rPr>
        <w:t>工程质量保修责任书</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color w:val="auto"/>
          <w:sz w:val="24"/>
          <w:highlight w:val="none"/>
        </w:rPr>
      </w:pPr>
    </w:p>
    <w:p>
      <w:pPr>
        <w:snapToGrid w:val="0"/>
        <w:spacing w:line="440" w:lineRule="exact"/>
        <w:rPr>
          <w:rFonts w:ascii="宋体" w:hAnsi="宋体"/>
          <w:color w:val="auto"/>
          <w:sz w:val="24"/>
          <w:highlight w:val="none"/>
        </w:rPr>
      </w:pPr>
      <w:r>
        <w:rPr>
          <w:rFonts w:hint="eastAsia" w:ascii="宋体" w:hAnsi="宋体"/>
          <w:color w:val="auto"/>
          <w:sz w:val="24"/>
          <w:highlight w:val="none"/>
        </w:rPr>
        <w:t>发包人（全称）：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napToGrid w:val="0"/>
        <w:spacing w:line="440" w:lineRule="exact"/>
        <w:rPr>
          <w:rFonts w:ascii="宋体" w:hAnsi="宋体"/>
          <w:color w:val="auto"/>
          <w:sz w:val="24"/>
          <w:highlight w:val="none"/>
        </w:rPr>
      </w:pPr>
      <w:r>
        <w:rPr>
          <w:rFonts w:hint="eastAsia" w:ascii="宋体" w:hAnsi="宋体"/>
          <w:color w:val="auto"/>
          <w:sz w:val="24"/>
          <w:highlight w:val="none"/>
        </w:rPr>
        <w:t>承包人（全称）：</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为保证</w:t>
      </w:r>
      <w:r>
        <w:rPr>
          <w:rFonts w:ascii="宋体" w:hAnsi="宋体"/>
          <w:color w:val="auto"/>
          <w:sz w:val="24"/>
          <w:highlight w:val="none"/>
          <w:u w:val="single"/>
        </w:rPr>
        <w:t>工程</w:t>
      </w:r>
      <w:r>
        <w:rPr>
          <w:rFonts w:hint="eastAsia" w:ascii="宋体" w:hAnsi="宋体"/>
          <w:color w:val="auto"/>
          <w:sz w:val="24"/>
          <w:highlight w:val="none"/>
        </w:rPr>
        <w:t>在合理使用期限内正常使用，发包人承包人协商一致签订工程质量保修责任书。承包人在质量保修期内按照有关管理规定及双方约定承担本工程质量保修责任。</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工程质量保修范围和内容</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质量保修范围包括基础工程、主体路基、路面、桥涵构造物工程、给排水、防护工程以及本建设工程施工合同中所含的其它项目。具体质量保修内容双方约定如下：</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u w:val="single"/>
        </w:rPr>
        <w:t>按施工合同约定的承包范围内的全部工程内容</w:t>
      </w:r>
      <w:r>
        <w:rPr>
          <w:rFonts w:hint="eastAsia" w:ascii="宋体" w:hAnsi="宋体"/>
          <w:color w:val="auto"/>
          <w:sz w:val="24"/>
          <w:highlight w:val="none"/>
        </w:rPr>
        <w:t>。</w:t>
      </w:r>
    </w:p>
    <w:p>
      <w:pPr>
        <w:numPr>
          <w:ilvl w:val="0"/>
          <w:numId w:val="6"/>
        </w:numPr>
        <w:tabs>
          <w:tab w:val="left" w:pos="1120"/>
        </w:tabs>
        <w:snapToGrid w:val="0"/>
        <w:spacing w:line="440" w:lineRule="exact"/>
        <w:ind w:hanging="240"/>
        <w:rPr>
          <w:rFonts w:ascii="宋体" w:hAnsi="宋体"/>
          <w:b/>
          <w:bCs/>
          <w:color w:val="auto"/>
          <w:sz w:val="24"/>
          <w:highlight w:val="none"/>
        </w:rPr>
      </w:pPr>
      <w:r>
        <w:rPr>
          <w:rFonts w:hint="eastAsia" w:ascii="宋体" w:hAnsi="宋体"/>
          <w:b/>
          <w:bCs/>
          <w:color w:val="auto"/>
          <w:sz w:val="24"/>
          <w:highlight w:val="none"/>
        </w:rPr>
        <w:t>质量保修期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质量保修期从广州开发区管委会或其相关职能部门批准的提前移交之日或者正式通过竣工验收之日（以先发生日期为准）算起。</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双方根据国家有关规定，结合具体工程约定质量保修期如下：</w:t>
      </w:r>
    </w:p>
    <w:p>
      <w:pPr>
        <w:snapToGrid w:val="0"/>
        <w:spacing w:line="440" w:lineRule="exact"/>
        <w:ind w:firstLine="578" w:firstLineChars="241"/>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基础设施工程、房屋建筑的地基基础和主体结构工程为设计文件规定的该工程合理使用年限；</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2、电力管线、上下水管线安装工程为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、供热及供冷为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2</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个采暖期及供冷期；</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4</w:t>
      </w:r>
      <w:r>
        <w:rPr>
          <w:rFonts w:ascii="宋体" w:hAnsi="宋体"/>
          <w:color w:val="auto"/>
          <w:sz w:val="24"/>
          <w:highlight w:val="none"/>
        </w:rPr>
        <w:t>、室外的上下水和小区道路等市政公用工程为</w:t>
      </w:r>
      <w:r>
        <w:rPr>
          <w:rFonts w:ascii="宋体" w:hAnsi="宋体"/>
          <w:sz w:val="24"/>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u w:val="single"/>
        </w:rPr>
      </w:pPr>
      <w:r>
        <w:rPr>
          <w:rFonts w:hint="eastAsia" w:ascii="宋体" w:hAnsi="宋体"/>
          <w:color w:val="auto"/>
          <w:sz w:val="24"/>
          <w:highlight w:val="none"/>
        </w:rPr>
        <w:t>5</w:t>
      </w:r>
      <w:r>
        <w:rPr>
          <w:rFonts w:ascii="宋体" w:hAnsi="宋体"/>
          <w:color w:val="auto"/>
          <w:sz w:val="24"/>
          <w:highlight w:val="none"/>
        </w:rPr>
        <w:t>、市政道</w:t>
      </w:r>
      <w:r>
        <w:rPr>
          <w:rFonts w:hint="eastAsia" w:ascii="宋体" w:hAnsi="宋体"/>
          <w:color w:val="auto"/>
          <w:sz w:val="24"/>
          <w:highlight w:val="none"/>
        </w:rPr>
        <w:t>路</w:t>
      </w:r>
      <w:r>
        <w:rPr>
          <w:rFonts w:ascii="宋体" w:hAnsi="宋体"/>
          <w:color w:val="auto"/>
          <w:sz w:val="24"/>
          <w:highlight w:val="none"/>
        </w:rPr>
        <w:t>排水工程为</w:t>
      </w:r>
      <w:r>
        <w:rPr>
          <w:rFonts w:ascii="宋体" w:hAnsi="宋体"/>
          <w:color w:val="auto"/>
          <w:sz w:val="24"/>
          <w:highlight w:val="none"/>
          <w:u w:val="single"/>
        </w:rPr>
        <w:t xml:space="preserve"> 2 </w:t>
      </w:r>
      <w:r>
        <w:rPr>
          <w:rFonts w:hint="eastAsia" w:ascii="宋体" w:hAnsi="宋体"/>
          <w:color w:val="auto"/>
          <w:sz w:val="24"/>
          <w:highlight w:val="none"/>
        </w:rPr>
        <w:t>年，市政供水工程为</w:t>
      </w:r>
      <w:r>
        <w:rPr>
          <w:rFonts w:ascii="宋体" w:hAnsi="宋体"/>
          <w:color w:val="auto"/>
          <w:sz w:val="24"/>
          <w:highlight w:val="none"/>
          <w:u w:val="single"/>
        </w:rPr>
        <w:t xml:space="preserve"> 2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6、市政供电工程为</w:t>
      </w:r>
      <w:r>
        <w:rPr>
          <w:rFonts w:ascii="宋体" w:hAnsi="宋体"/>
          <w:color w:val="auto"/>
          <w:sz w:val="24"/>
          <w:highlight w:val="none"/>
          <w:u w:val="single"/>
        </w:rPr>
        <w:t xml:space="preserve"> 2 </w:t>
      </w:r>
      <w:r>
        <w:rPr>
          <w:rFonts w:hint="eastAsia" w:ascii="宋体" w:hAnsi="宋体"/>
          <w:color w:val="auto"/>
          <w:sz w:val="24"/>
          <w:highlight w:val="none"/>
        </w:rPr>
        <w:t>年，市政道路照明工程</w:t>
      </w:r>
      <w:r>
        <w:rPr>
          <w:rFonts w:ascii="宋体" w:hAnsi="宋体"/>
          <w:color w:val="auto"/>
          <w:sz w:val="24"/>
          <w:highlight w:val="none"/>
          <w:u w:val="single"/>
        </w:rPr>
        <w:t xml:space="preserve"> 2 </w:t>
      </w:r>
      <w:r>
        <w:rPr>
          <w:rFonts w:hint="eastAsia" w:ascii="宋体" w:hAnsi="宋体"/>
          <w:color w:val="auto"/>
          <w:sz w:val="24"/>
          <w:highlight w:val="none"/>
        </w:rPr>
        <w:t>年，市政交通设施工程为</w:t>
      </w:r>
      <w:r>
        <w:rPr>
          <w:rFonts w:ascii="宋体" w:hAnsi="宋体"/>
          <w:sz w:val="24"/>
          <w:u w:val="single"/>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7、园林建筑工程为</w:t>
      </w:r>
      <w:r>
        <w:rPr>
          <w:rFonts w:ascii="宋体" w:hAnsi="宋体"/>
          <w:color w:val="auto"/>
          <w:sz w:val="24"/>
          <w:highlight w:val="none"/>
          <w:u w:val="single"/>
        </w:rPr>
        <w:t xml:space="preserve"> 1 </w:t>
      </w:r>
      <w:r>
        <w:rPr>
          <w:rFonts w:hint="eastAsia" w:ascii="宋体" w:hAnsi="宋体"/>
          <w:color w:val="auto"/>
          <w:sz w:val="24"/>
          <w:highlight w:val="none"/>
        </w:rPr>
        <w:t>年，喷淋工程为</w:t>
      </w:r>
      <w:r>
        <w:rPr>
          <w:rFonts w:ascii="宋体" w:hAnsi="宋体"/>
          <w:color w:val="auto"/>
          <w:sz w:val="24"/>
          <w:highlight w:val="none"/>
          <w:u w:val="single"/>
        </w:rPr>
        <w:t xml:space="preserve"> 2</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年，胸径</w:t>
      </w:r>
      <w:r>
        <w:rPr>
          <w:rFonts w:ascii="宋体" w:hAnsi="宋体"/>
          <w:color w:val="auto"/>
          <w:sz w:val="24"/>
          <w:highlight w:val="none"/>
        </w:rPr>
        <w:t>15cm</w:t>
      </w:r>
      <w:r>
        <w:rPr>
          <w:rFonts w:hint="eastAsia" w:ascii="宋体" w:hAnsi="宋体"/>
          <w:color w:val="auto"/>
          <w:sz w:val="24"/>
          <w:highlight w:val="none"/>
        </w:rPr>
        <w:t>以内（含</w:t>
      </w:r>
      <w:r>
        <w:rPr>
          <w:rFonts w:ascii="宋体" w:hAnsi="宋体"/>
          <w:color w:val="auto"/>
          <w:sz w:val="24"/>
          <w:highlight w:val="none"/>
        </w:rPr>
        <w:t>15cm</w:t>
      </w:r>
      <w:r>
        <w:rPr>
          <w:rFonts w:hint="eastAsia" w:ascii="宋体" w:hAnsi="宋体"/>
          <w:color w:val="auto"/>
          <w:sz w:val="24"/>
          <w:highlight w:val="none"/>
        </w:rPr>
        <w:t>）的苗木养护期为</w:t>
      </w:r>
      <w:r>
        <w:rPr>
          <w:rFonts w:ascii="宋体" w:hAnsi="宋体"/>
          <w:color w:val="auto"/>
          <w:sz w:val="24"/>
          <w:highlight w:val="none"/>
          <w:u w:val="single"/>
        </w:rPr>
        <w:t xml:space="preserve"> 3</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个月，胸径</w:t>
      </w:r>
      <w:r>
        <w:rPr>
          <w:rFonts w:ascii="宋体" w:hAnsi="宋体"/>
          <w:color w:val="auto"/>
          <w:sz w:val="24"/>
          <w:highlight w:val="none"/>
        </w:rPr>
        <w:t>15cm</w:t>
      </w:r>
      <w:r>
        <w:rPr>
          <w:rFonts w:hint="eastAsia" w:ascii="宋体" w:hAnsi="宋体"/>
          <w:color w:val="auto"/>
          <w:sz w:val="24"/>
          <w:highlight w:val="none"/>
        </w:rPr>
        <w:t>以上的苗木养护期为</w:t>
      </w:r>
      <w:r>
        <w:rPr>
          <w:rFonts w:ascii="宋体" w:hAnsi="宋体"/>
          <w:color w:val="auto"/>
          <w:sz w:val="24"/>
          <w:highlight w:val="none"/>
          <w:u w:val="single"/>
        </w:rPr>
        <w:t xml:space="preserve"> 1</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p>
    <w:p>
      <w:pPr>
        <w:snapToGrid w:val="0"/>
        <w:spacing w:line="440" w:lineRule="exact"/>
        <w:ind w:firstLine="578" w:firstLineChars="241"/>
        <w:rPr>
          <w:rFonts w:ascii="宋体" w:hAnsi="宋体"/>
          <w:color w:val="auto"/>
          <w:sz w:val="24"/>
          <w:highlight w:val="none"/>
        </w:rPr>
      </w:pPr>
      <w:r>
        <w:rPr>
          <w:rFonts w:hint="eastAsia" w:ascii="宋体" w:hAnsi="宋体"/>
          <w:color w:val="auto"/>
          <w:sz w:val="24"/>
          <w:highlight w:val="none"/>
        </w:rPr>
        <w:t>8、其他约定：</w:t>
      </w:r>
      <w:r>
        <w:rPr>
          <w:rFonts w:hint="eastAsia" w:ascii="宋体" w:hAnsi="宋体"/>
          <w:color w:val="auto"/>
          <w:sz w:val="24"/>
          <w:highlight w:val="none"/>
          <w:u w:val="single"/>
        </w:rPr>
        <w:t>按相关规定执行</w:t>
      </w:r>
      <w:r>
        <w:rPr>
          <w:rFonts w:hint="eastAsia"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质量保修责任</w:t>
      </w:r>
    </w:p>
    <w:p>
      <w:pPr>
        <w:tabs>
          <w:tab w:val="left" w:pos="980"/>
        </w:tabs>
        <w:snapToGrid w:val="0"/>
        <w:spacing w:line="440" w:lineRule="exact"/>
        <w:ind w:firstLine="480" w:firstLineChars="200"/>
        <w:rPr>
          <w:rFonts w:ascii="宋体" w:hAnsi="宋体"/>
          <w:color w:val="auto"/>
          <w:sz w:val="24"/>
          <w:highlight w:val="none"/>
        </w:rPr>
      </w:pPr>
      <w:r>
        <w:rPr>
          <w:rFonts w:ascii="宋体" w:hAnsi="宋体"/>
          <w:bCs/>
          <w:color w:val="auto"/>
          <w:sz w:val="24"/>
          <w:highlight w:val="none"/>
        </w:rPr>
        <w:t>1、</w:t>
      </w:r>
      <w:r>
        <w:rPr>
          <w:rFonts w:hint="eastAsia" w:ascii="宋体" w:hAnsi="宋体"/>
          <w:color w:val="auto"/>
          <w:sz w:val="24"/>
          <w:highlight w:val="none"/>
        </w:rPr>
        <w:t>属于保修范围的内容项目，承包人应在接到修理通知之日后七天内派人员修理。承包人不在约定期内派人修理，发包人可委托其他人员修理，修理费用从质量保修金内扣除。</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2、发生须紧急抢修事故（如给水管道破裂，排水管道严重堵塞，构造物破坏、损坏，路面严重坍塌等），承包人接到事故通知后，应立即到达事故现场抢修。非承包人施工质量引起的事故，抢修费用由发包人承担。</w:t>
      </w:r>
    </w:p>
    <w:p>
      <w:pPr>
        <w:tabs>
          <w:tab w:val="left" w:pos="980"/>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3、国家规定的土木、土建、市政工程合理使用期限内，承包人确保主体工程和桥涵构造物的质量和安全。因承包人原因致使工程在合理使用期限内因质量或安全方面的缺陷造成人身和财产损害的，承包人应承担损害赔偿责任。</w:t>
      </w:r>
    </w:p>
    <w:p>
      <w:pPr>
        <w:numPr>
          <w:ilvl w:val="0"/>
          <w:numId w:val="6"/>
        </w:numPr>
        <w:tabs>
          <w:tab w:val="left" w:pos="1120"/>
        </w:tabs>
        <w:snapToGrid w:val="0"/>
        <w:spacing w:line="440" w:lineRule="exact"/>
        <w:ind w:hanging="420"/>
        <w:rPr>
          <w:rFonts w:ascii="宋体" w:hAnsi="宋体"/>
          <w:b/>
          <w:bCs/>
          <w:color w:val="auto"/>
          <w:sz w:val="24"/>
          <w:highlight w:val="none"/>
        </w:rPr>
      </w:pPr>
      <w:r>
        <w:rPr>
          <w:rFonts w:hint="eastAsia" w:ascii="宋体" w:hAnsi="宋体"/>
          <w:b/>
          <w:bCs/>
          <w:color w:val="auto"/>
          <w:sz w:val="24"/>
          <w:highlight w:val="none"/>
        </w:rPr>
        <w:t>质量保修金的支付</w:t>
      </w:r>
    </w:p>
    <w:p>
      <w:pPr>
        <w:snapToGrid w:val="0"/>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本工程约定的工程质量保修金为施工合同结算总价款的</w:t>
      </w:r>
      <w:r>
        <w:rPr>
          <w:rFonts w:hint="eastAsia" w:ascii="宋体" w:hAnsi="宋体"/>
          <w:color w:val="auto"/>
          <w:sz w:val="24"/>
          <w:highlight w:val="none"/>
          <w:u w:val="single"/>
        </w:rPr>
        <w:t>3</w:t>
      </w:r>
      <w:r>
        <w:rPr>
          <w:rFonts w:ascii="宋体" w:hAnsi="宋体"/>
          <w:color w:val="auto"/>
          <w:sz w:val="24"/>
          <w:highlight w:val="none"/>
        </w:rPr>
        <w:t>%。</w:t>
      </w:r>
    </w:p>
    <w:p>
      <w:pPr>
        <w:snapToGrid w:val="0"/>
        <w:spacing w:line="440" w:lineRule="exact"/>
        <w:ind w:firstLine="480" w:firstLineChars="200"/>
        <w:rPr>
          <w:rFonts w:hint="eastAsia" w:ascii="宋体" w:hAnsi="宋体" w:cs="Times New Roman"/>
          <w:color w:val="auto"/>
          <w:sz w:val="24"/>
          <w:highlight w:val="none"/>
        </w:rPr>
      </w:pPr>
      <w:r>
        <w:rPr>
          <w:rFonts w:hint="eastAsia" w:ascii="宋体" w:hAnsi="宋体" w:cs="Times New Roman"/>
          <w:color w:val="auto"/>
          <w:sz w:val="24"/>
          <w:highlight w:val="none"/>
        </w:rPr>
        <w:t>本工程双方约定工程质量保修金金额为</w:t>
      </w:r>
      <w:r>
        <w:rPr>
          <w:rFonts w:hint="eastAsia" w:ascii="宋体" w:hAnsi="宋体" w:cs="Times New Roman"/>
          <w:color w:val="auto"/>
          <w:sz w:val="24"/>
          <w:highlight w:val="none"/>
          <w:u w:val="single"/>
        </w:rPr>
        <w:t xml:space="preserve">(大写)    /      </w:t>
      </w:r>
      <w:r>
        <w:rPr>
          <w:rFonts w:hint="eastAsia" w:ascii="宋体" w:hAnsi="宋体" w:cs="Times New Roman"/>
          <w:color w:val="auto"/>
          <w:sz w:val="24"/>
          <w:highlight w:val="none"/>
        </w:rPr>
        <w:t>。</w:t>
      </w:r>
    </w:p>
    <w:p>
      <w:pPr>
        <w:snapToGrid w:val="0"/>
        <w:spacing w:line="440" w:lineRule="exact"/>
        <w:ind w:firstLine="480" w:firstLineChars="200"/>
        <w:rPr>
          <w:rFonts w:ascii="宋体" w:hAnsi="宋体"/>
          <w:bCs/>
          <w:color w:val="auto"/>
          <w:sz w:val="24"/>
          <w:highlight w:val="none"/>
        </w:rPr>
      </w:pPr>
      <w:r>
        <w:rPr>
          <w:rFonts w:hint="eastAsia" w:ascii="宋体" w:hAnsi="宋体"/>
          <w:color w:val="auto"/>
          <w:sz w:val="24"/>
          <w:highlight w:val="none"/>
        </w:rPr>
        <w:t>质量保修金银行利率为</w:t>
      </w:r>
      <w:r>
        <w:rPr>
          <w:rFonts w:ascii="宋体" w:hAnsi="宋体"/>
          <w:color w:val="auto"/>
          <w:sz w:val="24"/>
          <w:highlight w:val="none"/>
          <w:u w:val="single"/>
        </w:rPr>
        <w:t xml:space="preserve">      /     </w:t>
      </w:r>
      <w:r>
        <w:rPr>
          <w:rFonts w:ascii="宋体" w:hAnsi="宋体"/>
          <w:color w:val="auto"/>
          <w:sz w:val="24"/>
          <w:highlight w:val="none"/>
        </w:rPr>
        <w:t>。</w:t>
      </w:r>
    </w:p>
    <w:p>
      <w:pPr>
        <w:numPr>
          <w:ilvl w:val="0"/>
          <w:numId w:val="6"/>
        </w:numPr>
        <w:tabs>
          <w:tab w:val="left" w:pos="1120"/>
        </w:tabs>
        <w:snapToGrid w:val="0"/>
        <w:spacing w:line="440" w:lineRule="exact"/>
        <w:ind w:hanging="420"/>
        <w:rPr>
          <w:rFonts w:ascii="宋体" w:hAnsi="宋体"/>
          <w:b/>
          <w:color w:val="auto"/>
          <w:sz w:val="24"/>
          <w:highlight w:val="none"/>
        </w:rPr>
      </w:pPr>
      <w:r>
        <w:rPr>
          <w:rFonts w:hint="eastAsia" w:ascii="宋体" w:hAnsi="宋体"/>
          <w:b/>
          <w:color w:val="auto"/>
          <w:sz w:val="24"/>
          <w:highlight w:val="none"/>
        </w:rPr>
        <w:t>其他</w:t>
      </w:r>
    </w:p>
    <w:p>
      <w:pPr>
        <w:tabs>
          <w:tab w:val="left" w:pos="980"/>
        </w:tabs>
        <w:spacing w:line="440" w:lineRule="exact"/>
        <w:ind w:firstLine="480" w:firstLineChars="200"/>
        <w:rPr>
          <w:rFonts w:ascii="宋体" w:hAnsi="宋体"/>
          <w:color w:val="auto"/>
          <w:sz w:val="24"/>
          <w:highlight w:val="none"/>
          <w:u w:val="single"/>
        </w:rPr>
      </w:pPr>
      <w:r>
        <w:rPr>
          <w:rFonts w:hint="eastAsia" w:ascii="宋体" w:hAnsi="宋体"/>
          <w:color w:val="auto"/>
          <w:sz w:val="24"/>
          <w:highlight w:val="none"/>
        </w:rPr>
        <w:t>双方约定的其他工程质量保修事项：</w:t>
      </w:r>
      <w:r>
        <w:rPr>
          <w:rFonts w:hint="eastAsia" w:ascii="宋体" w:hAnsi="宋体"/>
          <w:color w:val="auto"/>
          <w:sz w:val="24"/>
          <w:highlight w:val="none"/>
          <w:u w:val="single"/>
        </w:rPr>
        <w:t>保留经广州开发区财政局核定的结算总造价的3</w:t>
      </w:r>
      <w:r>
        <w:rPr>
          <w:rFonts w:ascii="宋体" w:hAnsi="宋体"/>
          <w:color w:val="auto"/>
          <w:sz w:val="24"/>
          <w:highlight w:val="none"/>
          <w:u w:val="single"/>
        </w:rPr>
        <w:t>%作为保修金，在</w:t>
      </w:r>
      <w:r>
        <w:rPr>
          <w:rFonts w:hint="eastAsia" w:ascii="宋体" w:hAnsi="宋体"/>
          <w:color w:val="auto"/>
          <w:sz w:val="24"/>
          <w:highlight w:val="none"/>
          <w:u w:val="single"/>
        </w:rPr>
        <w:t>质量缺陷责任</w:t>
      </w:r>
      <w:r>
        <w:rPr>
          <w:rFonts w:ascii="宋体" w:hAnsi="宋体"/>
          <w:color w:val="auto"/>
          <w:sz w:val="24"/>
          <w:highlight w:val="none"/>
          <w:u w:val="single"/>
        </w:rPr>
        <w:t>期满后结清（不计利息）。</w:t>
      </w:r>
    </w:p>
    <w:p>
      <w:pPr>
        <w:tabs>
          <w:tab w:val="left" w:pos="980"/>
        </w:tabs>
        <w:spacing w:line="440" w:lineRule="exact"/>
        <w:ind w:firstLine="480" w:firstLineChars="200"/>
        <w:rPr>
          <w:rFonts w:ascii="宋体" w:hAnsi="宋体"/>
          <w:color w:val="auto"/>
          <w:sz w:val="24"/>
          <w:highlight w:val="none"/>
        </w:rPr>
      </w:pPr>
      <w:r>
        <w:rPr>
          <w:rFonts w:hint="eastAsia" w:ascii="宋体" w:hAnsi="宋体"/>
          <w:color w:val="auto"/>
          <w:sz w:val="24"/>
          <w:highlight w:val="none"/>
        </w:rPr>
        <w:t>本工程质量保修责任书作为施工合同附件，由施工合同发包人与承包人双方共同签署。</w:t>
      </w:r>
    </w:p>
    <w:p>
      <w:pPr>
        <w:pStyle w:val="55"/>
        <w:spacing w:line="440" w:lineRule="exact"/>
        <w:ind w:firstLine="0"/>
        <w:jc w:val="left"/>
        <w:rPr>
          <w:rFonts w:ascii="宋体" w:hAnsi="宋体"/>
          <w:color w:val="auto"/>
          <w:szCs w:val="24"/>
          <w:highlight w:val="none"/>
        </w:rPr>
      </w:pPr>
    </w:p>
    <w:p>
      <w:pPr>
        <w:pStyle w:val="55"/>
        <w:spacing w:line="440" w:lineRule="exact"/>
        <w:ind w:firstLine="0"/>
        <w:jc w:val="left"/>
        <w:rPr>
          <w:rFonts w:ascii="宋体" w:hAnsi="宋体"/>
          <w:color w:val="auto"/>
          <w:szCs w:val="24"/>
          <w:highlight w:val="none"/>
        </w:rPr>
      </w:pPr>
    </w:p>
    <w:p>
      <w:pPr>
        <w:pStyle w:val="55"/>
        <w:spacing w:line="440" w:lineRule="exact"/>
        <w:ind w:firstLine="0"/>
        <w:jc w:val="left"/>
        <w:rPr>
          <w:rFonts w:ascii="宋体" w:hAnsi="宋体"/>
          <w:color w:val="auto"/>
          <w:szCs w:val="24"/>
          <w:highlight w:val="none"/>
        </w:rPr>
      </w:pPr>
    </w:p>
    <w:p>
      <w:pPr>
        <w:pStyle w:val="55"/>
        <w:spacing w:line="440" w:lineRule="exact"/>
        <w:ind w:firstLine="0"/>
        <w:jc w:val="left"/>
        <w:rPr>
          <w:rFonts w:ascii="宋体" w:hAnsi="宋体"/>
          <w:color w:val="auto"/>
          <w:szCs w:val="24"/>
          <w:highlight w:val="none"/>
        </w:rPr>
      </w:pPr>
    </w:p>
    <w:p>
      <w:pPr>
        <w:pStyle w:val="55"/>
        <w:spacing w:line="440" w:lineRule="exact"/>
        <w:ind w:firstLine="0"/>
        <w:jc w:val="left"/>
        <w:rPr>
          <w:rFonts w:ascii="宋体" w:hAnsi="宋体"/>
          <w:color w:val="auto"/>
          <w:szCs w:val="24"/>
          <w:highlight w:val="none"/>
        </w:rPr>
      </w:pPr>
    </w:p>
    <w:p>
      <w:pPr>
        <w:pStyle w:val="55"/>
        <w:spacing w:line="440" w:lineRule="exact"/>
        <w:ind w:firstLine="397"/>
        <w:jc w:val="left"/>
        <w:rPr>
          <w:rFonts w:ascii="宋体" w:hAnsi="宋体"/>
          <w:color w:val="auto"/>
          <w:szCs w:val="24"/>
          <w:highlight w:val="none"/>
        </w:rPr>
      </w:pPr>
      <w:r>
        <w:rPr>
          <w:rFonts w:hint="eastAsia" w:ascii="宋体" w:hAnsi="宋体"/>
          <w:color w:val="auto"/>
          <w:szCs w:val="24"/>
          <w:highlight w:val="none"/>
        </w:rPr>
        <w:t>发包人（公章）：</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承包人（公章）：</w:t>
      </w:r>
    </w:p>
    <w:p>
      <w:pPr>
        <w:pStyle w:val="55"/>
        <w:spacing w:line="440" w:lineRule="exact"/>
        <w:ind w:firstLine="397"/>
        <w:jc w:val="left"/>
        <w:rPr>
          <w:rFonts w:ascii="宋体" w:hAnsi="宋体"/>
          <w:color w:val="auto"/>
          <w:szCs w:val="24"/>
          <w:highlight w:val="none"/>
        </w:rPr>
      </w:pPr>
    </w:p>
    <w:p>
      <w:pPr>
        <w:pStyle w:val="55"/>
        <w:spacing w:line="440" w:lineRule="exact"/>
        <w:ind w:firstLine="397"/>
        <w:jc w:val="left"/>
        <w:rPr>
          <w:rFonts w:ascii="宋体" w:hAnsi="宋体"/>
          <w:color w:val="auto"/>
          <w:szCs w:val="24"/>
          <w:highlight w:val="none"/>
        </w:rPr>
      </w:pPr>
    </w:p>
    <w:p>
      <w:pPr>
        <w:pStyle w:val="55"/>
        <w:spacing w:line="440" w:lineRule="exact"/>
        <w:ind w:firstLine="397"/>
        <w:jc w:val="left"/>
        <w:rPr>
          <w:rFonts w:ascii="宋体" w:hAnsi="宋体"/>
          <w:color w:val="auto"/>
          <w:szCs w:val="24"/>
          <w:highlight w:val="none"/>
        </w:rPr>
      </w:pPr>
      <w:r>
        <w:rPr>
          <w:rFonts w:hint="eastAsia" w:ascii="宋体" w:hAnsi="宋体"/>
          <w:color w:val="auto"/>
          <w:szCs w:val="24"/>
          <w:highlight w:val="none"/>
        </w:rPr>
        <w:t>法定代表人：</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法定代表人：</w:t>
      </w:r>
    </w:p>
    <w:p>
      <w:pPr>
        <w:pStyle w:val="55"/>
        <w:spacing w:line="440" w:lineRule="exact"/>
        <w:ind w:firstLine="397"/>
        <w:jc w:val="left"/>
        <w:rPr>
          <w:rFonts w:ascii="宋体" w:hAnsi="宋体"/>
          <w:color w:val="auto"/>
          <w:szCs w:val="24"/>
          <w:highlight w:val="none"/>
        </w:rPr>
      </w:pPr>
    </w:p>
    <w:p>
      <w:pPr>
        <w:pStyle w:val="55"/>
        <w:spacing w:line="440" w:lineRule="exact"/>
        <w:ind w:firstLine="397"/>
        <w:jc w:val="left"/>
        <w:rPr>
          <w:rFonts w:ascii="宋体" w:hAnsi="宋体"/>
          <w:color w:val="auto"/>
          <w:szCs w:val="24"/>
          <w:highlight w:val="none"/>
        </w:rPr>
      </w:pPr>
    </w:p>
    <w:p>
      <w:pPr>
        <w:pStyle w:val="55"/>
        <w:spacing w:line="440" w:lineRule="exact"/>
        <w:ind w:firstLine="397"/>
        <w:jc w:val="left"/>
        <w:rPr>
          <w:rFonts w:ascii="宋体" w:hAnsi="宋体"/>
          <w:color w:val="auto"/>
          <w:szCs w:val="24"/>
          <w:highlight w:val="none"/>
        </w:rPr>
      </w:pPr>
      <w:r>
        <w:rPr>
          <w:rFonts w:hint="eastAsia" w:ascii="宋体" w:hAnsi="宋体"/>
          <w:color w:val="auto"/>
          <w:szCs w:val="24"/>
          <w:highlight w:val="none"/>
        </w:rPr>
        <w:t>委托代理人：</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委托代理人：</w:t>
      </w:r>
    </w:p>
    <w:p>
      <w:pPr>
        <w:pStyle w:val="55"/>
        <w:spacing w:line="440" w:lineRule="exact"/>
        <w:ind w:firstLine="397"/>
        <w:jc w:val="left"/>
        <w:rPr>
          <w:rFonts w:ascii="宋体" w:hAnsi="宋体"/>
          <w:color w:val="auto"/>
          <w:szCs w:val="24"/>
          <w:highlight w:val="none"/>
        </w:rPr>
      </w:pPr>
    </w:p>
    <w:p>
      <w:pPr>
        <w:pStyle w:val="55"/>
        <w:spacing w:line="440" w:lineRule="exact"/>
        <w:ind w:firstLine="397"/>
        <w:jc w:val="left"/>
        <w:rPr>
          <w:rFonts w:ascii="宋体" w:hAnsi="宋体"/>
          <w:color w:val="auto"/>
          <w:szCs w:val="24"/>
          <w:highlight w:val="none"/>
        </w:rPr>
      </w:pPr>
    </w:p>
    <w:p>
      <w:pPr>
        <w:pStyle w:val="55"/>
        <w:spacing w:line="440" w:lineRule="exact"/>
        <w:ind w:firstLine="397"/>
        <w:jc w:val="left"/>
        <w:rPr>
          <w:rFonts w:ascii="宋体" w:hAnsi="宋体"/>
          <w:color w:val="auto"/>
          <w:szCs w:val="24"/>
          <w:highlight w:val="none"/>
        </w:rPr>
      </w:pPr>
      <w:r>
        <w:rPr>
          <w:rFonts w:hint="eastAsia" w:ascii="宋体" w:hAnsi="宋体"/>
          <w:color w:val="auto"/>
          <w:szCs w:val="24"/>
          <w:highlight w:val="none"/>
        </w:rPr>
        <w:t>签订时间：</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年</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月</w:t>
      </w:r>
      <w:r>
        <w:rPr>
          <w:rFonts w:hint="eastAsia" w:ascii="宋体" w:hAnsi="宋体"/>
          <w:color w:val="auto"/>
          <w:szCs w:val="24"/>
          <w:highlight w:val="none"/>
          <w:lang w:val="en-US" w:eastAsia="zh-CN"/>
        </w:rPr>
        <w:t xml:space="preserve">   </w:t>
      </w:r>
      <w:r>
        <w:rPr>
          <w:rFonts w:hint="eastAsia" w:ascii="宋体" w:hAnsi="宋体"/>
          <w:color w:val="auto"/>
          <w:szCs w:val="24"/>
          <w:highlight w:val="none"/>
        </w:rPr>
        <w:t>日</w:t>
      </w:r>
    </w:p>
    <w:p>
      <w:pPr>
        <w:pStyle w:val="55"/>
        <w:spacing w:line="440" w:lineRule="exact"/>
        <w:ind w:firstLine="397"/>
        <w:jc w:val="left"/>
        <w:rPr>
          <w:rFonts w:ascii="宋体" w:hAnsi="宋体"/>
          <w:color w:val="auto"/>
          <w:szCs w:val="24"/>
          <w:highlight w:val="none"/>
        </w:rPr>
      </w:pPr>
    </w:p>
    <w:p>
      <w:pPr>
        <w:widowControl/>
        <w:jc w:val="left"/>
        <w:rPr>
          <w:rFonts w:ascii="宋体" w:hAnsi="宋体" w:cs="宋体"/>
          <w:b/>
          <w:bCs/>
          <w:snapToGrid w:val="0"/>
          <w:color w:val="auto"/>
          <w:kern w:val="0"/>
          <w:sz w:val="28"/>
          <w:szCs w:val="28"/>
          <w:highlight w:val="none"/>
        </w:rPr>
      </w:pPr>
      <w:r>
        <w:rPr>
          <w:rFonts w:ascii="宋体" w:hAnsi="宋体"/>
          <w:b/>
          <w:bCs/>
          <w:color w:val="auto"/>
          <w:sz w:val="28"/>
          <w:szCs w:val="28"/>
          <w:highlight w:val="none"/>
        </w:rPr>
        <w:br w:type="page"/>
      </w:r>
    </w:p>
    <w:p>
      <w:pPr>
        <w:pStyle w:val="61"/>
        <w:adjustRightInd w:val="0"/>
        <w:snapToGrid w:val="0"/>
        <w:rPr>
          <w:rFonts w:ascii="宋体" w:hAnsi="宋体"/>
          <w:b/>
          <w:bCs/>
          <w:color w:val="auto"/>
          <w:sz w:val="28"/>
          <w:szCs w:val="28"/>
          <w:highlight w:val="none"/>
        </w:rPr>
      </w:pPr>
      <w:r>
        <w:rPr>
          <w:rFonts w:ascii="宋体" w:hAnsi="宋体"/>
          <w:b/>
          <w:bCs/>
          <w:color w:val="auto"/>
          <w:sz w:val="28"/>
          <w:szCs w:val="28"/>
          <w:highlight w:val="none"/>
        </w:rPr>
        <w:t>附件</w:t>
      </w:r>
      <w:r>
        <w:rPr>
          <w:rFonts w:hint="eastAsia" w:ascii="宋体" w:hAnsi="宋体"/>
          <w:b/>
          <w:bCs/>
          <w:color w:val="auto"/>
          <w:sz w:val="28"/>
          <w:szCs w:val="28"/>
          <w:highlight w:val="none"/>
          <w:lang w:val="en-US" w:eastAsia="zh-CN"/>
        </w:rPr>
        <w:t>1</w:t>
      </w:r>
      <w:r>
        <w:rPr>
          <w:rFonts w:ascii="宋体" w:hAnsi="宋体"/>
          <w:b/>
          <w:bCs/>
          <w:color w:val="auto"/>
          <w:sz w:val="28"/>
          <w:szCs w:val="28"/>
          <w:highlight w:val="none"/>
        </w:rPr>
        <w:t>：</w:t>
      </w:r>
      <w:r>
        <w:rPr>
          <w:rFonts w:hint="eastAsia" w:ascii="宋体" w:hAnsi="宋体"/>
          <w:b/>
          <w:bCs/>
          <w:color w:val="auto"/>
          <w:sz w:val="28"/>
          <w:szCs w:val="28"/>
          <w:highlight w:val="none"/>
        </w:rPr>
        <w:t>工程建设项目廉政责任书</w:t>
      </w:r>
    </w:p>
    <w:p>
      <w:pPr>
        <w:pStyle w:val="62"/>
        <w:adjustRightInd w:val="0"/>
        <w:snapToGrid w:val="0"/>
        <w:spacing w:line="400" w:lineRule="exact"/>
        <w:ind w:firstLine="0"/>
        <w:rPr>
          <w:rFonts w:ascii="宋体" w:hAnsi="宋体"/>
          <w:snapToGrid w:val="0"/>
          <w:color w:val="auto"/>
          <w:kern w:val="0"/>
          <w:sz w:val="24"/>
          <w:highlight w:val="none"/>
        </w:rPr>
      </w:pPr>
    </w:p>
    <w:p>
      <w:pPr>
        <w:pStyle w:val="61"/>
        <w:adjustRightInd w:val="0"/>
        <w:snapToGrid w:val="0"/>
        <w:spacing w:line="400" w:lineRule="exact"/>
        <w:ind w:left="495" w:hanging="495"/>
        <w:rPr>
          <w:rFonts w:ascii="宋体" w:hAnsi="宋体"/>
          <w:color w:val="auto"/>
          <w:sz w:val="24"/>
          <w:highlight w:val="none"/>
          <w:u w:val="single"/>
        </w:rPr>
      </w:pPr>
      <w:r>
        <w:rPr>
          <w:rFonts w:hint="eastAsia" w:ascii="宋体" w:hAnsi="宋体"/>
          <w:color w:val="auto"/>
          <w:sz w:val="24"/>
          <w:highlight w:val="none"/>
        </w:rPr>
        <w:t>工程项目名称：</w:t>
      </w:r>
    </w:p>
    <w:p>
      <w:pPr>
        <w:pStyle w:val="61"/>
        <w:adjustRightInd w:val="0"/>
        <w:snapToGrid w:val="0"/>
        <w:spacing w:line="400" w:lineRule="exact"/>
        <w:ind w:left="495" w:hanging="495"/>
        <w:rPr>
          <w:rFonts w:ascii="宋体" w:hAnsi="宋体"/>
          <w:color w:val="auto"/>
          <w:sz w:val="24"/>
          <w:highlight w:val="none"/>
        </w:rPr>
      </w:pPr>
      <w:r>
        <w:rPr>
          <w:rFonts w:hint="eastAsia" w:ascii="宋体" w:hAnsi="宋体"/>
          <w:color w:val="auto"/>
          <w:sz w:val="24"/>
          <w:highlight w:val="none"/>
        </w:rPr>
        <w:t>工程项目地址：</w:t>
      </w:r>
    </w:p>
    <w:p>
      <w:pPr>
        <w:pStyle w:val="61"/>
        <w:adjustRightInd w:val="0"/>
        <w:snapToGrid w:val="0"/>
        <w:spacing w:line="400" w:lineRule="exact"/>
        <w:rPr>
          <w:rFonts w:ascii="宋体" w:hAnsi="宋体"/>
          <w:color w:val="auto"/>
          <w:sz w:val="24"/>
          <w:highlight w:val="none"/>
          <w:u w:val="single"/>
        </w:rPr>
      </w:pPr>
      <w:r>
        <w:rPr>
          <w:rFonts w:hint="eastAsia" w:ascii="宋体" w:hAnsi="宋体"/>
          <w:color w:val="auto"/>
          <w:sz w:val="24"/>
          <w:highlight w:val="none"/>
        </w:rPr>
        <w:t>甲方：</w:t>
      </w:r>
    </w:p>
    <w:p>
      <w:pPr>
        <w:pStyle w:val="61"/>
        <w:adjustRightInd w:val="0"/>
        <w:snapToGrid w:val="0"/>
        <w:spacing w:line="400" w:lineRule="exact"/>
        <w:rPr>
          <w:rFonts w:ascii="宋体" w:hAnsi="宋体"/>
          <w:color w:val="auto"/>
          <w:sz w:val="24"/>
          <w:highlight w:val="none"/>
        </w:rPr>
      </w:pPr>
      <w:r>
        <w:rPr>
          <w:rFonts w:hint="eastAsia" w:ascii="宋体" w:hAnsi="宋体"/>
          <w:color w:val="auto"/>
          <w:sz w:val="24"/>
          <w:highlight w:val="none"/>
        </w:rPr>
        <w:t>乙方：</w:t>
      </w:r>
    </w:p>
    <w:p>
      <w:pPr>
        <w:pStyle w:val="61"/>
        <w:adjustRightInd w:val="0"/>
        <w:snapToGrid w:val="0"/>
        <w:spacing w:line="400" w:lineRule="exact"/>
        <w:rPr>
          <w:rFonts w:ascii="宋体" w:hAnsi="宋体"/>
          <w:color w:val="auto"/>
          <w:sz w:val="24"/>
          <w:highlight w:val="none"/>
        </w:rPr>
      </w:pP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第一条</w:t>
      </w:r>
      <w:r>
        <w:rPr>
          <w:rFonts w:hint="eastAsia" w:ascii="宋体" w:hAnsi="宋体" w:cs="宋体"/>
          <w:b/>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甲、乙双方的责任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（一）应严格遵守国家关于市场准入、项目招标投标、</w:t>
      </w:r>
      <w:r>
        <w:rPr>
          <w:rFonts w:hint="eastAsia" w:ascii="宋体" w:hAnsi="宋体" w:cs="宋体"/>
          <w:color w:val="auto"/>
          <w:kern w:val="0"/>
          <w:sz w:val="24"/>
          <w:highlight w:val="none"/>
        </w:rPr>
        <w:t>工程建设和市场活动</w:t>
      </w:r>
      <w:r>
        <w:rPr>
          <w:rFonts w:hint="eastAsia" w:ascii="宋体" w:hAnsi="宋体" w:cs="宋体"/>
          <w:snapToGrid w:val="0"/>
          <w:color w:val="auto"/>
          <w:kern w:val="0"/>
          <w:sz w:val="24"/>
          <w:highlight w:val="none"/>
        </w:rPr>
        <w:t>等有关法律、法规、相关政策，以及廉政建设的各项规定。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（二）严格执行建设工程项目承发包合同文件，自觉按合同办事。</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（三）业务活动必须坚持公开、公平、公正、诚信、透明的原则（除法律法规另有规定者外），不得为获取不正当的利益，损害国家、集体和对方利益，不得</w:t>
      </w:r>
      <w:r>
        <w:rPr>
          <w:rFonts w:hint="eastAsia" w:ascii="宋体" w:hAnsi="宋体" w:cs="宋体"/>
          <w:color w:val="auto"/>
          <w:kern w:val="0"/>
          <w:sz w:val="24"/>
          <w:highlight w:val="none"/>
        </w:rPr>
        <w:t>违反工程建设过程管理的规章制度。</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（四）发现对方在业务活动中有违规、违纪、违法行为的，应及时提醒对方，情节严重的，应向其上级主管部门或纪检监察、司法等有关机关举报。</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第二条</w:t>
      </w:r>
      <w:r>
        <w:rPr>
          <w:rFonts w:hint="eastAsia" w:ascii="宋体" w:hAnsi="宋体" w:cs="宋体"/>
          <w:b/>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甲方的责任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甲方的领导和从事本建设工程项目的工作人员，在工程建设的事前、事中、事后应遵守以下规定：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（一）不准向乙方和相关单位索要或接受回扣、礼金、有价证券、贵重物品和好处费、感谢费等。</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（二）不准在乙方和相关单位报销任何应由甲方或个人支付的费用。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（三）不准要求、暗示或接受乙方和相关单位为个人装修住房、婚丧嫁娶、配偶子女的工作安排以及出国（境）、旅游等提供方便。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（四）不准参加有可能影响公正执行公务的乙方及相关单位的宴请、健身、娱乐等活动。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（五）不准向乙方介绍或为配偶、子女、亲属参与同甲方项目工程合同有关的设备、材料、工程分包、劳务等经济活动。不得以任何理由向乙方和相关单位推荐分包单位。</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第三条</w:t>
      </w:r>
      <w:r>
        <w:rPr>
          <w:rFonts w:hint="eastAsia" w:ascii="宋体" w:hAnsi="宋体" w:cs="宋体"/>
          <w:b/>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乙方的责任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应与甲方保持正常的业务交往，按照有关法律法规和程序开展业务工作，严格执行</w:t>
      </w:r>
      <w:r>
        <w:rPr>
          <w:rFonts w:hint="eastAsia" w:ascii="宋体" w:hAnsi="宋体" w:cs="宋体"/>
          <w:color w:val="auto"/>
          <w:kern w:val="0"/>
          <w:sz w:val="24"/>
          <w:highlight w:val="none"/>
        </w:rPr>
        <w:t>工程建设过程管理的有关方针、政策，尤其是强制性标准和规范</w:t>
      </w:r>
      <w:r>
        <w:rPr>
          <w:rFonts w:hint="eastAsia" w:ascii="宋体" w:hAnsi="宋体" w:cs="宋体"/>
          <w:snapToGrid w:val="0"/>
          <w:color w:val="auto"/>
          <w:kern w:val="0"/>
          <w:sz w:val="24"/>
          <w:highlight w:val="none"/>
        </w:rPr>
        <w:t>，并遵守以下规定：</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（一）不准以任何理由向甲方、相关单位及其工作人员索要、接受或赠送礼金、有价证券、贵重物品及回扣、好处费、感谢费等。</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（二）不准以任何理由为甲方和相关单位报销应由对方或个人支付的费用。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（三）不准接受或暗示为甲方、相关单位或个人装修住房、婚丧嫁娶、配偶子女的工作安排以及出国（境）、旅游等提供方便。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（四）不准以任何理由为甲方、相关单位或个人组织有可能影响公正执行公务的宴请、健身、娱乐等活动。</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b/>
          <w:snapToGrid w:val="0"/>
          <w:color w:val="auto"/>
          <w:kern w:val="0"/>
          <w:sz w:val="24"/>
          <w:highlight w:val="none"/>
        </w:rPr>
        <w:t>第四条</w:t>
      </w:r>
      <w:r>
        <w:rPr>
          <w:rFonts w:hint="eastAsia" w:ascii="宋体" w:hAnsi="宋体" w:cs="宋体"/>
          <w:b/>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违约责任</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pPr>
        <w:adjustRightInd w:val="0"/>
        <w:snapToGrid w:val="0"/>
        <w:spacing w:line="440" w:lineRule="exact"/>
        <w:ind w:firstLine="482"/>
        <w:rPr>
          <w:rFonts w:ascii="宋体" w:hAnsi="宋体" w:cs="宋体"/>
          <w:color w:val="auto"/>
          <w:kern w:val="0"/>
          <w:sz w:val="24"/>
          <w:highlight w:val="none"/>
        </w:rPr>
      </w:pPr>
      <w:r>
        <w:rPr>
          <w:rFonts w:hint="eastAsia" w:ascii="宋体" w:hAnsi="宋体" w:cs="宋体"/>
          <w:snapToGrid w:val="0"/>
          <w:color w:val="auto"/>
          <w:kern w:val="0"/>
          <w:sz w:val="24"/>
          <w:highlight w:val="none"/>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第五条</w:t>
      </w:r>
      <w:r>
        <w:rPr>
          <w:rFonts w:hint="eastAsia" w:ascii="宋体" w:hAnsi="宋体" w:cs="宋体"/>
          <w:b/>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本廉政责任书作为合同的附件，与合同具有同等法律效力。经双方签署后立即生效。</w:t>
      </w:r>
    </w:p>
    <w:p>
      <w:pPr>
        <w:adjustRightInd w:val="0"/>
        <w:snapToGrid w:val="0"/>
        <w:spacing w:line="440" w:lineRule="exact"/>
        <w:ind w:firstLine="482"/>
        <w:rPr>
          <w:rFonts w:ascii="宋体" w:hAnsi="宋体" w:cs="宋体"/>
          <w:b/>
          <w:color w:val="auto"/>
          <w:kern w:val="0"/>
          <w:sz w:val="24"/>
          <w:highlight w:val="none"/>
        </w:rPr>
      </w:pPr>
      <w:r>
        <w:rPr>
          <w:rFonts w:hint="eastAsia" w:ascii="宋体" w:hAnsi="宋体" w:cs="宋体"/>
          <w:b/>
          <w:snapToGrid w:val="0"/>
          <w:color w:val="auto"/>
          <w:kern w:val="0"/>
          <w:sz w:val="24"/>
          <w:highlight w:val="none"/>
        </w:rPr>
        <w:t>第六条</w:t>
      </w:r>
      <w:r>
        <w:rPr>
          <w:rFonts w:hint="eastAsia" w:ascii="宋体" w:hAnsi="宋体" w:cs="宋体"/>
          <w:b/>
          <w:snapToGrid w:val="0"/>
          <w:color w:val="auto"/>
          <w:kern w:val="0"/>
          <w:sz w:val="24"/>
          <w:highlight w:val="none"/>
          <w:lang w:val="en-US" w:eastAsia="zh-CN"/>
        </w:rPr>
        <w:t xml:space="preserve"> </w:t>
      </w:r>
      <w:r>
        <w:rPr>
          <w:rFonts w:hint="eastAsia" w:ascii="宋体" w:hAnsi="宋体" w:cs="宋体"/>
          <w:snapToGrid w:val="0"/>
          <w:color w:val="auto"/>
          <w:kern w:val="0"/>
          <w:sz w:val="24"/>
          <w:highlight w:val="none"/>
        </w:rPr>
        <w:t>本廉政责任书的有效期与合同的有效期相同。</w:t>
      </w:r>
    </w:p>
    <w:p>
      <w:pPr>
        <w:adjustRightInd w:val="0"/>
        <w:snapToGrid w:val="0"/>
        <w:spacing w:line="440" w:lineRule="exact"/>
        <w:ind w:firstLine="482"/>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第七条</w:t>
      </w:r>
      <w:r>
        <w:rPr>
          <w:rFonts w:hint="eastAsia" w:ascii="宋体" w:hAnsi="宋体" w:cs="宋体"/>
          <w:b w:val="0"/>
          <w:bCs/>
          <w:snapToGrid w:val="0"/>
          <w:color w:val="auto"/>
          <w:kern w:val="0"/>
          <w:sz w:val="24"/>
          <w:highlight w:val="none"/>
          <w:lang w:val="en-US" w:eastAsia="zh-CN"/>
        </w:rPr>
        <w:t xml:space="preserve"> </w:t>
      </w:r>
      <w:r>
        <w:rPr>
          <w:rFonts w:hint="eastAsia" w:ascii="宋体" w:hAnsi="宋体" w:cs="宋体"/>
          <w:b w:val="0"/>
          <w:bCs/>
          <w:snapToGrid w:val="0"/>
          <w:color w:val="auto"/>
          <w:kern w:val="0"/>
          <w:sz w:val="24"/>
          <w:highlight w:val="none"/>
        </w:rPr>
        <w:t>本廉政责任书份数和合同份数一致。</w:t>
      </w:r>
    </w:p>
    <w:p>
      <w:pPr>
        <w:adjustRightInd w:val="0"/>
        <w:snapToGrid w:val="0"/>
        <w:spacing w:line="380" w:lineRule="exact"/>
        <w:ind w:right="11"/>
        <w:rPr>
          <w:rFonts w:ascii="宋体" w:hAnsi="宋体" w:cs="宋体"/>
          <w:snapToGrid w:val="0"/>
          <w:color w:val="auto"/>
          <w:kern w:val="0"/>
          <w:sz w:val="24"/>
          <w:highlight w:val="none"/>
        </w:rPr>
      </w:pPr>
    </w:p>
    <w:p>
      <w:pPr>
        <w:pStyle w:val="61"/>
        <w:adjustRightInd w:val="0"/>
        <w:snapToGrid w:val="0"/>
        <w:spacing w:line="360" w:lineRule="auto"/>
        <w:ind w:left="1920" w:right="11" w:hanging="1920" w:hangingChars="800"/>
        <w:rPr>
          <w:rFonts w:ascii="宋体" w:hAnsi="宋体"/>
          <w:color w:val="auto"/>
          <w:sz w:val="24"/>
          <w:highlight w:val="none"/>
        </w:rPr>
      </w:pPr>
      <w:r>
        <w:rPr>
          <w:rFonts w:hint="eastAsia" w:ascii="宋体" w:hAnsi="宋体"/>
          <w:color w:val="auto"/>
          <w:sz w:val="24"/>
          <w:highlight w:val="none"/>
        </w:rPr>
        <w:t>甲方：</w:t>
      </w:r>
      <w:r>
        <w:rPr>
          <w:rFonts w:hint="eastAsia" w:ascii="宋体" w:hAnsi="宋体"/>
          <w:color w:val="auto"/>
          <w:sz w:val="24"/>
          <w:highlight w:val="none"/>
          <w:lang w:val="en-US" w:eastAsia="zh-CN"/>
        </w:rPr>
        <w:t xml:space="preserve">                                   </w:t>
      </w:r>
      <w:r>
        <w:rPr>
          <w:rFonts w:hint="eastAsia" w:ascii="宋体" w:hAnsi="宋体"/>
          <w:color w:val="auto"/>
          <w:sz w:val="24"/>
          <w:highlight w:val="none"/>
        </w:rPr>
        <w:t>乙方：</w:t>
      </w:r>
    </w:p>
    <w:p>
      <w:pPr>
        <w:pStyle w:val="61"/>
        <w:adjustRightInd w:val="0"/>
        <w:snapToGrid w:val="0"/>
        <w:spacing w:line="360" w:lineRule="auto"/>
        <w:ind w:left="1917" w:leftChars="513" w:right="11" w:hanging="840" w:hangingChars="350"/>
        <w:rPr>
          <w:rFonts w:ascii="宋体" w:hAnsi="宋体"/>
          <w:color w:val="auto"/>
          <w:sz w:val="24"/>
          <w:highlight w:val="none"/>
        </w:rPr>
      </w:pPr>
    </w:p>
    <w:p>
      <w:pPr>
        <w:pStyle w:val="61"/>
        <w:adjustRightInd w:val="0"/>
        <w:snapToGrid w:val="0"/>
        <w:spacing w:line="360" w:lineRule="auto"/>
        <w:ind w:right="11"/>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法定代表人：</w:t>
      </w:r>
    </w:p>
    <w:p>
      <w:pPr>
        <w:pStyle w:val="61"/>
        <w:tabs>
          <w:tab w:val="left" w:pos="5460"/>
        </w:tabs>
        <w:adjustRightInd w:val="0"/>
        <w:snapToGrid w:val="0"/>
        <w:spacing w:line="360" w:lineRule="auto"/>
        <w:ind w:left="-2" w:leftChars="-1" w:right="11"/>
        <w:rPr>
          <w:rFonts w:ascii="宋体" w:hAnsi="宋体"/>
          <w:color w:val="auto"/>
          <w:sz w:val="24"/>
          <w:highlight w:val="none"/>
        </w:rPr>
      </w:pPr>
    </w:p>
    <w:p>
      <w:pPr>
        <w:pStyle w:val="61"/>
        <w:tabs>
          <w:tab w:val="left" w:pos="5460"/>
        </w:tabs>
        <w:adjustRightInd w:val="0"/>
        <w:snapToGrid w:val="0"/>
        <w:spacing w:line="360" w:lineRule="auto"/>
        <w:ind w:left="-2" w:leftChars="-1" w:right="11"/>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委托代理人：</w:t>
      </w:r>
    </w:p>
    <w:p>
      <w:pPr>
        <w:pStyle w:val="61"/>
        <w:tabs>
          <w:tab w:val="left" w:pos="5460"/>
        </w:tabs>
        <w:adjustRightInd w:val="0"/>
        <w:snapToGrid w:val="0"/>
        <w:spacing w:line="400" w:lineRule="exact"/>
        <w:ind w:left="-2" w:leftChars="-1" w:right="11"/>
        <w:rPr>
          <w:rFonts w:ascii="宋体" w:hAnsi="宋体"/>
          <w:color w:val="auto"/>
          <w:sz w:val="24"/>
          <w:highlight w:val="none"/>
        </w:rPr>
      </w:pPr>
    </w:p>
    <w:p>
      <w:pPr>
        <w:pStyle w:val="61"/>
        <w:tabs>
          <w:tab w:val="left" w:pos="5460"/>
        </w:tabs>
        <w:adjustRightInd w:val="0"/>
        <w:snapToGrid w:val="0"/>
        <w:spacing w:line="400" w:lineRule="exact"/>
        <w:ind w:left="-2" w:leftChars="-1" w:right="11"/>
        <w:rPr>
          <w:rFonts w:ascii="宋体" w:hAnsi="宋体"/>
          <w:color w:val="auto"/>
          <w:sz w:val="24"/>
          <w:highlight w:val="none"/>
        </w:rPr>
      </w:pPr>
      <w:r>
        <w:rPr>
          <w:rFonts w:hint="eastAsia" w:ascii="宋体" w:hAnsi="宋体"/>
          <w:color w:val="auto"/>
          <w:sz w:val="24"/>
          <w:highlight w:val="none"/>
        </w:rPr>
        <w:t>签约日期：</w:t>
      </w:r>
      <w:r>
        <w:rPr>
          <w:rFonts w:hint="eastAsia" w:ascii="宋体" w:hAnsi="宋体"/>
          <w:color w:val="auto"/>
          <w:sz w:val="24"/>
          <w:highlight w:val="non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p>
    <w:p>
      <w:pPr>
        <w:pStyle w:val="61"/>
        <w:spacing w:line="400" w:lineRule="exact"/>
        <w:rPr>
          <w:rFonts w:hAnsi="宋体" w:eastAsia="仿宋_GB2312"/>
          <w:color w:val="auto"/>
          <w:sz w:val="28"/>
          <w:szCs w:val="28"/>
          <w:highlight w:val="none"/>
        </w:rPr>
      </w:pPr>
      <w:r>
        <w:rPr>
          <w:rFonts w:hint="eastAsia" w:ascii="宋体" w:hAnsi="宋体"/>
          <w:color w:val="auto"/>
          <w:sz w:val="24"/>
          <w:highlight w:val="none"/>
        </w:rPr>
        <w:t>签约地点：广东省广州市黄埔区。</w:t>
      </w:r>
    </w:p>
    <w:p>
      <w:pPr>
        <w:rPr>
          <w:rFonts w:ascii="宋体" w:hAnsi="宋体" w:cs="宋体"/>
          <w:color w:val="auto"/>
          <w:sz w:val="32"/>
          <w:szCs w:val="32"/>
          <w:highlight w:val="none"/>
        </w:rPr>
      </w:pPr>
    </w:p>
    <w:p>
      <w:pPr>
        <w:pStyle w:val="6"/>
        <w:ind w:firstLine="0"/>
        <w:rPr>
          <w:rFonts w:ascii="宋体" w:hAnsi="宋体" w:cs="宋体"/>
          <w:color w:val="auto"/>
          <w:sz w:val="32"/>
          <w:szCs w:val="32"/>
          <w:highlight w:val="none"/>
        </w:rPr>
      </w:pPr>
    </w:p>
    <w:p>
      <w:pPr>
        <w:pStyle w:val="14"/>
        <w:spacing w:before="88" w:line="342" w:lineRule="auto"/>
        <w:ind w:right="258"/>
        <w:jc w:val="both"/>
        <w:rPr>
          <w:rFonts w:hint="default" w:ascii="黑体" w:hAnsi="黑体" w:eastAsia="黑体" w:cs="黑体"/>
          <w:color w:val="FF0000"/>
          <w:spacing w:val="3"/>
          <w:sz w:val="24"/>
          <w:szCs w:val="24"/>
          <w:vertAlign w:val="baseline"/>
          <w:lang w:val="en-US" w:eastAsia="zh-CN"/>
        </w:rPr>
      </w:pPr>
      <w:r>
        <w:rPr>
          <w:rFonts w:hint="eastAsia" w:ascii="宋体" w:hAnsi="宋体" w:eastAsia="宋体" w:cs="宋体"/>
          <w:b/>
          <w:bCs/>
          <w:color w:val="FF0000"/>
          <w:spacing w:val="3"/>
          <w:sz w:val="24"/>
          <w:szCs w:val="24"/>
          <w:lang w:val="en-US" w:eastAsia="zh-CN"/>
        </w:rPr>
        <w:t>附件</w:t>
      </w:r>
      <w:r>
        <w:rPr>
          <w:rFonts w:hint="eastAsia" w:ascii="宋体" w:hAnsi="宋体" w:cs="宋体"/>
          <w:b/>
          <w:bCs/>
          <w:color w:val="FF0000"/>
          <w:spacing w:val="3"/>
          <w:sz w:val="24"/>
          <w:szCs w:val="24"/>
          <w:lang w:val="en-US" w:eastAsia="zh-CN"/>
        </w:rPr>
        <w:t>2</w:t>
      </w:r>
      <w:r>
        <w:rPr>
          <w:rFonts w:hint="eastAsia" w:ascii="宋体" w:hAnsi="宋体" w:eastAsia="宋体" w:cs="宋体"/>
          <w:b/>
          <w:bCs/>
          <w:color w:val="FF0000"/>
          <w:spacing w:val="3"/>
          <w:sz w:val="24"/>
          <w:szCs w:val="24"/>
          <w:lang w:val="en-US" w:eastAsia="zh-CN"/>
        </w:rPr>
        <w:t>：《广州开发区财政投资建设项目管理中心拒绝投标资格惩戒措施清单》</w:t>
      </w:r>
    </w:p>
    <w:tbl>
      <w:tblPr>
        <w:tblStyle w:val="32"/>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774"/>
        <w:gridCol w:w="1381"/>
        <w:gridCol w:w="3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eastAsia="zh-CN"/>
              </w:rPr>
            </w:pPr>
            <w:r>
              <w:rPr>
                <w:rFonts w:hint="eastAsia" w:ascii="仿宋" w:hAnsi="仿宋" w:eastAsia="仿宋" w:cs="仿宋"/>
                <w:spacing w:val="3"/>
                <w:sz w:val="21"/>
                <w:szCs w:val="21"/>
                <w:vertAlign w:val="baseline"/>
                <w:lang w:eastAsia="zh-CN"/>
              </w:rPr>
              <w:t>序号</w:t>
            </w:r>
          </w:p>
        </w:tc>
        <w:tc>
          <w:tcPr>
            <w:tcW w:w="3774"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eastAsia="zh-CN"/>
              </w:rPr>
            </w:pPr>
            <w:r>
              <w:rPr>
                <w:rFonts w:hint="eastAsia" w:ascii="仿宋" w:hAnsi="仿宋" w:eastAsia="仿宋" w:cs="仿宋"/>
                <w:spacing w:val="3"/>
                <w:sz w:val="21"/>
                <w:szCs w:val="21"/>
                <w:vertAlign w:val="baseline"/>
                <w:lang w:eastAsia="zh-CN"/>
              </w:rPr>
              <w:t>拒绝投标情形</w:t>
            </w:r>
          </w:p>
        </w:tc>
        <w:tc>
          <w:tcPr>
            <w:tcW w:w="1381"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eastAsia="zh-CN"/>
              </w:rPr>
            </w:pPr>
            <w:r>
              <w:rPr>
                <w:rFonts w:hint="eastAsia" w:ascii="仿宋" w:hAnsi="仿宋" w:eastAsia="仿宋" w:cs="仿宋"/>
                <w:spacing w:val="3"/>
                <w:sz w:val="21"/>
                <w:szCs w:val="21"/>
                <w:vertAlign w:val="baseline"/>
                <w:lang w:eastAsia="zh-CN"/>
              </w:rPr>
              <w:t>惩戒期限</w:t>
            </w:r>
          </w:p>
        </w:tc>
        <w:tc>
          <w:tcPr>
            <w:tcW w:w="3312"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政策依据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1</w:t>
            </w:r>
          </w:p>
        </w:tc>
        <w:tc>
          <w:tcPr>
            <w:tcW w:w="3774" w:type="dxa"/>
            <w:noWrap w:val="0"/>
            <w:vAlign w:val="center"/>
          </w:tcPr>
          <w:p>
            <w:pPr>
              <w:pStyle w:val="14"/>
              <w:spacing w:before="0" w:after="0" w:line="240" w:lineRule="auto"/>
              <w:ind w:right="0"/>
              <w:jc w:val="both"/>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将中标工程转包或者违法分包的。</w:t>
            </w:r>
          </w:p>
        </w:tc>
        <w:tc>
          <w:tcPr>
            <w:tcW w:w="1381" w:type="dxa"/>
            <w:noWrap w:val="0"/>
            <w:vAlign w:val="center"/>
          </w:tcPr>
          <w:p>
            <w:pPr>
              <w:pStyle w:val="14"/>
              <w:spacing w:before="0" w:after="0" w:line="240" w:lineRule="auto"/>
              <w:ind w:right="0"/>
              <w:jc w:val="center"/>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top"/>
          </w:tcPr>
          <w:p>
            <w:pPr>
              <w:numPr>
                <w:ilvl w:val="0"/>
                <w:numId w:val="0"/>
              </w:numPr>
              <w:spacing w:line="240" w:lineRule="auto"/>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2</w:t>
            </w:r>
          </w:p>
        </w:tc>
        <w:tc>
          <w:tcPr>
            <w:tcW w:w="3774" w:type="dxa"/>
            <w:noWrap w:val="0"/>
            <w:vAlign w:val="center"/>
          </w:tcPr>
          <w:p>
            <w:pPr>
              <w:snapToGrid/>
              <w:spacing w:line="240" w:lineRule="auto"/>
              <w:contextualSpacing/>
              <w:jc w:val="both"/>
              <w:rPr>
                <w:rFonts w:hint="eastAsia" w:ascii="仿宋" w:hAnsi="仿宋" w:eastAsia="仿宋" w:cs="仿宋"/>
                <w:sz w:val="21"/>
                <w:szCs w:val="21"/>
                <w:lang w:eastAsia="zh-CN"/>
              </w:rPr>
            </w:pPr>
            <w:r>
              <w:rPr>
                <w:rFonts w:hint="eastAsia" w:ascii="仿宋" w:hAnsi="仿宋" w:eastAsia="仿宋" w:cs="仿宋"/>
                <w:sz w:val="21"/>
                <w:szCs w:val="21"/>
              </w:rPr>
              <w:t>在中标工程中不执行质量、安全生产相关规定的，造成质量或安全事故的</w:t>
            </w:r>
            <w:r>
              <w:rPr>
                <w:rFonts w:hint="eastAsia" w:ascii="仿宋" w:hAnsi="仿宋" w:eastAsia="仿宋" w:cs="仿宋"/>
                <w:sz w:val="21"/>
                <w:szCs w:val="21"/>
                <w:lang w:eastAsia="zh-CN"/>
              </w:rPr>
              <w:t>。</w:t>
            </w:r>
          </w:p>
        </w:tc>
        <w:tc>
          <w:tcPr>
            <w:tcW w:w="1381" w:type="dxa"/>
            <w:noWrap w:val="0"/>
            <w:vAlign w:val="center"/>
          </w:tcPr>
          <w:p>
            <w:pPr>
              <w:pStyle w:val="14"/>
              <w:spacing w:before="0" w:after="0" w:line="240" w:lineRule="auto"/>
              <w:ind w:right="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top"/>
          </w:tcPr>
          <w:p>
            <w:pPr>
              <w:numPr>
                <w:ilvl w:val="0"/>
                <w:numId w:val="0"/>
              </w:numPr>
              <w:spacing w:line="240" w:lineRule="auto"/>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3</w:t>
            </w:r>
          </w:p>
        </w:tc>
        <w:tc>
          <w:tcPr>
            <w:tcW w:w="3774"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napToGrid w:val="0"/>
                <w:color w:val="000000"/>
                <w:kern w:val="0"/>
                <w:sz w:val="21"/>
                <w:szCs w:val="21"/>
                <w:lang w:val="en-US" w:eastAsia="en-US" w:bidi="ar-SA"/>
              </w:rPr>
              <w:t>出让投标资格的</w:t>
            </w:r>
            <w:r>
              <w:rPr>
                <w:rFonts w:hint="eastAsia" w:ascii="仿宋" w:hAnsi="仿宋" w:eastAsia="仿宋" w:cs="仿宋"/>
                <w:snapToGrid w:val="0"/>
                <w:color w:val="000000"/>
                <w:kern w:val="0"/>
                <w:sz w:val="21"/>
                <w:szCs w:val="21"/>
                <w:lang w:val="en-US" w:eastAsia="zh-CN" w:bidi="ar-SA"/>
              </w:rPr>
              <w:t>。</w:t>
            </w:r>
          </w:p>
        </w:tc>
        <w:tc>
          <w:tcPr>
            <w:tcW w:w="1381" w:type="dxa"/>
            <w:noWrap w:val="0"/>
            <w:vAlign w:val="center"/>
          </w:tcPr>
          <w:p>
            <w:pPr>
              <w:pStyle w:val="14"/>
              <w:spacing w:before="0" w:after="0" w:line="240" w:lineRule="auto"/>
              <w:ind w:right="0"/>
              <w:jc w:val="center"/>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top"/>
          </w:tcPr>
          <w:p>
            <w:pPr>
              <w:numPr>
                <w:ilvl w:val="0"/>
                <w:numId w:val="0"/>
              </w:numPr>
              <w:spacing w:line="240" w:lineRule="auto"/>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4</w:t>
            </w:r>
          </w:p>
        </w:tc>
        <w:tc>
          <w:tcPr>
            <w:tcW w:w="3774"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pacing w:val="3"/>
                <w:sz w:val="21"/>
                <w:szCs w:val="21"/>
                <w:vertAlign w:val="baseline"/>
                <w:lang w:eastAsia="zh-CN"/>
              </w:rPr>
              <w:t>存在围标或串标情形的。</w:t>
            </w:r>
          </w:p>
        </w:tc>
        <w:tc>
          <w:tcPr>
            <w:tcW w:w="1381"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top"/>
          </w:tcPr>
          <w:p>
            <w:pPr>
              <w:numPr>
                <w:ilvl w:val="0"/>
                <w:numId w:val="0"/>
              </w:numPr>
              <w:spacing w:line="240" w:lineRule="auto"/>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5</w:t>
            </w:r>
          </w:p>
        </w:tc>
        <w:tc>
          <w:tcPr>
            <w:tcW w:w="3774"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napToGrid w:val="0"/>
                <w:color w:val="000000"/>
                <w:spacing w:val="3"/>
                <w:kern w:val="0"/>
                <w:sz w:val="21"/>
                <w:szCs w:val="21"/>
                <w:lang w:val="en-US" w:eastAsia="zh-CN" w:bidi="ar-SA"/>
              </w:rPr>
              <w:t>在投标文件中提供虚假材料的。</w:t>
            </w:r>
          </w:p>
        </w:tc>
        <w:tc>
          <w:tcPr>
            <w:tcW w:w="1381"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top"/>
          </w:tcPr>
          <w:p>
            <w:pPr>
              <w:numPr>
                <w:ilvl w:val="0"/>
                <w:numId w:val="0"/>
              </w:numPr>
              <w:spacing w:line="240" w:lineRule="auto"/>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6</w:t>
            </w:r>
          </w:p>
        </w:tc>
        <w:tc>
          <w:tcPr>
            <w:tcW w:w="3774" w:type="dxa"/>
            <w:noWrap w:val="0"/>
            <w:vAlign w:val="center"/>
          </w:tcPr>
          <w:p>
            <w:pPr>
              <w:spacing w:line="240" w:lineRule="auto"/>
              <w:jc w:val="both"/>
              <w:rPr>
                <w:rFonts w:hint="eastAsia" w:ascii="仿宋" w:hAnsi="仿宋" w:eastAsia="仿宋" w:cs="仿宋"/>
                <w:snapToGrid w:val="0"/>
                <w:color w:val="000000"/>
                <w:spacing w:val="3"/>
                <w:kern w:val="0"/>
                <w:sz w:val="21"/>
                <w:szCs w:val="21"/>
                <w:lang w:val="en-US" w:eastAsia="zh-CN" w:bidi="ar-SA"/>
              </w:rPr>
            </w:pPr>
            <w:r>
              <w:rPr>
                <w:rFonts w:hint="eastAsia" w:ascii="仿宋" w:hAnsi="仿宋" w:eastAsia="仿宋" w:cs="仿宋"/>
                <w:sz w:val="21"/>
                <w:szCs w:val="21"/>
              </w:rPr>
              <w:t>存在少放、不放业绩、奖项等客观评审资料，减少自身竞争力情形的</w:t>
            </w:r>
            <w:r>
              <w:rPr>
                <w:rFonts w:hint="eastAsia" w:ascii="仿宋" w:hAnsi="仿宋" w:eastAsia="仿宋" w:cs="仿宋"/>
                <w:sz w:val="21"/>
                <w:szCs w:val="21"/>
                <w:lang w:eastAsia="zh-CN"/>
              </w:rPr>
              <w:t>。</w:t>
            </w:r>
          </w:p>
        </w:tc>
        <w:tc>
          <w:tcPr>
            <w:tcW w:w="1381" w:type="dxa"/>
            <w:noWrap w:val="0"/>
            <w:vAlign w:val="center"/>
          </w:tcPr>
          <w:p>
            <w:pPr>
              <w:pStyle w:val="14"/>
              <w:spacing w:before="0" w:after="0" w:line="240" w:lineRule="auto"/>
              <w:ind w:right="0"/>
              <w:jc w:val="center"/>
              <w:rPr>
                <w:rFonts w:hint="default" w:ascii="仿宋" w:hAnsi="仿宋" w:eastAsia="仿宋" w:cs="仿宋"/>
                <w:spacing w:val="3"/>
                <w:sz w:val="21"/>
                <w:szCs w:val="21"/>
                <w:vertAlign w:val="baseline"/>
                <w:lang w:val="en-US"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center"/>
          </w:tcPr>
          <w:p>
            <w:pPr>
              <w:pStyle w:val="14"/>
              <w:spacing w:before="0" w:after="0" w:line="240" w:lineRule="auto"/>
              <w:ind w:right="0"/>
              <w:jc w:val="both"/>
              <w:rPr>
                <w:rFonts w:hint="default"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7</w:t>
            </w:r>
          </w:p>
        </w:tc>
        <w:tc>
          <w:tcPr>
            <w:tcW w:w="3774" w:type="dxa"/>
            <w:noWrap w:val="0"/>
            <w:vAlign w:val="center"/>
          </w:tcPr>
          <w:p>
            <w:pPr>
              <w:spacing w:line="240" w:lineRule="auto"/>
              <w:jc w:val="both"/>
              <w:rPr>
                <w:rFonts w:hint="eastAsia" w:ascii="仿宋" w:hAnsi="仿宋" w:eastAsia="仿宋" w:cs="仿宋"/>
                <w:spacing w:val="3"/>
                <w:sz w:val="21"/>
                <w:szCs w:val="21"/>
                <w:vertAlign w:val="baseline"/>
                <w:lang w:eastAsia="zh-CN"/>
              </w:rPr>
            </w:pPr>
            <w:r>
              <w:rPr>
                <w:rFonts w:hint="eastAsia" w:ascii="仿宋" w:hAnsi="仿宋" w:eastAsia="仿宋" w:cs="仿宋"/>
                <w:snapToGrid w:val="0"/>
                <w:color w:val="000000"/>
                <w:spacing w:val="3"/>
                <w:kern w:val="0"/>
                <w:sz w:val="21"/>
                <w:szCs w:val="21"/>
                <w:lang w:val="en-US" w:eastAsia="zh-CN" w:bidi="ar-SA"/>
              </w:rPr>
              <w:t>存在行贿情形的。</w:t>
            </w:r>
          </w:p>
        </w:tc>
        <w:tc>
          <w:tcPr>
            <w:tcW w:w="1381"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top"/>
          </w:tcPr>
          <w:p>
            <w:pPr>
              <w:numPr>
                <w:ilvl w:val="0"/>
                <w:numId w:val="0"/>
              </w:numPr>
              <w:spacing w:line="240" w:lineRule="auto"/>
              <w:rPr>
                <w:rFonts w:hint="eastAsia" w:ascii="仿宋" w:hAnsi="仿宋" w:eastAsia="仿宋" w:cs="仿宋"/>
                <w:snapToGrid w:val="0"/>
                <w:color w:val="000000"/>
                <w:kern w:val="0"/>
                <w:sz w:val="21"/>
                <w:szCs w:val="21"/>
                <w:lang w:val="en-US" w:eastAsia="zh-CN" w:bidi="ar-SA"/>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8</w:t>
            </w:r>
          </w:p>
        </w:tc>
        <w:tc>
          <w:tcPr>
            <w:tcW w:w="3774"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z w:val="21"/>
                <w:szCs w:val="21"/>
              </w:rPr>
              <w:t>拖欠农民工工资的</w:t>
            </w:r>
            <w:r>
              <w:rPr>
                <w:rFonts w:hint="eastAsia" w:ascii="仿宋" w:hAnsi="仿宋" w:eastAsia="仿宋" w:cs="仿宋"/>
                <w:sz w:val="21"/>
                <w:szCs w:val="21"/>
                <w:lang w:eastAsia="zh-CN"/>
              </w:rPr>
              <w:t>。</w:t>
            </w:r>
          </w:p>
        </w:tc>
        <w:tc>
          <w:tcPr>
            <w:tcW w:w="1381" w:type="dxa"/>
            <w:noWrap w:val="0"/>
            <w:vAlign w:val="center"/>
          </w:tcPr>
          <w:p>
            <w:pPr>
              <w:pStyle w:val="14"/>
              <w:spacing w:before="0" w:after="0" w:line="240" w:lineRule="auto"/>
              <w:ind w:right="0"/>
              <w:jc w:val="center"/>
              <w:rPr>
                <w:rFonts w:hint="default" w:ascii="仿宋" w:hAnsi="仿宋" w:eastAsia="仿宋" w:cs="仿宋"/>
                <w:spacing w:val="3"/>
                <w:sz w:val="21"/>
                <w:szCs w:val="21"/>
                <w:vertAlign w:val="baseline"/>
                <w:lang w:val="en-US"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9</w:t>
            </w:r>
          </w:p>
        </w:tc>
        <w:tc>
          <w:tcPr>
            <w:tcW w:w="3774"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pacing w:val="3"/>
                <w:sz w:val="21"/>
                <w:szCs w:val="21"/>
                <w:highlight w:val="none"/>
                <w:vertAlign w:val="baseline"/>
                <w:lang w:val="en-US" w:eastAsia="zh-CN"/>
              </w:rPr>
              <w:t>未按照国家、省、市有关建筑施工实名制管理和工人工资支付分账管理的规定执行，被行政监管部门处罚的。</w:t>
            </w:r>
          </w:p>
        </w:tc>
        <w:tc>
          <w:tcPr>
            <w:tcW w:w="1381" w:type="dxa"/>
            <w:noWrap w:val="0"/>
            <w:vAlign w:val="center"/>
          </w:tcPr>
          <w:p>
            <w:pPr>
              <w:pStyle w:val="14"/>
              <w:spacing w:before="0" w:after="0" w:line="240" w:lineRule="auto"/>
              <w:ind w:right="0"/>
              <w:jc w:val="center"/>
              <w:rPr>
                <w:rFonts w:hint="default" w:ascii="仿宋" w:hAnsi="仿宋" w:eastAsia="仿宋" w:cs="仿宋"/>
                <w:spacing w:val="3"/>
                <w:sz w:val="21"/>
                <w:szCs w:val="21"/>
                <w:vertAlign w:val="baseline"/>
                <w:lang w:val="en-US"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default"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10</w:t>
            </w:r>
          </w:p>
        </w:tc>
        <w:tc>
          <w:tcPr>
            <w:tcW w:w="3774"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pacing w:val="3"/>
                <w:sz w:val="21"/>
                <w:szCs w:val="21"/>
                <w:vertAlign w:val="baseline"/>
                <w:lang w:val="en-US" w:eastAsia="zh-CN"/>
              </w:rPr>
              <w:t>在项目实施过程中选取的专业分包单位或劳务企业或劳务班组长与投标承诺不一致的（如有）。</w:t>
            </w:r>
          </w:p>
        </w:tc>
        <w:tc>
          <w:tcPr>
            <w:tcW w:w="1381" w:type="dxa"/>
            <w:noWrap w:val="0"/>
            <w:vAlign w:val="center"/>
          </w:tcPr>
          <w:p>
            <w:pPr>
              <w:pStyle w:val="14"/>
              <w:spacing w:before="0" w:after="0" w:line="240" w:lineRule="auto"/>
              <w:ind w:right="0"/>
              <w:jc w:val="center"/>
              <w:rPr>
                <w:rFonts w:hint="default" w:ascii="仿宋" w:hAnsi="仿宋" w:eastAsia="仿宋" w:cs="仿宋"/>
                <w:spacing w:val="3"/>
                <w:sz w:val="21"/>
                <w:szCs w:val="21"/>
                <w:vertAlign w:val="baseline"/>
                <w:lang w:val="en-US"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napToGrid w:val="0"/>
                <w:color w:val="000000"/>
                <w:kern w:val="0"/>
                <w:sz w:val="21"/>
                <w:szCs w:val="21"/>
                <w:lang w:val="en-US" w:eastAsia="zh-CN" w:bidi="ar-SA"/>
              </w:rPr>
              <w:t>广州市建设工程施工招标文件范本修改表（2024年11月）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default" w:ascii="仿宋" w:hAnsi="仿宋" w:eastAsia="仿宋" w:cs="仿宋"/>
                <w:spacing w:val="3"/>
                <w:sz w:val="21"/>
                <w:szCs w:val="21"/>
                <w:vertAlign w:val="baseline"/>
                <w:lang w:val="en-US" w:eastAsia="zh-CN"/>
              </w:rPr>
            </w:pPr>
            <w:r>
              <w:rPr>
                <w:rFonts w:hint="eastAsia" w:ascii="仿宋" w:hAnsi="仿宋" w:eastAsia="仿宋" w:cs="仿宋"/>
                <w:spacing w:val="3"/>
                <w:sz w:val="21"/>
                <w:szCs w:val="21"/>
                <w:vertAlign w:val="baseline"/>
                <w:lang w:val="en-US" w:eastAsia="zh-CN"/>
              </w:rPr>
              <w:t>11</w:t>
            </w:r>
          </w:p>
        </w:tc>
        <w:tc>
          <w:tcPr>
            <w:tcW w:w="3774" w:type="dxa"/>
            <w:noWrap w:val="0"/>
            <w:vAlign w:val="center"/>
          </w:tcPr>
          <w:p>
            <w:pPr>
              <w:spacing w:line="240" w:lineRule="auto"/>
              <w:jc w:val="both"/>
              <w:rPr>
                <w:rFonts w:hint="eastAsia" w:ascii="仿宋" w:hAnsi="仿宋" w:eastAsia="仿宋" w:cs="仿宋"/>
                <w:snapToGrid w:val="0"/>
                <w:color w:val="000000"/>
                <w:spacing w:val="3"/>
                <w:kern w:val="0"/>
                <w:sz w:val="21"/>
                <w:szCs w:val="21"/>
                <w:vertAlign w:val="baseline"/>
                <w:lang w:val="en-US" w:eastAsia="zh-CN" w:bidi="ar-SA"/>
              </w:rPr>
            </w:pPr>
            <w:r>
              <w:rPr>
                <w:rFonts w:hint="eastAsia" w:ascii="仿宋" w:hAnsi="仿宋" w:eastAsia="仿宋" w:cs="仿宋"/>
                <w:snapToGrid w:val="0"/>
                <w:color w:val="000000"/>
                <w:spacing w:val="3"/>
                <w:kern w:val="0"/>
                <w:sz w:val="21"/>
                <w:szCs w:val="21"/>
                <w:vertAlign w:val="baseline"/>
                <w:lang w:val="en-US" w:eastAsia="zh-CN" w:bidi="ar-SA"/>
              </w:rPr>
              <w:t>中标人未按规定购买安全生产责任保险的。</w:t>
            </w:r>
          </w:p>
        </w:tc>
        <w:tc>
          <w:tcPr>
            <w:tcW w:w="1381" w:type="dxa"/>
            <w:noWrap w:val="0"/>
            <w:vAlign w:val="center"/>
          </w:tcPr>
          <w:p>
            <w:pPr>
              <w:pStyle w:val="14"/>
              <w:spacing w:before="0" w:after="0" w:line="240" w:lineRule="auto"/>
              <w:ind w:right="0"/>
              <w:jc w:val="center"/>
              <w:rPr>
                <w:rFonts w:hint="default" w:ascii="仿宋" w:hAnsi="仿宋" w:eastAsia="仿宋" w:cs="仿宋"/>
                <w:spacing w:val="3"/>
                <w:sz w:val="21"/>
                <w:szCs w:val="21"/>
                <w:vertAlign w:val="baseline"/>
                <w:lang w:val="en-US"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center"/>
          </w:tcPr>
          <w:p>
            <w:pPr>
              <w:pStyle w:val="14"/>
              <w:spacing w:before="0" w:after="0" w:line="240" w:lineRule="auto"/>
              <w:ind w:right="0"/>
              <w:jc w:val="both"/>
              <w:rPr>
                <w:rFonts w:hint="eastAsia" w:ascii="仿宋" w:hAnsi="仿宋" w:eastAsia="仿宋" w:cs="仿宋"/>
                <w:spacing w:val="3"/>
                <w:sz w:val="21"/>
                <w:szCs w:val="21"/>
                <w:vertAlign w:val="baseline"/>
                <w:lang w:eastAsia="zh-CN"/>
              </w:rPr>
            </w:pPr>
            <w:r>
              <w:rPr>
                <w:rFonts w:hint="eastAsia" w:ascii="仿宋" w:hAnsi="仿宋" w:eastAsia="仿宋" w:cs="仿宋"/>
                <w:spacing w:val="3"/>
                <w:sz w:val="21"/>
                <w:szCs w:val="21"/>
                <w:vertAlign w:val="baseline"/>
                <w:lang w:eastAsia="zh-CN"/>
              </w:rPr>
              <w:t>广州开发区建设工程招投标管理办公室印发的 《于施工项目招投标环节严格落实安全生产要求的指引》关（2021年第4期）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color w:val="000000"/>
                <w:spacing w:val="3"/>
                <w:sz w:val="21"/>
                <w:szCs w:val="21"/>
                <w:vertAlign w:val="baseline"/>
                <w:lang w:val="en-US" w:eastAsia="zh-CN"/>
              </w:rPr>
            </w:pPr>
            <w:r>
              <w:rPr>
                <w:rFonts w:hint="eastAsia" w:ascii="仿宋" w:hAnsi="仿宋" w:eastAsia="仿宋" w:cs="仿宋"/>
                <w:color w:val="000000"/>
                <w:spacing w:val="3"/>
                <w:sz w:val="21"/>
                <w:szCs w:val="21"/>
                <w:vertAlign w:val="baseline"/>
                <w:lang w:val="en-US" w:eastAsia="zh-CN"/>
              </w:rPr>
              <w:t>12</w:t>
            </w:r>
          </w:p>
        </w:tc>
        <w:tc>
          <w:tcPr>
            <w:tcW w:w="3774" w:type="dxa"/>
            <w:noWrap w:val="0"/>
            <w:vAlign w:val="center"/>
          </w:tcPr>
          <w:p>
            <w:pPr>
              <w:spacing w:line="240" w:lineRule="auto"/>
              <w:jc w:val="both"/>
              <w:rPr>
                <w:rFonts w:hint="eastAsia" w:ascii="仿宋" w:hAnsi="仿宋" w:eastAsia="仿宋" w:cs="仿宋"/>
                <w:snapToGrid w:val="0"/>
                <w:color w:val="000000"/>
                <w:spacing w:val="3"/>
                <w:kern w:val="0"/>
                <w:sz w:val="21"/>
                <w:szCs w:val="21"/>
                <w:vertAlign w:val="baseline"/>
                <w:lang w:val="en-US" w:eastAsia="zh-CN" w:bidi="ar-SA"/>
              </w:rPr>
            </w:pPr>
            <w:r>
              <w:rPr>
                <w:rFonts w:hint="eastAsia" w:ascii="仿宋" w:hAnsi="仿宋" w:eastAsia="仿宋" w:cs="仿宋"/>
                <w:snapToGrid w:val="0"/>
                <w:color w:val="000000"/>
                <w:spacing w:val="3"/>
                <w:kern w:val="0"/>
                <w:sz w:val="21"/>
                <w:szCs w:val="21"/>
                <w:vertAlign w:val="baseline"/>
                <w:lang w:val="en-US" w:eastAsia="zh-CN" w:bidi="ar-SA"/>
              </w:rPr>
              <w:t>承包人在项目实施过程中因不诚信或不充分履约达到合同列明的拒绝投标程度的。</w:t>
            </w:r>
          </w:p>
        </w:tc>
        <w:tc>
          <w:tcPr>
            <w:tcW w:w="1381" w:type="dxa"/>
            <w:noWrap w:val="0"/>
            <w:vAlign w:val="center"/>
          </w:tcPr>
          <w:p>
            <w:pPr>
              <w:pStyle w:val="14"/>
              <w:spacing w:before="0" w:after="0" w:line="240" w:lineRule="auto"/>
              <w:ind w:right="0"/>
              <w:jc w:val="center"/>
              <w:rPr>
                <w:rFonts w:hint="eastAsia" w:ascii="仿宋" w:hAnsi="仿宋" w:eastAsia="仿宋" w:cs="仿宋"/>
                <w:color w:val="000000"/>
                <w:spacing w:val="3"/>
                <w:sz w:val="21"/>
                <w:szCs w:val="21"/>
                <w:vertAlign w:val="baseline"/>
                <w:lang w:val="en-US"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center"/>
          </w:tcPr>
          <w:p>
            <w:pPr>
              <w:widowControl w:val="0"/>
              <w:spacing w:line="240" w:lineRule="auto"/>
              <w:jc w:val="both"/>
              <w:rPr>
                <w:rFonts w:hint="eastAsia" w:ascii="仿宋" w:hAnsi="仿宋" w:eastAsia="仿宋" w:cs="仿宋"/>
                <w:color w:val="000000"/>
                <w:spacing w:val="3"/>
                <w:sz w:val="21"/>
                <w:szCs w:val="21"/>
                <w:vertAlign w:val="baseline"/>
                <w:lang w:eastAsia="zh-CN"/>
              </w:rPr>
            </w:pPr>
            <w:r>
              <w:rPr>
                <w:rFonts w:hint="eastAsia" w:ascii="仿宋" w:hAnsi="仿宋" w:eastAsia="仿宋" w:cs="仿宋"/>
                <w:snapToGrid w:val="0"/>
                <w:color w:val="000000"/>
                <w:kern w:val="0"/>
                <w:sz w:val="21"/>
                <w:szCs w:val="21"/>
                <w:lang w:val="en-US" w:eastAsia="zh-CN" w:bidi="ar-SA"/>
              </w:rPr>
              <w:t>《广州市工程建设项目招标投标管理办法》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19" w:type="dxa"/>
            <w:noWrap w:val="0"/>
            <w:vAlign w:val="center"/>
          </w:tcPr>
          <w:p>
            <w:pPr>
              <w:pStyle w:val="14"/>
              <w:spacing w:before="0" w:after="0" w:line="240" w:lineRule="auto"/>
              <w:ind w:right="0"/>
              <w:jc w:val="center"/>
              <w:rPr>
                <w:rFonts w:hint="eastAsia" w:ascii="仿宋" w:hAnsi="仿宋" w:eastAsia="仿宋" w:cs="仿宋"/>
                <w:color w:val="000000"/>
                <w:spacing w:val="3"/>
                <w:sz w:val="21"/>
                <w:szCs w:val="21"/>
                <w:vertAlign w:val="baseline"/>
                <w:lang w:val="en-US" w:eastAsia="zh-CN"/>
              </w:rPr>
            </w:pPr>
            <w:r>
              <w:rPr>
                <w:rFonts w:hint="eastAsia" w:ascii="仿宋" w:hAnsi="仿宋" w:eastAsia="仿宋" w:cs="仿宋"/>
                <w:color w:val="000000"/>
                <w:spacing w:val="3"/>
                <w:sz w:val="21"/>
                <w:szCs w:val="21"/>
                <w:vertAlign w:val="baseline"/>
                <w:lang w:val="en-US" w:eastAsia="zh-CN"/>
              </w:rPr>
              <w:t>13</w:t>
            </w:r>
          </w:p>
        </w:tc>
        <w:tc>
          <w:tcPr>
            <w:tcW w:w="3774" w:type="dxa"/>
            <w:noWrap w:val="0"/>
            <w:vAlign w:val="center"/>
          </w:tcPr>
          <w:p>
            <w:pPr>
              <w:spacing w:line="240" w:lineRule="auto"/>
              <w:jc w:val="both"/>
              <w:rPr>
                <w:rFonts w:hint="eastAsia" w:ascii="仿宋" w:hAnsi="仿宋" w:eastAsia="仿宋" w:cs="仿宋"/>
                <w:snapToGrid w:val="0"/>
                <w:color w:val="000000"/>
                <w:spacing w:val="3"/>
                <w:kern w:val="0"/>
                <w:sz w:val="21"/>
                <w:szCs w:val="21"/>
                <w:vertAlign w:val="baseline"/>
                <w:lang w:val="en-US" w:eastAsia="zh-CN" w:bidi="ar-SA"/>
              </w:rPr>
            </w:pPr>
            <w:r>
              <w:rPr>
                <w:rFonts w:hint="eastAsia" w:ascii="仿宋" w:hAnsi="仿宋" w:eastAsia="仿宋" w:cs="仿宋"/>
                <w:snapToGrid w:val="0"/>
                <w:color w:val="000000"/>
                <w:spacing w:val="3"/>
                <w:kern w:val="0"/>
                <w:sz w:val="21"/>
                <w:szCs w:val="21"/>
                <w:vertAlign w:val="baseline"/>
                <w:lang w:val="en-US" w:eastAsia="zh-CN" w:bidi="ar-SA"/>
              </w:rPr>
              <w:t>其他法定情形</w:t>
            </w:r>
          </w:p>
        </w:tc>
        <w:tc>
          <w:tcPr>
            <w:tcW w:w="1381" w:type="dxa"/>
            <w:noWrap w:val="0"/>
            <w:vAlign w:val="center"/>
          </w:tcPr>
          <w:p>
            <w:pPr>
              <w:pStyle w:val="14"/>
              <w:spacing w:before="0" w:after="0" w:line="240" w:lineRule="auto"/>
              <w:ind w:right="0"/>
              <w:jc w:val="center"/>
              <w:rPr>
                <w:rFonts w:hint="eastAsia" w:ascii="仿宋" w:hAnsi="仿宋" w:eastAsia="仿宋" w:cs="仿宋"/>
                <w:color w:val="000000"/>
                <w:spacing w:val="3"/>
                <w:sz w:val="21"/>
                <w:szCs w:val="21"/>
                <w:vertAlign w:val="baseline"/>
                <w:lang w:val="en-US" w:eastAsia="zh-CN"/>
              </w:rPr>
            </w:pPr>
            <w:r>
              <w:rPr>
                <w:rFonts w:hint="eastAsia" w:ascii="仿宋" w:hAnsi="仿宋" w:eastAsia="仿宋" w:cs="仿宋"/>
                <w:snapToGrid w:val="0"/>
                <w:color w:val="000000"/>
                <w:kern w:val="0"/>
                <w:sz w:val="21"/>
                <w:szCs w:val="21"/>
                <w:lang w:val="en-US" w:eastAsia="zh-CN" w:bidi="ar-SA"/>
              </w:rPr>
              <w:t>3个月起</w:t>
            </w:r>
          </w:p>
        </w:tc>
        <w:tc>
          <w:tcPr>
            <w:tcW w:w="3312" w:type="dxa"/>
            <w:noWrap w:val="0"/>
            <w:vAlign w:val="center"/>
          </w:tcPr>
          <w:p>
            <w:pPr>
              <w:pStyle w:val="14"/>
              <w:spacing w:before="0" w:after="0" w:line="240" w:lineRule="auto"/>
              <w:ind w:right="0"/>
              <w:jc w:val="both"/>
              <w:rPr>
                <w:rFonts w:hint="eastAsia" w:ascii="仿宋" w:hAnsi="仿宋" w:eastAsia="仿宋" w:cs="仿宋"/>
                <w:color w:val="000000"/>
                <w:spacing w:val="3"/>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9286" w:type="dxa"/>
            <w:gridSpan w:val="4"/>
            <w:noWrap w:val="0"/>
            <w:vAlign w:val="top"/>
          </w:tcPr>
          <w:p>
            <w:pPr>
              <w:pStyle w:val="14"/>
              <w:spacing w:before="0" w:after="0" w:line="240" w:lineRule="auto"/>
              <w:ind w:right="0"/>
              <w:jc w:val="left"/>
              <w:rPr>
                <w:rFonts w:hint="eastAsia" w:ascii="仿宋" w:hAnsi="仿宋" w:eastAsia="仿宋" w:cs="仿宋"/>
                <w:snapToGrid w:val="0"/>
                <w:color w:val="000000"/>
                <w:spacing w:val="3"/>
                <w:kern w:val="0"/>
                <w:sz w:val="21"/>
                <w:szCs w:val="21"/>
                <w:vertAlign w:val="baseline"/>
                <w:lang w:val="en-US" w:eastAsia="zh-CN" w:bidi="ar-SA"/>
              </w:rPr>
            </w:pPr>
            <w:r>
              <w:rPr>
                <w:rFonts w:hint="eastAsia" w:ascii="仿宋" w:hAnsi="仿宋" w:eastAsia="仿宋" w:cs="仿宋"/>
                <w:b/>
                <w:bCs/>
                <w:snapToGrid w:val="0"/>
                <w:color w:val="000000"/>
                <w:spacing w:val="3"/>
                <w:kern w:val="0"/>
                <w:sz w:val="21"/>
                <w:szCs w:val="21"/>
                <w:vertAlign w:val="baseline"/>
                <w:lang w:val="en-US" w:eastAsia="zh-CN" w:bidi="ar-SA"/>
              </w:rPr>
              <w:t>注：</w:t>
            </w:r>
            <w:r>
              <w:rPr>
                <w:rFonts w:hint="eastAsia" w:ascii="仿宋" w:hAnsi="仿宋" w:eastAsia="仿宋" w:cs="仿宋"/>
                <w:snapToGrid w:val="0"/>
                <w:color w:val="000000"/>
                <w:spacing w:val="3"/>
                <w:kern w:val="0"/>
                <w:sz w:val="21"/>
                <w:szCs w:val="21"/>
                <w:vertAlign w:val="baseline"/>
                <w:lang w:val="en-US" w:eastAsia="zh-CN" w:bidi="ar-SA"/>
              </w:rPr>
              <w:t>1.承包人存在其他严重失信或严重违约或违法违规行为，被行政主管部门通报或处罚限制投标的按其规定。</w:t>
            </w:r>
          </w:p>
          <w:p>
            <w:pPr>
              <w:numPr>
                <w:ilvl w:val="0"/>
                <w:numId w:val="7"/>
              </w:numPr>
              <w:snapToGrid w:val="0"/>
              <w:spacing w:line="240" w:lineRule="auto"/>
              <w:contextualSpacing/>
              <w:jc w:val="both"/>
              <w:rPr>
                <w:rFonts w:hint="default" w:ascii="仿宋" w:hAnsi="仿宋" w:eastAsia="仿宋" w:cs="仿宋"/>
                <w:snapToGrid w:val="0"/>
                <w:color w:val="000000"/>
                <w:spacing w:val="3"/>
                <w:kern w:val="0"/>
                <w:sz w:val="21"/>
                <w:szCs w:val="21"/>
                <w:vertAlign w:val="baseline"/>
                <w:lang w:val="en-US" w:eastAsia="zh-CN" w:bidi="ar-SA"/>
              </w:rPr>
            </w:pPr>
            <w:r>
              <w:rPr>
                <w:rFonts w:hint="eastAsia" w:ascii="仿宋" w:hAnsi="仿宋" w:eastAsia="仿宋" w:cs="仿宋"/>
                <w:snapToGrid w:val="0"/>
                <w:color w:val="000000"/>
                <w:spacing w:val="3"/>
                <w:kern w:val="0"/>
                <w:sz w:val="21"/>
                <w:szCs w:val="21"/>
                <w:vertAlign w:val="baseline"/>
                <w:lang w:val="en-US" w:eastAsia="zh-CN" w:bidi="ar-SA"/>
              </w:rPr>
              <w:t>惩戒期限3个月起，情形严重的，可视严重程度延长对承包人的拒绝投标时限，最长不超过3年（按广州开发区建设工程招投标管理办公室印发的《关于鼓励招标人加强履约诚信管理的指引》（2023年第1期）规定）。</w:t>
            </w:r>
          </w:p>
          <w:p>
            <w:pPr>
              <w:pStyle w:val="14"/>
              <w:numPr>
                <w:ilvl w:val="0"/>
                <w:numId w:val="7"/>
              </w:numPr>
              <w:spacing w:before="0" w:after="0" w:line="240" w:lineRule="auto"/>
              <w:ind w:left="0" w:leftChars="0" w:right="0" w:firstLine="0" w:firstLineChars="0"/>
              <w:jc w:val="both"/>
              <w:rPr>
                <w:rFonts w:hint="default" w:ascii="仿宋" w:hAnsi="仿宋" w:eastAsia="仿宋" w:cs="仿宋"/>
                <w:snapToGrid w:val="0"/>
                <w:color w:val="000000"/>
                <w:spacing w:val="3"/>
                <w:kern w:val="0"/>
                <w:sz w:val="21"/>
                <w:szCs w:val="21"/>
                <w:vertAlign w:val="baseline"/>
                <w:lang w:val="en-US" w:eastAsia="zh-CN" w:bidi="ar-SA"/>
              </w:rPr>
            </w:pPr>
            <w:r>
              <w:rPr>
                <w:rFonts w:hint="eastAsia" w:ascii="仿宋" w:hAnsi="仿宋" w:eastAsia="仿宋" w:cs="仿宋"/>
                <w:snapToGrid w:val="0"/>
                <w:color w:val="000000"/>
                <w:spacing w:val="3"/>
                <w:kern w:val="0"/>
                <w:sz w:val="21"/>
                <w:szCs w:val="21"/>
                <w:vertAlign w:val="baseline"/>
                <w:lang w:val="en-US" w:eastAsia="zh-CN" w:bidi="ar-SA"/>
              </w:rPr>
              <w:t>对承包人实施投标惩戒的均由工程部门或有关业务部门提出事实依据、拟惩戒期限等上报中心招标委员会、“三重一大”审议。</w:t>
            </w:r>
          </w:p>
          <w:p>
            <w:pPr>
              <w:pStyle w:val="14"/>
              <w:numPr>
                <w:ilvl w:val="0"/>
                <w:numId w:val="7"/>
              </w:numPr>
              <w:spacing w:before="0" w:after="0" w:line="240" w:lineRule="auto"/>
              <w:ind w:left="0" w:leftChars="0" w:right="0" w:firstLine="0" w:firstLineChars="0"/>
              <w:jc w:val="both"/>
              <w:rPr>
                <w:rFonts w:hint="default" w:ascii="仿宋" w:hAnsi="仿宋" w:eastAsia="仿宋" w:cs="仿宋"/>
                <w:snapToGrid w:val="0"/>
                <w:color w:val="000000"/>
                <w:spacing w:val="3"/>
                <w:kern w:val="0"/>
                <w:sz w:val="21"/>
                <w:szCs w:val="21"/>
                <w:vertAlign w:val="baseline"/>
                <w:lang w:val="en-US" w:eastAsia="zh-CN" w:bidi="ar-SA"/>
              </w:rPr>
            </w:pPr>
            <w:r>
              <w:rPr>
                <w:rFonts w:hint="eastAsia" w:ascii="仿宋" w:hAnsi="仿宋" w:eastAsia="仿宋" w:cs="仿宋"/>
                <w:snapToGrid w:val="0"/>
                <w:color w:val="000000"/>
                <w:spacing w:val="3"/>
                <w:kern w:val="0"/>
                <w:sz w:val="21"/>
                <w:szCs w:val="21"/>
                <w:vertAlign w:val="baseline"/>
                <w:lang w:val="en-US" w:eastAsia="zh-CN" w:bidi="ar-SA"/>
              </w:rPr>
              <w:t>如遇法律法律或者上级政策文件调整，执行法律法规或上级政策文件最新规定。</w:t>
            </w:r>
          </w:p>
        </w:tc>
      </w:tr>
    </w:tbl>
    <w:p>
      <w:pPr>
        <w:rPr>
          <w:rFonts w:ascii="宋体" w:hAnsi="宋体"/>
          <w:color w:val="auto"/>
          <w:sz w:val="21"/>
          <w:szCs w:val="21"/>
          <w:highlight w:val="none"/>
        </w:rPr>
      </w:pPr>
      <w:r>
        <w:rPr>
          <w:rFonts w:ascii="宋体" w:hAnsi="宋体"/>
          <w:color w:val="auto"/>
          <w:sz w:val="21"/>
          <w:szCs w:val="21"/>
          <w:highlight w:val="none"/>
        </w:rPr>
        <w:br w:type="page"/>
      </w:r>
    </w:p>
    <w:p>
      <w:pPr>
        <w:pStyle w:val="61"/>
        <w:snapToGrid w:val="0"/>
        <w:spacing w:line="240" w:lineRule="auto"/>
        <w:rPr>
          <w:rFonts w:ascii="宋体" w:hAnsi="宋体"/>
          <w:color w:val="auto"/>
          <w:sz w:val="21"/>
          <w:szCs w:val="21"/>
          <w:highlight w:val="none"/>
        </w:rPr>
      </w:pPr>
    </w:p>
    <w:p>
      <w:pPr>
        <w:pStyle w:val="3"/>
        <w:snapToGrid w:val="0"/>
        <w:spacing w:before="0" w:after="0"/>
        <w:jc w:val="center"/>
        <w:rPr>
          <w:rFonts w:ascii="宋体" w:hAnsi="宋体" w:cs="宋体"/>
          <w:color w:val="auto"/>
          <w:sz w:val="32"/>
          <w:szCs w:val="32"/>
          <w:highlight w:val="none"/>
        </w:rPr>
      </w:pPr>
      <w:bookmarkStart w:id="34" w:name="_Toc30083"/>
      <w:r>
        <w:rPr>
          <w:rFonts w:hint="eastAsia" w:ascii="宋体" w:hAnsi="宋体" w:cs="宋体"/>
          <w:color w:val="auto"/>
          <w:sz w:val="32"/>
          <w:szCs w:val="32"/>
          <w:highlight w:val="none"/>
        </w:rPr>
        <w:t>第四章</w:t>
      </w:r>
      <w:r>
        <w:rPr>
          <w:rFonts w:hint="eastAsia" w:ascii="宋体" w:hAnsi="宋体" w:cs="宋体"/>
          <w:color w:val="auto"/>
          <w:sz w:val="32"/>
          <w:szCs w:val="32"/>
          <w:highlight w:val="none"/>
          <w:lang w:val="en-US" w:eastAsia="zh-CN"/>
        </w:rPr>
        <w:t xml:space="preserve">  </w:t>
      </w:r>
      <w:r>
        <w:rPr>
          <w:rFonts w:hint="eastAsia" w:ascii="宋体" w:hAnsi="宋体" w:cs="宋体"/>
          <w:color w:val="auto"/>
          <w:sz w:val="32"/>
          <w:szCs w:val="32"/>
          <w:highlight w:val="none"/>
        </w:rPr>
        <w:t>投标文件格式</w:t>
      </w:r>
      <w:bookmarkEnd w:id="34"/>
    </w:p>
    <w:p>
      <w:pPr>
        <w:autoSpaceDE w:val="0"/>
        <w:autoSpaceDN w:val="0"/>
        <w:adjustRightInd w:val="0"/>
        <w:snapToGrid w:val="0"/>
        <w:spacing w:line="360" w:lineRule="auto"/>
        <w:rPr>
          <w:rFonts w:ascii="宋体" w:hAnsi="宋体" w:cs="宋体"/>
          <w:color w:val="auto"/>
          <w:sz w:val="32"/>
          <w:szCs w:val="32"/>
          <w:highlight w:val="none"/>
        </w:rPr>
      </w:pPr>
    </w:p>
    <w:p>
      <w:pPr>
        <w:autoSpaceDE w:val="0"/>
        <w:autoSpaceDN w:val="0"/>
        <w:adjustRightInd w:val="0"/>
        <w:snapToGrid w:val="0"/>
        <w:spacing w:line="360" w:lineRule="auto"/>
        <w:rPr>
          <w:rFonts w:ascii="宋体" w:hAnsi="宋体" w:cs="宋体"/>
          <w:color w:val="auto"/>
          <w:sz w:val="32"/>
          <w:szCs w:val="32"/>
          <w:highlight w:val="none"/>
        </w:rPr>
      </w:pPr>
      <w:r>
        <w:rPr>
          <w:rFonts w:hint="eastAsia" w:ascii="宋体" w:hAnsi="宋体" w:cs="宋体"/>
          <w:color w:val="auto"/>
          <w:sz w:val="32"/>
          <w:szCs w:val="32"/>
          <w:highlight w:val="none"/>
        </w:rPr>
        <w:t>一、投标文件技术标部分（含资格审查文件）格式</w:t>
      </w:r>
    </w:p>
    <w:p>
      <w:pPr>
        <w:topLinePunct/>
        <w:adjustRightInd w:val="0"/>
        <w:snapToGrid w:val="0"/>
        <w:spacing w:line="360" w:lineRule="auto"/>
        <w:jc w:val="left"/>
        <w:rPr>
          <w:rFonts w:ascii="宋体" w:hAnsi="宋体" w:cs="宋体"/>
          <w:color w:val="auto"/>
          <w:sz w:val="24"/>
          <w:szCs w:val="24"/>
          <w:highlight w:val="none"/>
        </w:rPr>
      </w:pPr>
      <w:bookmarkStart w:id="35" w:name="_Toc6493845"/>
    </w:p>
    <w:p>
      <w:pPr>
        <w:topLinePunct/>
        <w:adjustRightInd w:val="0"/>
        <w:snapToGrid w:val="0"/>
        <w:spacing w:line="360" w:lineRule="auto"/>
        <w:jc w:val="left"/>
        <w:rPr>
          <w:rFonts w:ascii="宋体" w:hAnsi="宋体" w:cs="宋体"/>
          <w:bCs/>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格式一</w:t>
      </w:r>
      <w:bookmarkEnd w:id="35"/>
      <w:r>
        <w:rPr>
          <w:rFonts w:hint="eastAsia" w:ascii="宋体" w:hAnsi="宋体" w:cs="宋体"/>
          <w:bCs/>
          <w:color w:val="auto"/>
          <w:spacing w:val="4"/>
          <w:kern w:val="0"/>
          <w:sz w:val="24"/>
          <w:szCs w:val="24"/>
          <w:highlight w:val="none"/>
        </w:rPr>
        <w:t>：</w:t>
      </w:r>
    </w:p>
    <w:p>
      <w:pPr>
        <w:autoSpaceDE w:val="0"/>
        <w:autoSpaceDN w:val="0"/>
        <w:adjustRightInd w:val="0"/>
        <w:snapToGrid w:val="0"/>
        <w:spacing w:line="360" w:lineRule="auto"/>
        <w:jc w:val="center"/>
        <w:outlineLvl w:val="1"/>
        <w:rPr>
          <w:rFonts w:ascii="宋体" w:hAnsi="宋体" w:cs="宋体"/>
          <w:b/>
          <w:bCs/>
          <w:color w:val="auto"/>
          <w:sz w:val="36"/>
          <w:szCs w:val="36"/>
          <w:highlight w:val="none"/>
          <w:lang w:val="zh-CN"/>
        </w:rPr>
      </w:pPr>
      <w:bookmarkStart w:id="36" w:name="_Toc17590"/>
      <w:bookmarkStart w:id="37" w:name="_Toc10308"/>
      <w:r>
        <w:rPr>
          <w:rFonts w:hint="eastAsia" w:ascii="宋体" w:hAnsi="宋体" w:cs="宋体"/>
          <w:b/>
          <w:bCs/>
          <w:color w:val="auto"/>
          <w:sz w:val="36"/>
          <w:szCs w:val="36"/>
          <w:highlight w:val="none"/>
          <w:lang w:val="zh-CN"/>
        </w:rPr>
        <w:t>广州建设工程施工招标投标书（技术标）</w:t>
      </w:r>
      <w:bookmarkEnd w:id="36"/>
      <w:bookmarkEnd w:id="37"/>
    </w:p>
    <w:tbl>
      <w:tblPr>
        <w:tblStyle w:val="31"/>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2211"/>
        <w:gridCol w:w="38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33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6045" w:type="dxa"/>
            <w:gridSpan w:val="2"/>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委派的项目负责人</w:t>
            </w:r>
          </w:p>
        </w:tc>
        <w:tc>
          <w:tcPr>
            <w:tcW w:w="221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383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334" w:type="dxa"/>
            <w:tcBorders>
              <w:top w:val="single" w:color="auto" w:sz="4" w:space="0"/>
              <w:left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委派的专职安全员</w:t>
            </w:r>
          </w:p>
        </w:tc>
        <w:tc>
          <w:tcPr>
            <w:tcW w:w="2211"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spacing w:line="360" w:lineRule="auto"/>
              <w:jc w:val="center"/>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姓名</w:t>
            </w:r>
          </w:p>
        </w:tc>
        <w:tc>
          <w:tcPr>
            <w:tcW w:w="3834" w:type="dxa"/>
            <w:tcBorders>
              <w:top w:val="single" w:color="auto" w:sz="4" w:space="0"/>
              <w:left w:val="single" w:color="auto" w:sz="4" w:space="0"/>
              <w:bottom w:val="single" w:color="auto" w:sz="4" w:space="0"/>
              <w:right w:val="single" w:color="auto" w:sz="4" w:space="0"/>
            </w:tcBorders>
            <w:noWrap/>
          </w:tcPr>
          <w:p>
            <w:pPr>
              <w:autoSpaceDE w:val="0"/>
              <w:autoSpaceDN w:val="0"/>
              <w:adjustRightInd w:val="0"/>
              <w:snapToGrid w:val="0"/>
              <w:spacing w:line="360" w:lineRule="auto"/>
              <w:rPr>
                <w:rFonts w:ascii="宋体" w:hAnsi="宋体" w:cs="宋体"/>
                <w:bCs/>
                <w:color w:val="auto"/>
                <w:sz w:val="24"/>
                <w:szCs w:val="24"/>
                <w:highlight w:val="none"/>
                <w:lang w:val="zh-CN"/>
              </w:rPr>
            </w:pPr>
          </w:p>
        </w:tc>
      </w:tr>
    </w:tbl>
    <w:p>
      <w:pPr>
        <w:autoSpaceDE w:val="0"/>
        <w:autoSpaceDN w:val="0"/>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b/>
          <w:color w:val="auto"/>
          <w:highlight w:val="none"/>
        </w:rPr>
        <w:br w:type="page"/>
      </w: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格式二：</w:t>
      </w:r>
    </w:p>
    <w:p>
      <w:pPr>
        <w:topLinePunct/>
        <w:adjustRightInd w:val="0"/>
        <w:snapToGrid w:val="0"/>
        <w:spacing w:line="360" w:lineRule="auto"/>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投标函</w:t>
      </w:r>
    </w:p>
    <w:p>
      <w:pPr>
        <w:topLinePunct/>
        <w:adjustRightInd w:val="0"/>
        <w:snapToGrid w:val="0"/>
        <w:spacing w:line="360" w:lineRule="auto"/>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致：</w:t>
      </w:r>
      <w:r>
        <w:rPr>
          <w:rFonts w:hint="eastAsia" w:ascii="宋体" w:hAnsi="宋体" w:cs="宋体"/>
          <w:color w:val="auto"/>
          <w:sz w:val="24"/>
          <w:szCs w:val="24"/>
          <w:highlight w:val="none"/>
          <w:u w:val="single"/>
        </w:rPr>
        <w:t>广州开发区财政投资建设项目管理中心</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1.根据已收到贵方的项目编号为</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rPr>
        <w:t>的</w:t>
      </w:r>
      <w:r>
        <w:rPr>
          <w:rFonts w:hint="eastAsia" w:ascii="宋体" w:hAnsi="宋体" w:cs="宋体"/>
          <w:color w:val="auto"/>
          <w:sz w:val="24"/>
          <w:szCs w:val="24"/>
          <w:highlight w:val="none"/>
          <w:u w:val="single"/>
          <w:lang w:eastAsia="zh-CN"/>
        </w:rPr>
        <w:t>天鹿湖森林公园森林步道</w:t>
      </w:r>
      <w:r>
        <w:rPr>
          <w:rFonts w:hint="eastAsia" w:ascii="宋体" w:hAnsi="宋体" w:cs="宋体"/>
          <w:color w:val="auto"/>
          <w:sz w:val="24"/>
          <w:szCs w:val="24"/>
          <w:highlight w:val="none"/>
          <w:u w:val="single"/>
        </w:rPr>
        <w:t>施工总承包</w:t>
      </w:r>
      <w:r>
        <w:rPr>
          <w:rFonts w:hint="eastAsia" w:ascii="宋体" w:hAnsi="宋体" w:cs="宋体"/>
          <w:color w:val="auto"/>
          <w:sz w:val="24"/>
          <w:szCs w:val="24"/>
          <w:highlight w:val="none"/>
        </w:rPr>
        <w:t>工程的招标文件，并已详细审核了全部招标文件及有关附件。</w:t>
      </w:r>
    </w:p>
    <w:p>
      <w:pPr>
        <w:snapToGrid w:val="0"/>
        <w:spacing w:line="360" w:lineRule="auto"/>
        <w:ind w:firstLine="523" w:firstLineChars="218"/>
        <w:rPr>
          <w:rFonts w:ascii="宋体" w:hAnsi="宋体" w:cs="宋体"/>
          <w:color w:val="auto"/>
          <w:sz w:val="24"/>
          <w:szCs w:val="24"/>
          <w:highlight w:val="none"/>
        </w:rPr>
      </w:pPr>
      <w:r>
        <w:rPr>
          <w:rFonts w:hint="eastAsia" w:ascii="宋体" w:hAnsi="宋体" w:cs="宋体"/>
          <w:color w:val="auto"/>
          <w:sz w:val="24"/>
          <w:szCs w:val="24"/>
          <w:highlight w:val="none"/>
        </w:rPr>
        <w:t>2.遵照《中华人民共和国招标投标法》、《中华人民共和国招标投标法实施条例》、《广东省实施〈中华人民共和国招标投标法〉办法》、等有关规定，经考察现场和研究上述招标文件的投标须知、合同条款、标准和技术规范、图纸、工程量清单及其他有关文件后，我方承诺：</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愿以经济标中的投标报价并按上述合同条款、标准和技术规范、图纸、工程量清单等的要求承包上述工程的施工、竣工并修补其任何缺陷。</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我方同意所递交的投标文件在投标须知规定的投标有效期内有效，在此期间内我方的投标有可能中标，我方将受此约束。如果在投标有效期内撤回投标或放弃中标资格，我方的投标担保将不予退还，给贵方造成的损失超过我方投标担保金额的，贵方还有权要求我方对超过部分进行赔偿。</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4.我方理解贵方将不受必须接受你们所收到的最低标价或其它任何投标文件的约束。</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5.如果我方中标，我方保证按招标文件中规定的工期，在</w:t>
      </w:r>
      <w:r>
        <w:rPr>
          <w:rFonts w:hint="eastAsia" w:ascii="宋体" w:hAnsi="宋体" w:cs="宋体"/>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日历天</w:t>
      </w:r>
      <w:r>
        <w:rPr>
          <w:rFonts w:hint="eastAsia" w:ascii="宋体" w:hAnsi="宋体" w:cs="宋体"/>
          <w:color w:val="auto"/>
          <w:sz w:val="24"/>
          <w:szCs w:val="24"/>
          <w:highlight w:val="none"/>
        </w:rPr>
        <w:t>内完成并移交本工程，质量标准达到</w:t>
      </w:r>
      <w:r>
        <w:rPr>
          <w:rFonts w:hint="eastAsia" w:ascii="宋体" w:hAnsi="宋体" w:cs="宋体"/>
          <w:color w:val="auto"/>
          <w:sz w:val="24"/>
          <w:szCs w:val="24"/>
          <w:highlight w:val="none"/>
          <w:u w:val="single"/>
          <w:lang w:val="en-US" w:eastAsia="zh-CN"/>
        </w:rPr>
        <w:t xml:space="preserve">          </w:t>
      </w:r>
      <w:r>
        <w:rPr>
          <w:rFonts w:hint="eastAsia" w:ascii="宋体" w:hAnsi="宋体" w:cs="宋体"/>
          <w:b w:val="0"/>
          <w:bCs/>
          <w:color w:val="auto"/>
          <w:sz w:val="24"/>
          <w:szCs w:val="24"/>
          <w:highlight w:val="none"/>
        </w:rPr>
        <w:t>要求</w:t>
      </w:r>
      <w:r>
        <w:rPr>
          <w:rFonts w:hint="eastAsia" w:ascii="宋体" w:hAnsi="宋体" w:cs="宋体"/>
          <w:color w:val="auto"/>
          <w:sz w:val="24"/>
          <w:szCs w:val="24"/>
          <w:highlight w:val="none"/>
        </w:rPr>
        <w:t>。</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6.如果我方中标，我方将按照规定递交由招标人认可，并在招标文件中规定金额的履约保函。</w:t>
      </w:r>
    </w:p>
    <w:p>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7.除非另外达成协议并生效，贵方的中标通知书和本投标文件将成为约束双方的合同文件的组成部分。</w:t>
      </w:r>
    </w:p>
    <w:p>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8.如果我方中标，我方将实行项目经理负责制，并按投标文件配备项目管理班子。如未经招标人同意更换项目班子成员，招标人有权取消我公司的中标资格或单方面终止合同，由此造成的违约责任由我公司承担。</w:t>
      </w:r>
    </w:p>
    <w:p>
      <w:pPr>
        <w:snapToGrid w:val="0"/>
        <w:spacing w:line="360" w:lineRule="auto"/>
        <w:ind w:firstLine="481"/>
        <w:rPr>
          <w:rFonts w:ascii="宋体" w:hAnsi="宋体" w:cs="宋体"/>
          <w:b/>
          <w:bCs/>
          <w:color w:val="auto"/>
          <w:kern w:val="0"/>
          <w:sz w:val="24"/>
          <w:szCs w:val="24"/>
          <w:highlight w:val="none"/>
        </w:rPr>
      </w:pPr>
      <w:r>
        <w:rPr>
          <w:rFonts w:hint="eastAsia" w:ascii="宋体" w:hAnsi="宋体" w:cs="宋体"/>
          <w:b/>
          <w:bCs/>
          <w:color w:val="auto"/>
          <w:sz w:val="24"/>
          <w:szCs w:val="24"/>
          <w:highlight w:val="none"/>
        </w:rPr>
        <w:t>9.</w:t>
      </w:r>
      <w:r>
        <w:rPr>
          <w:rFonts w:hint="eastAsia" w:ascii="宋体" w:hAnsi="宋体" w:cs="宋体"/>
          <w:b/>
          <w:bCs/>
          <w:color w:val="auto"/>
          <w:kern w:val="0"/>
          <w:sz w:val="24"/>
          <w:szCs w:val="24"/>
          <w:highlight w:val="none"/>
        </w:rPr>
        <w:t>如我方中标,我方承诺：须按《广州开发区财政投资建设项目管理中心施工类合同结算编审指引</w:t>
      </w:r>
      <w:r>
        <w:rPr>
          <w:rFonts w:hint="eastAsia" w:ascii="宋体" w:hAnsi="宋体" w:eastAsia="宋体" w:cs="宋体"/>
          <w:b/>
          <w:bCs/>
          <w:color w:val="auto"/>
          <w:kern w:val="0"/>
          <w:sz w:val="24"/>
          <w:szCs w:val="24"/>
          <w:highlight w:val="none"/>
          <w:u w:val="none"/>
          <w:lang w:val="en-US" w:eastAsia="zh-CN"/>
        </w:rPr>
        <w:t>2024年修订稿</w:t>
      </w:r>
      <w:r>
        <w:rPr>
          <w:rFonts w:hint="eastAsia" w:ascii="宋体" w:hAnsi="宋体" w:eastAsia="宋体" w:cs="宋体"/>
          <w:b/>
          <w:bCs/>
          <w:color w:val="auto"/>
          <w:kern w:val="0"/>
          <w:sz w:val="24"/>
          <w:szCs w:val="24"/>
          <w:highlight w:val="none"/>
          <w:u w:val="none"/>
          <w:lang w:eastAsia="zh-CN"/>
        </w:rPr>
        <w:t>（穗开建管</w:t>
      </w:r>
      <w:r>
        <w:rPr>
          <w:rFonts w:hint="eastAsia" w:ascii="宋体" w:hAnsi="宋体" w:eastAsia="宋体" w:cs="宋体"/>
          <w:b/>
          <w:bCs/>
          <w:color w:val="auto"/>
          <w:kern w:val="0"/>
          <w:sz w:val="24"/>
          <w:szCs w:val="24"/>
          <w:highlight w:val="none"/>
          <w:u w:val="none"/>
          <w:lang w:val="en-US" w:eastAsia="zh-CN"/>
        </w:rPr>
        <w:t>[2024]65号）</w:t>
      </w:r>
      <w:r>
        <w:rPr>
          <w:rFonts w:hint="eastAsia" w:ascii="宋体" w:hAnsi="宋体" w:cs="宋体"/>
          <w:b/>
          <w:bCs/>
          <w:color w:val="auto"/>
          <w:kern w:val="0"/>
          <w:sz w:val="24"/>
          <w:szCs w:val="24"/>
          <w:highlight w:val="none"/>
        </w:rPr>
        <w:t>》及广州开发区有关规定编制及办理建设项目工程结算。本公司未按上述规定的期限和内容编制及办理建设项目工程结算，经建设业主或代建单位或监理人书面通知之日起2个月内（最长期限不得超过6个月）仍未提交编制及办理建设项目工程结算的相关文件的，监理人和建设业主有权根据建设业主已有资料进行审核并报财政部门审定，财政部门审定的竣工结算合同总价视同是经我方认可的工程竣工结算合同总价。</w:t>
      </w:r>
    </w:p>
    <w:p>
      <w:pPr>
        <w:snapToGrid w:val="0"/>
        <w:spacing w:line="360" w:lineRule="auto"/>
        <w:ind w:firstLine="481"/>
        <w:rPr>
          <w:rFonts w:ascii="宋体" w:hAnsi="宋体" w:cs="宋体"/>
          <w:snapToGrid w:val="0"/>
          <w:color w:val="auto"/>
          <w:spacing w:val="4"/>
          <w:kern w:val="0"/>
          <w:sz w:val="24"/>
          <w:szCs w:val="24"/>
          <w:highlight w:val="none"/>
        </w:rPr>
      </w:pPr>
    </w:p>
    <w:p>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投标人（盖章）：</w:t>
      </w:r>
    </w:p>
    <w:p>
      <w:pPr>
        <w:topLinePunct/>
        <w:adjustRightInd w:val="0"/>
        <w:snapToGrid w:val="0"/>
        <w:spacing w:line="360" w:lineRule="auto"/>
        <w:ind w:firstLine="4535" w:firstLineChars="1829"/>
        <w:rPr>
          <w:rFonts w:ascii="宋体" w:hAnsi="宋体" w:cs="宋体"/>
          <w:snapToGrid w:val="0"/>
          <w:color w:val="auto"/>
          <w:spacing w:val="4"/>
          <w:kern w:val="0"/>
          <w:sz w:val="24"/>
          <w:szCs w:val="24"/>
          <w:highlight w:val="none"/>
        </w:rPr>
      </w:pPr>
      <w:r>
        <w:rPr>
          <w:rFonts w:hint="eastAsia" w:ascii="宋体" w:hAnsi="宋体" w:cs="宋体"/>
          <w:snapToGrid w:val="0"/>
          <w:color w:val="auto"/>
          <w:spacing w:val="4"/>
          <w:kern w:val="0"/>
          <w:sz w:val="24"/>
          <w:szCs w:val="24"/>
          <w:highlight w:val="none"/>
        </w:rPr>
        <w:t>日期：</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年</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月</w:t>
      </w:r>
      <w:r>
        <w:rPr>
          <w:rFonts w:hint="eastAsia" w:ascii="宋体" w:hAnsi="宋体" w:cs="宋体"/>
          <w:snapToGrid w:val="0"/>
          <w:color w:val="auto"/>
          <w:spacing w:val="4"/>
          <w:kern w:val="0"/>
          <w:sz w:val="24"/>
          <w:szCs w:val="24"/>
          <w:highlight w:val="none"/>
          <w:lang w:val="en-US" w:eastAsia="zh-CN"/>
        </w:rPr>
        <w:t xml:space="preserve">   </w:t>
      </w:r>
      <w:r>
        <w:rPr>
          <w:rFonts w:hint="eastAsia" w:ascii="宋体" w:hAnsi="宋体" w:cs="宋体"/>
          <w:snapToGrid w:val="0"/>
          <w:color w:val="auto"/>
          <w:spacing w:val="4"/>
          <w:kern w:val="0"/>
          <w:sz w:val="24"/>
          <w:szCs w:val="24"/>
          <w:highlight w:val="none"/>
        </w:rPr>
        <w:t>日</w:t>
      </w:r>
    </w:p>
    <w:p>
      <w:pPr>
        <w:topLinePunct/>
        <w:adjustRightInd w:val="0"/>
        <w:snapToGrid w:val="0"/>
        <w:spacing w:line="360" w:lineRule="auto"/>
        <w:ind w:firstLine="691" w:firstLineChars="279"/>
        <w:rPr>
          <w:rFonts w:ascii="宋体" w:hAnsi="宋体" w:cs="宋体"/>
          <w:snapToGrid w:val="0"/>
          <w:color w:val="auto"/>
          <w:spacing w:val="4"/>
          <w:kern w:val="0"/>
          <w:sz w:val="24"/>
          <w:szCs w:val="24"/>
          <w:highlight w:val="none"/>
        </w:rPr>
      </w:pPr>
    </w:p>
    <w:p>
      <w:pPr>
        <w:snapToGrid w:val="0"/>
        <w:spacing w:line="360" w:lineRule="auto"/>
        <w:jc w:val="left"/>
        <w:rPr>
          <w:rFonts w:ascii="宋体" w:hAnsi="宋体" w:cs="宋体"/>
          <w:color w:val="auto"/>
          <w:sz w:val="24"/>
          <w:szCs w:val="24"/>
          <w:highlight w:val="none"/>
        </w:rPr>
      </w:pPr>
    </w:p>
    <w:p>
      <w:pPr>
        <w:snapToGrid w:val="0"/>
        <w:spacing w:line="360" w:lineRule="auto"/>
        <w:jc w:val="left"/>
        <w:rPr>
          <w:rFonts w:ascii="宋体" w:hAnsi="宋体" w:cs="宋体"/>
          <w:color w:val="auto"/>
          <w:szCs w:val="21"/>
          <w:highlight w:val="none"/>
        </w:rPr>
      </w:pPr>
    </w:p>
    <w:p>
      <w:pPr>
        <w:topLinePunct/>
        <w:adjustRightInd w:val="0"/>
        <w:snapToGrid w:val="0"/>
        <w:spacing w:line="360" w:lineRule="auto"/>
        <w:ind w:firstLine="585" w:firstLineChars="279"/>
        <w:rPr>
          <w:rFonts w:ascii="宋体" w:hAnsi="宋体" w:cs="宋体"/>
          <w:b/>
          <w:color w:val="auto"/>
          <w:sz w:val="24"/>
          <w:szCs w:val="24"/>
          <w:highlight w:val="none"/>
        </w:rPr>
      </w:pPr>
      <w:r>
        <w:rPr>
          <w:rFonts w:hint="eastAsia" w:ascii="宋体" w:hAnsi="宋体" w:cs="宋体"/>
          <w:color w:val="auto"/>
          <w:szCs w:val="21"/>
          <w:highlight w:val="none"/>
        </w:rPr>
        <w:t>注：《投标函》第5条内容“在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日历天内完成并移交本工程”横线上要求按照本工程《广州建设工程施工招标投标书（技术标）》承诺的投标总工期填写，否则视作未按规定的格式填写，作无效标处理；《投标函》第5条内容“质量标准达到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r>
        <w:rPr>
          <w:rFonts w:hint="eastAsia" w:ascii="宋体" w:hAnsi="宋体" w:cs="宋体"/>
          <w:snapToGrid w:val="0"/>
          <w:color w:val="auto"/>
          <w:spacing w:val="4"/>
          <w:kern w:val="0"/>
          <w:sz w:val="24"/>
          <w:szCs w:val="24"/>
          <w:highlight w:val="none"/>
        </w:rPr>
        <w:t>。</w:t>
      </w:r>
    </w:p>
    <w:p>
      <w:pPr>
        <w:snapToGrid w:val="0"/>
        <w:spacing w:line="360" w:lineRule="auto"/>
        <w:jc w:val="left"/>
        <w:rPr>
          <w:rFonts w:ascii="宋体" w:hAnsi="宋体" w:cs="宋体"/>
          <w:color w:val="auto"/>
          <w:szCs w:val="21"/>
          <w:highlight w:val="none"/>
        </w:rPr>
      </w:pPr>
      <w:bookmarkStart w:id="38" w:name="_Toc478375101"/>
      <w:bookmarkStart w:id="39" w:name="_Toc474749524"/>
    </w:p>
    <w:p>
      <w:pPr>
        <w:widowControl/>
        <w:snapToGrid w:val="0"/>
        <w:spacing w:line="360" w:lineRule="auto"/>
        <w:ind w:right="102"/>
        <w:jc w:val="left"/>
        <w:rPr>
          <w:rFonts w:ascii="宋体" w:hAnsi="宋体" w:cs="宋体"/>
          <w:color w:val="auto"/>
          <w:sz w:val="24"/>
          <w:szCs w:val="24"/>
          <w:highlight w:val="none"/>
        </w:rPr>
      </w:pPr>
      <w:r>
        <w:rPr>
          <w:rFonts w:hint="eastAsia" w:ascii="宋体" w:hAnsi="宋体" w:cs="宋体"/>
          <w:bCs/>
          <w:color w:val="auto"/>
          <w:sz w:val="24"/>
          <w:szCs w:val="24"/>
          <w:highlight w:val="none"/>
        </w:rPr>
        <w:br w:type="page"/>
      </w:r>
      <w:r>
        <w:rPr>
          <w:rFonts w:hint="eastAsia" w:ascii="宋体" w:hAnsi="宋体" w:cs="宋体"/>
          <w:color w:val="auto"/>
          <w:sz w:val="24"/>
          <w:szCs w:val="24"/>
          <w:highlight w:val="none"/>
        </w:rPr>
        <w:t>技术标格式三：</w:t>
      </w: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已竣工验收的类似工程业绩表</w:t>
      </w:r>
    </w:p>
    <w:tbl>
      <w:tblPr>
        <w:tblStyle w:val="3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1851"/>
        <w:gridCol w:w="1853"/>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1</w:t>
            </w: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2</w:t>
            </w: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工程名称</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工程对应的企业资质</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249" w:type="pct"/>
            <w:tcBorders>
              <w:top w:val="single" w:color="auto" w:sz="4" w:space="0"/>
              <w:left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中标金额或合同金额 (人民币：万元)</w:t>
            </w:r>
          </w:p>
        </w:tc>
        <w:tc>
          <w:tcPr>
            <w:tcW w:w="1249" w:type="pct"/>
            <w:tcBorders>
              <w:top w:val="single" w:color="auto" w:sz="4" w:space="0"/>
              <w:left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竣工日期</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项目经理姓名</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项目业主名称</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竣工质量评定等级</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trPr>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r>
              <w:rPr>
                <w:rFonts w:hint="eastAsia" w:ascii="宋体" w:hAnsi="宋体" w:cs="宋体"/>
                <w:color w:val="auto"/>
                <w:szCs w:val="21"/>
                <w:highlight w:val="none"/>
              </w:rPr>
              <w:t>工程获奖情况</w:t>
            </w:r>
          </w:p>
        </w:tc>
        <w:tc>
          <w:tcPr>
            <w:tcW w:w="1249"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c>
          <w:tcPr>
            <w:tcW w:w="1250" w:type="pct"/>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rPr>
            </w:pPr>
          </w:p>
        </w:tc>
      </w:tr>
    </w:tbl>
    <w:p>
      <w:pPr>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注：由投标人按评审要求填写本表，并按《技术标详细审查评分表》要求附相关证明材料。</w:t>
      </w:r>
    </w:p>
    <w:p>
      <w:pPr>
        <w:snapToGrid w:val="0"/>
        <w:spacing w:line="360" w:lineRule="auto"/>
        <w:jc w:val="left"/>
        <w:rPr>
          <w:rFonts w:ascii="宋体" w:hAnsi="宋体" w:cs="宋体"/>
          <w:color w:val="auto"/>
          <w:szCs w:val="21"/>
          <w:highlight w:val="none"/>
        </w:rPr>
      </w:pP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pPr>
        <w:widowControl/>
        <w:snapToGrid w:val="0"/>
        <w:spacing w:line="360" w:lineRule="auto"/>
        <w:ind w:right="102"/>
        <w:jc w:val="left"/>
        <w:rPr>
          <w:rFonts w:ascii="宋体" w:hAnsi="宋体" w:cs="宋体"/>
          <w:color w:val="auto"/>
          <w:sz w:val="24"/>
          <w:szCs w:val="24"/>
          <w:highlight w:val="none"/>
          <w:lang w:val="zh-CN"/>
        </w:rPr>
      </w:pPr>
    </w:p>
    <w:p>
      <w:pPr>
        <w:widowControl/>
        <w:snapToGrid w:val="0"/>
        <w:spacing w:line="360" w:lineRule="auto"/>
        <w:ind w:right="102"/>
        <w:jc w:val="left"/>
        <w:rPr>
          <w:rFonts w:ascii="宋体" w:hAnsi="宋体" w:cs="宋体"/>
          <w:color w:val="auto"/>
          <w:sz w:val="24"/>
          <w:szCs w:val="24"/>
          <w:highlight w:val="none"/>
          <w:lang w:val="zh-CN"/>
        </w:rPr>
      </w:pPr>
    </w:p>
    <w:p>
      <w:pPr>
        <w:widowControl/>
        <w:jc w:val="left"/>
        <w:rPr>
          <w:rFonts w:ascii="宋体" w:hAnsi="宋体" w:cs="宋体"/>
          <w:color w:val="auto"/>
          <w:sz w:val="24"/>
          <w:szCs w:val="24"/>
          <w:highlight w:val="none"/>
        </w:rPr>
      </w:pPr>
      <w:r>
        <w:rPr>
          <w:rFonts w:ascii="宋体" w:hAnsi="宋体" w:cs="宋体"/>
          <w:color w:val="auto"/>
          <w:sz w:val="24"/>
          <w:szCs w:val="24"/>
          <w:highlight w:val="none"/>
        </w:rPr>
        <w:br w:type="page"/>
      </w:r>
    </w:p>
    <w:p>
      <w:pPr>
        <w:topLinePunct/>
        <w:adjustRightInd w:val="0"/>
        <w:snapToGrid w:val="0"/>
        <w:spacing w:line="360" w:lineRule="auto"/>
        <w:rPr>
          <w:rFonts w:ascii="宋体" w:hAnsi="宋体" w:cs="宋体"/>
          <w:b/>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z w:val="24"/>
          <w:szCs w:val="24"/>
          <w:highlight w:val="none"/>
        </w:rPr>
        <w:t>格式</w:t>
      </w:r>
      <w:r>
        <w:rPr>
          <w:rFonts w:hint="eastAsia" w:ascii="宋体" w:hAnsi="宋体" w:cs="宋体"/>
          <w:bCs/>
          <w:color w:val="auto"/>
          <w:sz w:val="24"/>
          <w:szCs w:val="24"/>
          <w:highlight w:val="none"/>
          <w:lang w:eastAsia="zh-CN"/>
        </w:rPr>
        <w:t>四</w:t>
      </w:r>
      <w:r>
        <w:rPr>
          <w:rFonts w:hint="eastAsia" w:ascii="宋体" w:hAnsi="宋体" w:cs="宋体"/>
          <w:bCs/>
          <w:color w:val="auto"/>
          <w:sz w:val="24"/>
          <w:szCs w:val="24"/>
          <w:highlight w:val="none"/>
        </w:rPr>
        <w:t>：</w:t>
      </w: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投入主要人员汇总表</w:t>
      </w:r>
    </w:p>
    <w:tbl>
      <w:tblPr>
        <w:tblStyle w:val="31"/>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1041"/>
        <w:gridCol w:w="1669"/>
        <w:gridCol w:w="1364"/>
        <w:gridCol w:w="220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blHeader/>
          <w:jc w:val="center"/>
        </w:trPr>
        <w:tc>
          <w:tcPr>
            <w:tcW w:w="45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序号</w:t>
            </w:r>
          </w:p>
        </w:tc>
        <w:tc>
          <w:tcPr>
            <w:tcW w:w="56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姓名</w:t>
            </w:r>
          </w:p>
        </w:tc>
        <w:tc>
          <w:tcPr>
            <w:tcW w:w="90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职位</w:t>
            </w:r>
          </w:p>
        </w:tc>
        <w:tc>
          <w:tcPr>
            <w:tcW w:w="7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专业类别</w:t>
            </w:r>
          </w:p>
        </w:tc>
        <w:tc>
          <w:tcPr>
            <w:tcW w:w="11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人员资格情况</w:t>
            </w: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
                <w:color w:val="auto"/>
                <w:kern w:val="44"/>
                <w:szCs w:val="21"/>
                <w:highlight w:val="none"/>
              </w:rPr>
            </w:pPr>
            <w:r>
              <w:rPr>
                <w:rFonts w:hint="eastAsia" w:ascii="宋体" w:hAnsi="宋体" w:cs="宋体"/>
                <w:b/>
                <w:color w:val="auto"/>
                <w:kern w:val="44"/>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pPr>
              <w:widowControl/>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left w:val="single" w:color="auto" w:sz="4" w:space="0"/>
              <w:bottom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50" w:type="pct"/>
            <w:tcBorders>
              <w:top w:val="single" w:color="auto" w:sz="4" w:space="0"/>
              <w:left w:val="single" w:color="auto" w:sz="4" w:space="0"/>
              <w:right w:val="single" w:color="auto" w:sz="4" w:space="0"/>
            </w:tcBorders>
            <w:noWrap/>
            <w:vAlign w:val="center"/>
          </w:tcPr>
          <w:p>
            <w:pPr>
              <w:adjustRightInd w:val="0"/>
              <w:snapToGrid w:val="0"/>
              <w:ind w:left="-361" w:leftChars="-172" w:firstLine="420" w:firstLineChars="200"/>
              <w:jc w:val="center"/>
              <w:rPr>
                <w:rFonts w:ascii="宋体" w:hAnsi="宋体" w:cs="宋体"/>
                <w:color w:val="auto"/>
                <w:kern w:val="0"/>
                <w:szCs w:val="21"/>
                <w:highlight w:val="none"/>
              </w:rPr>
            </w:pPr>
          </w:p>
        </w:tc>
        <w:tc>
          <w:tcPr>
            <w:tcW w:w="56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903"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738"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90" w:type="pct"/>
            <w:tcBorders>
              <w:top w:val="single" w:color="auto" w:sz="4" w:space="0"/>
              <w:left w:val="single" w:color="auto" w:sz="4" w:space="0"/>
              <w:bottom w:val="single" w:color="auto" w:sz="4" w:space="0"/>
              <w:right w:val="single" w:color="auto" w:sz="4" w:space="0"/>
            </w:tcBorders>
            <w:noWrap/>
            <w:vAlign w:val="center"/>
          </w:tcPr>
          <w:p>
            <w:pPr>
              <w:widowControl/>
              <w:adjustRightInd w:val="0"/>
              <w:snapToGrid w:val="0"/>
              <w:jc w:val="center"/>
              <w:rPr>
                <w:rFonts w:ascii="宋体" w:hAnsi="宋体" w:cs="宋体"/>
                <w:color w:val="auto"/>
                <w:kern w:val="0"/>
                <w:szCs w:val="21"/>
                <w:highlight w:val="none"/>
              </w:rPr>
            </w:pPr>
          </w:p>
        </w:tc>
        <w:tc>
          <w:tcPr>
            <w:tcW w:w="1153" w:type="pct"/>
            <w:tcBorders>
              <w:top w:val="single" w:color="auto" w:sz="4" w:space="0"/>
              <w:left w:val="single" w:color="auto" w:sz="4" w:space="0"/>
              <w:bottom w:val="single" w:color="auto" w:sz="4" w:space="0"/>
              <w:right w:val="single" w:color="auto" w:sz="4" w:space="0"/>
            </w:tcBorders>
            <w:noWrap/>
            <w:vAlign w:val="center"/>
          </w:tcPr>
          <w:p>
            <w:pPr>
              <w:adjustRightInd w:val="0"/>
              <w:snapToGrid w:val="0"/>
              <w:jc w:val="center"/>
              <w:rPr>
                <w:rFonts w:ascii="宋体" w:hAnsi="宋体" w:cs="宋体"/>
                <w:bCs/>
                <w:color w:val="auto"/>
                <w:spacing w:val="-10"/>
                <w:szCs w:val="21"/>
                <w:highlight w:val="none"/>
              </w:rPr>
            </w:pPr>
          </w:p>
        </w:tc>
      </w:tr>
    </w:tbl>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注：</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1.本表投标人视本工程具体情况结合招标人对本工程的具体要求自行配备。</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2.上述人员须为投标单位人员，并须提供居民身份证及或</w:t>
      </w:r>
      <w:r>
        <w:rPr>
          <w:rFonts w:hint="eastAsia" w:ascii="宋体" w:hAnsi="宋体" w:cs="宋体"/>
          <w:color w:val="auto"/>
          <w:spacing w:val="4"/>
          <w:kern w:val="0"/>
          <w:sz w:val="22"/>
          <w:highlight w:val="none"/>
          <w:lang w:eastAsia="zh-CN"/>
        </w:rPr>
        <w:t>2025年2月或2025年3月</w:t>
      </w:r>
      <w:r>
        <w:rPr>
          <w:rFonts w:hint="eastAsia" w:ascii="宋体" w:hAnsi="宋体" w:cs="宋体"/>
          <w:color w:val="auto"/>
          <w:spacing w:val="4"/>
          <w:kern w:val="0"/>
          <w:sz w:val="22"/>
          <w:highlight w:val="none"/>
        </w:rPr>
        <w:t>有效社保证明。</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3.上述人员须按招标公告及《技术标详细审查评分表》相应要求提供居民身份证、职称证（如有），有效期内的注册证（如有）、岗位证（如有）或培训合格证（如有）等相关证明资料。所有资料为扫描件并加盖投标人电子印章。</w:t>
      </w:r>
    </w:p>
    <w:p>
      <w:pPr>
        <w:topLinePunct/>
        <w:adjustRightInd w:val="0"/>
        <w:snapToGrid w:val="0"/>
        <w:spacing w:line="360" w:lineRule="auto"/>
        <w:rPr>
          <w:rFonts w:ascii="宋体" w:hAnsi="宋体" w:cs="宋体"/>
          <w:color w:val="auto"/>
          <w:spacing w:val="4"/>
          <w:kern w:val="0"/>
          <w:sz w:val="22"/>
          <w:highlight w:val="none"/>
        </w:rPr>
      </w:pPr>
      <w:r>
        <w:rPr>
          <w:rFonts w:hint="eastAsia" w:ascii="宋体" w:hAnsi="宋体" w:cs="宋体"/>
          <w:color w:val="auto"/>
          <w:spacing w:val="4"/>
          <w:kern w:val="0"/>
          <w:sz w:val="22"/>
          <w:highlight w:val="none"/>
        </w:rPr>
        <w:t>4.本表中填报的所有人员均需接《主要人员简历表》格式要求提交《主要人员简历表》。</w:t>
      </w: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pPr>
        <w:topLinePunct/>
        <w:adjustRightInd w:val="0"/>
        <w:snapToGrid w:val="0"/>
        <w:spacing w:line="360" w:lineRule="auto"/>
        <w:rPr>
          <w:rFonts w:ascii="宋体" w:hAnsi="宋体" w:cs="宋体"/>
          <w:b/>
          <w:snapToGrid w:val="0"/>
          <w:color w:val="auto"/>
          <w:spacing w:val="4"/>
          <w:kern w:val="0"/>
          <w:sz w:val="24"/>
          <w:szCs w:val="24"/>
          <w:highlight w:val="none"/>
        </w:rPr>
      </w:pPr>
    </w:p>
    <w:p>
      <w:pPr>
        <w:pStyle w:val="17"/>
        <w:snapToGrid w:val="0"/>
        <w:spacing w:line="360" w:lineRule="auto"/>
        <w:rPr>
          <w:rFonts w:hAnsi="宋体" w:cs="宋体"/>
          <w:color w:val="auto"/>
          <w:highlight w:val="none"/>
        </w:rPr>
      </w:pPr>
    </w:p>
    <w:p>
      <w:pPr>
        <w:pStyle w:val="17"/>
        <w:snapToGrid w:val="0"/>
        <w:spacing w:line="360" w:lineRule="auto"/>
        <w:rPr>
          <w:rFonts w:hAnsi="宋体" w:cs="宋体"/>
          <w:color w:val="auto"/>
          <w:highlight w:val="none"/>
        </w:rPr>
      </w:pPr>
    </w:p>
    <w:p>
      <w:pPr>
        <w:pStyle w:val="17"/>
        <w:snapToGrid w:val="0"/>
        <w:spacing w:line="360" w:lineRule="auto"/>
        <w:rPr>
          <w:rFonts w:hAnsi="宋体" w:cs="宋体"/>
          <w:color w:val="auto"/>
          <w:highlight w:val="none"/>
        </w:rPr>
      </w:pP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主要人员简历表</w:t>
      </w:r>
    </w:p>
    <w:p>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工程名称：</w:t>
      </w:r>
    </w:p>
    <w:tbl>
      <w:tblPr>
        <w:tblStyle w:val="31"/>
        <w:tblW w:w="5000"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60" w:type="dxa"/>
          <w:left w:w="60" w:type="dxa"/>
          <w:bottom w:w="60" w:type="dxa"/>
          <w:right w:w="60" w:type="dxa"/>
        </w:tblCellMar>
      </w:tblPr>
      <w:tblGrid>
        <w:gridCol w:w="1100"/>
        <w:gridCol w:w="1351"/>
        <w:gridCol w:w="927"/>
        <w:gridCol w:w="518"/>
        <w:gridCol w:w="196"/>
        <w:gridCol w:w="1384"/>
        <w:gridCol w:w="1009"/>
        <w:gridCol w:w="1291"/>
        <w:gridCol w:w="1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20"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性别</w:t>
            </w:r>
          </w:p>
        </w:tc>
        <w:tc>
          <w:tcPr>
            <w:tcW w:w="1144" w:type="pct"/>
            <w:gridSpan w:val="3"/>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年龄</w:t>
            </w: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506"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职称</w:t>
            </w:r>
          </w:p>
        </w:tc>
        <w:tc>
          <w:tcPr>
            <w:tcW w:w="1144" w:type="pct"/>
            <w:gridSpan w:val="3"/>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学历</w:t>
            </w: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参加工作时间</w:t>
            </w:r>
          </w:p>
        </w:tc>
        <w:tc>
          <w:tcPr>
            <w:tcW w:w="896" w:type="pct"/>
            <w:gridSpan w:val="3"/>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30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担任相应职务年限</w:t>
            </w:r>
          </w:p>
        </w:tc>
        <w:tc>
          <w:tcPr>
            <w:tcW w:w="1462"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毕业学校</w:t>
            </w:r>
          </w:p>
        </w:tc>
        <w:tc>
          <w:tcPr>
            <w:tcW w:w="3662" w:type="pct"/>
            <w:gridSpan w:val="7"/>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年月毕业于学校系，学制年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1337"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资格证书号</w:t>
            </w:r>
          </w:p>
        </w:tc>
        <w:tc>
          <w:tcPr>
            <w:tcW w:w="3662" w:type="pct"/>
            <w:gridSpan w:val="7"/>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5" w:hRule="atLeast"/>
          <w:tblCellSpacing w:w="0" w:type="dxa"/>
          <w:jc w:val="center"/>
        </w:trPr>
        <w:tc>
          <w:tcPr>
            <w:tcW w:w="5000" w:type="pct"/>
            <w:gridSpan w:val="9"/>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业绩简介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建设单位</w:t>
            </w:r>
          </w:p>
        </w:tc>
        <w:tc>
          <w:tcPr>
            <w:tcW w:w="737" w:type="pct"/>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789" w:type="pct"/>
            <w:gridSpan w:val="2"/>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建设规模</w:t>
            </w:r>
          </w:p>
        </w:tc>
        <w:tc>
          <w:tcPr>
            <w:tcW w:w="861" w:type="pct"/>
            <w:gridSpan w:val="2"/>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开、竣工日期</w:t>
            </w:r>
          </w:p>
        </w:tc>
        <w:tc>
          <w:tcPr>
            <w:tcW w:w="1254" w:type="pct"/>
            <w:gridSpan w:val="2"/>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在建或已完工程质量</w:t>
            </w:r>
          </w:p>
        </w:tc>
        <w:tc>
          <w:tcPr>
            <w:tcW w:w="757" w:type="pct"/>
            <w:tcBorders>
              <w:tl2br w:val="nil"/>
              <w:tr2bl w:val="nil"/>
            </w:tcBorders>
            <w:noWrap/>
            <w:vAlign w:val="center"/>
          </w:tcPr>
          <w:p>
            <w:pPr>
              <w:snapToGrid w:val="0"/>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60" w:type="dxa"/>
            <w:left w:w="60" w:type="dxa"/>
            <w:bottom w:w="60" w:type="dxa"/>
            <w:right w:w="60" w:type="dxa"/>
          </w:tblCellMar>
        </w:tblPrEx>
        <w:trPr>
          <w:trHeight w:val="735" w:hRule="atLeast"/>
          <w:tblCellSpacing w:w="0" w:type="dxa"/>
          <w:jc w:val="center"/>
        </w:trPr>
        <w:tc>
          <w:tcPr>
            <w:tcW w:w="599"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3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89"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861"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1254" w:type="pct"/>
            <w:gridSpan w:val="2"/>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c>
          <w:tcPr>
            <w:tcW w:w="757" w:type="pct"/>
            <w:tcBorders>
              <w:tl2br w:val="nil"/>
              <w:tr2bl w:val="nil"/>
            </w:tcBorders>
            <w:noWrap/>
            <w:vAlign w:val="center"/>
          </w:tcPr>
          <w:p>
            <w:pPr>
              <w:snapToGrid w:val="0"/>
              <w:spacing w:line="360" w:lineRule="auto"/>
              <w:jc w:val="left"/>
              <w:rPr>
                <w:rFonts w:ascii="宋体" w:hAnsi="宋体" w:cs="宋体"/>
                <w:color w:val="auto"/>
                <w:sz w:val="24"/>
                <w:szCs w:val="24"/>
                <w:highlight w:val="none"/>
              </w:rPr>
            </w:pPr>
          </w:p>
        </w:tc>
      </w:tr>
    </w:tbl>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p>
    <w:p>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投标人（盖章）：</w:t>
      </w:r>
    </w:p>
    <w:p>
      <w:pPr>
        <w:topLinePunct/>
        <w:adjustRightInd w:val="0"/>
        <w:snapToGrid w:val="0"/>
        <w:spacing w:line="360" w:lineRule="auto"/>
        <w:ind w:firstLine="4092" w:firstLineChars="16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日期：</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年</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月</w:t>
      </w:r>
      <w:r>
        <w:rPr>
          <w:rFonts w:hint="eastAsia" w:ascii="宋体" w:hAnsi="宋体" w:cs="宋体"/>
          <w:color w:val="auto"/>
          <w:spacing w:val="4"/>
          <w:kern w:val="0"/>
          <w:sz w:val="24"/>
          <w:szCs w:val="24"/>
          <w:highlight w:val="none"/>
          <w:lang w:val="en-US" w:eastAsia="zh-CN"/>
        </w:rPr>
        <w:t xml:space="preserve">   </w:t>
      </w:r>
      <w:r>
        <w:rPr>
          <w:rFonts w:hint="eastAsia" w:ascii="宋体" w:hAnsi="宋体" w:cs="宋体"/>
          <w:color w:val="auto"/>
          <w:spacing w:val="4"/>
          <w:kern w:val="0"/>
          <w:sz w:val="24"/>
          <w:szCs w:val="24"/>
          <w:highlight w:val="none"/>
        </w:rPr>
        <w:t>日</w:t>
      </w:r>
    </w:p>
    <w:p>
      <w:pPr>
        <w:snapToGrid w:val="0"/>
        <w:spacing w:line="360" w:lineRule="auto"/>
        <w:rPr>
          <w:rFonts w:ascii="宋体" w:hAnsi="宋体" w:cs="宋体"/>
          <w:color w:val="auto"/>
          <w:highlight w:val="none"/>
        </w:rPr>
      </w:pPr>
    </w:p>
    <w:p>
      <w:pPr>
        <w:rPr>
          <w:rFonts w:ascii="宋体" w:hAnsi="宋体" w:cs="宋体"/>
          <w:color w:val="auto"/>
          <w:sz w:val="24"/>
          <w:szCs w:val="24"/>
          <w:highlight w:val="none"/>
        </w:rPr>
      </w:pPr>
      <w:bookmarkStart w:id="40" w:name="_Toc4573"/>
      <w:bookmarkStart w:id="41" w:name="_Toc13235"/>
      <w:r>
        <w:rPr>
          <w:rFonts w:hint="eastAsia" w:ascii="宋体" w:hAnsi="宋体" w:cs="宋体"/>
          <w:color w:val="auto"/>
          <w:sz w:val="24"/>
          <w:szCs w:val="24"/>
          <w:highlight w:val="none"/>
        </w:rPr>
        <w:br w:type="page"/>
      </w:r>
    </w:p>
    <w:p>
      <w:pPr>
        <w:topLinePunct/>
        <w:adjustRightInd w:val="0"/>
        <w:snapToGrid w:val="0"/>
        <w:spacing w:line="360" w:lineRule="auto"/>
        <w:jc w:val="left"/>
        <w:outlineLvl w:val="2"/>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38"/>
      <w:bookmarkEnd w:id="39"/>
      <w:bookmarkEnd w:id="40"/>
      <w:bookmarkEnd w:id="41"/>
      <w:r>
        <w:rPr>
          <w:rFonts w:hint="eastAsia" w:ascii="宋体" w:hAnsi="宋体" w:cs="宋体"/>
          <w:snapToGrid w:val="0"/>
          <w:color w:val="auto"/>
          <w:spacing w:val="4"/>
          <w:kern w:val="0"/>
          <w:sz w:val="24"/>
          <w:szCs w:val="24"/>
          <w:highlight w:val="none"/>
          <w:lang w:eastAsia="zh-CN"/>
        </w:rPr>
        <w:t>五</w:t>
      </w:r>
      <w:r>
        <w:rPr>
          <w:rFonts w:hint="eastAsia" w:ascii="宋体" w:hAnsi="宋体" w:cs="宋体"/>
          <w:snapToGrid w:val="0"/>
          <w:color w:val="auto"/>
          <w:spacing w:val="4"/>
          <w:kern w:val="0"/>
          <w:sz w:val="24"/>
          <w:szCs w:val="24"/>
          <w:highlight w:val="none"/>
        </w:rPr>
        <w:t>：</w:t>
      </w:r>
    </w:p>
    <w:p>
      <w:pPr>
        <w:topLinePunct/>
        <w:adjustRightInd w:val="0"/>
        <w:snapToGrid w:val="0"/>
        <w:spacing w:line="360" w:lineRule="auto"/>
        <w:jc w:val="center"/>
        <w:rPr>
          <w:rFonts w:ascii="宋体" w:hAnsi="宋体" w:cs="宋体"/>
          <w:b/>
          <w:color w:val="auto"/>
          <w:spacing w:val="4"/>
          <w:kern w:val="0"/>
          <w:sz w:val="36"/>
          <w:szCs w:val="36"/>
          <w:highlight w:val="none"/>
        </w:rPr>
      </w:pPr>
      <w:r>
        <w:rPr>
          <w:rFonts w:hint="eastAsia" w:ascii="宋体" w:hAnsi="宋体" w:cs="宋体"/>
          <w:b/>
          <w:color w:val="auto"/>
          <w:spacing w:val="4"/>
          <w:kern w:val="0"/>
          <w:sz w:val="36"/>
          <w:szCs w:val="36"/>
          <w:highlight w:val="none"/>
        </w:rPr>
        <w:t>标函承诺书</w:t>
      </w:r>
    </w:p>
    <w:p>
      <w:pPr>
        <w:pStyle w:val="42"/>
        <w:snapToGrid w:val="0"/>
        <w:spacing w:after="0" w:line="360" w:lineRule="auto"/>
        <w:ind w:left="339" w:leftChars="101" w:hanging="127" w:hangingChars="53"/>
        <w:jc w:val="left"/>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致：广州开发区财政投资建设项目管理中心</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1、若我公司中标，我公司承诺按时交纳履约保证金。</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2、在本工程施工期间，拟投入的人力不少于下表中的人数</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0"/>
        <w:gridCol w:w="3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工种</w:t>
            </w: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施工低峰期数量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60"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c>
          <w:tcPr>
            <w:tcW w:w="3783"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宋体" w:hAnsi="宋体" w:cs="宋体"/>
                <w:color w:val="auto"/>
                <w:szCs w:val="21"/>
                <w:highlight w:val="none"/>
              </w:rPr>
            </w:pPr>
          </w:p>
        </w:tc>
      </w:tr>
    </w:tbl>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3、在工程施工期间，拟投入的主要机械设备按投标文件所附的《拟投入本工程施工的主要机械设备配备表》。</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4、所选用的主要材料品牌符合招标文件的要求。</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5、拟投入到本工程的主要技术人员、经济和管理人员按投标文件所附的《投入主要人员汇总表》。中标后，拟投入到本工程安全员人数不得低于住建部相关文件的最低要求。</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6、我公司保证拟派项目负责人符合《广州市住房和城乡建设局关于加强建筑工程项目负责人管理的通知》（穗建规字〔2020〕32号）文的要求，并将严格按照招标文件要求，自签订合同之日起至工程竣工验收将常驻现场，严格按照有关工程项目管理的要求进行项目管理，如果不能够按照此要求实施，我方自愿接受贵中心的处罚措施。</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7、本工程施工过程中，我司将严格按照国家、省、市有关施工及验收规范、标准进行施工，确保本工程质量标准达到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 w:val="24"/>
          <w:szCs w:val="24"/>
          <w:highlight w:val="none"/>
        </w:rPr>
        <w:t>要求。</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8、在确保工程质量的前提下，我司严格控制工程工期，确保工程在</w:t>
      </w:r>
      <w:r>
        <w:rPr>
          <w:rFonts w:hint="eastAsia" w:ascii="宋体" w:hAnsi="宋体" w:cs="宋体"/>
          <w:color w:val="auto"/>
          <w:szCs w:val="21"/>
          <w:highlight w:val="none"/>
          <w:u w:val="single"/>
          <w:lang w:val="en-US" w:eastAsia="zh-CN"/>
        </w:rPr>
        <w:t xml:space="preserve">     </w:t>
      </w:r>
      <w:r>
        <w:rPr>
          <w:rFonts w:hint="eastAsia" w:ascii="宋体" w:hAnsi="宋体" w:cs="宋体"/>
          <w:b/>
          <w:color w:val="auto"/>
          <w:sz w:val="24"/>
          <w:szCs w:val="24"/>
          <w:highlight w:val="none"/>
        </w:rPr>
        <w:t>日历天</w:t>
      </w:r>
      <w:r>
        <w:rPr>
          <w:rFonts w:hint="eastAsia" w:ascii="宋体" w:hAnsi="宋体" w:cs="宋体"/>
          <w:color w:val="auto"/>
          <w:sz w:val="24"/>
          <w:szCs w:val="24"/>
          <w:highlight w:val="none"/>
        </w:rPr>
        <w:t>内完成。</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9、严格按照国家、省、市有关安全生产、文明施工要求，积极制定安全生产、文明施工措施，并严格执行，确保施工中符合安全生产、文明施工要求。在施工过程中,若发生重大伤亡事故，我方自愿接受贵中心的经济处罚：如发生死亡事故，死亡1人，支付20万元违约金；死亡2人，支付40万元违约金；死亡3人或以上，支付80万元违约金；如发生重伤事故，重伤1人，支付10万元违约金；重伤2人，支付20万元违约金；重伤3人或以上，支付40万元违约金。以上款项从工程款中扣除，扣除的款项均上缴国库。</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10、按照发包人、监理工程师的要求及时为各专业工程（电信、电力管线、电力走廊、煤气、道路绿化、路灯、交通设施等）提供工作面，并为专业工程穿插施工所需各项配合工作给予方便。</w:t>
      </w:r>
    </w:p>
    <w:p>
      <w:pPr>
        <w:snapToGrid w:val="0"/>
        <w:spacing w:line="360" w:lineRule="auto"/>
        <w:ind w:firstLine="566" w:firstLineChars="236"/>
        <w:rPr>
          <w:rFonts w:ascii="宋体" w:hAnsi="宋体" w:cs="宋体"/>
          <w:color w:val="auto"/>
          <w:sz w:val="24"/>
          <w:szCs w:val="24"/>
          <w:highlight w:val="none"/>
        </w:rPr>
      </w:pPr>
      <w:r>
        <w:rPr>
          <w:rFonts w:hint="eastAsia" w:ascii="宋体" w:hAnsi="宋体" w:cs="宋体"/>
          <w:color w:val="auto"/>
          <w:sz w:val="24"/>
          <w:szCs w:val="24"/>
          <w:highlight w:val="none"/>
        </w:rPr>
        <w:t>11、将按照招标过程中确定的范围，除了下表所列专业工程外，其余全部工程由我司自行施工。对工程分包，我司承诺按照招标文件的要求和有关规定履行总包单位的职责，在中标后提供分包单位的资质证明材料（如有必须分包的专业工程，请填入下表）。</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7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8573" w:type="dxa"/>
            <w:gridSpan w:val="2"/>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必须分包的专业工程内容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ind w:left="-105" w:leftChars="-50" w:firstLine="90" w:firstLineChars="43"/>
              <w:jc w:val="center"/>
              <w:rPr>
                <w:rFonts w:ascii="宋体" w:hAnsi="宋体" w:cs="宋体"/>
                <w:color w:val="auto"/>
                <w:szCs w:val="21"/>
                <w:highlight w:val="none"/>
                <w:u w:val="single"/>
              </w:rPr>
            </w:pPr>
            <w:r>
              <w:rPr>
                <w:rFonts w:hint="eastAsia" w:ascii="宋体" w:hAnsi="宋体" w:cs="宋体"/>
                <w:color w:val="auto"/>
                <w:szCs w:val="21"/>
                <w:highlight w:val="none"/>
                <w:u w:val="single"/>
              </w:rPr>
              <w:t>序号</w:t>
            </w:r>
          </w:p>
        </w:tc>
        <w:tc>
          <w:tcPr>
            <w:tcW w:w="75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Cs w:val="21"/>
                <w:highlight w:val="none"/>
                <w:u w:val="single"/>
              </w:rPr>
              <w:t>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50"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c>
          <w:tcPr>
            <w:tcW w:w="75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rPr>
                <w:rFonts w:ascii="宋体" w:hAnsi="宋体" w:cs="宋体"/>
                <w:color w:val="auto"/>
                <w:szCs w:val="21"/>
                <w:highlight w:val="none"/>
                <w:u w:val="single"/>
              </w:rPr>
            </w:pPr>
          </w:p>
        </w:tc>
      </w:tr>
    </w:tbl>
    <w:p>
      <w:pPr>
        <w:tabs>
          <w:tab w:val="left" w:pos="315"/>
        </w:tabs>
        <w:snapToGrid w:val="0"/>
        <w:spacing w:line="360" w:lineRule="auto"/>
        <w:ind w:left="19" w:leftChars="9"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12、我司保证在中标后，严格按照《广州市住房和城乡建设委员会关于印发&lt;广州市建筑施工实名制管理办法&gt;的通知》（穗建规字[2020]18号）、《关于印发广州市建设领域工人工资支付分帐管理实施细则的通知》（穗建规字[2020]37号）等最新规定及广州市黄埔区、开发区对应出台的相关文件规定办理建筑工地实名制管理和工人工资支付分帐管理事宜；加强对我司承包范围（含其专业分包、劳务分包范围）工人工资支付的管理，并对我司及其分包单位工人工资支付负总责，防止出现拖欠工人工资情况。若因违法转包、分包工程的或其他承包人原因导致相应工程出现拖欠工人工资情况的，我司将对拖欠工人工资承担清偿责任，对此引起的纠纷负全责，造成发包人损失（包括但不限于发包人因此而支付的赔偿款、律师费、诉讼费、保全费、公证费、鉴定费等）的，我司将承担全部责任。</w:t>
      </w:r>
    </w:p>
    <w:p>
      <w:pPr>
        <w:tabs>
          <w:tab w:val="left" w:pos="0"/>
        </w:tabs>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13、我司保证在中标后，根据工程特点，编制本工程详细的施工组织设计和施工方案，并报监理和发包人审核批准，并严格按审批的意见和要求组织施工。</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14、我司承诺积极响应并接受招标文件中合同专用专款关于合同价款的调整办法。</w:t>
      </w:r>
    </w:p>
    <w:p>
      <w:pPr>
        <w:snapToGrid w:val="0"/>
        <w:spacing w:line="360" w:lineRule="auto"/>
        <w:ind w:firstLine="480" w:firstLineChars="200"/>
        <w:rPr>
          <w:rFonts w:ascii="宋体" w:hAnsi="宋体" w:cs="宋体"/>
          <w:snapToGrid w:val="0"/>
          <w:color w:val="auto"/>
          <w:kern w:val="0"/>
          <w:sz w:val="24"/>
          <w:szCs w:val="24"/>
          <w:highlight w:val="none"/>
        </w:rPr>
      </w:pPr>
      <w:r>
        <w:rPr>
          <w:rFonts w:hint="eastAsia" w:ascii="宋体" w:hAnsi="宋体" w:cs="宋体"/>
          <w:snapToGrid w:val="0"/>
          <w:color w:val="auto"/>
          <w:kern w:val="0"/>
          <w:sz w:val="24"/>
          <w:szCs w:val="24"/>
          <w:highlight w:val="none"/>
        </w:rPr>
        <w:t>15、我司保证在中标后，施工现场严格按照《广州市建设工程文明施工管理规定》（广州市人民政府令62号）、《广州市建设工程现场文明施工管理办法》（穗建质〔2008〕937号）、《关于进一步加强我区建设工地文明施工管理的通知》（穗开规建〔2006〕74号）、《广州市住房和城乡建设委员会关于印发建设工程扬尘防治“6个100%”管理标准细化措施的通知》（穗建质〔2018〕1394号）及其他相关规定实施，施工围蔽严格按照《关于进一步规范建设工程施工现场围蔽的通知》（穗建质[2008]1008号）、《广州市建设工程绿色施工围蔽指导图集（V2.0版）》(穗建质〔2020〕1号）、《关于进一步落实我区市政建设项目施工围蔽提升工作的通知》（穗埔建[2019]123号）及《黄埔区住房和城乡建设局广州开发区建设和交通局关于进一步规范全区建设工程施工围蔽标准的通知》（穗埔建﹝2020﹞183号）的相关文件要求的标准实施。以上文件要求不一致的，以后发布文件为准，若相关部门发布有关施工现场管理及施工围蔽新规定的，按新规定执行。我司随时接受监理、业主、安监机构等相关部门监督和检查，对在检查中发现不符合安全文明施工要求的，无条件进行整改。如不及时按要求整改，发包人有权不支付安全文明施工措施费，或另行委托单位实施，所发生的费用在本工程施工措施费中扣除，如不足抵扣可在本工程承包工程款中扣除，同时我司接受发包人根据实际情况对我司作出的其他处罚措施。发包人可将情况上报建设行政主管部门，视情况追究我司有关责任，可对我司或项目责任人作不良行为记录。</w:t>
      </w:r>
    </w:p>
    <w:p>
      <w:pPr>
        <w:snapToGrid w:val="0"/>
        <w:spacing w:line="360" w:lineRule="auto"/>
        <w:ind w:left="318"/>
        <w:rPr>
          <w:rFonts w:ascii="宋体" w:hAnsi="宋体" w:cs="宋体"/>
          <w:color w:val="auto"/>
          <w:sz w:val="24"/>
          <w:szCs w:val="24"/>
          <w:highlight w:val="none"/>
          <w:u w:val="single"/>
        </w:rPr>
      </w:pPr>
    </w:p>
    <w:p>
      <w:pPr>
        <w:snapToGrid w:val="0"/>
        <w:spacing w:line="360" w:lineRule="auto"/>
        <w:ind w:left="420" w:leftChars="200" w:firstLine="4384" w:firstLineChars="1827"/>
        <w:jc w:val="left"/>
        <w:rPr>
          <w:rFonts w:ascii="宋体" w:hAnsi="宋体" w:cs="宋体"/>
          <w:color w:val="auto"/>
          <w:sz w:val="24"/>
          <w:szCs w:val="24"/>
          <w:highlight w:val="none"/>
        </w:rPr>
      </w:pPr>
      <w:r>
        <w:rPr>
          <w:rFonts w:hint="eastAsia" w:ascii="宋体" w:hAnsi="宋体" w:cs="宋体"/>
          <w:color w:val="auto"/>
          <w:sz w:val="24"/>
          <w:szCs w:val="24"/>
          <w:highlight w:val="none"/>
        </w:rPr>
        <w:t>投标单位：（公章）</w:t>
      </w:r>
    </w:p>
    <w:p>
      <w:pPr>
        <w:snapToGrid w:val="0"/>
        <w:spacing w:line="360" w:lineRule="auto"/>
        <w:ind w:left="420" w:leftChars="200" w:right="560" w:firstLine="5040" w:firstLineChars="2100"/>
        <w:rPr>
          <w:rFonts w:ascii="宋体" w:hAnsi="宋体" w:cs="宋体"/>
          <w:color w:val="auto"/>
          <w:sz w:val="24"/>
          <w:szCs w:val="24"/>
          <w:highlight w:val="none"/>
        </w:rPr>
      </w:pP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pPr>
        <w:snapToGrid w:val="0"/>
        <w:spacing w:line="360" w:lineRule="auto"/>
        <w:ind w:left="420" w:leftChars="200"/>
        <w:jc w:val="left"/>
        <w:rPr>
          <w:rFonts w:ascii="宋体" w:hAnsi="宋体" w:cs="宋体"/>
          <w:color w:val="auto"/>
          <w:sz w:val="24"/>
          <w:szCs w:val="24"/>
          <w:highlight w:val="none"/>
          <w:u w:val="single"/>
        </w:rPr>
      </w:pPr>
    </w:p>
    <w:p>
      <w:pPr>
        <w:snapToGrid w:val="0"/>
        <w:spacing w:line="360" w:lineRule="auto"/>
        <w:ind w:left="-2" w:leftChars="-1"/>
        <w:rPr>
          <w:rFonts w:ascii="宋体" w:hAnsi="宋体" w:cs="宋体"/>
          <w:color w:val="auto"/>
          <w:szCs w:val="21"/>
          <w:highlight w:val="none"/>
        </w:rPr>
      </w:pPr>
      <w:r>
        <w:rPr>
          <w:rFonts w:hint="eastAsia" w:ascii="宋体" w:hAnsi="宋体" w:cs="宋体"/>
          <w:color w:val="auto"/>
          <w:szCs w:val="21"/>
          <w:highlight w:val="none"/>
        </w:rPr>
        <w:t>注：</w:t>
      </w:r>
    </w:p>
    <w:p>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1、《标函承诺书》作为投标文件的“实质性响应”文件，投标人应如实填写，中标后必须按填报内容如期实施，否则按“弄虚作假骗取中标”处理。中标后，工程的监理单位将经常核验投标人是否按填报内容实施，行政管理机构也将随时抽查。</w:t>
      </w:r>
    </w:p>
    <w:p>
      <w:pPr>
        <w:snapToGrid w:val="0"/>
        <w:spacing w:line="360" w:lineRule="auto"/>
        <w:ind w:left="-2" w:leftChars="-1"/>
        <w:jc w:val="left"/>
        <w:rPr>
          <w:rFonts w:ascii="宋体" w:hAnsi="宋体" w:cs="宋体"/>
          <w:color w:val="auto"/>
          <w:szCs w:val="21"/>
          <w:highlight w:val="none"/>
        </w:rPr>
      </w:pPr>
      <w:r>
        <w:rPr>
          <w:rFonts w:hint="eastAsia" w:ascii="宋体" w:hAnsi="宋体" w:cs="宋体"/>
          <w:color w:val="auto"/>
          <w:szCs w:val="21"/>
          <w:highlight w:val="none"/>
        </w:rPr>
        <w:t>2、《标函承诺书》第7条内容“确保本工程质量达到</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要求”横线上要求按照本工程《广州建设工程施工招标投标书（技术标）》承诺的质量标准填写，否则视作未按规定的格式填写，作无效标处理。</w:t>
      </w:r>
    </w:p>
    <w:p>
      <w:pPr>
        <w:snapToGrid w:val="0"/>
        <w:spacing w:line="360" w:lineRule="auto"/>
        <w:ind w:left="-2" w:leftChars="-1"/>
        <w:jc w:val="left"/>
        <w:rPr>
          <w:rFonts w:ascii="宋体" w:hAnsi="宋体" w:cs="宋体"/>
          <w:color w:val="auto"/>
          <w:sz w:val="24"/>
          <w:szCs w:val="24"/>
          <w:highlight w:val="none"/>
          <w:u w:val="single"/>
        </w:rPr>
      </w:pPr>
      <w:r>
        <w:rPr>
          <w:rFonts w:hint="eastAsia" w:ascii="宋体" w:hAnsi="宋体" w:cs="宋体"/>
          <w:color w:val="auto"/>
          <w:szCs w:val="21"/>
          <w:highlight w:val="none"/>
        </w:rPr>
        <w:t>3、《标函承诺书》第8条内容“确保工程在</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日历天内完成”横线上要求按照本工程《广州建设工程施工招标投标书（技术标）》承诺的投标总工期填写，否则视作未按规定的格式填写，作无效标处理。</w:t>
      </w:r>
      <w:bookmarkStart w:id="42" w:name="_Toc24943"/>
      <w:bookmarkStart w:id="43" w:name="_Toc14656"/>
    </w:p>
    <w:p>
      <w:pPr>
        <w:snapToGrid w:val="0"/>
        <w:spacing w:line="360" w:lineRule="auto"/>
        <w:ind w:left="420" w:leftChars="200"/>
        <w:jc w:val="left"/>
        <w:rPr>
          <w:rFonts w:ascii="宋体" w:hAnsi="宋体" w:cs="宋体"/>
          <w:color w:val="auto"/>
          <w:sz w:val="24"/>
          <w:szCs w:val="24"/>
          <w:highlight w:val="none"/>
          <w:u w:val="single"/>
        </w:rPr>
      </w:pPr>
    </w:p>
    <w:p>
      <w:pPr>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snapToGrid w:val="0"/>
          <w:color w:val="auto"/>
          <w:spacing w:val="4"/>
          <w:kern w:val="0"/>
          <w:sz w:val="24"/>
          <w:szCs w:val="24"/>
          <w:highlight w:val="none"/>
          <w:lang w:eastAsia="zh-CN"/>
        </w:rPr>
        <w:t>六</w:t>
      </w:r>
      <w:r>
        <w:rPr>
          <w:rFonts w:hint="eastAsia" w:ascii="宋体" w:hAnsi="宋体" w:cs="宋体"/>
          <w:snapToGrid w:val="0"/>
          <w:color w:val="auto"/>
          <w:spacing w:val="4"/>
          <w:kern w:val="0"/>
          <w:sz w:val="24"/>
          <w:szCs w:val="24"/>
          <w:highlight w:val="none"/>
        </w:rPr>
        <w:t>：</w:t>
      </w:r>
    </w:p>
    <w:p>
      <w:pPr>
        <w:pStyle w:val="126"/>
        <w:rPr>
          <w:rFonts w:hint="eastAsia" w:ascii="宋体" w:hAnsi="宋体" w:eastAsia="宋体" w:cs="宋体"/>
          <w:b/>
          <w:bCs/>
          <w:color w:val="auto"/>
          <w:szCs w:val="21"/>
          <w:highlight w:val="none"/>
          <w:lang w:eastAsia="zh-CN"/>
        </w:rPr>
      </w:pPr>
    </w:p>
    <w:p>
      <w:pPr>
        <w:pStyle w:val="29"/>
        <w:snapToGrid w:val="0"/>
        <w:spacing w:after="0" w:line="360" w:lineRule="auto"/>
        <w:ind w:firstLine="0"/>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中小企业声明函（如有）</w:t>
      </w:r>
    </w:p>
    <w:p>
      <w:pPr>
        <w:pStyle w:val="126"/>
        <w:rPr>
          <w:rFonts w:ascii="宋体" w:hAnsi="宋体" w:cs="宋体"/>
          <w:b/>
          <w:bCs/>
          <w:color w:val="auto"/>
          <w:szCs w:val="21"/>
          <w:highlight w:val="none"/>
        </w:rPr>
      </w:pPr>
    </w:p>
    <w:p>
      <w:pPr>
        <w:pStyle w:val="14"/>
        <w:tabs>
          <w:tab w:val="left" w:pos="1981"/>
          <w:tab w:val="left" w:pos="3555"/>
        </w:tabs>
        <w:kinsoku w:val="0"/>
        <w:overflowPunct w:val="0"/>
        <w:spacing w:line="360" w:lineRule="auto"/>
        <w:rPr>
          <w:rFonts w:hint="default" w:ascii="宋体" w:hAnsi="宋体" w:eastAsia="宋体"/>
          <w:color w:val="auto"/>
          <w:highlight w:val="none"/>
          <w:lang w:val="en-US" w:eastAsia="zh-CN"/>
        </w:rPr>
      </w:pPr>
      <w:r>
        <w:rPr>
          <w:rFonts w:hint="eastAsia" w:ascii="宋体" w:hAnsi="宋体"/>
          <w:color w:val="auto"/>
          <w:sz w:val="24"/>
          <w:szCs w:val="24"/>
          <w:highlight w:val="none"/>
        </w:rPr>
        <w:t>致：</w:t>
      </w:r>
      <w:r>
        <w:rPr>
          <w:rFonts w:hint="eastAsia" w:ascii="宋体" w:hAnsi="宋体" w:cs="宋体"/>
          <w:color w:val="auto"/>
          <w:sz w:val="24"/>
          <w:szCs w:val="24"/>
          <w:highlight w:val="none"/>
          <w:u w:val="single"/>
          <w:lang w:eastAsia="zh-CN"/>
        </w:rPr>
        <w:t>广州开发区财政投资建设项目管理中心</w:t>
      </w:r>
    </w:p>
    <w:p>
      <w:pPr>
        <w:pStyle w:val="14"/>
        <w:kinsoku w:val="0"/>
        <w:overflowPunct w:val="0"/>
        <w:spacing w:line="360" w:lineRule="auto"/>
        <w:ind w:right="216" w:firstLine="460" w:firstLineChars="200"/>
        <w:rPr>
          <w:rFonts w:ascii="宋体" w:hAnsi="宋体"/>
          <w:color w:val="auto"/>
          <w:highlight w:val="none"/>
        </w:rPr>
      </w:pPr>
      <w:r>
        <w:rPr>
          <w:rFonts w:hint="eastAsia" w:ascii="宋体" w:hAnsi="宋体"/>
          <w:color w:val="auto"/>
          <w:spacing w:val="-5"/>
          <w:sz w:val="24"/>
          <w:szCs w:val="24"/>
          <w:highlight w:val="none"/>
        </w:rPr>
        <w:t>本公司郑重声明，根据《政府采购促进中小企业发展管理办法》</w:t>
      </w:r>
      <w:r>
        <w:rPr>
          <w:rFonts w:hint="eastAsia" w:ascii="宋体" w:hAnsi="宋体"/>
          <w:color w:val="auto"/>
          <w:sz w:val="24"/>
          <w:szCs w:val="24"/>
          <w:highlight w:val="none"/>
        </w:rPr>
        <w:t>（财库﹝</w:t>
      </w:r>
      <w:r>
        <w:rPr>
          <w:rFonts w:ascii="宋体" w:hAnsi="宋体"/>
          <w:color w:val="auto"/>
          <w:sz w:val="24"/>
          <w:szCs w:val="24"/>
          <w:highlight w:val="none"/>
        </w:rPr>
        <w:t>2020</w:t>
      </w:r>
      <w:r>
        <w:rPr>
          <w:rFonts w:hint="eastAsia" w:ascii="宋体" w:hAnsi="宋体"/>
          <w:color w:val="auto"/>
          <w:sz w:val="24"/>
          <w:szCs w:val="24"/>
          <w:highlight w:val="none"/>
        </w:rPr>
        <w:t>﹞</w:t>
      </w:r>
      <w:r>
        <w:rPr>
          <w:rFonts w:ascii="宋体" w:hAnsi="宋体"/>
          <w:color w:val="auto"/>
          <w:sz w:val="24"/>
          <w:szCs w:val="24"/>
          <w:highlight w:val="none"/>
        </w:rPr>
        <w:t>46</w:t>
      </w:r>
      <w:r>
        <w:rPr>
          <w:rFonts w:hint="eastAsia" w:ascii="宋体" w:hAnsi="宋体"/>
          <w:color w:val="auto"/>
          <w:spacing w:val="-35"/>
          <w:sz w:val="24"/>
          <w:szCs w:val="24"/>
          <w:highlight w:val="none"/>
        </w:rPr>
        <w:t>号</w:t>
      </w:r>
      <w:r>
        <w:rPr>
          <w:rFonts w:hint="eastAsia" w:ascii="宋体" w:hAnsi="宋体"/>
          <w:color w:val="auto"/>
          <w:sz w:val="24"/>
          <w:szCs w:val="24"/>
          <w:highlight w:val="none"/>
        </w:rPr>
        <w:t>）的规定，本公司参加</w:t>
      </w:r>
      <w:r>
        <w:rPr>
          <w:rFonts w:hint="eastAsia" w:ascii="宋体" w:hAnsi="宋体"/>
          <w:color w:val="auto"/>
          <w:sz w:val="24"/>
          <w:szCs w:val="24"/>
          <w:highlight w:val="none"/>
          <w:u w:val="single"/>
        </w:rPr>
        <w:t>（招标人）</w:t>
      </w:r>
      <w:r>
        <w:rPr>
          <w:rFonts w:hint="eastAsia" w:ascii="宋体" w:hAnsi="宋体"/>
          <w:color w:val="auto"/>
          <w:sz w:val="24"/>
          <w:szCs w:val="24"/>
          <w:highlight w:val="none"/>
        </w:rPr>
        <w:t>的</w:t>
      </w:r>
      <w:r>
        <w:rPr>
          <w:rFonts w:hint="eastAsia" w:ascii="宋体" w:hAnsi="宋体"/>
          <w:color w:val="auto"/>
          <w:sz w:val="24"/>
          <w:szCs w:val="24"/>
          <w:highlight w:val="none"/>
          <w:u w:val="single"/>
        </w:rPr>
        <w:t>（项目名称）</w:t>
      </w:r>
      <w:r>
        <w:rPr>
          <w:rFonts w:hint="eastAsia" w:ascii="宋体" w:hAnsi="宋体"/>
          <w:color w:val="auto"/>
          <w:sz w:val="24"/>
          <w:szCs w:val="24"/>
          <w:highlight w:val="none"/>
        </w:rPr>
        <w:t>招标活动，工程的施工单位</w:t>
      </w:r>
      <w:r>
        <w:rPr>
          <w:rFonts w:hint="eastAsia" w:ascii="宋体" w:hAnsi="宋体"/>
          <w:color w:val="auto"/>
          <w:sz w:val="24"/>
          <w:szCs w:val="24"/>
          <w:highlight w:val="none"/>
          <w:lang w:eastAsia="zh-CN"/>
        </w:rPr>
        <w:t>包含</w:t>
      </w:r>
      <w:r>
        <w:rPr>
          <w:rFonts w:hint="eastAsia" w:ascii="宋体" w:hAnsi="宋体"/>
          <w:color w:val="auto"/>
          <w:sz w:val="24"/>
          <w:szCs w:val="24"/>
          <w:highlight w:val="none"/>
        </w:rPr>
        <w:t>符合政策要求的中小企业。相关企业（含签订分包意向协议的中小企业）的具体情况如下：</w:t>
      </w:r>
    </w:p>
    <w:p>
      <w:pPr>
        <w:keepNext w:val="0"/>
        <w:keepLines w:val="0"/>
        <w:pageBreakBefore w:val="0"/>
        <w:widowControl w:val="0"/>
        <w:kinsoku w:val="0"/>
        <w:wordWrap/>
        <w:overflowPunct w:val="0"/>
        <w:topLinePunct w:val="0"/>
        <w:autoSpaceDE/>
        <w:autoSpaceDN/>
        <w:bidi w:val="0"/>
        <w:adjustRightInd/>
        <w:snapToGrid/>
        <w:spacing w:before="313" w:beforeLines="100" w:beforeAutospacing="0" w:after="120" w:line="360" w:lineRule="auto"/>
        <w:ind w:right="317" w:firstLine="480" w:firstLineChars="200"/>
        <w:textAlignment w:val="auto"/>
        <w:rPr>
          <w:rFonts w:hint="eastAsia" w:ascii="宋体" w:hAnsi="宋体"/>
          <w:color w:val="auto"/>
          <w:sz w:val="24"/>
          <w:szCs w:val="24"/>
        </w:rPr>
      </w:pPr>
      <w:r>
        <w:rPr>
          <w:rFonts w:hint="eastAsia" w:ascii="宋体" w:hAnsi="宋体"/>
          <w:color w:val="auto"/>
          <w:sz w:val="24"/>
          <w:szCs w:val="24"/>
        </w:rPr>
        <w:t>1.</w:t>
      </w:r>
      <w:r>
        <w:rPr>
          <w:rFonts w:hint="eastAsia" w:ascii="宋体" w:hAnsi="宋体"/>
          <w:color w:val="auto"/>
          <w:sz w:val="24"/>
          <w:szCs w:val="24"/>
          <w:u w:val="single"/>
        </w:rPr>
        <w:t>（</w:t>
      </w:r>
      <w:r>
        <w:rPr>
          <w:rFonts w:hint="eastAsia" w:ascii="宋体" w:hAnsi="宋体"/>
          <w:color w:val="auto"/>
          <w:spacing w:val="2"/>
          <w:sz w:val="24"/>
          <w:szCs w:val="24"/>
          <w:u w:val="single"/>
        </w:rPr>
        <w:t>标</w:t>
      </w:r>
      <w:r>
        <w:rPr>
          <w:rFonts w:hint="eastAsia" w:ascii="宋体" w:hAnsi="宋体"/>
          <w:color w:val="auto"/>
          <w:sz w:val="24"/>
          <w:szCs w:val="24"/>
          <w:u w:val="single"/>
        </w:rPr>
        <w:t>的名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属</w:t>
      </w:r>
      <w:r>
        <w:rPr>
          <w:rFonts w:hint="eastAsia" w:ascii="宋体" w:hAnsi="宋体"/>
          <w:color w:val="auto"/>
          <w:sz w:val="24"/>
          <w:szCs w:val="24"/>
        </w:rPr>
        <w:t>于</w:t>
      </w:r>
      <w:r>
        <w:rPr>
          <w:rFonts w:hint="eastAsia" w:ascii="宋体" w:hAnsi="宋体"/>
          <w:color w:val="auto"/>
          <w:sz w:val="24"/>
          <w:szCs w:val="24"/>
          <w:u w:val="single"/>
        </w:rPr>
        <w:t>建筑业</w:t>
      </w:r>
      <w:r>
        <w:rPr>
          <w:rFonts w:hint="eastAsia" w:ascii="宋体" w:hAnsi="宋体"/>
          <w:color w:val="auto"/>
          <w:sz w:val="24"/>
          <w:szCs w:val="24"/>
        </w:rPr>
        <w:t>；</w:t>
      </w:r>
      <w:r>
        <w:rPr>
          <w:rFonts w:hint="eastAsia" w:ascii="宋体" w:hAnsi="宋体"/>
          <w:color w:val="auto"/>
          <w:spacing w:val="2"/>
          <w:sz w:val="24"/>
          <w:szCs w:val="24"/>
        </w:rPr>
        <w:t>承</w:t>
      </w:r>
      <w:r>
        <w:rPr>
          <w:rFonts w:hint="eastAsia" w:ascii="宋体" w:hAnsi="宋体"/>
          <w:color w:val="auto"/>
          <w:sz w:val="24"/>
          <w:szCs w:val="24"/>
        </w:rPr>
        <w:t>建（承</w:t>
      </w:r>
      <w:r>
        <w:rPr>
          <w:rFonts w:hint="eastAsia" w:ascii="宋体" w:hAnsi="宋体"/>
          <w:color w:val="auto"/>
          <w:spacing w:val="2"/>
          <w:sz w:val="24"/>
          <w:szCs w:val="24"/>
        </w:rPr>
        <w:t>接</w:t>
      </w:r>
      <w:r>
        <w:rPr>
          <w:rFonts w:hint="eastAsia" w:ascii="宋体" w:hAnsi="宋体"/>
          <w:color w:val="auto"/>
          <w:sz w:val="24"/>
          <w:szCs w:val="24"/>
        </w:rPr>
        <w:t>）企</w:t>
      </w:r>
      <w:r>
        <w:rPr>
          <w:rFonts w:hint="eastAsia" w:ascii="宋体" w:hAnsi="宋体"/>
          <w:color w:val="auto"/>
          <w:spacing w:val="2"/>
          <w:sz w:val="24"/>
          <w:szCs w:val="24"/>
        </w:rPr>
        <w:t>业</w:t>
      </w:r>
      <w:r>
        <w:rPr>
          <w:rFonts w:hint="eastAsia" w:ascii="宋体" w:hAnsi="宋体"/>
          <w:color w:val="auto"/>
          <w:sz w:val="24"/>
          <w:szCs w:val="24"/>
        </w:rPr>
        <w:t>为</w:t>
      </w:r>
      <w:r>
        <w:rPr>
          <w:rFonts w:hint="eastAsia" w:ascii="宋体" w:hAnsi="宋体"/>
          <w:color w:val="auto"/>
          <w:sz w:val="24"/>
          <w:szCs w:val="24"/>
          <w:u w:val="single"/>
        </w:rPr>
        <w:t>（</w:t>
      </w:r>
      <w:r>
        <w:rPr>
          <w:rFonts w:hint="eastAsia" w:ascii="宋体" w:hAnsi="宋体"/>
          <w:color w:val="auto"/>
          <w:spacing w:val="2"/>
          <w:sz w:val="24"/>
          <w:szCs w:val="24"/>
          <w:u w:val="single"/>
        </w:rPr>
        <w:t>企</w:t>
      </w:r>
      <w:r>
        <w:rPr>
          <w:rFonts w:hint="eastAsia" w:ascii="宋体" w:hAnsi="宋体"/>
          <w:color w:val="auto"/>
          <w:sz w:val="24"/>
          <w:szCs w:val="24"/>
          <w:u w:val="single"/>
        </w:rPr>
        <w:t>业名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从</w:t>
      </w:r>
      <w:r>
        <w:rPr>
          <w:rFonts w:hint="eastAsia" w:ascii="宋体" w:hAnsi="宋体"/>
          <w:color w:val="auto"/>
          <w:sz w:val="24"/>
          <w:szCs w:val="24"/>
        </w:rPr>
        <w:t>业人员</w:t>
      </w:r>
      <w:r>
        <w:rPr>
          <w:rFonts w:hint="eastAsia" w:ascii="宋体" w:hAnsi="宋体"/>
          <w:color w:val="auto"/>
          <w:sz w:val="24"/>
          <w:szCs w:val="24"/>
          <w:u w:val="single"/>
          <w:lang w:val="en-US" w:eastAsia="zh-CN"/>
        </w:rPr>
        <w:t xml:space="preserve">  </w:t>
      </w:r>
      <w:r>
        <w:rPr>
          <w:rFonts w:hint="eastAsia" w:ascii="宋体" w:hAnsi="宋体"/>
          <w:color w:val="auto"/>
          <w:sz w:val="24"/>
          <w:szCs w:val="24"/>
          <w:u w:val="single"/>
        </w:rPr>
        <w:tab/>
      </w:r>
      <w:r>
        <w:rPr>
          <w:rFonts w:hint="eastAsia" w:ascii="宋体" w:hAnsi="宋体"/>
          <w:color w:val="auto"/>
          <w:sz w:val="24"/>
          <w:szCs w:val="24"/>
        </w:rPr>
        <w:t>人</w:t>
      </w:r>
      <w:r>
        <w:rPr>
          <w:rFonts w:hint="eastAsia" w:ascii="宋体" w:hAnsi="宋体"/>
          <w:color w:val="auto"/>
          <w:spacing w:val="2"/>
          <w:sz w:val="24"/>
          <w:szCs w:val="24"/>
        </w:rPr>
        <w:t>，</w:t>
      </w:r>
      <w:r>
        <w:rPr>
          <w:rFonts w:hint="eastAsia" w:ascii="宋体" w:hAnsi="宋体"/>
          <w:color w:val="auto"/>
          <w:sz w:val="24"/>
          <w:szCs w:val="24"/>
        </w:rPr>
        <w:t>营业收入为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万元</w:t>
      </w:r>
      <w:r>
        <w:rPr>
          <w:rFonts w:hint="eastAsia" w:ascii="宋体" w:hAnsi="宋体"/>
          <w:color w:val="auto"/>
          <w:spacing w:val="-1"/>
          <w:sz w:val="24"/>
          <w:szCs w:val="24"/>
        </w:rPr>
        <w:t>，</w:t>
      </w:r>
      <w:r>
        <w:rPr>
          <w:rFonts w:hint="eastAsia" w:ascii="宋体" w:hAnsi="宋体"/>
          <w:color w:val="auto"/>
          <w:sz w:val="24"/>
          <w:szCs w:val="24"/>
        </w:rPr>
        <w:t>资产总额为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万元</w:t>
      </w:r>
      <w:r>
        <w:rPr>
          <w:rFonts w:hint="eastAsia" w:ascii="宋体" w:hAnsi="宋体"/>
          <w:color w:val="auto"/>
          <w:spacing w:val="-1"/>
          <w:sz w:val="24"/>
          <w:szCs w:val="24"/>
        </w:rPr>
        <w:t>，</w:t>
      </w:r>
      <w:r>
        <w:rPr>
          <w:rFonts w:hint="eastAsia" w:ascii="宋体" w:hAnsi="宋体"/>
          <w:color w:val="auto"/>
          <w:sz w:val="24"/>
          <w:szCs w:val="24"/>
        </w:rPr>
        <w:t>属于</w:t>
      </w:r>
      <w:r>
        <w:rPr>
          <w:rFonts w:hint="eastAsia" w:ascii="宋体" w:hAnsi="宋体"/>
          <w:color w:val="auto"/>
          <w:sz w:val="24"/>
          <w:szCs w:val="24"/>
          <w:u w:val="single"/>
        </w:rPr>
        <w:t>（小型企业、微型企业）</w:t>
      </w:r>
      <w:r>
        <w:rPr>
          <w:rFonts w:hint="eastAsia" w:ascii="宋体" w:hAnsi="宋体"/>
          <w:color w:val="auto"/>
          <w:sz w:val="24"/>
          <w:szCs w:val="24"/>
        </w:rPr>
        <w:t>；在本项目中拟承担工作，在本项目的合同份额占合同总金额</w:t>
      </w:r>
      <w:r>
        <w:rPr>
          <w:rFonts w:hint="eastAsia" w:ascii="宋体" w:hAnsi="宋体"/>
          <w:color w:val="auto"/>
          <w:sz w:val="24"/>
          <w:szCs w:val="24"/>
          <w:u w:val="single"/>
        </w:rPr>
        <w:t xml:space="preserve">    </w:t>
      </w:r>
      <w:r>
        <w:rPr>
          <w:rFonts w:hint="eastAsia" w:ascii="宋体" w:hAnsi="宋体"/>
          <w:color w:val="auto"/>
          <w:sz w:val="24"/>
          <w:szCs w:val="24"/>
        </w:rPr>
        <w:t>%。</w:t>
      </w:r>
    </w:p>
    <w:p>
      <w:pPr>
        <w:pStyle w:val="14"/>
        <w:keepNext w:val="0"/>
        <w:keepLines w:val="0"/>
        <w:pageBreakBefore w:val="0"/>
        <w:widowControl w:val="0"/>
        <w:kinsoku w:val="0"/>
        <w:wordWrap/>
        <w:overflowPunct w:val="0"/>
        <w:topLinePunct w:val="0"/>
        <w:autoSpaceDE/>
        <w:autoSpaceDN/>
        <w:bidi w:val="0"/>
        <w:adjustRightInd/>
        <w:snapToGrid/>
        <w:spacing w:before="313" w:beforeLines="100" w:line="360" w:lineRule="auto"/>
        <w:ind w:firstLine="480" w:firstLineChars="200"/>
        <w:textAlignment w:val="auto"/>
        <w:rPr>
          <w:rFonts w:ascii="宋体" w:hAnsi="宋体"/>
          <w:color w:val="auto"/>
          <w:highlight w:val="none"/>
        </w:rPr>
      </w:pPr>
      <w:r>
        <w:rPr>
          <w:rFonts w:hint="eastAsia" w:ascii="宋体" w:hAnsi="宋体"/>
          <w:color w:val="auto"/>
          <w:sz w:val="24"/>
          <w:szCs w:val="24"/>
        </w:rPr>
        <w:t>2.</w:t>
      </w:r>
      <w:r>
        <w:rPr>
          <w:rFonts w:hint="eastAsia" w:ascii="宋体" w:hAnsi="宋体"/>
          <w:color w:val="auto"/>
          <w:sz w:val="24"/>
          <w:szCs w:val="24"/>
          <w:u w:val="single"/>
        </w:rPr>
        <w:t>（</w:t>
      </w:r>
      <w:r>
        <w:rPr>
          <w:rFonts w:hint="eastAsia" w:ascii="宋体" w:hAnsi="宋体"/>
          <w:color w:val="auto"/>
          <w:spacing w:val="2"/>
          <w:sz w:val="24"/>
          <w:szCs w:val="24"/>
          <w:u w:val="single"/>
        </w:rPr>
        <w:t>标</w:t>
      </w:r>
      <w:r>
        <w:rPr>
          <w:rFonts w:hint="eastAsia" w:ascii="宋体" w:hAnsi="宋体"/>
          <w:color w:val="auto"/>
          <w:sz w:val="24"/>
          <w:szCs w:val="24"/>
          <w:u w:val="single"/>
        </w:rPr>
        <w:t>的名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属</w:t>
      </w:r>
      <w:r>
        <w:rPr>
          <w:rFonts w:hint="eastAsia" w:ascii="宋体" w:hAnsi="宋体"/>
          <w:color w:val="auto"/>
          <w:sz w:val="24"/>
          <w:szCs w:val="24"/>
        </w:rPr>
        <w:t>于</w:t>
      </w:r>
      <w:r>
        <w:rPr>
          <w:rFonts w:hint="eastAsia" w:ascii="宋体" w:hAnsi="宋体"/>
          <w:color w:val="auto"/>
          <w:sz w:val="24"/>
          <w:szCs w:val="24"/>
          <w:u w:val="single"/>
        </w:rPr>
        <w:t>建筑业</w:t>
      </w:r>
      <w:r>
        <w:rPr>
          <w:rFonts w:hint="eastAsia" w:ascii="宋体" w:hAnsi="宋体"/>
          <w:color w:val="auto"/>
          <w:sz w:val="24"/>
          <w:szCs w:val="24"/>
        </w:rPr>
        <w:t>；</w:t>
      </w:r>
      <w:r>
        <w:rPr>
          <w:rFonts w:hint="eastAsia" w:ascii="宋体" w:hAnsi="宋体"/>
          <w:color w:val="auto"/>
          <w:spacing w:val="2"/>
          <w:sz w:val="24"/>
          <w:szCs w:val="24"/>
        </w:rPr>
        <w:t>承</w:t>
      </w:r>
      <w:r>
        <w:rPr>
          <w:rFonts w:hint="eastAsia" w:ascii="宋体" w:hAnsi="宋体"/>
          <w:color w:val="auto"/>
          <w:sz w:val="24"/>
          <w:szCs w:val="24"/>
        </w:rPr>
        <w:t>建（承</w:t>
      </w:r>
      <w:r>
        <w:rPr>
          <w:rFonts w:hint="eastAsia" w:ascii="宋体" w:hAnsi="宋体"/>
          <w:color w:val="auto"/>
          <w:spacing w:val="2"/>
          <w:sz w:val="24"/>
          <w:szCs w:val="24"/>
        </w:rPr>
        <w:t>接</w:t>
      </w:r>
      <w:r>
        <w:rPr>
          <w:rFonts w:hint="eastAsia" w:ascii="宋体" w:hAnsi="宋体"/>
          <w:color w:val="auto"/>
          <w:sz w:val="24"/>
          <w:szCs w:val="24"/>
        </w:rPr>
        <w:t>）企</w:t>
      </w:r>
      <w:r>
        <w:rPr>
          <w:rFonts w:hint="eastAsia" w:ascii="宋体" w:hAnsi="宋体"/>
          <w:color w:val="auto"/>
          <w:spacing w:val="2"/>
          <w:sz w:val="24"/>
          <w:szCs w:val="24"/>
        </w:rPr>
        <w:t>业</w:t>
      </w:r>
      <w:r>
        <w:rPr>
          <w:rFonts w:hint="eastAsia" w:ascii="宋体" w:hAnsi="宋体"/>
          <w:color w:val="auto"/>
          <w:sz w:val="24"/>
          <w:szCs w:val="24"/>
        </w:rPr>
        <w:t>为</w:t>
      </w:r>
      <w:r>
        <w:rPr>
          <w:rFonts w:hint="eastAsia" w:ascii="宋体" w:hAnsi="宋体"/>
          <w:color w:val="auto"/>
          <w:sz w:val="24"/>
          <w:szCs w:val="24"/>
          <w:u w:val="single"/>
        </w:rPr>
        <w:t>（</w:t>
      </w:r>
      <w:r>
        <w:rPr>
          <w:rFonts w:hint="eastAsia" w:ascii="宋体" w:hAnsi="宋体"/>
          <w:color w:val="auto"/>
          <w:spacing w:val="2"/>
          <w:sz w:val="24"/>
          <w:szCs w:val="24"/>
          <w:u w:val="single"/>
        </w:rPr>
        <w:t>企</w:t>
      </w:r>
      <w:r>
        <w:rPr>
          <w:rFonts w:hint="eastAsia" w:ascii="宋体" w:hAnsi="宋体"/>
          <w:color w:val="auto"/>
          <w:sz w:val="24"/>
          <w:szCs w:val="24"/>
          <w:u w:val="single"/>
        </w:rPr>
        <w:t>业名</w:t>
      </w:r>
      <w:r>
        <w:rPr>
          <w:rFonts w:hint="eastAsia" w:ascii="宋体" w:hAnsi="宋体"/>
          <w:color w:val="auto"/>
          <w:spacing w:val="2"/>
          <w:sz w:val="24"/>
          <w:szCs w:val="24"/>
          <w:u w:val="single"/>
        </w:rPr>
        <w:t>称</w:t>
      </w:r>
      <w:r>
        <w:rPr>
          <w:rFonts w:hint="eastAsia" w:ascii="宋体" w:hAnsi="宋体"/>
          <w:color w:val="auto"/>
          <w:sz w:val="24"/>
          <w:szCs w:val="24"/>
          <w:u w:val="single"/>
        </w:rPr>
        <w:t>）</w:t>
      </w:r>
      <w:r>
        <w:rPr>
          <w:rFonts w:hint="eastAsia" w:ascii="宋体" w:hAnsi="宋体"/>
          <w:color w:val="auto"/>
          <w:sz w:val="24"/>
          <w:szCs w:val="24"/>
        </w:rPr>
        <w:t>，</w:t>
      </w:r>
      <w:r>
        <w:rPr>
          <w:rFonts w:hint="eastAsia" w:ascii="宋体" w:hAnsi="宋体"/>
          <w:color w:val="auto"/>
          <w:spacing w:val="2"/>
          <w:sz w:val="24"/>
          <w:szCs w:val="24"/>
        </w:rPr>
        <w:t>从</w:t>
      </w:r>
      <w:r>
        <w:rPr>
          <w:rFonts w:hint="eastAsia" w:ascii="宋体" w:hAnsi="宋体"/>
          <w:color w:val="auto"/>
          <w:sz w:val="24"/>
          <w:szCs w:val="24"/>
        </w:rPr>
        <w:t>业人员</w:t>
      </w:r>
      <w:r>
        <w:rPr>
          <w:rFonts w:hint="eastAsia" w:ascii="宋体" w:hAnsi="宋体"/>
          <w:color w:val="auto"/>
          <w:sz w:val="24"/>
          <w:szCs w:val="24"/>
          <w:u w:val="single"/>
        </w:rPr>
        <w:tab/>
      </w:r>
      <w:r>
        <w:rPr>
          <w:rFonts w:hint="eastAsia" w:ascii="宋体" w:hAnsi="宋体"/>
          <w:color w:val="auto"/>
          <w:sz w:val="24"/>
          <w:szCs w:val="24"/>
        </w:rPr>
        <w:t>人</w:t>
      </w:r>
      <w:r>
        <w:rPr>
          <w:rFonts w:hint="eastAsia" w:ascii="宋体" w:hAnsi="宋体"/>
          <w:color w:val="auto"/>
          <w:spacing w:val="2"/>
          <w:sz w:val="24"/>
          <w:szCs w:val="24"/>
        </w:rPr>
        <w:t>，</w:t>
      </w:r>
      <w:r>
        <w:rPr>
          <w:rFonts w:hint="eastAsia" w:ascii="宋体" w:hAnsi="宋体"/>
          <w:color w:val="auto"/>
          <w:sz w:val="24"/>
          <w:szCs w:val="24"/>
        </w:rPr>
        <w:t>营业收入为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万元</w:t>
      </w:r>
      <w:r>
        <w:rPr>
          <w:rFonts w:hint="eastAsia" w:ascii="宋体" w:hAnsi="宋体"/>
          <w:color w:val="auto"/>
          <w:spacing w:val="-1"/>
          <w:sz w:val="24"/>
          <w:szCs w:val="24"/>
        </w:rPr>
        <w:t>，</w:t>
      </w:r>
      <w:r>
        <w:rPr>
          <w:rFonts w:hint="eastAsia" w:ascii="宋体" w:hAnsi="宋体"/>
          <w:color w:val="auto"/>
          <w:sz w:val="24"/>
          <w:szCs w:val="24"/>
        </w:rPr>
        <w:t>资产总额为</w:t>
      </w:r>
      <w:r>
        <w:rPr>
          <w:rFonts w:hint="eastAsia" w:ascii="宋体" w:hAnsi="宋体"/>
          <w:color w:val="auto"/>
          <w:sz w:val="24"/>
          <w:szCs w:val="24"/>
          <w:u w:val="single"/>
          <w:lang w:val="en-US" w:eastAsia="zh-CN"/>
        </w:rPr>
        <w:t xml:space="preserve">   </w:t>
      </w:r>
      <w:r>
        <w:rPr>
          <w:rFonts w:hint="eastAsia" w:ascii="宋体" w:hAnsi="宋体"/>
          <w:color w:val="auto"/>
          <w:sz w:val="24"/>
          <w:szCs w:val="24"/>
        </w:rPr>
        <w:t>万元</w:t>
      </w:r>
      <w:r>
        <w:rPr>
          <w:rFonts w:hint="eastAsia" w:ascii="宋体" w:hAnsi="宋体"/>
          <w:color w:val="auto"/>
          <w:spacing w:val="-1"/>
          <w:sz w:val="24"/>
          <w:szCs w:val="24"/>
        </w:rPr>
        <w:t>，</w:t>
      </w:r>
      <w:r>
        <w:rPr>
          <w:rFonts w:hint="eastAsia" w:ascii="宋体" w:hAnsi="宋体"/>
          <w:color w:val="auto"/>
          <w:sz w:val="24"/>
          <w:szCs w:val="24"/>
        </w:rPr>
        <w:t>属于</w:t>
      </w:r>
      <w:r>
        <w:rPr>
          <w:rFonts w:hint="eastAsia" w:ascii="宋体" w:hAnsi="宋体"/>
          <w:color w:val="auto"/>
          <w:sz w:val="24"/>
          <w:szCs w:val="24"/>
          <w:u w:val="single"/>
        </w:rPr>
        <w:t>（小型企业、微型企业）</w:t>
      </w:r>
      <w:r>
        <w:rPr>
          <w:rFonts w:hint="eastAsia" w:ascii="宋体" w:hAnsi="宋体"/>
          <w:color w:val="auto"/>
          <w:sz w:val="24"/>
          <w:szCs w:val="24"/>
        </w:rPr>
        <w:t>；在本项目中拟承担工作，在本项目的合同份额占合同总金额</w:t>
      </w:r>
      <w:r>
        <w:rPr>
          <w:rFonts w:hint="eastAsia" w:ascii="宋体" w:hAnsi="宋体"/>
          <w:color w:val="auto"/>
          <w:sz w:val="24"/>
          <w:szCs w:val="24"/>
          <w:u w:val="single"/>
        </w:rPr>
        <w:t xml:space="preserve">    </w:t>
      </w:r>
      <w:r>
        <w:rPr>
          <w:rFonts w:hint="eastAsia" w:ascii="宋体" w:hAnsi="宋体"/>
          <w:color w:val="auto"/>
          <w:sz w:val="24"/>
          <w:szCs w:val="24"/>
        </w:rPr>
        <w:t>%。</w:t>
      </w:r>
    </w:p>
    <w:p>
      <w:pPr>
        <w:pStyle w:val="14"/>
        <w:keepNext w:val="0"/>
        <w:keepLines w:val="0"/>
        <w:pageBreakBefore w:val="0"/>
        <w:widowControl w:val="0"/>
        <w:kinsoku w:val="0"/>
        <w:wordWrap/>
        <w:overflowPunct w:val="0"/>
        <w:topLinePunct w:val="0"/>
        <w:autoSpaceDE/>
        <w:autoSpaceDN/>
        <w:bidi w:val="0"/>
        <w:adjustRightInd/>
        <w:snapToGrid/>
        <w:spacing w:before="157" w:beforeLines="50" w:line="360" w:lineRule="auto"/>
        <w:ind w:firstLine="480" w:firstLineChars="200"/>
        <w:textAlignment w:val="auto"/>
        <w:rPr>
          <w:rFonts w:ascii="宋体" w:hAnsi="宋体"/>
          <w:color w:val="auto"/>
          <w:highlight w:val="none"/>
        </w:rPr>
      </w:pPr>
      <w:r>
        <w:rPr>
          <w:rFonts w:hint="eastAsia" w:ascii="宋体" w:hAnsi="宋体"/>
          <w:color w:val="auto"/>
          <w:sz w:val="24"/>
          <w:szCs w:val="24"/>
          <w:highlight w:val="none"/>
        </w:rPr>
        <w:t>……</w:t>
      </w:r>
    </w:p>
    <w:p>
      <w:pPr>
        <w:pStyle w:val="14"/>
        <w:keepNext w:val="0"/>
        <w:keepLines w:val="0"/>
        <w:pageBreakBefore w:val="0"/>
        <w:widowControl w:val="0"/>
        <w:kinsoku w:val="0"/>
        <w:wordWrap/>
        <w:overflowPunct w:val="0"/>
        <w:topLinePunct w:val="0"/>
        <w:autoSpaceDE/>
        <w:autoSpaceDN/>
        <w:bidi w:val="0"/>
        <w:adjustRightInd/>
        <w:snapToGrid/>
        <w:spacing w:before="313" w:beforeLines="100" w:line="360" w:lineRule="auto"/>
        <w:ind w:right="323" w:firstLine="480" w:firstLineChars="200"/>
        <w:textAlignment w:val="auto"/>
        <w:rPr>
          <w:rFonts w:ascii="宋体" w:hAnsi="宋体"/>
          <w:color w:val="auto"/>
          <w:highlight w:val="none"/>
        </w:rPr>
      </w:pPr>
      <w:r>
        <w:rPr>
          <w:rFonts w:hint="eastAsia" w:ascii="宋体" w:hAnsi="宋体"/>
          <w:color w:val="auto"/>
          <w:sz w:val="24"/>
          <w:szCs w:val="24"/>
          <w:highlight w:val="none"/>
        </w:rPr>
        <w:t>以上企业，不属于大企业的分支机构，不存在控股股东为大企业的情形，也不存在与大企业的负责人为同一人的情形。</w:t>
      </w:r>
    </w:p>
    <w:p>
      <w:pPr>
        <w:pStyle w:val="14"/>
        <w:keepNext w:val="0"/>
        <w:keepLines w:val="0"/>
        <w:pageBreakBefore w:val="0"/>
        <w:widowControl w:val="0"/>
        <w:kinsoku w:val="0"/>
        <w:wordWrap/>
        <w:overflowPunct w:val="0"/>
        <w:topLinePunct w:val="0"/>
        <w:autoSpaceDE/>
        <w:autoSpaceDN/>
        <w:bidi w:val="0"/>
        <w:adjustRightInd/>
        <w:snapToGrid/>
        <w:spacing w:before="313" w:beforeLines="100" w:line="360" w:lineRule="auto"/>
        <w:ind w:firstLine="480" w:firstLineChars="200"/>
        <w:textAlignment w:val="auto"/>
        <w:rPr>
          <w:rFonts w:ascii="宋体" w:hAnsi="宋体"/>
          <w:color w:val="auto"/>
          <w:highlight w:val="none"/>
        </w:rPr>
      </w:pPr>
      <w:r>
        <w:rPr>
          <w:rFonts w:hint="eastAsia" w:ascii="宋体" w:hAnsi="宋体"/>
          <w:color w:val="auto"/>
          <w:sz w:val="24"/>
          <w:szCs w:val="24"/>
          <w:highlight w:val="none"/>
        </w:rPr>
        <w:t>本企业对上述声明内容的真实性负责。如有虚假，将依法承担相应责任。</w:t>
      </w:r>
    </w:p>
    <w:p>
      <w:pPr>
        <w:pStyle w:val="126"/>
        <w:widowControl/>
        <w:shd w:val="clear" w:color="auto" w:fill="FFFFFF"/>
        <w:spacing w:line="360" w:lineRule="auto"/>
        <w:ind w:firstLine="3780"/>
        <w:rPr>
          <w:rFonts w:ascii="宋体" w:hAnsi="宋体" w:cs="宋体"/>
          <w:color w:val="auto"/>
          <w:kern w:val="0"/>
          <w:sz w:val="24"/>
          <w:highlight w:val="none"/>
        </w:rPr>
      </w:pPr>
    </w:p>
    <w:p>
      <w:pPr>
        <w:pStyle w:val="126"/>
        <w:widowControl/>
        <w:shd w:val="clear" w:color="auto" w:fill="FFFFFF"/>
        <w:spacing w:line="360" w:lineRule="auto"/>
        <w:ind w:firstLine="4380" w:firstLineChars="1825"/>
        <w:rPr>
          <w:rFonts w:ascii="宋体" w:hAnsi="宋体" w:cs="宋体"/>
          <w:color w:val="auto"/>
          <w:kern w:val="0"/>
          <w:sz w:val="24"/>
          <w:highlight w:val="none"/>
        </w:rPr>
      </w:pPr>
      <w:r>
        <w:rPr>
          <w:rFonts w:hint="eastAsia" w:ascii="宋体" w:hAnsi="宋体" w:cs="宋体"/>
          <w:color w:val="auto"/>
          <w:kern w:val="0"/>
          <w:sz w:val="24"/>
          <w:highlight w:val="none"/>
        </w:rPr>
        <w:t>投标人：</w:t>
      </w:r>
      <w:r>
        <w:rPr>
          <w:rFonts w:ascii="宋体" w:hAnsi="宋体" w:cs="宋体"/>
          <w:color w:val="auto"/>
          <w:kern w:val="0"/>
          <w:sz w:val="24"/>
          <w:highlight w:val="none"/>
          <w:u w:val="single"/>
        </w:rPr>
        <w:tab/>
      </w:r>
      <w:r>
        <w:rPr>
          <w:rFonts w:hint="eastAsia" w:ascii="宋体" w:hAnsi="宋体" w:cs="宋体"/>
          <w:color w:val="auto"/>
          <w:kern w:val="0"/>
          <w:sz w:val="24"/>
          <w:highlight w:val="none"/>
          <w:u w:val="single"/>
          <w:lang w:val="en-US" w:eastAsia="zh-CN"/>
        </w:rPr>
        <w:t xml:space="preserve">       </w:t>
      </w:r>
      <w:r>
        <w:rPr>
          <w:rFonts w:ascii="宋体" w:hAnsi="宋体" w:cs="宋体"/>
          <w:color w:val="auto"/>
          <w:kern w:val="0"/>
          <w:sz w:val="24"/>
          <w:highlight w:val="none"/>
          <w:u w:val="single"/>
        </w:rPr>
        <w:tab/>
      </w:r>
      <w:r>
        <w:rPr>
          <w:rFonts w:hint="eastAsia" w:ascii="宋体" w:hAnsi="宋体" w:cs="宋体"/>
          <w:color w:val="auto"/>
          <w:kern w:val="0"/>
          <w:sz w:val="24"/>
          <w:highlight w:val="none"/>
        </w:rPr>
        <w:t>（盖章）</w:t>
      </w:r>
    </w:p>
    <w:p>
      <w:pPr>
        <w:pStyle w:val="126"/>
        <w:widowControl/>
        <w:shd w:val="clear" w:color="auto" w:fill="FFFFFF"/>
        <w:spacing w:line="360" w:lineRule="auto"/>
        <w:ind w:right="1440" w:firstLine="4800" w:firstLineChars="2000"/>
        <w:jc w:val="both"/>
        <w:rPr>
          <w:rFonts w:ascii="宋体" w:hAnsi="宋体" w:cs="宋体"/>
          <w:color w:val="auto"/>
          <w:kern w:val="0"/>
          <w:sz w:val="24"/>
          <w:highlight w:val="none"/>
          <w:u w:val="single"/>
        </w:rPr>
      </w:pP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年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月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日</w:t>
      </w:r>
    </w:p>
    <w:p>
      <w:pPr>
        <w:spacing w:line="360" w:lineRule="auto"/>
        <w:rPr>
          <w:rFonts w:ascii="宋体" w:hAnsi="宋体"/>
          <w:color w:val="auto"/>
          <w:highlight w:val="none"/>
        </w:rPr>
      </w:pPr>
    </w:p>
    <w:p>
      <w:pPr>
        <w:pStyle w:val="6"/>
        <w:rPr>
          <w:rFonts w:ascii="宋体" w:hAnsi="宋体"/>
          <w:color w:val="auto"/>
          <w:highlight w:val="none"/>
        </w:rPr>
      </w:pPr>
    </w:p>
    <w:p>
      <w:pPr>
        <w:rPr>
          <w:rFonts w:ascii="宋体" w:hAnsi="宋体"/>
          <w:color w:val="auto"/>
          <w:highlight w:val="none"/>
        </w:rPr>
      </w:pPr>
    </w:p>
    <w:p>
      <w:pPr>
        <w:spacing w:line="360" w:lineRule="auto"/>
        <w:rPr>
          <w:rFonts w:hint="eastAsia" w:ascii="宋体" w:hAnsi="宋体" w:eastAsia="宋体" w:cs="Times New Roman"/>
          <w:color w:val="auto"/>
          <w:sz w:val="24"/>
          <w:szCs w:val="24"/>
          <w:highlight w:val="none"/>
        </w:rPr>
      </w:pPr>
      <w:r>
        <w:rPr>
          <w:rFonts w:hint="eastAsia" w:ascii="宋体" w:hAnsi="宋体" w:eastAsia="宋体" w:cs="Times New Roman"/>
          <w:color w:val="auto"/>
          <w:sz w:val="24"/>
          <w:szCs w:val="24"/>
          <w:highlight w:val="none"/>
        </w:rPr>
        <w:t>备注：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olor w:val="auto"/>
          <w:highlight w:val="none"/>
        </w:rPr>
      </w:pPr>
      <w:r>
        <w:rPr>
          <w:rFonts w:hint="eastAsia" w:ascii="宋体" w:hAnsi="宋体"/>
          <w:color w:val="auto"/>
          <w:sz w:val="24"/>
          <w:szCs w:val="24"/>
          <w:highlight w:val="none"/>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rPr>
        <w:t>2</w:t>
      </w:r>
      <w:r>
        <w:rPr>
          <w:rFonts w:hint="eastAsia" w:ascii="宋体" w:hAnsi="宋体" w:eastAsia="宋体" w:cs="Times New Roman"/>
          <w:color w:val="auto"/>
          <w:sz w:val="24"/>
          <w:szCs w:val="24"/>
          <w:highlight w:val="none"/>
          <w:lang w:val="en-US" w:eastAsia="zh-CN"/>
        </w:rPr>
        <w:t>.</w:t>
      </w:r>
      <w:r>
        <w:rPr>
          <w:rFonts w:hint="eastAsia" w:ascii="宋体" w:hAnsi="宋体" w:eastAsia="宋体" w:cs="Times New Roman"/>
          <w:color w:val="auto"/>
          <w:sz w:val="24"/>
          <w:szCs w:val="24"/>
          <w:highlight w:val="none"/>
        </w:rPr>
        <w:t xml:space="preserve">投标人可参考《广东省财政厅关于进一步规范政府采购活动中落实促进中小企业发展政策的通知（粤财采购〔2024〕11号）》（http://czt.gd.gov.cn/zfcg/content/post_4497011.html）、《广州市政府采购中心关于规范填写《中小企业声明函》的温馨提示》（集团公告 - 详情页  </w:t>
      </w:r>
      <w:r>
        <w:rPr>
          <w:rFonts w:hint="eastAsia" w:ascii="宋体" w:hAnsi="宋体" w:eastAsia="宋体" w:cs="Times New Roman"/>
          <w:color w:val="auto"/>
          <w:sz w:val="24"/>
          <w:szCs w:val="24"/>
          <w:highlight w:val="none"/>
        </w:rPr>
        <w:fldChar w:fldCharType="begin"/>
      </w:r>
      <w:r>
        <w:rPr>
          <w:rFonts w:hint="eastAsia" w:ascii="宋体" w:hAnsi="宋体" w:eastAsia="宋体" w:cs="Times New Roman"/>
          <w:color w:val="auto"/>
          <w:sz w:val="24"/>
          <w:szCs w:val="24"/>
          <w:highlight w:val="none"/>
        </w:rPr>
        <w:instrText xml:space="preserve"> HYPERLINK "https://www.gzggzy.cn/jtgg/1001279.jhtml）填写，《中小企业声明函》由参加招投标活动的投标人出具。合同分包的，《中小企业声明函》中需填写签订分包意向协议的小微企业相关信息。" </w:instrText>
      </w:r>
      <w:r>
        <w:rPr>
          <w:rFonts w:hint="eastAsia" w:ascii="宋体" w:hAnsi="宋体" w:eastAsia="宋体" w:cs="Times New Roman"/>
          <w:color w:val="auto"/>
          <w:sz w:val="24"/>
          <w:szCs w:val="24"/>
          <w:highlight w:val="none"/>
        </w:rPr>
        <w:fldChar w:fldCharType="separate"/>
      </w:r>
      <w:r>
        <w:rPr>
          <w:rFonts w:hint="eastAsia" w:ascii="宋体" w:hAnsi="宋体" w:eastAsia="宋体" w:cs="Times New Roman"/>
          <w:color w:val="auto"/>
          <w:sz w:val="24"/>
          <w:szCs w:val="24"/>
          <w:highlight w:val="none"/>
        </w:rPr>
        <w:t>https://www.gzggzy.cn/jtgg/1001279.jhtml）填写，《中小企业声明函》由参加招投标活动的投标人出具。合同分包的，《中小企业声明函》中需填写签订分包意向协议的小微企业相关信息</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cs="宋体"/>
          <w:color w:val="auto"/>
          <w:sz w:val="24"/>
          <w:szCs w:val="24"/>
          <w:highlight w:val="none"/>
        </w:rPr>
      </w:pPr>
      <w:r>
        <w:rPr>
          <w:rFonts w:hint="eastAsia" w:ascii="宋体" w:hAnsi="宋体"/>
          <w:color w:val="auto"/>
          <w:sz w:val="24"/>
          <w:szCs w:val="24"/>
          <w:highlight w:val="none"/>
          <w:lang w:val="en-US" w:eastAsia="zh-CN"/>
        </w:rPr>
        <w:t>3.</w:t>
      </w:r>
      <w:r>
        <w:rPr>
          <w:rFonts w:hint="eastAsia" w:ascii="宋体" w:hAnsi="宋体"/>
          <w:color w:val="auto"/>
          <w:sz w:val="24"/>
          <w:szCs w:val="24"/>
          <w:highlight w:val="none"/>
        </w:rPr>
        <w:t>投标人应当自行核实是否属于小微企业，并认真填写声明函，若有虚假将追究其责任。</w:t>
      </w:r>
    </w:p>
    <w:p>
      <w:pPr>
        <w:snapToGrid w:val="0"/>
        <w:spacing w:line="360" w:lineRule="auto"/>
        <w:jc w:val="left"/>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widowControl/>
        <w:jc w:val="left"/>
        <w:rPr>
          <w:b/>
          <w:color w:val="auto"/>
          <w:sz w:val="28"/>
          <w:szCs w:val="28"/>
          <w:highlight w:val="none"/>
        </w:rPr>
      </w:pPr>
      <w:r>
        <w:rPr>
          <w:rFonts w:hint="eastAsia" w:ascii="宋体" w:hAnsi="宋体" w:cs="宋体"/>
          <w:bCs/>
          <w:color w:val="auto"/>
          <w:kern w:val="0"/>
          <w:sz w:val="24"/>
          <w:szCs w:val="24"/>
          <w:highlight w:val="none"/>
        </w:rPr>
        <w:t>技术标格式</w:t>
      </w:r>
      <w:r>
        <w:rPr>
          <w:rFonts w:hint="eastAsia" w:ascii="宋体" w:hAnsi="宋体" w:cs="宋体"/>
          <w:bCs/>
          <w:color w:val="auto"/>
          <w:kern w:val="0"/>
          <w:sz w:val="24"/>
          <w:szCs w:val="24"/>
          <w:highlight w:val="none"/>
          <w:lang w:eastAsia="zh-CN"/>
        </w:rPr>
        <w:t>七</w:t>
      </w:r>
      <w:r>
        <w:rPr>
          <w:rFonts w:hint="eastAsia" w:ascii="宋体" w:hAnsi="宋体" w:cs="宋体"/>
          <w:bCs/>
          <w:color w:val="auto"/>
          <w:kern w:val="0"/>
          <w:sz w:val="24"/>
          <w:szCs w:val="24"/>
          <w:highlight w:val="none"/>
        </w:rPr>
        <w:t>：</w:t>
      </w:r>
    </w:p>
    <w:p>
      <w:pPr>
        <w:widowControl/>
        <w:jc w:val="center"/>
        <w:rPr>
          <w:b/>
          <w:color w:val="auto"/>
          <w:sz w:val="24"/>
          <w:szCs w:val="24"/>
          <w:highlight w:val="none"/>
        </w:rPr>
      </w:pPr>
      <w:r>
        <w:rPr>
          <w:rFonts w:hint="eastAsia"/>
          <w:b/>
          <w:color w:val="auto"/>
          <w:sz w:val="24"/>
          <w:szCs w:val="24"/>
          <w:highlight w:val="none"/>
        </w:rPr>
        <w:t>分包意向协议书（如有）</w:t>
      </w:r>
    </w:p>
    <w:p>
      <w:pPr>
        <w:widowControl/>
        <w:jc w:val="left"/>
        <w:rPr>
          <w:rFonts w:ascii="宋体" w:hAnsi="宋体"/>
          <w:color w:val="auto"/>
          <w:kern w:val="10"/>
          <w:sz w:val="24"/>
          <w:szCs w:val="24"/>
          <w:highlight w:val="none"/>
        </w:rPr>
      </w:pPr>
    </w:p>
    <w:p>
      <w:pPr>
        <w:keepNext w:val="0"/>
        <w:keepLines w:val="0"/>
        <w:pageBreakBefore w:val="0"/>
        <w:widowControl/>
        <w:kinsoku/>
        <w:wordWrap/>
        <w:overflowPunct/>
        <w:topLinePunct w:val="0"/>
        <w:autoSpaceDE/>
        <w:autoSpaceDN/>
        <w:bidi w:val="0"/>
        <w:adjustRightInd/>
        <w:snapToGrid/>
        <w:spacing w:line="340" w:lineRule="exact"/>
        <w:jc w:val="both"/>
        <w:textAlignment w:val="auto"/>
        <w:rPr>
          <w:rFonts w:ascii="宋体" w:hAnsi="宋体"/>
          <w:color w:val="auto"/>
          <w:sz w:val="24"/>
          <w:szCs w:val="24"/>
          <w:highlight w:val="none"/>
          <w:u w:val="single"/>
        </w:rPr>
      </w:pPr>
      <w:r>
        <w:rPr>
          <w:rFonts w:hint="eastAsia" w:ascii="宋体" w:hAnsi="宋体"/>
          <w:color w:val="auto"/>
          <w:kern w:val="10"/>
          <w:sz w:val="24"/>
          <w:szCs w:val="24"/>
          <w:highlight w:val="none"/>
        </w:rPr>
        <w:t>立约方：</w:t>
      </w:r>
      <w:r>
        <w:rPr>
          <w:rFonts w:hint="eastAsia" w:ascii="宋体" w:hAnsi="宋体"/>
          <w:color w:val="auto"/>
          <w:sz w:val="24"/>
          <w:szCs w:val="24"/>
          <w:highlight w:val="none"/>
          <w:u w:val="single"/>
        </w:rPr>
        <w:t>（甲公司全称）</w:t>
      </w:r>
    </w:p>
    <w:p>
      <w:pPr>
        <w:keepNext w:val="0"/>
        <w:keepLines w:val="0"/>
        <w:pageBreakBefore w:val="0"/>
        <w:widowControl/>
        <w:kinsoku/>
        <w:wordWrap/>
        <w:overflowPunct/>
        <w:topLinePunct w:val="0"/>
        <w:autoSpaceDE/>
        <w:autoSpaceDN/>
        <w:bidi w:val="0"/>
        <w:adjustRightInd/>
        <w:snapToGrid/>
        <w:spacing w:line="340" w:lineRule="exact"/>
        <w:ind w:firstLine="960" w:firstLineChars="400"/>
        <w:jc w:val="both"/>
        <w:textAlignment w:val="auto"/>
        <w:rPr>
          <w:rFonts w:ascii="宋体" w:hAnsi="宋体"/>
          <w:color w:val="auto"/>
          <w:sz w:val="24"/>
          <w:szCs w:val="24"/>
          <w:highlight w:val="none"/>
          <w:u w:val="single"/>
        </w:rPr>
      </w:pPr>
      <w:r>
        <w:rPr>
          <w:rFonts w:hint="eastAsia" w:ascii="宋体" w:hAnsi="宋体"/>
          <w:color w:val="auto"/>
          <w:sz w:val="24"/>
          <w:szCs w:val="24"/>
          <w:highlight w:val="none"/>
          <w:u w:val="single"/>
        </w:rPr>
        <w:t>（乙公司全称）</w:t>
      </w:r>
    </w:p>
    <w:p>
      <w:pPr>
        <w:keepNext w:val="0"/>
        <w:keepLines w:val="0"/>
        <w:pageBreakBefore w:val="0"/>
        <w:widowControl/>
        <w:kinsoku/>
        <w:wordWrap/>
        <w:overflowPunct/>
        <w:topLinePunct w:val="0"/>
        <w:autoSpaceDE/>
        <w:autoSpaceDN/>
        <w:bidi w:val="0"/>
        <w:adjustRightInd/>
        <w:snapToGrid/>
        <w:spacing w:line="340" w:lineRule="exact"/>
        <w:ind w:firstLine="960" w:firstLineChars="400"/>
        <w:jc w:val="both"/>
        <w:textAlignment w:val="auto"/>
        <w:rPr>
          <w:rFonts w:ascii="宋体" w:hAnsi="宋体"/>
          <w:color w:val="auto"/>
          <w:sz w:val="24"/>
          <w:szCs w:val="24"/>
          <w:highlight w:val="none"/>
          <w:u w:val="single"/>
        </w:rPr>
      </w:pPr>
      <w:r>
        <w:rPr>
          <w:rFonts w:hint="eastAsia" w:ascii="宋体" w:hAnsi="宋体"/>
          <w:color w:val="auto"/>
          <w:sz w:val="24"/>
          <w:szCs w:val="24"/>
          <w:highlight w:val="none"/>
          <w:u w:val="single"/>
        </w:rPr>
        <w:t>（……公司全称）</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hint="eastAsia" w:ascii="宋体" w:hAnsi="宋体"/>
          <w:color w:val="auto"/>
          <w:kern w:val="0"/>
          <w:sz w:val="24"/>
          <w:szCs w:val="24"/>
          <w:highlight w:val="none"/>
          <w:u w:val="single"/>
        </w:rPr>
      </w:pP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kern w:val="0"/>
          <w:sz w:val="24"/>
          <w:szCs w:val="24"/>
          <w:highlight w:val="none"/>
          <w:u w:val="single"/>
        </w:rPr>
        <w:t>（甲公司全称）</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（乙公司全称）</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（……公司全称）</w:t>
      </w:r>
      <w:r>
        <w:rPr>
          <w:rFonts w:hint="eastAsia" w:ascii="宋体" w:hAnsi="宋体"/>
          <w:color w:val="auto"/>
          <w:kern w:val="0"/>
          <w:sz w:val="24"/>
          <w:szCs w:val="24"/>
          <w:highlight w:val="none"/>
        </w:rPr>
        <w:t>自愿达成分包意向，参加</w:t>
      </w:r>
      <w:r>
        <w:rPr>
          <w:rFonts w:hint="eastAsia" w:ascii="宋体" w:hAnsi="宋体"/>
          <w:color w:val="auto"/>
          <w:kern w:val="0"/>
          <w:sz w:val="24"/>
          <w:szCs w:val="24"/>
          <w:highlight w:val="none"/>
          <w:u w:val="single"/>
        </w:rPr>
        <w:t>（项目名称）</w:t>
      </w:r>
      <w:r>
        <w:rPr>
          <w:rFonts w:hint="eastAsia" w:ascii="宋体" w:hAnsi="宋体"/>
          <w:color w:val="auto"/>
          <w:kern w:val="0"/>
          <w:sz w:val="24"/>
          <w:szCs w:val="24"/>
          <w:highlight w:val="none"/>
        </w:rPr>
        <w:t>的投标活动。</w:t>
      </w:r>
      <w:r>
        <w:rPr>
          <w:rFonts w:hint="eastAsia" w:ascii="宋体" w:hAnsi="宋体"/>
          <w:color w:val="auto"/>
          <w:sz w:val="24"/>
          <w:szCs w:val="24"/>
          <w:highlight w:val="none"/>
        </w:rPr>
        <w:t>经各方充分协商一致，就</w:t>
      </w:r>
      <w:r>
        <w:rPr>
          <w:rFonts w:hint="eastAsia" w:ascii="宋体" w:hAnsi="宋体"/>
          <w:color w:val="auto"/>
          <w:kern w:val="10"/>
          <w:sz w:val="24"/>
          <w:szCs w:val="24"/>
          <w:highlight w:val="none"/>
        </w:rPr>
        <w:t>项目的</w:t>
      </w:r>
      <w:r>
        <w:rPr>
          <w:rFonts w:hint="eastAsia" w:ascii="宋体" w:hAnsi="宋体"/>
          <w:color w:val="auto"/>
          <w:kern w:val="0"/>
          <w:sz w:val="24"/>
          <w:szCs w:val="24"/>
          <w:highlight w:val="none"/>
        </w:rPr>
        <w:t>投标</w:t>
      </w:r>
      <w:r>
        <w:rPr>
          <w:rFonts w:hint="eastAsia" w:ascii="宋体" w:hAnsi="宋体"/>
          <w:color w:val="auto"/>
          <w:kern w:val="10"/>
          <w:sz w:val="24"/>
          <w:szCs w:val="24"/>
          <w:highlight w:val="none"/>
        </w:rPr>
        <w:t>和合同实施阶段的有关事务协商一致</w:t>
      </w:r>
      <w:r>
        <w:rPr>
          <w:rFonts w:hint="eastAsia" w:ascii="宋体" w:hAnsi="宋体"/>
          <w:color w:val="auto"/>
          <w:kern w:val="0"/>
          <w:sz w:val="24"/>
          <w:szCs w:val="24"/>
          <w:highlight w:val="none"/>
        </w:rPr>
        <w:t>订立意向如下</w:t>
      </w:r>
      <w:r>
        <w:rPr>
          <w:rFonts w:hint="eastAsia" w:ascii="宋体" w:hAnsi="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一、分包意向各方关系</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kern w:val="0"/>
          <w:sz w:val="24"/>
          <w:szCs w:val="24"/>
          <w:highlight w:val="none"/>
          <w:u w:val="single"/>
        </w:rPr>
        <w:t>（甲公司全称）为投标人</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（乙公司全称）</w:t>
      </w:r>
      <w:r>
        <w:rPr>
          <w:rFonts w:hint="eastAsia" w:ascii="宋体" w:hAnsi="宋体"/>
          <w:color w:val="auto"/>
          <w:kern w:val="0"/>
          <w:sz w:val="24"/>
          <w:szCs w:val="24"/>
          <w:highlight w:val="none"/>
        </w:rPr>
        <w:t>、</w:t>
      </w:r>
      <w:r>
        <w:rPr>
          <w:rFonts w:hint="eastAsia" w:ascii="宋体" w:hAnsi="宋体"/>
          <w:color w:val="auto"/>
          <w:kern w:val="0"/>
          <w:sz w:val="24"/>
          <w:szCs w:val="24"/>
          <w:highlight w:val="none"/>
          <w:u w:val="single"/>
        </w:rPr>
        <w:t>（……公司全称）</w:t>
      </w:r>
      <w:r>
        <w:rPr>
          <w:rFonts w:hint="eastAsia" w:ascii="宋体" w:hAnsi="宋体"/>
          <w:color w:val="auto"/>
          <w:sz w:val="24"/>
          <w:szCs w:val="24"/>
          <w:highlight w:val="none"/>
        </w:rPr>
        <w:t>为分包意向单位，</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rPr>
        <w:t>以投标人的身份参加本项目的</w:t>
      </w:r>
      <w:r>
        <w:rPr>
          <w:rFonts w:hint="eastAsia" w:ascii="宋体" w:hAnsi="宋体"/>
          <w:color w:val="auto"/>
          <w:kern w:val="0"/>
          <w:sz w:val="24"/>
          <w:szCs w:val="24"/>
          <w:highlight w:val="none"/>
        </w:rPr>
        <w:t>投标</w:t>
      </w:r>
      <w:r>
        <w:rPr>
          <w:rFonts w:hint="eastAsia" w:ascii="宋体" w:hAnsi="宋体"/>
          <w:color w:val="auto"/>
          <w:sz w:val="24"/>
          <w:szCs w:val="24"/>
          <w:highlight w:val="none"/>
        </w:rPr>
        <w:t>。若中标，</w:t>
      </w:r>
      <w:r>
        <w:rPr>
          <w:rFonts w:hint="eastAsia" w:ascii="宋体" w:hAnsi="宋体"/>
          <w:color w:val="auto"/>
          <w:kern w:val="0"/>
          <w:sz w:val="24"/>
          <w:szCs w:val="24"/>
          <w:highlight w:val="none"/>
          <w:u w:val="single"/>
        </w:rPr>
        <w:t>（甲公司全称）与</w:t>
      </w:r>
      <w:r>
        <w:rPr>
          <w:rFonts w:hint="eastAsia" w:ascii="宋体" w:hAnsi="宋体"/>
          <w:color w:val="auto"/>
          <w:sz w:val="24"/>
          <w:szCs w:val="24"/>
          <w:highlight w:val="none"/>
          <w:u w:val="single"/>
        </w:rPr>
        <w:t>招标人</w:t>
      </w:r>
      <w:r>
        <w:rPr>
          <w:rFonts w:hint="eastAsia" w:ascii="宋体" w:hAnsi="宋体"/>
          <w:color w:val="auto"/>
          <w:sz w:val="24"/>
          <w:szCs w:val="24"/>
          <w:highlight w:val="none"/>
        </w:rPr>
        <w:t>签订建设工程施工合同。承接分包意向的各单位与</w:t>
      </w:r>
      <w:r>
        <w:rPr>
          <w:rFonts w:hint="eastAsia" w:ascii="宋体" w:hAnsi="宋体"/>
          <w:color w:val="auto"/>
          <w:sz w:val="24"/>
          <w:szCs w:val="24"/>
          <w:highlight w:val="none"/>
          <w:u w:val="single"/>
        </w:rPr>
        <w:t>（</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u w:val="single"/>
        </w:rPr>
        <w:t>）</w:t>
      </w:r>
      <w:r>
        <w:rPr>
          <w:rFonts w:hint="eastAsia" w:ascii="宋体" w:hAnsi="宋体"/>
          <w:color w:val="auto"/>
          <w:sz w:val="24"/>
          <w:szCs w:val="24"/>
          <w:highlight w:val="none"/>
        </w:rPr>
        <w:t>签订分包合同。</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rPr>
        <w:t>就招标项目和分包项目向招标人负责，分包单位就分包项目承担责任。</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二、有关事项约定如下：</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1.如中标，分包单位分别与</w:t>
      </w:r>
      <w:r>
        <w:rPr>
          <w:rFonts w:hint="eastAsia" w:ascii="宋体" w:hAnsi="宋体"/>
          <w:color w:val="auto"/>
          <w:sz w:val="24"/>
          <w:szCs w:val="24"/>
          <w:highlight w:val="none"/>
          <w:u w:val="single"/>
        </w:rPr>
        <w:t>（</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u w:val="single"/>
        </w:rPr>
        <w:t>）</w:t>
      </w:r>
      <w:r>
        <w:rPr>
          <w:rFonts w:hint="eastAsia" w:ascii="宋体" w:hAnsi="宋体"/>
          <w:color w:val="auto"/>
          <w:sz w:val="24"/>
          <w:szCs w:val="24"/>
          <w:highlight w:val="none"/>
        </w:rPr>
        <w:t>签订合同书，并就中标项目分包部分承担法律责任；</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2.分包意向单位1</w:t>
      </w:r>
      <w:r>
        <w:rPr>
          <w:rFonts w:hint="eastAsia" w:ascii="宋体" w:hAnsi="宋体"/>
          <w:color w:val="auto"/>
          <w:sz w:val="24"/>
          <w:szCs w:val="24"/>
          <w:highlight w:val="none"/>
          <w:u w:val="single"/>
        </w:rPr>
        <w:t>　（</w:t>
      </w:r>
      <w:r>
        <w:rPr>
          <w:rFonts w:hint="eastAsia" w:ascii="宋体" w:hAnsi="宋体"/>
          <w:color w:val="auto"/>
          <w:kern w:val="0"/>
          <w:sz w:val="24"/>
          <w:szCs w:val="24"/>
          <w:highlight w:val="none"/>
          <w:u w:val="single"/>
        </w:rPr>
        <w:t>乙</w:t>
      </w:r>
      <w:r>
        <w:rPr>
          <w:rFonts w:hint="eastAsia" w:ascii="宋体" w:hAnsi="宋体"/>
          <w:color w:val="auto"/>
          <w:sz w:val="24"/>
          <w:szCs w:val="24"/>
          <w:highlight w:val="none"/>
          <w:u w:val="single"/>
        </w:rPr>
        <w:t>公司全称）　</w:t>
      </w:r>
      <w:r>
        <w:rPr>
          <w:rFonts w:hint="eastAsia" w:ascii="宋体" w:hAnsi="宋体"/>
          <w:color w:val="auto"/>
          <w:sz w:val="24"/>
          <w:szCs w:val="24"/>
          <w:highlight w:val="none"/>
        </w:rPr>
        <w:t>为</w:t>
      </w:r>
      <w:r>
        <w:rPr>
          <w:rFonts w:hint="eastAsia" w:ascii="宋体" w:hAnsi="宋体"/>
          <w:color w:val="auto"/>
          <w:sz w:val="24"/>
          <w:szCs w:val="24"/>
          <w:highlight w:val="none"/>
          <w:u w:val="single"/>
        </w:rPr>
        <w:t>（请填写：大型、中型、小型、微型）</w:t>
      </w:r>
      <w:r>
        <w:rPr>
          <w:rFonts w:hint="eastAsia" w:ascii="宋体" w:hAnsi="宋体"/>
          <w:color w:val="auto"/>
          <w:sz w:val="24"/>
          <w:szCs w:val="24"/>
          <w:highlight w:val="none"/>
        </w:rPr>
        <w:t>企业，将承担适宜分包部分</w:t>
      </w:r>
      <w:r>
        <w:rPr>
          <w:rFonts w:hint="eastAsia" w:ascii="宋体" w:hAnsi="宋体"/>
          <w:color w:val="auto"/>
          <w:sz w:val="24"/>
          <w:szCs w:val="24"/>
          <w:highlight w:val="none"/>
          <w:u w:val="single"/>
        </w:rPr>
        <w:t>（具体分包内容）</w:t>
      </w:r>
      <w:r>
        <w:rPr>
          <w:rFonts w:hint="eastAsia" w:ascii="宋体" w:hAnsi="宋体"/>
          <w:color w:val="auto"/>
          <w:sz w:val="24"/>
          <w:szCs w:val="24"/>
          <w:highlight w:val="none"/>
        </w:rPr>
        <w:t>占合同总金额</w:t>
      </w:r>
      <w:r>
        <w:rPr>
          <w:rFonts w:hint="eastAsia" w:ascii="宋体" w:hAnsi="宋体"/>
          <w:color w:val="auto"/>
          <w:sz w:val="24"/>
          <w:szCs w:val="24"/>
          <w:highlight w:val="none"/>
          <w:u w:val="single"/>
        </w:rPr>
        <w:t>　　</w:t>
      </w:r>
      <w:r>
        <w:rPr>
          <w:rFonts w:hint="eastAsia" w:ascii="宋体" w:hAnsi="宋体"/>
          <w:color w:val="auto"/>
          <w:sz w:val="24"/>
          <w:szCs w:val="24"/>
          <w:highlight w:val="none"/>
        </w:rPr>
        <w:t>%的工作内容。</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3.分包意向单位2</w:t>
      </w:r>
      <w:r>
        <w:rPr>
          <w:rFonts w:hint="eastAsia" w:ascii="宋体" w:hAnsi="宋体"/>
          <w:color w:val="auto"/>
          <w:sz w:val="24"/>
          <w:szCs w:val="24"/>
          <w:highlight w:val="none"/>
          <w:u w:val="single"/>
        </w:rPr>
        <w:t>　（</w:t>
      </w:r>
      <w:r>
        <w:rPr>
          <w:rFonts w:hint="eastAsia" w:ascii="宋体" w:hAnsi="宋体"/>
          <w:color w:val="auto"/>
          <w:kern w:val="0"/>
          <w:sz w:val="24"/>
          <w:szCs w:val="24"/>
          <w:highlight w:val="none"/>
          <w:u w:val="single"/>
        </w:rPr>
        <w:t>……</w:t>
      </w:r>
      <w:r>
        <w:rPr>
          <w:rFonts w:hint="eastAsia" w:ascii="宋体" w:hAnsi="宋体"/>
          <w:color w:val="auto"/>
          <w:sz w:val="24"/>
          <w:szCs w:val="24"/>
          <w:highlight w:val="none"/>
          <w:u w:val="single"/>
        </w:rPr>
        <w:t>公司全称）</w:t>
      </w:r>
      <w:r>
        <w:rPr>
          <w:rFonts w:hint="eastAsia" w:ascii="宋体" w:hAnsi="宋体"/>
          <w:color w:val="auto"/>
          <w:sz w:val="24"/>
          <w:szCs w:val="24"/>
          <w:highlight w:val="none"/>
        </w:rPr>
        <w:t>为</w:t>
      </w:r>
      <w:r>
        <w:rPr>
          <w:rFonts w:hint="eastAsia" w:ascii="宋体" w:hAnsi="宋体"/>
          <w:color w:val="auto"/>
          <w:sz w:val="24"/>
          <w:szCs w:val="24"/>
          <w:highlight w:val="none"/>
          <w:u w:val="single"/>
        </w:rPr>
        <w:t>（请填写：大型、中型、小型、微型）</w:t>
      </w:r>
      <w:r>
        <w:rPr>
          <w:rFonts w:hint="eastAsia" w:ascii="宋体" w:hAnsi="宋体"/>
          <w:color w:val="auto"/>
          <w:sz w:val="24"/>
          <w:szCs w:val="24"/>
          <w:highlight w:val="none"/>
        </w:rPr>
        <w:t>企业，将承担适宜分包部分</w:t>
      </w:r>
      <w:r>
        <w:rPr>
          <w:rFonts w:hint="eastAsia" w:ascii="宋体" w:hAnsi="宋体"/>
          <w:color w:val="auto"/>
          <w:sz w:val="24"/>
          <w:szCs w:val="24"/>
          <w:highlight w:val="none"/>
          <w:u w:val="single"/>
        </w:rPr>
        <w:t>（具体分包内容）占</w:t>
      </w:r>
      <w:r>
        <w:rPr>
          <w:rFonts w:hint="eastAsia" w:ascii="宋体" w:hAnsi="宋体"/>
          <w:color w:val="auto"/>
          <w:sz w:val="24"/>
          <w:szCs w:val="24"/>
          <w:highlight w:val="none"/>
        </w:rPr>
        <w:t>合同总金额</w:t>
      </w:r>
      <w:r>
        <w:rPr>
          <w:rFonts w:hint="eastAsia" w:ascii="宋体" w:hAnsi="宋体"/>
          <w:color w:val="auto"/>
          <w:sz w:val="24"/>
          <w:szCs w:val="24"/>
          <w:highlight w:val="none"/>
          <w:u w:val="single"/>
        </w:rPr>
        <w:t>　　</w:t>
      </w:r>
      <w:r>
        <w:rPr>
          <w:rFonts w:hint="eastAsia" w:ascii="宋体" w:hAnsi="宋体"/>
          <w:color w:val="auto"/>
          <w:sz w:val="24"/>
          <w:szCs w:val="24"/>
          <w:highlight w:val="none"/>
        </w:rPr>
        <w:t>%的工作内容。</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三、接受分包的企业与投标人之间的关系：</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1.分包意向单位1</w:t>
      </w:r>
      <w:r>
        <w:rPr>
          <w:rFonts w:hint="eastAsia" w:ascii="宋体" w:hAnsi="宋体"/>
          <w:color w:val="auto"/>
          <w:sz w:val="24"/>
          <w:szCs w:val="24"/>
          <w:highlight w:val="none"/>
          <w:u w:val="single"/>
        </w:rPr>
        <w:t>　（公司全称）</w:t>
      </w:r>
      <w:r>
        <w:rPr>
          <w:rFonts w:hint="eastAsia" w:ascii="宋体" w:hAnsi="宋体"/>
          <w:color w:val="auto"/>
          <w:sz w:val="24"/>
          <w:szCs w:val="24"/>
          <w:highlight w:val="none"/>
        </w:rPr>
        <w:t>与投标人之间</w:t>
      </w:r>
      <w:r>
        <w:rPr>
          <w:rFonts w:hint="eastAsia" w:ascii="宋体" w:hAnsi="宋体"/>
          <w:color w:val="auto"/>
          <w:sz w:val="24"/>
          <w:szCs w:val="24"/>
          <w:highlight w:val="none"/>
          <w:u w:val="single"/>
        </w:rPr>
        <w:t>（请填写：是否存在）</w:t>
      </w:r>
      <w:r>
        <w:rPr>
          <w:rFonts w:hint="eastAsia" w:ascii="宋体" w:hAnsi="宋体"/>
          <w:color w:val="auto"/>
          <w:sz w:val="24"/>
          <w:szCs w:val="24"/>
          <w:highlight w:val="none"/>
        </w:rPr>
        <w:t>直接控股、管理关系的情形。</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sz w:val="24"/>
          <w:szCs w:val="24"/>
          <w:highlight w:val="none"/>
        </w:rPr>
        <w:t>2.分包意向单位2</w:t>
      </w:r>
      <w:r>
        <w:rPr>
          <w:rFonts w:hint="eastAsia" w:ascii="宋体" w:hAnsi="宋体"/>
          <w:color w:val="auto"/>
          <w:sz w:val="24"/>
          <w:szCs w:val="24"/>
          <w:highlight w:val="none"/>
          <w:u w:val="single"/>
        </w:rPr>
        <w:t>　（公司全称）</w:t>
      </w:r>
      <w:r>
        <w:rPr>
          <w:rFonts w:hint="eastAsia" w:ascii="宋体" w:hAnsi="宋体"/>
          <w:color w:val="auto"/>
          <w:sz w:val="24"/>
          <w:szCs w:val="24"/>
          <w:highlight w:val="none"/>
        </w:rPr>
        <w:t>与投标人之间</w:t>
      </w:r>
      <w:r>
        <w:rPr>
          <w:rFonts w:hint="eastAsia" w:ascii="宋体" w:hAnsi="宋体"/>
          <w:color w:val="auto"/>
          <w:sz w:val="24"/>
          <w:szCs w:val="24"/>
          <w:highlight w:val="none"/>
          <w:u w:val="single"/>
        </w:rPr>
        <w:t>（请填写：是否存在）</w:t>
      </w:r>
      <w:r>
        <w:rPr>
          <w:rFonts w:hint="eastAsia" w:ascii="宋体" w:hAnsi="宋体"/>
          <w:color w:val="auto"/>
          <w:sz w:val="24"/>
          <w:szCs w:val="24"/>
          <w:highlight w:val="none"/>
        </w:rPr>
        <w:t>直接控股、管理关系的情形。</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ascii="宋体" w:hAnsi="宋体"/>
          <w:color w:val="auto"/>
          <w:sz w:val="24"/>
          <w:szCs w:val="24"/>
          <w:highlight w:val="none"/>
        </w:rPr>
        <w:t>…</w:t>
      </w:r>
      <w:r>
        <w:rPr>
          <w:rFonts w:hint="eastAsia" w:ascii="宋体" w:hAnsi="宋体"/>
          <w:color w:val="auto"/>
          <w:sz w:val="24"/>
          <w:szCs w:val="24"/>
          <w:highlight w:val="none"/>
        </w:rPr>
        <w:t>…</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四、如因违约过失责任而导致招标人经济损失或被索赔时，</w:t>
      </w:r>
      <w:r>
        <w:rPr>
          <w:rFonts w:hint="eastAsia" w:ascii="宋体" w:hAnsi="宋体"/>
          <w:color w:val="auto"/>
          <w:sz w:val="24"/>
          <w:szCs w:val="24"/>
          <w:highlight w:val="none"/>
          <w:u w:val="single"/>
        </w:rPr>
        <w:t>（</w:t>
      </w:r>
      <w:r>
        <w:rPr>
          <w:rFonts w:hint="eastAsia" w:ascii="宋体" w:hAnsi="宋体"/>
          <w:color w:val="auto"/>
          <w:kern w:val="0"/>
          <w:sz w:val="24"/>
          <w:szCs w:val="24"/>
          <w:highlight w:val="none"/>
          <w:u w:val="single"/>
        </w:rPr>
        <w:t>甲公司全称</w:t>
      </w:r>
      <w:r>
        <w:rPr>
          <w:rFonts w:hint="eastAsia" w:ascii="宋体" w:hAnsi="宋体"/>
          <w:color w:val="auto"/>
          <w:sz w:val="24"/>
          <w:szCs w:val="24"/>
          <w:highlight w:val="none"/>
          <w:u w:val="single"/>
        </w:rPr>
        <w:t>）</w:t>
      </w:r>
      <w:r>
        <w:rPr>
          <w:rFonts w:hint="eastAsia" w:ascii="宋体" w:hAnsi="宋体"/>
          <w:color w:val="auto"/>
          <w:kern w:val="0"/>
          <w:sz w:val="24"/>
          <w:szCs w:val="24"/>
          <w:highlight w:val="none"/>
        </w:rPr>
        <w:t>同意无条件优先清偿招标人的一切债务和经济赔偿。</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五、如中标，分包意向单位不得以任何理由提出终止本意向协议。</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六、如中标，分包意向单位确定后，不得擅自变更。</w:t>
      </w:r>
    </w:p>
    <w:p>
      <w:pPr>
        <w:keepNext w:val="0"/>
        <w:keepLines w:val="0"/>
        <w:pageBreakBefore w:val="0"/>
        <w:widowControl/>
        <w:kinsoku/>
        <w:wordWrap/>
        <w:overflowPunct/>
        <w:topLinePunct w:val="0"/>
        <w:autoSpaceDE/>
        <w:autoSpaceDN/>
        <w:bidi w:val="0"/>
        <w:adjustRightInd/>
        <w:snapToGrid/>
        <w:spacing w:line="340" w:lineRule="exact"/>
        <w:ind w:firstLine="480" w:firstLineChars="200"/>
        <w:jc w:val="both"/>
        <w:textAlignment w:val="auto"/>
        <w:rPr>
          <w:rFonts w:ascii="宋体" w:hAnsi="宋体"/>
          <w:color w:val="auto"/>
          <w:sz w:val="24"/>
          <w:szCs w:val="24"/>
          <w:highlight w:val="none"/>
        </w:rPr>
      </w:pPr>
      <w:r>
        <w:rPr>
          <w:rFonts w:hint="eastAsia" w:ascii="宋体" w:hAnsi="宋体"/>
          <w:color w:val="auto"/>
          <w:kern w:val="0"/>
          <w:sz w:val="24"/>
          <w:szCs w:val="24"/>
          <w:highlight w:val="none"/>
        </w:rPr>
        <w:t>七、</w:t>
      </w:r>
      <w:r>
        <w:rPr>
          <w:rFonts w:hint="eastAsia" w:ascii="宋体" w:hAnsi="宋体"/>
          <w:color w:val="auto"/>
          <w:sz w:val="24"/>
          <w:szCs w:val="24"/>
          <w:highlight w:val="none"/>
        </w:rPr>
        <w:t>本意向书在</w:t>
      </w:r>
      <w:r>
        <w:rPr>
          <w:rFonts w:hint="eastAsia" w:ascii="宋体" w:hAnsi="宋体"/>
          <w:color w:val="auto"/>
          <w:kern w:val="0"/>
          <w:sz w:val="24"/>
          <w:szCs w:val="24"/>
          <w:highlight w:val="none"/>
        </w:rPr>
        <w:t>自签署之日起生效，</w:t>
      </w:r>
      <w:r>
        <w:rPr>
          <w:rFonts w:hint="eastAsia" w:ascii="宋体" w:hAnsi="宋体"/>
          <w:color w:val="auto"/>
          <w:sz w:val="24"/>
          <w:szCs w:val="24"/>
          <w:highlight w:val="none"/>
        </w:rPr>
        <w:t>有效期内有效，如获中标资格，有效期延续至合同履行完毕之日。</w:t>
      </w:r>
    </w:p>
    <w:p>
      <w:pPr>
        <w:widowControl/>
        <w:jc w:val="left"/>
        <w:rPr>
          <w:rFonts w:ascii="宋体" w:hAnsi="宋体"/>
          <w:color w:val="auto"/>
          <w:kern w:val="0"/>
          <w:sz w:val="24"/>
          <w:szCs w:val="24"/>
          <w:highlight w:val="none"/>
        </w:rPr>
      </w:pPr>
    </w:p>
    <w:p>
      <w:pPr>
        <w:widowControl/>
        <w:jc w:val="left"/>
        <w:rPr>
          <w:rFonts w:ascii="宋体" w:hAnsi="宋体"/>
          <w:color w:val="auto"/>
          <w:kern w:val="0"/>
          <w:sz w:val="24"/>
          <w:szCs w:val="24"/>
          <w:highlight w:val="none"/>
        </w:rPr>
      </w:pPr>
    </w:p>
    <w:p>
      <w:pPr>
        <w:widowControl/>
        <w:jc w:val="left"/>
        <w:rPr>
          <w:rFonts w:ascii="宋体" w:hAnsi="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甲公司全称：（盖章）</w:t>
      </w:r>
      <w:r>
        <w:rPr>
          <w:rFonts w:hint="eastAsia" w:ascii="宋体" w:hAnsi="宋体"/>
          <w:color w:val="auto"/>
          <w:kern w:val="0"/>
          <w:sz w:val="24"/>
          <w:szCs w:val="24"/>
          <w:highlight w:val="none"/>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法定代表人（签字或</w:t>
      </w:r>
      <w:r>
        <w:rPr>
          <w:rFonts w:hint="eastAsia" w:ascii="宋体" w:hAnsi="宋体"/>
          <w:color w:val="auto"/>
          <w:sz w:val="24"/>
          <w:szCs w:val="24"/>
          <w:highlight w:val="none"/>
        </w:rPr>
        <w:t>盖章</w:t>
      </w:r>
      <w:r>
        <w:rPr>
          <w:rFonts w:hint="eastAsia" w:ascii="宋体" w:hAnsi="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　　年　　月　　日</w:t>
      </w:r>
      <w:r>
        <w:rPr>
          <w:rFonts w:hint="eastAsia" w:ascii="宋体" w:hAnsi="宋体"/>
          <w:color w:val="auto"/>
          <w:kern w:val="0"/>
          <w:sz w:val="24"/>
          <w:szCs w:val="24"/>
          <w:highlight w:val="none"/>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乙公司全称：（盖章）</w:t>
      </w:r>
      <w:r>
        <w:rPr>
          <w:rFonts w:hint="eastAsia" w:ascii="宋体" w:hAnsi="宋体"/>
          <w:color w:val="auto"/>
          <w:kern w:val="0"/>
          <w:sz w:val="24"/>
          <w:szCs w:val="24"/>
          <w:highlight w:val="none"/>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auto"/>
          <w:sz w:val="24"/>
          <w:szCs w:val="24"/>
          <w:highlight w:val="none"/>
        </w:rPr>
      </w:pPr>
      <w:r>
        <w:rPr>
          <w:rFonts w:hint="eastAsia" w:ascii="宋体" w:hAnsi="宋体"/>
          <w:color w:val="auto"/>
          <w:kern w:val="0"/>
          <w:sz w:val="24"/>
          <w:szCs w:val="24"/>
          <w:highlight w:val="none"/>
        </w:rPr>
        <w:t>法定代表人（签字或</w:t>
      </w:r>
      <w:r>
        <w:rPr>
          <w:rFonts w:hint="eastAsia" w:ascii="宋体" w:hAnsi="宋体"/>
          <w:color w:val="auto"/>
          <w:sz w:val="24"/>
          <w:szCs w:val="24"/>
          <w:highlight w:val="none"/>
        </w:rPr>
        <w:t>盖章</w:t>
      </w:r>
      <w:r>
        <w:rPr>
          <w:rFonts w:hint="eastAsia" w:ascii="宋体" w:hAnsi="宋体"/>
          <w:color w:val="auto"/>
          <w:kern w:val="0"/>
          <w:sz w:val="24"/>
          <w:szCs w:val="24"/>
          <w:highlight w:val="none"/>
        </w:rPr>
        <w:t>）</w:t>
      </w:r>
      <w:r>
        <w:rPr>
          <w:rFonts w:hint="eastAsia" w:ascii="宋体" w:hAnsi="宋体"/>
          <w:color w:val="auto"/>
          <w:kern w:val="0"/>
          <w:sz w:val="24"/>
          <w:szCs w:val="24"/>
          <w:highlight w:val="none"/>
        </w:rPr>
        <w:tab/>
      </w:r>
    </w:p>
    <w:p>
      <w:pPr>
        <w:keepNext w:val="0"/>
        <w:keepLines w:val="0"/>
        <w:pageBreakBefore w:val="0"/>
        <w:widowControl/>
        <w:kinsoku/>
        <w:wordWrap/>
        <w:overflowPunct/>
        <w:topLinePunct w:val="0"/>
        <w:autoSpaceDE/>
        <w:autoSpaceDN/>
        <w:bidi w:val="0"/>
        <w:adjustRightInd/>
        <w:snapToGrid/>
        <w:spacing w:line="360" w:lineRule="exact"/>
        <w:ind w:firstLine="720" w:firstLineChars="300"/>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年　　月　　日</w:t>
      </w:r>
      <w:r>
        <w:rPr>
          <w:rFonts w:hint="eastAsia" w:ascii="宋体" w:hAnsi="宋体"/>
          <w:color w:val="auto"/>
          <w:kern w:val="0"/>
          <w:sz w:val="24"/>
          <w:szCs w:val="24"/>
          <w:highlight w:val="none"/>
        </w:rPr>
        <w:tab/>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……公司全称（盖章）</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olor w:val="auto"/>
          <w:kern w:val="0"/>
          <w:sz w:val="24"/>
          <w:szCs w:val="24"/>
          <w:highlight w:val="none"/>
        </w:rPr>
      </w:pPr>
      <w:r>
        <w:rPr>
          <w:rFonts w:hint="eastAsia" w:ascii="宋体" w:hAnsi="宋体"/>
          <w:color w:val="auto"/>
          <w:kern w:val="0"/>
          <w:sz w:val="24"/>
          <w:szCs w:val="24"/>
          <w:highlight w:val="none"/>
        </w:rPr>
        <w:t>法定代表人：（签字或</w:t>
      </w:r>
      <w:r>
        <w:rPr>
          <w:rFonts w:hint="eastAsia" w:ascii="宋体" w:hAnsi="宋体"/>
          <w:color w:val="auto"/>
          <w:sz w:val="24"/>
          <w:szCs w:val="24"/>
          <w:highlight w:val="none"/>
        </w:rPr>
        <w:t>盖章</w:t>
      </w:r>
      <w:r>
        <w:rPr>
          <w:rFonts w:hint="eastAsia" w:ascii="宋体" w:hAnsi="宋体"/>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auto"/>
          <w:sz w:val="24"/>
          <w:szCs w:val="24"/>
          <w:highlight w:val="none"/>
        </w:rPr>
      </w:pPr>
      <w:r>
        <w:rPr>
          <w:rFonts w:hint="eastAsia" w:ascii="宋体" w:hAnsi="宋体"/>
          <w:color w:val="auto"/>
          <w:kern w:val="0"/>
          <w:sz w:val="24"/>
          <w:szCs w:val="24"/>
          <w:highlight w:val="none"/>
        </w:rPr>
        <w:t>　　年　　月　　日</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auto"/>
          <w:sz w:val="24"/>
          <w:szCs w:val="24"/>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b/>
          <w:color w:val="auto"/>
          <w:sz w:val="24"/>
          <w:szCs w:val="24"/>
          <w:highlight w:val="none"/>
        </w:rPr>
      </w:pPr>
      <w:r>
        <w:rPr>
          <w:rFonts w:hint="eastAsia" w:ascii="宋体" w:hAnsi="宋体"/>
          <w:b/>
          <w:color w:val="auto"/>
          <w:sz w:val="24"/>
          <w:szCs w:val="24"/>
          <w:highlight w:val="none"/>
        </w:rPr>
        <w:t>注：1．各方成员应在本意向书上共同盖章确认。</w:t>
      </w: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宋体" w:hAnsi="宋体" w:cs="宋体"/>
          <w:b/>
          <w:bCs/>
          <w:color w:val="auto"/>
          <w:sz w:val="27"/>
          <w:szCs w:val="27"/>
          <w:highlight w:val="none"/>
        </w:rPr>
      </w:pPr>
      <w:r>
        <w:rPr>
          <w:rFonts w:hint="eastAsia" w:ascii="宋体" w:hAnsi="宋体"/>
          <w:color w:val="auto"/>
          <w:sz w:val="24"/>
          <w:szCs w:val="24"/>
          <w:highlight w:val="none"/>
        </w:rPr>
        <w:t>2．本意向书内容将作为签订合同的附件之一。</w:t>
      </w:r>
    </w:p>
    <w:p>
      <w:pPr>
        <w:widowControl/>
        <w:rPr>
          <w:rFonts w:ascii="宋体" w:hAnsi="宋体" w:cs="宋体"/>
          <w:color w:val="auto"/>
          <w:szCs w:val="20"/>
          <w:highlight w:val="none"/>
        </w:rPr>
      </w:pPr>
    </w:p>
    <w:p>
      <w:pPr>
        <w:widowControl/>
        <w:jc w:val="left"/>
        <w:rPr>
          <w:rFonts w:ascii="宋体" w:hAnsi="宋体" w:cs="宋体"/>
          <w:color w:val="auto"/>
          <w:szCs w:val="20"/>
          <w:highlight w:val="none"/>
        </w:rPr>
      </w:pPr>
    </w:p>
    <w:p>
      <w:pPr>
        <w:widowControl/>
        <w:jc w:val="left"/>
        <w:rPr>
          <w:rFonts w:ascii="宋体" w:hAnsi="宋体" w:cs="宋体"/>
          <w:color w:val="auto"/>
          <w:szCs w:val="20"/>
          <w:highlight w:val="none"/>
        </w:rPr>
      </w:pPr>
      <w:r>
        <w:rPr>
          <w:rFonts w:hint="eastAsia" w:ascii="宋体" w:hAnsi="宋体" w:cs="宋体"/>
          <w:color w:val="auto"/>
          <w:szCs w:val="20"/>
          <w:highlight w:val="none"/>
        </w:rPr>
        <w:br w:type="page"/>
      </w:r>
    </w:p>
    <w:p>
      <w:pPr>
        <w:widowControl/>
        <w:rPr>
          <w:rFonts w:ascii="宋体" w:hAnsi="宋体" w:cs="宋体"/>
          <w:color w:val="auto"/>
          <w:szCs w:val="20"/>
          <w:highlight w:val="none"/>
        </w:rPr>
      </w:pPr>
    </w:p>
    <w:p>
      <w:pPr>
        <w:snapToGrid w:val="0"/>
        <w:spacing w:line="360" w:lineRule="auto"/>
        <w:ind w:left="-2" w:leftChars="-1"/>
        <w:jc w:val="left"/>
        <w:rPr>
          <w:rFonts w:ascii="宋体" w:hAnsi="宋体" w:cs="宋体"/>
          <w:snapToGrid w:val="0"/>
          <w:color w:val="auto"/>
          <w:spacing w:val="4"/>
          <w:kern w:val="0"/>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bookmarkEnd w:id="42"/>
      <w:bookmarkEnd w:id="43"/>
      <w:r>
        <w:rPr>
          <w:rFonts w:hint="eastAsia" w:ascii="宋体" w:hAnsi="宋体" w:cs="宋体"/>
          <w:snapToGrid w:val="0"/>
          <w:color w:val="auto"/>
          <w:spacing w:val="4"/>
          <w:kern w:val="0"/>
          <w:sz w:val="24"/>
          <w:szCs w:val="24"/>
          <w:highlight w:val="none"/>
          <w:lang w:eastAsia="zh-CN"/>
        </w:rPr>
        <w:t>八</w:t>
      </w:r>
      <w:r>
        <w:rPr>
          <w:rFonts w:hint="eastAsia" w:ascii="宋体" w:hAnsi="宋体" w:cs="宋体"/>
          <w:snapToGrid w:val="0"/>
          <w:color w:val="auto"/>
          <w:spacing w:val="4"/>
          <w:kern w:val="0"/>
          <w:sz w:val="24"/>
          <w:szCs w:val="24"/>
          <w:highlight w:val="none"/>
        </w:rPr>
        <w:t>：</w:t>
      </w:r>
    </w:p>
    <w:p>
      <w:pPr>
        <w:pStyle w:val="29"/>
        <w:snapToGrid w:val="0"/>
        <w:spacing w:after="0" w:line="360" w:lineRule="auto"/>
        <w:ind w:left="-2" w:leftChars="-1" w:firstLine="562" w:firstLineChars="175"/>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项目负责人驻场承诺书</w:t>
      </w:r>
    </w:p>
    <w:p>
      <w:pPr>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致：广州开发区财政投资建设项目管理中心</w:t>
      </w:r>
    </w:p>
    <w:p>
      <w:pPr>
        <w:snapToGrid w:val="0"/>
        <w:spacing w:line="360" w:lineRule="auto"/>
        <w:ind w:firstLine="523" w:firstLineChars="218"/>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本人（姓名）</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，项目负责人证书注册编号：</w:t>
      </w:r>
      <w:r>
        <w:rPr>
          <w:rFonts w:hint="eastAsia" w:ascii="宋体" w:hAnsi="宋体" w:cs="宋体"/>
          <w:color w:val="auto"/>
          <w:sz w:val="24"/>
          <w:szCs w:val="24"/>
          <w:highlight w:val="none"/>
          <w:u w:val="single"/>
          <w:lang w:val="en-US" w:eastAsia="zh-CN"/>
        </w:rPr>
        <w:t xml:space="preserve">        </w:t>
      </w:r>
      <w:r>
        <w:rPr>
          <w:rFonts w:hint="eastAsia" w:ascii="宋体" w:hAnsi="宋体" w:cs="宋体"/>
          <w:color w:val="auto"/>
          <w:sz w:val="24"/>
          <w:szCs w:val="24"/>
          <w:highlight w:val="none"/>
          <w:u w:val="single"/>
        </w:rPr>
        <w:t>受（投标人名称）委派，拟在（项目名称）担任项目负责人一职。为加强本工程项目管理，保证我公司在中标后严格履行与业主签定的工程建设承包合同，圆满的完成本项工程，我愿就此做出以下承诺；</w:t>
      </w:r>
    </w:p>
    <w:p>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1．本人作为公司选派的本项目的项目负责人，我保证自即日起至项目竣工并通过验收之日止，自始至终全过程常驻工地现场，代表我公司全面负责本工程现场组织，指挥，管理，协调等工作。并承诺在本项目完成后的合同责任保修期内，根据项目实际保修工作需要也能随时到场负责指挥，安排应做的保修工作。</w:t>
      </w:r>
    </w:p>
    <w:p>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2．如果本招标工程我公司中标，我本人保证在工程签订合同之日起至工程竣工验收完成期间只担任此工程的项目经理，不参加其他任何工程的报名和任何工作，不在其他任何工程担任本职务。</w:t>
      </w:r>
    </w:p>
    <w:p>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3．除非征得业主的书面批准，否则如果违背以上承诺，不能常驻施工现场，我自愿接受业主给予我本人的批评和处罚，并同意业主就此作为我个人的不良纪录进一步上报区行业主管部门，项目负责人证书注册、备案、审批机构，直至广州市建委等有关部门并接受上述部门给予的通报和相关职能部门给予的扣证等处罚。</w:t>
      </w:r>
    </w:p>
    <w:p>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4．项目负责人本人身份证扫描件和相片扫描件：</w:t>
      </w:r>
    </w:p>
    <w:p>
      <w:pPr>
        <w:snapToGrid w:val="0"/>
        <w:spacing w:line="360" w:lineRule="auto"/>
        <w:rPr>
          <w:rFonts w:ascii="宋体" w:hAnsi="宋体" w:cs="宋体"/>
          <w:color w:val="auto"/>
          <w:sz w:val="24"/>
          <w:szCs w:val="24"/>
          <w:highlight w:val="none"/>
          <w:u w:val="single"/>
        </w:rPr>
      </w:pPr>
    </w:p>
    <w:tbl>
      <w:tblPr>
        <w:tblStyle w:val="31"/>
        <w:tblW w:w="0" w:type="auto"/>
        <w:tblInd w:w="4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3"/>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6043"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身份证扫描件</w:t>
            </w:r>
          </w:p>
        </w:tc>
        <w:tc>
          <w:tcPr>
            <w:tcW w:w="2492" w:type="dxa"/>
            <w:tcBorders>
              <w:top w:val="single" w:color="auto" w:sz="4" w:space="0"/>
              <w:left w:val="single" w:color="auto" w:sz="4" w:space="0"/>
              <w:bottom w:val="single" w:color="auto" w:sz="4" w:space="0"/>
              <w:right w:val="single" w:color="auto" w:sz="4" w:space="0"/>
            </w:tcBorders>
            <w:noWrap/>
          </w:tcPr>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p>
          <w:p>
            <w:pPr>
              <w:snapToGrid w:val="0"/>
              <w:spacing w:line="360" w:lineRule="auto"/>
              <w:jc w:val="center"/>
              <w:rPr>
                <w:rFonts w:ascii="宋体" w:hAnsi="宋体" w:cs="宋体"/>
                <w:color w:val="auto"/>
                <w:szCs w:val="21"/>
                <w:highlight w:val="none"/>
                <w:u w:val="single"/>
              </w:rPr>
            </w:pPr>
            <w:r>
              <w:rPr>
                <w:rFonts w:hint="eastAsia" w:ascii="宋体" w:hAnsi="宋体" w:cs="宋体"/>
                <w:color w:val="auto"/>
                <w:sz w:val="24"/>
                <w:szCs w:val="24"/>
                <w:highlight w:val="none"/>
                <w:u w:val="single"/>
              </w:rPr>
              <w:t>相片扫描件</w:t>
            </w:r>
          </w:p>
        </w:tc>
      </w:tr>
    </w:tbl>
    <w:p>
      <w:pPr>
        <w:snapToGrid w:val="0"/>
        <w:spacing w:line="360" w:lineRule="auto"/>
        <w:rPr>
          <w:rFonts w:ascii="宋体" w:hAnsi="宋体" w:cs="宋体"/>
          <w:color w:val="auto"/>
          <w:sz w:val="24"/>
          <w:szCs w:val="24"/>
          <w:highlight w:val="none"/>
          <w:u w:val="single"/>
        </w:rPr>
      </w:pPr>
    </w:p>
    <w:p>
      <w:pPr>
        <w:snapToGrid w:val="0"/>
        <w:spacing w:line="360" w:lineRule="auto"/>
        <w:ind w:firstLine="3840" w:firstLineChars="1600"/>
        <w:rPr>
          <w:rFonts w:ascii="宋体" w:hAnsi="宋体" w:cs="宋体"/>
          <w:color w:val="auto"/>
          <w:sz w:val="24"/>
          <w:szCs w:val="24"/>
          <w:highlight w:val="none"/>
          <w:u w:val="single"/>
        </w:rPr>
      </w:pPr>
      <w:r>
        <w:rPr>
          <w:rFonts w:hint="eastAsia" w:ascii="宋体" w:hAnsi="宋体" w:cs="宋体"/>
          <w:color w:val="auto"/>
          <w:sz w:val="24"/>
          <w:szCs w:val="20"/>
          <w:highlight w:val="none"/>
        </w:rPr>
        <w:t>投标人名称（盖法人公章）</w:t>
      </w:r>
      <w:r>
        <w:rPr>
          <w:rFonts w:hint="eastAsia" w:ascii="宋体" w:hAnsi="宋体" w:cs="宋体"/>
          <w:color w:val="auto"/>
          <w:sz w:val="24"/>
          <w:szCs w:val="24"/>
          <w:highlight w:val="none"/>
        </w:rPr>
        <w:t>：</w:t>
      </w:r>
    </w:p>
    <w:p>
      <w:pPr>
        <w:snapToGrid w:val="0"/>
        <w:spacing w:line="360" w:lineRule="auto"/>
        <w:ind w:firstLine="3840" w:firstLineChars="1600"/>
        <w:jc w:val="left"/>
        <w:rPr>
          <w:rFonts w:ascii="宋体" w:hAnsi="宋体" w:cs="宋体"/>
          <w:color w:val="auto"/>
          <w:sz w:val="24"/>
          <w:szCs w:val="20"/>
          <w:highlight w:val="none"/>
        </w:rPr>
      </w:pPr>
      <w:r>
        <w:rPr>
          <w:rFonts w:hint="eastAsia" w:ascii="宋体" w:hAnsi="宋体" w:cs="宋体"/>
          <w:color w:val="auto"/>
          <w:sz w:val="24"/>
          <w:szCs w:val="24"/>
          <w:highlight w:val="none"/>
        </w:rPr>
        <w:t>项目负责人签名：</w:t>
      </w:r>
    </w:p>
    <w:p>
      <w:pPr>
        <w:snapToGrid w:val="0"/>
        <w:spacing w:line="360" w:lineRule="auto"/>
        <w:ind w:firstLine="3840" w:firstLineChars="1600"/>
        <w:rPr>
          <w:rFonts w:ascii="宋体" w:hAnsi="宋体" w:cs="宋体"/>
          <w:bCs/>
          <w:color w:val="auto"/>
          <w:sz w:val="24"/>
          <w:szCs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autoSpaceDE w:val="0"/>
        <w:autoSpaceDN w:val="0"/>
        <w:adjustRightInd w:val="0"/>
        <w:snapToGrid w:val="0"/>
        <w:spacing w:line="360" w:lineRule="auto"/>
        <w:rPr>
          <w:rFonts w:ascii="宋体" w:hAnsi="宋体" w:cs="宋体"/>
          <w:bCs/>
          <w:color w:val="auto"/>
          <w:sz w:val="24"/>
          <w:szCs w:val="24"/>
          <w:highlight w:val="none"/>
        </w:rPr>
      </w:pPr>
      <w:r>
        <w:rPr>
          <w:rFonts w:hint="eastAsia" w:ascii="宋体" w:hAnsi="宋体" w:cs="宋体"/>
          <w:color w:val="auto"/>
          <w:sz w:val="24"/>
          <w:szCs w:val="24"/>
          <w:highlight w:val="none"/>
        </w:rPr>
        <w:t>技术标</w:t>
      </w:r>
      <w:r>
        <w:rPr>
          <w:rFonts w:hint="eastAsia" w:ascii="宋体" w:hAnsi="宋体" w:cs="宋体"/>
          <w:bCs/>
          <w:color w:val="auto"/>
          <w:spacing w:val="4"/>
          <w:kern w:val="0"/>
          <w:sz w:val="24"/>
          <w:szCs w:val="24"/>
          <w:highlight w:val="none"/>
        </w:rPr>
        <w:t>格式</w:t>
      </w:r>
      <w:r>
        <w:rPr>
          <w:rFonts w:hint="eastAsia" w:ascii="宋体" w:hAnsi="宋体" w:cs="宋体"/>
          <w:bCs/>
          <w:color w:val="auto"/>
          <w:sz w:val="24"/>
          <w:szCs w:val="24"/>
          <w:highlight w:val="none"/>
          <w:lang w:eastAsia="zh-CN"/>
        </w:rPr>
        <w:t>九</w:t>
      </w:r>
      <w:r>
        <w:rPr>
          <w:rFonts w:hint="eastAsia" w:ascii="宋体" w:hAnsi="宋体" w:cs="宋体"/>
          <w:bCs/>
          <w:color w:val="auto"/>
          <w:sz w:val="24"/>
          <w:szCs w:val="24"/>
          <w:highlight w:val="none"/>
        </w:rPr>
        <w:t>：</w:t>
      </w:r>
    </w:p>
    <w:p>
      <w:pPr>
        <w:snapToGrid w:val="0"/>
        <w:spacing w:line="360" w:lineRule="auto"/>
        <w:jc w:val="center"/>
        <w:rPr>
          <w:rFonts w:ascii="宋体" w:hAnsi="宋体" w:cs="宋体"/>
          <w:b/>
          <w:color w:val="auto"/>
          <w:sz w:val="36"/>
          <w:szCs w:val="36"/>
          <w:highlight w:val="none"/>
        </w:rPr>
      </w:pP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响应招标文件所附施工组织设计要点承诺书</w:t>
      </w: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sz w:val="24"/>
          <w:highlight w:val="none"/>
        </w:rPr>
      </w:pPr>
    </w:p>
    <w:p>
      <w:pPr>
        <w:snapToGrid w:val="0"/>
        <w:spacing w:line="360" w:lineRule="auto"/>
        <w:rPr>
          <w:rFonts w:ascii="宋体" w:hAnsi="宋体" w:cs="宋体"/>
          <w:color w:val="auto"/>
          <w:sz w:val="24"/>
          <w:highlight w:val="none"/>
          <w:u w:val="single"/>
        </w:rPr>
      </w:pPr>
      <w:r>
        <w:rPr>
          <w:rFonts w:hint="eastAsia" w:ascii="宋体" w:hAnsi="宋体" w:cs="宋体"/>
          <w:color w:val="auto"/>
          <w:sz w:val="24"/>
          <w:szCs w:val="24"/>
          <w:highlight w:val="none"/>
          <w:u w:val="single"/>
        </w:rPr>
        <w:t>广州开发区财政投资建设项目管理中心</w:t>
      </w:r>
      <w:r>
        <w:rPr>
          <w:rFonts w:hint="eastAsia" w:ascii="宋体" w:hAnsi="宋体" w:cs="宋体"/>
          <w:color w:val="auto"/>
          <w:sz w:val="24"/>
          <w:highlight w:val="none"/>
        </w:rPr>
        <w:t>：</w:t>
      </w:r>
    </w:p>
    <w:p>
      <w:pPr>
        <w:snapToGrid w:val="0"/>
        <w:spacing w:line="360" w:lineRule="auto"/>
        <w:ind w:firstLine="435"/>
        <w:rPr>
          <w:rFonts w:ascii="宋体" w:hAnsi="宋体" w:cs="宋体"/>
          <w:color w:val="auto"/>
          <w:sz w:val="24"/>
          <w:highlight w:val="none"/>
        </w:rPr>
      </w:pPr>
      <w:r>
        <w:rPr>
          <w:rFonts w:hint="eastAsia" w:ascii="宋体" w:hAnsi="宋体" w:cs="宋体"/>
          <w:color w:val="auto"/>
          <w:sz w:val="24"/>
          <w:highlight w:val="none"/>
        </w:rPr>
        <w:t>我方承诺，如中标承建</w:t>
      </w:r>
      <w:r>
        <w:rPr>
          <w:rFonts w:hint="eastAsia" w:ascii="宋体" w:hAnsi="宋体" w:cs="宋体"/>
          <w:color w:val="auto"/>
          <w:sz w:val="24"/>
          <w:highlight w:val="none"/>
          <w:u w:val="single"/>
          <w:lang w:eastAsia="zh-CN"/>
        </w:rPr>
        <w:t>天鹿湖森林公园森林步道</w:t>
      </w:r>
      <w:r>
        <w:rPr>
          <w:rFonts w:hint="eastAsia" w:ascii="宋体" w:hAnsi="宋体" w:cs="宋体"/>
          <w:color w:val="auto"/>
          <w:sz w:val="24"/>
          <w:highlight w:val="none"/>
          <w:u w:val="single"/>
        </w:rPr>
        <w:t>施工总承包</w:t>
      </w:r>
      <w:r>
        <w:rPr>
          <w:rFonts w:hint="eastAsia" w:ascii="宋体" w:hAnsi="宋体" w:cs="宋体"/>
          <w:color w:val="auto"/>
          <w:sz w:val="24"/>
          <w:highlight w:val="none"/>
        </w:rPr>
        <w:t>，将按招标文件所附的本工程</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进行响应的基础上自行组织施工。并承诺在中标后按招标文件所附的</w:t>
      </w:r>
      <w:r>
        <w:rPr>
          <w:rFonts w:hint="eastAsia" w:ascii="宋体" w:hAnsi="宋体" w:cs="宋体"/>
          <w:color w:val="auto"/>
          <w:sz w:val="24"/>
          <w:highlight w:val="none"/>
          <w:u w:val="single"/>
        </w:rPr>
        <w:t>施工组织设计要点</w:t>
      </w:r>
      <w:r>
        <w:rPr>
          <w:rFonts w:hint="eastAsia" w:ascii="宋体" w:hAnsi="宋体" w:cs="宋体"/>
          <w:color w:val="auto"/>
          <w:sz w:val="24"/>
          <w:highlight w:val="none"/>
        </w:rPr>
        <w:t>基础上编制详细的施工组织设计，并报经监理单位和建设单位审批后实施。</w:t>
      </w:r>
    </w:p>
    <w:p>
      <w:pPr>
        <w:snapToGrid w:val="0"/>
        <w:spacing w:line="360" w:lineRule="auto"/>
        <w:ind w:firstLine="435"/>
        <w:rPr>
          <w:rFonts w:ascii="宋体" w:hAnsi="宋体" w:cs="宋体"/>
          <w:color w:val="auto"/>
          <w:sz w:val="24"/>
          <w:szCs w:val="20"/>
          <w:highlight w:val="none"/>
        </w:rPr>
      </w:pPr>
    </w:p>
    <w:p>
      <w:pPr>
        <w:snapToGrid w:val="0"/>
        <w:spacing w:line="360" w:lineRule="auto"/>
        <w:ind w:firstLine="435"/>
        <w:rPr>
          <w:rFonts w:ascii="宋体" w:hAnsi="宋体" w:cs="宋体"/>
          <w:color w:val="auto"/>
          <w:sz w:val="24"/>
          <w:szCs w:val="20"/>
          <w:highlight w:val="none"/>
        </w:rPr>
      </w:pPr>
    </w:p>
    <w:p>
      <w:pPr>
        <w:snapToGrid w:val="0"/>
        <w:spacing w:line="360" w:lineRule="auto"/>
        <w:ind w:firstLine="435"/>
        <w:rPr>
          <w:rFonts w:ascii="宋体" w:hAnsi="宋体" w:cs="宋体"/>
          <w:color w:val="auto"/>
          <w:sz w:val="24"/>
          <w:szCs w:val="20"/>
          <w:highlight w:val="none"/>
        </w:rPr>
      </w:pPr>
    </w:p>
    <w:p>
      <w:pPr>
        <w:snapToGrid w:val="0"/>
        <w:spacing w:line="360" w:lineRule="auto"/>
        <w:ind w:firstLine="3000" w:firstLineChars="125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pPr>
        <w:snapToGrid w:val="0"/>
        <w:spacing w:line="360" w:lineRule="auto"/>
        <w:ind w:firstLine="3000" w:firstLineChars="1250"/>
        <w:rPr>
          <w:rFonts w:ascii="宋体" w:hAnsi="宋体" w:cs="宋体"/>
          <w:color w:val="auto"/>
          <w:sz w:val="24"/>
          <w:highlight w:val="none"/>
        </w:rPr>
      </w:pPr>
      <w:r>
        <w:rPr>
          <w:rFonts w:hint="eastAsia" w:ascii="宋体" w:hAnsi="宋体" w:cs="宋体"/>
          <w:color w:val="auto"/>
          <w:sz w:val="24"/>
          <w:szCs w:val="20"/>
          <w:highlight w:val="none"/>
        </w:rPr>
        <w:t>日期</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pPr>
        <w:snapToGrid w:val="0"/>
        <w:spacing w:line="360" w:lineRule="auto"/>
        <w:ind w:left="420" w:leftChars="200"/>
        <w:jc w:val="left"/>
        <w:rPr>
          <w:rFonts w:ascii="宋体" w:hAnsi="宋体" w:cs="宋体"/>
          <w:color w:val="auto"/>
          <w:sz w:val="24"/>
          <w:szCs w:val="24"/>
          <w:highlight w:val="none"/>
          <w:u w:val="single"/>
        </w:rPr>
      </w:pPr>
    </w:p>
    <w:p>
      <w:pPr>
        <w:pStyle w:val="6"/>
        <w:rPr>
          <w:rFonts w:ascii="宋体" w:hAnsi="宋体" w:cs="宋体"/>
          <w:color w:val="auto"/>
          <w:sz w:val="24"/>
          <w:szCs w:val="24"/>
          <w:highlight w:val="none"/>
          <w:u w:val="single"/>
        </w:rPr>
      </w:pPr>
    </w:p>
    <w:p/>
    <w:p>
      <w:pPr>
        <w:snapToGrid w:val="0"/>
        <w:spacing w:line="360" w:lineRule="auto"/>
        <w:ind w:firstLine="3514" w:firstLineChars="1250"/>
        <w:rPr>
          <w:rFonts w:ascii="宋体" w:hAnsi="宋体" w:cs="宋体"/>
          <w:color w:val="auto"/>
          <w:sz w:val="24"/>
          <w:highlight w:val="none"/>
        </w:rPr>
      </w:pPr>
      <w:r>
        <w:rPr>
          <w:rFonts w:hint="eastAsia" w:ascii="宋体" w:hAnsi="宋体" w:cs="宋体"/>
          <w:b/>
          <w:color w:val="auto"/>
          <w:sz w:val="28"/>
          <w:szCs w:val="28"/>
          <w:highlight w:val="none"/>
        </w:rPr>
        <w:br w:type="page"/>
      </w:r>
    </w:p>
    <w:p>
      <w:pPr>
        <w:snapToGrid w:val="0"/>
        <w:spacing w:line="360" w:lineRule="auto"/>
        <w:ind w:left="0" w:leftChars="0"/>
        <w:jc w:val="left"/>
        <w:rPr>
          <w:rFonts w:ascii="宋体" w:hAnsi="宋体" w:cs="宋体"/>
          <w:color w:val="auto"/>
          <w:sz w:val="24"/>
          <w:szCs w:val="24"/>
          <w:highlight w:val="none"/>
          <w:u w:val="single"/>
        </w:rPr>
      </w:pPr>
    </w:p>
    <w:p>
      <w:pPr>
        <w:pStyle w:val="6"/>
        <w:ind w:firstLine="0"/>
        <w:rPr>
          <w:rFonts w:ascii="宋体" w:hAnsi="宋体" w:cs="宋体"/>
          <w:color w:val="auto"/>
          <w:sz w:val="24"/>
          <w:szCs w:val="24"/>
          <w:highlight w:val="none"/>
          <w:u w:val="single"/>
        </w:rPr>
      </w:pPr>
    </w:p>
    <w:p>
      <w:pPr>
        <w:rPr>
          <w:rFonts w:ascii="宋体" w:hAnsi="宋体" w:cs="宋体"/>
          <w:color w:val="auto"/>
          <w:sz w:val="24"/>
          <w:szCs w:val="24"/>
          <w:highlight w:val="none"/>
          <w:u w:val="single"/>
        </w:rPr>
      </w:pPr>
    </w:p>
    <w:p>
      <w:pPr>
        <w:pStyle w:val="6"/>
        <w:spacing w:line="360" w:lineRule="auto"/>
        <w:ind w:left="0" w:leftChars="0" w:firstLine="0" w:firstLineChars="0"/>
        <w:jc w:val="center"/>
        <w:rPr>
          <w:rFonts w:hint="eastAsia" w:ascii="宋体" w:hAnsi="宋体" w:cs="宋体"/>
          <w:b/>
          <w:bCs/>
          <w:color w:val="auto"/>
          <w:sz w:val="36"/>
          <w:szCs w:val="36"/>
          <w:highlight w:val="none"/>
          <w:u w:val="single"/>
        </w:rPr>
      </w:pPr>
      <w:r>
        <w:rPr>
          <w:rFonts w:hint="eastAsia" w:ascii="宋体" w:hAnsi="宋体" w:cs="宋体"/>
          <w:b/>
          <w:bCs/>
          <w:color w:val="auto"/>
          <w:sz w:val="36"/>
          <w:szCs w:val="36"/>
          <w:highlight w:val="none"/>
          <w:u w:val="single"/>
        </w:rPr>
        <w:t>现场答辩文件</w:t>
      </w:r>
    </w:p>
    <w:p>
      <w:pPr>
        <w:pStyle w:val="6"/>
        <w:spacing w:line="360" w:lineRule="auto"/>
        <w:ind w:left="0" w:leftChars="0" w:firstLine="0" w:firstLineChars="0"/>
        <w:jc w:val="center"/>
        <w:rPr>
          <w:rFonts w:hint="eastAsia" w:ascii="宋体" w:hAnsi="宋体" w:cs="宋体"/>
          <w:color w:val="auto"/>
          <w:sz w:val="24"/>
          <w:szCs w:val="24"/>
          <w:highlight w:val="none"/>
          <w:u w:val="single"/>
        </w:rPr>
      </w:pPr>
    </w:p>
    <w:p>
      <w:pPr>
        <w:pStyle w:val="6"/>
        <w:spacing w:line="360" w:lineRule="auto"/>
        <w:ind w:left="0" w:leftChars="0" w:firstLine="0" w:firstLineChars="0"/>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（按招标文件第二章附表</w:t>
      </w:r>
      <w:r>
        <w:rPr>
          <w:rFonts w:hint="eastAsia" w:ascii="宋体" w:hAnsi="宋体" w:cs="宋体"/>
          <w:color w:val="auto"/>
          <w:sz w:val="24"/>
          <w:szCs w:val="24"/>
          <w:highlight w:val="none"/>
          <w:u w:val="single"/>
          <w:lang w:eastAsia="zh-CN"/>
        </w:rPr>
        <w:t>四</w:t>
      </w:r>
      <w:r>
        <w:rPr>
          <w:rFonts w:hint="eastAsia" w:ascii="宋体" w:hAnsi="宋体" w:cs="宋体"/>
          <w:color w:val="auto"/>
          <w:sz w:val="24"/>
          <w:szCs w:val="24"/>
          <w:highlight w:val="none"/>
          <w:u w:val="single"/>
          <w:lang w:val="en-US" w:eastAsia="zh-CN"/>
        </w:rPr>
        <w:t>-1</w:t>
      </w:r>
      <w:r>
        <w:rPr>
          <w:rFonts w:hint="eastAsia" w:ascii="宋体" w:hAnsi="宋体" w:cs="宋体"/>
          <w:color w:val="auto"/>
          <w:sz w:val="24"/>
          <w:szCs w:val="24"/>
          <w:highlight w:val="none"/>
          <w:u w:val="single"/>
        </w:rPr>
        <w:t>《技术标（答辩）评分表》要求提交，格式自拟）。</w:t>
      </w:r>
    </w:p>
    <w:p>
      <w:pPr>
        <w:spacing w:line="360" w:lineRule="auto"/>
        <w:rPr>
          <w:rFonts w:ascii="宋体" w:hAnsi="宋体" w:cs="宋体"/>
          <w:color w:val="auto"/>
          <w:sz w:val="24"/>
          <w:szCs w:val="24"/>
          <w:highlight w:val="none"/>
          <w:u w:val="single"/>
        </w:rPr>
      </w:pPr>
    </w:p>
    <w:p>
      <w:pPr>
        <w:pStyle w:val="6"/>
        <w:rPr>
          <w:rFonts w:ascii="宋体" w:hAnsi="宋体" w:cs="宋体"/>
          <w:color w:val="auto"/>
          <w:sz w:val="24"/>
          <w:szCs w:val="24"/>
          <w:highlight w:val="none"/>
          <w:u w:val="single"/>
        </w:rPr>
      </w:pPr>
    </w:p>
    <w:p/>
    <w:p>
      <w:pPr>
        <w:snapToGrid w:val="0"/>
        <w:spacing w:line="360" w:lineRule="auto"/>
        <w:ind w:firstLine="3514" w:firstLineChars="1250"/>
        <w:rPr>
          <w:rFonts w:ascii="宋体" w:hAnsi="宋体" w:cs="宋体"/>
          <w:color w:val="auto"/>
          <w:sz w:val="24"/>
          <w:highlight w:val="none"/>
        </w:rPr>
      </w:pPr>
      <w:r>
        <w:rPr>
          <w:rFonts w:hint="eastAsia" w:ascii="宋体" w:hAnsi="宋体" w:cs="宋体"/>
          <w:b/>
          <w:color w:val="auto"/>
          <w:sz w:val="28"/>
          <w:szCs w:val="28"/>
          <w:highlight w:val="none"/>
        </w:rPr>
        <w:br w:type="page"/>
      </w:r>
    </w:p>
    <w:p>
      <w:pPr>
        <w:pStyle w:val="45"/>
        <w:ind w:firstLine="0" w:firstLineChars="0"/>
        <w:rPr>
          <w:rFonts w:cs="宋体"/>
          <w:color w:val="auto"/>
          <w:highlight w:val="none"/>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rPr>
        <w:t>十：</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参与编制技术标投标文件人员名单</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470"/>
        <w:gridCol w:w="2520"/>
        <w:gridCol w:w="2415"/>
        <w:gridCol w:w="1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116" w:type="dxa"/>
            <w:gridSpan w:val="5"/>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263"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7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520"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2415"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c>
          <w:tcPr>
            <w:tcW w:w="1448" w:type="dxa"/>
            <w:tcBorders>
              <w:top w:val="single" w:color="auto" w:sz="4" w:space="0"/>
              <w:left w:val="single" w:color="auto" w:sz="4" w:space="0"/>
              <w:bottom w:val="single" w:color="auto" w:sz="4" w:space="0"/>
              <w:right w:val="single" w:color="auto" w:sz="4" w:space="0"/>
            </w:tcBorders>
            <w:noWrap/>
            <w:vAlign w:val="center"/>
          </w:tcPr>
          <w:p>
            <w:pPr>
              <w:tabs>
                <w:tab w:val="left" w:pos="720"/>
              </w:tabs>
              <w:snapToGrid w:val="0"/>
              <w:spacing w:line="360" w:lineRule="auto"/>
              <w:jc w:val="center"/>
              <w:rPr>
                <w:rFonts w:ascii="宋体" w:hAnsi="宋体" w:cs="宋体"/>
                <w:color w:val="auto"/>
                <w:szCs w:val="21"/>
                <w:highlight w:val="none"/>
              </w:rPr>
            </w:pPr>
          </w:p>
        </w:tc>
      </w:tr>
    </w:tbl>
    <w:p>
      <w:pPr>
        <w:autoSpaceDE w:val="0"/>
        <w:autoSpaceDN w:val="0"/>
        <w:adjustRightInd w:val="0"/>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注：</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参与编制技术标书所有人员名单应包括如编制技术投标方案、负责清样校对、负责打印及复印等所有人员在内的人员名单。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2.上述人员须为投标单位人员，并须提供</w:t>
      </w:r>
      <w:r>
        <w:rPr>
          <w:rFonts w:hint="eastAsia" w:ascii="宋体" w:hAnsi="宋体" w:cs="宋体"/>
          <w:color w:val="auto"/>
          <w:sz w:val="24"/>
          <w:szCs w:val="24"/>
          <w:highlight w:val="none"/>
          <w:lang w:val="en-US" w:eastAsia="zh-CN"/>
        </w:rPr>
        <w:t>2025年2月或2025年3月</w:t>
      </w:r>
      <w:r>
        <w:rPr>
          <w:rFonts w:hint="eastAsia" w:ascii="宋体" w:hAnsi="宋体" w:eastAsia="宋体" w:cs="宋体"/>
          <w:color w:val="auto"/>
          <w:sz w:val="24"/>
          <w:szCs w:val="24"/>
          <w:highlight w:val="none"/>
          <w:lang w:val="en-US" w:eastAsia="zh-CN"/>
        </w:rPr>
        <w:t>有效社保证明</w:t>
      </w:r>
      <w:r>
        <w:rPr>
          <w:rFonts w:hint="eastAsia" w:ascii="宋体" w:hAnsi="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zh-CN"/>
        </w:rPr>
        <w:t>。</w:t>
      </w:r>
    </w:p>
    <w:p>
      <w:pPr>
        <w:pStyle w:val="25"/>
        <w:rPr>
          <w:color w:val="auto"/>
          <w:highlight w:val="none"/>
        </w:rPr>
      </w:pPr>
    </w:p>
    <w:p>
      <w:pPr>
        <w:rPr>
          <w:rFonts w:ascii="宋体" w:hAnsi="宋体" w:cs="宋体"/>
          <w:color w:val="auto"/>
          <w:sz w:val="24"/>
          <w:szCs w:val="24"/>
          <w:highlight w:val="none"/>
        </w:rPr>
      </w:pPr>
      <w:r>
        <w:rPr>
          <w:rFonts w:hint="eastAsia" w:ascii="宋体" w:hAnsi="宋体" w:cs="宋体"/>
          <w:color w:val="auto"/>
          <w:sz w:val="24"/>
          <w:szCs w:val="24"/>
          <w:highlight w:val="none"/>
        </w:rPr>
        <w:br w:type="page"/>
      </w:r>
    </w:p>
    <w:p>
      <w:pPr>
        <w:pStyle w:val="45"/>
        <w:ind w:firstLine="0" w:firstLineChars="0"/>
        <w:rPr>
          <w:rFonts w:cs="宋体"/>
          <w:color w:val="auto"/>
          <w:highlight w:val="none"/>
        </w:rPr>
      </w:pPr>
      <w:r>
        <w:rPr>
          <w:rFonts w:hint="eastAsia" w:cs="宋体"/>
          <w:color w:val="auto"/>
          <w:highlight w:val="none"/>
        </w:rPr>
        <w:t>技术标</w:t>
      </w:r>
      <w:r>
        <w:rPr>
          <w:rFonts w:hint="eastAsia" w:cs="宋体"/>
          <w:bCs/>
          <w:color w:val="auto"/>
          <w:kern w:val="0"/>
          <w:highlight w:val="none"/>
        </w:rPr>
        <w:t>格式</w:t>
      </w:r>
      <w:r>
        <w:rPr>
          <w:rFonts w:hint="eastAsia" w:cs="宋体"/>
          <w:color w:val="auto"/>
          <w:highlight w:val="none"/>
        </w:rPr>
        <w:t>十</w:t>
      </w:r>
      <w:r>
        <w:rPr>
          <w:rFonts w:hint="eastAsia" w:cs="宋体"/>
          <w:color w:val="auto"/>
          <w:highlight w:val="none"/>
          <w:lang w:eastAsia="zh-CN"/>
        </w:rPr>
        <w:t>一</w:t>
      </w:r>
      <w:r>
        <w:rPr>
          <w:rFonts w:hint="eastAsia" w:cs="宋体"/>
          <w:color w:val="auto"/>
          <w:highlight w:val="none"/>
        </w:rPr>
        <w:t>：</w:t>
      </w:r>
    </w:p>
    <w:p>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拟投入本工程施工的主要机械设备配备表</w:t>
      </w:r>
    </w:p>
    <w:tbl>
      <w:tblPr>
        <w:tblStyle w:val="31"/>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02"/>
        <w:gridCol w:w="3123"/>
        <w:gridCol w:w="1841"/>
        <w:gridCol w:w="2059"/>
        <w:gridCol w:w="1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序号</w:t>
            </w: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设备名称</w:t>
            </w: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投入总数量</w:t>
            </w: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来源(自有/租赁)</w:t>
            </w: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r>
              <w:rPr>
                <w:rFonts w:hint="eastAsia" w:ascii="宋体" w:hAnsi="宋体" w:cs="宋体"/>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6" w:hRule="atLeast"/>
          <w:jc w:val="center"/>
        </w:trPr>
        <w:tc>
          <w:tcPr>
            <w:tcW w:w="1002"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3123"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841"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205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c>
          <w:tcPr>
            <w:tcW w:w="1228" w:type="dxa"/>
            <w:tcBorders>
              <w:top w:val="single" w:color="auto" w:sz="4" w:space="0"/>
              <w:left w:val="single" w:color="auto" w:sz="4" w:space="0"/>
              <w:right w:val="single" w:color="auto" w:sz="4" w:space="0"/>
            </w:tcBorders>
            <w:noWrap/>
            <w:vAlign w:val="center"/>
          </w:tcPr>
          <w:p>
            <w:pPr>
              <w:snapToGrid w:val="0"/>
              <w:spacing w:line="360" w:lineRule="auto"/>
              <w:jc w:val="center"/>
              <w:textAlignment w:val="center"/>
              <w:rPr>
                <w:rFonts w:ascii="宋体" w:hAnsi="宋体" w:cs="宋体"/>
                <w:color w:val="auto"/>
                <w:szCs w:val="21"/>
                <w:highlight w:val="none"/>
              </w:rPr>
            </w:pPr>
          </w:p>
        </w:tc>
      </w:tr>
    </w:tbl>
    <w:p>
      <w:pPr>
        <w:numPr>
          <w:ilvl w:val="255"/>
          <w:numId w:val="0"/>
        </w:numPr>
        <w:tabs>
          <w:tab w:val="left" w:pos="720"/>
        </w:tabs>
        <w:snapToGrid w:val="0"/>
        <w:spacing w:line="360" w:lineRule="auto"/>
        <w:rPr>
          <w:rFonts w:ascii="宋体" w:hAnsi="宋体" w:cs="宋体"/>
          <w:color w:val="auto"/>
          <w:highlight w:val="none"/>
        </w:rPr>
      </w:pPr>
      <w:r>
        <w:rPr>
          <w:rFonts w:hint="eastAsia" w:ascii="宋体" w:hAnsi="宋体" w:cs="宋体"/>
          <w:color w:val="auto"/>
          <w:highlight w:val="none"/>
        </w:rPr>
        <w:t>注：1、设备名称及要求数量由投标人视本工程具体情况结合招标人对本工程的具体要求自行配备。2、为贯彻绿色发展理念，本项目应积极使用燃料电池汽车等新能源工程车，要求投标人投入的新能源工程车占投入的建筑垃圾自卸车（渣土车）总数比例不低于40%。一旦中标，必须全部到位，否则按合同违约处理</w:t>
      </w:r>
      <w:r>
        <w:rPr>
          <w:rFonts w:hint="eastAsia" w:ascii="宋体" w:hAnsi="宋体" w:cs="宋体"/>
          <w:color w:val="auto"/>
          <w:sz w:val="24"/>
          <w:szCs w:val="24"/>
          <w:highlight w:val="none"/>
        </w:rPr>
        <w:t>。</w:t>
      </w:r>
    </w:p>
    <w:p>
      <w:pPr>
        <w:snapToGrid w:val="0"/>
        <w:spacing w:line="360" w:lineRule="auto"/>
        <w:ind w:right="-130" w:rightChars="-62"/>
        <w:rPr>
          <w:rFonts w:ascii="宋体" w:hAnsi="宋体" w:cs="宋体"/>
          <w:color w:val="auto"/>
          <w:highlight w:val="none"/>
        </w:rPr>
      </w:pPr>
    </w:p>
    <w:p>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p>
    <w:p>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投标人（盖章）：</w:t>
      </w:r>
    </w:p>
    <w:p>
      <w:pPr>
        <w:topLinePunct/>
        <w:adjustRightInd w:val="0"/>
        <w:snapToGrid w:val="0"/>
        <w:spacing w:line="360" w:lineRule="auto"/>
        <w:ind w:firstLine="3161" w:firstLineChars="1450"/>
        <w:rPr>
          <w:rFonts w:ascii="宋体" w:hAnsi="宋体" w:cs="宋体"/>
          <w:snapToGrid w:val="0"/>
          <w:color w:val="auto"/>
          <w:spacing w:val="4"/>
          <w:kern w:val="0"/>
          <w:szCs w:val="21"/>
          <w:highlight w:val="none"/>
        </w:rPr>
      </w:pPr>
      <w:r>
        <w:rPr>
          <w:rFonts w:hint="eastAsia" w:ascii="宋体" w:hAnsi="宋体" w:cs="宋体"/>
          <w:snapToGrid w:val="0"/>
          <w:color w:val="auto"/>
          <w:spacing w:val="4"/>
          <w:kern w:val="0"/>
          <w:szCs w:val="21"/>
          <w:highlight w:val="none"/>
        </w:rPr>
        <w:t>日期：</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年</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月</w:t>
      </w:r>
      <w:r>
        <w:rPr>
          <w:rFonts w:hint="eastAsia" w:ascii="宋体" w:hAnsi="宋体" w:cs="宋体"/>
          <w:snapToGrid w:val="0"/>
          <w:color w:val="auto"/>
          <w:spacing w:val="4"/>
          <w:kern w:val="0"/>
          <w:szCs w:val="21"/>
          <w:highlight w:val="none"/>
          <w:lang w:val="en-US" w:eastAsia="zh-CN"/>
        </w:rPr>
        <w:t xml:space="preserve">   </w:t>
      </w:r>
      <w:r>
        <w:rPr>
          <w:rFonts w:hint="eastAsia" w:ascii="宋体" w:hAnsi="宋体" w:cs="宋体"/>
          <w:snapToGrid w:val="0"/>
          <w:color w:val="auto"/>
          <w:spacing w:val="4"/>
          <w:kern w:val="0"/>
          <w:szCs w:val="21"/>
          <w:highlight w:val="none"/>
        </w:rPr>
        <w:t>日</w:t>
      </w:r>
    </w:p>
    <w:p>
      <w:pPr>
        <w:snapToGrid w:val="0"/>
        <w:spacing w:line="360" w:lineRule="auto"/>
        <w:ind w:right="-130" w:rightChars="-62"/>
        <w:rPr>
          <w:rFonts w:ascii="宋体" w:hAnsi="宋体" w:cs="宋体"/>
          <w:color w:val="auto"/>
          <w:highlight w:val="none"/>
        </w:rPr>
      </w:pPr>
    </w:p>
    <w:p>
      <w:pPr>
        <w:snapToGrid w:val="0"/>
        <w:spacing w:line="360" w:lineRule="auto"/>
        <w:ind w:right="-130" w:rightChars="-62"/>
        <w:rPr>
          <w:rFonts w:ascii="宋体" w:hAnsi="宋体" w:cs="宋体"/>
          <w:color w:val="auto"/>
          <w:highlight w:val="none"/>
        </w:rPr>
      </w:pPr>
    </w:p>
    <w:p>
      <w:pPr>
        <w:rPr>
          <w:rFonts w:ascii="宋体" w:hAnsi="宋体" w:cs="宋体"/>
          <w:bCs/>
          <w:color w:val="auto"/>
          <w:kern w:val="0"/>
          <w:highlight w:val="none"/>
        </w:rPr>
      </w:pPr>
      <w:bookmarkStart w:id="44" w:name="_Toc22483"/>
      <w:r>
        <w:rPr>
          <w:rFonts w:hint="eastAsia" w:ascii="宋体" w:hAnsi="宋体" w:cs="宋体"/>
          <w:bCs/>
          <w:color w:val="auto"/>
          <w:kern w:val="0"/>
          <w:highlight w:val="none"/>
        </w:rPr>
        <w:br w:type="page"/>
      </w:r>
    </w:p>
    <w:p>
      <w:pPr>
        <w:pStyle w:val="45"/>
        <w:ind w:firstLine="0" w:firstLineChars="0"/>
        <w:rPr>
          <w:rFonts w:cs="宋体"/>
          <w:bCs/>
          <w:color w:val="auto"/>
          <w:kern w:val="0"/>
          <w:highlight w:val="none"/>
        </w:rPr>
      </w:pPr>
      <w:r>
        <w:rPr>
          <w:rFonts w:hint="eastAsia" w:cs="宋体"/>
          <w:bCs/>
          <w:color w:val="auto"/>
          <w:kern w:val="0"/>
          <w:highlight w:val="none"/>
        </w:rPr>
        <w:t>技术标格式十三：</w:t>
      </w:r>
    </w:p>
    <w:p>
      <w:pPr>
        <w:spacing w:line="360" w:lineRule="auto"/>
        <w:jc w:val="center"/>
        <w:rPr>
          <w:rFonts w:hint="eastAsia"/>
          <w:b/>
          <w:bCs/>
          <w:color w:val="auto"/>
          <w:sz w:val="24"/>
          <w:szCs w:val="28"/>
          <w:highlight w:val="none"/>
        </w:rPr>
      </w:pPr>
      <w:r>
        <w:rPr>
          <w:rFonts w:hint="eastAsia"/>
          <w:b/>
          <w:bCs/>
          <w:color w:val="auto"/>
          <w:sz w:val="24"/>
          <w:szCs w:val="28"/>
          <w:highlight w:val="none"/>
        </w:rPr>
        <w:t>危险性较大的分部分项工程安全管理措施</w:t>
      </w:r>
      <w:bookmarkEnd w:id="44"/>
    </w:p>
    <w:p>
      <w:pPr>
        <w:pStyle w:val="6"/>
      </w:pPr>
    </w:p>
    <w:p>
      <w:pPr>
        <w:widowControl/>
        <w:numPr>
          <w:ilvl w:val="0"/>
          <w:numId w:val="8"/>
        </w:numPr>
        <w:autoSpaceDE w:val="0"/>
        <w:autoSpaceDN w:val="0"/>
        <w:adjustRightInd w:val="0"/>
        <w:snapToGrid w:val="0"/>
        <w:spacing w:line="360" w:lineRule="auto"/>
        <w:jc w:val="left"/>
        <w:rPr>
          <w:rFonts w:ascii="宋体" w:hAnsi="宋体" w:cs="宋体"/>
          <w:snapToGrid w:val="0"/>
          <w:color w:val="auto"/>
          <w:spacing w:val="4"/>
          <w:kern w:val="0"/>
          <w:sz w:val="22"/>
          <w:highlight w:val="none"/>
        </w:rPr>
      </w:pPr>
      <w:r>
        <w:rPr>
          <w:rFonts w:hint="eastAsia" w:ascii="宋体" w:hAnsi="宋体" w:cs="宋体"/>
          <w:color w:val="auto"/>
          <w:kern w:val="0"/>
          <w:sz w:val="22"/>
          <w:szCs w:val="24"/>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2"/>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color w:val="auto"/>
          <w:kern w:val="0"/>
          <w:sz w:val="22"/>
          <w:szCs w:val="32"/>
          <w:highlight w:val="none"/>
        </w:rPr>
        <w:t>√”标识。</w:t>
      </w:r>
    </w:p>
    <w:p>
      <w:pPr>
        <w:widowControl/>
        <w:numPr>
          <w:ilvl w:val="0"/>
          <w:numId w:val="9"/>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投标单位同意建设单位在清单中标识的该项请在对应项打“</w:t>
      </w:r>
      <w:r>
        <w:rPr>
          <w:rFonts w:hint="eastAsia" w:ascii="宋体" w:hAnsi="宋体" w:cs="宋体"/>
          <w:color w:val="auto"/>
          <w:kern w:val="0"/>
          <w:sz w:val="22"/>
          <w:szCs w:val="32"/>
          <w:highlight w:val="none"/>
        </w:rPr>
        <w:t>√”标识，并在投标文件中提供相应的安全管理措施。</w:t>
      </w:r>
    </w:p>
    <w:p>
      <w:pPr>
        <w:widowControl/>
        <w:numPr>
          <w:ilvl w:val="0"/>
          <w:numId w:val="9"/>
        </w:numPr>
        <w:autoSpaceDE w:val="0"/>
        <w:autoSpaceDN w:val="0"/>
        <w:adjustRightInd w:val="0"/>
        <w:snapToGrid w:val="0"/>
        <w:spacing w:line="360" w:lineRule="auto"/>
        <w:jc w:val="left"/>
        <w:rPr>
          <w:rFonts w:ascii="宋体" w:hAnsi="宋体" w:cs="宋体"/>
          <w:color w:val="auto"/>
          <w:kern w:val="0"/>
          <w:sz w:val="22"/>
          <w:szCs w:val="32"/>
          <w:highlight w:val="none"/>
        </w:rPr>
      </w:pPr>
      <w:r>
        <w:rPr>
          <w:rFonts w:hint="eastAsia" w:ascii="宋体" w:hAnsi="宋体" w:cs="宋体"/>
          <w:color w:val="auto"/>
          <w:kern w:val="0"/>
          <w:sz w:val="22"/>
          <w:szCs w:val="24"/>
          <w:highlight w:val="none"/>
        </w:rPr>
        <w:t>投标单位对清单中认为需要补充的该项请在对应项打“</w:t>
      </w:r>
      <w:r>
        <w:rPr>
          <w:rFonts w:hint="eastAsia" w:ascii="宋体" w:hAnsi="宋体" w:cs="宋体"/>
          <w:color w:val="auto"/>
          <w:kern w:val="0"/>
          <w:sz w:val="22"/>
          <w:szCs w:val="32"/>
          <w:highlight w:val="none"/>
        </w:rPr>
        <w:t>√”标识，并在投标文件中提供相应的安全管理措施。</w:t>
      </w:r>
    </w:p>
    <w:p>
      <w:pPr>
        <w:widowControl/>
        <w:numPr>
          <w:ilvl w:val="0"/>
          <w:numId w:val="9"/>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32"/>
          <w:highlight w:val="none"/>
        </w:rPr>
        <w:t>投标单位不同意建设单位</w:t>
      </w:r>
      <w:r>
        <w:rPr>
          <w:rFonts w:hint="eastAsia" w:ascii="宋体" w:hAnsi="宋体" w:cs="宋体"/>
          <w:color w:val="auto"/>
          <w:kern w:val="0"/>
          <w:sz w:val="22"/>
          <w:szCs w:val="24"/>
          <w:highlight w:val="none"/>
        </w:rPr>
        <w:t>在清单中标识的该项</w:t>
      </w:r>
      <w:r>
        <w:rPr>
          <w:rFonts w:hint="eastAsia" w:ascii="宋体" w:hAnsi="宋体" w:cs="宋体"/>
          <w:color w:val="auto"/>
          <w:kern w:val="0"/>
          <w:sz w:val="22"/>
          <w:szCs w:val="32"/>
          <w:highlight w:val="none"/>
        </w:rPr>
        <w:t>请在对应项打“×”标识，并在备注栏填上相关说明。</w:t>
      </w:r>
    </w:p>
    <w:p>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投标单位应当在投标时根据招标人提供的下述第5点清单，在投标文件中编制专项施工方案。</w:t>
      </w:r>
    </w:p>
    <w:p>
      <w:pPr>
        <w:widowControl/>
        <w:numPr>
          <w:ilvl w:val="0"/>
          <w:numId w:val="8"/>
        </w:numPr>
        <w:autoSpaceDE w:val="0"/>
        <w:autoSpaceDN w:val="0"/>
        <w:adjustRightInd w:val="0"/>
        <w:snapToGrid w:val="0"/>
        <w:spacing w:line="360" w:lineRule="auto"/>
        <w:jc w:val="left"/>
        <w:rPr>
          <w:rFonts w:ascii="宋体" w:hAnsi="宋体" w:cs="宋体"/>
          <w:color w:val="auto"/>
          <w:kern w:val="0"/>
          <w:sz w:val="22"/>
          <w:szCs w:val="24"/>
          <w:highlight w:val="none"/>
        </w:rPr>
      </w:pPr>
      <w:r>
        <w:rPr>
          <w:rFonts w:hint="eastAsia" w:ascii="宋体" w:hAnsi="宋体" w:cs="宋体"/>
          <w:color w:val="auto"/>
          <w:kern w:val="0"/>
          <w:sz w:val="22"/>
          <w:szCs w:val="24"/>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numPr>
          <w:ilvl w:val="255"/>
          <w:numId w:val="0"/>
        </w:numPr>
        <w:autoSpaceDE w:val="0"/>
        <w:autoSpaceDN w:val="0"/>
        <w:adjustRightInd w:val="0"/>
        <w:snapToGrid w:val="0"/>
        <w:spacing w:line="360" w:lineRule="auto"/>
        <w:jc w:val="left"/>
        <w:rPr>
          <w:rFonts w:ascii="宋体" w:hAnsi="宋体" w:cs="宋体"/>
          <w:color w:val="auto"/>
          <w:sz w:val="24"/>
          <w:szCs w:val="28"/>
          <w:highlight w:val="none"/>
        </w:rPr>
      </w:pPr>
      <w:r>
        <w:rPr>
          <w:rFonts w:hint="eastAsia" w:ascii="宋体" w:hAnsi="宋体" w:cs="宋体"/>
          <w:color w:val="auto"/>
          <w:kern w:val="0"/>
          <w:sz w:val="22"/>
          <w:szCs w:val="24"/>
          <w:highlight w:val="none"/>
        </w:rPr>
        <w:t>5、危险性较大的分部分项工程清单及超过一定规模的危险性较大的分部分项工程清单</w:t>
      </w:r>
    </w:p>
    <w:tbl>
      <w:tblPr>
        <w:tblStyle w:val="31"/>
        <w:tblW w:w="88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12"/>
        <w:gridCol w:w="1361"/>
        <w:gridCol w:w="1361"/>
        <w:gridCol w:w="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vAlign w:val="center"/>
          </w:tcPr>
          <w:p>
            <w:pPr>
              <w:widowControl/>
              <w:snapToGrid w:val="0"/>
              <w:spacing w:line="360" w:lineRule="auto"/>
              <w:jc w:val="center"/>
              <w:rPr>
                <w:rFonts w:ascii="宋体" w:hAnsi="宋体" w:cs="宋体"/>
                <w:b/>
                <w:color w:val="auto"/>
                <w:kern w:val="0"/>
                <w:sz w:val="24"/>
                <w:szCs w:val="20"/>
                <w:highlight w:val="none"/>
              </w:rPr>
            </w:pPr>
            <w:r>
              <w:rPr>
                <w:rFonts w:hint="eastAsia" w:ascii="宋体" w:hAnsi="宋体" w:cs="宋体"/>
                <w:b/>
                <w:color w:val="auto"/>
                <w:kern w:val="0"/>
                <w:sz w:val="24"/>
                <w:szCs w:val="20"/>
                <w:highlight w:val="none"/>
              </w:rPr>
              <w:t>一、危险性较大的分部分项工程清单</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建设单位</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投标单位</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一、基坑工程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（一）开挖深度超过3m（含3m）的基坑（槽）的土方开挖、支护、降水工程。</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ascii="宋体" w:hAnsi="宋体" w:cs="宋体"/>
                <w:color w:val="auto"/>
                <w:kern w:val="0"/>
                <w:sz w:val="24"/>
                <w:szCs w:val="36"/>
                <w:highlight w:val="none"/>
              </w:rPr>
              <w:t xml:space="preserve">( </w:t>
            </w:r>
            <w:r>
              <w:rPr>
                <w:rFonts w:hint="eastAsia" w:ascii="宋体" w:hAnsi="宋体" w:cs="宋体"/>
                <w:color w:val="auto"/>
                <w:kern w:val="0"/>
                <w:sz w:val="24"/>
                <w:szCs w:val="36"/>
                <w:highlight w:val="none"/>
                <w:lang w:val="en-US" w:eastAsia="zh-CN"/>
              </w:rPr>
              <w:t xml:space="preserve">  </w:t>
            </w:r>
            <w:r>
              <w:rPr>
                <w:rFonts w:ascii="宋体" w:hAnsi="宋体" w:cs="宋体"/>
                <w:color w:val="auto"/>
                <w:kern w:val="0"/>
                <w:sz w:val="24"/>
                <w:szCs w:val="36"/>
                <w:highlight w:val="none"/>
              </w:rPr>
              <w:t>)</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（二）开挖深度虽未超过3m，但地质条件、周围环境和地下管线复杂，或影响毗邻建、构筑物安全的基坑（槽）的土方开挖、支护、降水工程。</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xml:space="preserve">( </w:t>
            </w:r>
            <w:r>
              <w:rPr>
                <w:rFonts w:hint="eastAsia" w:ascii="宋体" w:hAnsi="宋体" w:cs="宋体"/>
                <w:color w:val="auto"/>
                <w:kern w:val="0"/>
                <w:sz w:val="24"/>
                <w:szCs w:val="36"/>
                <w:highlight w:val="none"/>
                <w:lang w:val="en-US" w:eastAsia="zh-CN"/>
              </w:rPr>
              <w:t xml:space="preserve">  </w:t>
            </w:r>
            <w:r>
              <w:rPr>
                <w:rFonts w:hint="eastAsia" w:ascii="宋体" w:hAnsi="宋体" w:cs="宋体"/>
                <w:color w:val="auto"/>
                <w:kern w:val="0"/>
                <w:sz w:val="24"/>
                <w:szCs w:val="36"/>
                <w:highlight w:val="none"/>
              </w:rPr>
              <w:t>)</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二、模板工程及支撑体系</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（一）各类工具式模板工程：包括滑模、爬模、飞模、隧道模等工程。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w:t>
            </w:r>
            <w:r>
              <w:rPr>
                <w:rFonts w:hint="eastAsia" w:ascii="宋体" w:hAnsi="宋体" w:cs="宋体"/>
                <w:color w:val="auto"/>
                <w:kern w:val="0"/>
                <w:sz w:val="24"/>
                <w:szCs w:val="36"/>
                <w:highlight w:val="none"/>
                <w:lang w:val="en-US" w:eastAsia="zh-CN"/>
              </w:rPr>
              <w:t xml:space="preserve">  </w:t>
            </w:r>
            <w:r>
              <w:rPr>
                <w:rFonts w:hint="eastAsia" w:ascii="宋体" w:hAnsi="宋体" w:cs="宋体"/>
                <w:color w:val="auto"/>
                <w:kern w:val="0"/>
                <w:sz w:val="24"/>
                <w:szCs w:val="36"/>
                <w:highlight w:val="none"/>
              </w:rPr>
              <w:t xml:space="preserve">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（三）承重支撑体系：用于钢结构安装等满堂支撑体系。</w:t>
            </w:r>
          </w:p>
        </w:tc>
        <w:tc>
          <w:tcPr>
            <w:tcW w:w="1361" w:type="dxa"/>
            <w:noWrap/>
            <w:vAlign w:val="center"/>
          </w:tcPr>
          <w:p>
            <w:pPr>
              <w:widowControl/>
              <w:snapToGrid w:val="0"/>
              <w:spacing w:line="360" w:lineRule="auto"/>
              <w:jc w:val="center"/>
              <w:rPr>
                <w:rFonts w:ascii="宋体" w:hAnsi="宋体" w:cs="宋体"/>
                <w:color w:val="auto"/>
                <w:kern w:val="0"/>
                <w:sz w:val="20"/>
                <w:szCs w:val="20"/>
                <w:highlight w:val="none"/>
              </w:rPr>
            </w:pPr>
            <w:r>
              <w:rPr>
                <w:rFonts w:hint="eastAsia" w:ascii="宋体" w:hAnsi="宋体" w:cs="宋体"/>
                <w:color w:val="auto"/>
                <w:kern w:val="0"/>
                <w:sz w:val="24"/>
                <w:szCs w:val="36"/>
                <w:highlight w:val="none"/>
              </w:rPr>
              <w:t>(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三、起重吊装及起重机械安装拆卸工程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（一）采用非常规起重设备、方法，且单件起吊重量在10kN及以上的起重吊装工程。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eastAsia" w:ascii="宋体" w:hAnsi="宋体" w:cs="宋体"/>
                <w:color w:val="auto"/>
                <w:kern w:val="0"/>
                <w:sz w:val="24"/>
                <w:szCs w:val="36"/>
                <w:highlight w:val="none"/>
                <w:lang w:val="en-US" w:eastAsia="zh-CN"/>
              </w:rPr>
              <w:t xml:space="preserve"> </w:t>
            </w:r>
            <w:r>
              <w:rPr>
                <w:rFonts w:hint="eastAsia" w:ascii="宋体" w:hAnsi="宋体" w:cs="宋体"/>
                <w:color w:val="auto"/>
                <w:kern w:val="0"/>
                <w:sz w:val="24"/>
                <w:szCs w:val="36"/>
                <w:highlight w:val="none"/>
              </w:rPr>
              <w:t xml:space="preserve">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（二）采用起重机械进行安装的工程。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ascii="宋体" w:hAnsi="宋体" w:cs="宋体"/>
                <w:color w:val="auto"/>
                <w:kern w:val="0"/>
                <w:sz w:val="24"/>
                <w:szCs w:val="36"/>
                <w:highlight w:val="none"/>
              </w:rPr>
              <w:t xml:space="preserve">( </w:t>
            </w:r>
            <w:r>
              <w:rPr>
                <w:rFonts w:hint="eastAsia" w:ascii="Arial" w:hAnsi="Arial" w:cs="Arial"/>
                <w:color w:val="auto"/>
                <w:kern w:val="0"/>
                <w:sz w:val="24"/>
                <w:szCs w:val="36"/>
                <w:highlight w:val="none"/>
              </w:rPr>
              <w:t>√</w:t>
            </w:r>
            <w:r>
              <w:rPr>
                <w:rFonts w:ascii="宋体" w:hAnsi="宋体" w:cs="宋体"/>
                <w:color w:val="auto"/>
                <w:kern w:val="0"/>
                <w:sz w:val="24"/>
                <w:szCs w:val="36"/>
                <w:highlight w:val="none"/>
              </w:rPr>
              <w:t xml:space="preserve">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2" w:type="dxa"/>
            <w:noWrap/>
          </w:tcPr>
          <w:p>
            <w:pPr>
              <w:widowControl/>
              <w:snapToGrid w:val="0"/>
              <w:spacing w:line="360" w:lineRule="auto"/>
              <w:jc w:val="left"/>
              <w:rPr>
                <w:rFonts w:ascii="宋体" w:hAnsi="宋体" w:cs="宋体"/>
                <w:color w:val="auto"/>
                <w:kern w:val="0"/>
                <w:sz w:val="24"/>
                <w:szCs w:val="20"/>
                <w:highlight w:val="none"/>
              </w:rPr>
            </w:pPr>
            <w:r>
              <w:rPr>
                <w:rFonts w:hint="eastAsia" w:ascii="宋体" w:hAnsi="宋体" w:cs="宋体"/>
                <w:color w:val="auto"/>
                <w:kern w:val="0"/>
                <w:sz w:val="24"/>
                <w:szCs w:val="20"/>
                <w:highlight w:val="none"/>
              </w:rPr>
              <w:t>（三）起重机械安装和拆卸工程。</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xml:space="preserve">( </w:t>
            </w:r>
            <w:r>
              <w:rPr>
                <w:rFonts w:hint="eastAsia" w:ascii="宋体" w:hAnsi="宋体" w:cs="宋体"/>
                <w:color w:val="auto"/>
                <w:kern w:val="0"/>
                <w:sz w:val="24"/>
                <w:szCs w:val="36"/>
                <w:highlight w:val="none"/>
                <w:lang w:val="en-US" w:eastAsia="zh-CN"/>
              </w:rPr>
              <w:t xml:space="preserve"> </w:t>
            </w:r>
            <w:r>
              <w:rPr>
                <w:rFonts w:hint="eastAsia" w:ascii="宋体" w:hAnsi="宋体" w:cs="宋体"/>
                <w:color w:val="auto"/>
                <w:kern w:val="0"/>
                <w:sz w:val="24"/>
                <w:szCs w:val="36"/>
                <w:highlight w:val="none"/>
              </w:rPr>
              <w:t xml:space="preserve"> )</w:t>
            </w:r>
          </w:p>
        </w:tc>
        <w:tc>
          <w:tcPr>
            <w:tcW w:w="1361" w:type="dxa"/>
            <w:noWrap/>
            <w:vAlign w:val="center"/>
          </w:tcPr>
          <w:p>
            <w:pPr>
              <w:widowControl/>
              <w:snapToGrid w:val="0"/>
              <w:spacing w:line="360" w:lineRule="auto"/>
              <w:jc w:val="center"/>
              <w:rPr>
                <w:rFonts w:ascii="宋体" w:hAnsi="宋体" w:cs="宋体"/>
                <w:color w:val="auto"/>
                <w:kern w:val="0"/>
                <w:sz w:val="24"/>
                <w:szCs w:val="36"/>
                <w:highlight w:val="none"/>
              </w:rPr>
            </w:pPr>
            <w:r>
              <w:rPr>
                <w:rFonts w:hint="eastAsia" w:ascii="宋体" w:hAnsi="宋体" w:cs="宋体"/>
                <w:color w:val="auto"/>
                <w:kern w:val="0"/>
                <w:sz w:val="24"/>
                <w:szCs w:val="36"/>
                <w:highlight w:val="none"/>
              </w:rPr>
              <w:t>(    )</w:t>
            </w:r>
          </w:p>
        </w:tc>
        <w:tc>
          <w:tcPr>
            <w:tcW w:w="989" w:type="dxa"/>
            <w:noWrap/>
            <w:vAlign w:val="center"/>
          </w:tcPr>
          <w:p>
            <w:pPr>
              <w:widowControl/>
              <w:snapToGrid w:val="0"/>
              <w:spacing w:line="360" w:lineRule="auto"/>
              <w:jc w:val="center"/>
              <w:rPr>
                <w:rFonts w:ascii="宋体" w:hAnsi="宋体" w:cs="宋体"/>
                <w:color w:val="auto"/>
                <w:kern w:val="0"/>
                <w:sz w:val="24"/>
                <w:szCs w:val="36"/>
                <w:highlight w:val="none"/>
              </w:rPr>
            </w:pPr>
          </w:p>
        </w:tc>
      </w:tr>
    </w:tbl>
    <w:p>
      <w:pPr>
        <w:topLinePunct/>
        <w:adjustRightInd w:val="0"/>
        <w:snapToGrid w:val="0"/>
        <w:spacing w:line="360" w:lineRule="auto"/>
        <w:ind w:firstLine="436" w:firstLineChars="200"/>
        <w:rPr>
          <w:rFonts w:ascii="宋体" w:hAnsi="宋体" w:cs="宋体"/>
          <w:color w:val="auto"/>
          <w:spacing w:val="4"/>
          <w:kern w:val="0"/>
          <w:szCs w:val="21"/>
          <w:highlight w:val="none"/>
        </w:rPr>
      </w:pPr>
    </w:p>
    <w:p>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投标人名称（盖法人公章）：</w:t>
      </w:r>
    </w:p>
    <w:p>
      <w:pPr>
        <w:snapToGrid w:val="0"/>
        <w:spacing w:line="360" w:lineRule="auto"/>
        <w:ind w:firstLine="4320" w:firstLineChars="1800"/>
        <w:rPr>
          <w:rFonts w:ascii="宋体" w:hAnsi="宋体" w:cs="宋体"/>
          <w:color w:val="auto"/>
          <w:sz w:val="24"/>
          <w:szCs w:val="20"/>
          <w:highlight w:val="none"/>
        </w:rPr>
      </w:pPr>
      <w:r>
        <w:rPr>
          <w:rFonts w:hint="eastAsia" w:ascii="宋体" w:hAnsi="宋体" w:cs="宋体"/>
          <w:color w:val="auto"/>
          <w:sz w:val="24"/>
          <w:szCs w:val="20"/>
          <w:highlight w:val="none"/>
        </w:rPr>
        <w:t>日期：</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年</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月</w:t>
      </w:r>
      <w:r>
        <w:rPr>
          <w:rFonts w:hint="eastAsia" w:ascii="宋体" w:hAnsi="宋体" w:cs="宋体"/>
          <w:color w:val="auto"/>
          <w:sz w:val="24"/>
          <w:szCs w:val="20"/>
          <w:highlight w:val="none"/>
          <w:lang w:val="en-US" w:eastAsia="zh-CN"/>
        </w:rPr>
        <w:t xml:space="preserve">   </w:t>
      </w:r>
      <w:r>
        <w:rPr>
          <w:rFonts w:hint="eastAsia" w:ascii="宋体" w:hAnsi="宋体" w:cs="宋体"/>
          <w:color w:val="auto"/>
          <w:sz w:val="24"/>
          <w:szCs w:val="20"/>
          <w:highlight w:val="none"/>
        </w:rPr>
        <w:t>日</w:t>
      </w:r>
    </w:p>
    <w:p>
      <w:pPr>
        <w:snapToGrid w:val="0"/>
        <w:spacing w:line="360" w:lineRule="auto"/>
        <w:ind w:right="-130" w:rightChars="-62"/>
        <w:rPr>
          <w:rFonts w:ascii="宋体" w:hAnsi="宋体" w:cs="宋体"/>
          <w:color w:val="auto"/>
          <w:highlight w:val="none"/>
        </w:rPr>
      </w:pPr>
    </w:p>
    <w:p>
      <w:pPr>
        <w:autoSpaceDE w:val="0"/>
        <w:autoSpaceDN w:val="0"/>
        <w:adjustRightInd w:val="0"/>
        <w:snapToGrid w:val="0"/>
        <w:spacing w:line="360" w:lineRule="auto"/>
        <w:jc w:val="center"/>
        <w:rPr>
          <w:rFonts w:ascii="宋体" w:hAnsi="宋体" w:cs="宋体"/>
          <w:color w:val="auto"/>
          <w:sz w:val="32"/>
          <w:szCs w:val="32"/>
          <w:highlight w:val="none"/>
        </w:rPr>
      </w:pPr>
      <w:bookmarkStart w:id="45" w:name="_Toc26315"/>
    </w:p>
    <w:p>
      <w:pPr>
        <w:rPr>
          <w:rFonts w:ascii="宋体" w:hAnsi="宋体" w:cs="宋体"/>
          <w:color w:val="auto"/>
          <w:sz w:val="32"/>
          <w:szCs w:val="32"/>
          <w:highlight w:val="none"/>
        </w:rPr>
      </w:pPr>
      <w:r>
        <w:rPr>
          <w:rFonts w:hint="eastAsia" w:ascii="宋体" w:hAnsi="宋体" w:cs="宋体"/>
          <w:color w:val="auto"/>
          <w:sz w:val="32"/>
          <w:szCs w:val="32"/>
          <w:highlight w:val="none"/>
        </w:rPr>
        <w:br w:type="page"/>
      </w:r>
    </w:p>
    <w:p>
      <w:pPr>
        <w:autoSpaceDE w:val="0"/>
        <w:autoSpaceDN w:val="0"/>
        <w:adjustRightInd w:val="0"/>
        <w:snapToGrid w:val="0"/>
        <w:spacing w:line="360" w:lineRule="auto"/>
        <w:ind w:firstLine="2240" w:firstLineChars="700"/>
        <w:rPr>
          <w:rFonts w:ascii="宋体" w:hAnsi="宋体" w:cs="宋体"/>
          <w:color w:val="auto"/>
          <w:sz w:val="32"/>
          <w:szCs w:val="32"/>
          <w:highlight w:val="none"/>
          <w:lang w:val="zh-CN"/>
        </w:rPr>
      </w:pPr>
      <w:r>
        <w:rPr>
          <w:rFonts w:hint="eastAsia" w:ascii="宋体" w:hAnsi="宋体" w:cs="宋体"/>
          <w:color w:val="auto"/>
          <w:sz w:val="32"/>
          <w:szCs w:val="32"/>
          <w:highlight w:val="none"/>
        </w:rPr>
        <w:t>二、经济标投标文件格式</w:t>
      </w:r>
      <w:bookmarkEnd w:id="45"/>
    </w:p>
    <w:p>
      <w:pPr>
        <w:widowControl/>
        <w:snapToGrid w:val="0"/>
        <w:spacing w:line="360" w:lineRule="auto"/>
        <w:jc w:val="left"/>
        <w:outlineLvl w:val="2"/>
        <w:rPr>
          <w:rFonts w:ascii="宋体" w:hAnsi="宋体" w:cs="宋体"/>
          <w:bCs/>
          <w:color w:val="auto"/>
          <w:spacing w:val="4"/>
          <w:sz w:val="24"/>
          <w:szCs w:val="24"/>
          <w:highlight w:val="none"/>
        </w:rPr>
      </w:pPr>
      <w:bookmarkStart w:id="46" w:name="_Toc16171"/>
    </w:p>
    <w:p>
      <w:pPr>
        <w:widowControl/>
        <w:snapToGrid w:val="0"/>
        <w:spacing w:line="360" w:lineRule="auto"/>
        <w:jc w:val="left"/>
        <w:outlineLvl w:val="2"/>
        <w:rPr>
          <w:rFonts w:ascii="宋体" w:hAnsi="宋体" w:cs="宋体"/>
          <w:b/>
          <w:bCs/>
          <w:color w:val="auto"/>
          <w:kern w:val="0"/>
          <w:sz w:val="44"/>
          <w:szCs w:val="44"/>
          <w:highlight w:val="none"/>
          <w:lang w:val="zh-CN"/>
        </w:rPr>
      </w:pPr>
      <w:r>
        <w:rPr>
          <w:rFonts w:hint="eastAsia" w:ascii="宋体" w:hAnsi="宋体" w:cs="宋体"/>
          <w:bCs/>
          <w:color w:val="auto"/>
          <w:spacing w:val="4"/>
          <w:sz w:val="24"/>
          <w:szCs w:val="24"/>
          <w:highlight w:val="none"/>
        </w:rPr>
        <w:t>经济标格式一：</w:t>
      </w:r>
      <w:bookmarkEnd w:id="46"/>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7" w:name="_Toc21286"/>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r>
        <w:rPr>
          <w:rFonts w:hint="eastAsia" w:ascii="宋体" w:hAnsi="宋体" w:cs="宋体"/>
          <w:b/>
          <w:bCs/>
          <w:color w:val="auto"/>
          <w:spacing w:val="4"/>
          <w:kern w:val="0"/>
          <w:sz w:val="36"/>
          <w:szCs w:val="36"/>
          <w:highlight w:val="none"/>
        </w:rPr>
        <w:t>广州建设工程施工招标投标书（经济标）</w:t>
      </w:r>
      <w:bookmarkEnd w:id="47"/>
    </w:p>
    <w:tbl>
      <w:tblPr>
        <w:tblStyle w:val="31"/>
        <w:tblW w:w="91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4"/>
        <w:gridCol w:w="5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3334"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投标总报价（元）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3334" w:type="dxa"/>
            <w:vMerge w:val="restart"/>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其中：</w:t>
            </w:r>
            <w:r>
              <w:rPr>
                <w:rFonts w:hint="eastAsia" w:ascii="宋体" w:hAnsi="宋体" w:cs="宋体"/>
                <w:bCs/>
                <w:color w:val="auto"/>
                <w:sz w:val="24"/>
                <w:szCs w:val="24"/>
                <w:highlight w:val="none"/>
                <w:lang w:val="zh-CN"/>
              </w:rPr>
              <w:t>人工费</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top w:val="single" w:color="auto" w:sz="4" w:space="0"/>
              <w:left w:val="single" w:color="auto" w:sz="4" w:space="0"/>
              <w:right w:val="single" w:color="auto" w:sz="4" w:space="0"/>
            </w:tcBorders>
            <w:noWrap/>
            <w:vAlign w:val="center"/>
          </w:tcPr>
          <w:p>
            <w:pPr>
              <w:widowControl/>
              <w:snapToGrid w:val="0"/>
              <w:jc w:val="left"/>
              <w:rPr>
                <w:rFonts w:ascii="宋体" w:hAnsi="宋体" w:cs="宋体"/>
                <w:b/>
                <w:color w:val="auto"/>
                <w:sz w:val="24"/>
                <w:szCs w:val="24"/>
                <w:highlight w:val="none"/>
                <w:lang w:val="zh-CN"/>
              </w:rPr>
            </w:pPr>
            <w:r>
              <w:rPr>
                <w:rFonts w:hint="eastAsia" w:ascii="宋体" w:hAnsi="宋体" w:cs="宋体"/>
                <w:bCs/>
                <w:color w:val="auto"/>
                <w:sz w:val="24"/>
                <w:szCs w:val="24"/>
                <w:highlight w:val="none"/>
                <w:lang w:val="zh-CN"/>
              </w:rPr>
              <w:t>其中：</w:t>
            </w:r>
            <w:r>
              <w:rPr>
                <w:rFonts w:hint="eastAsia" w:ascii="宋体" w:hAnsi="宋体" w:cs="宋体"/>
                <w:color w:val="auto"/>
                <w:sz w:val="24"/>
                <w:szCs w:val="24"/>
                <w:highlight w:val="none"/>
                <w:lang w:val="zh-CN"/>
              </w:rPr>
              <w:t>绿色施工安全防护措施费（元）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right w:val="single" w:color="auto" w:sz="4" w:space="0"/>
            </w:tcBorders>
            <w:noWrap/>
            <w:vAlign w:val="center"/>
          </w:tcPr>
          <w:p>
            <w:pPr>
              <w:widowControl/>
              <w:snapToGrid w:val="0"/>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restart"/>
            <w:tcBorders>
              <w:left w:val="single" w:color="auto" w:sz="4" w:space="0"/>
              <w:right w:val="single" w:color="auto" w:sz="4" w:space="0"/>
            </w:tcBorders>
            <w:noWrap/>
            <w:vAlign w:val="center"/>
          </w:tcPr>
          <w:p>
            <w:pPr>
              <w:widowControl/>
              <w:snapToGrid w:val="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其中：暂列金额</w:t>
            </w:r>
            <w:r>
              <w:rPr>
                <w:rFonts w:hint="eastAsia" w:ascii="宋体" w:hAnsi="宋体" w:cs="宋体"/>
                <w:color w:val="auto"/>
                <w:sz w:val="24"/>
                <w:szCs w:val="24"/>
                <w:highlight w:val="none"/>
                <w:lang w:val="zh-CN"/>
              </w:rPr>
              <w:t>（元）</w:t>
            </w: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3334" w:type="dxa"/>
            <w:vMerge w:val="continue"/>
            <w:tcBorders>
              <w:left w:val="single" w:color="auto" w:sz="4" w:space="0"/>
              <w:bottom w:val="single" w:color="auto" w:sz="4" w:space="0"/>
              <w:right w:val="single" w:color="auto" w:sz="4" w:space="0"/>
            </w:tcBorders>
            <w:noWrap/>
            <w:vAlign w:val="center"/>
          </w:tcPr>
          <w:p>
            <w:pPr>
              <w:widowControl/>
              <w:snapToGrid w:val="0"/>
              <w:spacing w:line="360" w:lineRule="auto"/>
              <w:jc w:val="left"/>
              <w:rPr>
                <w:rFonts w:ascii="宋体" w:hAnsi="宋体" w:cs="宋体"/>
                <w:bCs/>
                <w:color w:val="auto"/>
                <w:sz w:val="24"/>
                <w:szCs w:val="24"/>
                <w:highlight w:val="none"/>
                <w:lang w:val="zh-CN"/>
              </w:rPr>
            </w:pPr>
          </w:p>
        </w:tc>
        <w:tc>
          <w:tcPr>
            <w:tcW w:w="5858" w:type="dxa"/>
            <w:tcBorders>
              <w:top w:val="single" w:color="auto" w:sz="4" w:space="0"/>
              <w:left w:val="single" w:color="auto" w:sz="4" w:space="0"/>
              <w:bottom w:val="single" w:color="auto" w:sz="4" w:space="0"/>
              <w:right w:val="single" w:color="auto" w:sz="4" w:space="0"/>
            </w:tcBorders>
            <w:noWrap/>
            <w:vAlign w:val="center"/>
          </w:tcPr>
          <w:p>
            <w:pPr>
              <w:autoSpaceDE w:val="0"/>
              <w:autoSpaceDN w:val="0"/>
              <w:adjustRightInd w:val="0"/>
              <w:snapToGrid w:val="0"/>
              <w:rPr>
                <w:rFonts w:ascii="宋体" w:hAnsi="宋体" w:cs="宋体"/>
                <w:bCs/>
                <w:color w:val="auto"/>
                <w:sz w:val="24"/>
                <w:szCs w:val="24"/>
                <w:highlight w:val="none"/>
                <w:lang w:val="zh-CN"/>
              </w:rPr>
            </w:pPr>
            <w:r>
              <w:rPr>
                <w:rFonts w:hint="eastAsia" w:ascii="宋体" w:hAnsi="宋体" w:cs="宋体"/>
                <w:color w:val="auto"/>
                <w:sz w:val="24"/>
                <w:szCs w:val="24"/>
                <w:highlight w:val="none"/>
              </w:rPr>
              <w:t>小写：</w:t>
            </w:r>
          </w:p>
        </w:tc>
      </w:tr>
    </w:tbl>
    <w:p>
      <w:pPr>
        <w:widowControl/>
        <w:snapToGrid w:val="0"/>
        <w:spacing w:line="360" w:lineRule="auto"/>
        <w:jc w:val="left"/>
        <w:outlineLvl w:val="2"/>
        <w:rPr>
          <w:rFonts w:ascii="宋体" w:hAnsi="宋体" w:cs="宋体"/>
          <w:color w:val="auto"/>
          <w:kern w:val="0"/>
          <w:sz w:val="24"/>
          <w:szCs w:val="24"/>
          <w:highlight w:val="none"/>
        </w:rPr>
      </w:pPr>
    </w:p>
    <w:p>
      <w:pPr>
        <w:widowControl/>
        <w:snapToGrid w:val="0"/>
        <w:spacing w:line="360" w:lineRule="auto"/>
        <w:jc w:val="left"/>
        <w:outlineLvl w:val="2"/>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br w:type="page"/>
      </w:r>
      <w:bookmarkStart w:id="48" w:name="_Toc30992"/>
      <w:r>
        <w:rPr>
          <w:rFonts w:hint="eastAsia" w:ascii="宋体" w:hAnsi="宋体" w:cs="宋体"/>
          <w:bCs/>
          <w:color w:val="auto"/>
          <w:spacing w:val="4"/>
          <w:sz w:val="24"/>
          <w:szCs w:val="24"/>
          <w:highlight w:val="none"/>
        </w:rPr>
        <w:t>经济标格式二：</w:t>
      </w:r>
      <w:bookmarkEnd w:id="48"/>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49" w:name="_Toc30258"/>
      <w:r>
        <w:rPr>
          <w:rFonts w:hint="eastAsia" w:ascii="宋体" w:hAnsi="宋体" w:cs="宋体"/>
          <w:b/>
          <w:bCs/>
          <w:color w:val="auto"/>
          <w:spacing w:val="4"/>
          <w:kern w:val="0"/>
          <w:sz w:val="36"/>
          <w:szCs w:val="36"/>
          <w:highlight w:val="none"/>
        </w:rPr>
        <w:t>参与编制经济标投标文件人员名单</w:t>
      </w:r>
      <w:bookmarkEnd w:id="49"/>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41"/>
        <w:gridCol w:w="2461"/>
        <w:gridCol w:w="2359"/>
        <w:gridCol w:w="1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19" w:type="dxa"/>
            <w:gridSpan w:val="5"/>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441"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职务</w:t>
            </w:r>
          </w:p>
        </w:tc>
        <w:tc>
          <w:tcPr>
            <w:tcW w:w="2461"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所承担工作</w:t>
            </w:r>
          </w:p>
        </w:tc>
        <w:tc>
          <w:tcPr>
            <w:tcW w:w="2359"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身份证号码</w:t>
            </w:r>
          </w:p>
        </w:tc>
        <w:tc>
          <w:tcPr>
            <w:tcW w:w="1419" w:type="dxa"/>
            <w:noWrap/>
            <w:vAlign w:val="center"/>
          </w:tcPr>
          <w:p>
            <w:pPr>
              <w:tabs>
                <w:tab w:val="left" w:pos="720"/>
              </w:tabs>
              <w:snapToGrid w:val="0"/>
              <w:jc w:val="center"/>
              <w:rPr>
                <w:rFonts w:ascii="宋体" w:hAnsi="宋体" w:cs="宋体"/>
                <w:color w:val="auto"/>
                <w:sz w:val="24"/>
                <w:szCs w:val="24"/>
                <w:highlight w:val="none"/>
              </w:rPr>
            </w:pPr>
            <w:r>
              <w:rPr>
                <w:rFonts w:hint="eastAsia" w:ascii="宋体" w:hAnsi="宋体" w:cs="宋体"/>
                <w:color w:val="auto"/>
                <w:sz w:val="24"/>
                <w:szCs w:val="24"/>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39" w:type="dxa"/>
            <w:noWrap/>
            <w:vAlign w:val="center"/>
          </w:tcPr>
          <w:p>
            <w:pPr>
              <w:tabs>
                <w:tab w:val="left" w:pos="720"/>
              </w:tabs>
              <w:snapToGrid w:val="0"/>
              <w:jc w:val="center"/>
              <w:rPr>
                <w:rFonts w:ascii="宋体" w:hAnsi="宋体" w:cs="宋体"/>
                <w:color w:val="auto"/>
                <w:sz w:val="24"/>
                <w:szCs w:val="24"/>
                <w:highlight w:val="none"/>
              </w:rPr>
            </w:pPr>
          </w:p>
        </w:tc>
        <w:tc>
          <w:tcPr>
            <w:tcW w:w="1441" w:type="dxa"/>
            <w:noWrap/>
            <w:vAlign w:val="center"/>
          </w:tcPr>
          <w:p>
            <w:pPr>
              <w:tabs>
                <w:tab w:val="left" w:pos="720"/>
              </w:tabs>
              <w:snapToGrid w:val="0"/>
              <w:jc w:val="center"/>
              <w:rPr>
                <w:rFonts w:ascii="宋体" w:hAnsi="宋体" w:cs="宋体"/>
                <w:color w:val="auto"/>
                <w:sz w:val="24"/>
                <w:szCs w:val="24"/>
                <w:highlight w:val="none"/>
              </w:rPr>
            </w:pPr>
          </w:p>
        </w:tc>
        <w:tc>
          <w:tcPr>
            <w:tcW w:w="2461" w:type="dxa"/>
            <w:noWrap/>
            <w:vAlign w:val="center"/>
          </w:tcPr>
          <w:p>
            <w:pPr>
              <w:tabs>
                <w:tab w:val="left" w:pos="720"/>
              </w:tabs>
              <w:snapToGrid w:val="0"/>
              <w:jc w:val="center"/>
              <w:rPr>
                <w:rFonts w:ascii="宋体" w:hAnsi="宋体" w:cs="宋体"/>
                <w:color w:val="auto"/>
                <w:sz w:val="24"/>
                <w:szCs w:val="24"/>
                <w:highlight w:val="none"/>
              </w:rPr>
            </w:pPr>
          </w:p>
        </w:tc>
        <w:tc>
          <w:tcPr>
            <w:tcW w:w="2359" w:type="dxa"/>
            <w:noWrap/>
            <w:vAlign w:val="center"/>
          </w:tcPr>
          <w:p>
            <w:pPr>
              <w:tabs>
                <w:tab w:val="left" w:pos="720"/>
              </w:tabs>
              <w:snapToGrid w:val="0"/>
              <w:jc w:val="center"/>
              <w:rPr>
                <w:rFonts w:ascii="宋体" w:hAnsi="宋体" w:cs="宋体"/>
                <w:color w:val="auto"/>
                <w:sz w:val="24"/>
                <w:szCs w:val="24"/>
                <w:highlight w:val="none"/>
              </w:rPr>
            </w:pPr>
          </w:p>
        </w:tc>
        <w:tc>
          <w:tcPr>
            <w:tcW w:w="1419" w:type="dxa"/>
            <w:noWrap/>
            <w:vAlign w:val="center"/>
          </w:tcPr>
          <w:p>
            <w:pPr>
              <w:tabs>
                <w:tab w:val="left" w:pos="720"/>
              </w:tabs>
              <w:snapToGrid w:val="0"/>
              <w:jc w:val="center"/>
              <w:rPr>
                <w:rFonts w:ascii="宋体" w:hAnsi="宋体" w:cs="宋体"/>
                <w:color w:val="auto"/>
                <w:sz w:val="24"/>
                <w:szCs w:val="24"/>
                <w:highlight w:val="none"/>
              </w:rPr>
            </w:pPr>
          </w:p>
        </w:tc>
      </w:tr>
    </w:tbl>
    <w:p>
      <w:pPr>
        <w:keepNext w:val="0"/>
        <w:keepLines w:val="0"/>
        <w:pageBreakBefore w:val="0"/>
        <w:widowControl w:val="0"/>
        <w:tabs>
          <w:tab w:val="left" w:pos="720"/>
        </w:tabs>
        <w:kinsoku/>
        <w:wordWrap/>
        <w:overflowPunct/>
        <w:topLinePunct w:val="0"/>
        <w:autoSpaceDE/>
        <w:autoSpaceDN/>
        <w:bidi w:val="0"/>
        <w:adjustRightInd/>
        <w:snapToGrid w:val="0"/>
        <w:spacing w:line="240" w:lineRule="exact"/>
        <w:textAlignment w:val="auto"/>
        <w:rPr>
          <w:rFonts w:ascii="宋体" w:hAnsi="宋体" w:cs="宋体"/>
          <w:color w:val="auto"/>
          <w:sz w:val="24"/>
          <w:szCs w:val="24"/>
          <w:highlight w:val="none"/>
        </w:rPr>
      </w:pPr>
    </w:p>
    <w:p>
      <w:pPr>
        <w:topLinePunct/>
        <w:adjustRightInd w:val="0"/>
        <w:snapToGrid w:val="0"/>
        <w:spacing w:line="360" w:lineRule="auto"/>
        <w:ind w:firstLine="496" w:firstLineChars="200"/>
        <w:rPr>
          <w:rFonts w:hint="eastAsia"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注：</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lang w:val="en-US" w:eastAsia="zh-CN"/>
        </w:rPr>
        <w:t>1.</w:t>
      </w:r>
      <w:r>
        <w:rPr>
          <w:rFonts w:hint="eastAsia" w:ascii="宋体" w:hAnsi="宋体" w:cs="宋体"/>
          <w:color w:val="auto"/>
          <w:spacing w:val="4"/>
          <w:kern w:val="0"/>
          <w:sz w:val="24"/>
          <w:szCs w:val="24"/>
          <w:highlight w:val="none"/>
        </w:rPr>
        <w:t>参与编制经济标书所有人员名单应包括如编制各种专业工程量清单投标报价、负责清样校对、负责打印及复印等所有人员在内的人员名单。</w:t>
      </w:r>
    </w:p>
    <w:p>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2.上述人员须为投标单位人员，并须提供</w:t>
      </w:r>
      <w:r>
        <w:rPr>
          <w:rFonts w:hint="eastAsia" w:ascii="宋体" w:hAnsi="宋体" w:cs="宋体"/>
          <w:color w:val="auto"/>
          <w:sz w:val="24"/>
          <w:szCs w:val="24"/>
          <w:highlight w:val="none"/>
          <w:lang w:val="en-US" w:eastAsia="zh-CN"/>
        </w:rPr>
        <w:t>2025年2月或2025年3月</w:t>
      </w:r>
      <w:r>
        <w:rPr>
          <w:rFonts w:hint="eastAsia" w:ascii="宋体" w:hAnsi="宋体" w:eastAsia="宋体" w:cs="宋体"/>
          <w:color w:val="auto"/>
          <w:sz w:val="24"/>
          <w:szCs w:val="24"/>
          <w:highlight w:val="none"/>
          <w:lang w:val="en-US" w:eastAsia="zh-CN"/>
        </w:rPr>
        <w:t>有效社保证明</w:t>
      </w:r>
      <w:r>
        <w:rPr>
          <w:rFonts w:hint="eastAsia" w:ascii="宋体" w:hAnsi="宋体" w:cs="宋体"/>
          <w:color w:val="auto"/>
          <w:sz w:val="24"/>
          <w:szCs w:val="24"/>
          <w:highlight w:val="none"/>
          <w:lang w:val="en-US" w:eastAsia="zh-CN"/>
        </w:rPr>
        <w:t>资料</w:t>
      </w:r>
      <w:r>
        <w:rPr>
          <w:rFonts w:hint="eastAsia" w:ascii="宋体" w:hAnsi="宋体" w:eastAsia="宋体" w:cs="宋体"/>
          <w:color w:val="auto"/>
          <w:sz w:val="24"/>
          <w:szCs w:val="24"/>
          <w:highlight w:val="none"/>
          <w:lang w:val="en-US" w:eastAsia="zh-CN"/>
        </w:rPr>
        <w:t>。</w:t>
      </w:r>
    </w:p>
    <w:p>
      <w:pPr>
        <w:snapToGrid w:val="0"/>
        <w:spacing w:line="360" w:lineRule="auto"/>
        <w:rPr>
          <w:rFonts w:ascii="宋体" w:hAnsi="宋体" w:cs="宋体"/>
          <w:color w:val="auto"/>
          <w:szCs w:val="21"/>
          <w:highlight w:val="none"/>
        </w:rPr>
      </w:pPr>
    </w:p>
    <w:p>
      <w:pPr>
        <w:rPr>
          <w:rFonts w:ascii="宋体" w:hAnsi="宋体" w:cs="宋体"/>
          <w:bCs/>
          <w:color w:val="auto"/>
          <w:spacing w:val="4"/>
          <w:sz w:val="24"/>
          <w:szCs w:val="24"/>
          <w:highlight w:val="none"/>
        </w:rPr>
      </w:pPr>
      <w:r>
        <w:rPr>
          <w:rFonts w:hint="eastAsia" w:ascii="宋体" w:hAnsi="宋体" w:cs="宋体"/>
          <w:bCs/>
          <w:color w:val="auto"/>
          <w:spacing w:val="4"/>
          <w:sz w:val="24"/>
          <w:szCs w:val="24"/>
          <w:highlight w:val="none"/>
        </w:rPr>
        <w:br w:type="page"/>
      </w:r>
    </w:p>
    <w:p>
      <w:pPr>
        <w:topLinePunct/>
        <w:adjustRightInd w:val="0"/>
        <w:snapToGrid w:val="0"/>
        <w:spacing w:line="360" w:lineRule="auto"/>
        <w:rPr>
          <w:rFonts w:ascii="宋体" w:hAnsi="宋体" w:cs="宋体"/>
          <w:color w:val="auto"/>
          <w:spacing w:val="4"/>
          <w:kern w:val="0"/>
          <w:sz w:val="24"/>
          <w:szCs w:val="24"/>
          <w:highlight w:val="none"/>
        </w:rPr>
      </w:pPr>
      <w:r>
        <w:rPr>
          <w:rFonts w:hint="eastAsia" w:ascii="宋体" w:hAnsi="宋体" w:cs="宋体"/>
          <w:bCs/>
          <w:color w:val="auto"/>
          <w:spacing w:val="4"/>
          <w:sz w:val="24"/>
          <w:szCs w:val="24"/>
          <w:highlight w:val="none"/>
        </w:rPr>
        <w:t>经济标格式三：</w:t>
      </w:r>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50" w:name="_Toc13531"/>
      <w:r>
        <w:rPr>
          <w:rFonts w:hint="eastAsia" w:ascii="宋体" w:hAnsi="宋体" w:cs="宋体"/>
          <w:b/>
          <w:bCs/>
          <w:color w:val="auto"/>
          <w:spacing w:val="4"/>
          <w:kern w:val="0"/>
          <w:sz w:val="36"/>
          <w:szCs w:val="36"/>
          <w:highlight w:val="none"/>
        </w:rPr>
        <w:t>对投标文件编制的承诺</w:t>
      </w:r>
      <w:bookmarkEnd w:id="50"/>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本公司授权</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（身份证号：</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u w:val="single"/>
        </w:rPr>
        <w:t>）</w:t>
      </w:r>
      <w:r>
        <w:rPr>
          <w:rFonts w:hint="eastAsia" w:ascii="宋体" w:hAnsi="宋体" w:cs="宋体"/>
          <w:color w:val="auto"/>
          <w:kern w:val="0"/>
          <w:sz w:val="24"/>
          <w:szCs w:val="24"/>
          <w:highlight w:val="none"/>
          <w:u w:val="single"/>
          <w:lang w:val="en-US" w:eastAsia="zh-CN"/>
        </w:rPr>
        <w:t xml:space="preserve"> </w:t>
      </w:r>
      <w:r>
        <w:rPr>
          <w:rFonts w:hint="eastAsia" w:ascii="宋体" w:hAnsi="宋体" w:cs="宋体"/>
          <w:color w:val="auto"/>
          <w:kern w:val="0"/>
          <w:sz w:val="24"/>
          <w:szCs w:val="24"/>
          <w:highlight w:val="none"/>
        </w:rPr>
        <w:t>负责对投标文件的编制及内容进行解释、说明，并承诺以下事项：</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1.被授权人清楚投标文件编制的具体情况，包括技术方案文件、工程量清单、以及投标文件的加密打包的理解；</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2.在本项目开标至评标结束前，努力确保被授权人在项目评标所在地附近；</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3.从评标委员会要求澄清起二小时内，被授权人应如实地书面澄清。</w:t>
      </w:r>
    </w:p>
    <w:p>
      <w:pPr>
        <w:snapToGrid w:val="0"/>
        <w:spacing w:line="360" w:lineRule="auto"/>
        <w:ind w:left="-2" w:leftChars="-1" w:firstLine="540" w:firstLineChars="225"/>
        <w:rPr>
          <w:rFonts w:ascii="宋体" w:hAnsi="宋体" w:cs="宋体"/>
          <w:color w:val="auto"/>
          <w:kern w:val="0"/>
          <w:sz w:val="24"/>
          <w:szCs w:val="24"/>
          <w:highlight w:val="none"/>
        </w:rPr>
      </w:pPr>
      <w:r>
        <w:rPr>
          <w:rFonts w:hint="eastAsia" w:ascii="宋体" w:hAnsi="宋体" w:cs="宋体"/>
          <w:color w:val="auto"/>
          <w:kern w:val="0"/>
          <w:sz w:val="24"/>
          <w:szCs w:val="24"/>
          <w:highlight w:val="none"/>
        </w:rPr>
        <w:t>如由于未遵守上述承诺内容之一导致无法进行澄清的，我公司认可和接受评标委员会作出的评审结论。</w:t>
      </w:r>
    </w:p>
    <w:p>
      <w:pPr>
        <w:snapToGrid w:val="0"/>
        <w:spacing w:line="360" w:lineRule="auto"/>
        <w:ind w:firstLine="360" w:firstLineChars="150"/>
        <w:rPr>
          <w:rFonts w:ascii="宋体" w:hAnsi="宋体" w:cs="宋体"/>
          <w:color w:val="auto"/>
          <w:kern w:val="0"/>
          <w:sz w:val="24"/>
          <w:szCs w:val="24"/>
          <w:highlight w:val="none"/>
        </w:rPr>
      </w:pP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附件：《投标文件编制情况》</w:t>
      </w:r>
    </w:p>
    <w:p>
      <w:pPr>
        <w:snapToGrid w:val="0"/>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投标人名称（盖法人公章）：</w:t>
      </w:r>
    </w:p>
    <w:p>
      <w:pPr>
        <w:snapToGrid w:val="0"/>
        <w:spacing w:line="360" w:lineRule="auto"/>
        <w:ind w:firstLine="2160" w:firstLineChars="900"/>
        <w:rPr>
          <w:rFonts w:ascii="宋体" w:hAnsi="宋体" w:cs="宋体"/>
          <w:color w:val="auto"/>
          <w:sz w:val="24"/>
          <w:szCs w:val="24"/>
          <w:highlight w:val="none"/>
          <w:u w:val="single"/>
        </w:rPr>
      </w:pPr>
    </w:p>
    <w:p>
      <w:pPr>
        <w:snapToGrid w:val="0"/>
        <w:spacing w:line="360" w:lineRule="auto"/>
        <w:ind w:firstLine="4440" w:firstLineChars="1850"/>
        <w:jc w:val="center"/>
        <w:outlineLvl w:val="1"/>
        <w:rPr>
          <w:rFonts w:hint="eastAsia" w:ascii="宋体" w:hAnsi="宋体" w:cs="宋体"/>
          <w:color w:val="auto"/>
          <w:sz w:val="24"/>
          <w:szCs w:val="24"/>
          <w:highlight w:val="none"/>
        </w:rPr>
      </w:pPr>
      <w:bookmarkStart w:id="51" w:name="_Toc3751"/>
      <w:r>
        <w:rPr>
          <w:rFonts w:hint="eastAsia" w:ascii="宋体" w:hAnsi="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bookmarkEnd w:id="51"/>
    </w:p>
    <w:p>
      <w:pPr>
        <w:jc w:val="both"/>
        <w:outlineLvl w:val="9"/>
        <w:rPr>
          <w:rFonts w:hint="eastAsia" w:ascii="宋体" w:hAnsi="宋体" w:cs="宋体"/>
          <w:color w:val="auto"/>
          <w:sz w:val="21"/>
          <w:szCs w:val="21"/>
          <w:highlight w:val="none"/>
        </w:rPr>
      </w:pPr>
    </w:p>
    <w:p>
      <w:pPr>
        <w:widowControl/>
        <w:topLinePunct/>
        <w:adjustRightInd w:val="0"/>
        <w:snapToGrid w:val="0"/>
        <w:spacing w:line="360" w:lineRule="auto"/>
        <w:jc w:val="center"/>
        <w:outlineLvl w:val="1"/>
        <w:rPr>
          <w:rFonts w:ascii="宋体" w:hAnsi="宋体" w:cs="宋体"/>
          <w:b/>
          <w:bCs/>
          <w:color w:val="auto"/>
          <w:spacing w:val="4"/>
          <w:kern w:val="0"/>
          <w:sz w:val="36"/>
          <w:szCs w:val="36"/>
          <w:highlight w:val="none"/>
        </w:rPr>
      </w:pPr>
      <w:bookmarkStart w:id="52" w:name="_Toc22554"/>
      <w:r>
        <w:rPr>
          <w:rFonts w:hint="eastAsia" w:ascii="宋体" w:hAnsi="宋体" w:cs="宋体"/>
          <w:b/>
          <w:bCs/>
          <w:color w:val="auto"/>
          <w:spacing w:val="4"/>
          <w:kern w:val="0"/>
          <w:sz w:val="36"/>
          <w:szCs w:val="36"/>
          <w:highlight w:val="none"/>
        </w:rPr>
        <w:t>投标文件编制情况</w:t>
      </w:r>
      <w:bookmarkEnd w:id="52"/>
    </w:p>
    <w:p>
      <w:pPr>
        <w:snapToGrid w:val="0"/>
        <w:spacing w:line="360" w:lineRule="auto"/>
        <w:ind w:firstLine="480" w:firstLineChars="200"/>
        <w:rPr>
          <w:rFonts w:ascii="宋体" w:hAnsi="宋体" w:cs="宋体"/>
          <w:color w:val="auto"/>
          <w:kern w:val="0"/>
          <w:sz w:val="24"/>
          <w:szCs w:val="24"/>
          <w:highlight w:val="none"/>
          <w:u w:val="single"/>
        </w:rPr>
      </w:pPr>
      <w:r>
        <w:rPr>
          <w:rFonts w:hint="eastAsia" w:ascii="宋体" w:hAnsi="宋体" w:cs="宋体"/>
          <w:color w:val="auto"/>
          <w:kern w:val="0"/>
          <w:sz w:val="24"/>
          <w:szCs w:val="24"/>
          <w:highlight w:val="none"/>
        </w:rPr>
        <w:t>1.投标文件报价编制方式: □自行编制的，编制的负责人：</w:t>
      </w:r>
      <w:r>
        <w:rPr>
          <w:rFonts w:hint="eastAsia" w:ascii="宋体" w:hAnsi="宋体" w:cs="宋体"/>
          <w:color w:val="auto"/>
          <w:kern w:val="0"/>
          <w:sz w:val="24"/>
          <w:szCs w:val="24"/>
          <w:highlight w:val="none"/>
          <w:u w:val="single"/>
        </w:rPr>
        <w:t>（盖造价工程师执业专用章，执业单位应与投标人一致）</w:t>
      </w:r>
      <w:r>
        <w:rPr>
          <w:rFonts w:hint="eastAsia" w:ascii="宋体" w:hAnsi="宋体" w:cs="宋体"/>
          <w:color w:val="auto"/>
          <w:kern w:val="0"/>
          <w:sz w:val="24"/>
          <w:szCs w:val="24"/>
          <w:highlight w:val="none"/>
        </w:rPr>
        <w:t>。□委托编制的，受委托单位，编制的负责人：</w:t>
      </w:r>
      <w:r>
        <w:rPr>
          <w:rFonts w:hint="eastAsia" w:ascii="宋体" w:hAnsi="宋体" w:cs="宋体"/>
          <w:color w:val="auto"/>
          <w:kern w:val="0"/>
          <w:sz w:val="24"/>
          <w:szCs w:val="24"/>
          <w:highlight w:val="none"/>
          <w:u w:val="single"/>
        </w:rPr>
        <w:t>（盖造价工程师执业专用章，执业单位应与受委托单位一致）</w:t>
      </w:r>
      <w:r>
        <w:rPr>
          <w:rFonts w:hint="eastAsia" w:ascii="宋体" w:hAnsi="宋体" w:cs="宋体"/>
          <w:color w:val="auto"/>
          <w:kern w:val="0"/>
          <w:sz w:val="24"/>
          <w:szCs w:val="24"/>
          <w:highlight w:val="none"/>
        </w:rPr>
        <w:t>。</w:t>
      </w:r>
    </w:p>
    <w:p>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2.投标文件加密打包的电脑情况</w:t>
      </w:r>
    </w:p>
    <w:p>
      <w:pPr>
        <w:pStyle w:val="17"/>
        <w:snapToGrid w:val="0"/>
        <w:spacing w:line="360" w:lineRule="auto"/>
        <w:rPr>
          <w:rFonts w:hAnsi="宋体" w:cs="宋体"/>
          <w:color w:val="auto"/>
          <w:sz w:val="24"/>
          <w:szCs w:val="24"/>
          <w:highlight w:val="none"/>
        </w:rPr>
      </w:pPr>
    </w:p>
    <w:tbl>
      <w:tblPr>
        <w:tblStyle w:val="31"/>
        <w:tblW w:w="0" w:type="auto"/>
        <w:tblInd w:w="0" w:type="dxa"/>
        <w:tblLayout w:type="fixed"/>
        <w:tblCellMar>
          <w:top w:w="0" w:type="dxa"/>
          <w:left w:w="108" w:type="dxa"/>
          <w:bottom w:w="0" w:type="dxa"/>
          <w:right w:w="108" w:type="dxa"/>
        </w:tblCellMar>
      </w:tblPr>
      <w:tblGrid>
        <w:gridCol w:w="9740"/>
      </w:tblGrid>
      <w:tr>
        <w:tblPrEx>
          <w:tblCellMar>
            <w:top w:w="0" w:type="dxa"/>
            <w:left w:w="108" w:type="dxa"/>
            <w:bottom w:w="0" w:type="dxa"/>
            <w:right w:w="108" w:type="dxa"/>
          </w:tblCellMar>
        </w:tblPrEx>
        <w:trPr>
          <w:trHeight w:val="2185" w:hRule="atLeast"/>
        </w:trPr>
        <w:tc>
          <w:tcPr>
            <w:tcW w:w="9740" w:type="dxa"/>
            <w:noWrap/>
          </w:tcPr>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投标文件加密打包的电脑自有□外包□其他□</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电脑类型</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电脑所属单位</w:t>
            </w:r>
          </w:p>
          <w:p>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电脑所在地址（如××市××区(县) ××街（路）××号××大厦××房）</w:t>
            </w:r>
          </w:p>
        </w:tc>
      </w:tr>
    </w:tbl>
    <w:p>
      <w:pPr>
        <w:snapToGrid w:val="0"/>
        <w:spacing w:line="360" w:lineRule="auto"/>
        <w:rPr>
          <w:rFonts w:ascii="宋体" w:hAnsi="宋体" w:cs="宋体"/>
          <w:color w:val="auto"/>
          <w:szCs w:val="21"/>
          <w:highlight w:val="none"/>
        </w:rPr>
      </w:pPr>
    </w:p>
    <w:p>
      <w:pPr>
        <w:widowControl/>
        <w:jc w:val="left"/>
        <w:rPr>
          <w:rStyle w:val="47"/>
          <w:rFonts w:ascii="宋体" w:hAnsi="宋体" w:cs="宋体"/>
          <w:b/>
          <w:color w:val="auto"/>
          <w:sz w:val="32"/>
          <w:szCs w:val="32"/>
          <w:highlight w:val="none"/>
        </w:rPr>
      </w:pPr>
      <w:bookmarkStart w:id="53" w:name="_Toc2272568"/>
      <w:bookmarkStart w:id="54" w:name="_Toc9312"/>
      <w:bookmarkStart w:id="55" w:name="_Toc2272569"/>
      <w:r>
        <w:rPr>
          <w:rStyle w:val="47"/>
          <w:rFonts w:ascii="宋体" w:hAnsi="宋体" w:cs="宋体"/>
          <w:b/>
          <w:color w:val="auto"/>
          <w:sz w:val="32"/>
          <w:szCs w:val="32"/>
          <w:highlight w:val="none"/>
        </w:rPr>
        <w:br w:type="page"/>
      </w:r>
    </w:p>
    <w:p>
      <w:pPr>
        <w:tabs>
          <w:tab w:val="left" w:pos="720"/>
        </w:tabs>
        <w:snapToGrid w:val="0"/>
        <w:spacing w:line="360" w:lineRule="auto"/>
        <w:jc w:val="center"/>
        <w:rPr>
          <w:rStyle w:val="47"/>
          <w:rFonts w:ascii="宋体" w:hAnsi="宋体" w:cs="宋体"/>
          <w:b/>
          <w:color w:val="auto"/>
          <w:sz w:val="32"/>
          <w:szCs w:val="32"/>
          <w:highlight w:val="none"/>
        </w:rPr>
      </w:pPr>
      <w:r>
        <w:rPr>
          <w:rStyle w:val="47"/>
          <w:rFonts w:hint="eastAsia" w:ascii="宋体" w:hAnsi="宋体" w:cs="宋体"/>
          <w:b/>
          <w:color w:val="auto"/>
          <w:sz w:val="32"/>
          <w:szCs w:val="32"/>
          <w:highlight w:val="none"/>
        </w:rPr>
        <w:t>第五章</w:t>
      </w:r>
      <w:r>
        <w:rPr>
          <w:rStyle w:val="47"/>
          <w:rFonts w:hint="eastAsia" w:ascii="宋体" w:hAnsi="宋体" w:cs="宋体"/>
          <w:b/>
          <w:color w:val="auto"/>
          <w:sz w:val="32"/>
          <w:szCs w:val="32"/>
          <w:highlight w:val="none"/>
          <w:lang w:val="en-US" w:eastAsia="zh-CN"/>
        </w:rPr>
        <w:t xml:space="preserve">  </w:t>
      </w:r>
      <w:r>
        <w:rPr>
          <w:rStyle w:val="47"/>
          <w:rFonts w:hint="eastAsia" w:ascii="宋体" w:hAnsi="宋体" w:cs="宋体"/>
          <w:b/>
          <w:color w:val="auto"/>
          <w:sz w:val="32"/>
          <w:szCs w:val="32"/>
          <w:highlight w:val="none"/>
        </w:rPr>
        <w:t>技术条件（工程建设标准）</w:t>
      </w:r>
      <w:bookmarkEnd w:id="53"/>
    </w:p>
    <w:bookmarkEnd w:id="54"/>
    <w:p>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一、标准</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以现行的中华人民共和国及有关部委颁布的标准、规范、和规程。若施工时期建设主管部门颁布新的规范、标准，则按照新的规范、标准执行。</w:t>
      </w:r>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b/>
          <w:color w:val="auto"/>
          <w:sz w:val="24"/>
          <w:szCs w:val="24"/>
          <w:highlight w:val="none"/>
        </w:rPr>
      </w:pPr>
      <w:r>
        <w:rPr>
          <w:rFonts w:hint="eastAsia" w:ascii="宋体" w:hAnsi="宋体" w:cs="宋体"/>
          <w:b/>
          <w:color w:val="auto"/>
          <w:sz w:val="24"/>
          <w:szCs w:val="24"/>
          <w:highlight w:val="none"/>
        </w:rPr>
        <w:t>二、施工组织设计要点</w:t>
      </w:r>
    </w:p>
    <w:p>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如果中标，中标人应按项目的进展需求，并在规定的时间内按要点要求，编制详细的施工组织设计，作为工程施工的指导性文件，向建设单位提交一式四份的《施工组织设计方案》，内容包括（不限于）以下：</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（一）工程概况及特点</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1.1 工程概况</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工程简述，工程规模，工程承包范围，地质及地貌状况，自然环境，交通情况等。</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1.2 工程特点</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设计特点、工程特点、影响施工的主要和特殊环节分析等。</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（二）施工现场组织机构</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2.1 组织机构关系图</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2.2 工程主要负责人简介。</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（三）施工现场总平面布置图</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3.1 施工现场平面布置图</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平面布置要求内容全面，充分利用现场条件，合理布置施工队、材料站、指挥部等。确定现场指挥部（工程处）和工区的驻地，材料站的设置，施工工区与施工班驻地，主要交通道路和通讯设施。平面布置图采用A3纸，图面要求线条清晰、标志明确。</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（四）施工方案</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4.1 施工准备</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简要叙述施工技术资料、材料、通讯、施工场地的准备，施工机械、施工力量的配置，以及生活设施等的准备情况。主要施工机械设备表。</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4.2 施工工序总体安排</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4.3 主要工序和特殊工序的施工方法和施工效率估计，潜在问题的分析。</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4.4 工程成本的控制措施为控制成本，提高效益，拟采取的措施。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（五）工期及施工进度计划</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5.1 工期规划及要求</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用横道图反映各主要施工过程的计划进度，深度达到全面、准确、清楚的描述工程实施过程，从中可衍生出各种施工资源计划及其过程管理信息。</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5.2 施工进度计划网络图</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施工网络图应明确工程开工、竣工日期，工程施工的关键路线，并针对关键工序，提出确保工期拟采取的措施。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5.3 施工资源（人力、材料、机具、场地及进场道路、公共关系）计划</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5.4 施工进度计划分析</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计划潜在问题，计划中的潜力及其开发途径等。</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5.5 计划控制</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程序、方法及制度等。</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（六）质量目标、质量保证体系及技术组织措施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6.1 质量目标</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本工程要求的质量目标：需取得“广州市建设工程优质奖”或“广州市建设工程质量五羊杯奖”或市级工程质量奖。</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用单位工程和分项工程合格率、优良品率表示，欲达到的工程质量等级。</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6.2 质量管理组织机构及主要职责</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用框图表示质量管理组织机构，并简要叙述各质量管理部门的主要职责。</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6.3 质量管理的措施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简要叙述质量管理的措施和关键工序的质量控制。</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6.4 质量管理及检验的标准</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执行的主要质量标准、规范。</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6.5 质量保证技术措施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针对本工程特点，分析质量薄弱环节，拟将采取的技术措施。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（七）安全目标、安全保证体系及技术组织措施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7.1 安全管理目标</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7.2 安全管理组织机构及主要职责</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用框图表示安全管理组织机构，并简要叙述各安全管理部门及人员的主要职责。</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7.3 安全管理制度及办法</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7.4 安全组织技术措施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针对本工程特点，分析安全薄弱环节，拟将采取的技术措施。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7.5 重要施工方案和特殊施工工序的安全过程控制</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7.6 严格执行《建筑施工安全检查标准》(JGJ59-2021)和省、市建设主管部门有关文明施工的规定。并按照甲方要求安排工作时间，在施工中尽量减少噪音，必要时采取有效的隔音措施，混凝土浇灌需连续不间断作业时，按有关规定申报夜间施工许可证。</w:t>
      </w:r>
    </w:p>
    <w:p>
      <w:pPr>
        <w:snapToGrid w:val="0"/>
        <w:spacing w:line="360" w:lineRule="auto"/>
        <w:ind w:firstLine="424" w:firstLineChars="177"/>
        <w:rPr>
          <w:rFonts w:ascii="宋体" w:hAnsi="宋体" w:cs="宋体"/>
          <w:color w:val="auto"/>
          <w:sz w:val="24"/>
          <w:szCs w:val="24"/>
          <w:highlight w:val="none"/>
        </w:rPr>
      </w:pPr>
      <w:bookmarkStart w:id="56" w:name="_Hlt531956504"/>
      <w:r>
        <w:rPr>
          <w:rFonts w:hint="eastAsia" w:ascii="宋体" w:hAnsi="宋体" w:cs="宋体"/>
          <w:color w:val="auto"/>
          <w:sz w:val="24"/>
          <w:szCs w:val="24"/>
          <w:highlight w:val="none"/>
        </w:rPr>
        <w:t>安全生产目标：杜绝本项目施工人员重大伤亡事故。</w:t>
      </w:r>
      <w:bookmarkEnd w:id="56"/>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文明施工目标：标准化管理。</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（八）环境保护及文明施工</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8.1 环境保护</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分析因施工可能引起的环境保护方面的问题。</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8.2 加强施工管理、严格保护环境</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提出环境保护的目标及采取的具体措施。</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8.3 文明施工的目标、组织机构和实施方案</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8.4 文明施工考核、管理办法</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（九）计划、统计和信息管理</w:t>
      </w:r>
    </w:p>
    <w:p>
      <w:pPr>
        <w:snapToGrid w:val="0"/>
        <w:spacing w:line="360" w:lineRule="auto"/>
        <w:ind w:firstLine="424" w:firstLineChars="177"/>
        <w:rPr>
          <w:rFonts w:ascii="宋体" w:hAnsi="宋体" w:cs="宋体"/>
          <w:color w:val="auto"/>
          <w:sz w:val="24"/>
          <w:szCs w:val="24"/>
          <w:highlight w:val="none"/>
        </w:rPr>
      </w:pPr>
      <w:r>
        <w:rPr>
          <w:rFonts w:hint="eastAsia" w:ascii="宋体" w:hAnsi="宋体" w:cs="宋体"/>
          <w:color w:val="auto"/>
          <w:sz w:val="24"/>
          <w:szCs w:val="24"/>
          <w:highlight w:val="none"/>
        </w:rPr>
        <w:t>9.1 计划、统计报表的编制与传递；</w:t>
      </w:r>
    </w:p>
    <w:p>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9.2 信息管理</w:t>
      </w:r>
    </w:p>
    <w:p>
      <w:pPr>
        <w:snapToGrid w:val="0"/>
        <w:spacing w:line="360" w:lineRule="auto"/>
        <w:ind w:firstLine="424" w:firstLineChars="177"/>
        <w:jc w:val="left"/>
        <w:rPr>
          <w:rFonts w:ascii="宋体" w:hAnsi="宋体" w:cs="宋体"/>
          <w:color w:val="auto"/>
          <w:sz w:val="24"/>
          <w:szCs w:val="24"/>
          <w:highlight w:val="none"/>
        </w:rPr>
      </w:pPr>
      <w:r>
        <w:rPr>
          <w:rFonts w:hint="eastAsia" w:ascii="宋体" w:hAnsi="宋体" w:cs="宋体"/>
          <w:color w:val="auto"/>
          <w:sz w:val="24"/>
          <w:szCs w:val="24"/>
          <w:highlight w:val="none"/>
        </w:rPr>
        <w:t>提出信息管理的目标及拟将采取的措施。</w:t>
      </w:r>
    </w:p>
    <w:p>
      <w:pPr>
        <w:snapToGrid w:val="0"/>
        <w:spacing w:line="360" w:lineRule="auto"/>
        <w:ind w:firstLine="424" w:firstLineChars="177"/>
        <w:rPr>
          <w:rFonts w:ascii="宋体" w:hAnsi="宋体" w:cs="宋体"/>
          <w:color w:val="auto"/>
          <w:sz w:val="24"/>
          <w:szCs w:val="24"/>
          <w:highlight w:val="none"/>
        </w:rPr>
      </w:pPr>
    </w:p>
    <w:p>
      <w:pPr>
        <w:pStyle w:val="25"/>
        <w:rPr>
          <w:rFonts w:ascii="宋体" w:hAnsi="宋体" w:cs="宋体"/>
          <w:color w:val="auto"/>
          <w:highlight w:val="none"/>
        </w:rPr>
      </w:pPr>
    </w:p>
    <w:p>
      <w:pPr>
        <w:snapToGrid w:val="0"/>
        <w:spacing w:line="360" w:lineRule="auto"/>
        <w:rPr>
          <w:rFonts w:ascii="宋体" w:hAnsi="宋体" w:cs="宋体"/>
          <w:color w:val="auto"/>
          <w:highlight w:val="none"/>
        </w:rPr>
      </w:pPr>
    </w:p>
    <w:p>
      <w:pPr>
        <w:snapToGrid w:val="0"/>
        <w:spacing w:line="360" w:lineRule="auto"/>
        <w:jc w:val="center"/>
        <w:rPr>
          <w:rFonts w:ascii="宋体" w:hAnsi="宋体" w:cs="宋体"/>
          <w:color w:val="auto"/>
          <w:sz w:val="24"/>
          <w:szCs w:val="24"/>
          <w:highlight w:val="none"/>
        </w:rPr>
      </w:pPr>
      <w:bookmarkStart w:id="57" w:name="_Toc9353"/>
      <w:r>
        <w:rPr>
          <w:rFonts w:hint="eastAsia" w:ascii="宋体" w:hAnsi="宋体" w:cs="宋体"/>
          <w:color w:val="auto"/>
          <w:sz w:val="24"/>
          <w:szCs w:val="24"/>
          <w:highlight w:val="none"/>
        </w:rPr>
        <w:br w:type="page"/>
      </w:r>
    </w:p>
    <w:p>
      <w:pPr>
        <w:tabs>
          <w:tab w:val="left" w:pos="720"/>
        </w:tabs>
        <w:jc w:val="center"/>
        <w:rPr>
          <w:rStyle w:val="47"/>
          <w:rFonts w:ascii="宋体" w:hAnsi="宋体" w:cs="宋体"/>
          <w:b/>
          <w:color w:val="auto"/>
          <w:sz w:val="32"/>
          <w:szCs w:val="32"/>
          <w:highlight w:val="none"/>
        </w:rPr>
      </w:pPr>
      <w:r>
        <w:rPr>
          <w:rStyle w:val="47"/>
          <w:rFonts w:hint="eastAsia" w:ascii="宋体" w:hAnsi="宋体" w:cs="宋体"/>
          <w:b/>
          <w:color w:val="auto"/>
          <w:sz w:val="32"/>
          <w:szCs w:val="32"/>
          <w:highlight w:val="none"/>
        </w:rPr>
        <w:t>第六章</w:t>
      </w:r>
      <w:r>
        <w:rPr>
          <w:rStyle w:val="47"/>
          <w:rFonts w:hint="eastAsia" w:ascii="宋体" w:hAnsi="宋体" w:cs="宋体"/>
          <w:b/>
          <w:color w:val="auto"/>
          <w:sz w:val="32"/>
          <w:szCs w:val="32"/>
          <w:highlight w:val="none"/>
          <w:lang w:val="en-US" w:eastAsia="zh-CN"/>
        </w:rPr>
        <w:t xml:space="preserve">  </w:t>
      </w:r>
      <w:r>
        <w:rPr>
          <w:rStyle w:val="47"/>
          <w:rFonts w:hint="eastAsia" w:ascii="宋体" w:hAnsi="宋体" w:cs="宋体"/>
          <w:b/>
          <w:color w:val="auto"/>
          <w:sz w:val="32"/>
          <w:szCs w:val="32"/>
          <w:highlight w:val="none"/>
        </w:rPr>
        <w:t>图纸及勘察资料</w:t>
      </w:r>
      <w:bookmarkEnd w:id="55"/>
      <w:bookmarkEnd w:id="57"/>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rPr>
        <w:t>注：本章由招标人自行制定，另册。</w:t>
      </w:r>
    </w:p>
    <w:p>
      <w:pPr>
        <w:snapToGrid w:val="0"/>
        <w:spacing w:line="360" w:lineRule="auto"/>
        <w:ind w:firstLine="360" w:firstLineChars="150"/>
        <w:rPr>
          <w:rFonts w:ascii="宋体" w:hAnsi="宋体" w:cs="宋体"/>
          <w:color w:val="auto"/>
          <w:kern w:val="0"/>
          <w:sz w:val="24"/>
          <w:szCs w:val="24"/>
          <w:highlight w:val="none"/>
        </w:rPr>
      </w:pPr>
    </w:p>
    <w:p>
      <w:pPr>
        <w:snapToGrid w:val="0"/>
        <w:spacing w:line="360" w:lineRule="auto"/>
        <w:ind w:firstLine="360" w:firstLineChars="150"/>
        <w:rPr>
          <w:rFonts w:ascii="宋体" w:hAnsi="宋体" w:cs="宋体"/>
          <w:color w:val="auto"/>
          <w:kern w:val="0"/>
          <w:sz w:val="24"/>
          <w:szCs w:val="24"/>
          <w:highlight w:val="none"/>
        </w:rPr>
      </w:pPr>
    </w:p>
    <w:p>
      <w:pPr>
        <w:pStyle w:val="3"/>
        <w:snapToGrid w:val="0"/>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58" w:name="_Toc2272570"/>
      <w:bookmarkStart w:id="59" w:name="_Toc22481"/>
      <w:r>
        <w:rPr>
          <w:rStyle w:val="47"/>
          <w:rFonts w:hint="eastAsia" w:ascii="宋体" w:hAnsi="宋体" w:cs="宋体"/>
          <w:color w:val="auto"/>
          <w:sz w:val="32"/>
          <w:szCs w:val="32"/>
          <w:highlight w:val="none"/>
        </w:rPr>
        <w:t>第七章</w:t>
      </w:r>
      <w:r>
        <w:rPr>
          <w:rStyle w:val="47"/>
          <w:rFonts w:hint="eastAsia" w:ascii="宋体" w:hAnsi="宋体" w:cs="宋体"/>
          <w:color w:val="auto"/>
          <w:sz w:val="32"/>
          <w:szCs w:val="32"/>
          <w:highlight w:val="none"/>
          <w:lang w:val="en-US" w:eastAsia="zh-CN"/>
        </w:rPr>
        <w:t xml:space="preserve">  </w:t>
      </w:r>
      <w:r>
        <w:rPr>
          <w:rStyle w:val="47"/>
          <w:rFonts w:hint="eastAsia" w:ascii="宋体" w:hAnsi="宋体" w:cs="宋体"/>
          <w:color w:val="auto"/>
          <w:sz w:val="32"/>
          <w:szCs w:val="32"/>
          <w:highlight w:val="none"/>
        </w:rPr>
        <w:t>工程量清单</w:t>
      </w:r>
      <w:bookmarkEnd w:id="58"/>
      <w:bookmarkEnd w:id="59"/>
    </w:p>
    <w:p>
      <w:pPr>
        <w:snapToGrid w:val="0"/>
        <w:spacing w:line="360" w:lineRule="auto"/>
        <w:rPr>
          <w:rFonts w:ascii="宋体" w:hAnsi="宋体" w:cs="宋体"/>
          <w:color w:val="auto"/>
          <w:sz w:val="24"/>
          <w:szCs w:val="24"/>
          <w:highlight w:val="none"/>
        </w:rPr>
      </w:pPr>
    </w:p>
    <w:p>
      <w:pPr>
        <w:snapToGrid w:val="0"/>
        <w:spacing w:line="360" w:lineRule="auto"/>
        <w:rPr>
          <w:rFonts w:ascii="宋体" w:hAnsi="宋体" w:cs="宋体"/>
          <w:b/>
          <w:color w:val="auto"/>
          <w:sz w:val="24"/>
          <w:szCs w:val="24"/>
          <w:highlight w:val="none"/>
        </w:rPr>
      </w:pPr>
      <w:r>
        <w:rPr>
          <w:rFonts w:hint="eastAsia" w:ascii="宋体" w:hAnsi="宋体" w:cs="宋体"/>
          <w:color w:val="auto"/>
          <w:sz w:val="24"/>
          <w:szCs w:val="24"/>
          <w:highlight w:val="none"/>
        </w:rPr>
        <w:t>注：本章由招标人自行制定。</w:t>
      </w:r>
    </w:p>
    <w:p>
      <w:pPr>
        <w:spacing w:line="360" w:lineRule="auto"/>
        <w:jc w:val="left"/>
        <w:rPr>
          <w:rFonts w:ascii="宋体" w:hAnsi="宋体" w:cs="宋体"/>
          <w:color w:val="auto"/>
          <w:sz w:val="24"/>
          <w:szCs w:val="28"/>
          <w:highlight w:val="none"/>
        </w:rPr>
      </w:pPr>
    </w:p>
    <w:p>
      <w:pPr>
        <w:spacing w:line="360" w:lineRule="auto"/>
        <w:jc w:val="left"/>
        <w:rPr>
          <w:rFonts w:ascii="宋体" w:hAnsi="宋体" w:cs="宋体"/>
          <w:color w:val="auto"/>
          <w:sz w:val="24"/>
          <w:szCs w:val="28"/>
          <w:highlight w:val="none"/>
        </w:rPr>
      </w:pPr>
    </w:p>
    <w:p>
      <w:pPr>
        <w:pStyle w:val="3"/>
        <w:snapToGrid w:val="0"/>
        <w:spacing w:before="0" w:after="0"/>
        <w:jc w:val="center"/>
        <w:rPr>
          <w:rFonts w:ascii="宋体" w:hAnsi="宋体" w:cs="宋体"/>
          <w:color w:val="auto"/>
          <w:sz w:val="24"/>
          <w:szCs w:val="24"/>
          <w:highlight w:val="none"/>
        </w:rPr>
      </w:pPr>
      <w:r>
        <w:rPr>
          <w:rFonts w:hint="eastAsia" w:ascii="宋体" w:hAnsi="宋体" w:cs="宋体"/>
          <w:color w:val="auto"/>
          <w:sz w:val="24"/>
          <w:szCs w:val="24"/>
          <w:highlight w:val="none"/>
        </w:rPr>
        <w:br w:type="page"/>
      </w:r>
      <w:bookmarkStart w:id="60" w:name="_Toc3710"/>
      <w:bookmarkStart w:id="61" w:name="_Toc2272571"/>
      <w:r>
        <w:rPr>
          <w:rStyle w:val="47"/>
          <w:rFonts w:hint="eastAsia" w:ascii="宋体" w:hAnsi="宋体" w:cs="宋体"/>
          <w:color w:val="auto"/>
          <w:sz w:val="32"/>
          <w:szCs w:val="32"/>
          <w:highlight w:val="none"/>
        </w:rPr>
        <w:t>第八章</w:t>
      </w:r>
      <w:r>
        <w:rPr>
          <w:rStyle w:val="47"/>
          <w:rFonts w:hint="eastAsia" w:ascii="宋体" w:hAnsi="宋体" w:cs="宋体"/>
          <w:color w:val="auto"/>
          <w:sz w:val="32"/>
          <w:szCs w:val="32"/>
          <w:highlight w:val="none"/>
          <w:lang w:val="en-US" w:eastAsia="zh-CN"/>
        </w:rPr>
        <w:t xml:space="preserve">  </w:t>
      </w:r>
      <w:r>
        <w:rPr>
          <w:rStyle w:val="47"/>
          <w:rFonts w:hint="eastAsia" w:ascii="宋体" w:hAnsi="宋体" w:cs="宋体"/>
          <w:color w:val="auto"/>
          <w:sz w:val="32"/>
          <w:szCs w:val="32"/>
          <w:highlight w:val="none"/>
        </w:rPr>
        <w:t>最高投标限价</w:t>
      </w:r>
      <w:bookmarkEnd w:id="60"/>
      <w:bookmarkEnd w:id="61"/>
    </w:p>
    <w:p>
      <w:pPr>
        <w:snapToGrid w:val="0"/>
        <w:spacing w:line="360" w:lineRule="auto"/>
        <w:ind w:firstLine="480"/>
        <w:rPr>
          <w:rFonts w:ascii="宋体" w:hAnsi="宋体" w:cs="宋体"/>
          <w:color w:val="auto"/>
          <w:sz w:val="24"/>
          <w:szCs w:val="24"/>
          <w:highlight w:val="none"/>
        </w:rPr>
      </w:pPr>
    </w:p>
    <w:p>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snapToGrid w:val="0"/>
        <w:spacing w:line="360" w:lineRule="auto"/>
        <w:jc w:val="center"/>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（另册）</w:t>
      </w:r>
    </w:p>
    <w:p>
      <w:pPr>
        <w:snapToGrid w:val="0"/>
        <w:spacing w:line="360" w:lineRule="auto"/>
        <w:ind w:firstLine="480"/>
        <w:rPr>
          <w:rFonts w:ascii="宋体" w:hAnsi="宋体" w:cs="宋体"/>
          <w:color w:val="auto"/>
          <w:sz w:val="24"/>
          <w:szCs w:val="24"/>
          <w:highlight w:val="none"/>
          <w:u w:val="single"/>
        </w:rPr>
      </w:pPr>
    </w:p>
    <w:p>
      <w:pPr>
        <w:snapToGrid w:val="0"/>
        <w:spacing w:line="360" w:lineRule="auto"/>
        <w:rPr>
          <w:rFonts w:ascii="宋体" w:hAnsi="宋体" w:cs="宋体"/>
          <w:color w:val="auto"/>
          <w:highlight w:val="none"/>
        </w:rPr>
      </w:pPr>
    </w:p>
    <w:p>
      <w:pPr>
        <w:snapToGrid w:val="0"/>
        <w:spacing w:line="360" w:lineRule="auto"/>
        <w:rPr>
          <w:rFonts w:ascii="宋体" w:hAnsi="宋体" w:cs="宋体"/>
          <w:color w:val="auto"/>
          <w:highlight w:val="none"/>
        </w:rPr>
      </w:pPr>
    </w:p>
    <w:p>
      <w:pPr>
        <w:rPr>
          <w:rFonts w:ascii="宋体" w:hAnsi="宋体" w:cs="宋体"/>
          <w:color w:val="auto"/>
          <w:highlight w:val="none"/>
        </w:rPr>
      </w:pPr>
    </w:p>
    <w:sectPr>
      <w:headerReference r:id="rId18" w:type="default"/>
      <w:footerReference r:id="rId19" w:type="default"/>
      <w:pgSz w:w="11906" w:h="16838"/>
      <w:pgMar w:top="1440" w:right="1440" w:bottom="144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92"/>
      <w:rPr>
        <w:rStyle w:val="35"/>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96875" cy="311150"/>
              <wp:effectExtent l="0" t="0" r="0" b="0"/>
              <wp:wrapNone/>
              <wp:docPr id="6" name="文本框 1"/>
              <wp:cNvGraphicFramePr/>
              <a:graphic xmlns:a="http://schemas.openxmlformats.org/drawingml/2006/main">
                <a:graphicData uri="http://schemas.microsoft.com/office/word/2010/wordprocessingShape">
                  <wps:wsp>
                    <wps:cNvSpPr txBox="1"/>
                    <wps:spPr>
                      <a:xfrm>
                        <a:off x="0" y="0"/>
                        <a:ext cx="396875" cy="311150"/>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wps:txbx>
                    <wps:bodyPr wrap="square" lIns="0" tIns="0" rIns="0" bIns="0" anchor="t" anchorCtr="0" upright="1"/>
                  </wps:wsp>
                </a:graphicData>
              </a:graphic>
            </wp:anchor>
          </w:drawing>
        </mc:Choice>
        <mc:Fallback>
          <w:pict>
            <v:shape id="文本框 1" o:spid="_x0000_s1026" o:spt="202" type="#_x0000_t202" style="position:absolute;left:0pt;margin-top:0pt;height:24.5pt;width:31.25pt;mso-position-horizontal:center;mso-position-horizontal-relative:margin;z-index:251659264;mso-width-relative:page;mso-height-relative:page;" filled="f" stroked="f" coordsize="21600,21600" o:gfxdata="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qckEHUAAAAAwEAAA8AAAAAAAAAAQAgAAAA&#10;IgAAAGRycy9kb3ducmV2LnhtbFBLAQIUABQAAAAIAIdO4kDxHJQ61gEAAKYDAAAOAAAAAAAAAAEA&#10;IAAAACMBAABkcnMvZTJvRG9jLnhtbFBLBQYAAAAABgAGAFkBAABrBQAAAAA=&#10;">
              <v:fill on="f" focussize="0,0"/>
              <v:stroke on="f"/>
              <v:imagedata o:title=""/>
              <o:lock v:ext="edit" aspectratio="f"/>
              <v:textbox inset="0mm,0mm,0mm,0mm">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92"/>
      <w:rPr>
        <w:rStyle w:val="35"/>
      </w:rPr>
    </w:pPr>
    <w:r>
      <w:fldChar w:fldCharType="begin"/>
    </w:r>
    <w:r>
      <w:rPr>
        <w:rStyle w:val="35"/>
      </w:rPr>
      <w:instrText xml:space="preserve">PAGE  </w:instrText>
    </w:r>
    <w:r>
      <w:fldChar w:fldCharType="separate"/>
    </w:r>
    <w:r>
      <w:rPr>
        <w:rStyle w:val="35"/>
        <w:rFonts w:hint="eastAsia"/>
      </w:rPr>
      <w:t>一</w:t>
    </w:r>
    <w:r>
      <w:rPr>
        <w:rStyle w:val="35"/>
      </w:rPr>
      <w:t>–2</w:t>
    </w:r>
    <w:r>
      <w:fldChar w:fldCharType="end"/>
    </w:r>
  </w:p>
  <w:p>
    <w:pPr>
      <w:pStyle w:val="21"/>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9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Style w:val="35"/>
      </w:rPr>
    </w:pPr>
    <w:r>
      <w:fldChar w:fldCharType="begin"/>
    </w:r>
    <w:r>
      <w:instrText xml:space="preserve"> PAGE   \* MERGEFORMAT </w:instrText>
    </w:r>
    <w:r>
      <w:fldChar w:fldCharType="separate"/>
    </w:r>
    <w:r>
      <w:rPr>
        <w:lang w:val="zh-CN"/>
      </w:rPr>
      <w:t>17</w:t>
    </w:r>
    <w:r>
      <w:rPr>
        <w:lang w:val="zh-C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51</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rPr>
        <w:lang w:val="zh-CN"/>
      </w:rPr>
      <w:t>65</w:t>
    </w:r>
    <w:r>
      <w:rPr>
        <w:lang w:val="zh-CN"/>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 PAGE   \* MERGEFORMAT </w:instrText>
    </w:r>
    <w:r>
      <w:fldChar w:fldCharType="separate"/>
    </w:r>
    <w:r>
      <w:t>66</w:t>
    </w:r>
    <w:r>
      <w:fldChar w:fldCharType="end"/>
    </w:r>
  </w:p>
  <w:p>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ind w:firstLine="3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92"/>
    </w:pPr>
    <w:r>
      <w:rPr>
        <w:rFonts w:hint="eastAsia"/>
      </w:rPr>
      <w:t>横枝岗路道路排水改造工程招标文件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8"/>
    <w:multiLevelType w:val="singleLevel"/>
    <w:tmpl w:val="00000008"/>
    <w:lvl w:ilvl="0" w:tentative="0">
      <w:start w:val="1"/>
      <w:numFmt w:val="japaneseCounting"/>
      <w:lvlText w:val="%1、"/>
      <w:lvlJc w:val="left"/>
      <w:pPr>
        <w:tabs>
          <w:tab w:val="left" w:pos="960"/>
        </w:tabs>
        <w:ind w:left="960" w:hanging="480"/>
      </w:pPr>
    </w:lvl>
  </w:abstractNum>
  <w:abstractNum w:abstractNumId="2">
    <w:nsid w:val="0000000B"/>
    <w:multiLevelType w:val="singleLevel"/>
    <w:tmpl w:val="0000000B"/>
    <w:lvl w:ilvl="0" w:tentative="0">
      <w:start w:val="1"/>
      <w:numFmt w:val="decimal"/>
      <w:suff w:val="nothing"/>
      <w:lvlText w:val="（%1）"/>
      <w:lvlJc w:val="left"/>
    </w:lvl>
  </w:abstractNum>
  <w:abstractNum w:abstractNumId="3">
    <w:nsid w:val="0000000C"/>
    <w:multiLevelType w:val="singleLevel"/>
    <w:tmpl w:val="0000000C"/>
    <w:lvl w:ilvl="0" w:tentative="0">
      <w:start w:val="1"/>
      <w:numFmt w:val="decimal"/>
      <w:suff w:val="nothing"/>
      <w:lvlText w:val="（%1）"/>
      <w:lvlJc w:val="left"/>
    </w:lvl>
  </w:abstractNum>
  <w:abstractNum w:abstractNumId="4">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5">
    <w:nsid w:val="01BB16A0"/>
    <w:multiLevelType w:val="singleLevel"/>
    <w:tmpl w:val="01BB16A0"/>
    <w:lvl w:ilvl="0" w:tentative="0">
      <w:start w:val="4"/>
      <w:numFmt w:val="chineseCounting"/>
      <w:suff w:val="space"/>
      <w:lvlText w:val="第%1部分"/>
      <w:lvlJc w:val="left"/>
      <w:rPr>
        <w:rFonts w:hint="eastAsia"/>
      </w:rPr>
    </w:lvl>
  </w:abstractNum>
  <w:abstractNum w:abstractNumId="6">
    <w:nsid w:val="14181B7E"/>
    <w:multiLevelType w:val="singleLevel"/>
    <w:tmpl w:val="14181B7E"/>
    <w:lvl w:ilvl="0" w:tentative="0">
      <w:start w:val="1"/>
      <w:numFmt w:val="decimal"/>
      <w:suff w:val="nothing"/>
      <w:lvlText w:val="%1、"/>
      <w:lvlJc w:val="left"/>
    </w:lvl>
  </w:abstractNum>
  <w:abstractNum w:abstractNumId="7">
    <w:nsid w:val="5C1679E1"/>
    <w:multiLevelType w:val="singleLevel"/>
    <w:tmpl w:val="5C1679E1"/>
    <w:lvl w:ilvl="0" w:tentative="0">
      <w:start w:val="2"/>
      <w:numFmt w:val="decimal"/>
      <w:suff w:val="space"/>
      <w:lvlText w:val="%1."/>
      <w:lvlJc w:val="left"/>
    </w:lvl>
  </w:abstractNum>
  <w:abstractNum w:abstractNumId="8">
    <w:nsid w:val="5CADBC91"/>
    <w:multiLevelType w:val="singleLevel"/>
    <w:tmpl w:val="5CADBC91"/>
    <w:lvl w:ilvl="0" w:tentative="0">
      <w:start w:val="1"/>
      <w:numFmt w:val="decimal"/>
      <w:suff w:val="nothing"/>
      <w:lvlText w:val="（%1）"/>
      <w:lvlJc w:val="left"/>
    </w:lvl>
  </w:abstractNum>
  <w:num w:numId="1">
    <w:abstractNumId w:val="8"/>
  </w:num>
  <w:num w:numId="2">
    <w:abstractNumId w:val="3"/>
  </w:num>
  <w:num w:numId="3">
    <w:abstractNumId w:val="2"/>
  </w:num>
  <w:num w:numId="4">
    <w:abstractNumId w:val="5"/>
  </w:num>
  <w:num w:numId="5">
    <w:abstractNumId w:val="6"/>
  </w:num>
  <w:num w:numId="6">
    <w:abstractNumId w:val="1"/>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hideSpellingErrors/>
  <w:trackRevisions w:val="1"/>
  <w:documentProtection w:enforcement="0"/>
  <w:defaultTabStop w:val="420"/>
  <w:drawingGridVerticalSpacing w:val="156"/>
  <w:noPunctuationKerning w:val="1"/>
  <w:characterSpacingControl w:val="compressPunctuation"/>
  <w:hdrShapeDefaults>
    <o:shapelayout v:ext="edit">
      <o:idmap v:ext="edit" data="4"/>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yMmUwMzExYmYzZWYwMjBlZGI1YzE0MmEzYzBmNjcifQ=="/>
  </w:docVars>
  <w:rsids>
    <w:rsidRoot w:val="6ECA11E3"/>
    <w:rsid w:val="00067699"/>
    <w:rsid w:val="000C3AA7"/>
    <w:rsid w:val="000F540A"/>
    <w:rsid w:val="001245DC"/>
    <w:rsid w:val="00141CEF"/>
    <w:rsid w:val="001542C4"/>
    <w:rsid w:val="00161690"/>
    <w:rsid w:val="00173B81"/>
    <w:rsid w:val="00175646"/>
    <w:rsid w:val="0018560A"/>
    <w:rsid w:val="00203BB3"/>
    <w:rsid w:val="00233F06"/>
    <w:rsid w:val="0025252E"/>
    <w:rsid w:val="00272850"/>
    <w:rsid w:val="002A3757"/>
    <w:rsid w:val="002B40C0"/>
    <w:rsid w:val="002B44AD"/>
    <w:rsid w:val="002E4C68"/>
    <w:rsid w:val="003336FF"/>
    <w:rsid w:val="00344D23"/>
    <w:rsid w:val="00363F19"/>
    <w:rsid w:val="00365069"/>
    <w:rsid w:val="00384C73"/>
    <w:rsid w:val="003A4132"/>
    <w:rsid w:val="003C799A"/>
    <w:rsid w:val="003D401C"/>
    <w:rsid w:val="003D5750"/>
    <w:rsid w:val="00450B5F"/>
    <w:rsid w:val="004F7BCF"/>
    <w:rsid w:val="0051206E"/>
    <w:rsid w:val="00526CE4"/>
    <w:rsid w:val="00562057"/>
    <w:rsid w:val="00564A11"/>
    <w:rsid w:val="00582E03"/>
    <w:rsid w:val="00592A19"/>
    <w:rsid w:val="005A3BEE"/>
    <w:rsid w:val="005B5E13"/>
    <w:rsid w:val="005C078C"/>
    <w:rsid w:val="005C46DA"/>
    <w:rsid w:val="005E5BD1"/>
    <w:rsid w:val="00603A57"/>
    <w:rsid w:val="00607089"/>
    <w:rsid w:val="00623FEC"/>
    <w:rsid w:val="006705B8"/>
    <w:rsid w:val="00670D81"/>
    <w:rsid w:val="00683D36"/>
    <w:rsid w:val="00687853"/>
    <w:rsid w:val="006918CB"/>
    <w:rsid w:val="006975F8"/>
    <w:rsid w:val="006A67E1"/>
    <w:rsid w:val="006B369A"/>
    <w:rsid w:val="006E00AF"/>
    <w:rsid w:val="00702174"/>
    <w:rsid w:val="007045EF"/>
    <w:rsid w:val="007946F9"/>
    <w:rsid w:val="007D07F6"/>
    <w:rsid w:val="00840E97"/>
    <w:rsid w:val="0087773F"/>
    <w:rsid w:val="00884899"/>
    <w:rsid w:val="00903CEE"/>
    <w:rsid w:val="00931C40"/>
    <w:rsid w:val="00937917"/>
    <w:rsid w:val="00945D7E"/>
    <w:rsid w:val="00974BE2"/>
    <w:rsid w:val="00984671"/>
    <w:rsid w:val="009870AB"/>
    <w:rsid w:val="00993A89"/>
    <w:rsid w:val="009971DB"/>
    <w:rsid w:val="009C587B"/>
    <w:rsid w:val="009C61A9"/>
    <w:rsid w:val="009C6215"/>
    <w:rsid w:val="00A11B2B"/>
    <w:rsid w:val="00A1716B"/>
    <w:rsid w:val="00A24B21"/>
    <w:rsid w:val="00A33DAE"/>
    <w:rsid w:val="00A57997"/>
    <w:rsid w:val="00A62687"/>
    <w:rsid w:val="00A80F2E"/>
    <w:rsid w:val="00AB3CE8"/>
    <w:rsid w:val="00AC4B76"/>
    <w:rsid w:val="00B46ABF"/>
    <w:rsid w:val="00BA0120"/>
    <w:rsid w:val="00BB6012"/>
    <w:rsid w:val="00BC6DE7"/>
    <w:rsid w:val="00BF0D9D"/>
    <w:rsid w:val="00C0644F"/>
    <w:rsid w:val="00C92668"/>
    <w:rsid w:val="00C96234"/>
    <w:rsid w:val="00CA197C"/>
    <w:rsid w:val="00CC4864"/>
    <w:rsid w:val="00CE2C5E"/>
    <w:rsid w:val="00D02356"/>
    <w:rsid w:val="00D42137"/>
    <w:rsid w:val="00D56B60"/>
    <w:rsid w:val="00D87BAB"/>
    <w:rsid w:val="00D939B5"/>
    <w:rsid w:val="00D95AE5"/>
    <w:rsid w:val="00DC4FE8"/>
    <w:rsid w:val="00DD1A7B"/>
    <w:rsid w:val="00DD2BBB"/>
    <w:rsid w:val="00DE2E4F"/>
    <w:rsid w:val="00E00B5D"/>
    <w:rsid w:val="00E46FED"/>
    <w:rsid w:val="00E856FE"/>
    <w:rsid w:val="00EC73C3"/>
    <w:rsid w:val="00EE310D"/>
    <w:rsid w:val="00EF58DA"/>
    <w:rsid w:val="00F56310"/>
    <w:rsid w:val="00F60CAF"/>
    <w:rsid w:val="00FA1E91"/>
    <w:rsid w:val="00FA41A6"/>
    <w:rsid w:val="00FC0A1E"/>
    <w:rsid w:val="010655B1"/>
    <w:rsid w:val="015D5423"/>
    <w:rsid w:val="016025FC"/>
    <w:rsid w:val="019D4E55"/>
    <w:rsid w:val="01B3097E"/>
    <w:rsid w:val="01B81995"/>
    <w:rsid w:val="02182ED7"/>
    <w:rsid w:val="022C5CCC"/>
    <w:rsid w:val="02823D95"/>
    <w:rsid w:val="029562D6"/>
    <w:rsid w:val="02DF0F33"/>
    <w:rsid w:val="02EF1E8A"/>
    <w:rsid w:val="02F74BED"/>
    <w:rsid w:val="04446019"/>
    <w:rsid w:val="048B2A85"/>
    <w:rsid w:val="049F5E55"/>
    <w:rsid w:val="04F50CF2"/>
    <w:rsid w:val="04F875A0"/>
    <w:rsid w:val="05045364"/>
    <w:rsid w:val="05266D05"/>
    <w:rsid w:val="06011F07"/>
    <w:rsid w:val="06351F74"/>
    <w:rsid w:val="06AE1B66"/>
    <w:rsid w:val="06AF5FC7"/>
    <w:rsid w:val="06B900B8"/>
    <w:rsid w:val="0782145E"/>
    <w:rsid w:val="07867FE9"/>
    <w:rsid w:val="078D7964"/>
    <w:rsid w:val="07DE427B"/>
    <w:rsid w:val="07F77C97"/>
    <w:rsid w:val="082A3964"/>
    <w:rsid w:val="085D113C"/>
    <w:rsid w:val="08DB2464"/>
    <w:rsid w:val="090F3F3E"/>
    <w:rsid w:val="09285B97"/>
    <w:rsid w:val="0942143F"/>
    <w:rsid w:val="09946186"/>
    <w:rsid w:val="099A1FD0"/>
    <w:rsid w:val="0A081EEC"/>
    <w:rsid w:val="0A4C5AA2"/>
    <w:rsid w:val="0A6014F4"/>
    <w:rsid w:val="0A6A568E"/>
    <w:rsid w:val="0A731FDA"/>
    <w:rsid w:val="0A7D43AC"/>
    <w:rsid w:val="0B631E61"/>
    <w:rsid w:val="0B7B1FE3"/>
    <w:rsid w:val="0BA449C3"/>
    <w:rsid w:val="0C5B233E"/>
    <w:rsid w:val="0C5C70D2"/>
    <w:rsid w:val="0C98122E"/>
    <w:rsid w:val="0C9A2F86"/>
    <w:rsid w:val="0CA77331"/>
    <w:rsid w:val="0CD4440C"/>
    <w:rsid w:val="0D15439D"/>
    <w:rsid w:val="0D1F07B3"/>
    <w:rsid w:val="0D35238D"/>
    <w:rsid w:val="0D47449D"/>
    <w:rsid w:val="0DEB5823"/>
    <w:rsid w:val="0DFC36AD"/>
    <w:rsid w:val="0E1E3E17"/>
    <w:rsid w:val="0EF8370A"/>
    <w:rsid w:val="0F0A6D3C"/>
    <w:rsid w:val="0F126BF1"/>
    <w:rsid w:val="0F3D2FCE"/>
    <w:rsid w:val="100D0BBD"/>
    <w:rsid w:val="105F163C"/>
    <w:rsid w:val="10A46ADD"/>
    <w:rsid w:val="10E7324A"/>
    <w:rsid w:val="114973EF"/>
    <w:rsid w:val="11647F5F"/>
    <w:rsid w:val="11816F22"/>
    <w:rsid w:val="11896CD7"/>
    <w:rsid w:val="11E51AFE"/>
    <w:rsid w:val="11E74B6B"/>
    <w:rsid w:val="12126CB4"/>
    <w:rsid w:val="12311821"/>
    <w:rsid w:val="125C4633"/>
    <w:rsid w:val="128A7BF7"/>
    <w:rsid w:val="12C43AFC"/>
    <w:rsid w:val="134231CE"/>
    <w:rsid w:val="13494BFB"/>
    <w:rsid w:val="138C2946"/>
    <w:rsid w:val="1484618D"/>
    <w:rsid w:val="150816BF"/>
    <w:rsid w:val="15472268"/>
    <w:rsid w:val="15B75AF7"/>
    <w:rsid w:val="15CB46A6"/>
    <w:rsid w:val="16224E4D"/>
    <w:rsid w:val="16815D1C"/>
    <w:rsid w:val="16C15F0E"/>
    <w:rsid w:val="16EA1425"/>
    <w:rsid w:val="17041914"/>
    <w:rsid w:val="1728413E"/>
    <w:rsid w:val="178A7F7B"/>
    <w:rsid w:val="17AA5713"/>
    <w:rsid w:val="17BD5C5B"/>
    <w:rsid w:val="181066D2"/>
    <w:rsid w:val="18A24E51"/>
    <w:rsid w:val="18AE75F4"/>
    <w:rsid w:val="19025E12"/>
    <w:rsid w:val="19BA0760"/>
    <w:rsid w:val="19C3747C"/>
    <w:rsid w:val="19D662F2"/>
    <w:rsid w:val="19FE4184"/>
    <w:rsid w:val="1B0F20CB"/>
    <w:rsid w:val="1B1D4DD0"/>
    <w:rsid w:val="1B2F6BA7"/>
    <w:rsid w:val="1B437D03"/>
    <w:rsid w:val="1B8973D1"/>
    <w:rsid w:val="1B99757B"/>
    <w:rsid w:val="1BB03C7D"/>
    <w:rsid w:val="1C1A5BB7"/>
    <w:rsid w:val="1C88068E"/>
    <w:rsid w:val="1CE94C7E"/>
    <w:rsid w:val="1D0132A3"/>
    <w:rsid w:val="1D035828"/>
    <w:rsid w:val="1D0A69F8"/>
    <w:rsid w:val="1D100F23"/>
    <w:rsid w:val="1D34296E"/>
    <w:rsid w:val="1D430810"/>
    <w:rsid w:val="1D554B87"/>
    <w:rsid w:val="1D6D7456"/>
    <w:rsid w:val="1DFF6B1C"/>
    <w:rsid w:val="1E263889"/>
    <w:rsid w:val="1E436F14"/>
    <w:rsid w:val="1E5B7F7C"/>
    <w:rsid w:val="1E651EA7"/>
    <w:rsid w:val="1E65704C"/>
    <w:rsid w:val="1E860B02"/>
    <w:rsid w:val="1EBD055F"/>
    <w:rsid w:val="1EEC53C1"/>
    <w:rsid w:val="1F037ABF"/>
    <w:rsid w:val="1F0C58DF"/>
    <w:rsid w:val="1F2244A6"/>
    <w:rsid w:val="1F3E6060"/>
    <w:rsid w:val="1F8025E1"/>
    <w:rsid w:val="1FD408CC"/>
    <w:rsid w:val="1FED5562"/>
    <w:rsid w:val="1FFF1208"/>
    <w:rsid w:val="20466E8C"/>
    <w:rsid w:val="209A2BF6"/>
    <w:rsid w:val="20B932A5"/>
    <w:rsid w:val="20D067E3"/>
    <w:rsid w:val="20DD2EAC"/>
    <w:rsid w:val="20E92D96"/>
    <w:rsid w:val="20F766A2"/>
    <w:rsid w:val="21041B4F"/>
    <w:rsid w:val="211D31AF"/>
    <w:rsid w:val="212D7572"/>
    <w:rsid w:val="21470119"/>
    <w:rsid w:val="214C3BAE"/>
    <w:rsid w:val="21622D08"/>
    <w:rsid w:val="21750403"/>
    <w:rsid w:val="2184175C"/>
    <w:rsid w:val="21DD7B64"/>
    <w:rsid w:val="221413B9"/>
    <w:rsid w:val="22242D54"/>
    <w:rsid w:val="2232642A"/>
    <w:rsid w:val="223D0F38"/>
    <w:rsid w:val="22464D3A"/>
    <w:rsid w:val="225622B0"/>
    <w:rsid w:val="225A62E9"/>
    <w:rsid w:val="228B7133"/>
    <w:rsid w:val="22B3118F"/>
    <w:rsid w:val="230D3D84"/>
    <w:rsid w:val="23224F5F"/>
    <w:rsid w:val="233B6121"/>
    <w:rsid w:val="236569E5"/>
    <w:rsid w:val="23BA3FC6"/>
    <w:rsid w:val="23E3562A"/>
    <w:rsid w:val="24120EBE"/>
    <w:rsid w:val="2425364C"/>
    <w:rsid w:val="243F6D24"/>
    <w:rsid w:val="247C4C34"/>
    <w:rsid w:val="24A140AE"/>
    <w:rsid w:val="24AC2947"/>
    <w:rsid w:val="24CA5542"/>
    <w:rsid w:val="24FC3F2A"/>
    <w:rsid w:val="2537192F"/>
    <w:rsid w:val="2546353E"/>
    <w:rsid w:val="254774AC"/>
    <w:rsid w:val="255F65A3"/>
    <w:rsid w:val="258626E3"/>
    <w:rsid w:val="2589240E"/>
    <w:rsid w:val="258F38AD"/>
    <w:rsid w:val="25C023EF"/>
    <w:rsid w:val="25EB1F7C"/>
    <w:rsid w:val="25F4564B"/>
    <w:rsid w:val="25F969F8"/>
    <w:rsid w:val="260060B1"/>
    <w:rsid w:val="26796F4A"/>
    <w:rsid w:val="26827708"/>
    <w:rsid w:val="26AE0482"/>
    <w:rsid w:val="26BE3237"/>
    <w:rsid w:val="27262C32"/>
    <w:rsid w:val="272F4EDD"/>
    <w:rsid w:val="273861E8"/>
    <w:rsid w:val="273D00F1"/>
    <w:rsid w:val="27A1606E"/>
    <w:rsid w:val="27A95429"/>
    <w:rsid w:val="28D24994"/>
    <w:rsid w:val="28EA3C93"/>
    <w:rsid w:val="293C79A2"/>
    <w:rsid w:val="29496766"/>
    <w:rsid w:val="298D0AFF"/>
    <w:rsid w:val="29E76B67"/>
    <w:rsid w:val="2A2F2642"/>
    <w:rsid w:val="2A3E56F6"/>
    <w:rsid w:val="2A633263"/>
    <w:rsid w:val="2A675350"/>
    <w:rsid w:val="2A906AC4"/>
    <w:rsid w:val="2AE8432B"/>
    <w:rsid w:val="2B0C0D2B"/>
    <w:rsid w:val="2B234E64"/>
    <w:rsid w:val="2B2A5829"/>
    <w:rsid w:val="2B2C7808"/>
    <w:rsid w:val="2B4A6612"/>
    <w:rsid w:val="2BDF4B0D"/>
    <w:rsid w:val="2C242F30"/>
    <w:rsid w:val="2C2C5AB4"/>
    <w:rsid w:val="2C6A4D6E"/>
    <w:rsid w:val="2CD06DD8"/>
    <w:rsid w:val="2D027262"/>
    <w:rsid w:val="2D14731D"/>
    <w:rsid w:val="2D3028B7"/>
    <w:rsid w:val="2D334285"/>
    <w:rsid w:val="2D5E607D"/>
    <w:rsid w:val="2D7B31C8"/>
    <w:rsid w:val="2D8E5E86"/>
    <w:rsid w:val="2DCE2518"/>
    <w:rsid w:val="2E112C5C"/>
    <w:rsid w:val="2E340801"/>
    <w:rsid w:val="2E866DE4"/>
    <w:rsid w:val="2E9B2390"/>
    <w:rsid w:val="2EB27755"/>
    <w:rsid w:val="2EC02441"/>
    <w:rsid w:val="2EC863C7"/>
    <w:rsid w:val="2EE84119"/>
    <w:rsid w:val="2EFA19CE"/>
    <w:rsid w:val="2F2A2D4D"/>
    <w:rsid w:val="2F2E54B8"/>
    <w:rsid w:val="2F5E19D9"/>
    <w:rsid w:val="2F654979"/>
    <w:rsid w:val="2FB7406E"/>
    <w:rsid w:val="2FC751F2"/>
    <w:rsid w:val="2FCA7FFE"/>
    <w:rsid w:val="2FD75B1D"/>
    <w:rsid w:val="2FDB1D24"/>
    <w:rsid w:val="2FEB1DFE"/>
    <w:rsid w:val="3010766D"/>
    <w:rsid w:val="304B5BDC"/>
    <w:rsid w:val="3054538E"/>
    <w:rsid w:val="30753757"/>
    <w:rsid w:val="312611B6"/>
    <w:rsid w:val="313D7346"/>
    <w:rsid w:val="31C477D6"/>
    <w:rsid w:val="323C58A6"/>
    <w:rsid w:val="32B11318"/>
    <w:rsid w:val="32C06869"/>
    <w:rsid w:val="332A03AE"/>
    <w:rsid w:val="3331759D"/>
    <w:rsid w:val="33B55B9F"/>
    <w:rsid w:val="33BA52ED"/>
    <w:rsid w:val="33CB0C74"/>
    <w:rsid w:val="33DD5AED"/>
    <w:rsid w:val="34244371"/>
    <w:rsid w:val="345F6166"/>
    <w:rsid w:val="34E15963"/>
    <w:rsid w:val="34F51070"/>
    <w:rsid w:val="35727C2D"/>
    <w:rsid w:val="35B212FA"/>
    <w:rsid w:val="35C673C5"/>
    <w:rsid w:val="35CD711E"/>
    <w:rsid w:val="35CF536D"/>
    <w:rsid w:val="36933369"/>
    <w:rsid w:val="36A25157"/>
    <w:rsid w:val="36BD576F"/>
    <w:rsid w:val="36D36F20"/>
    <w:rsid w:val="36DB190F"/>
    <w:rsid w:val="36E257BD"/>
    <w:rsid w:val="36F823B4"/>
    <w:rsid w:val="3701042F"/>
    <w:rsid w:val="371D536D"/>
    <w:rsid w:val="37373A04"/>
    <w:rsid w:val="37537E51"/>
    <w:rsid w:val="37C44AB6"/>
    <w:rsid w:val="37C85386"/>
    <w:rsid w:val="37ED0850"/>
    <w:rsid w:val="38136029"/>
    <w:rsid w:val="38207E14"/>
    <w:rsid w:val="38631313"/>
    <w:rsid w:val="389425B0"/>
    <w:rsid w:val="38C015D8"/>
    <w:rsid w:val="38C62993"/>
    <w:rsid w:val="39595C88"/>
    <w:rsid w:val="39FA4B0D"/>
    <w:rsid w:val="3A0045B7"/>
    <w:rsid w:val="3A2F1883"/>
    <w:rsid w:val="3AB14612"/>
    <w:rsid w:val="3ADC4083"/>
    <w:rsid w:val="3AF67FC7"/>
    <w:rsid w:val="3B2B6D8A"/>
    <w:rsid w:val="3B436C8A"/>
    <w:rsid w:val="3BAA5EF0"/>
    <w:rsid w:val="3C2B5E46"/>
    <w:rsid w:val="3C466D4E"/>
    <w:rsid w:val="3C525E6D"/>
    <w:rsid w:val="3C8C1462"/>
    <w:rsid w:val="3C9B0F57"/>
    <w:rsid w:val="3CB03D04"/>
    <w:rsid w:val="3CCC59CF"/>
    <w:rsid w:val="3CEC0482"/>
    <w:rsid w:val="3D0A305F"/>
    <w:rsid w:val="3D0C77D1"/>
    <w:rsid w:val="3D5C1F4C"/>
    <w:rsid w:val="3D7B3637"/>
    <w:rsid w:val="3DAE273F"/>
    <w:rsid w:val="3DD2747B"/>
    <w:rsid w:val="3DD504CF"/>
    <w:rsid w:val="3E17575E"/>
    <w:rsid w:val="3E475944"/>
    <w:rsid w:val="3E6B07AE"/>
    <w:rsid w:val="3E813523"/>
    <w:rsid w:val="3EA61F09"/>
    <w:rsid w:val="3ECB7693"/>
    <w:rsid w:val="3ED166B5"/>
    <w:rsid w:val="3EDC0ECC"/>
    <w:rsid w:val="3F386265"/>
    <w:rsid w:val="3F5F279F"/>
    <w:rsid w:val="3F7755AE"/>
    <w:rsid w:val="3FCA75B6"/>
    <w:rsid w:val="3FDA5D85"/>
    <w:rsid w:val="3FDC007D"/>
    <w:rsid w:val="3FDC1BEE"/>
    <w:rsid w:val="3FF677DC"/>
    <w:rsid w:val="4010076F"/>
    <w:rsid w:val="4067023A"/>
    <w:rsid w:val="407960B9"/>
    <w:rsid w:val="40AB650D"/>
    <w:rsid w:val="40F26D3D"/>
    <w:rsid w:val="411042AB"/>
    <w:rsid w:val="412A3AB2"/>
    <w:rsid w:val="415E375B"/>
    <w:rsid w:val="41E622FE"/>
    <w:rsid w:val="41EC2792"/>
    <w:rsid w:val="41FC46FC"/>
    <w:rsid w:val="423B1FAB"/>
    <w:rsid w:val="42555758"/>
    <w:rsid w:val="427E58A6"/>
    <w:rsid w:val="428916B8"/>
    <w:rsid w:val="428B04D9"/>
    <w:rsid w:val="428D6C56"/>
    <w:rsid w:val="428E62FD"/>
    <w:rsid w:val="42A5126A"/>
    <w:rsid w:val="42CE10AD"/>
    <w:rsid w:val="42D37FA3"/>
    <w:rsid w:val="42FB288E"/>
    <w:rsid w:val="432C1DDE"/>
    <w:rsid w:val="43566DE0"/>
    <w:rsid w:val="435C3C0F"/>
    <w:rsid w:val="43985884"/>
    <w:rsid w:val="43AF5C05"/>
    <w:rsid w:val="43D84B8A"/>
    <w:rsid w:val="4425491B"/>
    <w:rsid w:val="44316167"/>
    <w:rsid w:val="4496509A"/>
    <w:rsid w:val="44BD25D7"/>
    <w:rsid w:val="44CE18F2"/>
    <w:rsid w:val="44DC3EAF"/>
    <w:rsid w:val="450A60D4"/>
    <w:rsid w:val="452F1464"/>
    <w:rsid w:val="4571572A"/>
    <w:rsid w:val="45AE628A"/>
    <w:rsid w:val="45B94D73"/>
    <w:rsid w:val="45CC1B37"/>
    <w:rsid w:val="46277AF8"/>
    <w:rsid w:val="464B166D"/>
    <w:rsid w:val="466963C3"/>
    <w:rsid w:val="467D6E06"/>
    <w:rsid w:val="46A63BDA"/>
    <w:rsid w:val="46CC47DE"/>
    <w:rsid w:val="46F956FF"/>
    <w:rsid w:val="4757103F"/>
    <w:rsid w:val="478E39F4"/>
    <w:rsid w:val="47E72C10"/>
    <w:rsid w:val="47FE7C7B"/>
    <w:rsid w:val="483C5694"/>
    <w:rsid w:val="484F3AB2"/>
    <w:rsid w:val="487C233F"/>
    <w:rsid w:val="49125FFB"/>
    <w:rsid w:val="491C4628"/>
    <w:rsid w:val="492E0F85"/>
    <w:rsid w:val="4934128E"/>
    <w:rsid w:val="49374014"/>
    <w:rsid w:val="49542533"/>
    <w:rsid w:val="49601160"/>
    <w:rsid w:val="497A283B"/>
    <w:rsid w:val="49D74833"/>
    <w:rsid w:val="49E40606"/>
    <w:rsid w:val="49FD2121"/>
    <w:rsid w:val="4A144EDF"/>
    <w:rsid w:val="4A347F41"/>
    <w:rsid w:val="4A646DC5"/>
    <w:rsid w:val="4A7E62C5"/>
    <w:rsid w:val="4A986E6F"/>
    <w:rsid w:val="4AC24D5B"/>
    <w:rsid w:val="4B01452B"/>
    <w:rsid w:val="4BBE6C52"/>
    <w:rsid w:val="4BDC377E"/>
    <w:rsid w:val="4BFB49C8"/>
    <w:rsid w:val="4C017E1B"/>
    <w:rsid w:val="4C1363D0"/>
    <w:rsid w:val="4C1C0A2E"/>
    <w:rsid w:val="4C3479F8"/>
    <w:rsid w:val="4C491608"/>
    <w:rsid w:val="4C4B0ACB"/>
    <w:rsid w:val="4C656C82"/>
    <w:rsid w:val="4CDB7E70"/>
    <w:rsid w:val="4DB56DF9"/>
    <w:rsid w:val="4DD47E42"/>
    <w:rsid w:val="4E3A6FE6"/>
    <w:rsid w:val="4F0612C4"/>
    <w:rsid w:val="4F2E2832"/>
    <w:rsid w:val="4F9D33AA"/>
    <w:rsid w:val="4FE45773"/>
    <w:rsid w:val="4FE9510E"/>
    <w:rsid w:val="4FF90A4F"/>
    <w:rsid w:val="50263CE3"/>
    <w:rsid w:val="50461608"/>
    <w:rsid w:val="50AD00DD"/>
    <w:rsid w:val="50BC61A9"/>
    <w:rsid w:val="50E81293"/>
    <w:rsid w:val="513E350D"/>
    <w:rsid w:val="51EE7633"/>
    <w:rsid w:val="522C172E"/>
    <w:rsid w:val="522F4A6C"/>
    <w:rsid w:val="524424F9"/>
    <w:rsid w:val="52521009"/>
    <w:rsid w:val="52532C9B"/>
    <w:rsid w:val="52731FBD"/>
    <w:rsid w:val="52AA6800"/>
    <w:rsid w:val="52B4672F"/>
    <w:rsid w:val="52C16224"/>
    <w:rsid w:val="53140B1A"/>
    <w:rsid w:val="5316330F"/>
    <w:rsid w:val="5356503E"/>
    <w:rsid w:val="53681F20"/>
    <w:rsid w:val="537072A8"/>
    <w:rsid w:val="53E24AE6"/>
    <w:rsid w:val="54623775"/>
    <w:rsid w:val="54931516"/>
    <w:rsid w:val="54DB1A72"/>
    <w:rsid w:val="54F46459"/>
    <w:rsid w:val="550C072E"/>
    <w:rsid w:val="55941547"/>
    <w:rsid w:val="567B088A"/>
    <w:rsid w:val="5689496C"/>
    <w:rsid w:val="56BD3C31"/>
    <w:rsid w:val="56DC5010"/>
    <w:rsid w:val="56E90F5B"/>
    <w:rsid w:val="57174FB2"/>
    <w:rsid w:val="571B2AA2"/>
    <w:rsid w:val="573C16D0"/>
    <w:rsid w:val="5744373B"/>
    <w:rsid w:val="57B462A2"/>
    <w:rsid w:val="57E417E0"/>
    <w:rsid w:val="58024DF3"/>
    <w:rsid w:val="58144D0D"/>
    <w:rsid w:val="5854214C"/>
    <w:rsid w:val="58634CBB"/>
    <w:rsid w:val="589B3CDA"/>
    <w:rsid w:val="58B406F4"/>
    <w:rsid w:val="58FA2E94"/>
    <w:rsid w:val="591311F4"/>
    <w:rsid w:val="598B6E78"/>
    <w:rsid w:val="59E3160A"/>
    <w:rsid w:val="59F36F78"/>
    <w:rsid w:val="5A222E87"/>
    <w:rsid w:val="5A5D23AA"/>
    <w:rsid w:val="5A67064A"/>
    <w:rsid w:val="5A9D1E29"/>
    <w:rsid w:val="5AF25EAC"/>
    <w:rsid w:val="5B610C19"/>
    <w:rsid w:val="5B622594"/>
    <w:rsid w:val="5B9938B6"/>
    <w:rsid w:val="5B9A46F8"/>
    <w:rsid w:val="5BE04FA6"/>
    <w:rsid w:val="5C0E15D9"/>
    <w:rsid w:val="5C980D2D"/>
    <w:rsid w:val="5CD019AE"/>
    <w:rsid w:val="5CD94A7D"/>
    <w:rsid w:val="5D063158"/>
    <w:rsid w:val="5D083339"/>
    <w:rsid w:val="5D194912"/>
    <w:rsid w:val="5D50269A"/>
    <w:rsid w:val="5D7C7518"/>
    <w:rsid w:val="5D9E4D24"/>
    <w:rsid w:val="5DAC0455"/>
    <w:rsid w:val="5DE762B7"/>
    <w:rsid w:val="5E47553D"/>
    <w:rsid w:val="5E7333A8"/>
    <w:rsid w:val="5E793C16"/>
    <w:rsid w:val="5E7F7895"/>
    <w:rsid w:val="5E803118"/>
    <w:rsid w:val="5E814C0F"/>
    <w:rsid w:val="5EB01642"/>
    <w:rsid w:val="5ECF2E97"/>
    <w:rsid w:val="5FDE5D3B"/>
    <w:rsid w:val="5FE51D43"/>
    <w:rsid w:val="60125AAD"/>
    <w:rsid w:val="601812AE"/>
    <w:rsid w:val="606A3125"/>
    <w:rsid w:val="607A6756"/>
    <w:rsid w:val="60C16F3B"/>
    <w:rsid w:val="60F65306"/>
    <w:rsid w:val="619D77B2"/>
    <w:rsid w:val="61A51B3C"/>
    <w:rsid w:val="61FD4BCF"/>
    <w:rsid w:val="623E513D"/>
    <w:rsid w:val="624C33EF"/>
    <w:rsid w:val="627F5BA7"/>
    <w:rsid w:val="62A14995"/>
    <w:rsid w:val="631B2E02"/>
    <w:rsid w:val="637D18D6"/>
    <w:rsid w:val="64076927"/>
    <w:rsid w:val="640A75BF"/>
    <w:rsid w:val="64106469"/>
    <w:rsid w:val="643150EF"/>
    <w:rsid w:val="646E05FC"/>
    <w:rsid w:val="647E6B7A"/>
    <w:rsid w:val="64943E02"/>
    <w:rsid w:val="64A50DAF"/>
    <w:rsid w:val="65143E8E"/>
    <w:rsid w:val="65312DB1"/>
    <w:rsid w:val="654B3E0B"/>
    <w:rsid w:val="65701DAF"/>
    <w:rsid w:val="65734A62"/>
    <w:rsid w:val="65AD65C0"/>
    <w:rsid w:val="65EF6895"/>
    <w:rsid w:val="65F57186"/>
    <w:rsid w:val="6601697A"/>
    <w:rsid w:val="6608394C"/>
    <w:rsid w:val="660F775A"/>
    <w:rsid w:val="66180736"/>
    <w:rsid w:val="66B40F4E"/>
    <w:rsid w:val="66E81BF7"/>
    <w:rsid w:val="67224816"/>
    <w:rsid w:val="67420095"/>
    <w:rsid w:val="67697CCC"/>
    <w:rsid w:val="676E23A2"/>
    <w:rsid w:val="67A34B94"/>
    <w:rsid w:val="67A755AC"/>
    <w:rsid w:val="67BE6D26"/>
    <w:rsid w:val="67E513DC"/>
    <w:rsid w:val="67E857A9"/>
    <w:rsid w:val="68072700"/>
    <w:rsid w:val="68384D1D"/>
    <w:rsid w:val="684923CA"/>
    <w:rsid w:val="687E6A36"/>
    <w:rsid w:val="68A76C8B"/>
    <w:rsid w:val="68BA3005"/>
    <w:rsid w:val="68DD2EC8"/>
    <w:rsid w:val="693401BB"/>
    <w:rsid w:val="69356E2B"/>
    <w:rsid w:val="69584DB0"/>
    <w:rsid w:val="69910253"/>
    <w:rsid w:val="69A049DA"/>
    <w:rsid w:val="69BB1409"/>
    <w:rsid w:val="69CF1EED"/>
    <w:rsid w:val="69E629B4"/>
    <w:rsid w:val="69F20F61"/>
    <w:rsid w:val="6A303F94"/>
    <w:rsid w:val="6A4960ED"/>
    <w:rsid w:val="6A5F3B13"/>
    <w:rsid w:val="6A9C3978"/>
    <w:rsid w:val="6A9F0E4D"/>
    <w:rsid w:val="6AF873C8"/>
    <w:rsid w:val="6B402E01"/>
    <w:rsid w:val="6B50669B"/>
    <w:rsid w:val="6C127F06"/>
    <w:rsid w:val="6C144A01"/>
    <w:rsid w:val="6C1C27D3"/>
    <w:rsid w:val="6C3210B3"/>
    <w:rsid w:val="6C6256CC"/>
    <w:rsid w:val="6CB90C75"/>
    <w:rsid w:val="6D48139B"/>
    <w:rsid w:val="6DA36D8A"/>
    <w:rsid w:val="6E021FD1"/>
    <w:rsid w:val="6E104026"/>
    <w:rsid w:val="6E551852"/>
    <w:rsid w:val="6E5E65A2"/>
    <w:rsid w:val="6E8F15D9"/>
    <w:rsid w:val="6ECA11E3"/>
    <w:rsid w:val="6F007327"/>
    <w:rsid w:val="6F077D6E"/>
    <w:rsid w:val="6F434296"/>
    <w:rsid w:val="6F5361F2"/>
    <w:rsid w:val="6FBA7BE3"/>
    <w:rsid w:val="702B4B0F"/>
    <w:rsid w:val="70A67E0F"/>
    <w:rsid w:val="70BF7006"/>
    <w:rsid w:val="70D10752"/>
    <w:rsid w:val="70D23AA8"/>
    <w:rsid w:val="71197EA3"/>
    <w:rsid w:val="711C37A7"/>
    <w:rsid w:val="713C3DB2"/>
    <w:rsid w:val="714F4A2B"/>
    <w:rsid w:val="715274D7"/>
    <w:rsid w:val="71B5409B"/>
    <w:rsid w:val="7207227E"/>
    <w:rsid w:val="720A0367"/>
    <w:rsid w:val="72120F22"/>
    <w:rsid w:val="729E05F7"/>
    <w:rsid w:val="72DB4A4B"/>
    <w:rsid w:val="72FB1927"/>
    <w:rsid w:val="733C6C82"/>
    <w:rsid w:val="73413A0B"/>
    <w:rsid w:val="737604CA"/>
    <w:rsid w:val="73894BAA"/>
    <w:rsid w:val="74031E70"/>
    <w:rsid w:val="743F6FC7"/>
    <w:rsid w:val="74A36100"/>
    <w:rsid w:val="74C35F1C"/>
    <w:rsid w:val="7507318D"/>
    <w:rsid w:val="75087A63"/>
    <w:rsid w:val="753A2F6E"/>
    <w:rsid w:val="7577493F"/>
    <w:rsid w:val="75F40514"/>
    <w:rsid w:val="76252C4D"/>
    <w:rsid w:val="763D52D3"/>
    <w:rsid w:val="763F1AD3"/>
    <w:rsid w:val="764B5800"/>
    <w:rsid w:val="76683E52"/>
    <w:rsid w:val="76804F78"/>
    <w:rsid w:val="76D811AB"/>
    <w:rsid w:val="776C5995"/>
    <w:rsid w:val="779043A6"/>
    <w:rsid w:val="77B409CB"/>
    <w:rsid w:val="77B73704"/>
    <w:rsid w:val="781A5362"/>
    <w:rsid w:val="78337E41"/>
    <w:rsid w:val="783F0DAF"/>
    <w:rsid w:val="788A03B6"/>
    <w:rsid w:val="78C16034"/>
    <w:rsid w:val="7955590E"/>
    <w:rsid w:val="79892D64"/>
    <w:rsid w:val="798D1378"/>
    <w:rsid w:val="799B3F11"/>
    <w:rsid w:val="79A33E26"/>
    <w:rsid w:val="79EF399B"/>
    <w:rsid w:val="79F44419"/>
    <w:rsid w:val="7A041C7B"/>
    <w:rsid w:val="7A1748A8"/>
    <w:rsid w:val="7A2A5D7E"/>
    <w:rsid w:val="7A316896"/>
    <w:rsid w:val="7A340040"/>
    <w:rsid w:val="7A355237"/>
    <w:rsid w:val="7A36055E"/>
    <w:rsid w:val="7A360F8A"/>
    <w:rsid w:val="7A4E5572"/>
    <w:rsid w:val="7AA159BD"/>
    <w:rsid w:val="7AB7745D"/>
    <w:rsid w:val="7B02280A"/>
    <w:rsid w:val="7B095F8D"/>
    <w:rsid w:val="7B352923"/>
    <w:rsid w:val="7B9F686F"/>
    <w:rsid w:val="7C4C3032"/>
    <w:rsid w:val="7C9F72EF"/>
    <w:rsid w:val="7CE87DA1"/>
    <w:rsid w:val="7D175611"/>
    <w:rsid w:val="7DA94A74"/>
    <w:rsid w:val="7DD11077"/>
    <w:rsid w:val="7DF10D8E"/>
    <w:rsid w:val="7E1049B4"/>
    <w:rsid w:val="7E141BF3"/>
    <w:rsid w:val="7E1C1474"/>
    <w:rsid w:val="7E7D7343"/>
    <w:rsid w:val="7F0E027B"/>
    <w:rsid w:val="7F6776A3"/>
    <w:rsid w:val="7F887AEF"/>
    <w:rsid w:val="7F8B5D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9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4"/>
    <w:next w:val="1"/>
    <w:link w:val="47"/>
    <w:qFormat/>
    <w:uiPriority w:val="0"/>
    <w:pPr>
      <w:keepNext/>
      <w:keepLines/>
      <w:spacing w:after="120" w:line="360" w:lineRule="auto"/>
      <w:jc w:val="left"/>
      <w:outlineLvl w:val="0"/>
    </w:pPr>
    <w:rPr>
      <w:kern w:val="44"/>
      <w:sz w:val="28"/>
      <w:szCs w:val="28"/>
    </w:rPr>
  </w:style>
  <w:style w:type="paragraph" w:styleId="5">
    <w:name w:val="heading 2"/>
    <w:basedOn w:val="1"/>
    <w:next w:val="6"/>
    <w:link w:val="75"/>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7">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paragraph" w:styleId="2">
    <w:name w:val="heading 4"/>
    <w:basedOn w:val="1"/>
    <w:next w:val="1"/>
    <w:link w:val="68"/>
    <w:qFormat/>
    <w:uiPriority w:val="0"/>
    <w:pPr>
      <w:keepNext/>
      <w:keepLines/>
      <w:widowControl w:val="0"/>
      <w:spacing w:beforeLines="50" w:beforeAutospacing="0" w:afterLines="50" w:afterAutospacing="0" w:line="360" w:lineRule="auto"/>
      <w:ind w:left="284" w:hanging="284"/>
      <w:jc w:val="center"/>
      <w:outlineLvl w:val="3"/>
    </w:pPr>
    <w:rPr>
      <w:rFonts w:ascii="Arial" w:hAnsi="Arial"/>
      <w:color w:val="000000"/>
      <w:kern w:val="2"/>
      <w:sz w:val="24"/>
      <w:szCs w:val="24"/>
    </w:rPr>
  </w:style>
  <w:style w:type="paragraph" w:styleId="8">
    <w:name w:val="heading 5"/>
    <w:basedOn w:val="2"/>
    <w:next w:val="9"/>
    <w:link w:val="69"/>
    <w:qFormat/>
    <w:uiPriority w:val="0"/>
    <w:pPr>
      <w:spacing w:line="240" w:lineRule="exact"/>
      <w:ind w:left="0" w:firstLine="0"/>
      <w:outlineLvl w:val="4"/>
    </w:pPr>
  </w:style>
  <w:style w:type="paragraph" w:styleId="10">
    <w:name w:val="heading 7"/>
    <w:basedOn w:val="1"/>
    <w:next w:val="9"/>
    <w:link w:val="70"/>
    <w:qFormat/>
    <w:uiPriority w:val="0"/>
    <w:pPr>
      <w:keepNext/>
      <w:keepLines/>
      <w:spacing w:line="320" w:lineRule="auto"/>
      <w:outlineLvl w:val="6"/>
    </w:pPr>
    <w:rPr>
      <w:b/>
      <w:sz w:val="24"/>
      <w:szCs w:val="20"/>
    </w:rPr>
  </w:style>
  <w:style w:type="paragraph" w:styleId="11">
    <w:name w:val="heading 8"/>
    <w:basedOn w:val="1"/>
    <w:next w:val="9"/>
    <w:link w:val="71"/>
    <w:qFormat/>
    <w:uiPriority w:val="0"/>
    <w:pPr>
      <w:keepNext/>
      <w:keepLines/>
      <w:spacing w:line="320" w:lineRule="auto"/>
      <w:outlineLvl w:val="7"/>
    </w:pPr>
    <w:rPr>
      <w:rFonts w:ascii="Arial" w:hAnsi="Arial" w:eastAsia="黑体"/>
      <w:sz w:val="24"/>
      <w:szCs w:val="20"/>
    </w:rPr>
  </w:style>
  <w:style w:type="paragraph" w:styleId="12">
    <w:name w:val="heading 9"/>
    <w:basedOn w:val="1"/>
    <w:next w:val="9"/>
    <w:link w:val="72"/>
    <w:qFormat/>
    <w:uiPriority w:val="0"/>
    <w:pPr>
      <w:keepNext/>
      <w:keepLines/>
      <w:spacing w:line="320" w:lineRule="auto"/>
      <w:outlineLvl w:val="8"/>
    </w:pPr>
    <w:rPr>
      <w:rFonts w:ascii="Arial" w:hAnsi="Arial" w:eastAsia="黑体"/>
      <w:szCs w:val="20"/>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Title"/>
    <w:basedOn w:val="1"/>
    <w:next w:val="1"/>
    <w:qFormat/>
    <w:uiPriority w:val="0"/>
    <w:pPr>
      <w:spacing w:before="120" w:after="60"/>
      <w:jc w:val="center"/>
    </w:pPr>
    <w:rPr>
      <w:rFonts w:ascii="Arial" w:hAnsi="Arial"/>
      <w:b/>
      <w:kern w:val="0"/>
      <w:sz w:val="44"/>
      <w:szCs w:val="20"/>
    </w:rPr>
  </w:style>
  <w:style w:type="paragraph" w:styleId="6">
    <w:name w:val="Normal Indent"/>
    <w:basedOn w:val="1"/>
    <w:next w:val="1"/>
    <w:qFormat/>
    <w:uiPriority w:val="0"/>
    <w:pPr>
      <w:ind w:firstLine="420"/>
    </w:pPr>
    <w:rPr>
      <w:szCs w:val="20"/>
    </w:rPr>
  </w:style>
  <w:style w:type="paragraph" w:customStyle="1" w:styleId="9">
    <w:name w:val="Normal Indent1"/>
    <w:basedOn w:val="1"/>
    <w:qFormat/>
    <w:uiPriority w:val="0"/>
    <w:pPr>
      <w:ind w:firstLine="420" w:firstLineChars="200"/>
    </w:pPr>
    <w:rPr>
      <w:sz w:val="30"/>
      <w:szCs w:val="24"/>
    </w:rPr>
  </w:style>
  <w:style w:type="paragraph" w:styleId="13">
    <w:name w:val="annotation text"/>
    <w:basedOn w:val="1"/>
    <w:link w:val="65"/>
    <w:qFormat/>
    <w:uiPriority w:val="0"/>
    <w:pPr>
      <w:spacing w:line="360" w:lineRule="auto"/>
      <w:ind w:firstLine="523" w:firstLineChars="218"/>
      <w:jc w:val="left"/>
    </w:pPr>
    <w:rPr>
      <w:rFonts w:ascii="宋体" w:hAnsi="宋体"/>
      <w:kern w:val="0"/>
      <w:sz w:val="24"/>
      <w:szCs w:val="24"/>
    </w:rPr>
  </w:style>
  <w:style w:type="paragraph" w:styleId="14">
    <w:name w:val="Body Text"/>
    <w:basedOn w:val="1"/>
    <w:next w:val="15"/>
    <w:link w:val="76"/>
    <w:qFormat/>
    <w:uiPriority w:val="0"/>
    <w:pPr>
      <w:spacing w:after="120"/>
    </w:pPr>
    <w:rPr>
      <w:kern w:val="0"/>
      <w:sz w:val="20"/>
      <w:szCs w:val="20"/>
    </w:rPr>
  </w:style>
  <w:style w:type="paragraph" w:styleId="15">
    <w:name w:val="Body Text Indent"/>
    <w:basedOn w:val="1"/>
    <w:link w:val="77"/>
    <w:qFormat/>
    <w:uiPriority w:val="0"/>
    <w:pPr>
      <w:ind w:firstLine="570"/>
    </w:pPr>
    <w:rPr>
      <w:kern w:val="0"/>
      <w:sz w:val="28"/>
      <w:szCs w:val="20"/>
    </w:rPr>
  </w:style>
  <w:style w:type="paragraph" w:styleId="16">
    <w:name w:val="toc 3"/>
    <w:basedOn w:val="1"/>
    <w:next w:val="1"/>
    <w:qFormat/>
    <w:uiPriority w:val="0"/>
    <w:pPr>
      <w:snapToGrid w:val="0"/>
      <w:spacing w:line="360" w:lineRule="auto"/>
      <w:ind w:left="400" w:leftChars="400"/>
      <w:jc w:val="left"/>
    </w:pPr>
    <w:rPr>
      <w:sz w:val="24"/>
      <w:szCs w:val="20"/>
    </w:rPr>
  </w:style>
  <w:style w:type="paragraph" w:styleId="17">
    <w:name w:val="Plain Text"/>
    <w:basedOn w:val="1"/>
    <w:link w:val="78"/>
    <w:qFormat/>
    <w:uiPriority w:val="0"/>
    <w:rPr>
      <w:rFonts w:ascii="宋体" w:hAnsi="Courier New"/>
      <w:kern w:val="0"/>
      <w:sz w:val="20"/>
      <w:szCs w:val="20"/>
    </w:rPr>
  </w:style>
  <w:style w:type="paragraph" w:styleId="18">
    <w:name w:val="Date"/>
    <w:basedOn w:val="1"/>
    <w:next w:val="1"/>
    <w:qFormat/>
    <w:uiPriority w:val="99"/>
    <w:rPr>
      <w:kern w:val="0"/>
      <w:sz w:val="20"/>
      <w:szCs w:val="20"/>
    </w:rPr>
  </w:style>
  <w:style w:type="paragraph" w:styleId="19">
    <w:name w:val="Body Text Indent 2"/>
    <w:basedOn w:val="1"/>
    <w:link w:val="73"/>
    <w:qFormat/>
    <w:uiPriority w:val="0"/>
    <w:pPr>
      <w:spacing w:line="480" w:lineRule="auto"/>
      <w:ind w:left="420" w:leftChars="200"/>
    </w:pPr>
    <w:rPr>
      <w:sz w:val="30"/>
      <w:szCs w:val="24"/>
    </w:rPr>
  </w:style>
  <w:style w:type="paragraph" w:styleId="20">
    <w:name w:val="Balloon Text"/>
    <w:basedOn w:val="1"/>
    <w:link w:val="67"/>
    <w:qFormat/>
    <w:uiPriority w:val="0"/>
    <w:rPr>
      <w:sz w:val="18"/>
      <w:szCs w:val="18"/>
    </w:rPr>
  </w:style>
  <w:style w:type="paragraph" w:styleId="21">
    <w:name w:val="footer"/>
    <w:basedOn w:val="1"/>
    <w:link w:val="79"/>
    <w:unhideWhenUsed/>
    <w:qFormat/>
    <w:uiPriority w:val="0"/>
    <w:pPr>
      <w:tabs>
        <w:tab w:val="center" w:pos="4153"/>
        <w:tab w:val="right" w:pos="8306"/>
      </w:tabs>
      <w:snapToGrid w:val="0"/>
      <w:jc w:val="left"/>
    </w:pPr>
    <w:rPr>
      <w:rFonts w:ascii="Calibri" w:hAnsi="Calibri"/>
      <w:kern w:val="0"/>
      <w:sz w:val="18"/>
      <w:szCs w:val="18"/>
    </w:rPr>
  </w:style>
  <w:style w:type="paragraph" w:styleId="22">
    <w:name w:val="header"/>
    <w:basedOn w:val="1"/>
    <w:link w:val="80"/>
    <w:unhideWhenUsed/>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23">
    <w:name w:val="toc 1"/>
    <w:basedOn w:val="1"/>
    <w:next w:val="1"/>
    <w:qFormat/>
    <w:uiPriority w:val="0"/>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24">
    <w:name w:val="Body Text Indent 3"/>
    <w:basedOn w:val="1"/>
    <w:link w:val="74"/>
    <w:qFormat/>
    <w:uiPriority w:val="0"/>
    <w:pPr>
      <w:ind w:left="420" w:leftChars="200"/>
    </w:pPr>
    <w:rPr>
      <w:sz w:val="16"/>
      <w:szCs w:val="16"/>
    </w:rPr>
  </w:style>
  <w:style w:type="paragraph" w:styleId="25">
    <w:name w:val="toc 2"/>
    <w:basedOn w:val="1"/>
    <w:next w:val="1"/>
    <w:qFormat/>
    <w:uiPriority w:val="99"/>
    <w:pPr>
      <w:tabs>
        <w:tab w:val="right" w:leader="dot" w:pos="9060"/>
      </w:tabs>
      <w:snapToGrid w:val="0"/>
      <w:spacing w:line="360" w:lineRule="auto"/>
      <w:ind w:left="420" w:leftChars="200"/>
      <w:jc w:val="left"/>
    </w:pPr>
    <w:rPr>
      <w:sz w:val="24"/>
      <w:szCs w:val="24"/>
    </w:rPr>
  </w:style>
  <w:style w:type="paragraph" w:styleId="26">
    <w:name w:val="Body Text 2"/>
    <w:basedOn w:val="1"/>
    <w:qFormat/>
    <w:uiPriority w:val="0"/>
    <w:rPr>
      <w:rFonts w:ascii="宋体" w:hAnsi="宋体"/>
      <w:kern w:val="0"/>
      <w:sz w:val="20"/>
      <w:szCs w:val="24"/>
      <w:u w:val="single"/>
    </w:rPr>
  </w:style>
  <w:style w:type="paragraph" w:styleId="2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28">
    <w:name w:val="annotation subject"/>
    <w:basedOn w:val="13"/>
    <w:next w:val="13"/>
    <w:link w:val="66"/>
    <w:qFormat/>
    <w:uiPriority w:val="0"/>
    <w:pPr>
      <w:spacing w:line="240" w:lineRule="auto"/>
      <w:ind w:firstLine="0" w:firstLineChars="0"/>
    </w:pPr>
    <w:rPr>
      <w:rFonts w:ascii="Times New Roman" w:hAnsi="Times New Roman"/>
      <w:b/>
      <w:bCs/>
      <w:kern w:val="2"/>
      <w:sz w:val="21"/>
      <w:szCs w:val="22"/>
    </w:rPr>
  </w:style>
  <w:style w:type="paragraph" w:styleId="29">
    <w:name w:val="Body Text First Indent"/>
    <w:basedOn w:val="14"/>
    <w:link w:val="81"/>
    <w:qFormat/>
    <w:uiPriority w:val="0"/>
    <w:pPr>
      <w:ind w:firstLine="420"/>
    </w:pPr>
  </w:style>
  <w:style w:type="paragraph" w:styleId="30">
    <w:name w:val="Body Text First Indent 2"/>
    <w:basedOn w:val="15"/>
    <w:unhideWhenUsed/>
    <w:qFormat/>
    <w:uiPriority w:val="0"/>
    <w:pPr>
      <w:ind w:firstLine="420" w:firstLineChars="200"/>
    </w:pPr>
    <w:rPr>
      <w:sz w:val="21"/>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rPr>
  </w:style>
  <w:style w:type="character" w:styleId="35">
    <w:name w:val="page number"/>
    <w:basedOn w:val="33"/>
    <w:qFormat/>
    <w:uiPriority w:val="0"/>
    <w:rPr>
      <w:rFonts w:cs="Times New Roman"/>
    </w:rPr>
  </w:style>
  <w:style w:type="character" w:styleId="36">
    <w:name w:val="Hyperlink"/>
    <w:qFormat/>
    <w:uiPriority w:val="0"/>
    <w:rPr>
      <w:color w:val="0000FF"/>
      <w:u w:val="single"/>
    </w:rPr>
  </w:style>
  <w:style w:type="character" w:styleId="37">
    <w:name w:val="annotation reference"/>
    <w:basedOn w:val="33"/>
    <w:qFormat/>
    <w:uiPriority w:val="0"/>
    <w:rPr>
      <w:sz w:val="21"/>
      <w:szCs w:val="21"/>
    </w:rPr>
  </w:style>
  <w:style w:type="character" w:customStyle="1" w:styleId="38">
    <w:name w:val="font51"/>
    <w:qFormat/>
    <w:uiPriority w:val="0"/>
    <w:rPr>
      <w:rFonts w:hint="eastAsia" w:ascii="宋体" w:hAnsi="宋体" w:eastAsia="宋体"/>
      <w:color w:val="000000"/>
      <w:sz w:val="24"/>
      <w:szCs w:val="24"/>
      <w:u w:val="none"/>
    </w:rPr>
  </w:style>
  <w:style w:type="character" w:customStyle="1" w:styleId="39">
    <w:name w:val="font11"/>
    <w:basedOn w:val="33"/>
    <w:qFormat/>
    <w:uiPriority w:val="0"/>
    <w:rPr>
      <w:rFonts w:hint="eastAsia" w:ascii="宋体" w:hAnsi="宋体" w:eastAsia="宋体"/>
      <w:color w:val="000000"/>
      <w:sz w:val="24"/>
      <w:szCs w:val="24"/>
      <w:u w:val="single"/>
    </w:rPr>
  </w:style>
  <w:style w:type="paragraph" w:customStyle="1" w:styleId="40">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41">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42">
    <w:name w:val="正文文本缩进 New New"/>
    <w:basedOn w:val="1"/>
    <w:qFormat/>
    <w:uiPriority w:val="0"/>
    <w:pPr>
      <w:spacing w:after="120"/>
      <w:ind w:left="420" w:leftChars="200"/>
    </w:pPr>
    <w:rPr>
      <w:rFonts w:eastAsia="楷体_GB2312"/>
      <w:szCs w:val="20"/>
    </w:rPr>
  </w:style>
  <w:style w:type="paragraph" w:customStyle="1" w:styleId="43">
    <w:name w:val="表头"/>
    <w:basedOn w:val="1"/>
    <w:qFormat/>
    <w:uiPriority w:val="0"/>
    <w:pPr>
      <w:spacing w:line="360" w:lineRule="auto"/>
      <w:jc w:val="center"/>
    </w:pPr>
    <w:rPr>
      <w:rFonts w:ascii="黑体" w:eastAsia="黑体"/>
      <w:kern w:val="0"/>
      <w:sz w:val="24"/>
      <w:szCs w:val="20"/>
    </w:rPr>
  </w:style>
  <w:style w:type="paragraph" w:customStyle="1" w:styleId="44">
    <w:name w:val="正文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45">
    <w:name w:val="文一"/>
    <w:basedOn w:val="1"/>
    <w:next w:val="1"/>
    <w:qFormat/>
    <w:uiPriority w:val="0"/>
    <w:pPr>
      <w:topLinePunct/>
      <w:adjustRightInd w:val="0"/>
      <w:snapToGrid w:val="0"/>
      <w:spacing w:line="360" w:lineRule="auto"/>
      <w:ind w:firstLine="200" w:firstLineChars="200"/>
    </w:pPr>
    <w:rPr>
      <w:rFonts w:ascii="宋体" w:hAnsi="宋体"/>
      <w:spacing w:val="4"/>
      <w:sz w:val="24"/>
      <w:szCs w:val="24"/>
    </w:rPr>
  </w:style>
  <w:style w:type="paragraph" w:customStyle="1" w:styleId="46">
    <w:name w:val="正题"/>
    <w:basedOn w:val="45"/>
    <w:next w:val="45"/>
    <w:qFormat/>
    <w:uiPriority w:val="0"/>
    <w:pPr>
      <w:ind w:firstLine="0" w:firstLineChars="0"/>
      <w:jc w:val="center"/>
    </w:pPr>
    <w:rPr>
      <w:rFonts w:eastAsia="黑体"/>
      <w:b/>
      <w:sz w:val="36"/>
      <w:szCs w:val="36"/>
    </w:rPr>
  </w:style>
  <w:style w:type="character" w:customStyle="1" w:styleId="47">
    <w:name w:val="标题 1 Char"/>
    <w:link w:val="3"/>
    <w:qFormat/>
    <w:uiPriority w:val="0"/>
    <w:rPr>
      <w:kern w:val="44"/>
      <w:sz w:val="28"/>
      <w:szCs w:val="28"/>
    </w:rPr>
  </w:style>
  <w:style w:type="paragraph" w:customStyle="1" w:styleId="48">
    <w:name w:val="样式 宋体 四号 首行缩进:  2 字符"/>
    <w:basedOn w:val="1"/>
    <w:qFormat/>
    <w:uiPriority w:val="0"/>
    <w:pPr>
      <w:widowControl/>
    </w:pPr>
    <w:rPr>
      <w:rFonts w:cs="宋体"/>
      <w:color w:val="000000"/>
      <w:kern w:val="0"/>
      <w:szCs w:val="20"/>
    </w:rPr>
  </w:style>
  <w:style w:type="paragraph" w:styleId="49">
    <w:name w:val="No Spacing"/>
    <w:basedOn w:val="1"/>
    <w:qFormat/>
    <w:uiPriority w:val="0"/>
    <w:rPr>
      <w:sz w:val="22"/>
      <w:szCs w:val="20"/>
    </w:rPr>
  </w:style>
  <w:style w:type="paragraph" w:customStyle="1" w:styleId="50">
    <w:name w:val="PlainText"/>
    <w:basedOn w:val="1"/>
    <w:qFormat/>
    <w:uiPriority w:val="0"/>
    <w:rPr>
      <w:rFonts w:ascii="宋体" w:hAnsi="Courier New"/>
      <w:kern w:val="0"/>
      <w:sz w:val="20"/>
      <w:szCs w:val="20"/>
    </w:rPr>
  </w:style>
  <w:style w:type="paragraph" w:customStyle="1" w:styleId="51">
    <w:name w:val="章节三"/>
    <w:basedOn w:val="45"/>
    <w:next w:val="1"/>
    <w:qFormat/>
    <w:uiPriority w:val="0"/>
    <w:pPr>
      <w:spacing w:beforeLines="50" w:line="240" w:lineRule="auto"/>
      <w:ind w:firstLine="0" w:firstLineChars="0"/>
      <w:jc w:val="left"/>
      <w:outlineLvl w:val="2"/>
    </w:pPr>
    <w:rPr>
      <w:rFonts w:ascii="黑体" w:eastAsia="黑体"/>
      <w:b/>
    </w:rPr>
  </w:style>
  <w:style w:type="paragraph" w:customStyle="1" w:styleId="52">
    <w:name w:val="封二"/>
    <w:basedOn w:val="45"/>
    <w:next w:val="45"/>
    <w:qFormat/>
    <w:uiPriority w:val="0"/>
    <w:pPr>
      <w:ind w:firstLine="0" w:firstLineChars="0"/>
      <w:jc w:val="center"/>
    </w:pPr>
    <w:rPr>
      <w:rFonts w:eastAsia="黑体"/>
      <w:b/>
      <w:sz w:val="36"/>
      <w:szCs w:val="36"/>
    </w:rPr>
  </w:style>
  <w:style w:type="paragraph" w:customStyle="1" w:styleId="53">
    <w:name w:val="封一"/>
    <w:basedOn w:val="45"/>
    <w:next w:val="45"/>
    <w:qFormat/>
    <w:uiPriority w:val="0"/>
    <w:pPr>
      <w:ind w:firstLine="0" w:firstLineChars="0"/>
      <w:jc w:val="center"/>
    </w:pPr>
    <w:rPr>
      <w:rFonts w:eastAsia="黑体"/>
      <w:b/>
      <w:sz w:val="84"/>
      <w:szCs w:val="84"/>
    </w:rPr>
  </w:style>
  <w:style w:type="paragraph" w:customStyle="1" w:styleId="54">
    <w:name w:val="封四"/>
    <w:basedOn w:val="45"/>
    <w:next w:val="45"/>
    <w:qFormat/>
    <w:uiPriority w:val="0"/>
    <w:pPr>
      <w:jc w:val="left"/>
    </w:pPr>
    <w:rPr>
      <w:sz w:val="30"/>
      <w:szCs w:val="30"/>
    </w:rPr>
  </w:style>
  <w:style w:type="paragraph" w:customStyle="1" w:styleId="55">
    <w:name w:val="正文文本缩进1"/>
    <w:basedOn w:val="1"/>
    <w:qFormat/>
    <w:uiPriority w:val="0"/>
    <w:pPr>
      <w:ind w:firstLine="480"/>
    </w:pPr>
    <w:rPr>
      <w:sz w:val="24"/>
      <w:szCs w:val="20"/>
    </w:rPr>
  </w:style>
  <w:style w:type="paragraph" w:customStyle="1" w:styleId="56">
    <w:name w:val="正文文本缩进 31"/>
    <w:basedOn w:val="1"/>
    <w:qFormat/>
    <w:uiPriority w:val="0"/>
    <w:pPr>
      <w:snapToGrid w:val="0"/>
      <w:spacing w:line="360" w:lineRule="auto"/>
      <w:ind w:left="20" w:firstLine="529" w:firstLineChars="189"/>
    </w:pPr>
    <w:rPr>
      <w:rFonts w:ascii="仿宋_GB2312" w:eastAsia="仿宋_GB2312"/>
      <w:sz w:val="28"/>
    </w:rPr>
  </w:style>
  <w:style w:type="paragraph" w:customStyle="1" w:styleId="57">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
    <w:name w:val="正文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59">
    <w:name w:val="正文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
    <w:name w:val="正文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
    <w:name w:val="正文 New New New New New New New New New New New New New New New New New New New"/>
    <w:qFormat/>
    <w:uiPriority w:val="0"/>
    <w:pPr>
      <w:widowControl w:val="0"/>
      <w:jc w:val="both"/>
    </w:pPr>
    <w:rPr>
      <w:rFonts w:ascii="仿宋_GB2312" w:hAnsi="仿宋_GB2312" w:eastAsia="宋体" w:cs="宋体"/>
      <w:snapToGrid w:val="0"/>
      <w:sz w:val="21"/>
      <w:szCs w:val="32"/>
      <w:lang w:val="en-US" w:eastAsia="zh-CN" w:bidi="ar-SA"/>
    </w:rPr>
  </w:style>
  <w:style w:type="paragraph" w:customStyle="1" w:styleId="62">
    <w:name w:val="正文缩进 New"/>
    <w:basedOn w:val="61"/>
    <w:qFormat/>
    <w:uiPriority w:val="0"/>
    <w:pPr>
      <w:ind w:firstLine="420"/>
    </w:pPr>
    <w:rPr>
      <w:rFonts w:ascii="Times New Roman" w:hAnsi="Times New Roman" w:cs="Times New Roman"/>
      <w:snapToGrid/>
      <w:kern w:val="2"/>
      <w:szCs w:val="20"/>
    </w:rPr>
  </w:style>
  <w:style w:type="paragraph" w:customStyle="1" w:styleId="63">
    <w:name w:val="正文文本缩进11"/>
    <w:basedOn w:val="1"/>
    <w:qFormat/>
    <w:uiPriority w:val="0"/>
    <w:pPr>
      <w:ind w:firstLine="480"/>
    </w:pPr>
    <w:rPr>
      <w:sz w:val="24"/>
      <w:szCs w:val="20"/>
    </w:rPr>
  </w:style>
  <w:style w:type="paragraph" w:customStyle="1" w:styleId="64">
    <w:name w:val="正文文本缩进 311"/>
    <w:basedOn w:val="1"/>
    <w:qFormat/>
    <w:uiPriority w:val="0"/>
    <w:pPr>
      <w:snapToGrid w:val="0"/>
      <w:spacing w:line="360" w:lineRule="auto"/>
      <w:ind w:left="20" w:firstLine="529" w:firstLineChars="189"/>
    </w:pPr>
    <w:rPr>
      <w:rFonts w:ascii="仿宋_GB2312" w:eastAsia="仿宋_GB2312"/>
      <w:sz w:val="28"/>
    </w:rPr>
  </w:style>
  <w:style w:type="character" w:customStyle="1" w:styleId="65">
    <w:name w:val="批注文字 Char"/>
    <w:basedOn w:val="33"/>
    <w:link w:val="13"/>
    <w:qFormat/>
    <w:uiPriority w:val="0"/>
    <w:rPr>
      <w:rFonts w:ascii="宋体" w:hAnsi="宋体"/>
      <w:sz w:val="24"/>
      <w:szCs w:val="24"/>
    </w:rPr>
  </w:style>
  <w:style w:type="character" w:customStyle="1" w:styleId="66">
    <w:name w:val="批注主题 Char"/>
    <w:basedOn w:val="65"/>
    <w:link w:val="28"/>
    <w:qFormat/>
    <w:uiPriority w:val="0"/>
    <w:rPr>
      <w:rFonts w:ascii="宋体" w:hAnsi="宋体"/>
      <w:sz w:val="24"/>
      <w:szCs w:val="24"/>
    </w:rPr>
  </w:style>
  <w:style w:type="character" w:customStyle="1" w:styleId="67">
    <w:name w:val="批注框文本 Char"/>
    <w:basedOn w:val="33"/>
    <w:link w:val="20"/>
    <w:qFormat/>
    <w:uiPriority w:val="0"/>
    <w:rPr>
      <w:kern w:val="2"/>
      <w:sz w:val="18"/>
      <w:szCs w:val="18"/>
    </w:rPr>
  </w:style>
  <w:style w:type="character" w:customStyle="1" w:styleId="68">
    <w:name w:val="标题 4 Char"/>
    <w:basedOn w:val="33"/>
    <w:link w:val="2"/>
    <w:qFormat/>
    <w:uiPriority w:val="0"/>
    <w:rPr>
      <w:rFonts w:ascii="Arial" w:hAnsi="Arial"/>
      <w:color w:val="000000"/>
      <w:kern w:val="2"/>
      <w:sz w:val="24"/>
      <w:szCs w:val="24"/>
    </w:rPr>
  </w:style>
  <w:style w:type="character" w:customStyle="1" w:styleId="69">
    <w:name w:val="标题 5 Char"/>
    <w:basedOn w:val="33"/>
    <w:link w:val="8"/>
    <w:qFormat/>
    <w:uiPriority w:val="0"/>
    <w:rPr>
      <w:rFonts w:ascii="Arial" w:hAnsi="Arial"/>
      <w:color w:val="000000"/>
      <w:kern w:val="2"/>
      <w:sz w:val="24"/>
      <w:szCs w:val="24"/>
    </w:rPr>
  </w:style>
  <w:style w:type="character" w:customStyle="1" w:styleId="70">
    <w:name w:val="标题 7 Char"/>
    <w:basedOn w:val="33"/>
    <w:link w:val="10"/>
    <w:qFormat/>
    <w:uiPriority w:val="0"/>
    <w:rPr>
      <w:b/>
      <w:kern w:val="2"/>
      <w:sz w:val="24"/>
    </w:rPr>
  </w:style>
  <w:style w:type="character" w:customStyle="1" w:styleId="71">
    <w:name w:val="标题 8 Char"/>
    <w:basedOn w:val="33"/>
    <w:link w:val="11"/>
    <w:qFormat/>
    <w:uiPriority w:val="0"/>
    <w:rPr>
      <w:rFonts w:ascii="Arial" w:hAnsi="Arial" w:eastAsia="黑体"/>
      <w:kern w:val="2"/>
      <w:sz w:val="24"/>
    </w:rPr>
  </w:style>
  <w:style w:type="character" w:customStyle="1" w:styleId="72">
    <w:name w:val="标题 9 Char"/>
    <w:basedOn w:val="33"/>
    <w:link w:val="12"/>
    <w:qFormat/>
    <w:uiPriority w:val="0"/>
    <w:rPr>
      <w:rFonts w:ascii="Arial" w:hAnsi="Arial" w:eastAsia="黑体"/>
      <w:kern w:val="2"/>
      <w:sz w:val="21"/>
    </w:rPr>
  </w:style>
  <w:style w:type="character" w:customStyle="1" w:styleId="73">
    <w:name w:val="正文文本缩进 2 Char"/>
    <w:basedOn w:val="33"/>
    <w:link w:val="19"/>
    <w:qFormat/>
    <w:uiPriority w:val="0"/>
    <w:rPr>
      <w:kern w:val="2"/>
      <w:sz w:val="30"/>
      <w:szCs w:val="24"/>
    </w:rPr>
  </w:style>
  <w:style w:type="character" w:customStyle="1" w:styleId="74">
    <w:name w:val="正文文本缩进 3 Char"/>
    <w:basedOn w:val="33"/>
    <w:link w:val="24"/>
    <w:qFormat/>
    <w:uiPriority w:val="0"/>
    <w:rPr>
      <w:kern w:val="2"/>
      <w:sz w:val="16"/>
      <w:szCs w:val="16"/>
    </w:rPr>
  </w:style>
  <w:style w:type="character" w:customStyle="1" w:styleId="75">
    <w:name w:val="标题 2 Char"/>
    <w:link w:val="5"/>
    <w:qFormat/>
    <w:uiPriority w:val="0"/>
    <w:rPr>
      <w:rFonts w:ascii="Arial" w:hAnsi="Arial"/>
      <w:b/>
      <w:color w:val="000000"/>
      <w:sz w:val="24"/>
      <w:szCs w:val="24"/>
    </w:rPr>
  </w:style>
  <w:style w:type="character" w:customStyle="1" w:styleId="76">
    <w:name w:val="正文文本 Char"/>
    <w:link w:val="14"/>
    <w:qFormat/>
    <w:uiPriority w:val="0"/>
  </w:style>
  <w:style w:type="character" w:customStyle="1" w:styleId="77">
    <w:name w:val="正文文本缩进 Char"/>
    <w:link w:val="15"/>
    <w:qFormat/>
    <w:uiPriority w:val="0"/>
    <w:rPr>
      <w:sz w:val="28"/>
    </w:rPr>
  </w:style>
  <w:style w:type="character" w:customStyle="1" w:styleId="78">
    <w:name w:val="纯文本 Char"/>
    <w:link w:val="17"/>
    <w:qFormat/>
    <w:uiPriority w:val="0"/>
    <w:rPr>
      <w:rFonts w:ascii="宋体" w:hAnsi="Courier New"/>
    </w:rPr>
  </w:style>
  <w:style w:type="character" w:customStyle="1" w:styleId="79">
    <w:name w:val="页脚 Char"/>
    <w:link w:val="21"/>
    <w:qFormat/>
    <w:uiPriority w:val="0"/>
    <w:rPr>
      <w:rFonts w:ascii="Calibri" w:hAnsi="Calibri"/>
      <w:sz w:val="18"/>
      <w:szCs w:val="18"/>
    </w:rPr>
  </w:style>
  <w:style w:type="character" w:customStyle="1" w:styleId="80">
    <w:name w:val="页眉 Char"/>
    <w:link w:val="22"/>
    <w:qFormat/>
    <w:uiPriority w:val="0"/>
    <w:rPr>
      <w:rFonts w:ascii="Calibri" w:hAnsi="Calibri"/>
      <w:sz w:val="18"/>
      <w:szCs w:val="18"/>
    </w:rPr>
  </w:style>
  <w:style w:type="character" w:customStyle="1" w:styleId="81">
    <w:name w:val="正文首行缩进 Char"/>
    <w:basedOn w:val="76"/>
    <w:link w:val="29"/>
    <w:qFormat/>
    <w:uiPriority w:val="0"/>
  </w:style>
  <w:style w:type="character" w:customStyle="1" w:styleId="82">
    <w:name w:val="标题 3 Char Char"/>
    <w:qFormat/>
    <w:uiPriority w:val="0"/>
    <w:rPr>
      <w:rFonts w:ascii="宋体" w:hAnsi="宋体" w:eastAsia="宋体"/>
      <w:b/>
      <w:bCs/>
      <w:color w:val="FF0000"/>
      <w:kern w:val="2"/>
      <w:sz w:val="24"/>
      <w:szCs w:val="24"/>
      <w:lang w:val="zh-CN" w:eastAsia="zh-CN" w:bidi="ar-SA"/>
    </w:rPr>
  </w:style>
  <w:style w:type="character" w:customStyle="1" w:styleId="83">
    <w:name w:val="页码1"/>
    <w:basedOn w:val="33"/>
    <w:qFormat/>
    <w:uiPriority w:val="0"/>
  </w:style>
  <w:style w:type="paragraph" w:customStyle="1" w:styleId="84">
    <w:name w:val="Char Char Char Char"/>
    <w:basedOn w:val="85"/>
    <w:qFormat/>
    <w:uiPriority w:val="0"/>
    <w:rPr>
      <w:rFonts w:ascii="Tahoma" w:hAnsi="Tahoma"/>
      <w:sz w:val="24"/>
    </w:rPr>
  </w:style>
  <w:style w:type="paragraph" w:customStyle="1" w:styleId="85">
    <w:name w:val="文档结构图1"/>
    <w:basedOn w:val="1"/>
    <w:qFormat/>
    <w:uiPriority w:val="0"/>
    <w:pPr>
      <w:shd w:val="clear" w:color="auto" w:fill="000080"/>
    </w:pPr>
    <w:rPr>
      <w:sz w:val="30"/>
      <w:szCs w:val="24"/>
    </w:rPr>
  </w:style>
  <w:style w:type="paragraph" w:customStyle="1" w:styleId="86">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87">
    <w:name w:val="_Style 46"/>
    <w:qFormat/>
    <w:uiPriority w:val="0"/>
    <w:rPr>
      <w:rFonts w:ascii="Times New Roman" w:hAnsi="Times New Roman" w:eastAsia="宋体" w:cs="Times New Roman"/>
      <w:kern w:val="2"/>
      <w:sz w:val="30"/>
      <w:szCs w:val="24"/>
      <w:lang w:val="en-US" w:eastAsia="zh-CN" w:bidi="ar-SA"/>
    </w:rPr>
  </w:style>
  <w:style w:type="paragraph" w:customStyle="1" w:styleId="88">
    <w:name w:val="页脚 New"/>
    <w:basedOn w:val="89"/>
    <w:qFormat/>
    <w:uiPriority w:val="0"/>
    <w:pPr>
      <w:tabs>
        <w:tab w:val="center" w:pos="4153"/>
        <w:tab w:val="right" w:pos="8306"/>
      </w:tabs>
      <w:snapToGrid w:val="0"/>
      <w:jc w:val="left"/>
    </w:pPr>
    <w:rPr>
      <w:sz w:val="18"/>
    </w:rPr>
  </w:style>
  <w:style w:type="paragraph" w:customStyle="1" w:styleId="89">
    <w:name w:val="正文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0">
    <w:name w:val="正文首行缩进1"/>
    <w:basedOn w:val="14"/>
    <w:qFormat/>
    <w:uiPriority w:val="0"/>
    <w:pPr>
      <w:spacing w:after="0"/>
      <w:ind w:firstLine="420" w:firstLineChars="100"/>
    </w:pPr>
    <w:rPr>
      <w:kern w:val="2"/>
      <w:sz w:val="30"/>
      <w:szCs w:val="24"/>
    </w:rPr>
  </w:style>
  <w:style w:type="paragraph" w:customStyle="1" w:styleId="91">
    <w:name w:val="正文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2">
    <w:name w:val="正文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3">
    <w:name w:val="标题 2 New"/>
    <w:basedOn w:val="61"/>
    <w:next w:val="61"/>
    <w:qFormat/>
    <w:uiPriority w:val="0"/>
    <w:pPr>
      <w:keepNext/>
      <w:keepLines/>
      <w:spacing w:line="416" w:lineRule="auto"/>
      <w:outlineLvl w:val="1"/>
    </w:pPr>
    <w:rPr>
      <w:rFonts w:ascii="Arial" w:hAnsi="Arial" w:eastAsia="仿宋_GB2312"/>
      <w:b/>
      <w:bCs/>
      <w:sz w:val="32"/>
    </w:rPr>
  </w:style>
  <w:style w:type="paragraph" w:customStyle="1" w:styleId="94">
    <w:name w:val="正文文本 New"/>
    <w:basedOn w:val="40"/>
    <w:qFormat/>
    <w:uiPriority w:val="0"/>
    <w:rPr>
      <w:rFonts w:eastAsia="宋体"/>
      <w:kern w:val="2"/>
      <w:sz w:val="30"/>
      <w:szCs w:val="24"/>
    </w:rPr>
  </w:style>
  <w:style w:type="paragraph" w:customStyle="1" w:styleId="95">
    <w:name w:val="页眉 New"/>
    <w:basedOn w:val="89"/>
    <w:qFormat/>
    <w:uiPriority w:val="0"/>
    <w:pPr>
      <w:pBdr>
        <w:bottom w:val="single" w:color="auto" w:sz="6" w:space="1"/>
      </w:pBdr>
      <w:tabs>
        <w:tab w:val="center" w:pos="4153"/>
        <w:tab w:val="right" w:pos="8306"/>
      </w:tabs>
      <w:snapToGrid w:val="0"/>
      <w:jc w:val="center"/>
    </w:pPr>
    <w:rPr>
      <w:sz w:val="18"/>
    </w:rPr>
  </w:style>
  <w:style w:type="paragraph" w:customStyle="1" w:styleId="96">
    <w:name w:val="Char1 Char Char Char Char Char Char1"/>
    <w:basedOn w:val="58"/>
    <w:qFormat/>
    <w:uiPriority w:val="0"/>
  </w:style>
  <w:style w:type="paragraph" w:customStyle="1" w:styleId="97">
    <w:name w:val="正文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8">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0">
    <w:name w:val="正文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1">
    <w:name w:val="Char1 Char Char Char Char Char Char1 Char Char Char"/>
    <w:basedOn w:val="1"/>
    <w:qFormat/>
    <w:uiPriority w:val="0"/>
    <w:rPr>
      <w:sz w:val="30"/>
      <w:szCs w:val="24"/>
    </w:rPr>
  </w:style>
  <w:style w:type="paragraph" w:customStyle="1" w:styleId="102">
    <w:name w:val="普通(网站)1"/>
    <w:basedOn w:val="1"/>
    <w:qFormat/>
    <w:uiPriority w:val="0"/>
    <w:pPr>
      <w:widowControl/>
      <w:spacing w:line="500" w:lineRule="exact"/>
      <w:ind w:firstLine="510"/>
    </w:pPr>
    <w:rPr>
      <w:rFonts w:ascii="仿宋_GB2312" w:hAnsi="宋体" w:eastAsia="仿宋_GB2312"/>
      <w:color w:val="000000"/>
      <w:spacing w:val="-10"/>
      <w:kern w:val="0"/>
      <w:szCs w:val="20"/>
    </w:rPr>
  </w:style>
  <w:style w:type="paragraph" w:customStyle="1" w:styleId="103">
    <w:name w:val="正文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4">
    <w:name w:val="正文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正文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
    <w:name w:val="正文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
    <w:name w:val="纯文本 New"/>
    <w:basedOn w:val="40"/>
    <w:qFormat/>
    <w:uiPriority w:val="0"/>
    <w:rPr>
      <w:rFonts w:ascii="宋体" w:hAnsi="Courier New" w:eastAsia="宋体"/>
      <w:kern w:val="2"/>
      <w:sz w:val="24"/>
    </w:rPr>
  </w:style>
  <w:style w:type="paragraph" w:customStyle="1" w:styleId="108">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9">
    <w:name w:val="正文首行缩进 New"/>
    <w:basedOn w:val="94"/>
    <w:qFormat/>
    <w:uiPriority w:val="0"/>
    <w:pPr>
      <w:ind w:firstLine="420" w:firstLineChars="100"/>
    </w:pPr>
  </w:style>
  <w:style w:type="paragraph" w:customStyle="1" w:styleId="110">
    <w:name w:val="页眉 New New"/>
    <w:basedOn w:val="106"/>
    <w:qFormat/>
    <w:uiPriority w:val="0"/>
    <w:pPr>
      <w:pBdr>
        <w:bottom w:val="single" w:color="auto" w:sz="6" w:space="1"/>
      </w:pBdr>
      <w:tabs>
        <w:tab w:val="center" w:pos="4153"/>
        <w:tab w:val="right" w:pos="8306"/>
      </w:tabs>
      <w:snapToGrid w:val="0"/>
      <w:jc w:val="center"/>
    </w:pPr>
    <w:rPr>
      <w:sz w:val="18"/>
    </w:rPr>
  </w:style>
  <w:style w:type="paragraph" w:customStyle="1" w:styleId="111">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正文 New New New New New New New New New New New"/>
    <w:qFormat/>
    <w:uiPriority w:val="0"/>
    <w:pPr>
      <w:widowControl w:val="0"/>
      <w:jc w:val="both"/>
    </w:pPr>
    <w:rPr>
      <w:rFonts w:ascii="Times New Roman" w:hAnsi="Times New Roman" w:eastAsia="宋体" w:cs="Times New Roman"/>
      <w:kern w:val="2"/>
      <w:sz w:val="30"/>
      <w:szCs w:val="24"/>
      <w:lang w:val="en-US" w:eastAsia="zh-CN" w:bidi="ar-SA"/>
    </w:rPr>
  </w:style>
  <w:style w:type="paragraph" w:customStyle="1" w:styleId="113">
    <w:name w:val="Char"/>
    <w:basedOn w:val="1"/>
    <w:qFormat/>
    <w:uiPriority w:val="0"/>
    <w:pPr>
      <w:widowControl/>
      <w:spacing w:line="240" w:lineRule="exact"/>
      <w:jc w:val="left"/>
    </w:pPr>
    <w:rPr>
      <w:sz w:val="30"/>
      <w:szCs w:val="24"/>
    </w:rPr>
  </w:style>
  <w:style w:type="paragraph" w:customStyle="1" w:styleId="114">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
    <w:name w:val="正文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6">
    <w:name w:val="正文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8">
    <w:name w:val="正文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19">
    <w:name w:val="纯文本1"/>
    <w:basedOn w:val="1"/>
    <w:qFormat/>
    <w:uiPriority w:val="0"/>
    <w:rPr>
      <w:rFonts w:ascii="宋体" w:hAnsi="Courier New"/>
      <w:sz w:val="24"/>
      <w:szCs w:val="20"/>
    </w:rPr>
  </w:style>
  <w:style w:type="paragraph" w:customStyle="1" w:styleId="120">
    <w:name w:val="正文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1">
    <w:name w:val="正文 New New New New New New New New New New New New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3">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页脚 New New"/>
    <w:basedOn w:val="106"/>
    <w:qFormat/>
    <w:uiPriority w:val="0"/>
    <w:pPr>
      <w:tabs>
        <w:tab w:val="center" w:pos="4153"/>
        <w:tab w:val="right" w:pos="8306"/>
      </w:tabs>
      <w:snapToGrid w:val="0"/>
      <w:jc w:val="left"/>
    </w:pPr>
    <w:rPr>
      <w:sz w:val="18"/>
    </w:rPr>
  </w:style>
  <w:style w:type="paragraph" w:customStyle="1" w:styleId="125">
    <w:name w:val="正文文本缩进 21"/>
    <w:basedOn w:val="1"/>
    <w:qFormat/>
    <w:uiPriority w:val="0"/>
    <w:pPr>
      <w:spacing w:line="420" w:lineRule="exact"/>
      <w:ind w:firstLine="480"/>
    </w:pPr>
    <w:rPr>
      <w:b/>
      <w:sz w:val="24"/>
      <w:szCs w:val="20"/>
    </w:rPr>
  </w:style>
  <w:style w:type="paragraph" w:customStyle="1" w:styleId="126">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7">
    <w:name w:val="修订1"/>
    <w:hidden/>
    <w:unhideWhenUsed/>
    <w:qFormat/>
    <w:uiPriority w:val="99"/>
    <w:rPr>
      <w:rFonts w:ascii="Times New Roman" w:hAnsi="Times New Roman" w:eastAsia="宋体" w:cs="Times New Roman"/>
      <w:kern w:val="2"/>
      <w:sz w:val="21"/>
      <w:szCs w:val="22"/>
      <w:lang w:val="en-US" w:eastAsia="zh-CN" w:bidi="ar-SA"/>
    </w:rPr>
  </w:style>
  <w:style w:type="paragraph" w:customStyle="1" w:styleId="128">
    <w:name w:val="Revision"/>
    <w:hidden/>
    <w:unhideWhenUsed/>
    <w:qFormat/>
    <w:uiPriority w:val="99"/>
    <w:rPr>
      <w:rFonts w:ascii="Times New Roman" w:hAnsi="Times New Roman" w:eastAsia="宋体" w:cs="Times New Roman"/>
      <w:kern w:val="2"/>
      <w:sz w:val="21"/>
      <w:szCs w:val="22"/>
      <w:lang w:val="en-US" w:eastAsia="zh-CN" w:bidi="ar-SA"/>
    </w:rPr>
  </w:style>
  <w:style w:type="table" w:customStyle="1" w:styleId="129">
    <w:name w:val="网格型1"/>
    <w:basedOn w:val="3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5.emf"/><Relationship Id="rId24" Type="http://schemas.openxmlformats.org/officeDocument/2006/relationships/image" Target="media/image4.emf"/><Relationship Id="rId23" Type="http://schemas.openxmlformats.org/officeDocument/2006/relationships/image" Target="media/image3.emf"/><Relationship Id="rId22" Type="http://schemas.openxmlformats.org/officeDocument/2006/relationships/image" Target="media/image2.emf"/><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175</Pages>
  <Words>11149</Words>
  <Characters>11589</Characters>
  <Lines>102</Lines>
  <Paragraphs>256</Paragraphs>
  <TotalTime>24</TotalTime>
  <ScaleCrop>false</ScaleCrop>
  <LinksUpToDate>false</LinksUpToDate>
  <CharactersWithSpaces>11956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2023-09-12T03:31:00Z</dcterms:created>
  <dc:creator>侠名</dc:creator>
  <cp:lastModifiedBy>NTKO</cp:lastModifiedBy>
  <cp:lastPrinted>2025-01-09T09:44:00Z</cp:lastPrinted>
  <dcterms:modified xsi:type="dcterms:W3CDTF">2025-03-28T02:45:06Z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9B48314491BC47E0B81678B123A2F18E</vt:lpwstr>
  </property>
  <property fmtid="{D5CDD505-2E9C-101B-9397-08002B2CF9AE}" pid="4" name="KSOTemplateDocerSaveRecord">
    <vt:lpwstr>eyJoZGlkIjoiMzdmYzgxMzUyM2MzOTZmOTZjNTg4MzEwMjM1MTk4NjQiLCJ1c2VySWQiOiIzODg5OTU1ODEifQ==</vt:lpwstr>
  </property>
</Properties>
</file>