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Times New Roman"/>
          <w:sz w:val="11"/>
        </w:rPr>
      </w:pPr>
    </w:p>
    <w:p>
      <w:pPr>
        <w:pStyle w:val="11"/>
        <w:spacing w:line="360" w:lineRule="auto"/>
        <w:rPr>
          <w:sz w:val="20"/>
        </w:rPr>
      </w:pPr>
    </w:p>
    <w:p>
      <w:pPr>
        <w:pStyle w:val="11"/>
        <w:spacing w:line="360" w:lineRule="auto"/>
        <w:rPr>
          <w:sz w:val="20"/>
        </w:rPr>
      </w:pPr>
    </w:p>
    <w:p>
      <w:pPr>
        <w:tabs>
          <w:tab w:val="left" w:pos="1118"/>
        </w:tabs>
        <w:spacing w:before="307" w:line="360" w:lineRule="auto"/>
        <w:ind w:right="-35"/>
        <w:jc w:val="center"/>
        <w:rPr>
          <w:b/>
          <w:kern w:val="2"/>
          <w:sz w:val="44"/>
          <w:szCs w:val="44"/>
          <w:lang w:val="en-US" w:bidi="ar-SA"/>
        </w:rPr>
      </w:pPr>
      <w:r>
        <w:rPr>
          <w:rFonts w:hint="eastAsia"/>
          <w:b/>
          <w:color w:val="000000"/>
          <w:sz w:val="44"/>
          <w:szCs w:val="44"/>
        </w:rPr>
        <w:t>广州烟草物流配送中心原地技术改造项目工程监理</w:t>
      </w:r>
    </w:p>
    <w:p>
      <w:pPr>
        <w:tabs>
          <w:tab w:val="left" w:pos="3149"/>
        </w:tabs>
        <w:spacing w:before="71" w:line="360" w:lineRule="auto"/>
        <w:ind w:right="459"/>
        <w:jc w:val="center"/>
        <w:rPr>
          <w:sz w:val="28"/>
        </w:rPr>
      </w:pPr>
    </w:p>
    <w:p>
      <w:pPr>
        <w:pStyle w:val="11"/>
        <w:spacing w:line="360" w:lineRule="auto"/>
        <w:rPr>
          <w:sz w:val="20"/>
        </w:rPr>
      </w:pPr>
    </w:p>
    <w:p>
      <w:pPr>
        <w:pStyle w:val="11"/>
        <w:spacing w:line="360" w:lineRule="auto"/>
        <w:rPr>
          <w:sz w:val="20"/>
        </w:rPr>
      </w:pPr>
    </w:p>
    <w:p>
      <w:pPr>
        <w:pStyle w:val="11"/>
        <w:spacing w:line="360" w:lineRule="auto"/>
        <w:rPr>
          <w:sz w:val="20"/>
        </w:rPr>
      </w:pPr>
    </w:p>
    <w:p>
      <w:pPr>
        <w:pStyle w:val="11"/>
        <w:spacing w:line="360" w:lineRule="auto"/>
        <w:rPr>
          <w:sz w:val="20"/>
        </w:rPr>
      </w:pPr>
    </w:p>
    <w:p>
      <w:pPr>
        <w:pStyle w:val="11"/>
        <w:spacing w:line="360" w:lineRule="auto"/>
        <w:rPr>
          <w:sz w:val="20"/>
        </w:rPr>
      </w:pPr>
    </w:p>
    <w:p>
      <w:pPr>
        <w:spacing w:before="168" w:line="360" w:lineRule="auto"/>
        <w:ind w:right="459"/>
        <w:jc w:val="center"/>
        <w:rPr>
          <w:sz w:val="44"/>
        </w:rPr>
      </w:pPr>
      <w:r>
        <w:rPr>
          <w:rFonts w:hint="eastAsia"/>
          <w:b/>
          <w:color w:val="000000"/>
          <w:spacing w:val="26"/>
          <w:kern w:val="2"/>
          <w:sz w:val="110"/>
          <w:lang w:val="en-US" w:bidi="ar-SA"/>
        </w:rPr>
        <w:t>招标文件</w:t>
      </w:r>
    </w:p>
    <w:p>
      <w:pPr>
        <w:pStyle w:val="11"/>
        <w:spacing w:line="360" w:lineRule="auto"/>
        <w:rPr>
          <w:sz w:val="44"/>
        </w:rPr>
      </w:pPr>
    </w:p>
    <w:p>
      <w:pPr>
        <w:pStyle w:val="11"/>
        <w:spacing w:line="360" w:lineRule="auto"/>
        <w:rPr>
          <w:sz w:val="44"/>
        </w:rPr>
      </w:pPr>
    </w:p>
    <w:p>
      <w:pPr>
        <w:pStyle w:val="11"/>
        <w:spacing w:line="360" w:lineRule="auto"/>
        <w:rPr>
          <w:sz w:val="44"/>
        </w:rPr>
      </w:pPr>
    </w:p>
    <w:p>
      <w:pPr>
        <w:spacing w:line="360" w:lineRule="auto"/>
        <w:ind w:firstLine="945"/>
        <w:rPr>
          <w:color w:val="000000"/>
          <w:sz w:val="30"/>
          <w:u w:val="single"/>
        </w:rPr>
      </w:pPr>
      <w:r>
        <w:rPr>
          <w:rFonts w:hint="eastAsia"/>
          <w:color w:val="000000"/>
          <w:sz w:val="30"/>
        </w:rPr>
        <w:t>招  标 单 位：</w:t>
      </w:r>
      <w:r>
        <w:rPr>
          <w:rFonts w:hint="eastAsia"/>
          <w:color w:val="000000"/>
          <w:sz w:val="30"/>
          <w:u w:val="single"/>
        </w:rPr>
        <w:t>广东烟草广州市有限公司</w:t>
      </w:r>
    </w:p>
    <w:p>
      <w:pPr>
        <w:spacing w:line="360" w:lineRule="auto"/>
        <w:ind w:firstLine="945"/>
        <w:rPr>
          <w:color w:val="000000"/>
          <w:sz w:val="30"/>
          <w:u w:val="single"/>
        </w:rPr>
      </w:pPr>
      <w:r>
        <w:rPr>
          <w:rFonts w:hint="eastAsia"/>
          <w:color w:val="000000"/>
          <w:sz w:val="30"/>
        </w:rPr>
        <w:t>招标代理单位：</w:t>
      </w:r>
      <w:r>
        <w:rPr>
          <w:rFonts w:hint="eastAsia"/>
          <w:color w:val="000000"/>
          <w:sz w:val="30"/>
          <w:u w:val="single"/>
        </w:rPr>
        <w:t>中达安股份有限公司</w:t>
      </w:r>
    </w:p>
    <w:p>
      <w:pPr>
        <w:spacing w:line="360" w:lineRule="auto"/>
        <w:ind w:firstLine="945"/>
        <w:rPr>
          <w:b/>
          <w:color w:val="000000"/>
          <w:spacing w:val="26"/>
          <w:kern w:val="2"/>
          <w:sz w:val="110"/>
          <w:lang w:val="en-US" w:bidi="ar-SA"/>
        </w:rPr>
      </w:pPr>
      <w:r>
        <w:rPr>
          <w:rFonts w:hint="eastAsia"/>
          <w:color w:val="000000"/>
          <w:sz w:val="32"/>
        </w:rPr>
        <w:t>日       期：</w:t>
      </w:r>
      <w:r>
        <w:rPr>
          <w:rFonts w:hint="eastAsia"/>
          <w:color w:val="000000"/>
          <w:sz w:val="30"/>
          <w:u w:val="single"/>
        </w:rPr>
        <w:t>202</w:t>
      </w:r>
      <w:r>
        <w:rPr>
          <w:rFonts w:hint="eastAsia"/>
          <w:color w:val="000000"/>
          <w:sz w:val="30"/>
          <w:u w:val="single"/>
          <w:lang w:val="en-US"/>
        </w:rPr>
        <w:t>2</w:t>
      </w:r>
      <w:r>
        <w:rPr>
          <w:rFonts w:hint="eastAsia"/>
          <w:color w:val="000000"/>
          <w:sz w:val="30"/>
          <w:u w:val="single"/>
        </w:rPr>
        <w:t>年</w:t>
      </w:r>
      <w:r>
        <w:rPr>
          <w:color w:val="000000"/>
          <w:sz w:val="30"/>
          <w:u w:val="single"/>
          <w:lang w:val="en-US"/>
        </w:rPr>
        <w:t>9</w:t>
      </w:r>
      <w:r>
        <w:rPr>
          <w:rFonts w:hint="eastAsia"/>
          <w:color w:val="000000"/>
          <w:sz w:val="30"/>
          <w:u w:val="single"/>
        </w:rPr>
        <w:t>月</w:t>
      </w:r>
    </w:p>
    <w:p>
      <w:pPr>
        <w:pStyle w:val="11"/>
        <w:spacing w:line="360" w:lineRule="auto"/>
        <w:jc w:val="center"/>
        <w:rPr>
          <w:b/>
          <w:color w:val="000000"/>
          <w:kern w:val="2"/>
          <w:sz w:val="32"/>
          <w:szCs w:val="32"/>
          <w:lang w:val="en-US"/>
        </w:rPr>
        <w:sectPr>
          <w:pgSz w:w="11906" w:h="16838"/>
          <w:pgMar w:top="1440" w:right="1080" w:bottom="1440" w:left="1080" w:header="851" w:footer="992" w:gutter="0"/>
          <w:cols w:space="425" w:num="1"/>
          <w:docGrid w:type="lines" w:linePitch="312" w:charSpace="0"/>
        </w:sectPr>
      </w:pPr>
    </w:p>
    <w:p>
      <w:pPr>
        <w:tabs>
          <w:tab w:val="left" w:pos="559"/>
        </w:tabs>
        <w:spacing w:before="39" w:line="360" w:lineRule="auto"/>
        <w:ind w:right="457"/>
        <w:jc w:val="center"/>
        <w:rPr>
          <w:b/>
          <w:bCs/>
          <w:sz w:val="36"/>
          <w:szCs w:val="36"/>
        </w:rPr>
      </w:pPr>
      <w:r>
        <w:rPr>
          <w:rFonts w:hint="eastAsia"/>
          <w:b/>
          <w:bCs/>
          <w:sz w:val="36"/>
          <w:szCs w:val="36"/>
        </w:rPr>
        <w:t>目</w:t>
      </w:r>
      <w:r>
        <w:rPr>
          <w:rFonts w:hint="eastAsia"/>
          <w:b/>
          <w:bCs/>
          <w:sz w:val="36"/>
          <w:szCs w:val="36"/>
        </w:rPr>
        <w:tab/>
      </w:r>
      <w:r>
        <w:rPr>
          <w:rFonts w:hint="eastAsia"/>
          <w:b/>
          <w:bCs/>
          <w:sz w:val="36"/>
          <w:szCs w:val="36"/>
        </w:rPr>
        <w:t>录</w:t>
      </w:r>
    </w:p>
    <w:p>
      <w:pPr>
        <w:pStyle w:val="2"/>
        <w:tabs>
          <w:tab w:val="left" w:leader="dot" w:pos="8526"/>
        </w:tabs>
        <w:spacing w:before="304" w:line="360" w:lineRule="auto"/>
        <w:ind w:right="704"/>
        <w:rPr>
          <w:b/>
          <w:bCs/>
        </w:rPr>
      </w:pPr>
      <w:sdt>
        <w:sdtPr>
          <w:rPr>
            <w:rFonts w:hint="eastAsia"/>
          </w:rPr>
          <w:id w:val="-163478286"/>
          <w:docPartObj>
            <w:docPartGallery w:val="Table of Contents"/>
            <w:docPartUnique/>
          </w:docPartObj>
        </w:sdtPr>
        <w:sdtEndPr>
          <w:rPr>
            <w:rFonts w:hint="eastAsia"/>
            <w:b/>
            <w:bCs/>
          </w:rPr>
        </w:sdtEndPr>
        <w:sdtContent>
          <w:bookmarkStart w:id="0" w:name="_bookmark0"/>
          <w:bookmarkEnd w:id="0"/>
          <w:sdt>
            <w:sdtPr>
              <w:rPr>
                <w:rFonts w:hint="eastAsia"/>
              </w:rPr>
              <w:id w:val="-1815250606"/>
              <w:docPartObj>
                <w:docPartGallery w:val="Table of Contents"/>
                <w:docPartUnique/>
              </w:docPartObj>
            </w:sdtPr>
            <w:sdtEndPr>
              <w:rPr>
                <w:rFonts w:hint="eastAsia"/>
                <w:b/>
                <w:bCs/>
              </w:rPr>
            </w:sdtEndPr>
            <w:sdtContent>
              <w:r>
                <w:fldChar w:fldCharType="begin"/>
              </w:r>
              <w:r>
                <w:instrText xml:space="preserve"> HYPERLINK \l "_bookmark0" </w:instrText>
              </w:r>
              <w:r>
                <w:fldChar w:fldCharType="separate"/>
              </w:r>
              <w:r>
                <w:rPr>
                  <w:rFonts w:hint="eastAsia"/>
                  <w:b/>
                  <w:bCs/>
                </w:rPr>
                <w:t>第一卷</w:t>
              </w:r>
              <w:r>
                <w:rPr>
                  <w:rFonts w:hint="eastAsia"/>
                  <w:b/>
                  <w:bCs/>
                </w:rPr>
                <w:tab/>
              </w:r>
              <w:r>
                <w:rPr>
                  <w:rFonts w:hint="eastAsia"/>
                  <w:b/>
                  <w:bCs/>
                  <w:spacing w:val="-1"/>
                </w:rPr>
                <w:t>1</w:t>
              </w:r>
              <w:r>
                <w:rPr>
                  <w:rFonts w:hint="eastAsia"/>
                  <w:b/>
                  <w:bCs/>
                  <w:spacing w:val="-1"/>
                </w:rPr>
                <w:fldChar w:fldCharType="end"/>
              </w:r>
              <w:r>
                <w:rPr>
                  <w:rFonts w:hint="eastAsia"/>
                  <w:b/>
                  <w:bCs/>
                  <w:spacing w:val="-1"/>
                </w:rPr>
                <w:t xml:space="preserve"> </w:t>
              </w:r>
              <w:r>
                <w:fldChar w:fldCharType="begin"/>
              </w:r>
              <w:r>
                <w:instrText xml:space="preserve"> HYPERLINK \l "_bookmark1" </w:instrText>
              </w:r>
              <w:r>
                <w:fldChar w:fldCharType="separate"/>
              </w:r>
              <w:r>
                <w:rPr>
                  <w:rFonts w:hint="eastAsia"/>
                  <w:b/>
                  <w:bCs/>
                </w:rPr>
                <w:t>第一</w:t>
              </w:r>
              <w:r>
                <w:rPr>
                  <w:rFonts w:hint="eastAsia"/>
                  <w:b/>
                  <w:bCs/>
                  <w:spacing w:val="-3"/>
                </w:rPr>
                <w:t>章</w:t>
              </w:r>
              <w:r>
                <w:rPr>
                  <w:rFonts w:hint="eastAsia"/>
                  <w:b/>
                  <w:bCs/>
                  <w:spacing w:val="-3"/>
                  <w:lang w:val="en-US"/>
                </w:rPr>
                <w:t xml:space="preserve"> </w:t>
              </w:r>
              <w:r>
                <w:rPr>
                  <w:rFonts w:hint="eastAsia"/>
                  <w:b/>
                  <w:bCs/>
                </w:rPr>
                <w:t>招</w:t>
              </w:r>
              <w:r>
                <w:rPr>
                  <w:rFonts w:hint="eastAsia"/>
                  <w:b/>
                  <w:bCs/>
                  <w:spacing w:val="-3"/>
                </w:rPr>
                <w:t>标</w:t>
              </w:r>
              <w:r>
                <w:rPr>
                  <w:rFonts w:hint="eastAsia"/>
                  <w:b/>
                  <w:bCs/>
                </w:rPr>
                <w:t>公</w:t>
              </w:r>
              <w:r>
                <w:rPr>
                  <w:rFonts w:hint="eastAsia"/>
                  <w:b/>
                  <w:bCs/>
                  <w:spacing w:val="-3"/>
                </w:rPr>
                <w:t>告</w:t>
              </w:r>
              <w:r>
                <w:rPr>
                  <w:rFonts w:hint="eastAsia"/>
                  <w:b/>
                  <w:bCs/>
                </w:rPr>
                <w:tab/>
              </w:r>
              <w:r>
                <w:rPr>
                  <w:rFonts w:hint="eastAsia"/>
                  <w:b/>
                  <w:bCs/>
                  <w:spacing w:val="-1"/>
                  <w:lang w:val="en-US"/>
                </w:rPr>
                <w:t>1</w:t>
              </w:r>
              <w:r>
                <w:rPr>
                  <w:rFonts w:hint="eastAsia"/>
                  <w:b/>
                  <w:bCs/>
                  <w:spacing w:val="-1"/>
                  <w:lang w:val="en-US"/>
                </w:rPr>
                <w:fldChar w:fldCharType="end"/>
              </w:r>
              <w:r>
                <w:rPr>
                  <w:rFonts w:hint="eastAsia"/>
                  <w:b/>
                  <w:bCs/>
                  <w:spacing w:val="-1"/>
                  <w:lang w:val="en-US"/>
                </w:rPr>
                <w:t xml:space="preserve"> </w:t>
              </w:r>
              <w:r>
                <w:fldChar w:fldCharType="begin"/>
              </w:r>
              <w:r>
                <w:instrText xml:space="preserve"> HYPERLINK \l "_bookmark18" </w:instrText>
              </w:r>
              <w:r>
                <w:fldChar w:fldCharType="separate"/>
              </w:r>
              <w:r>
                <w:rPr>
                  <w:rFonts w:hint="eastAsia"/>
                  <w:b/>
                  <w:bCs/>
                </w:rPr>
                <w:t>第二</w:t>
              </w:r>
              <w:r>
                <w:rPr>
                  <w:rFonts w:hint="eastAsia"/>
                  <w:b/>
                  <w:bCs/>
                  <w:spacing w:val="-3"/>
                </w:rPr>
                <w:t>章</w:t>
              </w:r>
              <w:r>
                <w:rPr>
                  <w:rFonts w:hint="eastAsia"/>
                  <w:b/>
                  <w:bCs/>
                  <w:spacing w:val="-3"/>
                  <w:lang w:val="en-US"/>
                </w:rPr>
                <w:t xml:space="preserve"> </w:t>
              </w:r>
              <w:r>
                <w:rPr>
                  <w:rFonts w:hint="eastAsia"/>
                  <w:b/>
                  <w:bCs/>
                </w:rPr>
                <w:t>投</w:t>
              </w:r>
              <w:r>
                <w:rPr>
                  <w:rFonts w:hint="eastAsia"/>
                  <w:b/>
                  <w:bCs/>
                  <w:spacing w:val="-3"/>
                </w:rPr>
                <w:t>标</w:t>
              </w:r>
              <w:r>
                <w:rPr>
                  <w:rFonts w:hint="eastAsia"/>
                  <w:b/>
                  <w:bCs/>
                </w:rPr>
                <w:t>人</w:t>
              </w:r>
              <w:r>
                <w:rPr>
                  <w:rFonts w:hint="eastAsia"/>
                  <w:b/>
                  <w:bCs/>
                  <w:spacing w:val="-3"/>
                </w:rPr>
                <w:t>须</w:t>
              </w:r>
              <w:r>
                <w:rPr>
                  <w:rFonts w:hint="eastAsia"/>
                  <w:b/>
                  <w:bCs/>
                </w:rPr>
                <w:t>知</w:t>
              </w:r>
              <w:r>
                <w:rPr>
                  <w:rFonts w:hint="eastAsia"/>
                  <w:b/>
                  <w:bCs/>
                </w:rPr>
                <w:tab/>
              </w:r>
              <w:r>
                <w:rPr>
                  <w:rFonts w:hint="eastAsia"/>
                  <w:b/>
                  <w:bCs/>
                  <w:spacing w:val="-1"/>
                  <w:lang w:val="en-US"/>
                </w:rPr>
                <w:t>2</w:t>
              </w:r>
              <w:r>
                <w:rPr>
                  <w:rFonts w:hint="eastAsia"/>
                  <w:b/>
                  <w:bCs/>
                  <w:spacing w:val="-1"/>
                  <w:lang w:val="en-US"/>
                </w:rPr>
                <w:fldChar w:fldCharType="end"/>
              </w:r>
              <w:r>
                <w:rPr>
                  <w:rFonts w:hint="eastAsia"/>
                  <w:b/>
                  <w:bCs/>
                  <w:spacing w:val="-1"/>
                  <w:lang w:val="en-US"/>
                </w:rPr>
                <w:t xml:space="preserve"> </w:t>
              </w:r>
              <w:r>
                <w:rPr>
                  <w:rFonts w:hint="eastAsia"/>
                  <w:lang w:val="en-US"/>
                </w:rPr>
                <w:t xml:space="preserve"> </w:t>
              </w:r>
              <w:r>
                <w:fldChar w:fldCharType="begin"/>
              </w:r>
              <w:r>
                <w:instrText xml:space="preserve"> HYPERLINK \l "_bookmark82" </w:instrText>
              </w:r>
              <w:r>
                <w:fldChar w:fldCharType="separate"/>
              </w:r>
              <w:r>
                <w:rPr>
                  <w:rFonts w:hint="eastAsia"/>
                  <w:b/>
                  <w:bCs/>
                </w:rPr>
                <w:t>第三</w:t>
              </w:r>
              <w:r>
                <w:rPr>
                  <w:rFonts w:hint="eastAsia"/>
                  <w:b/>
                  <w:bCs/>
                  <w:spacing w:val="-3"/>
                </w:rPr>
                <w:t>章</w:t>
              </w:r>
              <w:r>
                <w:rPr>
                  <w:rFonts w:hint="eastAsia"/>
                  <w:b/>
                  <w:bCs/>
                  <w:spacing w:val="-3"/>
                  <w:lang w:val="en-US"/>
                </w:rPr>
                <w:t xml:space="preserve"> </w:t>
              </w:r>
              <w:r>
                <w:rPr>
                  <w:rFonts w:hint="eastAsia"/>
                  <w:b/>
                  <w:bCs/>
                </w:rPr>
                <w:t>评</w:t>
              </w:r>
              <w:r>
                <w:rPr>
                  <w:rFonts w:hint="eastAsia"/>
                  <w:b/>
                  <w:bCs/>
                  <w:spacing w:val="-3"/>
                </w:rPr>
                <w:t>标</w:t>
              </w:r>
              <w:r>
                <w:rPr>
                  <w:rFonts w:hint="eastAsia"/>
                  <w:b/>
                  <w:bCs/>
                </w:rPr>
                <w:t>办</w:t>
              </w:r>
              <w:r>
                <w:rPr>
                  <w:rFonts w:hint="eastAsia"/>
                  <w:b/>
                  <w:bCs/>
                  <w:spacing w:val="-3"/>
                </w:rPr>
                <w:t>法</w:t>
              </w:r>
              <w:r>
                <w:rPr>
                  <w:rFonts w:hint="eastAsia"/>
                  <w:b/>
                  <w:bCs/>
                </w:rPr>
                <w:t>（</w:t>
              </w:r>
              <w:r>
                <w:rPr>
                  <w:rFonts w:hint="eastAsia"/>
                  <w:b/>
                  <w:bCs/>
                  <w:spacing w:val="-3"/>
                </w:rPr>
                <w:t>综</w:t>
              </w:r>
              <w:r>
                <w:rPr>
                  <w:rFonts w:hint="eastAsia"/>
                  <w:b/>
                  <w:bCs/>
                </w:rPr>
                <w:t>合</w:t>
              </w:r>
              <w:r>
                <w:rPr>
                  <w:rFonts w:hint="eastAsia"/>
                  <w:b/>
                  <w:bCs/>
                  <w:spacing w:val="-3"/>
                </w:rPr>
                <w:t>评</w:t>
              </w:r>
              <w:r>
                <w:rPr>
                  <w:rFonts w:hint="eastAsia"/>
                  <w:b/>
                  <w:bCs/>
                </w:rPr>
                <w:t>估法）</w:t>
              </w:r>
              <w:r>
                <w:rPr>
                  <w:rFonts w:hint="eastAsia"/>
                  <w:b/>
                  <w:bCs/>
                </w:rPr>
                <w:tab/>
              </w:r>
              <w:r>
                <w:rPr>
                  <w:rFonts w:hint="eastAsia"/>
                  <w:b/>
                  <w:bCs/>
                </w:rPr>
                <w:fldChar w:fldCharType="end"/>
              </w:r>
              <w:r>
                <w:rPr>
                  <w:rFonts w:hint="eastAsia"/>
                  <w:b/>
                  <w:bCs/>
                  <w:lang w:val="en-US"/>
                </w:rPr>
                <w:t xml:space="preserve">26 </w:t>
              </w:r>
              <w:r>
                <w:fldChar w:fldCharType="begin"/>
              </w:r>
              <w:r>
                <w:instrText xml:space="preserve"> HYPERLINK \l "_bookmark93" </w:instrText>
              </w:r>
              <w:r>
                <w:fldChar w:fldCharType="separate"/>
              </w:r>
              <w:r>
                <w:rPr>
                  <w:rFonts w:hint="eastAsia"/>
                  <w:b/>
                  <w:bCs/>
                </w:rPr>
                <w:t>第四</w:t>
              </w:r>
              <w:r>
                <w:rPr>
                  <w:rFonts w:hint="eastAsia"/>
                  <w:b/>
                  <w:bCs/>
                  <w:spacing w:val="-3"/>
                </w:rPr>
                <w:t>章</w:t>
              </w:r>
              <w:r>
                <w:rPr>
                  <w:rFonts w:hint="eastAsia"/>
                  <w:b/>
                  <w:bCs/>
                  <w:spacing w:val="-3"/>
                  <w:lang w:val="en-US"/>
                </w:rPr>
                <w:t xml:space="preserve"> </w:t>
              </w:r>
              <w:r>
                <w:rPr>
                  <w:rFonts w:hint="eastAsia"/>
                  <w:b/>
                  <w:bCs/>
                </w:rPr>
                <w:t>合</w:t>
              </w:r>
              <w:r>
                <w:rPr>
                  <w:rFonts w:hint="eastAsia"/>
                  <w:b/>
                  <w:bCs/>
                  <w:spacing w:val="-3"/>
                </w:rPr>
                <w:t>同</w:t>
              </w:r>
              <w:r>
                <w:rPr>
                  <w:rFonts w:hint="eastAsia"/>
                  <w:b/>
                  <w:bCs/>
                </w:rPr>
                <w:t>条</w:t>
              </w:r>
              <w:r>
                <w:rPr>
                  <w:rFonts w:hint="eastAsia"/>
                  <w:b/>
                  <w:bCs/>
                  <w:spacing w:val="-3"/>
                </w:rPr>
                <w:t>款</w:t>
              </w:r>
              <w:r>
                <w:rPr>
                  <w:rFonts w:hint="eastAsia"/>
                  <w:b/>
                  <w:bCs/>
                </w:rPr>
                <w:t>及</w:t>
              </w:r>
              <w:r>
                <w:rPr>
                  <w:rFonts w:hint="eastAsia"/>
                  <w:b/>
                  <w:bCs/>
                  <w:spacing w:val="-3"/>
                </w:rPr>
                <w:t>格</w:t>
              </w:r>
              <w:r>
                <w:rPr>
                  <w:rFonts w:hint="eastAsia"/>
                  <w:b/>
                  <w:bCs/>
                </w:rPr>
                <w:t>式</w:t>
              </w:r>
              <w:r>
                <w:rPr>
                  <w:rFonts w:hint="eastAsia"/>
                  <w:b/>
                  <w:bCs/>
                </w:rPr>
                <w:tab/>
              </w:r>
              <w:r>
                <w:rPr>
                  <w:rFonts w:hint="eastAsia"/>
                  <w:b/>
                  <w:bCs/>
                </w:rPr>
                <w:fldChar w:fldCharType="end"/>
              </w:r>
              <w:r>
                <w:rPr>
                  <w:rFonts w:hint="eastAsia"/>
                  <w:b/>
                  <w:bCs/>
                  <w:lang w:val="en-US"/>
                </w:rPr>
                <w:t xml:space="preserve">34 </w:t>
              </w:r>
              <w:r>
                <w:fldChar w:fldCharType="begin"/>
              </w:r>
              <w:r>
                <w:instrText xml:space="preserve"> HYPERLINK \l "_bookmark161" </w:instrText>
              </w:r>
              <w:r>
                <w:fldChar w:fldCharType="separate"/>
              </w:r>
              <w:r>
                <w:rPr>
                  <w:rFonts w:hint="eastAsia"/>
                  <w:b/>
                  <w:bCs/>
                </w:rPr>
                <w:t>第二卷</w:t>
              </w:r>
              <w:r>
                <w:rPr>
                  <w:rFonts w:hint="eastAsia"/>
                  <w:b/>
                  <w:bCs/>
                </w:rPr>
                <w:tab/>
              </w:r>
              <w:r>
                <w:rPr>
                  <w:rFonts w:hint="eastAsia"/>
                  <w:b/>
                  <w:bCs/>
                </w:rPr>
                <w:fldChar w:fldCharType="end"/>
              </w:r>
              <w:r>
                <w:rPr>
                  <w:rFonts w:hint="eastAsia"/>
                  <w:b/>
                  <w:bCs/>
                  <w:lang w:val="en-US"/>
                </w:rPr>
                <w:t xml:space="preserve">35 </w:t>
              </w:r>
              <w:r>
                <w:fldChar w:fldCharType="begin"/>
              </w:r>
              <w:r>
                <w:instrText xml:space="preserve"> HYPERLINK \l "_bookmark162" </w:instrText>
              </w:r>
              <w:r>
                <w:fldChar w:fldCharType="separate"/>
              </w:r>
              <w:r>
                <w:rPr>
                  <w:rFonts w:hint="eastAsia"/>
                  <w:b/>
                  <w:bCs/>
                </w:rPr>
                <w:t>第五</w:t>
              </w:r>
              <w:r>
                <w:rPr>
                  <w:rFonts w:hint="eastAsia"/>
                  <w:b/>
                  <w:bCs/>
                  <w:spacing w:val="-3"/>
                </w:rPr>
                <w:t>章</w:t>
              </w:r>
              <w:r>
                <w:rPr>
                  <w:rFonts w:hint="eastAsia"/>
                  <w:b/>
                  <w:bCs/>
                  <w:spacing w:val="-3"/>
                  <w:lang w:val="en-US"/>
                </w:rPr>
                <w:t xml:space="preserve"> </w:t>
              </w:r>
              <w:r>
                <w:rPr>
                  <w:rFonts w:hint="eastAsia"/>
                  <w:b/>
                  <w:bCs/>
                </w:rPr>
                <w:t>委</w:t>
              </w:r>
              <w:r>
                <w:rPr>
                  <w:rFonts w:hint="eastAsia"/>
                  <w:b/>
                  <w:bCs/>
                  <w:spacing w:val="-3"/>
                </w:rPr>
                <w:t>托</w:t>
              </w:r>
              <w:r>
                <w:rPr>
                  <w:rFonts w:hint="eastAsia"/>
                  <w:b/>
                  <w:bCs/>
                </w:rPr>
                <w:t>人</w:t>
              </w:r>
              <w:r>
                <w:rPr>
                  <w:rFonts w:hint="eastAsia"/>
                  <w:b/>
                  <w:bCs/>
                  <w:spacing w:val="-3"/>
                </w:rPr>
                <w:t>要</w:t>
              </w:r>
              <w:r>
                <w:rPr>
                  <w:rFonts w:hint="eastAsia"/>
                  <w:b/>
                  <w:bCs/>
                </w:rPr>
                <w:t>求</w:t>
              </w:r>
              <w:r>
                <w:rPr>
                  <w:rFonts w:hint="eastAsia"/>
                  <w:b/>
                  <w:bCs/>
                </w:rPr>
                <w:tab/>
              </w:r>
              <w:r>
                <w:rPr>
                  <w:rFonts w:hint="eastAsia"/>
                  <w:b/>
                  <w:bCs/>
                </w:rPr>
                <w:fldChar w:fldCharType="end"/>
              </w:r>
              <w:r>
                <w:rPr>
                  <w:rFonts w:hint="eastAsia"/>
                  <w:b/>
                  <w:bCs/>
                  <w:lang w:val="en-US"/>
                </w:rPr>
                <w:t xml:space="preserve">35 </w:t>
              </w:r>
              <w:r>
                <w:fldChar w:fldCharType="begin"/>
              </w:r>
              <w:r>
                <w:instrText xml:space="preserve"> HYPERLINK \l "_bookmark173" </w:instrText>
              </w:r>
              <w:r>
                <w:fldChar w:fldCharType="separate"/>
              </w:r>
              <w:r>
                <w:rPr>
                  <w:rFonts w:hint="eastAsia"/>
                  <w:b/>
                  <w:bCs/>
                </w:rPr>
                <w:t>第三卷</w:t>
              </w:r>
              <w:r>
                <w:rPr>
                  <w:rFonts w:hint="eastAsia"/>
                  <w:b/>
                  <w:bCs/>
                </w:rPr>
                <w:tab/>
              </w:r>
              <w:r>
                <w:rPr>
                  <w:rFonts w:hint="eastAsia"/>
                  <w:b/>
                  <w:bCs/>
                </w:rPr>
                <w:fldChar w:fldCharType="end"/>
              </w:r>
              <w:r>
                <w:rPr>
                  <w:rFonts w:hint="eastAsia"/>
                  <w:b/>
                  <w:bCs/>
                  <w:lang w:val="en-US"/>
                </w:rPr>
                <w:t xml:space="preserve">40 </w:t>
              </w:r>
              <w:r>
                <w:fldChar w:fldCharType="begin"/>
              </w:r>
              <w:r>
                <w:instrText xml:space="preserve"> HYPERLINK \l "_bookmark174" </w:instrText>
              </w:r>
              <w:r>
                <w:fldChar w:fldCharType="separate"/>
              </w:r>
              <w:r>
                <w:rPr>
                  <w:rFonts w:hint="eastAsia"/>
                  <w:b/>
                  <w:bCs/>
                </w:rPr>
                <w:t>第六</w:t>
              </w:r>
              <w:r>
                <w:rPr>
                  <w:rFonts w:hint="eastAsia"/>
                  <w:b/>
                  <w:bCs/>
                  <w:spacing w:val="-3"/>
                </w:rPr>
                <w:t>章</w:t>
              </w:r>
              <w:r>
                <w:rPr>
                  <w:rFonts w:hint="eastAsia"/>
                  <w:b/>
                  <w:bCs/>
                  <w:spacing w:val="-3"/>
                  <w:lang w:val="en-US"/>
                </w:rPr>
                <w:t xml:space="preserve"> </w:t>
              </w:r>
              <w:r>
                <w:rPr>
                  <w:rFonts w:hint="eastAsia"/>
                  <w:b/>
                  <w:bCs/>
                </w:rPr>
                <w:t>投</w:t>
              </w:r>
              <w:r>
                <w:rPr>
                  <w:rFonts w:hint="eastAsia"/>
                  <w:b/>
                  <w:bCs/>
                  <w:spacing w:val="-3"/>
                </w:rPr>
                <w:t>标</w:t>
              </w:r>
              <w:r>
                <w:rPr>
                  <w:rFonts w:hint="eastAsia"/>
                  <w:b/>
                  <w:bCs/>
                </w:rPr>
                <w:t>文</w:t>
              </w:r>
              <w:r>
                <w:rPr>
                  <w:rFonts w:hint="eastAsia"/>
                  <w:b/>
                  <w:bCs/>
                  <w:spacing w:val="-3"/>
                </w:rPr>
                <w:t>件</w:t>
              </w:r>
              <w:r>
                <w:rPr>
                  <w:rFonts w:hint="eastAsia"/>
                  <w:b/>
                  <w:bCs/>
                </w:rPr>
                <w:t>格式</w:t>
              </w:r>
              <w:r>
                <w:rPr>
                  <w:rFonts w:hint="eastAsia"/>
                  <w:b/>
                  <w:bCs/>
                </w:rPr>
                <w:tab/>
              </w:r>
              <w:r>
                <w:rPr>
                  <w:rFonts w:hint="eastAsia"/>
                  <w:b/>
                  <w:bCs/>
                </w:rPr>
                <w:fldChar w:fldCharType="end"/>
              </w:r>
              <w:r>
                <w:rPr>
                  <w:rFonts w:hint="eastAsia"/>
                  <w:b/>
                  <w:bCs/>
                  <w:lang w:val="en-US"/>
                </w:rPr>
                <w:t xml:space="preserve">40 </w:t>
              </w:r>
            </w:sdtContent>
          </w:sdt>
        </w:sdtContent>
      </w:sdt>
    </w:p>
    <w:p>
      <w:pPr>
        <w:pStyle w:val="2"/>
        <w:tabs>
          <w:tab w:val="left" w:leader="dot" w:pos="8526"/>
        </w:tabs>
        <w:spacing w:before="304" w:line="360" w:lineRule="auto"/>
        <w:ind w:right="704"/>
      </w:pPr>
    </w:p>
    <w:p>
      <w:pPr>
        <w:pStyle w:val="3"/>
        <w:spacing w:line="360" w:lineRule="auto"/>
        <w:rPr>
          <w:rFonts w:ascii="宋体" w:hAnsi="宋体" w:eastAsia="宋体" w:cs="宋体"/>
        </w:rPr>
        <w:sectPr>
          <w:footerReference r:id="rId3" w:type="default"/>
          <w:pgSz w:w="12240" w:h="15840"/>
          <w:pgMar w:top="1500" w:right="1100" w:bottom="1040" w:left="1560" w:header="0" w:footer="841" w:gutter="0"/>
          <w:cols w:space="720" w:num="1"/>
        </w:sectPr>
      </w:pPr>
    </w:p>
    <w:p>
      <w:pPr>
        <w:pStyle w:val="3"/>
        <w:spacing w:line="360" w:lineRule="auto"/>
        <w:rPr>
          <w:rFonts w:ascii="宋体" w:hAnsi="宋体" w:eastAsia="宋体" w:cs="宋体"/>
        </w:rPr>
      </w:pPr>
      <w:r>
        <w:rPr>
          <w:rFonts w:hint="eastAsia" w:ascii="宋体" w:hAnsi="宋体" w:eastAsia="宋体" w:cs="宋体"/>
        </w:rPr>
        <w:t>第一卷</w:t>
      </w:r>
    </w:p>
    <w:p>
      <w:pPr>
        <w:numPr>
          <w:ilvl w:val="0"/>
          <w:numId w:val="1"/>
        </w:numPr>
        <w:spacing w:line="360" w:lineRule="auto"/>
        <w:jc w:val="center"/>
        <w:rPr>
          <w:rFonts w:ascii="Calibri" w:hAnsi="Calibri" w:cs="Times New Roman"/>
          <w:b/>
          <w:kern w:val="44"/>
          <w:sz w:val="44"/>
          <w:szCs w:val="20"/>
          <w:lang w:val="en-US" w:bidi="ar-SA"/>
        </w:rPr>
      </w:pPr>
      <w:bookmarkStart w:id="1" w:name="_Toc526786483"/>
      <w:bookmarkStart w:id="2" w:name="_Toc153"/>
      <w:bookmarkStart w:id="3" w:name="_Toc23825"/>
      <w:r>
        <w:rPr>
          <w:rFonts w:hint="eastAsia" w:ascii="Calibri" w:hAnsi="Calibri" w:cs="Times New Roman"/>
          <w:b/>
          <w:kern w:val="44"/>
          <w:sz w:val="44"/>
          <w:szCs w:val="20"/>
          <w:lang w:val="en-US" w:bidi="ar-SA"/>
        </w:rPr>
        <w:t>招标公告</w:t>
      </w:r>
      <w:bookmarkEnd w:id="1"/>
      <w:bookmarkEnd w:id="2"/>
      <w:bookmarkEnd w:id="3"/>
    </w:p>
    <w:p>
      <w:pPr>
        <w:spacing w:line="360" w:lineRule="auto"/>
        <w:jc w:val="center"/>
        <w:rPr>
          <w:bCs/>
          <w:color w:val="000000"/>
          <w:kern w:val="2"/>
          <w:sz w:val="32"/>
          <w:szCs w:val="32"/>
          <w:lang w:val="en-US" w:bidi="ar-SA"/>
        </w:rPr>
        <w:sectPr>
          <w:footerReference r:id="rId4" w:type="default"/>
          <w:pgSz w:w="12240" w:h="15840"/>
          <w:pgMar w:top="1500" w:right="1100" w:bottom="1040" w:left="1134" w:header="0" w:footer="841" w:gutter="0"/>
          <w:pgNumType w:start="1"/>
          <w:cols w:space="720" w:num="1"/>
        </w:sectPr>
      </w:pPr>
      <w:r>
        <w:rPr>
          <w:rFonts w:hint="eastAsia"/>
          <w:bCs/>
          <w:color w:val="000000"/>
          <w:kern w:val="2"/>
          <w:sz w:val="32"/>
          <w:szCs w:val="32"/>
          <w:lang w:val="en-US" w:bidi="ar-SA"/>
        </w:rPr>
        <w:t>（略）</w:t>
      </w:r>
    </w:p>
    <w:p>
      <w:pPr>
        <w:pStyle w:val="3"/>
        <w:numPr>
          <w:ilvl w:val="0"/>
          <w:numId w:val="1"/>
        </w:numPr>
        <w:spacing w:line="360" w:lineRule="auto"/>
        <w:rPr>
          <w:rFonts w:ascii="宋体" w:hAnsi="宋体" w:eastAsia="宋体" w:cs="宋体"/>
        </w:rPr>
      </w:pPr>
      <w:bookmarkStart w:id="4" w:name="_bookmark18"/>
      <w:bookmarkEnd w:id="4"/>
      <w:bookmarkStart w:id="5" w:name="_bookmark1"/>
      <w:bookmarkEnd w:id="5"/>
      <w:r>
        <w:rPr>
          <w:rFonts w:hint="eastAsia" w:ascii="宋体" w:hAnsi="宋体" w:eastAsia="宋体" w:cs="宋体"/>
        </w:rPr>
        <w:t>投标人须知</w:t>
      </w:r>
    </w:p>
    <w:p>
      <w:pPr>
        <w:jc w:val="center"/>
      </w:pPr>
      <w:r>
        <w:rPr>
          <w:rFonts w:hint="eastAsia"/>
          <w:bCs/>
          <w:color w:val="000000"/>
          <w:kern w:val="2"/>
          <w:sz w:val="32"/>
          <w:szCs w:val="32"/>
          <w:lang w:val="en-US" w:bidi="ar-SA"/>
        </w:rPr>
        <w:t>投标人须知前附表</w:t>
      </w:r>
    </w:p>
    <w:tbl>
      <w:tblPr>
        <w:tblStyle w:val="21"/>
        <w:tblW w:w="100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360"/>
        <w:gridCol w:w="5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vAlign w:val="center"/>
          </w:tcPr>
          <w:p>
            <w:pPr>
              <w:autoSpaceDE/>
              <w:autoSpaceDN/>
              <w:snapToGrid w:val="0"/>
              <w:spacing w:line="360" w:lineRule="auto"/>
              <w:jc w:val="center"/>
              <w:rPr>
                <w:bCs/>
                <w:kern w:val="2"/>
                <w:sz w:val="21"/>
                <w:szCs w:val="21"/>
                <w:lang w:val="en-US" w:bidi="ar-SA"/>
              </w:rPr>
            </w:pPr>
            <w:bookmarkStart w:id="6" w:name="_bookmark19"/>
            <w:bookmarkEnd w:id="6"/>
            <w:r>
              <w:rPr>
                <w:rFonts w:hint="eastAsia"/>
                <w:bCs/>
                <w:kern w:val="2"/>
                <w:sz w:val="21"/>
                <w:szCs w:val="21"/>
                <w:lang w:val="en-US" w:bidi="ar-SA"/>
              </w:rPr>
              <w:t>条款号</w:t>
            </w:r>
          </w:p>
        </w:tc>
        <w:tc>
          <w:tcPr>
            <w:tcW w:w="3360"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条款名称</w:t>
            </w:r>
          </w:p>
        </w:tc>
        <w:tc>
          <w:tcPr>
            <w:tcW w:w="5440"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pPr>
              <w:autoSpaceDE/>
              <w:autoSpaceDN/>
              <w:snapToGrid w:val="0"/>
              <w:spacing w:line="360" w:lineRule="auto"/>
              <w:jc w:val="center"/>
              <w:rPr>
                <w:bCs/>
                <w:kern w:val="2"/>
                <w:sz w:val="21"/>
                <w:szCs w:val="21"/>
                <w:lang w:val="en-US" w:bidi="ar-SA"/>
              </w:rPr>
            </w:pPr>
          </w:p>
          <w:p>
            <w:pPr>
              <w:autoSpaceDE/>
              <w:autoSpaceDN/>
              <w:snapToGrid w:val="0"/>
              <w:spacing w:line="360" w:lineRule="auto"/>
              <w:jc w:val="center"/>
              <w:rPr>
                <w:bCs/>
                <w:kern w:val="2"/>
                <w:sz w:val="21"/>
                <w:szCs w:val="21"/>
                <w:lang w:val="en-US" w:bidi="ar-SA"/>
              </w:rPr>
            </w:pPr>
          </w:p>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1.1.2</w:t>
            </w:r>
          </w:p>
        </w:tc>
        <w:tc>
          <w:tcPr>
            <w:tcW w:w="3360" w:type="dxa"/>
            <w:vAlign w:val="center"/>
          </w:tcPr>
          <w:p>
            <w:pPr>
              <w:autoSpaceDE/>
              <w:autoSpaceDN/>
              <w:snapToGrid w:val="0"/>
              <w:spacing w:line="360" w:lineRule="auto"/>
              <w:jc w:val="center"/>
              <w:rPr>
                <w:bCs/>
                <w:kern w:val="2"/>
                <w:sz w:val="21"/>
                <w:szCs w:val="21"/>
                <w:lang w:val="en-US" w:bidi="ar-SA"/>
              </w:rPr>
            </w:pPr>
          </w:p>
          <w:p>
            <w:pPr>
              <w:autoSpaceDE/>
              <w:autoSpaceDN/>
              <w:snapToGrid w:val="0"/>
              <w:spacing w:line="360" w:lineRule="auto"/>
              <w:jc w:val="center"/>
              <w:rPr>
                <w:bCs/>
                <w:kern w:val="2"/>
                <w:sz w:val="21"/>
                <w:szCs w:val="21"/>
                <w:lang w:val="en-US" w:bidi="ar-SA"/>
              </w:rPr>
            </w:pPr>
          </w:p>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招标人</w:t>
            </w:r>
          </w:p>
        </w:tc>
        <w:tc>
          <w:tcPr>
            <w:tcW w:w="5440" w:type="dxa"/>
            <w:vAlign w:val="center"/>
          </w:tcPr>
          <w:p>
            <w:pPr>
              <w:topLinePunct/>
              <w:autoSpaceDE/>
              <w:autoSpaceDN/>
              <w:spacing w:line="360" w:lineRule="auto"/>
              <w:rPr>
                <w:bCs/>
                <w:kern w:val="2"/>
                <w:sz w:val="21"/>
                <w:szCs w:val="21"/>
                <w:lang w:val="en-US" w:bidi="ar-SA"/>
              </w:rPr>
            </w:pPr>
            <w:r>
              <w:rPr>
                <w:rFonts w:hint="eastAsia"/>
                <w:bCs/>
                <w:kern w:val="2"/>
                <w:sz w:val="21"/>
                <w:szCs w:val="21"/>
                <w:lang w:val="en-US" w:bidi="ar-SA"/>
              </w:rPr>
              <w:t>名称：</w:t>
            </w:r>
            <w:r>
              <w:rPr>
                <w:rFonts w:hint="eastAsia"/>
                <w:bCs/>
                <w:kern w:val="2"/>
                <w:sz w:val="21"/>
                <w:szCs w:val="21"/>
                <w:u w:val="single"/>
                <w:lang w:val="en-US" w:bidi="ar-SA"/>
              </w:rPr>
              <w:t>广东烟草广州市有限公司</w:t>
            </w:r>
          </w:p>
          <w:p>
            <w:pPr>
              <w:topLinePunct/>
              <w:autoSpaceDE/>
              <w:autoSpaceDN/>
              <w:spacing w:line="360" w:lineRule="auto"/>
              <w:rPr>
                <w:bCs/>
                <w:kern w:val="2"/>
                <w:sz w:val="21"/>
                <w:szCs w:val="21"/>
                <w:lang w:val="en-US" w:bidi="ar-SA"/>
              </w:rPr>
            </w:pPr>
            <w:r>
              <w:rPr>
                <w:rFonts w:hint="eastAsia"/>
                <w:bCs/>
                <w:kern w:val="2"/>
                <w:sz w:val="21"/>
                <w:szCs w:val="21"/>
                <w:lang w:val="en-US" w:bidi="ar-SA"/>
              </w:rPr>
              <w:t>地址：</w:t>
            </w:r>
            <w:r>
              <w:rPr>
                <w:rFonts w:hint="eastAsia"/>
                <w:bCs/>
                <w:kern w:val="2"/>
                <w:sz w:val="21"/>
                <w:szCs w:val="21"/>
                <w:u w:val="single"/>
                <w:lang w:val="en-US" w:bidi="ar-SA"/>
              </w:rPr>
              <w:t>广州市天河区林和西横路</w:t>
            </w:r>
            <w:r>
              <w:rPr>
                <w:bCs/>
                <w:kern w:val="2"/>
                <w:sz w:val="21"/>
                <w:szCs w:val="21"/>
                <w:u w:val="single"/>
                <w:lang w:val="en-US" w:bidi="ar-SA"/>
              </w:rPr>
              <w:t>186号</w:t>
            </w:r>
          </w:p>
          <w:p>
            <w:pPr>
              <w:topLinePunct/>
              <w:spacing w:line="360" w:lineRule="auto"/>
              <w:rPr>
                <w:color w:val="000000"/>
                <w:sz w:val="21"/>
                <w:szCs w:val="21"/>
              </w:rPr>
            </w:pPr>
            <w:r>
              <w:rPr>
                <w:rFonts w:hint="eastAsia"/>
                <w:color w:val="000000"/>
                <w:sz w:val="21"/>
                <w:szCs w:val="21"/>
              </w:rPr>
              <w:t>联 系 人：</w:t>
            </w:r>
            <w:r>
              <w:rPr>
                <w:rFonts w:hint="eastAsia"/>
                <w:sz w:val="21"/>
                <w:szCs w:val="21"/>
                <w:u w:val="single"/>
                <w:lang w:val="en-US"/>
              </w:rPr>
              <w:t xml:space="preserve"> </w:t>
            </w:r>
            <w:r>
              <w:rPr>
                <w:rFonts w:hint="eastAsia"/>
                <w:sz w:val="21"/>
                <w:szCs w:val="21"/>
                <w:u w:val="single"/>
              </w:rPr>
              <w:t>陈工</w:t>
            </w:r>
          </w:p>
          <w:p>
            <w:pPr>
              <w:topLinePunct/>
              <w:autoSpaceDE/>
              <w:autoSpaceDN/>
              <w:spacing w:line="360" w:lineRule="auto"/>
              <w:rPr>
                <w:bCs/>
                <w:kern w:val="2"/>
                <w:sz w:val="21"/>
                <w:szCs w:val="21"/>
                <w:lang w:val="en-US" w:bidi="ar-SA"/>
              </w:rPr>
            </w:pPr>
            <w:r>
              <w:rPr>
                <w:rFonts w:hint="eastAsia"/>
                <w:color w:val="000000"/>
                <w:sz w:val="21"/>
                <w:szCs w:val="21"/>
              </w:rPr>
              <w:t>联系电话：</w:t>
            </w:r>
            <w:r>
              <w:rPr>
                <w:rFonts w:hint="eastAsia"/>
                <w:sz w:val="21"/>
                <w:szCs w:val="21"/>
                <w:u w:val="single"/>
                <w:lang w:val="en-US"/>
              </w:rPr>
              <w:t>020-87013832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jc w:val="center"/>
        </w:trPr>
        <w:tc>
          <w:tcPr>
            <w:tcW w:w="1252" w:type="dxa"/>
            <w:vAlign w:val="center"/>
          </w:tcPr>
          <w:p>
            <w:pPr>
              <w:autoSpaceDE/>
              <w:autoSpaceDN/>
              <w:snapToGrid w:val="0"/>
              <w:spacing w:line="360" w:lineRule="auto"/>
              <w:jc w:val="center"/>
              <w:rPr>
                <w:bCs/>
                <w:kern w:val="2"/>
                <w:sz w:val="21"/>
                <w:szCs w:val="21"/>
                <w:lang w:val="en-US" w:bidi="ar-SA"/>
              </w:rPr>
            </w:pPr>
          </w:p>
          <w:p>
            <w:pPr>
              <w:autoSpaceDE/>
              <w:autoSpaceDN/>
              <w:snapToGrid w:val="0"/>
              <w:spacing w:line="360" w:lineRule="auto"/>
              <w:jc w:val="center"/>
              <w:rPr>
                <w:bCs/>
                <w:kern w:val="2"/>
                <w:sz w:val="21"/>
                <w:szCs w:val="21"/>
                <w:lang w:val="en-US" w:bidi="ar-SA"/>
              </w:rPr>
            </w:pPr>
          </w:p>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1.1.3</w:t>
            </w:r>
          </w:p>
        </w:tc>
        <w:tc>
          <w:tcPr>
            <w:tcW w:w="3360" w:type="dxa"/>
            <w:vAlign w:val="center"/>
          </w:tcPr>
          <w:p>
            <w:pPr>
              <w:autoSpaceDE/>
              <w:autoSpaceDN/>
              <w:snapToGrid w:val="0"/>
              <w:spacing w:line="360" w:lineRule="auto"/>
              <w:jc w:val="center"/>
              <w:rPr>
                <w:bCs/>
                <w:kern w:val="2"/>
                <w:sz w:val="21"/>
                <w:szCs w:val="21"/>
                <w:lang w:val="en-US" w:bidi="ar-SA"/>
              </w:rPr>
            </w:pPr>
          </w:p>
          <w:p>
            <w:pPr>
              <w:autoSpaceDE/>
              <w:autoSpaceDN/>
              <w:snapToGrid w:val="0"/>
              <w:spacing w:line="360" w:lineRule="auto"/>
              <w:jc w:val="center"/>
              <w:rPr>
                <w:bCs/>
                <w:kern w:val="2"/>
                <w:sz w:val="21"/>
                <w:szCs w:val="21"/>
                <w:lang w:val="en-US" w:bidi="ar-SA"/>
              </w:rPr>
            </w:pPr>
          </w:p>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招标代理机构</w:t>
            </w:r>
          </w:p>
        </w:tc>
        <w:tc>
          <w:tcPr>
            <w:tcW w:w="5440" w:type="dxa"/>
            <w:vAlign w:val="center"/>
          </w:tcPr>
          <w:p>
            <w:pPr>
              <w:adjustRightInd w:val="0"/>
              <w:snapToGrid w:val="0"/>
              <w:spacing w:line="360" w:lineRule="auto"/>
              <w:rPr>
                <w:color w:val="000000"/>
                <w:sz w:val="21"/>
                <w:szCs w:val="21"/>
                <w:u w:val="single"/>
              </w:rPr>
            </w:pPr>
            <w:r>
              <w:rPr>
                <w:rFonts w:hint="eastAsia"/>
                <w:color w:val="000000"/>
                <w:sz w:val="21"/>
                <w:szCs w:val="21"/>
              </w:rPr>
              <w:t>招标代理机构：</w:t>
            </w:r>
            <w:r>
              <w:rPr>
                <w:rFonts w:hint="eastAsia"/>
                <w:sz w:val="21"/>
                <w:szCs w:val="21"/>
                <w:u w:val="single"/>
              </w:rPr>
              <w:t>中达安股份有限公司</w:t>
            </w:r>
          </w:p>
          <w:p>
            <w:pPr>
              <w:adjustRightInd w:val="0"/>
              <w:snapToGrid w:val="0"/>
              <w:spacing w:line="360" w:lineRule="auto"/>
              <w:rPr>
                <w:color w:val="000000"/>
                <w:sz w:val="21"/>
                <w:szCs w:val="21"/>
                <w:u w:val="single"/>
                <w:lang w:val="en-US"/>
              </w:rPr>
            </w:pPr>
            <w:r>
              <w:rPr>
                <w:rFonts w:hint="eastAsia"/>
                <w:color w:val="000000"/>
                <w:sz w:val="21"/>
                <w:szCs w:val="21"/>
              </w:rPr>
              <w:t>联系地址：</w:t>
            </w:r>
            <w:r>
              <w:rPr>
                <w:rFonts w:hint="eastAsia"/>
                <w:sz w:val="21"/>
                <w:szCs w:val="21"/>
                <w:u w:val="single"/>
                <w:lang w:val="en-US"/>
              </w:rPr>
              <w:t>广东省广州市天河区体育西路</w:t>
            </w:r>
            <w:r>
              <w:rPr>
                <w:sz w:val="21"/>
                <w:szCs w:val="21"/>
                <w:u w:val="single"/>
                <w:lang w:val="en-US"/>
              </w:rPr>
              <w:t>103号维多利广场A塔20层</w:t>
            </w:r>
          </w:p>
          <w:p>
            <w:pPr>
              <w:adjustRightInd w:val="0"/>
              <w:snapToGrid w:val="0"/>
              <w:spacing w:line="360" w:lineRule="auto"/>
              <w:rPr>
                <w:color w:val="000000"/>
                <w:sz w:val="21"/>
                <w:szCs w:val="21"/>
                <w:u w:val="single"/>
              </w:rPr>
            </w:pPr>
            <w:r>
              <w:rPr>
                <w:rFonts w:hint="eastAsia"/>
                <w:color w:val="000000"/>
                <w:sz w:val="21"/>
                <w:szCs w:val="21"/>
              </w:rPr>
              <w:t>联 系 人：</w:t>
            </w:r>
            <w:r>
              <w:rPr>
                <w:rFonts w:hint="eastAsia"/>
                <w:sz w:val="21"/>
                <w:szCs w:val="21"/>
                <w:u w:val="single"/>
                <w:lang w:val="en-US"/>
              </w:rPr>
              <w:t>陈工</w:t>
            </w:r>
          </w:p>
          <w:p>
            <w:pPr>
              <w:autoSpaceDE/>
              <w:autoSpaceDN/>
              <w:adjustRightInd w:val="0"/>
              <w:snapToGrid w:val="0"/>
              <w:spacing w:line="360" w:lineRule="auto"/>
              <w:rPr>
                <w:bCs/>
                <w:kern w:val="2"/>
                <w:sz w:val="21"/>
                <w:szCs w:val="21"/>
                <w:lang w:val="en-US" w:bidi="ar-SA"/>
              </w:rPr>
            </w:pPr>
            <w:r>
              <w:rPr>
                <w:rFonts w:hint="eastAsia"/>
                <w:color w:val="000000"/>
                <w:sz w:val="21"/>
                <w:szCs w:val="21"/>
              </w:rPr>
              <w:t>联系电话：</w:t>
            </w:r>
            <w:r>
              <w:rPr>
                <w:rFonts w:hint="eastAsia"/>
                <w:sz w:val="21"/>
                <w:szCs w:val="21"/>
                <w:u w:val="single"/>
                <w:lang w:val="en-US"/>
              </w:rPr>
              <w:t>020-</w:t>
            </w:r>
            <w:r>
              <w:rPr>
                <w:sz w:val="21"/>
                <w:szCs w:val="21"/>
                <w:u w:val="single"/>
                <w:lang w:val="en-US"/>
              </w:rPr>
              <w:t xml:space="preserve">38467671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1.1.4</w:t>
            </w:r>
          </w:p>
        </w:tc>
        <w:tc>
          <w:tcPr>
            <w:tcW w:w="3360"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招标项目名称</w:t>
            </w:r>
          </w:p>
        </w:tc>
        <w:tc>
          <w:tcPr>
            <w:tcW w:w="5440" w:type="dxa"/>
            <w:vAlign w:val="center"/>
          </w:tcPr>
          <w:p>
            <w:pPr>
              <w:autoSpaceDE/>
              <w:autoSpaceDN/>
              <w:snapToGrid w:val="0"/>
              <w:spacing w:line="360" w:lineRule="auto"/>
              <w:rPr>
                <w:bCs/>
                <w:kern w:val="2"/>
                <w:sz w:val="21"/>
                <w:szCs w:val="21"/>
                <w:lang w:val="en-US" w:bidi="ar-SA"/>
              </w:rPr>
            </w:pPr>
            <w:r>
              <w:rPr>
                <w:rFonts w:hint="eastAsia"/>
                <w:bCs/>
                <w:color w:val="000000"/>
                <w:sz w:val="21"/>
                <w:szCs w:val="21"/>
                <w:u w:val="single"/>
              </w:rPr>
              <w:t>广州烟草物流配送中心原地技术改造项目工程监理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1.1.5</w:t>
            </w:r>
          </w:p>
        </w:tc>
        <w:tc>
          <w:tcPr>
            <w:tcW w:w="3360"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项目建设地点</w:t>
            </w:r>
          </w:p>
        </w:tc>
        <w:tc>
          <w:tcPr>
            <w:tcW w:w="5440" w:type="dxa"/>
            <w:vAlign w:val="center"/>
          </w:tcPr>
          <w:p>
            <w:pPr>
              <w:autoSpaceDE/>
              <w:autoSpaceDN/>
              <w:snapToGrid w:val="0"/>
              <w:spacing w:line="360" w:lineRule="auto"/>
              <w:rPr>
                <w:bCs/>
                <w:kern w:val="2"/>
                <w:sz w:val="21"/>
                <w:szCs w:val="21"/>
                <w:lang w:val="en-US" w:bidi="ar-SA"/>
              </w:rPr>
            </w:pPr>
            <w:r>
              <w:rPr>
                <w:rFonts w:hint="eastAsia"/>
                <w:sz w:val="21"/>
                <w:szCs w:val="21"/>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1.1.6</w:t>
            </w:r>
          </w:p>
        </w:tc>
        <w:tc>
          <w:tcPr>
            <w:tcW w:w="3360"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项目建设规模</w:t>
            </w:r>
          </w:p>
        </w:tc>
        <w:tc>
          <w:tcPr>
            <w:tcW w:w="5440" w:type="dxa"/>
            <w:vAlign w:val="center"/>
          </w:tcPr>
          <w:p>
            <w:pPr>
              <w:autoSpaceDE/>
              <w:autoSpaceDN/>
              <w:snapToGrid w:val="0"/>
              <w:spacing w:line="360" w:lineRule="auto"/>
              <w:rPr>
                <w:bCs/>
                <w:kern w:val="2"/>
                <w:sz w:val="21"/>
                <w:szCs w:val="21"/>
                <w:lang w:val="en-US" w:bidi="ar-SA"/>
              </w:rPr>
            </w:pPr>
            <w:r>
              <w:rPr>
                <w:rFonts w:hint="eastAsia"/>
                <w:sz w:val="21"/>
                <w:szCs w:val="21"/>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252"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1.1.7</w:t>
            </w:r>
          </w:p>
        </w:tc>
        <w:tc>
          <w:tcPr>
            <w:tcW w:w="3360"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工程项目施工预计开工日期和建设周期</w:t>
            </w:r>
          </w:p>
        </w:tc>
        <w:tc>
          <w:tcPr>
            <w:tcW w:w="5440" w:type="dxa"/>
            <w:vAlign w:val="center"/>
          </w:tcPr>
          <w:p>
            <w:pPr>
              <w:snapToGrid w:val="0"/>
              <w:spacing w:line="360" w:lineRule="auto"/>
              <w:ind w:right="-239"/>
              <w:rPr>
                <w:sz w:val="21"/>
                <w:szCs w:val="21"/>
                <w:u w:val="single"/>
              </w:rPr>
            </w:pPr>
            <w:r>
              <w:rPr>
                <w:rFonts w:hint="eastAsia"/>
                <w:sz w:val="21"/>
                <w:szCs w:val="21"/>
                <w:u w:val="single"/>
                <w:lang w:val="en-US"/>
              </w:rPr>
              <w:t>本项目总工期为</w:t>
            </w:r>
            <w:r>
              <w:rPr>
                <w:sz w:val="21"/>
                <w:szCs w:val="21"/>
                <w:u w:val="single"/>
                <w:lang w:val="en-US"/>
              </w:rPr>
              <w:t>12</w:t>
            </w:r>
            <w:r>
              <w:rPr>
                <w:rFonts w:hint="eastAsia"/>
                <w:sz w:val="21"/>
                <w:szCs w:val="21"/>
                <w:u w:val="single"/>
                <w:lang w:val="en-US"/>
              </w:rPr>
              <w:t>个月</w:t>
            </w:r>
            <w:r>
              <w:rPr>
                <w:rFonts w:hint="eastAsia"/>
                <w:sz w:val="21"/>
                <w:szCs w:val="21"/>
                <w:u w:val="single"/>
              </w:rPr>
              <w:t>。</w:t>
            </w:r>
          </w:p>
          <w:p>
            <w:pPr>
              <w:snapToGrid w:val="0"/>
              <w:spacing w:line="360" w:lineRule="auto"/>
              <w:ind w:right="-239"/>
              <w:rPr>
                <w:bCs/>
                <w:kern w:val="2"/>
                <w:sz w:val="21"/>
                <w:szCs w:val="21"/>
                <w:lang w:val="en-US" w:bidi="ar-SA"/>
              </w:rPr>
            </w:pPr>
            <w:r>
              <w:rPr>
                <w:rFonts w:hint="eastAsia"/>
                <w:szCs w:val="21"/>
                <w:u w:val="single"/>
              </w:rPr>
              <w:t>具体开工时间以总监理工程师签署的开工令为准。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1.1.8</w:t>
            </w:r>
          </w:p>
        </w:tc>
        <w:tc>
          <w:tcPr>
            <w:tcW w:w="3360"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建筑安装工程费/工程概算</w:t>
            </w:r>
          </w:p>
        </w:tc>
        <w:tc>
          <w:tcPr>
            <w:tcW w:w="5440" w:type="dxa"/>
            <w:vAlign w:val="center"/>
          </w:tcPr>
          <w:p>
            <w:pPr>
              <w:autoSpaceDE/>
              <w:autoSpaceDN/>
              <w:snapToGrid w:val="0"/>
              <w:spacing w:line="360" w:lineRule="auto"/>
              <w:rPr>
                <w:bCs/>
                <w:kern w:val="2"/>
                <w:sz w:val="21"/>
                <w:szCs w:val="21"/>
                <w:lang w:val="en-US" w:bidi="ar-SA"/>
              </w:rPr>
            </w:pPr>
            <w:r>
              <w:rPr>
                <w:rFonts w:hint="eastAsia"/>
                <w:sz w:val="21"/>
                <w:szCs w:val="21"/>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1.2.1</w:t>
            </w:r>
          </w:p>
        </w:tc>
        <w:tc>
          <w:tcPr>
            <w:tcW w:w="3360"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资金来源及比例</w:t>
            </w:r>
          </w:p>
        </w:tc>
        <w:tc>
          <w:tcPr>
            <w:tcW w:w="5440" w:type="dxa"/>
            <w:vAlign w:val="center"/>
          </w:tcPr>
          <w:p>
            <w:pPr>
              <w:autoSpaceDE/>
              <w:autoSpaceDN/>
              <w:snapToGrid w:val="0"/>
              <w:spacing w:line="360" w:lineRule="auto"/>
              <w:rPr>
                <w:bCs/>
                <w:kern w:val="2"/>
                <w:sz w:val="21"/>
                <w:szCs w:val="21"/>
                <w:lang w:val="en-US" w:bidi="ar-SA"/>
              </w:rPr>
            </w:pPr>
            <w:r>
              <w:rPr>
                <w:rFonts w:hint="eastAsia"/>
                <w:sz w:val="21"/>
                <w:szCs w:val="21"/>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1.2.2</w:t>
            </w:r>
          </w:p>
        </w:tc>
        <w:tc>
          <w:tcPr>
            <w:tcW w:w="3360"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资金落实情况</w:t>
            </w:r>
          </w:p>
        </w:tc>
        <w:tc>
          <w:tcPr>
            <w:tcW w:w="5440" w:type="dxa"/>
            <w:vAlign w:val="center"/>
          </w:tcPr>
          <w:p>
            <w:pPr>
              <w:autoSpaceDE/>
              <w:autoSpaceDN/>
              <w:snapToGrid w:val="0"/>
              <w:spacing w:line="360" w:lineRule="auto"/>
              <w:rPr>
                <w:bCs/>
                <w:kern w:val="2"/>
                <w:sz w:val="21"/>
                <w:szCs w:val="21"/>
                <w:lang w:val="en-US" w:bidi="ar-SA"/>
              </w:rPr>
            </w:pPr>
            <w:r>
              <w:rPr>
                <w:rFonts w:hint="eastAsia"/>
                <w:sz w:val="21"/>
                <w:szCs w:val="21"/>
                <w:u w:val="singl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1.3.1</w:t>
            </w:r>
          </w:p>
        </w:tc>
        <w:tc>
          <w:tcPr>
            <w:tcW w:w="3360"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招标范围</w:t>
            </w:r>
          </w:p>
        </w:tc>
        <w:tc>
          <w:tcPr>
            <w:tcW w:w="5440" w:type="dxa"/>
            <w:vAlign w:val="center"/>
          </w:tcPr>
          <w:p>
            <w:pPr>
              <w:autoSpaceDE/>
              <w:autoSpaceDN/>
              <w:snapToGrid w:val="0"/>
              <w:spacing w:line="360" w:lineRule="auto"/>
              <w:rPr>
                <w:bCs/>
                <w:kern w:val="2"/>
                <w:sz w:val="21"/>
                <w:szCs w:val="21"/>
                <w:lang w:val="en-US" w:bidi="ar-SA"/>
              </w:rPr>
            </w:pPr>
            <w:r>
              <w:rPr>
                <w:rFonts w:hint="eastAsia"/>
                <w:sz w:val="21"/>
                <w:szCs w:val="21"/>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1252"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1.3.2</w:t>
            </w:r>
          </w:p>
        </w:tc>
        <w:tc>
          <w:tcPr>
            <w:tcW w:w="3360"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监理服务期限</w:t>
            </w:r>
          </w:p>
        </w:tc>
        <w:tc>
          <w:tcPr>
            <w:tcW w:w="5440" w:type="dxa"/>
            <w:vAlign w:val="center"/>
          </w:tcPr>
          <w:p>
            <w:pPr>
              <w:autoSpaceDE/>
              <w:autoSpaceDN/>
              <w:snapToGrid w:val="0"/>
              <w:spacing w:line="360" w:lineRule="auto"/>
              <w:rPr>
                <w:bCs/>
                <w:kern w:val="2"/>
                <w:sz w:val="21"/>
                <w:szCs w:val="21"/>
                <w:lang w:val="en-US" w:bidi="ar-SA"/>
              </w:rPr>
            </w:pPr>
            <w:r>
              <w:rPr>
                <w:rFonts w:hint="eastAsia"/>
                <w:sz w:val="21"/>
                <w:szCs w:val="21"/>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52"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1.3.3</w:t>
            </w:r>
          </w:p>
        </w:tc>
        <w:tc>
          <w:tcPr>
            <w:tcW w:w="3360" w:type="dxa"/>
            <w:vAlign w:val="center"/>
          </w:tcPr>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质量标准</w:t>
            </w:r>
          </w:p>
        </w:tc>
        <w:tc>
          <w:tcPr>
            <w:tcW w:w="5440" w:type="dxa"/>
            <w:vAlign w:val="center"/>
          </w:tcPr>
          <w:p>
            <w:pPr>
              <w:pStyle w:val="33"/>
              <w:ind w:firstLine="23" w:firstLineChars="11"/>
              <w:rPr>
                <w:rFonts w:ascii="宋体" w:hAnsi="宋体" w:cs="宋体"/>
                <w:color w:val="000000"/>
                <w:spacing w:val="0"/>
                <w:sz w:val="21"/>
                <w:szCs w:val="21"/>
                <w:u w:val="single"/>
              </w:rPr>
            </w:pPr>
            <w:r>
              <w:rPr>
                <w:rFonts w:hint="eastAsia" w:ascii="宋体" w:hAnsi="宋体" w:cs="宋体"/>
                <w:color w:val="000000"/>
                <w:sz w:val="21"/>
                <w:szCs w:val="21"/>
                <w:u w:val="single"/>
              </w:rPr>
              <w:t>（1）质量控制目标</w:t>
            </w:r>
            <w:r>
              <w:rPr>
                <w:rFonts w:hint="eastAsia" w:ascii="宋体" w:hAnsi="宋体" w:cs="宋体"/>
                <w:color w:val="000000"/>
                <w:spacing w:val="0"/>
                <w:sz w:val="21"/>
                <w:szCs w:val="21"/>
                <w:u w:val="single"/>
              </w:rPr>
              <w:t>：</w:t>
            </w:r>
            <w:bookmarkStart w:id="7" w:name="_Hlk85830073"/>
            <w:r>
              <w:rPr>
                <w:rFonts w:hint="eastAsia" w:ascii="宋体" w:hAnsi="宋体" w:cs="宋体"/>
                <w:color w:val="000000"/>
                <w:spacing w:val="0"/>
                <w:sz w:val="21"/>
                <w:szCs w:val="21"/>
                <w:u w:val="single"/>
              </w:rPr>
              <w:t>必须严格按照招标人提供的施工图纸及其有关设计说明资料开展监理工作，按照设计文件和有关的技术标准、规范和合同规定进行监理工作，验收标准按现行国家和地方颁发的建设工程质量检验评定标准执行，必须达到地方行政主管部门的一次性验收合格。</w:t>
            </w:r>
            <w:bookmarkEnd w:id="7"/>
          </w:p>
          <w:p>
            <w:pPr>
              <w:pStyle w:val="33"/>
              <w:ind w:firstLine="23" w:firstLineChars="11"/>
              <w:rPr>
                <w:color w:val="000000"/>
                <w:sz w:val="21"/>
                <w:szCs w:val="21"/>
                <w:u w:val="single"/>
              </w:rPr>
            </w:pPr>
            <w:r>
              <w:rPr>
                <w:rFonts w:hint="eastAsia"/>
                <w:color w:val="000000"/>
                <w:sz w:val="21"/>
                <w:szCs w:val="21"/>
                <w:u w:val="single"/>
              </w:rPr>
              <w:t>（2）进度控制目标：按招标人对工期的要求进行进度目标控制。</w:t>
            </w:r>
          </w:p>
          <w:p>
            <w:pPr>
              <w:pStyle w:val="33"/>
              <w:ind w:firstLine="23" w:firstLineChars="11"/>
              <w:rPr>
                <w:color w:val="000000"/>
                <w:sz w:val="21"/>
                <w:szCs w:val="21"/>
                <w:u w:val="single"/>
              </w:rPr>
            </w:pPr>
            <w:r>
              <w:rPr>
                <w:rFonts w:hint="eastAsia"/>
                <w:color w:val="000000"/>
                <w:sz w:val="21"/>
                <w:szCs w:val="21"/>
                <w:u w:val="single"/>
              </w:rPr>
              <w:t>（3）投资控制目标：所监理的建安工程结算不超过合同价，且不超过相应的建安工程费概算。</w:t>
            </w:r>
          </w:p>
          <w:p>
            <w:pPr>
              <w:pStyle w:val="33"/>
              <w:ind w:firstLine="23" w:firstLineChars="11"/>
              <w:jc w:val="both"/>
              <w:rPr>
                <w:color w:val="000000"/>
                <w:sz w:val="21"/>
                <w:szCs w:val="21"/>
                <w:u w:val="single"/>
              </w:rPr>
            </w:pPr>
            <w:r>
              <w:rPr>
                <w:rFonts w:hint="eastAsia"/>
                <w:color w:val="000000"/>
                <w:sz w:val="21"/>
                <w:szCs w:val="21"/>
                <w:u w:val="single"/>
              </w:rPr>
              <w:t>（4）安全生产文明施工控制目标：执行国家安全生产、建设工程安全管理相关法律法规和烟草行业《安全生产标准化规范》（YC/T384-2018）要求，确保工程无发生国家规定的安全生产责任事故；确保实施期内有关建设人员不违反委托人安全监管规定。</w:t>
            </w:r>
          </w:p>
          <w:p>
            <w:pPr>
              <w:pStyle w:val="33"/>
              <w:ind w:firstLine="23" w:firstLineChars="11"/>
              <w:rPr>
                <w:rFonts w:ascii="仿宋" w:hAnsi="仿宋" w:eastAsia="仿宋" w:cs="仿宋"/>
                <w:b/>
                <w:bCs/>
                <w:sz w:val="21"/>
                <w:szCs w:val="21"/>
              </w:rPr>
            </w:pPr>
            <w:r>
              <w:rPr>
                <w:rFonts w:hint="eastAsia"/>
                <w:color w:val="000000"/>
                <w:sz w:val="21"/>
                <w:szCs w:val="21"/>
                <w:u w:val="single"/>
              </w:rPr>
              <w:t>（5）职业健康安全管理目标：杜绝发生国家规定的安全生产责任事故。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pPr>
              <w:autoSpaceDE/>
              <w:autoSpaceDN/>
              <w:snapToGrid w:val="0"/>
              <w:spacing w:line="360" w:lineRule="auto"/>
              <w:jc w:val="center"/>
              <w:rPr>
                <w:bCs/>
                <w:kern w:val="2"/>
                <w:sz w:val="21"/>
                <w:szCs w:val="21"/>
                <w:lang w:val="en-US" w:bidi="ar-SA"/>
              </w:rPr>
            </w:pPr>
          </w:p>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1.4.1</w:t>
            </w:r>
          </w:p>
        </w:tc>
        <w:tc>
          <w:tcPr>
            <w:tcW w:w="3360" w:type="dxa"/>
            <w:vAlign w:val="center"/>
          </w:tcPr>
          <w:p>
            <w:pPr>
              <w:autoSpaceDE/>
              <w:autoSpaceDN/>
              <w:snapToGrid w:val="0"/>
              <w:spacing w:line="360" w:lineRule="auto"/>
              <w:jc w:val="center"/>
              <w:rPr>
                <w:bCs/>
                <w:kern w:val="2"/>
                <w:sz w:val="21"/>
                <w:szCs w:val="21"/>
                <w:lang w:val="en-US" w:bidi="ar-SA"/>
              </w:rPr>
            </w:pPr>
          </w:p>
          <w:p>
            <w:pPr>
              <w:autoSpaceDE/>
              <w:autoSpaceDN/>
              <w:snapToGrid w:val="0"/>
              <w:spacing w:line="360" w:lineRule="auto"/>
              <w:jc w:val="center"/>
              <w:rPr>
                <w:bCs/>
                <w:kern w:val="2"/>
                <w:sz w:val="21"/>
                <w:szCs w:val="21"/>
                <w:lang w:val="en-US" w:bidi="ar-SA"/>
              </w:rPr>
            </w:pPr>
            <w:r>
              <w:rPr>
                <w:rFonts w:hint="eastAsia"/>
                <w:bCs/>
                <w:kern w:val="2"/>
                <w:sz w:val="21"/>
                <w:szCs w:val="21"/>
                <w:lang w:val="en-US" w:bidi="ar-SA"/>
              </w:rPr>
              <w:t>投标人资质条件、能力、信誉</w:t>
            </w:r>
          </w:p>
        </w:tc>
        <w:tc>
          <w:tcPr>
            <w:tcW w:w="5440" w:type="dxa"/>
            <w:vAlign w:val="center"/>
          </w:tcPr>
          <w:p>
            <w:pPr>
              <w:autoSpaceDE/>
              <w:autoSpaceDN/>
              <w:snapToGrid w:val="0"/>
              <w:spacing w:line="360" w:lineRule="auto"/>
              <w:rPr>
                <w:bCs/>
                <w:kern w:val="2"/>
                <w:sz w:val="21"/>
                <w:szCs w:val="21"/>
                <w:lang w:val="en-US" w:bidi="ar-SA"/>
              </w:rPr>
            </w:pPr>
            <w:r>
              <w:rPr>
                <w:rFonts w:hint="eastAsia"/>
                <w:bCs/>
                <w:kern w:val="2"/>
                <w:sz w:val="21"/>
                <w:szCs w:val="21"/>
                <w:lang w:val="en-US" w:bidi="ar-SA"/>
              </w:rPr>
              <w:t>（1）资质要求：</w:t>
            </w:r>
            <w:r>
              <w:rPr>
                <w:rFonts w:hint="eastAsia"/>
                <w:sz w:val="21"/>
                <w:szCs w:val="21"/>
              </w:rPr>
              <w:t>见招标公告投标人资格要求。</w:t>
            </w:r>
          </w:p>
          <w:p>
            <w:pPr>
              <w:autoSpaceDE/>
              <w:autoSpaceDN/>
              <w:snapToGrid w:val="0"/>
              <w:spacing w:line="360" w:lineRule="auto"/>
              <w:rPr>
                <w:bCs/>
                <w:kern w:val="2"/>
                <w:sz w:val="21"/>
                <w:szCs w:val="21"/>
                <w:lang w:val="en-US" w:bidi="ar-SA"/>
              </w:rPr>
            </w:pPr>
            <w:r>
              <w:rPr>
                <w:rFonts w:hint="eastAsia"/>
                <w:bCs/>
                <w:kern w:val="2"/>
                <w:sz w:val="21"/>
                <w:szCs w:val="21"/>
                <w:lang w:val="en-US" w:bidi="ar-SA"/>
              </w:rPr>
              <w:t>（2）财务要求：/</w:t>
            </w:r>
          </w:p>
          <w:p>
            <w:pPr>
              <w:autoSpaceDE/>
              <w:autoSpaceDN/>
              <w:snapToGrid w:val="0"/>
              <w:spacing w:line="360" w:lineRule="auto"/>
              <w:rPr>
                <w:bCs/>
                <w:kern w:val="2"/>
                <w:sz w:val="21"/>
                <w:szCs w:val="21"/>
                <w:lang w:val="en-US" w:bidi="ar-SA"/>
              </w:rPr>
            </w:pPr>
            <w:r>
              <w:rPr>
                <w:rFonts w:hint="eastAsia"/>
                <w:bCs/>
                <w:kern w:val="2"/>
                <w:sz w:val="21"/>
                <w:szCs w:val="21"/>
                <w:lang w:val="en-US" w:bidi="ar-SA"/>
              </w:rPr>
              <w:t>（3）业绩要求：</w:t>
            </w:r>
            <w:r>
              <w:rPr>
                <w:rFonts w:hint="eastAsia"/>
                <w:sz w:val="21"/>
                <w:szCs w:val="21"/>
                <w:lang w:val="en-US"/>
              </w:rPr>
              <w:t>/</w:t>
            </w:r>
          </w:p>
          <w:p>
            <w:pPr>
              <w:snapToGrid w:val="0"/>
              <w:spacing w:line="360" w:lineRule="auto"/>
              <w:rPr>
                <w:sz w:val="21"/>
                <w:szCs w:val="21"/>
              </w:rPr>
            </w:pPr>
            <w:r>
              <w:rPr>
                <w:rFonts w:hint="eastAsia"/>
                <w:sz w:val="21"/>
                <w:szCs w:val="21"/>
              </w:rPr>
              <w:t>（4）信誉要求：/</w:t>
            </w:r>
          </w:p>
          <w:p>
            <w:pPr>
              <w:snapToGrid w:val="0"/>
              <w:spacing w:line="360" w:lineRule="auto"/>
              <w:rPr>
                <w:sz w:val="21"/>
                <w:szCs w:val="21"/>
              </w:rPr>
            </w:pPr>
            <w:r>
              <w:rPr>
                <w:rFonts w:hint="eastAsia"/>
                <w:sz w:val="21"/>
                <w:szCs w:val="21"/>
              </w:rPr>
              <w:t>（5）总监理工程师的资格要求：见招标公告投标人资格要求。</w:t>
            </w:r>
          </w:p>
          <w:p>
            <w:pPr>
              <w:snapToGrid w:val="0"/>
              <w:spacing w:line="360" w:lineRule="auto"/>
              <w:rPr>
                <w:sz w:val="21"/>
                <w:szCs w:val="21"/>
              </w:rPr>
            </w:pPr>
            <w:r>
              <w:rPr>
                <w:rFonts w:hint="eastAsia"/>
                <w:sz w:val="21"/>
                <w:szCs w:val="21"/>
              </w:rPr>
              <w:t>（6）其他主要人员要求：/</w:t>
            </w:r>
          </w:p>
          <w:p>
            <w:pPr>
              <w:snapToGrid w:val="0"/>
              <w:spacing w:line="360" w:lineRule="auto"/>
              <w:rPr>
                <w:sz w:val="21"/>
                <w:szCs w:val="21"/>
              </w:rPr>
            </w:pPr>
            <w:r>
              <w:rPr>
                <w:rFonts w:hint="eastAsia"/>
                <w:sz w:val="21"/>
                <w:szCs w:val="21"/>
              </w:rPr>
              <w:t>（7）试验检测仪器设备要求：/</w:t>
            </w:r>
          </w:p>
          <w:p>
            <w:pPr>
              <w:autoSpaceDE/>
              <w:autoSpaceDN/>
              <w:snapToGrid w:val="0"/>
              <w:spacing w:line="360" w:lineRule="auto"/>
              <w:rPr>
                <w:bCs/>
                <w:kern w:val="2"/>
                <w:sz w:val="21"/>
                <w:szCs w:val="21"/>
                <w:lang w:val="en-US" w:bidi="ar-SA"/>
              </w:rPr>
            </w:pPr>
            <w:r>
              <w:rPr>
                <w:rFonts w:hint="eastAsia"/>
                <w:sz w:val="21"/>
                <w:szCs w:val="21"/>
              </w:rPr>
              <w:t>（8）其他要求：见招标公告投标人资格要求。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1.4.2</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是否接受联合体投标</w:t>
            </w:r>
          </w:p>
        </w:tc>
        <w:tc>
          <w:tcPr>
            <w:tcW w:w="5440" w:type="dxa"/>
            <w:vAlign w:val="center"/>
          </w:tcPr>
          <w:p>
            <w:pPr>
              <w:snapToGrid w:val="0"/>
              <w:spacing w:line="360" w:lineRule="auto"/>
              <w:ind w:right="-238"/>
              <w:rPr>
                <w:sz w:val="21"/>
                <w:szCs w:val="21"/>
              </w:rPr>
            </w:pPr>
            <w:r>
              <w:rPr>
                <w:rFonts w:hint="eastAsia"/>
                <w:sz w:val="21"/>
                <w:szCs w:val="21"/>
              </w:rPr>
              <w:t>■</w:t>
            </w:r>
            <w:r>
              <w:rPr>
                <w:rFonts w:hint="eastAsia"/>
                <w:position w:val="3"/>
                <w:sz w:val="21"/>
                <w:szCs w:val="21"/>
              </w:rPr>
              <w:t>不接受</w:t>
            </w:r>
          </w:p>
          <w:p>
            <w:pPr>
              <w:snapToGrid w:val="0"/>
              <w:spacing w:line="360" w:lineRule="auto"/>
              <w:rPr>
                <w:sz w:val="21"/>
                <w:szCs w:val="21"/>
              </w:rPr>
            </w:pPr>
            <w:r>
              <w:rPr>
                <w:rFonts w:hint="eastAsia"/>
                <w:sz w:val="21"/>
                <w:szCs w:val="21"/>
              </w:rPr>
              <w:t>□接受，应满足下列要求：</w:t>
            </w:r>
            <w:r>
              <w:rPr>
                <w:rFonts w:hint="eastAsia"/>
                <w:sz w:val="21"/>
                <w:szCs w:val="21"/>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1.4.3</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投标人不得存在的其他情形</w:t>
            </w:r>
          </w:p>
        </w:tc>
        <w:tc>
          <w:tcPr>
            <w:tcW w:w="5440" w:type="dxa"/>
            <w:vAlign w:val="center"/>
          </w:tcPr>
          <w:p>
            <w:pPr>
              <w:topLinePunct/>
              <w:snapToGrid w:val="0"/>
              <w:spacing w:line="360" w:lineRule="auto"/>
              <w:rPr>
                <w:sz w:val="21"/>
                <w:szCs w:val="21"/>
                <w:u w:val="single"/>
              </w:rPr>
            </w:pPr>
            <w:r>
              <w:rPr>
                <w:rFonts w:hint="eastAsia"/>
                <w:sz w:val="21"/>
                <w:szCs w:val="21"/>
                <w:u w:val="single"/>
              </w:rPr>
              <w:t>（16）在近三年内投标人或其法定代表人、拟委任的总监理工程师有行贿犯罪行为的。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1.9.1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踏勘现场</w:t>
            </w:r>
          </w:p>
        </w:tc>
        <w:tc>
          <w:tcPr>
            <w:tcW w:w="5440" w:type="dxa"/>
            <w:vAlign w:val="center"/>
          </w:tcPr>
          <w:p>
            <w:pPr>
              <w:pStyle w:val="10"/>
              <w:topLinePunct/>
              <w:snapToGrid w:val="0"/>
              <w:spacing w:line="360" w:lineRule="auto"/>
              <w:rPr>
                <w:sz w:val="21"/>
                <w:szCs w:val="21"/>
                <w:lang w:val="en-US"/>
              </w:rPr>
            </w:pPr>
            <w:r>
              <w:rPr>
                <w:rFonts w:hint="eastAsia"/>
                <w:sz w:val="21"/>
                <w:szCs w:val="21"/>
                <w:lang w:val="en-US"/>
              </w:rPr>
              <w:t>■不组织，</w:t>
            </w:r>
            <w:r>
              <w:rPr>
                <w:rFonts w:hint="eastAsia"/>
                <w:sz w:val="21"/>
                <w:szCs w:val="21"/>
                <w:u w:val="single"/>
                <w:lang w:val="en-US"/>
              </w:rPr>
              <w:t>由投标人自行现场考察。</w:t>
            </w:r>
          </w:p>
          <w:p>
            <w:pPr>
              <w:pStyle w:val="10"/>
              <w:topLinePunct/>
              <w:snapToGrid w:val="0"/>
              <w:spacing w:line="360" w:lineRule="auto"/>
              <w:rPr>
                <w:sz w:val="21"/>
                <w:szCs w:val="21"/>
                <w:lang w:val="en-US"/>
              </w:rPr>
            </w:pPr>
            <w:r>
              <w:rPr>
                <w:rFonts w:hint="eastAsia"/>
                <w:sz w:val="21"/>
                <w:szCs w:val="21"/>
                <w:lang w:val="en-US"/>
              </w:rPr>
              <w:t>□组织，踏勘时间：/</w:t>
            </w:r>
          </w:p>
          <w:p>
            <w:pPr>
              <w:pStyle w:val="10"/>
              <w:topLinePunct/>
              <w:snapToGrid w:val="0"/>
              <w:spacing w:line="360" w:lineRule="auto"/>
              <w:rPr>
                <w:sz w:val="21"/>
                <w:szCs w:val="21"/>
              </w:rPr>
            </w:pPr>
            <w:r>
              <w:rPr>
                <w:rFonts w:hint="eastAsia"/>
                <w:sz w:val="21"/>
                <w:szCs w:val="21"/>
                <w:lang w:val="en-US"/>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1.10.1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投标预备会</w:t>
            </w:r>
          </w:p>
        </w:tc>
        <w:tc>
          <w:tcPr>
            <w:tcW w:w="5440" w:type="dxa"/>
            <w:vAlign w:val="center"/>
          </w:tcPr>
          <w:p>
            <w:pPr>
              <w:pStyle w:val="10"/>
              <w:topLinePunct/>
              <w:snapToGrid w:val="0"/>
              <w:spacing w:line="360" w:lineRule="auto"/>
              <w:rPr>
                <w:sz w:val="21"/>
                <w:szCs w:val="21"/>
                <w:lang w:val="en-US"/>
              </w:rPr>
            </w:pPr>
            <w:r>
              <w:rPr>
                <w:rFonts w:hint="eastAsia"/>
                <w:sz w:val="21"/>
                <w:szCs w:val="21"/>
                <w:lang w:val="en-US"/>
              </w:rPr>
              <w:t>■不召开</w:t>
            </w:r>
          </w:p>
          <w:p>
            <w:pPr>
              <w:snapToGrid w:val="0"/>
              <w:spacing w:line="360" w:lineRule="auto"/>
              <w:rPr>
                <w:sz w:val="21"/>
                <w:szCs w:val="21"/>
              </w:rPr>
            </w:pPr>
            <w:r>
              <w:rPr>
                <w:rFonts w:hint="eastAsia"/>
                <w:sz w:val="21"/>
                <w:szCs w:val="21"/>
              </w:rPr>
              <w:t>□召开，召开时间：</w:t>
            </w:r>
            <w:r>
              <w:rPr>
                <w:rFonts w:hint="eastAsia"/>
                <w:sz w:val="21"/>
                <w:szCs w:val="21"/>
                <w:u w:val="single"/>
              </w:rPr>
              <w:t xml:space="preserve"> / </w:t>
            </w:r>
          </w:p>
          <w:p>
            <w:pPr>
              <w:snapToGrid w:val="0"/>
              <w:spacing w:line="360" w:lineRule="auto"/>
              <w:ind w:firstLine="840" w:firstLineChars="400"/>
              <w:rPr>
                <w:sz w:val="21"/>
                <w:szCs w:val="21"/>
              </w:rPr>
            </w:pPr>
            <w:r>
              <w:rPr>
                <w:rFonts w:hint="eastAsia"/>
                <w:sz w:val="21"/>
                <w:szCs w:val="21"/>
              </w:rPr>
              <w:t>召开地点：</w:t>
            </w:r>
            <w:r>
              <w:rPr>
                <w:rFonts w:hint="eastAsia"/>
                <w:sz w:val="21"/>
                <w:szCs w:val="21"/>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252" w:type="dxa"/>
            <w:vMerge w:val="restart"/>
            <w:vAlign w:val="center"/>
          </w:tcPr>
          <w:p>
            <w:pPr>
              <w:snapToGrid w:val="0"/>
              <w:spacing w:line="360" w:lineRule="auto"/>
              <w:jc w:val="center"/>
              <w:rPr>
                <w:bCs/>
                <w:kern w:val="2"/>
                <w:sz w:val="21"/>
                <w:szCs w:val="21"/>
                <w:lang w:val="en-US" w:bidi="ar-SA"/>
              </w:rPr>
            </w:pPr>
            <w:r>
              <w:rPr>
                <w:rFonts w:hint="eastAsia"/>
                <w:sz w:val="21"/>
                <w:szCs w:val="21"/>
              </w:rPr>
              <w:t>1.10.2</w:t>
            </w:r>
          </w:p>
        </w:tc>
        <w:tc>
          <w:tcPr>
            <w:tcW w:w="3360" w:type="dxa"/>
            <w:vMerge w:val="restart"/>
            <w:vAlign w:val="center"/>
          </w:tcPr>
          <w:p>
            <w:pPr>
              <w:snapToGrid w:val="0"/>
              <w:spacing w:line="360" w:lineRule="auto"/>
              <w:jc w:val="center"/>
              <w:rPr>
                <w:bCs/>
                <w:kern w:val="2"/>
                <w:sz w:val="21"/>
                <w:szCs w:val="21"/>
                <w:lang w:val="en-US" w:bidi="ar-SA"/>
              </w:rPr>
            </w:pPr>
            <w:r>
              <w:rPr>
                <w:rFonts w:hint="eastAsia"/>
                <w:sz w:val="21"/>
                <w:szCs w:val="21"/>
              </w:rPr>
              <w:t>投标人在投标预备会前提出问题</w:t>
            </w:r>
          </w:p>
        </w:tc>
        <w:tc>
          <w:tcPr>
            <w:tcW w:w="5440" w:type="dxa"/>
            <w:vAlign w:val="center"/>
          </w:tcPr>
          <w:p>
            <w:pPr>
              <w:snapToGrid w:val="0"/>
              <w:spacing w:line="360" w:lineRule="auto"/>
              <w:rPr>
                <w:sz w:val="21"/>
                <w:szCs w:val="21"/>
              </w:rPr>
            </w:pPr>
            <w:r>
              <w:rPr>
                <w:rFonts w:hint="eastAsia"/>
                <w:sz w:val="21"/>
                <w:szCs w:val="21"/>
              </w:rPr>
              <w:t>时间：</w:t>
            </w:r>
            <w:r>
              <w:rPr>
                <w:rFonts w:hint="eastAsia"/>
                <w:sz w:val="21"/>
                <w:szCs w:val="21"/>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252" w:type="dxa"/>
            <w:vMerge w:val="continue"/>
            <w:vAlign w:val="center"/>
          </w:tcPr>
          <w:p>
            <w:pPr>
              <w:snapToGrid w:val="0"/>
              <w:spacing w:line="360" w:lineRule="auto"/>
              <w:jc w:val="center"/>
              <w:rPr>
                <w:bCs/>
                <w:kern w:val="2"/>
                <w:sz w:val="21"/>
                <w:szCs w:val="21"/>
                <w:lang w:val="en-US" w:bidi="ar-SA"/>
              </w:rPr>
            </w:pPr>
          </w:p>
        </w:tc>
        <w:tc>
          <w:tcPr>
            <w:tcW w:w="3360" w:type="dxa"/>
            <w:vMerge w:val="continue"/>
            <w:vAlign w:val="center"/>
          </w:tcPr>
          <w:p>
            <w:pPr>
              <w:snapToGrid w:val="0"/>
              <w:spacing w:line="360" w:lineRule="auto"/>
              <w:jc w:val="center"/>
              <w:rPr>
                <w:bCs/>
                <w:kern w:val="2"/>
                <w:sz w:val="21"/>
                <w:szCs w:val="21"/>
                <w:lang w:val="en-US" w:bidi="ar-SA"/>
              </w:rPr>
            </w:pPr>
          </w:p>
        </w:tc>
        <w:tc>
          <w:tcPr>
            <w:tcW w:w="5440" w:type="dxa"/>
            <w:vAlign w:val="center"/>
          </w:tcPr>
          <w:p>
            <w:pPr>
              <w:snapToGrid w:val="0"/>
              <w:spacing w:line="360" w:lineRule="auto"/>
              <w:rPr>
                <w:sz w:val="21"/>
                <w:szCs w:val="21"/>
              </w:rPr>
            </w:pPr>
            <w:r>
              <w:rPr>
                <w:rFonts w:hint="eastAsia"/>
                <w:sz w:val="21"/>
                <w:szCs w:val="21"/>
              </w:rPr>
              <w:t>形式：</w:t>
            </w:r>
            <w:r>
              <w:rPr>
                <w:rFonts w:hint="eastAsia"/>
                <w:sz w:val="21"/>
                <w:szCs w:val="21"/>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1.10.3</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招标文件澄清发出的形式</w:t>
            </w:r>
          </w:p>
        </w:tc>
        <w:tc>
          <w:tcPr>
            <w:tcW w:w="5440" w:type="dxa"/>
            <w:vAlign w:val="center"/>
          </w:tcPr>
          <w:p>
            <w:pPr>
              <w:snapToGrid w:val="0"/>
              <w:spacing w:line="360" w:lineRule="auto"/>
              <w:rPr>
                <w:sz w:val="21"/>
                <w:szCs w:val="21"/>
              </w:rPr>
            </w:pPr>
            <w:r>
              <w:rPr>
                <w:rFonts w:hint="eastAsia"/>
                <w:sz w:val="21"/>
                <w:szCs w:val="21"/>
                <w:u w:val="single"/>
              </w:rPr>
              <w:t xml:space="preserve">/ </w:t>
            </w:r>
            <w:r>
              <w:rPr>
                <w:rFonts w:hint="eastAsia"/>
                <w:sz w:val="21"/>
                <w:szCs w:val="21"/>
              </w:rPr>
              <w:t xml:space="preserve"> （此为投标预备会的答疑澄清）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1.12.1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实质性要求和条件</w:t>
            </w:r>
          </w:p>
        </w:tc>
        <w:tc>
          <w:tcPr>
            <w:tcW w:w="5440" w:type="dxa"/>
            <w:vAlign w:val="center"/>
          </w:tcPr>
          <w:p>
            <w:pPr>
              <w:pStyle w:val="10"/>
              <w:topLinePunct/>
              <w:snapToGrid w:val="0"/>
              <w:spacing w:line="360" w:lineRule="auto"/>
              <w:rPr>
                <w:sz w:val="21"/>
                <w:szCs w:val="21"/>
              </w:rPr>
            </w:pPr>
            <w:r>
              <w:rPr>
                <w:rFonts w:hint="eastAsia"/>
                <w:sz w:val="21"/>
                <w:szCs w:val="21"/>
                <w:u w:val="singl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1.12.3</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偏差</w:t>
            </w:r>
          </w:p>
        </w:tc>
        <w:tc>
          <w:tcPr>
            <w:tcW w:w="5440" w:type="dxa"/>
          </w:tcPr>
          <w:p>
            <w:pPr>
              <w:snapToGrid w:val="0"/>
              <w:spacing w:line="360" w:lineRule="auto"/>
              <w:rPr>
                <w:sz w:val="21"/>
                <w:szCs w:val="21"/>
              </w:rPr>
            </w:pPr>
            <w:r>
              <w:rPr>
                <w:rFonts w:hint="eastAsia"/>
                <w:sz w:val="21"/>
                <w:szCs w:val="21"/>
              </w:rPr>
              <w:t>■不允许</w:t>
            </w:r>
          </w:p>
          <w:p>
            <w:pPr>
              <w:pStyle w:val="10"/>
              <w:topLinePunct/>
              <w:autoSpaceDE/>
              <w:autoSpaceDN/>
              <w:snapToGrid w:val="0"/>
              <w:spacing w:after="0" w:line="360" w:lineRule="auto"/>
              <w:jc w:val="both"/>
              <w:rPr>
                <w:kern w:val="2"/>
                <w:sz w:val="21"/>
                <w:szCs w:val="21"/>
                <w:lang w:val="en-US" w:bidi="ar-SA"/>
              </w:rPr>
            </w:pPr>
            <w:r>
              <w:rPr>
                <w:rFonts w:hint="eastAsia"/>
                <w:kern w:val="2"/>
                <w:sz w:val="21"/>
                <w:szCs w:val="21"/>
                <w:lang w:val="en-US" w:bidi="ar-SA"/>
              </w:rPr>
              <w:t>□允许，偏差范围：/</w:t>
            </w:r>
          </w:p>
          <w:p>
            <w:pPr>
              <w:pStyle w:val="10"/>
              <w:topLinePunct/>
              <w:autoSpaceDE/>
              <w:autoSpaceDN/>
              <w:snapToGrid w:val="0"/>
              <w:spacing w:after="0" w:line="360" w:lineRule="auto"/>
              <w:jc w:val="both"/>
              <w:rPr>
                <w:sz w:val="21"/>
                <w:szCs w:val="21"/>
              </w:rPr>
            </w:pPr>
            <w:r>
              <w:rPr>
                <w:rFonts w:hint="eastAsia"/>
                <w:kern w:val="2"/>
                <w:sz w:val="21"/>
                <w:szCs w:val="21"/>
                <w:lang w:val="en-US" w:bidi="ar-SA"/>
              </w:rPr>
              <w:t>偏差幅度：/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2.1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构成招标文件的其他资料</w:t>
            </w:r>
          </w:p>
        </w:tc>
        <w:tc>
          <w:tcPr>
            <w:tcW w:w="5440" w:type="dxa"/>
            <w:vAlign w:val="center"/>
          </w:tcPr>
          <w:p>
            <w:pPr>
              <w:snapToGrid w:val="0"/>
              <w:spacing w:line="360" w:lineRule="auto"/>
              <w:rPr>
                <w:sz w:val="21"/>
                <w:szCs w:val="21"/>
              </w:rPr>
            </w:pPr>
            <w:r>
              <w:rPr>
                <w:rFonts w:hint="eastAsia"/>
                <w:sz w:val="21"/>
                <w:szCs w:val="21"/>
                <w:u w:val="single"/>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252" w:type="dxa"/>
            <w:vMerge w:val="restart"/>
            <w:vAlign w:val="center"/>
          </w:tcPr>
          <w:p>
            <w:pPr>
              <w:snapToGrid w:val="0"/>
              <w:spacing w:line="360" w:lineRule="auto"/>
              <w:jc w:val="center"/>
              <w:rPr>
                <w:bCs/>
                <w:kern w:val="2"/>
                <w:sz w:val="21"/>
                <w:szCs w:val="21"/>
                <w:lang w:val="en-US" w:bidi="ar-SA"/>
              </w:rPr>
            </w:pPr>
            <w:r>
              <w:rPr>
                <w:rFonts w:hint="eastAsia"/>
                <w:sz w:val="21"/>
                <w:szCs w:val="21"/>
              </w:rPr>
              <w:t>2.2.1</w:t>
            </w:r>
          </w:p>
        </w:tc>
        <w:tc>
          <w:tcPr>
            <w:tcW w:w="3360" w:type="dxa"/>
            <w:vMerge w:val="restart"/>
            <w:vAlign w:val="center"/>
          </w:tcPr>
          <w:p>
            <w:pPr>
              <w:snapToGrid w:val="0"/>
              <w:spacing w:line="360" w:lineRule="auto"/>
              <w:jc w:val="center"/>
              <w:rPr>
                <w:bCs/>
                <w:kern w:val="2"/>
                <w:sz w:val="21"/>
                <w:szCs w:val="21"/>
                <w:lang w:val="en-US" w:bidi="ar-SA"/>
              </w:rPr>
            </w:pPr>
            <w:r>
              <w:rPr>
                <w:rFonts w:hint="eastAsia"/>
                <w:sz w:val="21"/>
                <w:szCs w:val="21"/>
              </w:rPr>
              <w:t>投标人要求澄清招标文件</w:t>
            </w:r>
          </w:p>
        </w:tc>
        <w:tc>
          <w:tcPr>
            <w:tcW w:w="5440" w:type="dxa"/>
            <w:tcBorders>
              <w:bottom w:val="single" w:color="auto" w:sz="4" w:space="0"/>
            </w:tcBorders>
            <w:vAlign w:val="center"/>
          </w:tcPr>
          <w:p>
            <w:pPr>
              <w:snapToGrid w:val="0"/>
              <w:spacing w:line="360" w:lineRule="auto"/>
              <w:rPr>
                <w:sz w:val="21"/>
                <w:szCs w:val="21"/>
              </w:rPr>
            </w:pPr>
            <w:r>
              <w:rPr>
                <w:rFonts w:hint="eastAsia"/>
                <w:sz w:val="21"/>
                <w:szCs w:val="21"/>
              </w:rPr>
              <w:t>疑问提交时间：</w:t>
            </w:r>
            <w:r>
              <w:rPr>
                <w:rFonts w:hint="eastAsia"/>
                <w:sz w:val="21"/>
                <w:szCs w:val="21"/>
                <w:u w:val="single"/>
              </w:rPr>
              <w:t xml:space="preserve"> 202</w:t>
            </w:r>
            <w:r>
              <w:rPr>
                <w:rFonts w:hint="eastAsia"/>
                <w:sz w:val="21"/>
                <w:szCs w:val="21"/>
                <w:u w:val="single"/>
                <w:lang w:val="en-US"/>
              </w:rPr>
              <w:t>2</w:t>
            </w:r>
            <w:r>
              <w:rPr>
                <w:rFonts w:hint="eastAsia"/>
                <w:sz w:val="21"/>
                <w:szCs w:val="21"/>
                <w:u w:val="single"/>
              </w:rPr>
              <w:t>年   月   日   时</w:t>
            </w:r>
            <w:r>
              <w:rPr>
                <w:rFonts w:hint="eastAsia"/>
                <w:sz w:val="21"/>
                <w:szCs w:val="21"/>
              </w:rPr>
              <w:t>前</w:t>
            </w:r>
            <w:r>
              <w:rPr>
                <w:rFonts w:hint="eastAsia"/>
                <w:sz w:val="21"/>
                <w:szCs w:val="21"/>
                <w:u w:val="single"/>
              </w:rPr>
              <w:t>(具体详见广州公共资源交易中心招投标日程安排)</w:t>
            </w:r>
            <w:r>
              <w:rPr>
                <w:rFonts w:hint="eastAsia"/>
                <w:sz w:val="21"/>
                <w:szCs w:val="21"/>
              </w:rPr>
              <w:t>。</w:t>
            </w:r>
          </w:p>
          <w:p>
            <w:pPr>
              <w:snapToGrid w:val="0"/>
              <w:spacing w:line="360" w:lineRule="auto"/>
              <w:rPr>
                <w:sz w:val="21"/>
                <w:szCs w:val="21"/>
                <w:u w:val="single"/>
              </w:rPr>
            </w:pPr>
            <w:r>
              <w:rPr>
                <w:rFonts w:hint="eastAsia"/>
                <w:sz w:val="21"/>
                <w:szCs w:val="21"/>
                <w:u w:val="single"/>
              </w:rPr>
              <w:t>招标答疑采用网上答疑方式进行。投标人若对招标文件有疑问的，可在规定的时间内通过广州公共资源交易中心网站凭密码进入提问区域将问题提交给招标人或招标代理人，提交问题时一律不得署名。</w:t>
            </w:r>
          </w:p>
          <w:p>
            <w:pPr>
              <w:snapToGrid w:val="0"/>
              <w:spacing w:line="360" w:lineRule="auto"/>
              <w:rPr>
                <w:sz w:val="21"/>
                <w:szCs w:val="21"/>
              </w:rPr>
            </w:pPr>
            <w:r>
              <w:rPr>
                <w:rFonts w:hint="eastAsia"/>
                <w:sz w:val="21"/>
                <w:szCs w:val="21"/>
                <w:u w:val="single"/>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jc w:val="center"/>
        </w:trPr>
        <w:tc>
          <w:tcPr>
            <w:tcW w:w="1252" w:type="dxa"/>
            <w:vMerge w:val="continue"/>
            <w:vAlign w:val="center"/>
          </w:tcPr>
          <w:p>
            <w:pPr>
              <w:snapToGrid w:val="0"/>
              <w:spacing w:line="360" w:lineRule="auto"/>
              <w:jc w:val="center"/>
              <w:rPr>
                <w:sz w:val="21"/>
                <w:szCs w:val="21"/>
              </w:rPr>
            </w:pPr>
          </w:p>
        </w:tc>
        <w:tc>
          <w:tcPr>
            <w:tcW w:w="3360" w:type="dxa"/>
            <w:vMerge w:val="continue"/>
            <w:vAlign w:val="center"/>
          </w:tcPr>
          <w:p>
            <w:pPr>
              <w:snapToGrid w:val="0"/>
              <w:spacing w:line="360" w:lineRule="auto"/>
              <w:jc w:val="center"/>
              <w:rPr>
                <w:sz w:val="21"/>
                <w:szCs w:val="21"/>
              </w:rPr>
            </w:pPr>
          </w:p>
        </w:tc>
        <w:tc>
          <w:tcPr>
            <w:tcW w:w="5440" w:type="dxa"/>
            <w:tcBorders>
              <w:top w:val="single" w:color="auto" w:sz="4" w:space="0"/>
            </w:tcBorders>
            <w:vAlign w:val="center"/>
          </w:tcPr>
          <w:p>
            <w:pPr>
              <w:snapToGrid w:val="0"/>
              <w:spacing w:line="360" w:lineRule="auto"/>
              <w:rPr>
                <w:sz w:val="21"/>
                <w:szCs w:val="21"/>
              </w:rPr>
            </w:pPr>
            <w:r>
              <w:rPr>
                <w:rFonts w:hint="eastAsia"/>
                <w:sz w:val="21"/>
                <w:szCs w:val="21"/>
              </w:rPr>
              <w:t>形式：投标人的疑问通过广州公共资源交易中心网站交易平台提交。具体要求：操作详见广州公共资源交易中心网站发布的最新版</w:t>
            </w:r>
            <w:r>
              <w:rPr>
                <w:rFonts w:hint="eastAsia"/>
                <w:color w:val="000000"/>
                <w:sz w:val="21"/>
                <w:szCs w:val="21"/>
              </w:rPr>
              <w:t>《房屋建筑和市政基础设施工程全流程电子化项目专章》</w:t>
            </w:r>
            <w:r>
              <w:rPr>
                <w:rFonts w:hint="eastAsia"/>
                <w:sz w:val="21"/>
                <w:szCs w:val="21"/>
              </w:rPr>
              <w:t>。提问一律不得署名。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2.2.2</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招标文件澄清发出的形式</w:t>
            </w:r>
          </w:p>
        </w:tc>
        <w:tc>
          <w:tcPr>
            <w:tcW w:w="5440" w:type="dxa"/>
            <w:vAlign w:val="center"/>
          </w:tcPr>
          <w:p>
            <w:pPr>
              <w:snapToGrid w:val="0"/>
              <w:spacing w:line="360" w:lineRule="auto"/>
              <w:rPr>
                <w:sz w:val="21"/>
                <w:szCs w:val="21"/>
                <w:u w:val="single"/>
              </w:rPr>
            </w:pPr>
            <w:r>
              <w:rPr>
                <w:rFonts w:hint="eastAsia"/>
                <w:sz w:val="21"/>
                <w:szCs w:val="21"/>
                <w:u w:val="single"/>
                <w:lang w:val="en-US"/>
              </w:rPr>
              <w:t>1、</w:t>
            </w:r>
            <w:r>
              <w:rPr>
                <w:rFonts w:hint="eastAsia"/>
                <w:sz w:val="21"/>
                <w:szCs w:val="21"/>
                <w:u w:val="single"/>
              </w:rPr>
              <w:t>投标人应在递交投标文件截止时间15天前解答投标人对招标文件提出的疑问，形成答疑纪要，并在广州公共资源交易中心网站通过项目答疑专区网上公开发布。</w:t>
            </w:r>
          </w:p>
          <w:p>
            <w:pPr>
              <w:spacing w:line="360" w:lineRule="auto"/>
              <w:rPr>
                <w:sz w:val="21"/>
                <w:szCs w:val="21"/>
                <w:u w:val="single"/>
              </w:rPr>
            </w:pPr>
            <w:r>
              <w:rPr>
                <w:rFonts w:hint="eastAsia"/>
                <w:sz w:val="21"/>
                <w:szCs w:val="21"/>
                <w:u w:val="single"/>
                <w:lang w:val="en-US"/>
              </w:rPr>
              <w:t>2、</w:t>
            </w:r>
            <w:r>
              <w:rPr>
                <w:rFonts w:hint="eastAsia"/>
                <w:sz w:val="21"/>
                <w:szCs w:val="21"/>
                <w:u w:val="single"/>
              </w:rPr>
              <w:t>招标答疑纪要一经在广州公共资源交易中心网站发布，视作已发放给所有投标人。</w:t>
            </w:r>
          </w:p>
          <w:p>
            <w:pPr>
              <w:snapToGrid w:val="0"/>
              <w:spacing w:line="360" w:lineRule="auto"/>
              <w:rPr>
                <w:sz w:val="21"/>
                <w:szCs w:val="21"/>
              </w:rPr>
            </w:pPr>
            <w:r>
              <w:rPr>
                <w:rFonts w:hint="eastAsia"/>
                <w:sz w:val="21"/>
                <w:szCs w:val="21"/>
                <w:u w:val="single"/>
                <w:lang w:val="en-US"/>
              </w:rPr>
              <w:t>3</w:t>
            </w:r>
            <w:r>
              <w:rPr>
                <w:rFonts w:hint="eastAsia"/>
                <w:sz w:val="21"/>
                <w:szCs w:val="21"/>
                <w:u w:val="single"/>
              </w:rPr>
              <w:t>、招标答疑纪要为招标文件的一部分。投标人可在广州公资源交易中心网站浏览、下载招标答疑纪要。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252" w:type="dxa"/>
            <w:vMerge w:val="restart"/>
            <w:vAlign w:val="center"/>
          </w:tcPr>
          <w:p>
            <w:pPr>
              <w:snapToGrid w:val="0"/>
              <w:spacing w:line="360" w:lineRule="auto"/>
              <w:jc w:val="center"/>
              <w:rPr>
                <w:bCs/>
                <w:kern w:val="2"/>
                <w:sz w:val="21"/>
                <w:szCs w:val="21"/>
                <w:lang w:val="en-US" w:bidi="ar-SA"/>
              </w:rPr>
            </w:pPr>
            <w:r>
              <w:rPr>
                <w:rFonts w:hint="eastAsia"/>
                <w:sz w:val="21"/>
                <w:szCs w:val="21"/>
              </w:rPr>
              <w:t>2.2.3</w:t>
            </w:r>
          </w:p>
        </w:tc>
        <w:tc>
          <w:tcPr>
            <w:tcW w:w="3360" w:type="dxa"/>
            <w:vMerge w:val="restart"/>
            <w:vAlign w:val="center"/>
          </w:tcPr>
          <w:p>
            <w:pPr>
              <w:snapToGrid w:val="0"/>
              <w:spacing w:line="360" w:lineRule="auto"/>
              <w:jc w:val="center"/>
              <w:rPr>
                <w:bCs/>
                <w:kern w:val="2"/>
                <w:sz w:val="21"/>
                <w:szCs w:val="21"/>
                <w:lang w:val="en-US" w:bidi="ar-SA"/>
              </w:rPr>
            </w:pPr>
            <w:r>
              <w:rPr>
                <w:rFonts w:hint="eastAsia"/>
                <w:sz w:val="21"/>
                <w:szCs w:val="21"/>
              </w:rPr>
              <w:t>投标人确认收到招标文件澄清</w:t>
            </w:r>
          </w:p>
        </w:tc>
        <w:tc>
          <w:tcPr>
            <w:tcW w:w="5440" w:type="dxa"/>
            <w:tcBorders>
              <w:bottom w:val="single" w:color="auto" w:sz="4" w:space="0"/>
            </w:tcBorders>
            <w:vAlign w:val="center"/>
          </w:tcPr>
          <w:p>
            <w:pPr>
              <w:spacing w:line="360" w:lineRule="auto"/>
              <w:rPr>
                <w:sz w:val="21"/>
                <w:szCs w:val="21"/>
              </w:rPr>
            </w:pPr>
            <w:r>
              <w:rPr>
                <w:rFonts w:hint="eastAsia"/>
                <w:sz w:val="21"/>
                <w:szCs w:val="21"/>
              </w:rPr>
              <w:t>时间：发出即视作收到。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1252" w:type="dxa"/>
            <w:vMerge w:val="continue"/>
            <w:vAlign w:val="center"/>
          </w:tcPr>
          <w:p>
            <w:pPr>
              <w:snapToGrid w:val="0"/>
              <w:spacing w:line="360" w:lineRule="auto"/>
              <w:jc w:val="center"/>
              <w:rPr>
                <w:sz w:val="21"/>
                <w:szCs w:val="21"/>
              </w:rPr>
            </w:pPr>
          </w:p>
        </w:tc>
        <w:tc>
          <w:tcPr>
            <w:tcW w:w="3360" w:type="dxa"/>
            <w:vMerge w:val="continue"/>
            <w:vAlign w:val="center"/>
          </w:tcPr>
          <w:p>
            <w:pPr>
              <w:snapToGrid w:val="0"/>
              <w:spacing w:line="360" w:lineRule="auto"/>
              <w:jc w:val="center"/>
              <w:rPr>
                <w:sz w:val="21"/>
                <w:szCs w:val="21"/>
              </w:rPr>
            </w:pPr>
          </w:p>
        </w:tc>
        <w:tc>
          <w:tcPr>
            <w:tcW w:w="5440" w:type="dxa"/>
            <w:tcBorders>
              <w:top w:val="single" w:color="auto" w:sz="4" w:space="0"/>
            </w:tcBorders>
            <w:vAlign w:val="center"/>
          </w:tcPr>
          <w:p>
            <w:pPr>
              <w:spacing w:line="360" w:lineRule="auto"/>
              <w:rPr>
                <w:sz w:val="21"/>
                <w:szCs w:val="21"/>
              </w:rPr>
            </w:pPr>
            <w:r>
              <w:rPr>
                <w:rFonts w:hint="eastAsia"/>
                <w:sz w:val="21"/>
                <w:szCs w:val="21"/>
              </w:rPr>
              <w:t>形式：招标文件澄清（招标答疑纪要）一经在广州公共资源交易中心网站发布，视作已发放给所有投标人。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2.3.1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招标文件修改发出的形式</w:t>
            </w:r>
          </w:p>
        </w:tc>
        <w:tc>
          <w:tcPr>
            <w:tcW w:w="5440" w:type="dxa"/>
            <w:vAlign w:val="center"/>
          </w:tcPr>
          <w:p>
            <w:pPr>
              <w:snapToGrid w:val="0"/>
              <w:spacing w:line="360" w:lineRule="auto"/>
              <w:rPr>
                <w:sz w:val="21"/>
                <w:szCs w:val="21"/>
              </w:rPr>
            </w:pPr>
            <w:r>
              <w:rPr>
                <w:rFonts w:hint="eastAsia"/>
                <w:sz w:val="21"/>
                <w:szCs w:val="21"/>
              </w:rPr>
              <w:t>以补充公告或项目答疑澄清的方式在广州公共资源交易中心网站发布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252" w:type="dxa"/>
            <w:vMerge w:val="restart"/>
            <w:vAlign w:val="center"/>
          </w:tcPr>
          <w:p>
            <w:pPr>
              <w:snapToGrid w:val="0"/>
              <w:spacing w:line="360" w:lineRule="auto"/>
              <w:jc w:val="center"/>
              <w:rPr>
                <w:bCs/>
                <w:kern w:val="2"/>
                <w:sz w:val="21"/>
                <w:szCs w:val="21"/>
                <w:lang w:val="en-US" w:bidi="ar-SA"/>
              </w:rPr>
            </w:pPr>
            <w:r>
              <w:rPr>
                <w:rFonts w:hint="eastAsia"/>
                <w:sz w:val="21"/>
                <w:szCs w:val="21"/>
              </w:rPr>
              <w:t>2.3.2</w:t>
            </w:r>
          </w:p>
        </w:tc>
        <w:tc>
          <w:tcPr>
            <w:tcW w:w="3360" w:type="dxa"/>
            <w:vMerge w:val="restart"/>
            <w:vAlign w:val="center"/>
          </w:tcPr>
          <w:p>
            <w:pPr>
              <w:snapToGrid w:val="0"/>
              <w:spacing w:line="360" w:lineRule="auto"/>
              <w:jc w:val="center"/>
              <w:rPr>
                <w:bCs/>
                <w:kern w:val="2"/>
                <w:sz w:val="21"/>
                <w:szCs w:val="21"/>
                <w:lang w:val="en-US" w:bidi="ar-SA"/>
              </w:rPr>
            </w:pPr>
            <w:r>
              <w:rPr>
                <w:rFonts w:hint="eastAsia"/>
                <w:sz w:val="21"/>
                <w:szCs w:val="21"/>
              </w:rPr>
              <w:t>投标人确认收到招标文件修改</w:t>
            </w:r>
          </w:p>
        </w:tc>
        <w:tc>
          <w:tcPr>
            <w:tcW w:w="5440" w:type="dxa"/>
            <w:vAlign w:val="center"/>
          </w:tcPr>
          <w:p>
            <w:pPr>
              <w:spacing w:line="360" w:lineRule="auto"/>
              <w:rPr>
                <w:sz w:val="21"/>
                <w:szCs w:val="21"/>
              </w:rPr>
            </w:pPr>
            <w:r>
              <w:rPr>
                <w:rFonts w:hint="eastAsia"/>
                <w:sz w:val="21"/>
                <w:szCs w:val="21"/>
              </w:rPr>
              <w:t>时间：发出即视作收到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1252" w:type="dxa"/>
            <w:vMerge w:val="continue"/>
            <w:vAlign w:val="center"/>
          </w:tcPr>
          <w:p>
            <w:pPr>
              <w:snapToGrid w:val="0"/>
              <w:spacing w:line="360" w:lineRule="auto"/>
              <w:jc w:val="center"/>
              <w:rPr>
                <w:bCs/>
                <w:kern w:val="2"/>
                <w:sz w:val="21"/>
                <w:szCs w:val="21"/>
                <w:lang w:val="en-US" w:bidi="ar-SA"/>
              </w:rPr>
            </w:pPr>
          </w:p>
        </w:tc>
        <w:tc>
          <w:tcPr>
            <w:tcW w:w="3360" w:type="dxa"/>
            <w:vMerge w:val="continue"/>
            <w:vAlign w:val="center"/>
          </w:tcPr>
          <w:p>
            <w:pPr>
              <w:snapToGrid w:val="0"/>
              <w:spacing w:line="360" w:lineRule="auto"/>
              <w:jc w:val="center"/>
              <w:rPr>
                <w:bCs/>
                <w:kern w:val="2"/>
                <w:sz w:val="21"/>
                <w:szCs w:val="21"/>
                <w:lang w:val="en-US" w:bidi="ar-SA"/>
              </w:rPr>
            </w:pPr>
          </w:p>
        </w:tc>
        <w:tc>
          <w:tcPr>
            <w:tcW w:w="5440" w:type="dxa"/>
            <w:vAlign w:val="center"/>
          </w:tcPr>
          <w:p>
            <w:pPr>
              <w:spacing w:line="360" w:lineRule="auto"/>
              <w:rPr>
                <w:sz w:val="21"/>
                <w:szCs w:val="21"/>
              </w:rPr>
            </w:pPr>
            <w:r>
              <w:rPr>
                <w:rFonts w:hint="eastAsia"/>
                <w:sz w:val="21"/>
                <w:szCs w:val="21"/>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3.1.1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构成投标文件的其他资料</w:t>
            </w:r>
          </w:p>
        </w:tc>
        <w:tc>
          <w:tcPr>
            <w:tcW w:w="5440" w:type="dxa"/>
            <w:vAlign w:val="center"/>
          </w:tcPr>
          <w:p>
            <w:pPr>
              <w:snapToGrid w:val="0"/>
              <w:spacing w:line="360" w:lineRule="auto"/>
              <w:rPr>
                <w:sz w:val="21"/>
                <w:szCs w:val="21"/>
              </w:rPr>
            </w:pPr>
            <w:r>
              <w:rPr>
                <w:rFonts w:hint="eastAsia"/>
                <w:sz w:val="21"/>
                <w:szCs w:val="21"/>
                <w:u w:val="single"/>
              </w:rPr>
              <w:t>满足本项目评审要求的其他资料。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3.2.1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增值税税金的计算方法</w:t>
            </w:r>
          </w:p>
        </w:tc>
        <w:tc>
          <w:tcPr>
            <w:tcW w:w="5440" w:type="dxa"/>
            <w:vAlign w:val="center"/>
          </w:tcPr>
          <w:p>
            <w:pPr>
              <w:snapToGrid w:val="0"/>
              <w:spacing w:line="360" w:lineRule="auto"/>
              <w:rPr>
                <w:sz w:val="21"/>
                <w:szCs w:val="21"/>
              </w:rPr>
            </w:pPr>
            <w:r>
              <w:rPr>
                <w:rFonts w:hint="eastAsia"/>
                <w:sz w:val="21"/>
                <w:szCs w:val="21"/>
                <w:u w:val="single"/>
              </w:rPr>
              <w:t xml:space="preserve"> 增值税税金按国家税务机关的规定计算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3.2.3</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报价方式</w:t>
            </w:r>
          </w:p>
        </w:tc>
        <w:tc>
          <w:tcPr>
            <w:tcW w:w="5440" w:type="dxa"/>
            <w:vAlign w:val="center"/>
          </w:tcPr>
          <w:p>
            <w:pPr>
              <w:snapToGrid w:val="0"/>
              <w:spacing w:line="360" w:lineRule="auto"/>
              <w:rPr>
                <w:sz w:val="21"/>
                <w:szCs w:val="21"/>
              </w:rPr>
            </w:pPr>
            <w:r>
              <w:rPr>
                <w:rFonts w:hint="eastAsia"/>
                <w:sz w:val="21"/>
                <w:szCs w:val="21"/>
              </w:rPr>
              <w:t>投标报价得分以评标参考价作为计算各有效投标报价得分的基础，当有效投标报价等于评标参考价时得</w:t>
            </w:r>
            <w:r>
              <w:rPr>
                <w:sz w:val="21"/>
                <w:szCs w:val="21"/>
              </w:rPr>
              <w:t>10分；投标有效投价与评标参考价相比，每上偏扣1%扣1分、下偏1%扣0.5分，中间分值采用插值计算，保留小数点后两位，小数点后第三位采用四舍五入方式计算，最多扣10分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3.2.4</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最高投标限价</w:t>
            </w:r>
          </w:p>
        </w:tc>
        <w:tc>
          <w:tcPr>
            <w:tcW w:w="5440" w:type="dxa"/>
            <w:vAlign w:val="center"/>
          </w:tcPr>
          <w:p>
            <w:pPr>
              <w:snapToGrid w:val="0"/>
              <w:spacing w:line="360" w:lineRule="auto"/>
              <w:rPr>
                <w:sz w:val="21"/>
                <w:szCs w:val="21"/>
              </w:rPr>
            </w:pPr>
            <w:r>
              <w:rPr>
                <w:rFonts w:hint="eastAsia"/>
                <w:sz w:val="21"/>
                <w:szCs w:val="21"/>
              </w:rPr>
              <w:t>□无</w:t>
            </w:r>
          </w:p>
          <w:p>
            <w:pPr>
              <w:tabs>
                <w:tab w:val="left" w:pos="7513"/>
              </w:tabs>
              <w:spacing w:line="360" w:lineRule="auto"/>
              <w:rPr>
                <w:sz w:val="21"/>
                <w:szCs w:val="21"/>
                <w:lang w:val="en-US"/>
              </w:rPr>
            </w:pPr>
            <w:r>
              <w:rPr>
                <w:rFonts w:hint="eastAsia"/>
                <w:sz w:val="21"/>
                <w:szCs w:val="21"/>
              </w:rPr>
              <w:t>■有，最高投标限价：</w:t>
            </w:r>
            <w:r>
              <w:rPr>
                <w:rFonts w:hint="eastAsia"/>
                <w:sz w:val="24"/>
                <w:szCs w:val="24"/>
                <w:u w:val="single"/>
                <w:lang w:val="en-US"/>
              </w:rPr>
              <w:t>127.15</w:t>
            </w:r>
            <w:r>
              <w:rPr>
                <w:rFonts w:hint="eastAsia"/>
                <w:sz w:val="21"/>
                <w:szCs w:val="21"/>
                <w:u w:val="single"/>
              </w:rPr>
              <w:t>万元（即招标控制价）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3.2.5</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投标报价的其他要求</w:t>
            </w:r>
          </w:p>
        </w:tc>
        <w:tc>
          <w:tcPr>
            <w:tcW w:w="5440" w:type="dxa"/>
            <w:vAlign w:val="center"/>
          </w:tcPr>
          <w:p>
            <w:pPr>
              <w:snapToGrid w:val="0"/>
              <w:spacing w:line="360" w:lineRule="auto"/>
            </w:pPr>
            <w:r>
              <w:rPr>
                <w:rFonts w:hint="eastAsia"/>
              </w:rPr>
              <w:t>（</w:t>
            </w:r>
            <w:r>
              <w:rPr>
                <w:rFonts w:hint="eastAsia"/>
                <w:lang w:val="en-US"/>
              </w:rPr>
              <w:t>1</w:t>
            </w:r>
            <w:r>
              <w:rPr>
                <w:rFonts w:hint="eastAsia"/>
              </w:rPr>
              <w:t>）投标人的报价，应是其按第五章“委托人要求”完成监理工作的所有费用，包括人工费、试验、检测仪器、设备使用费、管理费和利润，以及检验检测费、保险费、合同明示或暗示的风险、责任和义务涉及费用等。</w:t>
            </w:r>
          </w:p>
          <w:p>
            <w:pPr>
              <w:snapToGrid w:val="0"/>
              <w:spacing w:line="360" w:lineRule="auto"/>
            </w:pPr>
            <w:r>
              <w:rPr>
                <w:rFonts w:hint="eastAsia"/>
              </w:rPr>
              <w:t>投标人必须详细审阅全部招标文件，充分考虑职责和义务，全面地理解招标文件对投标报价的要求，并按招标人提出的条件及内容进行报价。</w:t>
            </w:r>
          </w:p>
          <w:p>
            <w:pPr>
              <w:snapToGrid w:val="0"/>
              <w:spacing w:line="360" w:lineRule="auto"/>
            </w:pPr>
            <w:r>
              <w:rPr>
                <w:rFonts w:hint="eastAsia"/>
              </w:rPr>
              <w:t>（</w:t>
            </w:r>
            <w:r>
              <w:rPr>
                <w:rFonts w:hint="eastAsia"/>
                <w:lang w:val="en-US"/>
              </w:rPr>
              <w:t>2</w:t>
            </w:r>
            <w:r>
              <w:rPr>
                <w:rFonts w:hint="eastAsia"/>
              </w:rPr>
              <w:t>）本项目最高限价</w:t>
            </w:r>
            <w:r>
              <w:rPr>
                <w:rFonts w:hint="eastAsia"/>
                <w:u w:val="single"/>
              </w:rPr>
              <w:t>127.15</w:t>
            </w:r>
            <w:r>
              <w:rPr>
                <w:u w:val="single"/>
              </w:rPr>
              <w:t>万</w:t>
            </w:r>
            <w:r>
              <w:t>元，各投标人根据本项目最高限价自行报价。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3.3.1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投标有效期</w:t>
            </w:r>
          </w:p>
        </w:tc>
        <w:tc>
          <w:tcPr>
            <w:tcW w:w="5440" w:type="dxa"/>
            <w:vAlign w:val="center"/>
          </w:tcPr>
          <w:p>
            <w:pPr>
              <w:snapToGrid w:val="0"/>
              <w:spacing w:line="360" w:lineRule="auto"/>
              <w:rPr>
                <w:sz w:val="21"/>
                <w:szCs w:val="21"/>
              </w:rPr>
            </w:pPr>
            <w:r>
              <w:rPr>
                <w:rFonts w:hint="eastAsia"/>
                <w:sz w:val="21"/>
                <w:szCs w:val="21"/>
                <w:u w:val="single"/>
              </w:rPr>
              <w:t>90</w:t>
            </w:r>
            <w:r>
              <w:rPr>
                <w:rFonts w:hint="eastAsia"/>
                <w:sz w:val="21"/>
                <w:szCs w:val="21"/>
              </w:rPr>
              <w:t>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3.4.1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投标保证金</w:t>
            </w:r>
          </w:p>
        </w:tc>
        <w:tc>
          <w:tcPr>
            <w:tcW w:w="5440" w:type="dxa"/>
            <w:vAlign w:val="center"/>
          </w:tcPr>
          <w:p>
            <w:pPr>
              <w:pStyle w:val="10"/>
              <w:topLinePunct/>
              <w:spacing w:line="360" w:lineRule="auto"/>
              <w:rPr>
                <w:sz w:val="21"/>
                <w:szCs w:val="21"/>
                <w:lang w:val="en-US"/>
              </w:rPr>
            </w:pPr>
            <w:r>
              <w:rPr>
                <w:rFonts w:hint="eastAsia"/>
                <w:sz w:val="21"/>
                <w:szCs w:val="21"/>
                <w:lang w:val="en-US"/>
              </w:rPr>
              <w:t>是否要求投标人递交投标保证金：</w:t>
            </w:r>
          </w:p>
          <w:p>
            <w:pPr>
              <w:pStyle w:val="10"/>
              <w:topLinePunct/>
              <w:spacing w:line="360" w:lineRule="auto"/>
              <w:rPr>
                <w:sz w:val="21"/>
                <w:szCs w:val="21"/>
                <w:lang w:val="en-US"/>
              </w:rPr>
            </w:pPr>
            <w:r>
              <w:rPr>
                <w:rFonts w:hint="eastAsia"/>
                <w:sz w:val="21"/>
                <w:szCs w:val="21"/>
                <w:lang w:val="en-US"/>
              </w:rPr>
              <w:t>□不要求递交投标保证金。</w:t>
            </w:r>
          </w:p>
          <w:p>
            <w:pPr>
              <w:pStyle w:val="10"/>
              <w:topLinePunct/>
              <w:spacing w:line="360" w:lineRule="auto"/>
              <w:rPr>
                <w:sz w:val="21"/>
                <w:szCs w:val="21"/>
                <w:lang w:val="en-US"/>
              </w:rPr>
            </w:pPr>
            <w:r>
              <w:rPr>
                <w:rFonts w:hint="eastAsia"/>
                <w:sz w:val="21"/>
                <w:szCs w:val="21"/>
                <w:lang w:val="en-US"/>
              </w:rPr>
              <w:t>■要求递交投标保证金。</w:t>
            </w:r>
          </w:p>
          <w:p>
            <w:pPr>
              <w:pStyle w:val="10"/>
              <w:topLinePunct/>
              <w:spacing w:line="360" w:lineRule="auto"/>
              <w:ind w:firstLine="420" w:firstLineChars="200"/>
              <w:rPr>
                <w:sz w:val="21"/>
                <w:szCs w:val="21"/>
                <w:u w:val="single"/>
                <w:lang w:val="en-US"/>
              </w:rPr>
            </w:pPr>
            <w:r>
              <w:rPr>
                <w:rFonts w:hint="eastAsia"/>
                <w:sz w:val="21"/>
                <w:szCs w:val="21"/>
                <w:lang w:val="en-US"/>
              </w:rPr>
              <w:t>投标保证金的金额：</w:t>
            </w:r>
            <w:r>
              <w:rPr>
                <w:rFonts w:hint="eastAsia"/>
                <w:sz w:val="21"/>
                <w:szCs w:val="21"/>
                <w:u w:val="single"/>
                <w:lang w:val="en-US"/>
              </w:rPr>
              <w:t>2</w:t>
            </w:r>
            <w:r>
              <w:rPr>
                <w:rFonts w:hint="eastAsia"/>
                <w:sz w:val="21"/>
                <w:szCs w:val="21"/>
                <w:lang w:val="en-US"/>
              </w:rPr>
              <w:t xml:space="preserve">万元        </w:t>
            </w:r>
          </w:p>
          <w:p>
            <w:pPr>
              <w:adjustRightInd w:val="0"/>
              <w:snapToGrid w:val="0"/>
              <w:spacing w:line="360" w:lineRule="auto"/>
              <w:ind w:firstLine="420" w:firstLineChars="200"/>
              <w:textAlignment w:val="baseline"/>
              <w:rPr>
                <w:sz w:val="21"/>
                <w:szCs w:val="21"/>
              </w:rPr>
            </w:pPr>
            <w:r>
              <w:rPr>
                <w:rFonts w:hint="eastAsia"/>
                <w:sz w:val="21"/>
                <w:szCs w:val="21"/>
              </w:rPr>
              <w:t>投标保证金有效期：</w:t>
            </w:r>
            <w:r>
              <w:rPr>
                <w:rFonts w:hint="eastAsia"/>
                <w:sz w:val="21"/>
                <w:szCs w:val="21"/>
                <w:u w:val="single"/>
              </w:rPr>
              <w:t>与投标有效期一致</w:t>
            </w:r>
            <w:r>
              <w:rPr>
                <w:rFonts w:hint="eastAsia"/>
                <w:sz w:val="21"/>
                <w:szCs w:val="21"/>
              </w:rPr>
              <w:t>。</w:t>
            </w:r>
          </w:p>
          <w:p>
            <w:pPr>
              <w:adjustRightInd w:val="0"/>
              <w:snapToGrid w:val="0"/>
              <w:spacing w:line="360" w:lineRule="auto"/>
              <w:ind w:firstLine="420" w:firstLineChars="200"/>
              <w:textAlignment w:val="baseline"/>
              <w:rPr>
                <w:sz w:val="21"/>
                <w:szCs w:val="21"/>
              </w:rPr>
            </w:pPr>
            <w:r>
              <w:rPr>
                <w:rFonts w:hint="eastAsia"/>
                <w:sz w:val="21"/>
                <w:szCs w:val="21"/>
              </w:rPr>
              <w:t>投标保证金缴纳时间：</w:t>
            </w:r>
            <w:r>
              <w:rPr>
                <w:rFonts w:hint="eastAsia"/>
                <w:sz w:val="21"/>
                <w:szCs w:val="21"/>
                <w:u w:val="single"/>
              </w:rPr>
              <w:t>缴纳时间在投标文件递交截止时间之前。</w:t>
            </w:r>
          </w:p>
          <w:p>
            <w:pPr>
              <w:spacing w:line="360" w:lineRule="auto"/>
              <w:ind w:firstLine="420" w:firstLineChars="200"/>
              <w:rPr>
                <w:sz w:val="21"/>
                <w:szCs w:val="21"/>
                <w:u w:val="single"/>
              </w:rPr>
            </w:pPr>
            <w:r>
              <w:rPr>
                <w:rFonts w:hint="eastAsia"/>
                <w:sz w:val="21"/>
                <w:szCs w:val="21"/>
                <w:u w:val="single"/>
              </w:rPr>
              <w:t>具体要求：</w:t>
            </w:r>
          </w:p>
          <w:p>
            <w:pPr>
              <w:spacing w:line="360" w:lineRule="auto"/>
              <w:ind w:firstLine="420" w:firstLineChars="200"/>
              <w:rPr>
                <w:sz w:val="21"/>
                <w:szCs w:val="21"/>
                <w:u w:val="single"/>
              </w:rPr>
            </w:pPr>
            <w:r>
              <w:rPr>
                <w:rFonts w:hint="eastAsia"/>
                <w:sz w:val="21"/>
                <w:szCs w:val="21"/>
                <w:u w:val="single"/>
              </w:rPr>
              <w:t>1、投标保证金的形式：现金、支票、电汇或银行转账、投标保函、投标保证保险等形式递交。</w:t>
            </w:r>
          </w:p>
          <w:p>
            <w:pPr>
              <w:spacing w:line="360" w:lineRule="auto"/>
              <w:ind w:firstLine="420" w:firstLineChars="200"/>
              <w:rPr>
                <w:sz w:val="21"/>
                <w:szCs w:val="21"/>
                <w:u w:val="single"/>
              </w:rPr>
            </w:pPr>
            <w:r>
              <w:rPr>
                <w:rFonts w:hint="eastAsia"/>
                <w:sz w:val="21"/>
                <w:szCs w:val="21"/>
                <w:u w:val="single"/>
              </w:rPr>
              <w:t>2、如采用现金、支票、电汇或银行转账等形式提交的，投标保证金从投标人基本账户递交，由广州公共资源交易中心代收。其缴纳情况以开标时广州公共资源交易中心数据库记录的信息为准。具体操作要求详见广州公共资源交易中心通知公告栏“关于基本户保证金专用账户账号的通知及操作指引”，其他有关递交事宜，请自行咨询交易中心。缴纳时间：在投标截止时间前交到“广州公共资源交易中心”账号。</w:t>
            </w:r>
          </w:p>
          <w:p>
            <w:pPr>
              <w:spacing w:line="360" w:lineRule="auto"/>
              <w:ind w:firstLine="420" w:firstLineChars="200"/>
              <w:rPr>
                <w:sz w:val="21"/>
                <w:szCs w:val="21"/>
                <w:u w:val="single"/>
              </w:rPr>
            </w:pPr>
            <w:r>
              <w:rPr>
                <w:rFonts w:hint="eastAsia"/>
                <w:sz w:val="21"/>
                <w:szCs w:val="21"/>
                <w:u w:val="single"/>
              </w:rPr>
              <w:t>3、如采用投标保函或投标保证保险的形式提交的，在开标前不强制要求投标人提交纸质原件，由中标候选人在中标候选人公示前提交并在网上公示，投标人应在投标文件中提交投标保函或投标保证保险扫描件并加盖投标人电子印章。如投标人在开标前提交纸质原件的，原件须单独密封（封口处加盖投标人单位公章）并在投标截止时间前15分钟递交至开标室（时间及地点同递交备用投标文件电子光盘的时间及地点）。</w:t>
            </w:r>
          </w:p>
          <w:p>
            <w:pPr>
              <w:spacing w:line="360" w:lineRule="auto"/>
              <w:ind w:firstLine="420" w:firstLineChars="200"/>
              <w:rPr>
                <w:sz w:val="21"/>
                <w:szCs w:val="21"/>
                <w:u w:val="single"/>
              </w:rPr>
            </w:pPr>
            <w:r>
              <w:rPr>
                <w:rFonts w:hint="eastAsia"/>
                <w:sz w:val="21"/>
                <w:szCs w:val="21"/>
                <w:u w:val="single"/>
              </w:rPr>
              <w:t>4、如采用电子保函提交投标保证金的，详见广州公共资源交易中心操作指引。</w:t>
            </w:r>
          </w:p>
          <w:p>
            <w:pPr>
              <w:spacing w:line="360" w:lineRule="auto"/>
              <w:ind w:firstLine="420" w:firstLineChars="200"/>
              <w:rPr>
                <w:sz w:val="21"/>
                <w:szCs w:val="21"/>
              </w:rPr>
            </w:pPr>
            <w:r>
              <w:rPr>
                <w:rFonts w:hint="eastAsia"/>
                <w:sz w:val="21"/>
                <w:szCs w:val="21"/>
                <w:u w:val="single"/>
              </w:rPr>
              <w:t>5、银行投标保函有效期应长于或等于投标有效期，若投标有效期延长的，银行投标保函有效期应相应延长，且延长后的有效期应满足前述要求。投标人提供的银行投标保函应为银行出具的无条件、见索即付、不可撤销的保函。</w:t>
            </w:r>
          </w:p>
          <w:p>
            <w:pPr>
              <w:pStyle w:val="10"/>
              <w:topLinePunct/>
              <w:snapToGrid w:val="0"/>
              <w:spacing w:line="360" w:lineRule="auto"/>
              <w:ind w:firstLine="420" w:firstLineChars="200"/>
              <w:rPr>
                <w:sz w:val="21"/>
                <w:szCs w:val="21"/>
              </w:rPr>
            </w:pPr>
            <w:r>
              <w:rPr>
                <w:rFonts w:hint="eastAsia"/>
                <w:sz w:val="21"/>
                <w:szCs w:val="21"/>
                <w:u w:val="single"/>
                <w:lang w:val="en-US"/>
              </w:rPr>
              <w:t>6、对于未能按要求交纳投标保证金的投标人，招标人将视为不响应招标文件而予以拒绝，责任由投标人自负。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3.4.4</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其他可以不予退还投标保证金的情形</w:t>
            </w:r>
          </w:p>
        </w:tc>
        <w:tc>
          <w:tcPr>
            <w:tcW w:w="5440" w:type="dxa"/>
            <w:vAlign w:val="center"/>
          </w:tcPr>
          <w:p>
            <w:pPr>
              <w:snapToGrid w:val="0"/>
              <w:spacing w:line="360" w:lineRule="auto"/>
              <w:rPr>
                <w:sz w:val="21"/>
                <w:szCs w:val="21"/>
                <w:u w:val="single"/>
              </w:rPr>
            </w:pPr>
            <w:r>
              <w:rPr>
                <w:rFonts w:hint="eastAsia"/>
                <w:sz w:val="21"/>
                <w:szCs w:val="21"/>
                <w:u w:val="single"/>
              </w:rPr>
              <w:t>1.投标人采用不正当的手段骗取中标经查实的，不予退还投标保证金。</w:t>
            </w:r>
          </w:p>
          <w:p>
            <w:pPr>
              <w:snapToGrid w:val="0"/>
              <w:spacing w:line="360" w:lineRule="auto"/>
              <w:rPr>
                <w:sz w:val="21"/>
                <w:szCs w:val="21"/>
              </w:rPr>
            </w:pPr>
            <w:r>
              <w:rPr>
                <w:rFonts w:hint="eastAsia"/>
                <w:sz w:val="21"/>
                <w:szCs w:val="21"/>
                <w:u w:val="single"/>
              </w:rPr>
              <w:t>2.因中标人原因未能在规定期限内签署合同协议。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3.5</w:t>
            </w:r>
          </w:p>
        </w:tc>
        <w:tc>
          <w:tcPr>
            <w:tcW w:w="3360" w:type="dxa"/>
          </w:tcPr>
          <w:p>
            <w:pPr>
              <w:pStyle w:val="28"/>
              <w:spacing w:before="10" w:line="360" w:lineRule="auto"/>
              <w:rPr>
                <w:sz w:val="21"/>
                <w:szCs w:val="21"/>
              </w:rPr>
            </w:pPr>
          </w:p>
          <w:p>
            <w:pPr>
              <w:pStyle w:val="28"/>
              <w:spacing w:line="360" w:lineRule="auto"/>
              <w:ind w:left="147" w:right="138"/>
              <w:jc w:val="center"/>
              <w:rPr>
                <w:sz w:val="21"/>
                <w:szCs w:val="21"/>
                <w:lang w:val="en-US"/>
              </w:rPr>
            </w:pPr>
            <w:r>
              <w:rPr>
                <w:rFonts w:hint="eastAsia"/>
                <w:sz w:val="21"/>
                <w:szCs w:val="21"/>
              </w:rPr>
              <w:t>资格审查资料的特殊要求</w:t>
            </w:r>
          </w:p>
        </w:tc>
        <w:tc>
          <w:tcPr>
            <w:tcW w:w="5440" w:type="dxa"/>
          </w:tcPr>
          <w:p>
            <w:pPr>
              <w:pStyle w:val="28"/>
              <w:spacing w:before="75" w:line="360" w:lineRule="auto"/>
              <w:ind w:left="107"/>
              <w:rPr>
                <w:sz w:val="21"/>
                <w:szCs w:val="21"/>
              </w:rPr>
            </w:pPr>
            <w:r>
              <w:rPr>
                <w:rFonts w:hint="eastAsia"/>
                <w:sz w:val="21"/>
                <w:szCs w:val="21"/>
              </w:rPr>
              <w:sym w:font="Wingdings 2" w:char="0052"/>
            </w:r>
            <w:r>
              <w:rPr>
                <w:rFonts w:hint="eastAsia"/>
                <w:sz w:val="21"/>
                <w:szCs w:val="21"/>
              </w:rPr>
              <w:t>无</w:t>
            </w:r>
          </w:p>
          <w:p>
            <w:pPr>
              <w:pStyle w:val="28"/>
              <w:spacing w:before="31" w:line="360" w:lineRule="auto"/>
              <w:ind w:left="107"/>
              <w:rPr>
                <w:sz w:val="21"/>
                <w:szCs w:val="21"/>
              </w:rPr>
            </w:pPr>
            <w:r>
              <w:rPr>
                <w:rFonts w:hint="eastAsia"/>
                <w:sz w:val="21"/>
                <w:szCs w:val="21"/>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3.5.2</w:t>
            </w:r>
          </w:p>
        </w:tc>
        <w:tc>
          <w:tcPr>
            <w:tcW w:w="3360" w:type="dxa"/>
            <w:vAlign w:val="center"/>
          </w:tcPr>
          <w:p>
            <w:pPr>
              <w:pStyle w:val="28"/>
              <w:spacing w:line="360" w:lineRule="auto"/>
              <w:ind w:right="139"/>
              <w:jc w:val="center"/>
              <w:rPr>
                <w:sz w:val="21"/>
                <w:szCs w:val="21"/>
                <w:lang w:val="en-US"/>
              </w:rPr>
            </w:pPr>
            <w:r>
              <w:rPr>
                <w:rFonts w:hint="eastAsia"/>
                <w:sz w:val="21"/>
                <w:szCs w:val="21"/>
              </w:rPr>
              <w:t>近年财务状况的年份要求</w:t>
            </w:r>
          </w:p>
        </w:tc>
        <w:tc>
          <w:tcPr>
            <w:tcW w:w="5440" w:type="dxa"/>
            <w:vAlign w:val="center"/>
          </w:tcPr>
          <w:p>
            <w:pPr>
              <w:pStyle w:val="28"/>
              <w:tabs>
                <w:tab w:val="left" w:pos="664"/>
                <w:tab w:val="left" w:pos="1646"/>
              </w:tabs>
              <w:spacing w:line="360" w:lineRule="auto"/>
              <w:rPr>
                <w:sz w:val="21"/>
                <w:szCs w:val="21"/>
              </w:rPr>
            </w:pPr>
            <w:r>
              <w:rPr>
                <w:rFonts w:hint="eastAsia"/>
                <w:sz w:val="21"/>
                <w:szCs w:val="21"/>
                <w:u w:val="single"/>
              </w:rPr>
              <w:t xml:space="preserve">/ </w:t>
            </w:r>
            <w:r>
              <w:rPr>
                <w:rFonts w:hint="eastAsia"/>
                <w:sz w:val="21"/>
                <w:szCs w:val="21"/>
              </w:rPr>
              <w:t xml:space="preserve">年至 </w:t>
            </w:r>
            <w:r>
              <w:rPr>
                <w:rFonts w:hint="eastAsia"/>
                <w:sz w:val="21"/>
                <w:szCs w:val="21"/>
                <w:u w:val="single"/>
              </w:rPr>
              <w:t xml:space="preserve"> / </w:t>
            </w:r>
            <w:r>
              <w:rPr>
                <w:rFonts w:hint="eastAsia"/>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3.5.3</w:t>
            </w:r>
          </w:p>
        </w:tc>
        <w:tc>
          <w:tcPr>
            <w:tcW w:w="3360" w:type="dxa"/>
            <w:vAlign w:val="center"/>
          </w:tcPr>
          <w:p>
            <w:pPr>
              <w:pStyle w:val="28"/>
              <w:spacing w:line="360" w:lineRule="auto"/>
              <w:ind w:right="138"/>
              <w:jc w:val="center"/>
              <w:rPr>
                <w:sz w:val="21"/>
                <w:szCs w:val="21"/>
                <w:lang w:val="en-US"/>
              </w:rPr>
            </w:pPr>
            <w:r>
              <w:rPr>
                <w:rFonts w:hint="eastAsia"/>
                <w:sz w:val="21"/>
                <w:szCs w:val="21"/>
              </w:rPr>
              <w:t>近年完成的类似项目情况的时间要求</w:t>
            </w:r>
          </w:p>
        </w:tc>
        <w:tc>
          <w:tcPr>
            <w:tcW w:w="5440" w:type="dxa"/>
            <w:vAlign w:val="center"/>
          </w:tcPr>
          <w:p>
            <w:pPr>
              <w:pStyle w:val="28"/>
              <w:tabs>
                <w:tab w:val="left" w:pos="803"/>
                <w:tab w:val="left" w:pos="1574"/>
                <w:tab w:val="left" w:pos="2344"/>
              </w:tabs>
              <w:spacing w:before="155" w:line="360" w:lineRule="auto"/>
              <w:rPr>
                <w:sz w:val="21"/>
                <w:szCs w:val="21"/>
              </w:rPr>
            </w:pPr>
            <w:r>
              <w:rPr>
                <w:rFonts w:hint="eastAsia"/>
                <w:sz w:val="21"/>
                <w:szCs w:val="21"/>
                <w:u w:val="single"/>
              </w:rPr>
              <w:t xml:space="preserve">/ </w:t>
            </w:r>
            <w:r>
              <w:rPr>
                <w:rFonts w:hint="eastAsia"/>
                <w:sz w:val="21"/>
              </w:rPr>
              <w:t>年</w:t>
            </w:r>
            <w:r>
              <w:rPr>
                <w:rFonts w:hint="eastAsia"/>
                <w:sz w:val="21"/>
                <w:szCs w:val="21"/>
                <w:u w:val="single"/>
              </w:rPr>
              <w:t xml:space="preserve">/ </w:t>
            </w:r>
            <w:r>
              <w:rPr>
                <w:rFonts w:hint="eastAsia"/>
                <w:sz w:val="21"/>
              </w:rPr>
              <w:t>月</w:t>
            </w:r>
            <w:r>
              <w:rPr>
                <w:rFonts w:hint="eastAsia"/>
                <w:sz w:val="21"/>
                <w:szCs w:val="21"/>
                <w:u w:val="single"/>
              </w:rPr>
              <w:t xml:space="preserve">/ </w:t>
            </w:r>
            <w:r>
              <w:rPr>
                <w:rFonts w:hint="eastAsia"/>
                <w:sz w:val="21"/>
              </w:rPr>
              <w:t>日至</w:t>
            </w:r>
            <w:r>
              <w:rPr>
                <w:rFonts w:hint="eastAsia"/>
                <w:sz w:val="21"/>
                <w:szCs w:val="21"/>
                <w:u w:val="single"/>
              </w:rPr>
              <w:t xml:space="preserve">/ </w:t>
            </w:r>
            <w:r>
              <w:rPr>
                <w:rFonts w:hint="eastAsia"/>
                <w:sz w:val="21"/>
              </w:rPr>
              <w:t>年</w:t>
            </w:r>
            <w:r>
              <w:rPr>
                <w:rFonts w:hint="eastAsia"/>
                <w:sz w:val="21"/>
                <w:szCs w:val="21"/>
                <w:u w:val="single"/>
              </w:rPr>
              <w:t xml:space="preserve">/ </w:t>
            </w:r>
            <w:r>
              <w:rPr>
                <w:rFonts w:hint="eastAsia"/>
                <w:sz w:val="21"/>
              </w:rPr>
              <w:t>月</w:t>
            </w:r>
            <w:r>
              <w:rPr>
                <w:rFonts w:hint="eastAsia"/>
                <w:sz w:val="21"/>
                <w:szCs w:val="21"/>
                <w:u w:val="single"/>
              </w:rPr>
              <w:t xml:space="preserve">/ </w:t>
            </w:r>
            <w:r>
              <w:rPr>
                <w:rFonts w:hint="eastAsia"/>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3.5.5</w:t>
            </w:r>
          </w:p>
        </w:tc>
        <w:tc>
          <w:tcPr>
            <w:tcW w:w="3360" w:type="dxa"/>
          </w:tcPr>
          <w:p>
            <w:pPr>
              <w:pStyle w:val="28"/>
              <w:spacing w:line="360" w:lineRule="auto"/>
              <w:ind w:left="147" w:right="141"/>
              <w:jc w:val="center"/>
              <w:rPr>
                <w:sz w:val="21"/>
                <w:szCs w:val="21"/>
                <w:lang w:val="en-US"/>
              </w:rPr>
            </w:pPr>
            <w:r>
              <w:rPr>
                <w:rFonts w:hint="eastAsia"/>
                <w:sz w:val="21"/>
                <w:szCs w:val="21"/>
              </w:rPr>
              <w:t>近年发生的诉讼及仲裁情况的时间要求</w:t>
            </w:r>
          </w:p>
        </w:tc>
        <w:tc>
          <w:tcPr>
            <w:tcW w:w="5440" w:type="dxa"/>
            <w:vAlign w:val="center"/>
          </w:tcPr>
          <w:p>
            <w:pPr>
              <w:snapToGrid w:val="0"/>
              <w:spacing w:line="360" w:lineRule="auto"/>
              <w:rPr>
                <w:sz w:val="21"/>
                <w:szCs w:val="21"/>
              </w:rPr>
            </w:pPr>
            <w:r>
              <w:rPr>
                <w:rFonts w:hint="eastAsia"/>
                <w:sz w:val="21"/>
                <w:szCs w:val="21"/>
                <w:u w:val="single"/>
              </w:rPr>
              <w:t>/</w:t>
            </w:r>
            <w:r>
              <w:rPr>
                <w:rFonts w:hint="eastAsia"/>
                <w:sz w:val="21"/>
                <w:szCs w:val="21"/>
              </w:rPr>
              <w:t>年</w:t>
            </w:r>
            <w:r>
              <w:rPr>
                <w:rFonts w:hint="eastAsia"/>
                <w:sz w:val="21"/>
                <w:szCs w:val="21"/>
                <w:u w:val="single"/>
              </w:rPr>
              <w:t>/</w:t>
            </w:r>
            <w:r>
              <w:rPr>
                <w:rFonts w:hint="eastAsia"/>
                <w:sz w:val="21"/>
                <w:szCs w:val="21"/>
              </w:rPr>
              <w:t>月</w:t>
            </w:r>
            <w:r>
              <w:rPr>
                <w:rFonts w:hint="eastAsia"/>
                <w:sz w:val="21"/>
                <w:szCs w:val="21"/>
                <w:u w:val="single"/>
              </w:rPr>
              <w:t>/</w:t>
            </w:r>
            <w:r>
              <w:rPr>
                <w:rFonts w:hint="eastAsia"/>
                <w:sz w:val="21"/>
                <w:szCs w:val="21"/>
              </w:rPr>
              <w:t>日至</w:t>
            </w:r>
            <w:r>
              <w:rPr>
                <w:rFonts w:hint="eastAsia"/>
                <w:sz w:val="21"/>
                <w:szCs w:val="21"/>
                <w:u w:val="single"/>
              </w:rPr>
              <w:t>/</w:t>
            </w:r>
            <w:r>
              <w:rPr>
                <w:rFonts w:hint="eastAsia"/>
                <w:sz w:val="21"/>
                <w:szCs w:val="21"/>
              </w:rPr>
              <w:t>年</w:t>
            </w:r>
            <w:r>
              <w:rPr>
                <w:rFonts w:hint="eastAsia"/>
                <w:sz w:val="21"/>
                <w:szCs w:val="21"/>
                <w:u w:val="single"/>
              </w:rPr>
              <w:t>/</w:t>
            </w:r>
            <w:r>
              <w:rPr>
                <w:rFonts w:hint="eastAsia"/>
                <w:sz w:val="21"/>
                <w:szCs w:val="21"/>
              </w:rPr>
              <w:t>月</w:t>
            </w:r>
            <w:r>
              <w:rPr>
                <w:rFonts w:hint="eastAsia"/>
                <w:sz w:val="21"/>
                <w:szCs w:val="21"/>
                <w:u w:val="single"/>
              </w:rPr>
              <w:t>/</w:t>
            </w:r>
            <w:r>
              <w:rPr>
                <w:rFonts w:hint="eastAsia"/>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3.6.1</w:t>
            </w:r>
          </w:p>
        </w:tc>
        <w:tc>
          <w:tcPr>
            <w:tcW w:w="3360" w:type="dxa"/>
          </w:tcPr>
          <w:p>
            <w:pPr>
              <w:pStyle w:val="28"/>
              <w:spacing w:before="7" w:line="360" w:lineRule="auto"/>
              <w:rPr>
                <w:sz w:val="21"/>
                <w:szCs w:val="21"/>
              </w:rPr>
            </w:pPr>
          </w:p>
          <w:p>
            <w:pPr>
              <w:pStyle w:val="28"/>
              <w:spacing w:line="360" w:lineRule="auto"/>
              <w:ind w:left="147" w:right="141"/>
              <w:jc w:val="center"/>
              <w:rPr>
                <w:sz w:val="21"/>
                <w:szCs w:val="21"/>
                <w:lang w:val="en-US"/>
              </w:rPr>
            </w:pPr>
            <w:r>
              <w:rPr>
                <w:rFonts w:hint="eastAsia"/>
                <w:sz w:val="21"/>
                <w:szCs w:val="21"/>
              </w:rPr>
              <w:t>是否允许递交备选投标方案</w:t>
            </w:r>
          </w:p>
        </w:tc>
        <w:tc>
          <w:tcPr>
            <w:tcW w:w="5440" w:type="dxa"/>
            <w:vAlign w:val="center"/>
          </w:tcPr>
          <w:p>
            <w:pPr>
              <w:pStyle w:val="28"/>
              <w:spacing w:before="54" w:line="360" w:lineRule="auto"/>
              <w:ind w:left="107"/>
              <w:rPr>
                <w:sz w:val="21"/>
                <w:szCs w:val="21"/>
              </w:rPr>
            </w:pPr>
            <w:r>
              <w:rPr>
                <w:rFonts w:hint="eastAsia"/>
                <w:sz w:val="21"/>
                <w:szCs w:val="21"/>
              </w:rPr>
              <w:sym w:font="Wingdings 2" w:char="0052"/>
            </w:r>
            <w:r>
              <w:rPr>
                <w:rFonts w:hint="eastAsia"/>
                <w:sz w:val="21"/>
                <w:szCs w:val="21"/>
              </w:rPr>
              <w:t>不允许</w:t>
            </w:r>
          </w:p>
          <w:p>
            <w:pPr>
              <w:pStyle w:val="28"/>
              <w:spacing w:before="66" w:line="360" w:lineRule="auto"/>
              <w:ind w:left="107"/>
              <w:rPr>
                <w:sz w:val="21"/>
                <w:szCs w:val="21"/>
              </w:rPr>
            </w:pPr>
            <w:r>
              <w:rPr>
                <w:rFonts w:hint="eastAsia"/>
                <w:sz w:val="21"/>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3.7.3（B）</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投标文件所附证书证件要求</w:t>
            </w:r>
          </w:p>
        </w:tc>
        <w:tc>
          <w:tcPr>
            <w:tcW w:w="5440" w:type="dxa"/>
            <w:vAlign w:val="center"/>
          </w:tcPr>
          <w:p>
            <w:pPr>
              <w:snapToGrid w:val="0"/>
              <w:spacing w:line="360" w:lineRule="auto"/>
              <w:rPr>
                <w:sz w:val="21"/>
                <w:szCs w:val="21"/>
              </w:rPr>
            </w:pPr>
            <w:r>
              <w:rPr>
                <w:rFonts w:hint="eastAsia"/>
                <w:sz w:val="21"/>
                <w:szCs w:val="21"/>
                <w:u w:val="single"/>
              </w:rPr>
              <w:t>投标文件所附证书证件均为原件扫描件</w:t>
            </w:r>
            <w:ins w:id="0" w:author="wong April" w:date="2022-09-20T00:33:00Z">
              <w:r>
                <w:rPr>
                  <w:rFonts w:hint="eastAsia"/>
                  <w:sz w:val="21"/>
                  <w:szCs w:val="21"/>
                  <w:u w:val="single"/>
                </w:rPr>
                <w:t>。</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3.7.3（B）</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投标文件签字或盖章要求</w:t>
            </w:r>
          </w:p>
        </w:tc>
        <w:tc>
          <w:tcPr>
            <w:tcW w:w="5440" w:type="dxa"/>
            <w:vAlign w:val="center"/>
          </w:tcPr>
          <w:p>
            <w:pPr>
              <w:pStyle w:val="10"/>
              <w:topLinePunct/>
              <w:snapToGrid w:val="0"/>
              <w:spacing w:line="360" w:lineRule="auto"/>
              <w:rPr>
                <w:sz w:val="21"/>
                <w:szCs w:val="21"/>
              </w:rPr>
            </w:pPr>
            <w:r>
              <w:rPr>
                <w:rFonts w:hint="eastAsia"/>
                <w:kern w:val="2"/>
                <w:sz w:val="21"/>
                <w:szCs w:val="21"/>
                <w:u w:val="single"/>
                <w:lang w:val="en-US" w:bidi="ar-SA"/>
              </w:rPr>
              <w:t>投标文件全部采用电子文档，投标文件所附证书证件均为原件扫描件，并采用单位数字证书，按招标文件要求在相应位置加盖电子印章。投标文件中需个人签字或盖章的，应手签后扫描上传。具体操作详见广州公共资源交易中心网站发布的最新版《房屋建筑和市政基础设施工程全流程电子化项目专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4.1.1（B）</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投标文件加密要求</w:t>
            </w:r>
          </w:p>
        </w:tc>
        <w:tc>
          <w:tcPr>
            <w:tcW w:w="5440" w:type="dxa"/>
            <w:vAlign w:val="center"/>
          </w:tcPr>
          <w:p>
            <w:pPr>
              <w:pStyle w:val="10"/>
              <w:topLinePunct/>
              <w:autoSpaceDE/>
              <w:autoSpaceDN/>
              <w:snapToGrid w:val="0"/>
              <w:spacing w:after="0" w:line="360" w:lineRule="auto"/>
              <w:jc w:val="both"/>
              <w:rPr>
                <w:sz w:val="21"/>
                <w:szCs w:val="21"/>
              </w:rPr>
            </w:pPr>
            <w:r>
              <w:rPr>
                <w:rFonts w:hint="eastAsia"/>
                <w:kern w:val="2"/>
                <w:sz w:val="21"/>
                <w:szCs w:val="21"/>
                <w:lang w:val="en-US" w:bidi="ar-SA"/>
              </w:rPr>
              <w:t>网上递交的电子投标文件须进行加密。具体操作详见广州公共资源交易中心网站发布的最新版《房屋建筑和市政基础设施工程全流程电子化项目专章》。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4.1.2</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封套上应载明的信息</w:t>
            </w:r>
          </w:p>
        </w:tc>
        <w:tc>
          <w:tcPr>
            <w:tcW w:w="5440" w:type="dxa"/>
            <w:vAlign w:val="center"/>
          </w:tcPr>
          <w:p>
            <w:pPr>
              <w:pStyle w:val="10"/>
              <w:topLinePunct/>
              <w:snapToGrid w:val="0"/>
              <w:spacing w:line="360" w:lineRule="auto"/>
              <w:rPr>
                <w:sz w:val="21"/>
                <w:szCs w:val="21"/>
                <w:lang w:val="en-US"/>
              </w:rPr>
            </w:pPr>
            <w:r>
              <w:rPr>
                <w:rFonts w:hint="eastAsia"/>
                <w:sz w:val="21"/>
                <w:szCs w:val="21"/>
                <w:lang w:val="en-US"/>
              </w:rPr>
              <w:t>如有提交投标文件光盘备用，封套上应注明如下信息：</w:t>
            </w:r>
          </w:p>
          <w:p>
            <w:pPr>
              <w:pStyle w:val="10"/>
              <w:topLinePunct/>
              <w:spacing w:line="360" w:lineRule="auto"/>
              <w:rPr>
                <w:sz w:val="21"/>
                <w:szCs w:val="21"/>
                <w:lang w:val="en-US"/>
              </w:rPr>
            </w:pPr>
            <w:r>
              <w:rPr>
                <w:rFonts w:hint="eastAsia"/>
                <w:sz w:val="21"/>
                <w:szCs w:val="21"/>
                <w:lang w:val="en-US"/>
              </w:rPr>
              <w:t>招标人名称：</w:t>
            </w:r>
          </w:p>
          <w:p>
            <w:pPr>
              <w:pStyle w:val="10"/>
              <w:topLinePunct/>
              <w:spacing w:line="360" w:lineRule="auto"/>
              <w:rPr>
                <w:sz w:val="21"/>
                <w:szCs w:val="21"/>
                <w:lang w:val="en-US"/>
              </w:rPr>
            </w:pPr>
            <w:r>
              <w:rPr>
                <w:rFonts w:hint="eastAsia"/>
                <w:sz w:val="21"/>
                <w:szCs w:val="21"/>
                <w:u w:val="single"/>
                <w:lang w:val="en-US"/>
              </w:rPr>
              <w:t xml:space="preserve">          </w:t>
            </w:r>
            <w:r>
              <w:rPr>
                <w:rFonts w:hint="eastAsia"/>
                <w:sz w:val="21"/>
                <w:szCs w:val="21"/>
                <w:lang w:val="en-US"/>
              </w:rPr>
              <w:t>（项目名称）投标文件</w:t>
            </w:r>
          </w:p>
          <w:p>
            <w:pPr>
              <w:pStyle w:val="10"/>
              <w:topLinePunct/>
              <w:spacing w:line="360" w:lineRule="auto"/>
              <w:rPr>
                <w:sz w:val="21"/>
                <w:szCs w:val="21"/>
                <w:lang w:val="en-US"/>
              </w:rPr>
            </w:pPr>
            <w:r>
              <w:rPr>
                <w:rFonts w:hint="eastAsia"/>
                <w:sz w:val="21"/>
                <w:szCs w:val="21"/>
                <w:lang w:val="en-US"/>
              </w:rPr>
              <w:t>招标项目编号：</w:t>
            </w:r>
          </w:p>
          <w:p>
            <w:pPr>
              <w:pStyle w:val="10"/>
              <w:topLinePunct/>
              <w:snapToGrid w:val="0"/>
              <w:spacing w:line="360" w:lineRule="auto"/>
              <w:rPr>
                <w:sz w:val="21"/>
                <w:szCs w:val="21"/>
              </w:rPr>
            </w:pPr>
            <w:r>
              <w:rPr>
                <w:rFonts w:hint="eastAsia"/>
                <w:sz w:val="21"/>
                <w:szCs w:val="21"/>
                <w:lang w:val="en-US"/>
              </w:rPr>
              <w:t>在</w:t>
            </w:r>
            <w:r>
              <w:rPr>
                <w:rFonts w:hint="eastAsia"/>
                <w:sz w:val="21"/>
                <w:szCs w:val="21"/>
                <w:u w:val="single"/>
                <w:lang w:val="en-US"/>
              </w:rPr>
              <w:t xml:space="preserve">    </w:t>
            </w:r>
            <w:r>
              <w:rPr>
                <w:rFonts w:hint="eastAsia"/>
                <w:sz w:val="21"/>
                <w:szCs w:val="21"/>
                <w:lang w:val="en-US"/>
              </w:rPr>
              <w:t>年</w:t>
            </w:r>
            <w:r>
              <w:rPr>
                <w:rFonts w:hint="eastAsia"/>
                <w:sz w:val="21"/>
                <w:szCs w:val="21"/>
                <w:u w:val="single"/>
                <w:lang w:val="en-US"/>
              </w:rPr>
              <w:t xml:space="preserve">    </w:t>
            </w:r>
            <w:r>
              <w:rPr>
                <w:rFonts w:hint="eastAsia"/>
                <w:sz w:val="21"/>
                <w:szCs w:val="21"/>
                <w:lang w:val="en-US"/>
              </w:rPr>
              <w:t>月</w:t>
            </w:r>
            <w:r>
              <w:rPr>
                <w:rFonts w:hint="eastAsia"/>
                <w:sz w:val="21"/>
                <w:szCs w:val="21"/>
                <w:u w:val="single"/>
                <w:lang w:val="en-US"/>
              </w:rPr>
              <w:t xml:space="preserve">    </w:t>
            </w:r>
            <w:r>
              <w:rPr>
                <w:rFonts w:hint="eastAsia"/>
                <w:sz w:val="21"/>
                <w:szCs w:val="21"/>
                <w:lang w:val="en-US"/>
              </w:rPr>
              <w:t>日</w:t>
            </w:r>
            <w:r>
              <w:rPr>
                <w:rFonts w:hint="eastAsia"/>
                <w:sz w:val="21"/>
                <w:szCs w:val="21"/>
                <w:u w:val="single"/>
                <w:lang w:val="en-US"/>
              </w:rPr>
              <w:t xml:space="preserve">    </w:t>
            </w:r>
            <w:r>
              <w:rPr>
                <w:rFonts w:hint="eastAsia"/>
                <w:sz w:val="21"/>
                <w:szCs w:val="21"/>
                <w:lang w:val="en-US"/>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4.2.1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投标截止时间</w:t>
            </w:r>
          </w:p>
        </w:tc>
        <w:tc>
          <w:tcPr>
            <w:tcW w:w="5440" w:type="dxa"/>
            <w:vAlign w:val="center"/>
          </w:tcPr>
          <w:p>
            <w:pPr>
              <w:snapToGrid w:val="0"/>
              <w:spacing w:line="360" w:lineRule="auto"/>
              <w:rPr>
                <w:sz w:val="21"/>
                <w:szCs w:val="21"/>
              </w:rPr>
            </w:pPr>
            <w:r>
              <w:rPr>
                <w:rFonts w:hint="eastAsia"/>
                <w:sz w:val="21"/>
                <w:szCs w:val="21"/>
                <w:u w:val="single"/>
              </w:rPr>
              <w:t xml:space="preserve"> 202</w:t>
            </w:r>
            <w:r>
              <w:rPr>
                <w:rFonts w:hint="eastAsia"/>
                <w:sz w:val="21"/>
                <w:szCs w:val="21"/>
                <w:u w:val="single"/>
                <w:lang w:val="en-US"/>
              </w:rPr>
              <w:t>2</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r>
              <w:rPr>
                <w:rFonts w:hint="eastAsia"/>
                <w:sz w:val="21"/>
                <w:szCs w:val="21"/>
                <w:u w:val="single"/>
              </w:rPr>
              <w:t xml:space="preserve">  时  分 （北京时间）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4.2.2</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递交电子投标文件交易平台</w:t>
            </w:r>
          </w:p>
        </w:tc>
        <w:tc>
          <w:tcPr>
            <w:tcW w:w="5440" w:type="dxa"/>
            <w:vAlign w:val="center"/>
          </w:tcPr>
          <w:p>
            <w:pPr>
              <w:snapToGrid w:val="0"/>
              <w:spacing w:line="360" w:lineRule="auto"/>
              <w:rPr>
                <w:sz w:val="21"/>
                <w:szCs w:val="21"/>
                <w:u w:val="single"/>
              </w:rPr>
            </w:pPr>
            <w:r>
              <w:rPr>
                <w:rFonts w:hint="eastAsia"/>
                <w:sz w:val="21"/>
                <w:szCs w:val="21"/>
                <w:u w:val="single"/>
              </w:rPr>
              <w:t xml:space="preserve">1.递交方式：网上递交投标文件 </w:t>
            </w:r>
          </w:p>
          <w:p>
            <w:pPr>
              <w:snapToGrid w:val="0"/>
              <w:spacing w:line="360" w:lineRule="auto"/>
              <w:rPr>
                <w:sz w:val="21"/>
                <w:szCs w:val="21"/>
                <w:u w:val="single"/>
              </w:rPr>
            </w:pPr>
            <w:r>
              <w:rPr>
                <w:rFonts w:hint="eastAsia"/>
                <w:sz w:val="21"/>
                <w:szCs w:val="21"/>
                <w:u w:val="single"/>
              </w:rPr>
              <w:t xml:space="preserve">2.交易平台：广州公共资源交易中心网站。 </w:t>
            </w:r>
          </w:p>
          <w:p>
            <w:pPr>
              <w:snapToGrid w:val="0"/>
              <w:spacing w:line="360" w:lineRule="auto"/>
              <w:rPr>
                <w:sz w:val="21"/>
                <w:szCs w:val="21"/>
              </w:rPr>
            </w:pPr>
            <w:r>
              <w:rPr>
                <w:rFonts w:hint="eastAsia"/>
                <w:sz w:val="21"/>
                <w:szCs w:val="21"/>
                <w:u w:val="single"/>
              </w:rPr>
              <w:t>3.上述时间是否有改变，请密切留意招标答疑纪要的相关信息。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4.2.3</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投标文件是否退还</w:t>
            </w:r>
          </w:p>
        </w:tc>
        <w:tc>
          <w:tcPr>
            <w:tcW w:w="5440" w:type="dxa"/>
            <w:vAlign w:val="center"/>
          </w:tcPr>
          <w:p>
            <w:pPr>
              <w:pStyle w:val="10"/>
              <w:topLinePunct/>
              <w:snapToGrid w:val="0"/>
              <w:spacing w:line="360" w:lineRule="auto"/>
              <w:rPr>
                <w:sz w:val="21"/>
                <w:szCs w:val="21"/>
                <w:lang w:val="en-US"/>
              </w:rPr>
            </w:pPr>
            <w:r>
              <w:rPr>
                <w:rFonts w:hint="eastAsia"/>
                <w:sz w:val="21"/>
                <w:szCs w:val="21"/>
                <w:lang w:val="en-US"/>
              </w:rPr>
              <w:t>■否</w:t>
            </w:r>
          </w:p>
          <w:p>
            <w:pPr>
              <w:pStyle w:val="10"/>
              <w:topLinePunct/>
              <w:snapToGrid w:val="0"/>
              <w:spacing w:line="360" w:lineRule="auto"/>
              <w:rPr>
                <w:sz w:val="21"/>
                <w:szCs w:val="21"/>
              </w:rPr>
            </w:pPr>
            <w:r>
              <w:rPr>
                <w:rFonts w:hint="eastAsia"/>
                <w:sz w:val="21"/>
                <w:szCs w:val="21"/>
                <w:lang w:val="en-US"/>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4.3</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投标文件的修改与撤回</w:t>
            </w:r>
          </w:p>
        </w:tc>
        <w:tc>
          <w:tcPr>
            <w:tcW w:w="5440" w:type="dxa"/>
            <w:vAlign w:val="center"/>
          </w:tcPr>
          <w:p>
            <w:pPr>
              <w:snapToGrid w:val="0"/>
              <w:spacing w:line="360" w:lineRule="auto"/>
              <w:rPr>
                <w:sz w:val="21"/>
                <w:szCs w:val="21"/>
                <w:u w:val="single"/>
              </w:rPr>
            </w:pPr>
            <w:r>
              <w:rPr>
                <w:rFonts w:hint="eastAsia"/>
                <w:sz w:val="21"/>
                <w:szCs w:val="21"/>
                <w:u w:val="single"/>
              </w:rPr>
              <w:t>1.投标人修改或撤回已递交的投标文件，需在交易平台发出撤回通知，并按要求加盖电子印章。电子招标投标交易平台收到通知后，即时向投标人发出确认回执通知。</w:t>
            </w:r>
          </w:p>
          <w:p>
            <w:pPr>
              <w:pStyle w:val="10"/>
              <w:topLinePunct/>
              <w:snapToGrid w:val="0"/>
              <w:spacing w:line="360" w:lineRule="auto"/>
              <w:rPr>
                <w:sz w:val="21"/>
                <w:szCs w:val="21"/>
              </w:rPr>
            </w:pPr>
            <w:r>
              <w:rPr>
                <w:rFonts w:hint="eastAsia"/>
                <w:sz w:val="21"/>
                <w:szCs w:val="21"/>
                <w:u w:val="single"/>
                <w:lang w:val="en-US"/>
              </w:rPr>
              <w:t>2.投标人撤回投标文件的，招标人自收到投标人书面撤回通知之日起5日内退还已收取的投标保证金。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5.1（B）</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开标时间和地点</w:t>
            </w:r>
          </w:p>
        </w:tc>
        <w:tc>
          <w:tcPr>
            <w:tcW w:w="5440" w:type="dxa"/>
            <w:vAlign w:val="center"/>
          </w:tcPr>
          <w:p>
            <w:pPr>
              <w:snapToGrid w:val="0"/>
              <w:spacing w:line="360" w:lineRule="auto"/>
              <w:rPr>
                <w:sz w:val="21"/>
                <w:szCs w:val="21"/>
              </w:rPr>
            </w:pPr>
            <w:r>
              <w:rPr>
                <w:rFonts w:hint="eastAsia"/>
                <w:sz w:val="21"/>
                <w:szCs w:val="21"/>
              </w:rPr>
              <w:t>开标时间：同投标截止时间</w:t>
            </w:r>
          </w:p>
          <w:p>
            <w:pPr>
              <w:snapToGrid w:val="0"/>
              <w:spacing w:line="360" w:lineRule="auto"/>
              <w:rPr>
                <w:sz w:val="21"/>
                <w:szCs w:val="21"/>
              </w:rPr>
            </w:pPr>
            <w:r>
              <w:rPr>
                <w:rFonts w:hint="eastAsia"/>
                <w:sz w:val="21"/>
                <w:szCs w:val="21"/>
              </w:rPr>
              <w:t>开标地点：广州公共资源交易中心第</w:t>
            </w:r>
            <w:r>
              <w:rPr>
                <w:rFonts w:hint="eastAsia"/>
                <w:sz w:val="21"/>
                <w:szCs w:val="21"/>
                <w:u w:val="single"/>
              </w:rPr>
              <w:t xml:space="preserve">    </w:t>
            </w:r>
            <w:r>
              <w:rPr>
                <w:rFonts w:hint="eastAsia"/>
                <w:sz w:val="21"/>
                <w:szCs w:val="21"/>
              </w:rPr>
              <w:t>开标室（广州市天河区天润路333号）</w:t>
            </w:r>
          </w:p>
          <w:p>
            <w:pPr>
              <w:snapToGrid w:val="0"/>
              <w:spacing w:line="360" w:lineRule="auto"/>
              <w:rPr>
                <w:sz w:val="21"/>
                <w:szCs w:val="21"/>
              </w:rPr>
            </w:pPr>
            <w:r>
              <w:rPr>
                <w:rFonts w:hint="eastAsia"/>
                <w:sz w:val="21"/>
                <w:szCs w:val="21"/>
              </w:rPr>
              <w:t>开标时，投标人代表有权出席开标会，也可以自主决定不参加开标会。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5.2（B）</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开标程序</w:t>
            </w:r>
          </w:p>
        </w:tc>
        <w:tc>
          <w:tcPr>
            <w:tcW w:w="5440" w:type="dxa"/>
            <w:vAlign w:val="center"/>
          </w:tcPr>
          <w:p>
            <w:pPr>
              <w:spacing w:line="360" w:lineRule="auto"/>
              <w:rPr>
                <w:sz w:val="21"/>
                <w:szCs w:val="21"/>
              </w:rPr>
            </w:pPr>
            <w:r>
              <w:rPr>
                <w:rFonts w:hint="eastAsia"/>
                <w:sz w:val="21"/>
                <w:szCs w:val="21"/>
              </w:rPr>
              <w:t>电子招投标项目开标按下列程序进行：</w:t>
            </w:r>
          </w:p>
          <w:p>
            <w:pPr>
              <w:spacing w:line="360" w:lineRule="auto"/>
              <w:rPr>
                <w:sz w:val="21"/>
                <w:szCs w:val="21"/>
              </w:rPr>
            </w:pPr>
            <w:r>
              <w:rPr>
                <w:rFonts w:hint="eastAsia"/>
                <w:sz w:val="21"/>
                <w:szCs w:val="21"/>
              </w:rPr>
              <w:t>5.2.1主持人按下列程序进行开标：</w:t>
            </w:r>
          </w:p>
          <w:p>
            <w:pPr>
              <w:spacing w:line="360" w:lineRule="auto"/>
              <w:rPr>
                <w:sz w:val="21"/>
                <w:szCs w:val="21"/>
              </w:rPr>
            </w:pPr>
            <w:r>
              <w:rPr>
                <w:rFonts w:hint="eastAsia"/>
                <w:sz w:val="21"/>
                <w:szCs w:val="21"/>
              </w:rPr>
              <w:t>（1）宣布开标纪律；</w:t>
            </w:r>
          </w:p>
          <w:p>
            <w:pPr>
              <w:spacing w:line="360" w:lineRule="auto"/>
              <w:rPr>
                <w:sz w:val="21"/>
                <w:szCs w:val="21"/>
              </w:rPr>
            </w:pPr>
            <w:r>
              <w:rPr>
                <w:rFonts w:hint="eastAsia"/>
                <w:sz w:val="21"/>
                <w:szCs w:val="21"/>
              </w:rPr>
              <w:t>（2）公布在投标截止时间前递交投标文件的投标人名称；</w:t>
            </w:r>
          </w:p>
          <w:p>
            <w:pPr>
              <w:spacing w:line="360" w:lineRule="auto"/>
              <w:rPr>
                <w:sz w:val="21"/>
                <w:szCs w:val="21"/>
              </w:rPr>
            </w:pPr>
            <w:r>
              <w:rPr>
                <w:rFonts w:hint="eastAsia"/>
                <w:sz w:val="21"/>
                <w:szCs w:val="21"/>
              </w:rPr>
              <w:t>（3）宣布开标人、唱标人、记录人、监标人等有关人员姓名；</w:t>
            </w:r>
          </w:p>
          <w:p>
            <w:pPr>
              <w:spacing w:line="360" w:lineRule="auto"/>
              <w:rPr>
                <w:sz w:val="21"/>
                <w:szCs w:val="21"/>
              </w:rPr>
            </w:pPr>
            <w:r>
              <w:rPr>
                <w:rFonts w:hint="eastAsia"/>
                <w:sz w:val="21"/>
                <w:szCs w:val="21"/>
              </w:rPr>
              <w:t>（4）投标人通过电子招标投标交易平台对已递交的电子投标文件进行解密，公布招标项目名称、投标人名称、投标保证金的递交情况、投标报价、监理服务期及其他内容，并记录在案；</w:t>
            </w:r>
          </w:p>
          <w:p>
            <w:pPr>
              <w:spacing w:line="360" w:lineRule="auto"/>
              <w:rPr>
                <w:sz w:val="21"/>
                <w:szCs w:val="21"/>
              </w:rPr>
            </w:pPr>
            <w:r>
              <w:rPr>
                <w:rFonts w:hint="eastAsia"/>
                <w:sz w:val="21"/>
                <w:szCs w:val="21"/>
              </w:rPr>
              <w:t>（5）投标人代表、招标人代表、监标人、记录人等有关人员在开标记录上签字确认；若有关人员不签字的，不影响开标程序；</w:t>
            </w:r>
          </w:p>
          <w:p>
            <w:pPr>
              <w:spacing w:line="360" w:lineRule="auto"/>
              <w:rPr>
                <w:sz w:val="21"/>
                <w:szCs w:val="21"/>
              </w:rPr>
            </w:pPr>
            <w:r>
              <w:rPr>
                <w:rFonts w:hint="eastAsia"/>
                <w:sz w:val="21"/>
                <w:szCs w:val="21"/>
              </w:rPr>
              <w:t>（6）开标结束。</w:t>
            </w:r>
          </w:p>
          <w:p>
            <w:pPr>
              <w:spacing w:line="360" w:lineRule="auto"/>
              <w:rPr>
                <w:sz w:val="21"/>
                <w:szCs w:val="21"/>
              </w:rPr>
            </w:pPr>
            <w:r>
              <w:rPr>
                <w:rFonts w:hint="eastAsia"/>
                <w:sz w:val="21"/>
                <w:szCs w:val="21"/>
              </w:rPr>
              <w:t>5.2.2投标截止时间前未完成投标文件传输的或因投标人之外的原因造成投标文件未解密的，视为投标人撤回其投标文件。因投标人原因造成投标文件未解密的或未在投标截止时间后半小时内解密的，视为撤销其投标文件。</w:t>
            </w:r>
          </w:p>
          <w:p>
            <w:pPr>
              <w:snapToGrid w:val="0"/>
              <w:spacing w:line="360" w:lineRule="auto"/>
              <w:rPr>
                <w:sz w:val="21"/>
                <w:szCs w:val="21"/>
              </w:rPr>
            </w:pPr>
            <w:r>
              <w:rPr>
                <w:rFonts w:hint="eastAsia"/>
                <w:sz w:val="21"/>
                <w:szCs w:val="21"/>
              </w:rPr>
              <w:t>5.2.3开标时，两个（含两个）以上的投标人加密打包投标文件电脑机器特征码一致的，不参与下一程序，并由评标委员会否决其投标。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5.3</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开标异议</w:t>
            </w:r>
          </w:p>
        </w:tc>
        <w:tc>
          <w:tcPr>
            <w:tcW w:w="5440" w:type="dxa"/>
            <w:vAlign w:val="center"/>
          </w:tcPr>
          <w:p>
            <w:pPr>
              <w:spacing w:line="360" w:lineRule="auto"/>
              <w:rPr>
                <w:sz w:val="21"/>
                <w:szCs w:val="21"/>
              </w:rPr>
            </w:pPr>
            <w:r>
              <w:rPr>
                <w:rFonts w:hint="eastAsia"/>
                <w:sz w:val="21"/>
                <w:szCs w:val="21"/>
              </w:rPr>
              <w:t>开标时，投标人代表有权出席开标会，也可以自主决定不参加开标会，若投标人代表对开标过程提出异议，应当在开标现场提出，该投标人代表须同时出示本人身份证原件，招标人当场作出答复，并制作记录。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6.1.1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评标委员会的组建</w:t>
            </w:r>
          </w:p>
        </w:tc>
        <w:tc>
          <w:tcPr>
            <w:tcW w:w="5440" w:type="dxa"/>
            <w:vAlign w:val="center"/>
          </w:tcPr>
          <w:p>
            <w:pPr>
              <w:snapToGrid w:val="0"/>
              <w:spacing w:line="360" w:lineRule="auto"/>
              <w:rPr>
                <w:sz w:val="21"/>
                <w:szCs w:val="21"/>
              </w:rPr>
            </w:pPr>
            <w:r>
              <w:rPr>
                <w:rFonts w:hint="eastAsia"/>
                <w:sz w:val="21"/>
                <w:szCs w:val="21"/>
                <w:u w:val="single"/>
              </w:rPr>
              <w:t>评标委员会由招标人依法组建</w:t>
            </w:r>
            <w:r>
              <w:rPr>
                <w:rFonts w:hint="eastAsia"/>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6.3.2</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评标委员会推荐中标候选人的人数</w:t>
            </w:r>
          </w:p>
        </w:tc>
        <w:tc>
          <w:tcPr>
            <w:tcW w:w="5440" w:type="dxa"/>
            <w:vAlign w:val="center"/>
          </w:tcPr>
          <w:p>
            <w:pPr>
              <w:tabs>
                <w:tab w:val="left" w:pos="7513"/>
              </w:tabs>
              <w:spacing w:line="360" w:lineRule="auto"/>
              <w:rPr>
                <w:sz w:val="21"/>
                <w:szCs w:val="21"/>
              </w:rPr>
            </w:pPr>
            <w:r>
              <w:rPr>
                <w:rFonts w:hint="eastAsia"/>
                <w:sz w:val="21"/>
                <w:szCs w:val="21"/>
                <w:u w:val="single"/>
              </w:rPr>
              <w:t>推荐中标候选人数： 3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7.1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中标候选人公示媒介及期限</w:t>
            </w:r>
          </w:p>
        </w:tc>
        <w:tc>
          <w:tcPr>
            <w:tcW w:w="5440" w:type="dxa"/>
            <w:vAlign w:val="center"/>
          </w:tcPr>
          <w:p>
            <w:pPr>
              <w:spacing w:line="360" w:lineRule="auto"/>
              <w:rPr>
                <w:sz w:val="21"/>
                <w:szCs w:val="21"/>
              </w:rPr>
            </w:pPr>
            <w:r>
              <w:rPr>
                <w:rFonts w:hint="eastAsia"/>
                <w:sz w:val="21"/>
                <w:szCs w:val="21"/>
                <w:u w:val="single"/>
              </w:rPr>
              <w:t>公示媒介：</w:t>
            </w:r>
            <w:r>
              <w:rPr>
                <w:rFonts w:hint="eastAsia"/>
                <w:sz w:val="21"/>
                <w:szCs w:val="21"/>
              </w:rPr>
              <w:t>中国招标投标公共服务平台、广东省招标投标监管网、广州公共资源交易中心网、中国烟草总公司网站、烟草行业招投标信息平台网。</w:t>
            </w:r>
          </w:p>
          <w:p>
            <w:pPr>
              <w:snapToGrid w:val="0"/>
              <w:spacing w:line="360" w:lineRule="auto"/>
              <w:ind w:right="106"/>
              <w:rPr>
                <w:sz w:val="21"/>
                <w:szCs w:val="21"/>
              </w:rPr>
            </w:pPr>
            <w:r>
              <w:rPr>
                <w:rFonts w:hint="eastAsia"/>
                <w:sz w:val="21"/>
                <w:szCs w:val="21"/>
              </w:rPr>
              <w:t>公示期限：</w:t>
            </w:r>
            <w:r>
              <w:rPr>
                <w:rFonts w:hint="eastAsia"/>
                <w:sz w:val="21"/>
                <w:szCs w:val="21"/>
                <w:u w:val="single"/>
              </w:rPr>
              <w:t xml:space="preserve">  3  </w:t>
            </w:r>
            <w:r>
              <w:rPr>
                <w:rFonts w:hint="eastAsia"/>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7.6.1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履约保证金</w:t>
            </w:r>
          </w:p>
        </w:tc>
        <w:tc>
          <w:tcPr>
            <w:tcW w:w="5440" w:type="dxa"/>
            <w:vAlign w:val="center"/>
          </w:tcPr>
          <w:p>
            <w:pPr>
              <w:pStyle w:val="32"/>
              <w:topLinePunct/>
              <w:spacing w:line="400" w:lineRule="exact"/>
              <w:rPr>
                <w:rFonts w:ascii="Times New Roman" w:hAnsi="Times New Roman"/>
                <w:kern w:val="2"/>
                <w:sz w:val="21"/>
                <w:szCs w:val="21"/>
              </w:rPr>
            </w:pPr>
            <w:r>
              <w:rPr>
                <w:rFonts w:hint="eastAsia" w:ascii="Times New Roman" w:hAnsi="Times New Roman"/>
                <w:kern w:val="2"/>
                <w:sz w:val="21"/>
                <w:szCs w:val="21"/>
              </w:rPr>
              <w:t>是否要求中标人提交履约保证金：</w:t>
            </w:r>
          </w:p>
          <w:p>
            <w:pPr>
              <w:pStyle w:val="32"/>
              <w:topLinePunct/>
              <w:spacing w:line="400" w:lineRule="exact"/>
              <w:rPr>
                <w:rFonts w:ascii="Times New Roman" w:hAnsi="Times New Roman"/>
                <w:kern w:val="2"/>
                <w:sz w:val="21"/>
                <w:szCs w:val="21"/>
                <w:u w:val="single"/>
              </w:rPr>
            </w:pPr>
            <w:r>
              <w:rPr>
                <w:rFonts w:hint="eastAsia" w:ascii="Times New Roman" w:hAnsi="Times New Roman"/>
                <w:kern w:val="2"/>
                <w:sz w:val="21"/>
                <w:szCs w:val="21"/>
              </w:rPr>
              <w:t>■要求，履约保证金的形式：</w:t>
            </w:r>
            <w:r>
              <w:rPr>
                <w:rFonts w:hint="eastAsia" w:ascii="Times New Roman" w:hAnsi="Times New Roman"/>
                <w:kern w:val="2"/>
                <w:sz w:val="21"/>
                <w:szCs w:val="21"/>
                <w:u w:val="single"/>
              </w:rPr>
              <w:t>银行保函（见索即付）</w:t>
            </w:r>
          </w:p>
          <w:p>
            <w:pPr>
              <w:spacing w:line="440" w:lineRule="exact"/>
              <w:ind w:left="246" w:leftChars="112"/>
              <w:rPr>
                <w:rFonts w:ascii="Times New Roman" w:hAnsi="Times New Roman"/>
                <w:sz w:val="21"/>
                <w:szCs w:val="21"/>
              </w:rPr>
            </w:pPr>
            <w:r>
              <w:rPr>
                <w:rFonts w:hint="eastAsia" w:ascii="Times New Roman" w:hAnsi="Times New Roman"/>
                <w:sz w:val="21"/>
                <w:szCs w:val="21"/>
              </w:rPr>
              <w:t>履约保证金的金额：</w:t>
            </w:r>
            <w:r>
              <w:rPr>
                <w:rFonts w:hint="eastAsia"/>
                <w:sz w:val="21"/>
                <w:szCs w:val="21"/>
                <w:u w:val="single"/>
              </w:rPr>
              <w:t>中标合同金额的10</w:t>
            </w:r>
            <w:r>
              <w:rPr>
                <w:sz w:val="21"/>
                <w:szCs w:val="21"/>
                <w:u w:val="single"/>
              </w:rPr>
              <w:t>%</w:t>
            </w:r>
            <w:r>
              <w:rPr>
                <w:rFonts w:hint="eastAsia"/>
                <w:sz w:val="21"/>
                <w:szCs w:val="21"/>
              </w:rPr>
              <w:t>。</w:t>
            </w:r>
          </w:p>
          <w:p>
            <w:pPr>
              <w:pStyle w:val="10"/>
              <w:topLinePunct/>
              <w:snapToGrid w:val="0"/>
              <w:spacing w:line="360" w:lineRule="auto"/>
              <w:rPr>
                <w:sz w:val="21"/>
                <w:szCs w:val="21"/>
              </w:rPr>
            </w:pPr>
            <w:r>
              <w:rPr>
                <w:rFonts w:hint="eastAsia" w:ascii="Times New Roman" w:hAnsi="Times New Roman"/>
                <w:kern w:val="2"/>
                <w:sz w:val="21"/>
                <w:szCs w:val="21"/>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9</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是否采用电子招标投标</w:t>
            </w:r>
          </w:p>
        </w:tc>
        <w:tc>
          <w:tcPr>
            <w:tcW w:w="5440" w:type="dxa"/>
            <w:vAlign w:val="center"/>
          </w:tcPr>
          <w:p>
            <w:pPr>
              <w:spacing w:line="360" w:lineRule="auto"/>
              <w:rPr>
                <w:sz w:val="21"/>
                <w:szCs w:val="21"/>
              </w:rPr>
            </w:pPr>
            <w:r>
              <w:rPr>
                <w:rFonts w:hint="eastAsia"/>
                <w:sz w:val="21"/>
                <w:szCs w:val="21"/>
              </w:rPr>
              <w:t>□否</w:t>
            </w:r>
          </w:p>
          <w:p>
            <w:pPr>
              <w:spacing w:line="360" w:lineRule="auto"/>
              <w:ind w:left="2100" w:leftChars="3" w:hanging="2093" w:hangingChars="997"/>
              <w:rPr>
                <w:sz w:val="21"/>
                <w:szCs w:val="21"/>
              </w:rPr>
            </w:pPr>
            <w:r>
              <w:rPr>
                <w:rFonts w:hint="eastAsia"/>
                <w:sz w:val="21"/>
                <w:szCs w:val="21"/>
              </w:rPr>
              <w:t>■是，具体要求：</w:t>
            </w:r>
          </w:p>
          <w:p>
            <w:pPr>
              <w:spacing w:line="360" w:lineRule="auto"/>
              <w:rPr>
                <w:sz w:val="21"/>
                <w:szCs w:val="21"/>
              </w:rPr>
            </w:pPr>
            <w:r>
              <w:rPr>
                <w:rFonts w:hint="eastAsia"/>
                <w:sz w:val="21"/>
                <w:szCs w:val="21"/>
              </w:rPr>
              <w:t>1、具体操作详见</w:t>
            </w:r>
            <w:r>
              <w:rPr>
                <w:rFonts w:hint="eastAsia"/>
                <w:kern w:val="2"/>
                <w:sz w:val="21"/>
                <w:szCs w:val="21"/>
                <w:lang w:val="en-US" w:bidi="ar-SA"/>
              </w:rPr>
              <w:t>广州公共资源交易中心网站发布的最新版</w:t>
            </w:r>
            <w:r>
              <w:rPr>
                <w:rFonts w:hint="eastAsia"/>
                <w:sz w:val="21"/>
                <w:szCs w:val="21"/>
              </w:rPr>
              <w:t>《房屋建筑和市政基础设施工程全流程电子化项目专章》。</w:t>
            </w:r>
          </w:p>
          <w:p>
            <w:pPr>
              <w:spacing w:line="360" w:lineRule="auto"/>
              <w:rPr>
                <w:sz w:val="21"/>
                <w:szCs w:val="21"/>
              </w:rPr>
            </w:pPr>
            <w:r>
              <w:rPr>
                <w:rFonts w:hint="eastAsia"/>
                <w:sz w:val="21"/>
                <w:szCs w:val="21"/>
              </w:rPr>
              <w:t>2、提交投标文件光盘备用</w:t>
            </w:r>
          </w:p>
          <w:p>
            <w:pPr>
              <w:spacing w:line="360" w:lineRule="auto"/>
              <w:rPr>
                <w:sz w:val="21"/>
                <w:szCs w:val="21"/>
              </w:rPr>
            </w:pPr>
            <w:r>
              <w:rPr>
                <w:rFonts w:hint="eastAsia"/>
                <w:sz w:val="21"/>
                <w:szCs w:val="21"/>
              </w:rPr>
              <w:t>（1）投标人可制作非加密的电子投标文件（PDF格式）刻入光盘（1份），在规定的时间、地点提交备用。(刻录好的投标文件光盘密封在密封袋中，并在封口处加盖投标人单位公章。密封袋上应写明项目名称和招标人名称。)</w:t>
            </w:r>
          </w:p>
          <w:p>
            <w:pPr>
              <w:spacing w:line="360" w:lineRule="auto"/>
              <w:rPr>
                <w:sz w:val="21"/>
                <w:szCs w:val="21"/>
              </w:rPr>
            </w:pPr>
            <w:r>
              <w:rPr>
                <w:rFonts w:hint="eastAsia"/>
                <w:sz w:val="21"/>
                <w:szCs w:val="21"/>
              </w:rPr>
              <w:t>（2）递交的投标文件光盘(备用)不得加密。光盘（备用投标文件）无法读取或导入的，则视为未提交投标文件光盘(备用)。如果投标人没有按规定通过交易平台网上递交电子投标文件的，不再读取提交的光盘。投标人也可不提交投标文件光盘(备用)。</w:t>
            </w:r>
          </w:p>
          <w:p>
            <w:pPr>
              <w:spacing w:line="360" w:lineRule="auto"/>
              <w:rPr>
                <w:sz w:val="21"/>
                <w:szCs w:val="21"/>
              </w:rPr>
            </w:pPr>
            <w:r>
              <w:rPr>
                <w:rFonts w:hint="eastAsia"/>
                <w:sz w:val="21"/>
                <w:szCs w:val="21"/>
              </w:rPr>
              <w:t>3、补救方案</w:t>
            </w:r>
          </w:p>
          <w:p>
            <w:pPr>
              <w:spacing w:line="360" w:lineRule="auto"/>
              <w:rPr>
                <w:sz w:val="21"/>
                <w:szCs w:val="21"/>
              </w:rPr>
            </w:pPr>
            <w:r>
              <w:rPr>
                <w:rFonts w:hint="eastAsia"/>
                <w:sz w:val="21"/>
                <w:szCs w:val="21"/>
              </w:rPr>
              <w:t>（1）投标文件解密失败的补救方案：</w:t>
            </w:r>
          </w:p>
          <w:p>
            <w:pPr>
              <w:spacing w:line="360" w:lineRule="auto"/>
              <w:rPr>
                <w:sz w:val="21"/>
                <w:szCs w:val="21"/>
              </w:rPr>
            </w:pPr>
            <w:r>
              <w:rPr>
                <w:rFonts w:hint="eastAsia"/>
                <w:sz w:val="21"/>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360" w:lineRule="auto"/>
              <w:rPr>
                <w:sz w:val="21"/>
                <w:szCs w:val="21"/>
              </w:rPr>
            </w:pPr>
            <w:r>
              <w:rPr>
                <w:rFonts w:hint="eastAsia"/>
                <w:sz w:val="21"/>
                <w:szCs w:val="21"/>
              </w:rPr>
              <w:t>（2）评标时突发情况的补救方案</w:t>
            </w:r>
          </w:p>
          <w:p>
            <w:pPr>
              <w:spacing w:line="360" w:lineRule="auto"/>
              <w:rPr>
                <w:sz w:val="21"/>
                <w:szCs w:val="21"/>
              </w:rPr>
            </w:pPr>
            <w:r>
              <w:rPr>
                <w:rFonts w:hint="eastAsia"/>
                <w:sz w:val="21"/>
                <w:szCs w:val="21"/>
              </w:rPr>
              <w:t>若遇不可抗力发生（如：网络瘫痪、服务器损坏、交易系统故障短期无法恢复等因素），由评标委员会开启现场递交的全部投标文件光盘，并按光盘内容进行评审。</w:t>
            </w:r>
          </w:p>
          <w:p>
            <w:pPr>
              <w:spacing w:line="360" w:lineRule="auto"/>
              <w:rPr>
                <w:sz w:val="21"/>
                <w:szCs w:val="21"/>
              </w:rPr>
            </w:pPr>
            <w:r>
              <w:rPr>
                <w:rFonts w:hint="eastAsia"/>
                <w:sz w:val="21"/>
                <w:szCs w:val="21"/>
              </w:rPr>
              <w:t>（3）除发生上述情况外，开标评标均以投标人通过交易平台网上递交的电子投标文件为准。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10</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需要补充的其他内容</w:t>
            </w:r>
          </w:p>
        </w:tc>
        <w:tc>
          <w:tcPr>
            <w:tcW w:w="5440" w:type="dxa"/>
            <w:vAlign w:val="center"/>
          </w:tcPr>
          <w:p>
            <w:pPr>
              <w:spacing w:line="360" w:lineRule="exact"/>
            </w:pPr>
            <w:r>
              <w:rPr>
                <w:rFonts w:hint="eastAsia"/>
              </w:rPr>
              <w:t>中标人须向招标代理机构按如下标准和规定缴纳招标代理服务费：</w:t>
            </w:r>
          </w:p>
          <w:p>
            <w:pPr>
              <w:spacing w:line="360" w:lineRule="exact"/>
            </w:pPr>
            <w:r>
              <w:rPr>
                <w:rFonts w:hint="eastAsia"/>
              </w:rPr>
              <w:t>（1）以项目中标金额作为招标代理服务费的计算基数；</w:t>
            </w:r>
          </w:p>
          <w:p>
            <w:pPr>
              <w:spacing w:line="360" w:lineRule="exact"/>
            </w:pPr>
            <w:r>
              <w:rPr>
                <w:rFonts w:hint="eastAsia"/>
              </w:rPr>
              <w:t>（2）招标代理服务费（服务类）采用差额定率累进法进行计算，按照以下标准计取：</w:t>
            </w:r>
          </w:p>
          <w:p>
            <w:pPr>
              <w:spacing w:line="360" w:lineRule="exact"/>
            </w:pPr>
            <w:r>
              <w:rPr>
                <w:rFonts w:hint="eastAsia"/>
              </w:rPr>
              <w:t>100万元以下的部分，按照1.5%*0.66计取；</w:t>
            </w:r>
          </w:p>
          <w:p>
            <w:pPr>
              <w:spacing w:line="360" w:lineRule="exact"/>
            </w:pPr>
            <w:r>
              <w:rPr>
                <w:rFonts w:hint="eastAsia"/>
              </w:rPr>
              <w:t>100-500万元的部分，按照</w:t>
            </w:r>
            <w:r>
              <w:rPr>
                <w:rFonts w:hint="eastAsia"/>
                <w:lang w:val="en-US"/>
              </w:rPr>
              <w:t>0.8</w:t>
            </w:r>
            <w:r>
              <w:rPr>
                <w:rFonts w:hint="eastAsia"/>
              </w:rPr>
              <w:t>%*0.66计取；</w:t>
            </w:r>
          </w:p>
          <w:p>
            <w:pPr>
              <w:spacing w:line="360" w:lineRule="exact"/>
            </w:pPr>
            <w:r>
              <w:rPr>
                <w:rFonts w:hint="eastAsia"/>
              </w:rPr>
              <w:t>500-1000万元的部分，按照0.</w:t>
            </w:r>
            <w:r>
              <w:rPr>
                <w:rFonts w:hint="eastAsia"/>
                <w:lang w:val="en-US"/>
              </w:rPr>
              <w:t>45</w:t>
            </w:r>
            <w:r>
              <w:rPr>
                <w:rFonts w:hint="eastAsia"/>
              </w:rPr>
              <w:t>%*0.66计取；</w:t>
            </w:r>
          </w:p>
          <w:p>
            <w:pPr>
              <w:adjustRightInd w:val="0"/>
              <w:spacing w:line="360" w:lineRule="exact"/>
            </w:pPr>
            <w:r>
              <w:rPr>
                <w:rFonts w:hint="eastAsia"/>
              </w:rPr>
              <w:t>1000-5000万元的部分，按照0.</w:t>
            </w:r>
            <w:r>
              <w:rPr>
                <w:rFonts w:hint="eastAsia"/>
                <w:lang w:val="en-US"/>
              </w:rPr>
              <w:t>2</w:t>
            </w:r>
            <w:r>
              <w:rPr>
                <w:rFonts w:hint="eastAsia"/>
              </w:rPr>
              <w:t>5%*0.66计取。</w:t>
            </w:r>
          </w:p>
          <w:p>
            <w:pPr>
              <w:adjustRightInd w:val="0"/>
              <w:spacing w:line="360" w:lineRule="exact"/>
              <w:rPr>
                <w:sz w:val="21"/>
                <w:szCs w:val="21"/>
                <w:lang w:val="en-US"/>
              </w:rPr>
            </w:pPr>
            <w:r>
              <w:rPr>
                <w:rFonts w:hint="eastAsia"/>
              </w:rPr>
              <w:t>招标代理服务费递交账户</w:t>
            </w:r>
            <w:r>
              <w:rPr>
                <w:rFonts w:hint="eastAsia"/>
                <w:sz w:val="21"/>
                <w:szCs w:val="21"/>
                <w:lang w:val="en-US"/>
              </w:rPr>
              <w:t>信息</w:t>
            </w:r>
            <w:r>
              <w:rPr>
                <w:rFonts w:hint="eastAsia"/>
              </w:rPr>
              <w:t>（请在汇款单上写明本项目的项目编号）</w:t>
            </w:r>
            <w:r>
              <w:rPr>
                <w:rFonts w:hint="eastAsia"/>
                <w:sz w:val="21"/>
                <w:szCs w:val="21"/>
                <w:lang w:val="en-US"/>
              </w:rPr>
              <w:t>：</w:t>
            </w:r>
          </w:p>
          <w:p>
            <w:pPr>
              <w:adjustRightInd w:val="0"/>
              <w:spacing w:line="360" w:lineRule="exact"/>
              <w:rPr>
                <w:sz w:val="21"/>
                <w:szCs w:val="21"/>
              </w:rPr>
            </w:pPr>
            <w:r>
              <w:rPr>
                <w:rFonts w:hint="eastAsia"/>
                <w:sz w:val="21"/>
                <w:szCs w:val="21"/>
                <w:lang w:val="en-US"/>
              </w:rPr>
              <w:t>开户名称</w:t>
            </w:r>
            <w:r>
              <w:rPr>
                <w:rFonts w:hint="eastAsia"/>
                <w:sz w:val="21"/>
                <w:szCs w:val="21"/>
              </w:rPr>
              <w:t>：中达安股份有限公司</w:t>
            </w:r>
          </w:p>
          <w:p>
            <w:pPr>
              <w:adjustRightInd w:val="0"/>
              <w:spacing w:line="360" w:lineRule="exact"/>
              <w:rPr>
                <w:sz w:val="21"/>
                <w:szCs w:val="21"/>
              </w:rPr>
            </w:pPr>
            <w:r>
              <w:rPr>
                <w:rFonts w:hint="eastAsia"/>
                <w:sz w:val="21"/>
                <w:szCs w:val="21"/>
              </w:rPr>
              <w:t>开户银行：兴业银行股份有限公司广州东风支行</w:t>
            </w:r>
          </w:p>
          <w:p>
            <w:pPr>
              <w:snapToGrid w:val="0"/>
              <w:spacing w:line="360" w:lineRule="exact"/>
              <w:rPr>
                <w:sz w:val="21"/>
                <w:szCs w:val="21"/>
              </w:rPr>
            </w:pPr>
            <w:r>
              <w:rPr>
                <w:rFonts w:hint="eastAsia"/>
                <w:sz w:val="21"/>
                <w:szCs w:val="21"/>
              </w:rPr>
              <w:t>账号：391120100100090668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10.1</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特别提示</w:t>
            </w:r>
          </w:p>
        </w:tc>
        <w:tc>
          <w:tcPr>
            <w:tcW w:w="5440" w:type="dxa"/>
            <w:vAlign w:val="center"/>
          </w:tcPr>
          <w:p>
            <w:pPr>
              <w:widowControl/>
              <w:shd w:val="clear" w:color="auto" w:fill="FFFFFF"/>
              <w:spacing w:line="360" w:lineRule="auto"/>
              <w:rPr>
                <w:sz w:val="21"/>
                <w:szCs w:val="21"/>
              </w:rPr>
            </w:pPr>
            <w:r>
              <w:rPr>
                <w:rFonts w:hint="eastAsia"/>
                <w:sz w:val="21"/>
                <w:szCs w:val="21"/>
              </w:rPr>
              <w:t>投标人在本项目招标人的工程项目中存在下列行为的，将被拒绝一年内参与我单位后续工程投标。（注：拒绝投标时限由招标人视严重程度确定，最低三个月起，自招标人发出通知之日起计）：</w:t>
            </w:r>
          </w:p>
          <w:p>
            <w:pPr>
              <w:widowControl/>
              <w:shd w:val="clear" w:color="auto" w:fill="FFFFFF"/>
              <w:spacing w:line="360" w:lineRule="auto"/>
              <w:ind w:firstLine="420" w:firstLineChars="200"/>
              <w:rPr>
                <w:sz w:val="21"/>
                <w:szCs w:val="21"/>
              </w:rPr>
            </w:pPr>
            <w:r>
              <w:rPr>
                <w:rFonts w:hint="eastAsia"/>
                <w:sz w:val="21"/>
                <w:szCs w:val="21"/>
              </w:rPr>
              <w:t>1.将中标工程转包或者违法分包的；</w:t>
            </w:r>
          </w:p>
          <w:p>
            <w:pPr>
              <w:widowControl/>
              <w:shd w:val="clear" w:color="auto" w:fill="FFFFFF"/>
              <w:spacing w:line="360" w:lineRule="auto"/>
              <w:ind w:firstLine="420" w:firstLineChars="200"/>
              <w:rPr>
                <w:sz w:val="21"/>
                <w:szCs w:val="21"/>
              </w:rPr>
            </w:pPr>
            <w:r>
              <w:rPr>
                <w:rFonts w:hint="eastAsia"/>
                <w:sz w:val="21"/>
                <w:szCs w:val="21"/>
              </w:rPr>
              <w:t>2.在中标工程中不执行质量、安全生产相关规定的，造成质量或安全事故的；</w:t>
            </w:r>
          </w:p>
          <w:p>
            <w:pPr>
              <w:widowControl/>
              <w:shd w:val="clear" w:color="auto" w:fill="FFFFFF"/>
              <w:spacing w:line="360" w:lineRule="auto"/>
              <w:ind w:left="249" w:leftChars="113" w:firstLine="260" w:firstLineChars="124"/>
              <w:rPr>
                <w:sz w:val="21"/>
                <w:szCs w:val="21"/>
              </w:rPr>
            </w:pPr>
            <w:r>
              <w:rPr>
                <w:rFonts w:hint="eastAsia"/>
                <w:sz w:val="21"/>
                <w:szCs w:val="21"/>
              </w:rPr>
              <w:t>3.存在围标或串标情形的；</w:t>
            </w:r>
          </w:p>
          <w:p>
            <w:pPr>
              <w:widowControl/>
              <w:shd w:val="clear" w:color="auto" w:fill="FFFFFF"/>
              <w:spacing w:line="360" w:lineRule="auto"/>
              <w:ind w:left="249" w:leftChars="113" w:firstLine="260" w:firstLineChars="124"/>
              <w:rPr>
                <w:sz w:val="21"/>
                <w:szCs w:val="21"/>
              </w:rPr>
            </w:pPr>
            <w:r>
              <w:rPr>
                <w:rFonts w:hint="eastAsia"/>
                <w:sz w:val="21"/>
                <w:szCs w:val="21"/>
              </w:rPr>
              <w:t>4.存在弄虚作假骗取中标情形的。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10.2</w:t>
            </w:r>
          </w:p>
        </w:tc>
        <w:tc>
          <w:tcPr>
            <w:tcW w:w="3360" w:type="dxa"/>
            <w:vAlign w:val="center"/>
          </w:tcPr>
          <w:p>
            <w:pPr>
              <w:snapToGrid w:val="0"/>
              <w:spacing w:line="360" w:lineRule="auto"/>
              <w:jc w:val="center"/>
              <w:rPr>
                <w:bCs/>
                <w:kern w:val="2"/>
                <w:sz w:val="21"/>
                <w:szCs w:val="21"/>
                <w:lang w:val="en-US" w:bidi="ar-SA"/>
              </w:rPr>
            </w:pPr>
            <w:r>
              <w:rPr>
                <w:rFonts w:hint="eastAsia"/>
                <w:sz w:val="21"/>
                <w:szCs w:val="21"/>
              </w:rPr>
              <w:t>送达</w:t>
            </w:r>
          </w:p>
        </w:tc>
        <w:tc>
          <w:tcPr>
            <w:tcW w:w="5440" w:type="dxa"/>
            <w:vAlign w:val="center"/>
          </w:tcPr>
          <w:p>
            <w:pPr>
              <w:widowControl/>
              <w:shd w:val="clear" w:color="auto" w:fill="FFFFFF"/>
              <w:spacing w:line="360" w:lineRule="auto"/>
              <w:rPr>
                <w:sz w:val="21"/>
                <w:szCs w:val="21"/>
              </w:rPr>
            </w:pPr>
            <w:r>
              <w:rPr>
                <w:rFonts w:hint="eastAsia"/>
                <w:sz w:val="21"/>
                <w:szCs w:val="21"/>
              </w:rPr>
              <w:t>《投诉处理决定书》和《行政处理决定书》在广州市住房和城乡建设局网站上公布的，视为送达其他与决定书有关的当事人。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10.3</w:t>
            </w:r>
          </w:p>
        </w:tc>
        <w:tc>
          <w:tcPr>
            <w:tcW w:w="3360" w:type="dxa"/>
            <w:vAlign w:val="center"/>
          </w:tcPr>
          <w:p>
            <w:pPr>
              <w:widowControl/>
              <w:shd w:val="clear" w:color="auto" w:fill="FFFFFF"/>
              <w:adjustRightInd w:val="0"/>
              <w:spacing w:line="360" w:lineRule="auto"/>
              <w:jc w:val="center"/>
              <w:rPr>
                <w:bCs/>
                <w:kern w:val="2"/>
                <w:sz w:val="21"/>
                <w:szCs w:val="21"/>
                <w:lang w:val="en-US" w:bidi="ar-SA"/>
              </w:rPr>
            </w:pPr>
            <w:r>
              <w:rPr>
                <w:rFonts w:hint="eastAsia"/>
                <w:sz w:val="21"/>
                <w:szCs w:val="21"/>
              </w:rPr>
              <w:t>招标失败情形</w:t>
            </w:r>
          </w:p>
        </w:tc>
        <w:tc>
          <w:tcPr>
            <w:tcW w:w="5440" w:type="dxa"/>
            <w:vAlign w:val="center"/>
          </w:tcPr>
          <w:p>
            <w:pPr>
              <w:spacing w:line="360" w:lineRule="auto"/>
              <w:ind w:left="1"/>
              <w:rPr>
                <w:sz w:val="21"/>
                <w:szCs w:val="21"/>
              </w:rPr>
            </w:pPr>
            <w:r>
              <w:rPr>
                <w:rFonts w:hint="eastAsia"/>
                <w:sz w:val="21"/>
                <w:szCs w:val="21"/>
              </w:rPr>
              <w:t>本项目采用资格后审方式，各标段满足资格审查合格条件或通过初步评审的投标申请人不足3名时为招标失败。招标人分析招标失败原因，修正招标方案，报有关管理部门核准后，重新组织招标。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10.4</w:t>
            </w:r>
          </w:p>
        </w:tc>
        <w:tc>
          <w:tcPr>
            <w:tcW w:w="3360" w:type="dxa"/>
            <w:vAlign w:val="center"/>
          </w:tcPr>
          <w:p>
            <w:pPr>
              <w:widowControl/>
              <w:shd w:val="clear" w:color="auto" w:fill="FFFFFF"/>
              <w:adjustRightInd w:val="0"/>
              <w:spacing w:line="360" w:lineRule="auto"/>
              <w:jc w:val="center"/>
              <w:rPr>
                <w:bCs/>
                <w:kern w:val="2"/>
                <w:sz w:val="21"/>
                <w:szCs w:val="21"/>
                <w:lang w:val="en-US" w:bidi="ar-SA"/>
              </w:rPr>
            </w:pPr>
            <w:r>
              <w:rPr>
                <w:rFonts w:hint="eastAsia"/>
                <w:sz w:val="21"/>
                <w:szCs w:val="21"/>
              </w:rPr>
              <w:t>中标候选人公示要求</w:t>
            </w:r>
          </w:p>
        </w:tc>
        <w:tc>
          <w:tcPr>
            <w:tcW w:w="5440" w:type="dxa"/>
            <w:vAlign w:val="center"/>
          </w:tcPr>
          <w:p>
            <w:pPr>
              <w:widowControl/>
              <w:shd w:val="clear" w:color="auto" w:fill="FFFFFF"/>
              <w:spacing w:line="360" w:lineRule="auto"/>
              <w:rPr>
                <w:sz w:val="21"/>
                <w:szCs w:val="21"/>
              </w:rPr>
            </w:pPr>
            <w:r>
              <w:rPr>
                <w:rFonts w:hint="eastAsia"/>
                <w:sz w:val="21"/>
                <w:szCs w:val="21"/>
              </w:rPr>
              <w:t>在产生中标候选人后，招标人将中标候选人的投标文件商务部分的电子版（报价清单、方案等涉及商业秘密的内容除外）在广州公共资源交易中心网站公开。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rPr>
              <w:t>10.</w:t>
            </w:r>
            <w:r>
              <w:rPr>
                <w:rFonts w:hint="eastAsia"/>
                <w:sz w:val="21"/>
                <w:szCs w:val="21"/>
                <w:lang w:val="en-US"/>
              </w:rPr>
              <w:t>5</w:t>
            </w:r>
          </w:p>
        </w:tc>
        <w:tc>
          <w:tcPr>
            <w:tcW w:w="3360" w:type="dxa"/>
            <w:vAlign w:val="center"/>
          </w:tcPr>
          <w:p>
            <w:pPr>
              <w:widowControl/>
              <w:shd w:val="clear" w:color="auto" w:fill="FFFFFF"/>
              <w:adjustRightInd w:val="0"/>
              <w:spacing w:line="360" w:lineRule="auto"/>
              <w:jc w:val="center"/>
              <w:rPr>
                <w:bCs/>
                <w:kern w:val="2"/>
                <w:sz w:val="21"/>
                <w:szCs w:val="21"/>
                <w:lang w:val="en-US" w:bidi="ar-SA"/>
              </w:rPr>
            </w:pPr>
            <w:r>
              <w:rPr>
                <w:rFonts w:hint="eastAsia"/>
                <w:sz w:val="21"/>
                <w:szCs w:val="21"/>
              </w:rPr>
              <w:t>企业综合诚信评价计分</w:t>
            </w:r>
          </w:p>
        </w:tc>
        <w:tc>
          <w:tcPr>
            <w:tcW w:w="5440" w:type="dxa"/>
            <w:vAlign w:val="center"/>
          </w:tcPr>
          <w:p>
            <w:pPr>
              <w:snapToGrid w:val="0"/>
              <w:spacing w:line="360" w:lineRule="auto"/>
              <w:rPr>
                <w:sz w:val="21"/>
                <w:szCs w:val="21"/>
              </w:rPr>
            </w:pPr>
            <w:r>
              <w:rPr>
                <w:rFonts w:hint="eastAsia"/>
                <w:szCs w:val="21"/>
              </w:rPr>
              <w:t>投标人诚信得分=企业的诚信综合评价排名得分×</w:t>
            </w:r>
            <w:r>
              <w:rPr>
                <w:rFonts w:hint="eastAsia"/>
                <w:szCs w:val="21"/>
                <w:lang w:val="en-US"/>
              </w:rPr>
              <w:t>10</w:t>
            </w:r>
            <w:r>
              <w:rPr>
                <w:rFonts w:hint="eastAsia"/>
                <w:szCs w:val="21"/>
              </w:rPr>
              <w:t>%。企业的诚信综合评价排名得分以投标截止当日广州市工程招标代理行业协会网站监理企业专栏上公布的企业60日诚信分得分为准。企业诚信综合诚信评价排名得分以监理-房建排名得分为准。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1252" w:type="dxa"/>
            <w:vAlign w:val="center"/>
          </w:tcPr>
          <w:p>
            <w:pPr>
              <w:snapToGrid w:val="0"/>
              <w:spacing w:line="360" w:lineRule="auto"/>
              <w:jc w:val="center"/>
              <w:rPr>
                <w:sz w:val="21"/>
                <w:szCs w:val="21"/>
              </w:rPr>
            </w:pPr>
            <w:r>
              <w:rPr>
                <w:rFonts w:hint="eastAsia"/>
                <w:sz w:val="21"/>
                <w:szCs w:val="21"/>
              </w:rPr>
              <w:t>10.</w:t>
            </w:r>
            <w:r>
              <w:rPr>
                <w:rFonts w:hint="eastAsia"/>
                <w:sz w:val="21"/>
                <w:szCs w:val="21"/>
                <w:lang w:val="en-US"/>
              </w:rPr>
              <w:t>6</w:t>
            </w:r>
          </w:p>
        </w:tc>
        <w:tc>
          <w:tcPr>
            <w:tcW w:w="3360" w:type="dxa"/>
            <w:vAlign w:val="center"/>
          </w:tcPr>
          <w:p>
            <w:pPr>
              <w:widowControl/>
              <w:shd w:val="clear" w:color="auto" w:fill="FFFFFF"/>
              <w:adjustRightInd w:val="0"/>
              <w:spacing w:line="360" w:lineRule="auto"/>
              <w:jc w:val="center"/>
              <w:rPr>
                <w:sz w:val="21"/>
                <w:szCs w:val="21"/>
              </w:rPr>
            </w:pPr>
            <w:r>
              <w:rPr>
                <w:rFonts w:hint="eastAsia"/>
                <w:szCs w:val="21"/>
              </w:rPr>
              <w:t>监理机构人员配备要求</w:t>
            </w:r>
          </w:p>
        </w:tc>
        <w:tc>
          <w:tcPr>
            <w:tcW w:w="5440" w:type="dxa"/>
            <w:vAlign w:val="center"/>
          </w:tcPr>
          <w:p>
            <w:pPr>
              <w:snapToGrid w:val="0"/>
              <w:spacing w:line="360" w:lineRule="auto"/>
              <w:rPr>
                <w:szCs w:val="21"/>
              </w:rPr>
            </w:pPr>
            <w:r>
              <w:rPr>
                <w:rFonts w:hint="eastAsia"/>
                <w:szCs w:val="21"/>
              </w:rPr>
              <w:t>详见本须知后附表。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52" w:type="dxa"/>
            <w:vAlign w:val="center"/>
          </w:tcPr>
          <w:p>
            <w:pPr>
              <w:snapToGrid w:val="0"/>
              <w:spacing w:line="360" w:lineRule="auto"/>
              <w:jc w:val="center"/>
              <w:rPr>
                <w:bCs/>
                <w:kern w:val="2"/>
                <w:sz w:val="21"/>
                <w:szCs w:val="21"/>
                <w:lang w:val="en-US" w:bidi="ar-SA"/>
              </w:rPr>
            </w:pPr>
            <w:r>
              <w:rPr>
                <w:rFonts w:hint="eastAsia"/>
                <w:sz w:val="21"/>
                <w:szCs w:val="21"/>
                <w:lang w:val="en-US"/>
              </w:rPr>
              <w:t>10.7</w:t>
            </w:r>
          </w:p>
        </w:tc>
        <w:tc>
          <w:tcPr>
            <w:tcW w:w="3360" w:type="dxa"/>
            <w:vAlign w:val="center"/>
          </w:tcPr>
          <w:p>
            <w:pPr>
              <w:widowControl/>
              <w:shd w:val="clear" w:color="auto" w:fill="FFFFFF"/>
              <w:adjustRightInd w:val="0"/>
              <w:spacing w:line="360" w:lineRule="auto"/>
              <w:jc w:val="center"/>
              <w:rPr>
                <w:bCs/>
                <w:kern w:val="2"/>
                <w:sz w:val="21"/>
                <w:szCs w:val="21"/>
                <w:lang w:val="en-US" w:bidi="ar-SA"/>
              </w:rPr>
            </w:pPr>
            <w:r>
              <w:rPr>
                <w:rFonts w:hint="eastAsia"/>
                <w:sz w:val="21"/>
                <w:szCs w:val="21"/>
              </w:rPr>
              <w:t>其他</w:t>
            </w:r>
          </w:p>
        </w:tc>
        <w:tc>
          <w:tcPr>
            <w:tcW w:w="5440" w:type="dxa"/>
            <w:vAlign w:val="center"/>
          </w:tcPr>
          <w:p>
            <w:pPr>
              <w:snapToGrid w:val="0"/>
              <w:spacing w:line="360" w:lineRule="auto"/>
              <w:rPr>
                <w:sz w:val="21"/>
                <w:szCs w:val="21"/>
              </w:rPr>
            </w:pPr>
            <w:r>
              <w:rPr>
                <w:rFonts w:hint="eastAsia"/>
                <w:sz w:val="21"/>
                <w:szCs w:val="21"/>
              </w:rPr>
              <w:t>若发现第一中标候选人或中标人委派的总监理工程师任职数量不符合《穗建规字〔2020〕32号》等文件的规定，将取消第一中标候选人资格或中标资格。招标人可以确定排名第二的中标候选人为中标人。以此类推，如所有中标候选人均出现前款所列的情形，为招标失败，招标人依法重新招标。</w:t>
            </w:r>
          </w:p>
        </w:tc>
      </w:tr>
    </w:tbl>
    <w:p>
      <w:pPr>
        <w:spacing w:line="360" w:lineRule="auto"/>
        <w:rPr>
          <w:sz w:val="21"/>
        </w:rPr>
      </w:pPr>
    </w:p>
    <w:p>
      <w:pPr>
        <w:widowControl/>
        <w:autoSpaceDE/>
        <w:autoSpaceDN/>
        <w:rPr>
          <w:sz w:val="24"/>
        </w:rPr>
      </w:pPr>
      <w:r>
        <w:rPr>
          <w:sz w:val="24"/>
        </w:rPr>
        <w:br w:type="page"/>
      </w:r>
    </w:p>
    <w:p>
      <w:pPr>
        <w:tabs>
          <w:tab w:val="left" w:pos="105"/>
        </w:tabs>
        <w:spacing w:line="360" w:lineRule="auto"/>
        <w:ind w:left="-1" w:firstLine="480" w:firstLineChars="200"/>
        <w:rPr>
          <w:sz w:val="24"/>
        </w:rPr>
      </w:pPr>
    </w:p>
    <w:p>
      <w:pPr>
        <w:spacing w:line="360" w:lineRule="auto"/>
        <w:rPr>
          <w:rFonts w:cs="Times New Roman"/>
          <w:b/>
          <w:color w:val="000000"/>
          <w:kern w:val="2"/>
          <w:sz w:val="28"/>
          <w:szCs w:val="20"/>
          <w:lang w:val="en-US" w:bidi="ar-SA"/>
        </w:rPr>
      </w:pPr>
      <w:bookmarkStart w:id="8" w:name="_bookmark20"/>
      <w:bookmarkEnd w:id="8"/>
      <w:bookmarkStart w:id="9" w:name="_bookmark33"/>
      <w:bookmarkEnd w:id="9"/>
      <w:r>
        <w:rPr>
          <w:rFonts w:hint="eastAsia" w:cs="Times New Roman"/>
          <w:b/>
          <w:color w:val="000000"/>
          <w:kern w:val="2"/>
          <w:sz w:val="28"/>
          <w:szCs w:val="20"/>
          <w:lang w:val="en-US" w:bidi="ar-SA"/>
        </w:rPr>
        <w:t>1.总则</w:t>
      </w:r>
    </w:p>
    <w:p>
      <w:pPr>
        <w:spacing w:line="360" w:lineRule="auto"/>
      </w:pPr>
      <w:r>
        <w:rPr>
          <w:rFonts w:hint="eastAsia" w:cs="Times New Roman"/>
          <w:b/>
          <w:bCs/>
          <w:color w:val="000000"/>
          <w:kern w:val="2"/>
          <w:sz w:val="28"/>
          <w:szCs w:val="28"/>
          <w:lang w:val="en-US" w:bidi="ar-SA"/>
        </w:rPr>
        <w:t>1.1招标项目概况</w:t>
      </w:r>
    </w:p>
    <w:p>
      <w:pPr>
        <w:spacing w:line="360" w:lineRule="auto"/>
        <w:ind w:firstLine="440" w:firstLineChars="200"/>
      </w:pPr>
      <w:r>
        <w:rPr>
          <w:rFonts w:hint="eastAsia"/>
        </w:rPr>
        <w:t>1.1.1根据《中华人民共和国招标投标法》、《中华人民共和国招标投标法实施条例》等有关法律、法规和规章的规定，本招标项目已具备招标条件，现对监理进行招标。</w:t>
      </w:r>
    </w:p>
    <w:p>
      <w:pPr>
        <w:spacing w:line="360" w:lineRule="auto"/>
        <w:ind w:firstLine="440" w:firstLineChars="200"/>
      </w:pPr>
      <w:r>
        <w:rPr>
          <w:rFonts w:hint="eastAsia"/>
        </w:rPr>
        <w:t>1.1.2招标人：见投标人须知前附表。</w:t>
      </w:r>
    </w:p>
    <w:p>
      <w:pPr>
        <w:spacing w:line="360" w:lineRule="auto"/>
        <w:ind w:firstLine="440" w:firstLineChars="200"/>
      </w:pPr>
      <w:r>
        <w:rPr>
          <w:rFonts w:hint="eastAsia"/>
        </w:rPr>
        <w:t>1.1.3招标代理机构：见投标人须知前附表。</w:t>
      </w:r>
    </w:p>
    <w:p>
      <w:pPr>
        <w:spacing w:line="360" w:lineRule="auto"/>
        <w:ind w:firstLine="440" w:firstLineChars="200"/>
      </w:pPr>
      <w:r>
        <w:rPr>
          <w:rFonts w:hint="eastAsia"/>
        </w:rPr>
        <w:t>1.1.4招标项目名称：见投标人须知前附表。</w:t>
      </w:r>
    </w:p>
    <w:p>
      <w:pPr>
        <w:spacing w:line="360" w:lineRule="auto"/>
        <w:ind w:firstLine="440" w:firstLineChars="200"/>
      </w:pPr>
      <w:r>
        <w:rPr>
          <w:rFonts w:hint="eastAsia"/>
        </w:rPr>
        <w:t>1.1.5项目建设地点：见投标人须知前附表。</w:t>
      </w:r>
    </w:p>
    <w:p>
      <w:pPr>
        <w:spacing w:line="360" w:lineRule="auto"/>
        <w:ind w:firstLine="440" w:firstLineChars="200"/>
      </w:pPr>
      <w:r>
        <w:rPr>
          <w:rFonts w:hint="eastAsia"/>
        </w:rPr>
        <w:t>1.1.6项目建设规模：见投标人须知前附表。</w:t>
      </w:r>
    </w:p>
    <w:p>
      <w:pPr>
        <w:spacing w:line="360" w:lineRule="auto"/>
        <w:ind w:firstLine="440" w:firstLineChars="200"/>
      </w:pPr>
      <w:r>
        <w:rPr>
          <w:rFonts w:hint="eastAsia"/>
        </w:rPr>
        <w:t>1.1.7工程项目施工预计开工日期和建设周期：见投标人须知前附表。</w:t>
      </w:r>
    </w:p>
    <w:p>
      <w:pPr>
        <w:spacing w:line="360" w:lineRule="auto"/>
        <w:ind w:firstLine="440" w:firstLineChars="200"/>
      </w:pPr>
      <w:r>
        <w:rPr>
          <w:rFonts w:hint="eastAsia"/>
        </w:rPr>
        <w:t>1.1.8建筑安装工程费/工程概算：见投标人须知前附表。</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1.2招标项目的资金来源和落实情况</w:t>
      </w:r>
    </w:p>
    <w:p>
      <w:pPr>
        <w:spacing w:line="360" w:lineRule="auto"/>
        <w:ind w:firstLine="440" w:firstLineChars="200"/>
      </w:pPr>
      <w:r>
        <w:rPr>
          <w:rFonts w:hint="eastAsia"/>
        </w:rPr>
        <w:t>1.2.1资金来源及比例：见投标人须知前附表。</w:t>
      </w:r>
    </w:p>
    <w:p>
      <w:pPr>
        <w:spacing w:line="360" w:lineRule="auto"/>
        <w:ind w:firstLine="440" w:firstLineChars="200"/>
      </w:pPr>
      <w:r>
        <w:rPr>
          <w:rFonts w:hint="eastAsia"/>
        </w:rPr>
        <w:t>1.2.2资金落实情况：见投标人须知前附表。</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1.3招标范围、监理服务期限和质量标准</w:t>
      </w:r>
    </w:p>
    <w:p>
      <w:pPr>
        <w:spacing w:line="360" w:lineRule="auto"/>
        <w:ind w:firstLine="440" w:firstLineChars="200"/>
      </w:pPr>
      <w:r>
        <w:rPr>
          <w:rFonts w:hint="eastAsia"/>
        </w:rPr>
        <w:t>1.3.1招标范围：见投标人须知前附表。</w:t>
      </w:r>
    </w:p>
    <w:p>
      <w:pPr>
        <w:spacing w:line="360" w:lineRule="auto"/>
        <w:ind w:firstLine="440" w:firstLineChars="200"/>
      </w:pPr>
      <w:r>
        <w:rPr>
          <w:rFonts w:hint="eastAsia"/>
        </w:rPr>
        <w:t>1.3.2监理服务期限：见投标人须知前附表。</w:t>
      </w:r>
    </w:p>
    <w:p>
      <w:pPr>
        <w:spacing w:line="360" w:lineRule="auto"/>
        <w:ind w:firstLine="440" w:firstLineChars="200"/>
      </w:pPr>
      <w:r>
        <w:rPr>
          <w:rFonts w:hint="eastAsia"/>
        </w:rPr>
        <w:t>1.3.3质量标准：见投标人须知前附表。</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1.4投标人资格要求</w:t>
      </w:r>
    </w:p>
    <w:p>
      <w:pPr>
        <w:spacing w:line="360" w:lineRule="auto"/>
        <w:ind w:firstLine="440" w:firstLineChars="200"/>
      </w:pPr>
      <w:r>
        <w:rPr>
          <w:rFonts w:hint="eastAsia"/>
        </w:rPr>
        <w:t>1.4.1投标人应具备承担本招标项目资质条件、能力和信誉：</w:t>
      </w:r>
    </w:p>
    <w:p>
      <w:pPr>
        <w:spacing w:line="360" w:lineRule="auto"/>
        <w:ind w:firstLine="220" w:firstLineChars="100"/>
      </w:pPr>
      <w:r>
        <w:rPr>
          <w:rFonts w:hint="eastAsia"/>
        </w:rPr>
        <w:t>（1）资质要求：见投标人须知前附表；</w:t>
      </w:r>
    </w:p>
    <w:p>
      <w:pPr>
        <w:spacing w:line="360" w:lineRule="auto"/>
        <w:ind w:firstLine="220" w:firstLineChars="100"/>
      </w:pPr>
      <w:r>
        <w:rPr>
          <w:rFonts w:hint="eastAsia"/>
        </w:rPr>
        <w:t>（2）财务要求：见投标人须知前附表；</w:t>
      </w:r>
    </w:p>
    <w:p>
      <w:pPr>
        <w:spacing w:line="360" w:lineRule="auto"/>
        <w:ind w:firstLine="220" w:firstLineChars="100"/>
      </w:pPr>
      <w:r>
        <w:rPr>
          <w:rFonts w:hint="eastAsia"/>
        </w:rPr>
        <w:t>（3）业绩要求：见投标人须知前附表；</w:t>
      </w:r>
    </w:p>
    <w:p>
      <w:pPr>
        <w:spacing w:line="360" w:lineRule="auto"/>
        <w:ind w:firstLine="220" w:firstLineChars="100"/>
      </w:pPr>
      <w:r>
        <w:rPr>
          <w:rFonts w:hint="eastAsia"/>
        </w:rPr>
        <w:t>（4）信誉要求：见投标人须知前附表；</w:t>
      </w:r>
    </w:p>
    <w:p>
      <w:pPr>
        <w:spacing w:line="360" w:lineRule="auto"/>
        <w:ind w:firstLine="220" w:firstLineChars="100"/>
      </w:pPr>
      <w:r>
        <w:rPr>
          <w:rFonts w:hint="eastAsia"/>
        </w:rPr>
        <w:t>（5）总监理工程师的资格要求：应当具备工程注册监理工程师执业资格（如有），具体要求见投标人须知前附表；</w:t>
      </w:r>
    </w:p>
    <w:p>
      <w:pPr>
        <w:spacing w:line="360" w:lineRule="auto"/>
        <w:ind w:firstLine="220" w:firstLineChars="100"/>
      </w:pPr>
      <w:r>
        <w:rPr>
          <w:rFonts w:hint="eastAsia"/>
        </w:rPr>
        <w:t>（6）其他主要人员要求：见投标人须知前附表。</w:t>
      </w:r>
    </w:p>
    <w:p>
      <w:pPr>
        <w:spacing w:line="360" w:lineRule="auto"/>
        <w:ind w:firstLine="220" w:firstLineChars="100"/>
      </w:pPr>
      <w:r>
        <w:rPr>
          <w:rFonts w:hint="eastAsia"/>
        </w:rPr>
        <w:t>（7）试验检测仪器设备要求：见投标人须知前附表。</w:t>
      </w:r>
    </w:p>
    <w:p>
      <w:pPr>
        <w:spacing w:line="360" w:lineRule="auto"/>
        <w:ind w:firstLine="220" w:firstLineChars="100"/>
      </w:pPr>
      <w:r>
        <w:rPr>
          <w:rFonts w:hint="eastAsia"/>
        </w:rPr>
        <w:t>（8）其他要求：见投标人须知前附表。</w:t>
      </w:r>
    </w:p>
    <w:p>
      <w:pPr>
        <w:spacing w:line="360" w:lineRule="auto"/>
      </w:pPr>
      <w:r>
        <w:rPr>
          <w:rFonts w:hint="eastAsia"/>
        </w:rPr>
        <w:t>需要提交的相关证明材料见本章第 3.5 款的规定。</w:t>
      </w:r>
    </w:p>
    <w:p>
      <w:pPr>
        <w:spacing w:line="360" w:lineRule="auto"/>
        <w:ind w:firstLine="440" w:firstLineChars="200"/>
      </w:pPr>
      <w:r>
        <w:rPr>
          <w:rFonts w:hint="eastAsia"/>
        </w:rPr>
        <w:t>1.4.2投标人须知前附表规定接受联合体投标的，联合体除应符合本章第 1.4.1 项和投标人须知前附表的要求外，还应遵守以下规定：</w:t>
      </w:r>
    </w:p>
    <w:p>
      <w:pPr>
        <w:spacing w:line="360" w:lineRule="auto"/>
        <w:ind w:firstLine="440" w:firstLineChars="200"/>
      </w:pPr>
      <w:r>
        <w:rPr>
          <w:rFonts w:hint="eastAsia"/>
        </w:rPr>
        <w:t>（1）联合体各方应按招标文件提供的格式签订联合体协议书，明确联合体牵头人和各方权利义务，并承诺就中标项目向招标人承担连带责任；</w:t>
      </w:r>
    </w:p>
    <w:p>
      <w:pPr>
        <w:spacing w:line="360" w:lineRule="auto"/>
        <w:ind w:firstLine="440" w:firstLineChars="200"/>
      </w:pPr>
      <w:r>
        <w:rPr>
          <w:rFonts w:hint="eastAsia"/>
        </w:rPr>
        <w:t>（2）由同一专业的单位组成的联合体，按照资质等级较低的单位确定资质等级；</w:t>
      </w:r>
    </w:p>
    <w:p>
      <w:pPr>
        <w:spacing w:line="360" w:lineRule="auto"/>
        <w:ind w:firstLine="440" w:firstLineChars="200"/>
      </w:pPr>
      <w:r>
        <w:rPr>
          <w:rFonts w:hint="eastAsia"/>
        </w:rPr>
        <w:t>（3）联合体各方不得再以自己名义单独或参加其他联合体在本招标项目中投标，否则各相关投标均无效。</w:t>
      </w:r>
    </w:p>
    <w:p>
      <w:pPr>
        <w:spacing w:line="360" w:lineRule="auto"/>
        <w:ind w:firstLine="440" w:firstLineChars="200"/>
      </w:pPr>
      <w:r>
        <w:rPr>
          <w:rFonts w:hint="eastAsia"/>
        </w:rPr>
        <w:t>1.4.3投标人不得存在下列情形之一：</w:t>
      </w:r>
    </w:p>
    <w:p>
      <w:pPr>
        <w:spacing w:line="360" w:lineRule="auto"/>
        <w:ind w:firstLine="440" w:firstLineChars="200"/>
      </w:pPr>
      <w:r>
        <w:rPr>
          <w:rFonts w:hint="eastAsia"/>
        </w:rPr>
        <w:t>（1）为招标人不具有独立法人资格的附属机构（单位）；</w:t>
      </w:r>
    </w:p>
    <w:p>
      <w:pPr>
        <w:spacing w:line="360" w:lineRule="auto"/>
        <w:ind w:firstLine="440" w:firstLineChars="200"/>
      </w:pPr>
      <w:r>
        <w:rPr>
          <w:rFonts w:hint="eastAsia"/>
        </w:rPr>
        <w:t>（2）与招标人存在利害关系且可能影响招标公正性；</w:t>
      </w:r>
    </w:p>
    <w:p>
      <w:pPr>
        <w:spacing w:line="360" w:lineRule="auto"/>
        <w:ind w:firstLine="440" w:firstLineChars="200"/>
      </w:pPr>
      <w:r>
        <w:rPr>
          <w:rFonts w:hint="eastAsia"/>
        </w:rPr>
        <w:t>（3）与本招标项目的其他投标人为同一个单位负责人；</w:t>
      </w:r>
    </w:p>
    <w:p>
      <w:pPr>
        <w:spacing w:line="360" w:lineRule="auto"/>
        <w:ind w:firstLine="440" w:firstLineChars="200"/>
      </w:pPr>
      <w:r>
        <w:rPr>
          <w:rFonts w:hint="eastAsia"/>
        </w:rPr>
        <w:t>（4）与本招标项目的其他投标人存在控股、管理关系；</w:t>
      </w:r>
    </w:p>
    <w:p>
      <w:pPr>
        <w:spacing w:line="360" w:lineRule="auto"/>
        <w:ind w:firstLine="440" w:firstLineChars="200"/>
      </w:pPr>
      <w:r>
        <w:rPr>
          <w:rFonts w:hint="eastAsia"/>
        </w:rPr>
        <w:t>（5）为本招标项目的代建人；</w:t>
      </w:r>
    </w:p>
    <w:p>
      <w:pPr>
        <w:spacing w:line="360" w:lineRule="auto"/>
        <w:ind w:firstLine="440" w:firstLineChars="200"/>
      </w:pPr>
      <w:r>
        <w:rPr>
          <w:rFonts w:hint="eastAsia"/>
        </w:rPr>
        <w:t>（6）为本招标项目的招标代理机构；</w:t>
      </w:r>
    </w:p>
    <w:p>
      <w:pPr>
        <w:spacing w:line="360" w:lineRule="auto"/>
        <w:ind w:firstLine="440" w:firstLineChars="200"/>
      </w:pPr>
      <w:r>
        <w:rPr>
          <w:rFonts w:hint="eastAsia"/>
        </w:rPr>
        <w:t>（7）与本招标项目的代建人或招标代理机构同为一个法定代表人；</w:t>
      </w:r>
    </w:p>
    <w:p>
      <w:pPr>
        <w:spacing w:line="360" w:lineRule="auto"/>
        <w:ind w:firstLine="440" w:firstLineChars="200"/>
      </w:pPr>
      <w:r>
        <w:rPr>
          <w:rFonts w:hint="eastAsia"/>
        </w:rPr>
        <w:t>（8）与本招标项目的代建人或招标代理机构存在控股或参股关系；</w:t>
      </w:r>
    </w:p>
    <w:p>
      <w:pPr>
        <w:spacing w:line="360" w:lineRule="auto"/>
        <w:ind w:firstLine="440" w:firstLineChars="200"/>
      </w:pPr>
      <w:r>
        <w:rPr>
          <w:rFonts w:hint="eastAsia"/>
        </w:rPr>
        <w:t>（9）与本招标项目的施工承包人以及建筑材料、建筑构配件和设备供应商有隶属关系或者其他利害关系；</w:t>
      </w:r>
    </w:p>
    <w:p>
      <w:pPr>
        <w:spacing w:line="360" w:lineRule="auto"/>
        <w:ind w:firstLine="440" w:firstLineChars="200"/>
      </w:pPr>
      <w:r>
        <w:rPr>
          <w:rFonts w:hint="eastAsia"/>
        </w:rPr>
        <w:t>（10）被依法暂停或者取消投标资格；</w:t>
      </w:r>
    </w:p>
    <w:p>
      <w:pPr>
        <w:spacing w:line="360" w:lineRule="auto"/>
        <w:ind w:firstLine="440" w:firstLineChars="200"/>
      </w:pPr>
      <w:r>
        <w:rPr>
          <w:rFonts w:hint="eastAsia"/>
        </w:rPr>
        <w:t>（11）被责令停产停业、暂扣或者吊销许可证、暂扣或者吊销执照；</w:t>
      </w:r>
    </w:p>
    <w:p>
      <w:pPr>
        <w:spacing w:line="360" w:lineRule="auto"/>
        <w:ind w:firstLine="440" w:firstLineChars="200"/>
      </w:pPr>
      <w:r>
        <w:rPr>
          <w:rFonts w:hint="eastAsia"/>
        </w:rPr>
        <w:t>（12）进入清算程序，或被宣告破产，或其他丧失履约能力的情形；</w:t>
      </w:r>
    </w:p>
    <w:p>
      <w:pPr>
        <w:spacing w:line="360" w:lineRule="auto"/>
        <w:ind w:firstLine="440" w:firstLineChars="200"/>
      </w:pPr>
      <w:r>
        <w:rPr>
          <w:rFonts w:hint="eastAsia"/>
        </w:rPr>
        <w:t>（13）在最近三年内发生重大监理质量问题（以相关行业主管部门的行政处罚决定或司法机关出具的有关法律文书为准）；</w:t>
      </w:r>
    </w:p>
    <w:p>
      <w:pPr>
        <w:spacing w:line="360" w:lineRule="auto"/>
        <w:ind w:firstLine="440" w:firstLineChars="200"/>
      </w:pPr>
      <w:r>
        <w:rPr>
          <w:rFonts w:hint="eastAsia"/>
        </w:rPr>
        <w:t>（14）被工商行政管理机关在全国企业信用信息公示系统中列入严重违法失信企业名单；</w:t>
      </w:r>
    </w:p>
    <w:p>
      <w:pPr>
        <w:spacing w:line="360" w:lineRule="auto"/>
        <w:ind w:firstLine="440" w:firstLineChars="200"/>
      </w:pPr>
      <w:r>
        <w:rPr>
          <w:rFonts w:hint="eastAsia"/>
        </w:rPr>
        <w:t>（15）被最高人民法院在“信用中国”网站（www.creditchina.gov.cn）或各级信用信息共享 平台中列入失信被执行人名单；</w:t>
      </w:r>
    </w:p>
    <w:p>
      <w:pPr>
        <w:spacing w:line="360" w:lineRule="auto"/>
        <w:ind w:firstLine="440" w:firstLineChars="200"/>
      </w:pPr>
      <w:r>
        <w:rPr>
          <w:rFonts w:hint="eastAsia"/>
        </w:rPr>
        <w:t>（16）在近三年内投标人或其法定代表人、拟委任的总监理工程师有行贿犯罪行为的；</w:t>
      </w:r>
    </w:p>
    <w:p>
      <w:pPr>
        <w:spacing w:line="360" w:lineRule="auto"/>
        <w:ind w:firstLine="440" w:firstLineChars="200"/>
      </w:pPr>
      <w:r>
        <w:rPr>
          <w:rFonts w:hint="eastAsia"/>
        </w:rPr>
        <w:t>（17）法律法规或投标人须知前附表规定的其他情形。</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1.5费用承担</w:t>
      </w:r>
    </w:p>
    <w:p>
      <w:pPr>
        <w:spacing w:line="360" w:lineRule="auto"/>
        <w:ind w:firstLine="440" w:firstLineChars="200"/>
      </w:pPr>
      <w:r>
        <w:rPr>
          <w:rFonts w:hint="eastAsia"/>
        </w:rPr>
        <w:t>投标人准备和参加投标活动发生的费用自理。</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1.6保密</w:t>
      </w:r>
    </w:p>
    <w:p>
      <w:pPr>
        <w:spacing w:line="360" w:lineRule="auto"/>
        <w:ind w:firstLine="440" w:firstLineChars="200"/>
      </w:pPr>
      <w:r>
        <w:rPr>
          <w:rFonts w:hint="eastAsia"/>
        </w:rPr>
        <w:t>参与招标投标活动的各方应对招标文件和投标文件中的商业和技术等秘密保密，否则应承担相应的法律责任。</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1.7语言文字</w:t>
      </w:r>
    </w:p>
    <w:p>
      <w:pPr>
        <w:spacing w:line="360" w:lineRule="auto"/>
        <w:ind w:firstLine="440" w:firstLineChars="200"/>
      </w:pPr>
      <w:r>
        <w:rPr>
          <w:rFonts w:hint="eastAsia"/>
        </w:rPr>
        <w:t>招标投标文件使用的语言文字为中文。专用术语使用外文的，应附有中文注释。</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1.8计量单位</w:t>
      </w:r>
    </w:p>
    <w:p>
      <w:pPr>
        <w:spacing w:line="360" w:lineRule="auto"/>
        <w:ind w:firstLine="440" w:firstLineChars="200"/>
      </w:pPr>
      <w:r>
        <w:rPr>
          <w:rFonts w:hint="eastAsia"/>
        </w:rPr>
        <w:t>所有计量均采用中华人民共和国法定计量单位。</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1.9踏勘现场</w:t>
      </w:r>
    </w:p>
    <w:p>
      <w:pPr>
        <w:spacing w:line="360" w:lineRule="auto"/>
        <w:ind w:firstLine="440" w:firstLineChars="200"/>
      </w:pPr>
      <w:r>
        <w:rPr>
          <w:rFonts w:hint="eastAsia"/>
        </w:rPr>
        <w:t>1.9.1投标人须知前附表规定组织踏勘现场的，招标人按投标人须知前附表规定的时间、地点组织投标人踏勘项目现场。部分投标人未按时参加踏勘现场的，不影响踏勘现场的正常进行。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40" w:firstLineChars="200"/>
      </w:pPr>
      <w:r>
        <w:rPr>
          <w:rFonts w:hint="eastAsia"/>
        </w:rPr>
        <w:t>1.9.2投标人踏勘现场发生的费用自理。</w:t>
      </w:r>
    </w:p>
    <w:p>
      <w:pPr>
        <w:spacing w:line="360" w:lineRule="auto"/>
        <w:ind w:firstLine="440" w:firstLineChars="200"/>
      </w:pPr>
      <w:r>
        <w:rPr>
          <w:rFonts w:hint="eastAsia"/>
        </w:rPr>
        <w:t>1.9.3除招标人的原因外，投标人自行负责在踏勘现场中所发生的人员伤亡和财产损失。</w:t>
      </w:r>
    </w:p>
    <w:p>
      <w:pPr>
        <w:spacing w:line="360" w:lineRule="auto"/>
        <w:ind w:firstLine="440" w:firstLineChars="200"/>
      </w:pPr>
      <w:r>
        <w:rPr>
          <w:rFonts w:hint="eastAsia"/>
        </w:rPr>
        <w:t>1.9.4招标人在踏勘现场中介绍的工程场地和相关的周边环境情况，供投标人在编制投标文件时参考，招标人不对投标人据此作出的判断和决策负责。</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1.10投标预备会</w:t>
      </w:r>
    </w:p>
    <w:p>
      <w:pPr>
        <w:spacing w:line="360" w:lineRule="auto"/>
        <w:ind w:firstLine="440" w:firstLineChars="200"/>
      </w:pPr>
      <w:r>
        <w:rPr>
          <w:rFonts w:hint="eastAsia"/>
        </w:rPr>
        <w:t>1.10.1投标人须知前附表规定召开投标预备会的，招标人按投标人须知前附表规定的时间和地点召开投标预备会，澄清投标人提出的问题。</w:t>
      </w:r>
    </w:p>
    <w:p>
      <w:pPr>
        <w:spacing w:line="360" w:lineRule="auto"/>
        <w:ind w:firstLine="440" w:firstLineChars="200"/>
      </w:pPr>
      <w:r>
        <w:rPr>
          <w:rFonts w:hint="eastAsia"/>
        </w:rPr>
        <w:t>1.10.2投标人应按投标人须知前附表规定的时间和形式将提出的问题送达招标人，以便招标人在会议期间澄清。</w:t>
      </w:r>
    </w:p>
    <w:p>
      <w:pPr>
        <w:spacing w:line="360" w:lineRule="auto"/>
        <w:ind w:firstLine="440" w:firstLineChars="200"/>
      </w:pPr>
      <w:r>
        <w:rPr>
          <w:rFonts w:hint="eastAsia"/>
        </w:rPr>
        <w:t>1.10.3投标预备会后，招标人将对投标人所提问题的澄清，以投标人须知前附表规定的形式通知所有购买招标文件的投标人。该澄清内容为招标文件的组成部分。</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1.11分包</w:t>
      </w:r>
    </w:p>
    <w:p>
      <w:pPr>
        <w:spacing w:line="360" w:lineRule="auto"/>
        <w:ind w:firstLine="440" w:firstLineChars="200"/>
      </w:pPr>
      <w:r>
        <w:rPr>
          <w:rFonts w:hint="eastAsia"/>
        </w:rPr>
        <w:t>本项目严禁分包。</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1.12响应和偏差</w:t>
      </w:r>
    </w:p>
    <w:p>
      <w:pPr>
        <w:spacing w:line="360" w:lineRule="auto"/>
        <w:ind w:firstLine="440" w:firstLineChars="200"/>
      </w:pPr>
      <w:r>
        <w:rPr>
          <w:rFonts w:hint="eastAsia"/>
        </w:rPr>
        <w:t>1.12.1投标文件应当对招标文件的实质性要求和条件作出满足性或更有利于招标人的响应， 否则，投标人的投标将被否决。实质性要求和条件见投标人须知前附表。</w:t>
      </w:r>
    </w:p>
    <w:p>
      <w:pPr>
        <w:spacing w:line="360" w:lineRule="auto"/>
        <w:ind w:firstLine="440" w:firstLineChars="200"/>
      </w:pPr>
      <w:r>
        <w:rPr>
          <w:rFonts w:hint="eastAsia"/>
        </w:rPr>
        <w:t>1.12.2投标人应根据招标文件的要求提供投标监理大纲等内容以对招标文件作出响应。</w:t>
      </w:r>
    </w:p>
    <w:p>
      <w:pPr>
        <w:spacing w:line="360" w:lineRule="auto"/>
        <w:ind w:firstLine="440" w:firstLineChars="200"/>
      </w:pPr>
      <w:r>
        <w:rPr>
          <w:rFonts w:hint="eastAsia"/>
        </w:rPr>
        <w:t>1.12.3投标人须知前附表允许投标文件偏离招标文件某些要求的，偏差应当符合招标文件规定的偏差范围和幅度。</w:t>
      </w:r>
    </w:p>
    <w:p>
      <w:pPr>
        <w:spacing w:line="360" w:lineRule="auto"/>
        <w:rPr>
          <w:rFonts w:cs="Times New Roman"/>
          <w:b/>
          <w:bCs/>
          <w:color w:val="000000"/>
          <w:kern w:val="2"/>
          <w:sz w:val="28"/>
          <w:szCs w:val="28"/>
          <w:lang w:val="en-US" w:bidi="ar-SA"/>
        </w:rPr>
      </w:pPr>
      <w:bookmarkStart w:id="10" w:name="_bookmark38"/>
      <w:bookmarkEnd w:id="10"/>
      <w:r>
        <w:rPr>
          <w:rFonts w:hint="eastAsia" w:cs="Times New Roman"/>
          <w:b/>
          <w:bCs/>
          <w:color w:val="000000"/>
          <w:kern w:val="2"/>
          <w:sz w:val="28"/>
          <w:szCs w:val="28"/>
          <w:lang w:val="en-US" w:bidi="ar-SA"/>
        </w:rPr>
        <w:t>2.招标文件</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2.1招标文件的组成</w:t>
      </w:r>
    </w:p>
    <w:p>
      <w:pPr>
        <w:spacing w:line="360" w:lineRule="auto"/>
      </w:pPr>
      <w:r>
        <w:rPr>
          <w:rFonts w:hint="eastAsia"/>
        </w:rPr>
        <w:t>本招标文件包括：</w:t>
      </w:r>
    </w:p>
    <w:p>
      <w:pPr>
        <w:spacing w:line="360" w:lineRule="auto"/>
      </w:pPr>
      <w:r>
        <w:rPr>
          <w:rFonts w:hint="eastAsia"/>
        </w:rPr>
        <w:t>（1）招标公告</w:t>
      </w:r>
      <w:r>
        <w:rPr>
          <w:rFonts w:hint="eastAsia"/>
          <w:strike/>
        </w:rPr>
        <w:t>（或投标邀请书）</w:t>
      </w:r>
      <w:r>
        <w:rPr>
          <w:rFonts w:hint="eastAsia"/>
        </w:rPr>
        <w:t>；</w:t>
      </w:r>
    </w:p>
    <w:p>
      <w:pPr>
        <w:spacing w:line="360" w:lineRule="auto"/>
      </w:pPr>
      <w:r>
        <w:rPr>
          <w:rFonts w:hint="eastAsia"/>
        </w:rPr>
        <w:t>（2）投标人须知；</w:t>
      </w:r>
    </w:p>
    <w:p>
      <w:pPr>
        <w:spacing w:line="360" w:lineRule="auto"/>
      </w:pPr>
      <w:r>
        <w:rPr>
          <w:rFonts w:hint="eastAsia"/>
        </w:rPr>
        <w:t>（3）评标办法；</w:t>
      </w:r>
    </w:p>
    <w:p>
      <w:pPr>
        <w:spacing w:line="360" w:lineRule="auto"/>
      </w:pPr>
      <w:r>
        <w:rPr>
          <w:rFonts w:hint="eastAsia"/>
        </w:rPr>
        <w:t>（4）合同条款及格式；</w:t>
      </w:r>
    </w:p>
    <w:p>
      <w:pPr>
        <w:spacing w:line="360" w:lineRule="auto"/>
      </w:pPr>
      <w:r>
        <w:rPr>
          <w:rFonts w:hint="eastAsia"/>
        </w:rPr>
        <w:t>（5）委托人要求；</w:t>
      </w:r>
    </w:p>
    <w:p>
      <w:pPr>
        <w:spacing w:line="360" w:lineRule="auto"/>
      </w:pPr>
      <w:r>
        <w:rPr>
          <w:rFonts w:hint="eastAsia"/>
        </w:rPr>
        <w:t>（6）投标文件格式；</w:t>
      </w:r>
    </w:p>
    <w:p>
      <w:pPr>
        <w:spacing w:line="360" w:lineRule="auto"/>
      </w:pPr>
      <w:r>
        <w:rPr>
          <w:rFonts w:hint="eastAsia"/>
        </w:rPr>
        <w:t>（7）投标人须知前附表规定的其他资料。</w:t>
      </w:r>
    </w:p>
    <w:p>
      <w:pPr>
        <w:spacing w:line="360" w:lineRule="auto"/>
      </w:pPr>
      <w:r>
        <w:rPr>
          <w:rFonts w:hint="eastAsia"/>
        </w:rPr>
        <w:t>根据本章第 1.10 款、第 2.2 款和第 2.3 款对招标文件所作的澄清、修改，构成招标文件的组成部分。</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2.2招标文件的澄清</w:t>
      </w:r>
    </w:p>
    <w:p>
      <w:pPr>
        <w:spacing w:line="360" w:lineRule="auto"/>
        <w:ind w:firstLine="440" w:firstLineChars="200"/>
      </w:pPr>
      <w:r>
        <w:rPr>
          <w:rFonts w:hint="eastAsia"/>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40" w:firstLineChars="200"/>
      </w:pPr>
      <w:r>
        <w:rPr>
          <w:rFonts w:hint="eastAsia"/>
        </w:rPr>
        <w:t>2.2.2招标文件的澄清以投标人须知前附表规定的形式发给所有购买招标文件的投标人，但不指明澄清问题的来源。澄清发出的时间距本章第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pPr>
        <w:spacing w:line="360" w:lineRule="auto"/>
        <w:ind w:firstLine="440" w:firstLineChars="200"/>
      </w:pPr>
      <w:r>
        <w:rPr>
          <w:rFonts w:hint="eastAsia"/>
        </w:rPr>
        <w:t>2.2.3投标人在收到澄清后，应按投标人须知前附表规定的时间和形式通知招标人，确认已收到该澄清。</w:t>
      </w:r>
    </w:p>
    <w:p>
      <w:pPr>
        <w:spacing w:line="360" w:lineRule="auto"/>
        <w:ind w:firstLine="440" w:firstLineChars="200"/>
      </w:pPr>
      <w:r>
        <w:rPr>
          <w:rFonts w:hint="eastAsia"/>
        </w:rPr>
        <w:t>2.2.4除非招标人认为确有必要答复，否则，招标人有权拒绝回复投标人在本章第 2.2.1 项规定的时间后的任何澄清要求。</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2.3招标文件的修改</w:t>
      </w:r>
    </w:p>
    <w:p>
      <w:pPr>
        <w:spacing w:line="360" w:lineRule="auto"/>
        <w:ind w:firstLine="440" w:firstLineChars="200"/>
      </w:pPr>
      <w:r>
        <w:rPr>
          <w:rFonts w:hint="eastAsia"/>
        </w:rPr>
        <w:t>2.3.1招标人以投标人须知前附表规定的形式修改招标文件，并通知所有已购买招标文件的投标人。修改招标文件的时间距本章第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line="360" w:lineRule="auto"/>
        <w:ind w:firstLine="440" w:firstLineChars="200"/>
      </w:pPr>
      <w:r>
        <w:rPr>
          <w:rFonts w:hint="eastAsia"/>
        </w:rPr>
        <w:t>2.3.2投标人收到修改内容后，应按投标人须知前附表规定的时间和形式通知招标人，确认已收到该修改。</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2.4招标文件的异议</w:t>
      </w:r>
    </w:p>
    <w:p>
      <w:pPr>
        <w:spacing w:line="360" w:lineRule="auto"/>
        <w:ind w:firstLine="440" w:firstLineChars="200"/>
      </w:pPr>
      <w:r>
        <w:rPr>
          <w:rFonts w:hint="eastAsia"/>
        </w:rPr>
        <w:t>投标人或者其他利害关系人对招标文件有异议的，应当在投标截止时间 10 日前以书面形式提出。招标人将在收到异议之日起 3 日内作出答复；作出答复前，将暂停招标投标活动。</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3.投标文件</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3.1投标文件的组成</w:t>
      </w:r>
    </w:p>
    <w:p>
      <w:pPr>
        <w:spacing w:line="360" w:lineRule="auto"/>
        <w:ind w:firstLine="440" w:firstLineChars="200"/>
      </w:pPr>
      <w:r>
        <w:rPr>
          <w:rFonts w:hint="eastAsia"/>
        </w:rPr>
        <w:t>3.1.1投标文件应包括下列内容：</w:t>
      </w:r>
    </w:p>
    <w:p>
      <w:pPr>
        <w:spacing w:line="360" w:lineRule="auto"/>
        <w:ind w:firstLine="440" w:firstLineChars="200"/>
      </w:pPr>
      <w:r>
        <w:rPr>
          <w:rFonts w:hint="eastAsia"/>
        </w:rPr>
        <w:t>（1）投标函及投标函附录；</w:t>
      </w:r>
    </w:p>
    <w:p>
      <w:pPr>
        <w:spacing w:line="360" w:lineRule="auto"/>
        <w:ind w:firstLine="440" w:firstLineChars="200"/>
      </w:pPr>
      <w:r>
        <w:rPr>
          <w:rFonts w:hint="eastAsia"/>
        </w:rPr>
        <w:t>（2）法定代表人身份证明或授权委托书；</w:t>
      </w:r>
    </w:p>
    <w:p>
      <w:pPr>
        <w:spacing w:line="360" w:lineRule="auto"/>
        <w:ind w:firstLine="440" w:firstLineChars="200"/>
        <w:rPr>
          <w:strike/>
        </w:rPr>
      </w:pPr>
      <w:r>
        <w:rPr>
          <w:rFonts w:hint="eastAsia"/>
          <w:strike/>
        </w:rPr>
        <w:t>（3）联合体协议书；</w:t>
      </w:r>
    </w:p>
    <w:p>
      <w:pPr>
        <w:spacing w:line="360" w:lineRule="auto"/>
        <w:ind w:firstLine="440" w:firstLineChars="200"/>
      </w:pPr>
      <w:r>
        <w:rPr>
          <w:rFonts w:hint="eastAsia"/>
        </w:rPr>
        <w:t>（4）投标保证金；</w:t>
      </w:r>
    </w:p>
    <w:p>
      <w:pPr>
        <w:spacing w:line="360" w:lineRule="auto"/>
        <w:ind w:firstLine="440" w:firstLineChars="200"/>
      </w:pPr>
      <w:r>
        <w:rPr>
          <w:rFonts w:hint="eastAsia"/>
        </w:rPr>
        <w:t>（5）监理报酬清单；</w:t>
      </w:r>
    </w:p>
    <w:p>
      <w:pPr>
        <w:spacing w:line="360" w:lineRule="auto"/>
        <w:ind w:firstLine="440" w:firstLineChars="200"/>
      </w:pPr>
      <w:r>
        <w:rPr>
          <w:rFonts w:hint="eastAsia"/>
        </w:rPr>
        <w:t>（6）资格审查资料；</w:t>
      </w:r>
    </w:p>
    <w:p>
      <w:pPr>
        <w:spacing w:line="360" w:lineRule="auto"/>
        <w:ind w:firstLine="440" w:firstLineChars="200"/>
      </w:pPr>
      <w:r>
        <w:rPr>
          <w:rFonts w:hint="eastAsia"/>
        </w:rPr>
        <w:t>（7）监理大纲；</w:t>
      </w:r>
    </w:p>
    <w:p>
      <w:pPr>
        <w:spacing w:line="360" w:lineRule="auto"/>
        <w:ind w:firstLine="440" w:firstLineChars="200"/>
      </w:pPr>
      <w:r>
        <w:rPr>
          <w:rFonts w:hint="eastAsia"/>
        </w:rPr>
        <w:t>（8）投标人须知前附表规定的其他资料。</w:t>
      </w:r>
    </w:p>
    <w:p>
      <w:pPr>
        <w:spacing w:line="360" w:lineRule="auto"/>
        <w:ind w:firstLine="440" w:firstLineChars="200"/>
      </w:pPr>
      <w:r>
        <w:rPr>
          <w:rFonts w:hint="eastAsia"/>
        </w:rPr>
        <w:t>投标人在评标过程中作出的符合法律法规和招标文件规定的澄清确认，构成投标文件的组成部分。</w:t>
      </w:r>
    </w:p>
    <w:p>
      <w:pPr>
        <w:spacing w:line="360" w:lineRule="auto"/>
        <w:ind w:firstLine="440" w:firstLineChars="200"/>
      </w:pPr>
      <w:r>
        <w:rPr>
          <w:rFonts w:hint="eastAsia"/>
          <w:lang w:val="en-US"/>
        </w:rPr>
        <w:t>3.1.2</w:t>
      </w:r>
      <w:r>
        <w:rPr>
          <w:rFonts w:hint="eastAsia"/>
        </w:rPr>
        <w:t>投标人须知前附表规定不接受联合体投标的，或投标人没有组成联合体的，投标文件不包括本章第 3.1.1（3）目所指的联合体协议书。</w:t>
      </w:r>
    </w:p>
    <w:p>
      <w:pPr>
        <w:spacing w:line="360" w:lineRule="auto"/>
        <w:ind w:firstLine="440" w:firstLineChars="200"/>
      </w:pPr>
      <w:r>
        <w:rPr>
          <w:rFonts w:hint="eastAsia"/>
        </w:rPr>
        <w:t>3.1.</w:t>
      </w:r>
      <w:r>
        <w:rPr>
          <w:rFonts w:hint="eastAsia"/>
          <w:lang w:val="en-US"/>
        </w:rPr>
        <w:t>3</w:t>
      </w:r>
      <w:r>
        <w:rPr>
          <w:rFonts w:hint="eastAsia"/>
        </w:rPr>
        <w:t>投标人须知前附表未要求提交投标保证金的，投标文件不包括本章第 3.1.1（4）目所指的投标保证金。</w:t>
      </w:r>
    </w:p>
    <w:p>
      <w:pPr>
        <w:spacing w:line="360" w:lineRule="auto"/>
      </w:pPr>
      <w:r>
        <w:rPr>
          <w:rFonts w:hint="eastAsia" w:cs="Times New Roman"/>
          <w:b/>
          <w:bCs/>
          <w:color w:val="000000"/>
          <w:kern w:val="2"/>
          <w:sz w:val="28"/>
          <w:szCs w:val="28"/>
          <w:lang w:val="en-US" w:bidi="ar-SA"/>
        </w:rPr>
        <w:t>3.2投标报价</w:t>
      </w:r>
    </w:p>
    <w:p>
      <w:pPr>
        <w:spacing w:line="360" w:lineRule="auto"/>
        <w:ind w:firstLine="440" w:firstLineChars="200"/>
      </w:pPr>
      <w:r>
        <w:rPr>
          <w:rFonts w:hint="eastAsia"/>
        </w:rPr>
        <w:t>3.2.1投标报价应包括国家规定的增值税税金，除投标人须知前附表另有规定外，增值税税金按一般计税方法计算。投标人应按第六章“投标文件格式”的要求在投标函中进行报价并填写监理报酬清单。</w:t>
      </w:r>
    </w:p>
    <w:p>
      <w:pPr>
        <w:spacing w:line="360" w:lineRule="auto"/>
        <w:ind w:firstLine="440" w:firstLineChars="200"/>
      </w:pPr>
      <w:r>
        <w:rPr>
          <w:rFonts w:hint="eastAsia"/>
        </w:rPr>
        <w:t>3.2.2投标人应充分了解该项目的总体情况以及影响投标报价的其他要素。</w:t>
      </w:r>
    </w:p>
    <w:p>
      <w:pPr>
        <w:spacing w:line="360" w:lineRule="auto"/>
        <w:ind w:firstLine="440" w:firstLineChars="200"/>
      </w:pPr>
      <w:r>
        <w:rPr>
          <w:rFonts w:hint="eastAsia"/>
        </w:rPr>
        <w:t>3.2.3本项目的报价方式见投标人须知前附表。投标人在投标截止时间前修改投标函中的投标报价总额，应同时修改投标文件“监理报酬清单”中的相应报价。此修改须符合本章第 4.3 款的有关要求。</w:t>
      </w:r>
    </w:p>
    <w:p>
      <w:pPr>
        <w:spacing w:line="360" w:lineRule="auto"/>
        <w:ind w:firstLine="440" w:firstLineChars="200"/>
      </w:pPr>
      <w:r>
        <w:rPr>
          <w:rFonts w:hint="eastAsia"/>
        </w:rPr>
        <w:t>3.2.4招标人设有最高投标限价的，投标人的投标报价不得超过最高投标限价，最高投标限价在投标人须知前附表中载明。</w:t>
      </w:r>
    </w:p>
    <w:p>
      <w:pPr>
        <w:spacing w:line="360" w:lineRule="auto"/>
        <w:ind w:firstLine="440" w:firstLineChars="200"/>
      </w:pPr>
      <w:r>
        <w:rPr>
          <w:rFonts w:hint="eastAsia"/>
        </w:rPr>
        <w:t>3.2.5投标报价的其他要求见投标人须知前附表。</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3.3投标有效期</w:t>
      </w:r>
    </w:p>
    <w:p>
      <w:pPr>
        <w:spacing w:line="360" w:lineRule="auto"/>
        <w:ind w:firstLine="440" w:firstLineChars="200"/>
      </w:pPr>
      <w:r>
        <w:rPr>
          <w:rFonts w:hint="eastAsia"/>
        </w:rPr>
        <w:t>3.3.1除投标人须知前附表另有规定外，投标有效期为 90 天。</w:t>
      </w:r>
    </w:p>
    <w:p>
      <w:pPr>
        <w:spacing w:line="360" w:lineRule="auto"/>
        <w:ind w:firstLine="440" w:firstLineChars="200"/>
      </w:pPr>
      <w:r>
        <w:rPr>
          <w:rFonts w:hint="eastAsia"/>
        </w:rPr>
        <w:t>3.3.2在投标有效期内，投标人撤销投标文件的，应承担招标文件和法律规定的责任。</w:t>
      </w:r>
    </w:p>
    <w:p>
      <w:pPr>
        <w:spacing w:line="360" w:lineRule="auto"/>
        <w:ind w:firstLine="440" w:firstLineChars="200"/>
      </w:pPr>
      <w:r>
        <w:rPr>
          <w:rFonts w:hint="eastAsia"/>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3.4投标保证金</w:t>
      </w:r>
    </w:p>
    <w:p>
      <w:pPr>
        <w:spacing w:line="360" w:lineRule="auto"/>
        <w:ind w:firstLine="440" w:firstLineChars="200"/>
      </w:pPr>
      <w:r>
        <w:rPr>
          <w:rFonts w:hint="eastAsia"/>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w:t>
      </w:r>
      <w:r>
        <w:rPr>
          <w:rFonts w:hint="eastAsia"/>
          <w:strike/>
        </w:rPr>
        <w:t>联合体投标的，其投标保证金可以由牵头人递交，并应符合投标人须知前附表的规定。</w:t>
      </w:r>
    </w:p>
    <w:p>
      <w:pPr>
        <w:spacing w:line="360" w:lineRule="auto"/>
        <w:ind w:firstLine="440" w:firstLineChars="200"/>
      </w:pPr>
      <w:r>
        <w:rPr>
          <w:rFonts w:hint="eastAsia"/>
        </w:rPr>
        <w:t>3.4.2投标人不按本章第 3.4.1 项要求提交投标保证金的，评标委员会将否决其投标。</w:t>
      </w:r>
    </w:p>
    <w:p>
      <w:pPr>
        <w:spacing w:line="360" w:lineRule="auto"/>
        <w:ind w:firstLine="440" w:firstLineChars="200"/>
      </w:pPr>
      <w:r>
        <w:rPr>
          <w:rFonts w:hint="eastAsia"/>
        </w:rPr>
        <w:t>3.4.3</w:t>
      </w:r>
      <w:r>
        <w:rPr>
          <w:rFonts w:hint="eastAsia"/>
          <w:color w:val="000000"/>
          <w:u w:val="single"/>
        </w:rPr>
        <w:t>投标保证金在中标人签订合同后的5个工作日内，由招标代理机构通知广州公共资源交易中心退还投标保证金。</w:t>
      </w:r>
    </w:p>
    <w:p>
      <w:pPr>
        <w:spacing w:line="360" w:lineRule="auto"/>
        <w:ind w:firstLine="440" w:firstLineChars="200"/>
      </w:pPr>
      <w:r>
        <w:rPr>
          <w:rFonts w:hint="eastAsia"/>
        </w:rPr>
        <w:t>3.4.4有下列情形之一的，投标保证金将不予退还：</w:t>
      </w:r>
    </w:p>
    <w:p>
      <w:pPr>
        <w:spacing w:line="360" w:lineRule="auto"/>
        <w:ind w:firstLine="440" w:firstLineChars="200"/>
      </w:pPr>
      <w:r>
        <w:rPr>
          <w:rFonts w:hint="eastAsia"/>
        </w:rPr>
        <w:t>（1）投标人在投标有效期内撤销投标文件；</w:t>
      </w:r>
    </w:p>
    <w:p>
      <w:pPr>
        <w:spacing w:line="360" w:lineRule="auto"/>
        <w:ind w:firstLine="440" w:firstLineChars="200"/>
      </w:pPr>
      <w:r>
        <w:rPr>
          <w:rFonts w:hint="eastAsia"/>
        </w:rPr>
        <w:t>（2）中标人在收到中标通知书后，无正当理由不与招标人</w:t>
      </w:r>
      <w:r>
        <w:rPr>
          <w:rFonts w:hint="eastAsia"/>
          <w:color w:val="000000"/>
          <w:u w:val="single"/>
        </w:rPr>
        <w:t>、建设管理单位</w:t>
      </w:r>
      <w:r>
        <w:rPr>
          <w:rFonts w:hint="eastAsia"/>
        </w:rPr>
        <w:t>订立合同，在签订合同时向招标人</w:t>
      </w:r>
      <w:r>
        <w:rPr>
          <w:rFonts w:hint="eastAsia"/>
          <w:color w:val="000000"/>
          <w:u w:val="single"/>
        </w:rPr>
        <w:t>或建设管理单位</w:t>
      </w:r>
      <w:r>
        <w:rPr>
          <w:rFonts w:hint="eastAsia"/>
        </w:rPr>
        <w:t>提出附加条件，或者不按照招标文件要求提交履约保证金；</w:t>
      </w:r>
    </w:p>
    <w:p>
      <w:pPr>
        <w:spacing w:line="360" w:lineRule="auto"/>
        <w:ind w:firstLine="440" w:firstLineChars="200"/>
      </w:pPr>
      <w:r>
        <w:rPr>
          <w:rFonts w:hint="eastAsia"/>
        </w:rPr>
        <w:t>（3）发生投标人须知前附表规定的其他可以不予退还投标保证金的情形。</w:t>
      </w:r>
    </w:p>
    <w:p>
      <w:pPr>
        <w:spacing w:line="360" w:lineRule="auto"/>
        <w:rPr>
          <w:rFonts w:cs="Times New Roman"/>
          <w:b/>
          <w:bCs/>
          <w:strike/>
          <w:color w:val="000000"/>
          <w:kern w:val="2"/>
          <w:sz w:val="28"/>
          <w:szCs w:val="28"/>
          <w:lang w:val="en-US" w:bidi="ar-SA"/>
        </w:rPr>
      </w:pPr>
      <w:r>
        <w:rPr>
          <w:rFonts w:hint="eastAsia" w:cs="Times New Roman"/>
          <w:b/>
          <w:bCs/>
          <w:strike/>
          <w:color w:val="000000"/>
          <w:kern w:val="2"/>
          <w:sz w:val="28"/>
          <w:szCs w:val="28"/>
          <w:lang w:val="en-US" w:bidi="ar-SA"/>
        </w:rPr>
        <w:t>3.5资格审查资料（适用于已进行资格预审的）</w:t>
      </w:r>
    </w:p>
    <w:p>
      <w:pPr>
        <w:spacing w:line="360" w:lineRule="auto"/>
        <w:ind w:firstLine="440" w:firstLineChars="200"/>
      </w:pPr>
      <w:r>
        <w:rPr>
          <w:rFonts w:hint="eastAsia"/>
          <w:strike/>
        </w:rPr>
        <w:t>投标人在递交投标文件前，发生可能影响其投标资格的新情况的，应更新或补充其在申请资格预审时提供的资料，以证实其各项资格条件仍能继续满足资格预审文件的要求，且没有实质性降低。</w:t>
      </w:r>
    </w:p>
    <w:p>
      <w:pPr>
        <w:spacing w:line="360" w:lineRule="auto"/>
      </w:pPr>
      <w:r>
        <w:rPr>
          <w:rFonts w:hint="eastAsia" w:cs="Times New Roman"/>
          <w:b/>
          <w:bCs/>
          <w:color w:val="000000"/>
          <w:kern w:val="2"/>
          <w:sz w:val="28"/>
          <w:szCs w:val="28"/>
          <w:lang w:val="en-US" w:bidi="ar-SA"/>
        </w:rPr>
        <w:t>3.5资格审查资料（适用于未进行资格预审的）</w:t>
      </w:r>
    </w:p>
    <w:p>
      <w:pPr>
        <w:spacing w:line="360" w:lineRule="auto"/>
        <w:ind w:firstLine="440" w:firstLineChars="200"/>
      </w:pPr>
      <w:r>
        <w:rPr>
          <w:rFonts w:hint="eastAsia"/>
        </w:rPr>
        <w:t>除投标人须知前附表另有规定外，投标人应按下列规定提供资格审查资料，以证明其满足本章第 1.4 款规定的资质、财务、业绩、信誉等要求。</w:t>
      </w:r>
    </w:p>
    <w:p>
      <w:pPr>
        <w:spacing w:line="360" w:lineRule="auto"/>
        <w:ind w:firstLine="440" w:firstLineChars="200"/>
      </w:pPr>
      <w:r>
        <w:rPr>
          <w:rFonts w:hint="eastAsia"/>
        </w:rPr>
        <w:t>3.5.1“投标人基本情况表”应附投标人营业执照和组织机构代码证的复印件（按照“三证合一” 或“五证合一”登记制度进行登记的，可仅提供营业执照复印件）、投标人监理资质证书副本等材料的复印件。</w:t>
      </w:r>
    </w:p>
    <w:p>
      <w:pPr>
        <w:spacing w:line="360" w:lineRule="auto"/>
        <w:ind w:firstLine="440" w:firstLineChars="200"/>
        <w:rPr>
          <w:strike/>
        </w:rPr>
      </w:pPr>
      <w:r>
        <w:rPr>
          <w:rFonts w:hint="eastAsia"/>
          <w:strike/>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40" w:firstLineChars="200"/>
        <w:rPr>
          <w:strike/>
        </w:rPr>
      </w:pPr>
      <w:r>
        <w:rPr>
          <w:rFonts w:hint="eastAsia"/>
          <w:strike/>
        </w:rPr>
        <w:t>3.5.3“近年完成的类似监理项目情况表”应附中标通知书和（或）合同协议书、委托人出具的证明文件；具体时间要求见投标人须知前附表，每张表格只填写一个项目，并标明序号。</w:t>
      </w:r>
    </w:p>
    <w:p>
      <w:pPr>
        <w:spacing w:line="360" w:lineRule="auto"/>
        <w:ind w:firstLine="440" w:firstLineChars="200"/>
        <w:rPr>
          <w:strike/>
        </w:rPr>
      </w:pPr>
      <w:r>
        <w:rPr>
          <w:rFonts w:hint="eastAsia"/>
          <w:strike/>
        </w:rPr>
        <w:t>3.5.4“正在监理和新承接的项目情况表”应附中标通知书和（或）合同协议书复印件。每张表格只填写一个项目，并标明序号。</w:t>
      </w:r>
    </w:p>
    <w:p>
      <w:pPr>
        <w:spacing w:line="360" w:lineRule="auto"/>
        <w:ind w:firstLine="440" w:firstLineChars="200"/>
        <w:rPr>
          <w:strike/>
        </w:rPr>
      </w:pPr>
      <w:r>
        <w:rPr>
          <w:rFonts w:hint="eastAsia"/>
          <w:strike/>
        </w:rPr>
        <w:t>3.5.5“近年发生的诉讼及仲裁情况”应说明投标人败诉的监理合同的相关情况，并附法院或仲裁机构作出的判决、裁决等有关法律文书复印件，具体时间要求见投标人须知前附表。</w:t>
      </w:r>
    </w:p>
    <w:p>
      <w:pPr>
        <w:spacing w:line="360" w:lineRule="auto"/>
        <w:ind w:firstLine="440" w:firstLineChars="200"/>
      </w:pPr>
      <w:r>
        <w:rPr>
          <w:rFonts w:hint="eastAsia"/>
        </w:rPr>
        <w:t>3.5.6“拟委任的主要人员汇总表”应填报满足本章第 1.4.1 项规定的总监理工程师和其他主要人员的相关信息。“主要人员简历表”中总监理工程师应附身份证、学历证、职称证、注册监</w:t>
      </w:r>
    </w:p>
    <w:p>
      <w:pPr>
        <w:spacing w:line="360" w:lineRule="auto"/>
        <w:rPr>
          <w:strike/>
        </w:rPr>
      </w:pPr>
      <w:r>
        <w:rPr>
          <w:rFonts w:hint="eastAsia"/>
        </w:rPr>
        <w:t>理工程师执业证书和社保缴费证明复印件，管理过的项目业绩须附合同协议书复印件；</w:t>
      </w:r>
      <w:r>
        <w:rPr>
          <w:rFonts w:hint="eastAsia"/>
          <w:strike/>
        </w:rPr>
        <w:t>其他主要人员应附身份证、学历证、职称证、有关证书和社保缴费证明复印件。</w:t>
      </w:r>
    </w:p>
    <w:p>
      <w:pPr>
        <w:spacing w:line="360" w:lineRule="auto"/>
        <w:ind w:firstLine="440" w:firstLineChars="200"/>
        <w:rPr>
          <w:strike/>
        </w:rPr>
      </w:pPr>
      <w:r>
        <w:rPr>
          <w:rFonts w:hint="eastAsia"/>
          <w:strike/>
        </w:rPr>
        <w:t>3.5.7“拟投入本项目的主要试验检测仪器设备表”应填报满足本章第 1.4.1 项规定的试验检测仪器设备。</w:t>
      </w:r>
    </w:p>
    <w:p>
      <w:pPr>
        <w:spacing w:line="360" w:lineRule="auto"/>
        <w:ind w:firstLine="440" w:firstLineChars="200"/>
      </w:pPr>
      <w:r>
        <w:rPr>
          <w:rFonts w:hint="eastAsia"/>
          <w:strike/>
        </w:rPr>
        <w:t>3.5.8投标人须知前附表规定接受联合体投标的，本章第 3.5.1 项至第 3.5.7 项规定的表格和资料应包括联合体各方相关情况。</w:t>
      </w:r>
    </w:p>
    <w:p>
      <w:pPr>
        <w:spacing w:line="360" w:lineRule="auto"/>
      </w:pPr>
      <w:r>
        <w:rPr>
          <w:rFonts w:hint="eastAsia" w:cs="Times New Roman"/>
          <w:b/>
          <w:bCs/>
          <w:color w:val="000000"/>
          <w:kern w:val="2"/>
          <w:sz w:val="28"/>
          <w:szCs w:val="28"/>
          <w:lang w:val="en-US" w:bidi="ar-SA"/>
        </w:rPr>
        <w:t>3.6备选投标方案</w:t>
      </w:r>
    </w:p>
    <w:p>
      <w:pPr>
        <w:spacing w:line="360" w:lineRule="auto"/>
        <w:ind w:firstLine="440" w:firstLineChars="200"/>
      </w:pPr>
      <w:r>
        <w:rPr>
          <w:rFonts w:hint="eastAsia"/>
        </w:rPr>
        <w:t>3.6.1除投标人须知前附表规定允许外，投标人不得递交备选投标方案，否则其投标将被否决。</w:t>
      </w:r>
    </w:p>
    <w:p>
      <w:pPr>
        <w:spacing w:line="360" w:lineRule="auto"/>
        <w:ind w:firstLine="440" w:firstLineChars="200"/>
        <w:rPr>
          <w:strike/>
        </w:rPr>
      </w:pPr>
      <w:r>
        <w:rPr>
          <w:rFonts w:hint="eastAsia"/>
          <w:strik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40" w:firstLineChars="200"/>
      </w:pPr>
      <w:r>
        <w:rPr>
          <w:rFonts w:hint="eastAsia"/>
          <w:strike/>
        </w:rPr>
        <w:t>3.6.3投标人提供两个或两个以上投标报价，或者在投标文件中提供一个报价，但同时提供两个或两个以上监理方案的，视为提供备选方案。</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3.7投标文件的编制</w:t>
      </w:r>
    </w:p>
    <w:p>
      <w:pPr>
        <w:spacing w:line="360" w:lineRule="auto"/>
        <w:ind w:firstLine="440" w:firstLineChars="200"/>
      </w:pPr>
      <w:r>
        <w:rPr>
          <w:rFonts w:hint="eastAsia"/>
        </w:rPr>
        <w:t>3.7.1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40" w:firstLineChars="200"/>
      </w:pPr>
      <w:r>
        <w:rPr>
          <w:rFonts w:hint="eastAsia"/>
        </w:rPr>
        <w:t>3.7.2投标文件应当对招标文件有关监理服务期限、投标有效期、委托人要求、招标范围等实质性内容作出响应。</w:t>
      </w:r>
    </w:p>
    <w:p>
      <w:pPr>
        <w:spacing w:line="360" w:lineRule="auto"/>
        <w:ind w:firstLine="440" w:firstLineChars="200"/>
        <w:rPr>
          <w:strike/>
        </w:rPr>
      </w:pPr>
      <w:r>
        <w:rPr>
          <w:rFonts w:hint="eastAsia"/>
          <w:strik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spacing w:line="360" w:lineRule="auto"/>
        <w:ind w:firstLine="440" w:firstLineChars="200"/>
        <w:rPr>
          <w:strike/>
        </w:rPr>
      </w:pPr>
      <w:r>
        <w:rPr>
          <w:rFonts w:hint="eastAsia"/>
          <w:strike/>
        </w:rPr>
        <w:t>（2）投标文件正本一份，副本份数见投标人须知前附表。正本和副本的封面右上角上应 清楚地标记“正本”或“副本”的字样。投标人应根据投标人须知前附表要求提供电子版文件。当副本和正本不一致或电子版文件和纸质正本文件不一致时，以纸质正本文件为准。</w:t>
      </w:r>
    </w:p>
    <w:p>
      <w:pPr>
        <w:spacing w:line="360" w:lineRule="auto"/>
        <w:ind w:firstLine="440" w:firstLineChars="200"/>
      </w:pPr>
      <w:r>
        <w:rPr>
          <w:rFonts w:hint="eastAsia"/>
          <w:strike/>
        </w:rPr>
        <w:t>（3）投标文件的正本与副本应分别装订，并编制目录，投标文件需分册装订的，具体分 册装订要求见投标人须知前附表规定。</w:t>
      </w:r>
    </w:p>
    <w:p>
      <w:pPr>
        <w:spacing w:line="360" w:lineRule="auto"/>
        <w:ind w:firstLine="440" w:firstLineChars="200"/>
      </w:pPr>
      <w:r>
        <w:rPr>
          <w:rFonts w:hint="eastAsia"/>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4.投标</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4.1投标文件的密封和标记</w:t>
      </w:r>
    </w:p>
    <w:p>
      <w:pPr>
        <w:spacing w:line="360" w:lineRule="auto"/>
        <w:ind w:firstLine="440" w:firstLineChars="200"/>
      </w:pPr>
      <w:r>
        <w:rPr>
          <w:rFonts w:hint="eastAsia"/>
          <w:strike/>
        </w:rPr>
        <w:t>4.1.1（A）投标文件应密封包装，并在封套的封口处加盖投标人单位章或由投标人的法定代表人或其授权的代理人签字。</w:t>
      </w:r>
    </w:p>
    <w:p>
      <w:pPr>
        <w:spacing w:line="360" w:lineRule="auto"/>
        <w:ind w:firstLine="440" w:firstLineChars="200"/>
      </w:pPr>
      <w:r>
        <w:rPr>
          <w:rFonts w:hint="eastAsia"/>
        </w:rPr>
        <w:t>4.1.1（B）投标人应当按照招标文件和电子招标投标交易平台的要求加密投标文件，具体要求见投标人须知前附表。</w:t>
      </w:r>
    </w:p>
    <w:p>
      <w:pPr>
        <w:spacing w:line="360" w:lineRule="auto"/>
        <w:ind w:firstLine="440" w:firstLineChars="200"/>
      </w:pPr>
      <w:r>
        <w:rPr>
          <w:rFonts w:hint="eastAsia"/>
        </w:rPr>
        <w:t>4.1.2投标文件封套上应写明的内容见投标人须知前附表。</w:t>
      </w:r>
    </w:p>
    <w:p>
      <w:pPr>
        <w:spacing w:line="360" w:lineRule="auto"/>
        <w:ind w:firstLine="440" w:firstLineChars="200"/>
      </w:pPr>
      <w:r>
        <w:rPr>
          <w:rFonts w:hint="eastAsia"/>
        </w:rPr>
        <w:t>4.1.3未按本章第 4.1.1 项要求密封的投标文件，招标人将予以拒收。</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4.2投标文件的递交</w:t>
      </w:r>
    </w:p>
    <w:p>
      <w:pPr>
        <w:spacing w:line="360" w:lineRule="auto"/>
        <w:ind w:firstLine="440" w:firstLineChars="200"/>
      </w:pPr>
      <w:r>
        <w:rPr>
          <w:rFonts w:hint="eastAsia"/>
        </w:rPr>
        <w:t>4.2.1投标人应在投标人须知前附表规定的投标截止时间前递交投标文件。</w:t>
      </w:r>
    </w:p>
    <w:p>
      <w:pPr>
        <w:spacing w:line="360" w:lineRule="auto"/>
        <w:ind w:firstLine="440" w:firstLineChars="200"/>
      </w:pPr>
      <w:r>
        <w:rPr>
          <w:rFonts w:hint="eastAsia"/>
          <w:strike/>
        </w:rPr>
        <w:t>4.2.2（A）投标人递交投标文件的地点：见投标人须知前附表。</w:t>
      </w:r>
    </w:p>
    <w:p>
      <w:pPr>
        <w:spacing w:line="360" w:lineRule="auto"/>
        <w:ind w:firstLine="440" w:firstLineChars="200"/>
      </w:pPr>
      <w:r>
        <w:rPr>
          <w:rFonts w:hint="eastAsia"/>
        </w:rPr>
        <w:t>4.2.2（B）投标人通过下载招标文件的电子招标投标交易平台递交电子投标文件。</w:t>
      </w:r>
    </w:p>
    <w:p>
      <w:pPr>
        <w:spacing w:line="360" w:lineRule="auto"/>
        <w:ind w:firstLine="440" w:firstLineChars="200"/>
      </w:pPr>
      <w:r>
        <w:rPr>
          <w:rFonts w:hint="eastAsia"/>
        </w:rPr>
        <w:t>4.2.3除投标人须知前附表另有规定外，投标人所递交的投标文件不予退还。</w:t>
      </w:r>
    </w:p>
    <w:p>
      <w:pPr>
        <w:spacing w:line="360" w:lineRule="auto"/>
        <w:ind w:firstLine="440" w:firstLineChars="200"/>
      </w:pPr>
      <w:r>
        <w:rPr>
          <w:rFonts w:hint="eastAsia"/>
          <w:strike/>
        </w:rPr>
        <w:t>4.2.4（A）招标人收到投标文件后，向投标人出具签收凭证。</w:t>
      </w:r>
    </w:p>
    <w:p>
      <w:pPr>
        <w:spacing w:line="360" w:lineRule="auto"/>
        <w:ind w:firstLine="440" w:firstLineChars="200"/>
      </w:pPr>
      <w:r>
        <w:rPr>
          <w:rFonts w:hint="eastAsia"/>
        </w:rPr>
        <w:t>4.2.4（B）投标人完成电子投标文件上传后，电子招标投标交易平台即时向投标人发出递交回执通知。递交时间以递交回执通知载明的传输完成时间为准。</w:t>
      </w:r>
    </w:p>
    <w:p>
      <w:pPr>
        <w:spacing w:line="360" w:lineRule="auto"/>
        <w:ind w:firstLine="440" w:firstLineChars="200"/>
        <w:rPr>
          <w:strike/>
        </w:rPr>
      </w:pPr>
      <w:r>
        <w:rPr>
          <w:rFonts w:hint="eastAsia"/>
          <w:strike/>
        </w:rPr>
        <w:t>4.2.5（A）逾期送达的投标文件，招标人将予以拒收。</w:t>
      </w:r>
    </w:p>
    <w:p>
      <w:pPr>
        <w:spacing w:line="360" w:lineRule="auto"/>
        <w:ind w:firstLine="440" w:firstLineChars="200"/>
      </w:pPr>
      <w:r>
        <w:rPr>
          <w:rFonts w:hint="eastAsia"/>
        </w:rPr>
        <w:t>4.2.5（B）逾期送达的投标文件，电子招标投标交易平台将予以拒收。</w:t>
      </w:r>
    </w:p>
    <w:p>
      <w:pPr>
        <w:pStyle w:val="11"/>
        <w:kinsoku w:val="0"/>
        <w:overflowPunct w:val="0"/>
        <w:spacing w:line="360" w:lineRule="auto"/>
        <w:ind w:firstLine="440" w:firstLineChars="200"/>
        <w:rPr>
          <w:color w:val="000000"/>
          <w:sz w:val="22"/>
          <w:szCs w:val="22"/>
          <w:u w:val="single"/>
        </w:rPr>
      </w:pPr>
      <w:r>
        <w:rPr>
          <w:rFonts w:hint="eastAsia"/>
          <w:color w:val="000000"/>
          <w:sz w:val="22"/>
          <w:szCs w:val="22"/>
          <w:u w:val="single"/>
        </w:rPr>
        <w:t>电子投标文件若出现以下情况之一的，招标人将否决其投标：</w:t>
      </w:r>
    </w:p>
    <w:p>
      <w:pPr>
        <w:pStyle w:val="11"/>
        <w:kinsoku w:val="0"/>
        <w:overflowPunct w:val="0"/>
        <w:spacing w:line="360" w:lineRule="auto"/>
        <w:ind w:firstLine="220" w:firstLineChars="100"/>
        <w:rPr>
          <w:color w:val="000000"/>
          <w:sz w:val="22"/>
          <w:szCs w:val="22"/>
          <w:u w:val="single"/>
        </w:rPr>
      </w:pPr>
      <w:r>
        <w:rPr>
          <w:rFonts w:hint="eastAsia"/>
          <w:color w:val="000000"/>
          <w:sz w:val="22"/>
          <w:szCs w:val="22"/>
          <w:u w:val="single"/>
        </w:rPr>
        <w:t>A.电子投标文件未在投标截止时间前成功上传并保存在交易中心数字交易平台；</w:t>
      </w:r>
    </w:p>
    <w:p>
      <w:pPr>
        <w:pStyle w:val="11"/>
        <w:kinsoku w:val="0"/>
        <w:overflowPunct w:val="0"/>
        <w:spacing w:line="360" w:lineRule="auto"/>
        <w:ind w:firstLine="220" w:firstLineChars="100"/>
        <w:rPr>
          <w:color w:val="000000"/>
          <w:sz w:val="22"/>
          <w:szCs w:val="22"/>
          <w:u w:val="single"/>
        </w:rPr>
      </w:pPr>
      <w:r>
        <w:rPr>
          <w:rFonts w:hint="eastAsia"/>
          <w:color w:val="000000"/>
          <w:sz w:val="22"/>
          <w:szCs w:val="22"/>
          <w:u w:val="single"/>
        </w:rPr>
        <w:t>B.因投标人原因造成电子投标文件未解密或逾期解密的；</w:t>
      </w:r>
    </w:p>
    <w:p>
      <w:pPr>
        <w:pStyle w:val="11"/>
        <w:kinsoku w:val="0"/>
        <w:overflowPunct w:val="0"/>
        <w:spacing w:line="360" w:lineRule="auto"/>
        <w:ind w:firstLine="220" w:firstLineChars="100"/>
        <w:rPr>
          <w:color w:val="000000"/>
          <w:sz w:val="22"/>
          <w:szCs w:val="22"/>
          <w:u w:val="single"/>
        </w:rPr>
      </w:pPr>
      <w:r>
        <w:rPr>
          <w:rFonts w:hint="eastAsia"/>
          <w:color w:val="000000"/>
          <w:sz w:val="22"/>
          <w:szCs w:val="22"/>
          <w:u w:val="single"/>
        </w:rPr>
        <w:t>C.未按招标文件要求提供投标保证金的；</w:t>
      </w:r>
    </w:p>
    <w:p>
      <w:pPr>
        <w:pStyle w:val="11"/>
        <w:kinsoku w:val="0"/>
        <w:overflowPunct w:val="0"/>
        <w:spacing w:line="360" w:lineRule="auto"/>
        <w:ind w:firstLine="220" w:firstLineChars="100"/>
        <w:rPr>
          <w:color w:val="000000"/>
          <w:sz w:val="22"/>
          <w:szCs w:val="22"/>
          <w:u w:val="single"/>
        </w:rPr>
      </w:pPr>
      <w:r>
        <w:rPr>
          <w:rFonts w:hint="eastAsia"/>
          <w:color w:val="000000"/>
          <w:sz w:val="22"/>
          <w:szCs w:val="22"/>
          <w:u w:val="single"/>
        </w:rPr>
        <w:t>D.两个（含两个）以上的投标人加密打包的电子投标文件电脑机器码一致的；</w:t>
      </w:r>
    </w:p>
    <w:p>
      <w:pPr>
        <w:pStyle w:val="11"/>
        <w:kinsoku w:val="0"/>
        <w:overflowPunct w:val="0"/>
        <w:spacing w:line="360" w:lineRule="auto"/>
        <w:ind w:firstLine="220" w:firstLineChars="100"/>
        <w:rPr>
          <w:color w:val="000000"/>
          <w:sz w:val="22"/>
          <w:szCs w:val="22"/>
          <w:u w:val="single"/>
        </w:rPr>
      </w:pPr>
      <w:r>
        <w:rPr>
          <w:rFonts w:hint="eastAsia"/>
          <w:color w:val="000000"/>
          <w:sz w:val="22"/>
          <w:szCs w:val="22"/>
          <w:u w:val="single"/>
        </w:rPr>
        <w:t>E.投标文件中的投标人、项目负责人（总监理工程师）与投标登记时的信息不一致的；</w:t>
      </w:r>
    </w:p>
    <w:p>
      <w:pPr>
        <w:pStyle w:val="11"/>
        <w:kinsoku w:val="0"/>
        <w:overflowPunct w:val="0"/>
        <w:spacing w:line="360" w:lineRule="auto"/>
        <w:ind w:firstLine="440" w:firstLineChars="200"/>
        <w:rPr>
          <w:color w:val="000000"/>
          <w:sz w:val="22"/>
          <w:szCs w:val="22"/>
          <w:u w:val="single"/>
        </w:rPr>
      </w:pPr>
      <w:r>
        <w:rPr>
          <w:rFonts w:hint="eastAsia"/>
          <w:color w:val="000000"/>
          <w:sz w:val="22"/>
          <w:szCs w:val="22"/>
          <w:u w:val="single"/>
        </w:rPr>
        <w:t>4.2.6投标文件的解密</w:t>
      </w:r>
    </w:p>
    <w:p>
      <w:pPr>
        <w:pStyle w:val="11"/>
        <w:kinsoku w:val="0"/>
        <w:overflowPunct w:val="0"/>
        <w:spacing w:line="360" w:lineRule="auto"/>
        <w:ind w:firstLine="440" w:firstLineChars="200"/>
        <w:rPr>
          <w:color w:val="000000"/>
          <w:sz w:val="22"/>
          <w:szCs w:val="22"/>
          <w:u w:val="single"/>
        </w:rPr>
      </w:pPr>
      <w:r>
        <w:rPr>
          <w:rFonts w:hint="eastAsia"/>
          <w:color w:val="000000"/>
          <w:sz w:val="22"/>
          <w:szCs w:val="22"/>
          <w:u w:val="single"/>
        </w:rPr>
        <w:t>（1）递交投标文件截止时间到达后的半小时内为投标人对电子投标文件解密时间。</w:t>
      </w:r>
    </w:p>
    <w:p>
      <w:pPr>
        <w:pStyle w:val="8"/>
        <w:spacing w:line="360" w:lineRule="auto"/>
        <w:rPr>
          <w:szCs w:val="22"/>
        </w:rPr>
      </w:pPr>
      <w:r>
        <w:rPr>
          <w:rFonts w:hint="eastAsia"/>
          <w:color w:val="000000"/>
          <w:szCs w:val="22"/>
          <w:u w:val="single"/>
        </w:rPr>
        <w:t>（2）投标人须在规定解密时间内使用制作该投标文件袋机构业务数字证书对投标文件进行解密。逾期未解密的电子投标文件将被否决。</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4.3投标文件的修改与撤回</w:t>
      </w:r>
    </w:p>
    <w:p>
      <w:pPr>
        <w:spacing w:line="360" w:lineRule="auto"/>
        <w:ind w:firstLine="440" w:firstLineChars="200"/>
      </w:pPr>
      <w:r>
        <w:rPr>
          <w:rFonts w:hint="eastAsia"/>
        </w:rPr>
        <w:t>4.3.1在本章第 4.2.1 项规定的投标截止时间前，投标人可以修改或撤回已递交的投标文件， 但应以书面形式通知招标人。</w:t>
      </w:r>
    </w:p>
    <w:p>
      <w:pPr>
        <w:spacing w:line="360" w:lineRule="auto"/>
        <w:ind w:firstLine="440" w:firstLineChars="200"/>
        <w:rPr>
          <w:strike/>
        </w:rPr>
      </w:pPr>
      <w:r>
        <w:rPr>
          <w:rFonts w:hint="eastAsia"/>
          <w:strike/>
        </w:rPr>
        <w:t>4.3.2（A）投标人修改或撤回已递交投标文件的书面通知应按照本章第 3.7.3（A）项的要求签字或盖章。招标人收到书面通知后，向投标人出具签收凭证。</w:t>
      </w:r>
    </w:p>
    <w:p>
      <w:pPr>
        <w:spacing w:line="360" w:lineRule="auto"/>
        <w:ind w:firstLine="440" w:firstLineChars="200"/>
      </w:pPr>
      <w:r>
        <w:rPr>
          <w:rFonts w:hint="eastAsia"/>
        </w:rPr>
        <w:t>4.3.2（B）投标人修改或撤回已递交投标文件的通知，应按照本章第 3.7.3（B）项的要求加盖电子印章。电子招标投标交易平台收到通知后，即时向投标人发出确认回执通知。</w:t>
      </w:r>
    </w:p>
    <w:p>
      <w:pPr>
        <w:spacing w:line="360" w:lineRule="auto"/>
        <w:ind w:firstLine="440" w:firstLineChars="200"/>
      </w:pPr>
      <w:r>
        <w:rPr>
          <w:rFonts w:hint="eastAsia"/>
        </w:rPr>
        <w:t>4.3.3投标人撤回投标文件的，招标人自收到投标人书面撤回通知之日起 5 日内退还已收取的投标保证金。</w:t>
      </w:r>
    </w:p>
    <w:p>
      <w:pPr>
        <w:spacing w:line="360" w:lineRule="auto"/>
        <w:ind w:firstLine="440" w:firstLineChars="200"/>
      </w:pPr>
      <w:r>
        <w:rPr>
          <w:rFonts w:hint="eastAsia"/>
        </w:rPr>
        <w:t>4.3.4修改的内容为投标文件的组成部分。修改的投标文件应按照本章第 3 条、第 4 条的规定进行编制、密封、标记和递交，并标明“修改”字样。</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5.开标</w:t>
      </w:r>
    </w:p>
    <w:p>
      <w:pPr>
        <w:spacing w:line="360" w:lineRule="auto"/>
        <w:rPr>
          <w:strike/>
        </w:rPr>
      </w:pPr>
      <w:r>
        <w:rPr>
          <w:rFonts w:hint="eastAsia" w:cs="Times New Roman"/>
          <w:b/>
          <w:bCs/>
          <w:strike/>
          <w:color w:val="000000"/>
          <w:kern w:val="2"/>
          <w:sz w:val="28"/>
          <w:szCs w:val="28"/>
          <w:lang w:val="en-US" w:bidi="ar-SA"/>
        </w:rPr>
        <w:t>5.1开标时间和地点（A）</w:t>
      </w:r>
    </w:p>
    <w:p>
      <w:pPr>
        <w:spacing w:line="360" w:lineRule="auto"/>
        <w:ind w:firstLine="440" w:firstLineChars="200"/>
      </w:pPr>
      <w:r>
        <w:rPr>
          <w:rFonts w:hint="eastAsia"/>
          <w:strike/>
        </w:rPr>
        <w:t>招标人在本章第 4.2.1 项规定的投标截止时间（开标时间）和投标人须知前附表规定的地点公开开标，并邀请所有投标人的法定代表人或其委托代理人准时参加。</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5.1开标时间和地点（B）</w:t>
      </w:r>
    </w:p>
    <w:p>
      <w:pPr>
        <w:spacing w:line="360" w:lineRule="auto"/>
        <w:ind w:firstLine="440" w:firstLineChars="200"/>
      </w:pPr>
      <w:r>
        <w:rPr>
          <w:rFonts w:hint="eastAsia"/>
        </w:rPr>
        <w:t>招标人在本章第 4.2.1 项规定的投标截止时间（开标时间）,通过电子招标投标交易平台公开开标，</w:t>
      </w:r>
      <w:r>
        <w:rPr>
          <w:color w:val="000000"/>
          <w:u w:val="single"/>
        </w:rPr>
        <w:t>和投标人须知前附表规定的地点公开开标，并邀请所有投标人的法定代表人或其委托代理人准时参加。</w:t>
      </w:r>
      <w:r>
        <w:rPr>
          <w:rFonts w:hint="eastAsia"/>
          <w:color w:val="000000"/>
          <w:u w:val="single"/>
        </w:rPr>
        <w:t>投标人</w:t>
      </w:r>
      <w:r>
        <w:rPr>
          <w:color w:val="000000"/>
          <w:u w:val="single"/>
        </w:rPr>
        <w:t>的法定代表人或其委托代理人</w:t>
      </w:r>
      <w:r>
        <w:rPr>
          <w:rFonts w:hint="eastAsia"/>
          <w:color w:val="000000"/>
          <w:u w:val="single"/>
        </w:rPr>
        <w:t>有权出席开标会，也可以自主决定不参加开标会，若投标人</w:t>
      </w:r>
      <w:r>
        <w:rPr>
          <w:color w:val="000000"/>
          <w:u w:val="single"/>
        </w:rPr>
        <w:t>的法定代表人或其委托代理人</w:t>
      </w:r>
      <w:r>
        <w:rPr>
          <w:rFonts w:hint="eastAsia"/>
          <w:color w:val="000000"/>
          <w:u w:val="single"/>
        </w:rPr>
        <w:t>对开标过程提出异议，须同时出示本人身份证原件。</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5.2开标程序</w:t>
      </w:r>
    </w:p>
    <w:p>
      <w:pPr>
        <w:spacing w:line="360" w:lineRule="auto"/>
      </w:pPr>
      <w:r>
        <w:rPr>
          <w:rFonts w:hint="eastAsia"/>
        </w:rPr>
        <w:t>主持人按下列程序进行开标：</w:t>
      </w:r>
    </w:p>
    <w:p>
      <w:pPr>
        <w:spacing w:line="360" w:lineRule="auto"/>
      </w:pPr>
      <w:r>
        <w:rPr>
          <w:rFonts w:hint="eastAsia"/>
        </w:rPr>
        <w:t>（1）宣布开标纪律；</w:t>
      </w:r>
    </w:p>
    <w:p>
      <w:pPr>
        <w:spacing w:line="360" w:lineRule="auto"/>
      </w:pPr>
      <w:r>
        <w:rPr>
          <w:rFonts w:hint="eastAsia"/>
        </w:rPr>
        <w:t>（2）公布在投标截止时间前递交投标文件的投标人名称；</w:t>
      </w:r>
    </w:p>
    <w:p>
      <w:pPr>
        <w:spacing w:line="360" w:lineRule="auto"/>
      </w:pPr>
      <w:r>
        <w:rPr>
          <w:rFonts w:hint="eastAsia"/>
        </w:rPr>
        <w:t>（3）宣布开标人、唱标人、记录人、监标人等有关人员姓名；</w:t>
      </w:r>
    </w:p>
    <w:p>
      <w:pPr>
        <w:spacing w:line="360" w:lineRule="auto"/>
      </w:pPr>
      <w:r>
        <w:rPr>
          <w:rFonts w:hint="eastAsia"/>
          <w:strike/>
        </w:rPr>
        <w:t>（4）（A）检查投标文件的密封情况，按照投标人须知前附表规定的开标顺序当众开标，公布招标项目名称、投标人名称、投标保证金的递交情况、投标报价、监理服务期限及其他内容，并记录在案；</w:t>
      </w:r>
    </w:p>
    <w:p>
      <w:pPr>
        <w:spacing w:line="360" w:lineRule="auto"/>
      </w:pPr>
      <w:r>
        <w:rPr>
          <w:rFonts w:hint="eastAsia"/>
        </w:rPr>
        <w:t>（4）（B）投标人通过电子招标投标交易平台对已递交的电子投标文件进行解密，公布招标项目名称、投标人名称、投标保证金的递交情况、投标报价、监理服务期限及其他内容，并记录在案；</w:t>
      </w:r>
    </w:p>
    <w:p>
      <w:pPr>
        <w:spacing w:line="360" w:lineRule="auto"/>
      </w:pPr>
      <w:r>
        <w:rPr>
          <w:rFonts w:hint="eastAsia"/>
          <w:strike/>
        </w:rPr>
        <w:t>（5）（A）投标人代表、招标人代表、监标人、记录人等有关人员在开标记录上签字确认；</w:t>
      </w:r>
    </w:p>
    <w:p>
      <w:pPr>
        <w:spacing w:line="360" w:lineRule="auto"/>
      </w:pPr>
      <w:r>
        <w:rPr>
          <w:rFonts w:hint="eastAsia"/>
        </w:rPr>
        <w:t>（5）（B）投标人代表、招标人代表、监标人、记录人等有关人员使用本人的电子印章在开标记录上签字确认；</w:t>
      </w:r>
    </w:p>
    <w:p>
      <w:pPr>
        <w:spacing w:line="360" w:lineRule="auto"/>
      </w:pPr>
      <w:r>
        <w:rPr>
          <w:rFonts w:hint="eastAsia"/>
        </w:rPr>
        <w:t>（6）开标结束。</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5.3开标异议</w:t>
      </w:r>
    </w:p>
    <w:p>
      <w:pPr>
        <w:spacing w:line="360" w:lineRule="auto"/>
      </w:pPr>
      <w:r>
        <w:rPr>
          <w:rFonts w:hint="eastAsia"/>
        </w:rPr>
        <w:t>投标人对开标有异议的，应当在开标现场提出，招标人当场作出答复，并制作记录。</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6.评标</w:t>
      </w:r>
    </w:p>
    <w:p>
      <w:pPr>
        <w:spacing w:line="360" w:lineRule="auto"/>
      </w:pPr>
      <w:r>
        <w:rPr>
          <w:rFonts w:hint="eastAsia" w:cs="Times New Roman"/>
          <w:b/>
          <w:bCs/>
          <w:color w:val="000000"/>
          <w:kern w:val="2"/>
          <w:sz w:val="28"/>
          <w:szCs w:val="28"/>
          <w:lang w:val="en-US" w:bidi="ar-SA"/>
        </w:rPr>
        <w:t>6.1评标委员会</w:t>
      </w:r>
    </w:p>
    <w:p>
      <w:pPr>
        <w:spacing w:line="360" w:lineRule="auto"/>
        <w:ind w:firstLine="440" w:firstLineChars="200"/>
      </w:pPr>
      <w:r>
        <w:rPr>
          <w:rFonts w:hint="eastAsia"/>
        </w:rPr>
        <w:t>6.1.1评标由招标人依法组建的评标委员会负责。评标委员会成员人数以及技术、经济等方面专家的确定方式见投标人须知前附表。</w:t>
      </w:r>
    </w:p>
    <w:p>
      <w:pPr>
        <w:spacing w:line="360" w:lineRule="auto"/>
        <w:ind w:firstLine="440" w:firstLineChars="200"/>
      </w:pPr>
      <w:r>
        <w:rPr>
          <w:rFonts w:hint="eastAsia"/>
        </w:rPr>
        <w:t>6.1.2评标委员会成员有下列情形之一的，应当回避：</w:t>
      </w:r>
    </w:p>
    <w:p>
      <w:pPr>
        <w:spacing w:line="360" w:lineRule="auto"/>
        <w:ind w:firstLine="440" w:firstLineChars="200"/>
      </w:pPr>
      <w:r>
        <w:rPr>
          <w:rFonts w:hint="eastAsia"/>
        </w:rPr>
        <w:t>（1）投标人或投标人主要负责人的近亲属；</w:t>
      </w:r>
    </w:p>
    <w:p>
      <w:pPr>
        <w:spacing w:line="360" w:lineRule="auto"/>
        <w:ind w:firstLine="440" w:firstLineChars="200"/>
      </w:pPr>
      <w:r>
        <w:rPr>
          <w:rFonts w:hint="eastAsia"/>
        </w:rPr>
        <w:t>（2）项目主管部门或者行政监督部门的人员；</w:t>
      </w:r>
    </w:p>
    <w:p>
      <w:pPr>
        <w:spacing w:line="360" w:lineRule="auto"/>
        <w:ind w:firstLine="440" w:firstLineChars="200"/>
      </w:pPr>
      <w:r>
        <w:rPr>
          <w:rFonts w:hint="eastAsia"/>
        </w:rPr>
        <w:t>（3）与投标人有经济利益关系，可能影响对投标公正评审的；</w:t>
      </w:r>
    </w:p>
    <w:p>
      <w:pPr>
        <w:spacing w:line="360" w:lineRule="auto"/>
        <w:ind w:firstLine="440" w:firstLineChars="200"/>
      </w:pPr>
      <w:r>
        <w:rPr>
          <w:rFonts w:hint="eastAsia"/>
        </w:rPr>
        <w:t>（4）曾因在招标、评标以及其他与招标投标有关活动中从事违法行为而受过行政处罚或刑事处罚的；</w:t>
      </w:r>
    </w:p>
    <w:p>
      <w:pPr>
        <w:spacing w:line="360" w:lineRule="auto"/>
        <w:ind w:firstLine="440" w:firstLineChars="200"/>
      </w:pPr>
      <w:r>
        <w:rPr>
          <w:rFonts w:hint="eastAsia"/>
        </w:rPr>
        <w:t>（5）与投标人有其他利害关系。</w:t>
      </w:r>
    </w:p>
    <w:p>
      <w:pPr>
        <w:spacing w:line="360" w:lineRule="auto"/>
        <w:ind w:firstLine="440" w:firstLineChars="200"/>
      </w:pPr>
      <w:r>
        <w:rPr>
          <w:rFonts w:hint="eastAsia"/>
        </w:rPr>
        <w:t>6.1.3评标过程中，评标委员会成员有回避事由、擅离职守或者因健康等原因不能继续评标的，招标人有权更换。被更换的评标委员会成员作出的评审结论无效，由更换后的评标委员会成员重新进行评审。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6.2评标原则</w:t>
      </w:r>
    </w:p>
    <w:p>
      <w:pPr>
        <w:spacing w:line="360" w:lineRule="auto"/>
      </w:pPr>
      <w:r>
        <w:rPr>
          <w:rFonts w:hint="eastAsia"/>
        </w:rPr>
        <w:t>评标活动遵循公平、公正、科学和择优的原则。</w:t>
      </w:r>
    </w:p>
    <w:p>
      <w:pPr>
        <w:spacing w:line="360" w:lineRule="auto"/>
      </w:pPr>
      <w:r>
        <w:rPr>
          <w:rFonts w:hint="eastAsia" w:cs="Times New Roman"/>
          <w:b/>
          <w:bCs/>
          <w:color w:val="000000"/>
          <w:kern w:val="2"/>
          <w:sz w:val="28"/>
          <w:szCs w:val="28"/>
          <w:lang w:val="en-US" w:bidi="ar-SA"/>
        </w:rPr>
        <w:t>6.3评标</w:t>
      </w:r>
    </w:p>
    <w:p>
      <w:pPr>
        <w:spacing w:line="360" w:lineRule="auto"/>
        <w:ind w:firstLine="440" w:firstLineChars="200"/>
      </w:pPr>
      <w:r>
        <w:rPr>
          <w:rFonts w:hint="eastAsia"/>
        </w:rPr>
        <w:t>6.3.1评标委员会按照第三章“评标办法”规定的方法、评审因素、标准和程序对投标文件进行评审。第三章“评标办法”没有规定的方法、评审因素和标准，不作为评标依据。</w:t>
      </w:r>
    </w:p>
    <w:p>
      <w:pPr>
        <w:spacing w:line="360" w:lineRule="auto"/>
        <w:ind w:firstLine="440" w:firstLineChars="200"/>
      </w:pPr>
      <w:r>
        <w:rPr>
          <w:rFonts w:hint="eastAsia"/>
        </w:rPr>
        <w:t>6.3.2评标完成后，评标委员会应当向招标人提交书面评标报告和中标候选人名单。评标委员会推荐中标候选人的人数见投标人须知前附表。</w:t>
      </w:r>
    </w:p>
    <w:p>
      <w:pPr>
        <w:pStyle w:val="8"/>
        <w:spacing w:after="240" w:afterLines="100"/>
      </w:pPr>
      <w:r>
        <w:rPr>
          <w:rFonts w:hint="eastAsia"/>
          <w:color w:val="000000"/>
          <w:u w:val="single"/>
        </w:rPr>
        <w:t>在电子评标过程中，无论遇到任何系统异常或故障，评标委员会均应出具评标报告。</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7.合同授予</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7.1中标候选人公示</w:t>
      </w:r>
    </w:p>
    <w:p>
      <w:pPr>
        <w:spacing w:line="360" w:lineRule="auto"/>
        <w:ind w:firstLine="440" w:firstLineChars="200"/>
      </w:pPr>
      <w:r>
        <w:rPr>
          <w:rFonts w:hint="eastAsia"/>
        </w:rPr>
        <w:t>招标人在收到评标报告之日起 3 日内，按照投标人须知前附表规定的公示媒介和期限公示</w:t>
      </w:r>
    </w:p>
    <w:p>
      <w:pPr>
        <w:spacing w:line="360" w:lineRule="auto"/>
      </w:pPr>
      <w:r>
        <w:rPr>
          <w:rFonts w:hint="eastAsia"/>
        </w:rPr>
        <w:t>中标候选人，公示期不得少于 3 天。</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7.2评标结果异议</w:t>
      </w:r>
    </w:p>
    <w:p>
      <w:pPr>
        <w:spacing w:line="360" w:lineRule="auto"/>
        <w:ind w:firstLine="440" w:firstLineChars="200"/>
      </w:pPr>
      <w:r>
        <w:rPr>
          <w:rFonts w:hint="eastAsia"/>
        </w:rPr>
        <w:t>投标人或者其他利害关系人对评标结果有异议的，应当在中标候选人公示期间提出。招标人将在收到异议之日起 3 日内作出答复；作出答复前，将暂停招标投标活动。</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7.3中标候选人履约能力审查</w:t>
      </w:r>
    </w:p>
    <w:p>
      <w:pPr>
        <w:spacing w:line="360" w:lineRule="auto"/>
        <w:ind w:firstLine="440" w:firstLineChars="200"/>
      </w:pPr>
      <w:r>
        <w:rPr>
          <w:rFonts w:hint="eastAsia"/>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7.4定标</w:t>
      </w:r>
    </w:p>
    <w:p>
      <w:pPr>
        <w:spacing w:line="360" w:lineRule="auto"/>
        <w:ind w:firstLine="440" w:firstLineChars="200"/>
      </w:pPr>
      <w:r>
        <w:rPr>
          <w:rFonts w:hint="eastAsia"/>
        </w:rPr>
        <w:t>按照投标人须知前附表的规定，招标人或招标人授权的评标委员会依法确定中标人。</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7.5中标通知</w:t>
      </w:r>
    </w:p>
    <w:p>
      <w:pPr>
        <w:spacing w:line="360" w:lineRule="auto"/>
        <w:ind w:firstLine="440" w:firstLineChars="200"/>
      </w:pPr>
      <w:r>
        <w:rPr>
          <w:rFonts w:hint="eastAsia"/>
          <w:lang w:val="en-US"/>
        </w:rPr>
        <w:t>7.5.1</w:t>
      </w:r>
      <w:r>
        <w:rPr>
          <w:rFonts w:hint="eastAsia"/>
        </w:rPr>
        <w:t>在本章第 3.3 款规定的投标有效期内，招标人以书面形式向中标人发出中标通知书</w:t>
      </w:r>
      <w:r>
        <w:rPr>
          <w:rFonts w:hint="eastAsia"/>
          <w:strike/>
        </w:rPr>
        <w:t>，同时将中标结果通知未中标的投标人</w:t>
      </w:r>
      <w:r>
        <w:rPr>
          <w:rFonts w:hint="eastAsia"/>
        </w:rPr>
        <w:t>。</w:t>
      </w:r>
    </w:p>
    <w:p>
      <w:pPr>
        <w:spacing w:line="360" w:lineRule="auto"/>
      </w:pPr>
      <w:r>
        <w:rPr>
          <w:rFonts w:hint="eastAsia" w:cs="Times New Roman"/>
          <w:b/>
          <w:bCs/>
          <w:color w:val="000000"/>
          <w:kern w:val="2"/>
          <w:sz w:val="28"/>
          <w:szCs w:val="28"/>
          <w:lang w:val="en-US" w:bidi="ar-SA"/>
        </w:rPr>
        <w:t>7.6履约保证金</w:t>
      </w:r>
    </w:p>
    <w:p>
      <w:pPr>
        <w:spacing w:line="360" w:lineRule="auto"/>
        <w:ind w:firstLine="440" w:firstLineChars="200"/>
      </w:pPr>
      <w:r>
        <w:rPr>
          <w:rFonts w:hint="eastAsia"/>
        </w:rPr>
        <w:t>7.6.1在签订合同前，中标人应按投标人须知前附表规定的形式、金额和招标文件第四章“合</w:t>
      </w:r>
    </w:p>
    <w:p>
      <w:pPr>
        <w:spacing w:line="360" w:lineRule="auto"/>
      </w:pPr>
      <w:r>
        <w:rPr>
          <w:rFonts w:hint="eastAsia"/>
        </w:rPr>
        <w:t>同条款及格式”规定的或者事先经过招标人书面认可的履约保证金格式向招标人提交履约保证金。除投标人须知前附表另有规定外，履约保证金为中标合同金额的 10%。</w:t>
      </w:r>
      <w:r>
        <w:rPr>
          <w:rFonts w:hint="eastAsia"/>
          <w:strike/>
        </w:rPr>
        <w:t>联合体中标的，其履约保证金以联合体各方或者联合体中牵头人的名义提交。</w:t>
      </w:r>
    </w:p>
    <w:p>
      <w:pPr>
        <w:spacing w:line="360" w:lineRule="auto"/>
        <w:ind w:firstLine="440" w:firstLineChars="200"/>
      </w:pPr>
      <w:r>
        <w:rPr>
          <w:rFonts w:hint="eastAsia"/>
        </w:rPr>
        <w:t>7.6.2中标人不能按本章第 7.6.1 项要求提交履约保证金的，视为放弃中标，其投标保证金不予退还，给招标人造成的损失超过投标保证金数额的，中标人还应当对超过部分予以赔偿。</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7.7签订合同</w:t>
      </w:r>
    </w:p>
    <w:p>
      <w:pPr>
        <w:spacing w:line="360" w:lineRule="auto"/>
        <w:ind w:firstLine="440" w:firstLineChars="200"/>
      </w:pPr>
      <w:r>
        <w:rPr>
          <w:rFonts w:hint="eastAsia"/>
        </w:rPr>
        <w:t>7.7.1招标人和中标人应当在中标通知书发出之日起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40" w:firstLineChars="200"/>
      </w:pPr>
      <w:r>
        <w:rPr>
          <w:rFonts w:hint="eastAsia"/>
        </w:rPr>
        <w:t>7.7.2发出中标通知书后，招标人无正当理由拒签合同，或者在签订合同时向中标人提出附加条件的，</w:t>
      </w:r>
      <w:r>
        <w:rPr>
          <w:rFonts w:hint="eastAsia"/>
          <w:color w:val="000000"/>
          <w:u w:val="single"/>
        </w:rPr>
        <w:t>招标人通知广州公共资源交易中心向中标人退还投标保证金</w:t>
      </w:r>
      <w:r>
        <w:rPr>
          <w:rFonts w:hint="eastAsia"/>
        </w:rPr>
        <w:t>；给中标人造成损失的，还应当赔偿损失。</w:t>
      </w:r>
    </w:p>
    <w:p>
      <w:pPr>
        <w:spacing w:line="360" w:lineRule="auto"/>
        <w:ind w:firstLine="440" w:firstLineChars="200"/>
      </w:pPr>
      <w:r>
        <w:rPr>
          <w:rFonts w:hint="eastAsia"/>
        </w:rPr>
        <w:t>7.7.3</w:t>
      </w:r>
      <w:r>
        <w:rPr>
          <w:rFonts w:hint="eastAsia"/>
          <w:color w:val="000000"/>
          <w:u w:val="single"/>
        </w:rPr>
        <w:t>招标人或建设管理单位支付监理费时，中标人应提供相应的等额合法有效的增值税发票。</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8.纪律和监督</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8.1对招标人的纪律要求</w:t>
      </w:r>
    </w:p>
    <w:p>
      <w:pPr>
        <w:spacing w:line="360" w:lineRule="auto"/>
        <w:ind w:firstLine="440" w:firstLineChars="200"/>
      </w:pPr>
      <w:r>
        <w:rPr>
          <w:rFonts w:hint="eastAsia"/>
        </w:rPr>
        <w:t>招标人不得泄露招标投标活动中应当保密的情况和资料，不得与投标人串通损害国家利益、社会公共利益或者他人合法权益。</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8.2对投标人的纪律要求</w:t>
      </w:r>
    </w:p>
    <w:p>
      <w:pPr>
        <w:spacing w:line="360" w:lineRule="auto"/>
        <w:ind w:firstLine="44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8.3对评标委员会成员的纪律要求</w:t>
      </w:r>
    </w:p>
    <w:p>
      <w:pPr>
        <w:spacing w:line="360" w:lineRule="auto"/>
        <w:ind w:firstLine="440" w:firstLineChars="200"/>
      </w:pPr>
      <w:r>
        <w:rPr>
          <w:rFonts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8.4对与评标活动有关的工作人员的纪律要求</w:t>
      </w:r>
    </w:p>
    <w:p>
      <w:pPr>
        <w:spacing w:line="360" w:lineRule="auto"/>
        <w:ind w:firstLine="440" w:firstLineChars="200"/>
      </w:pPr>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8.5投诉</w:t>
      </w:r>
    </w:p>
    <w:p>
      <w:pPr>
        <w:spacing w:line="360" w:lineRule="auto"/>
        <w:ind w:firstLine="440" w:firstLineChars="200"/>
      </w:pPr>
      <w:r>
        <w:rPr>
          <w:rFonts w:hint="eastAsia"/>
        </w:rPr>
        <w:t>8.5.1投标人或者其他利害关系人认为招标投标活动不符合法律、行政法规规定的，可以自知道或者应当知道之日起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40" w:firstLineChars="200"/>
      </w:pPr>
      <w:r>
        <w:rPr>
          <w:rFonts w:hint="eastAsia"/>
        </w:rPr>
        <w:t>8.5.2投标人或者其他利害关系人对招标文件、开标和评标结果提出投诉的，应当按照投标人须知第 2.4 款、第 5.3 款和第 7.2 款的规定先向招标人提出异议。异议答复期间不计算在第 8.5.1 项规定的期限内。</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9.是否采用电子招标投标</w:t>
      </w:r>
    </w:p>
    <w:p>
      <w:pPr>
        <w:spacing w:line="360" w:lineRule="auto"/>
        <w:ind w:firstLine="440" w:firstLineChars="200"/>
      </w:pPr>
      <w:r>
        <w:rPr>
          <w:rFonts w:hint="eastAsia"/>
        </w:rPr>
        <w:t>本招标项目是否采用电子招标投标方式，见投标人须知前附表。</w:t>
      </w:r>
    </w:p>
    <w:p>
      <w:pPr>
        <w:spacing w:line="360" w:lineRule="auto"/>
        <w:rPr>
          <w:rFonts w:cs="Times New Roman"/>
          <w:b/>
          <w:bCs/>
          <w:color w:val="000000"/>
          <w:kern w:val="2"/>
          <w:sz w:val="28"/>
          <w:szCs w:val="28"/>
          <w:lang w:val="en-US" w:bidi="ar-SA"/>
        </w:rPr>
      </w:pPr>
      <w:r>
        <w:rPr>
          <w:rFonts w:hint="eastAsia" w:cs="Times New Roman"/>
          <w:b/>
          <w:bCs/>
          <w:color w:val="000000"/>
          <w:kern w:val="2"/>
          <w:sz w:val="28"/>
          <w:szCs w:val="28"/>
          <w:lang w:val="en-US" w:bidi="ar-SA"/>
        </w:rPr>
        <w:t>10.需要补充的其他内容</w:t>
      </w:r>
    </w:p>
    <w:p>
      <w:pPr>
        <w:spacing w:before="43" w:line="360" w:lineRule="auto"/>
        <w:ind w:left="377"/>
        <w:sectPr>
          <w:footerReference r:id="rId5" w:type="default"/>
          <w:pgSz w:w="12240" w:h="15840"/>
          <w:pgMar w:top="1500" w:right="1100" w:bottom="1120" w:left="1560" w:header="0" w:footer="841" w:gutter="0"/>
          <w:cols w:space="720" w:num="1"/>
        </w:sectPr>
      </w:pPr>
      <w:r>
        <w:rPr>
          <w:rFonts w:hint="eastAsia"/>
        </w:rPr>
        <w:t>需要补充的其他内容：见投标人须知前附表。</w:t>
      </w:r>
    </w:p>
    <w:p>
      <w:pPr>
        <w:spacing w:before="43" w:line="360" w:lineRule="auto"/>
        <w:ind w:left="377"/>
        <w:rPr>
          <w:sz w:val="28"/>
        </w:rPr>
      </w:pPr>
      <w:bookmarkStart w:id="11" w:name="_bookmark76"/>
      <w:bookmarkEnd w:id="11"/>
      <w:r>
        <w:rPr>
          <w:rFonts w:hint="eastAsia"/>
          <w:sz w:val="28"/>
        </w:rPr>
        <w:t>附件一：开标记录表</w:t>
      </w:r>
    </w:p>
    <w:p>
      <w:pPr>
        <w:pStyle w:val="11"/>
        <w:spacing w:line="360" w:lineRule="auto"/>
        <w:rPr>
          <w:sz w:val="20"/>
        </w:rPr>
      </w:pPr>
    </w:p>
    <w:p>
      <w:pPr>
        <w:pStyle w:val="11"/>
        <w:spacing w:before="8" w:line="360" w:lineRule="auto"/>
      </w:pPr>
    </w:p>
    <w:p>
      <w:pPr>
        <w:spacing w:before="61" w:line="360" w:lineRule="auto"/>
        <w:ind w:right="456"/>
        <w:jc w:val="center"/>
        <w:rPr>
          <w:sz w:val="28"/>
        </w:rPr>
      </w:pPr>
      <w:r>
        <w:rPr>
          <w:rFonts w:hint="eastAsia"/>
          <w:b/>
          <w:bCs/>
          <w:sz w:val="28"/>
        </w:rPr>
        <w:t>开标记录表（参考格式）</w:t>
      </w:r>
    </w:p>
    <w:p>
      <w:pPr>
        <w:pStyle w:val="11"/>
        <w:tabs>
          <w:tab w:val="left" w:pos="3634"/>
          <w:tab w:val="left" w:pos="4788"/>
          <w:tab w:val="left" w:pos="5943"/>
          <w:tab w:val="left" w:pos="7098"/>
          <w:tab w:val="left" w:pos="8253"/>
        </w:tabs>
        <w:spacing w:before="237" w:line="360" w:lineRule="auto"/>
        <w:ind w:left="1637"/>
      </w:pPr>
      <w:r>
        <w:rPr>
          <w:rFonts w:hint="eastAsia"/>
        </w:rPr>
        <w:t>开标</w:t>
      </w:r>
      <w:r>
        <w:rPr>
          <w:rFonts w:hint="eastAsia"/>
          <w:spacing w:val="-3"/>
        </w:rPr>
        <w:t>时</w:t>
      </w:r>
      <w:r>
        <w:rPr>
          <w:rFonts w:hint="eastAsia"/>
        </w:rPr>
        <w:t>间：</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r>
        <w:rPr>
          <w:rFonts w:hint="eastAsia"/>
          <w:u w:val="single"/>
        </w:rPr>
        <w:t xml:space="preserve"> </w:t>
      </w:r>
      <w:r>
        <w:rPr>
          <w:rFonts w:hint="eastAsia"/>
          <w:u w:val="single"/>
        </w:rPr>
        <w:tab/>
      </w:r>
      <w:r>
        <w:rPr>
          <w:rFonts w:hint="eastAsia"/>
        </w:rPr>
        <w:t>时</w:t>
      </w:r>
      <w:r>
        <w:rPr>
          <w:rFonts w:hint="eastAsia"/>
          <w:u w:val="single"/>
        </w:rPr>
        <w:t xml:space="preserve"> </w:t>
      </w:r>
      <w:r>
        <w:rPr>
          <w:rFonts w:hint="eastAsia"/>
          <w:u w:val="single"/>
        </w:rPr>
        <w:tab/>
      </w:r>
      <w:r>
        <w:rPr>
          <w:rFonts w:hint="eastAsia"/>
        </w:rPr>
        <w:t>分</w:t>
      </w:r>
    </w:p>
    <w:p>
      <w:pPr>
        <w:pStyle w:val="11"/>
        <w:spacing w:before="1" w:line="360" w:lineRule="auto"/>
        <w:rPr>
          <w:sz w:val="11"/>
        </w:rPr>
      </w:pPr>
    </w:p>
    <w:tbl>
      <w:tblPr>
        <w:tblStyle w:val="21"/>
        <w:tblW w:w="103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1133"/>
        <w:gridCol w:w="853"/>
        <w:gridCol w:w="992"/>
        <w:gridCol w:w="711"/>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648" w:type="dxa"/>
            <w:vAlign w:val="center"/>
          </w:tcPr>
          <w:p>
            <w:pPr>
              <w:pStyle w:val="28"/>
              <w:spacing w:before="1" w:line="360" w:lineRule="auto"/>
              <w:ind w:left="143"/>
              <w:jc w:val="center"/>
              <w:rPr>
                <w:sz w:val="18"/>
              </w:rPr>
            </w:pPr>
            <w:r>
              <w:rPr>
                <w:rFonts w:hint="eastAsia"/>
                <w:sz w:val="18"/>
              </w:rPr>
              <w:t>序号</w:t>
            </w:r>
          </w:p>
        </w:tc>
        <w:tc>
          <w:tcPr>
            <w:tcW w:w="1020" w:type="dxa"/>
            <w:vAlign w:val="center"/>
          </w:tcPr>
          <w:p>
            <w:pPr>
              <w:pStyle w:val="28"/>
              <w:spacing w:before="1" w:line="360" w:lineRule="auto"/>
              <w:ind w:left="239"/>
              <w:jc w:val="center"/>
              <w:rPr>
                <w:sz w:val="18"/>
              </w:rPr>
            </w:pPr>
            <w:r>
              <w:rPr>
                <w:rFonts w:hint="eastAsia"/>
                <w:sz w:val="18"/>
              </w:rPr>
              <w:t>投标人</w:t>
            </w:r>
          </w:p>
        </w:tc>
        <w:tc>
          <w:tcPr>
            <w:tcW w:w="992" w:type="dxa"/>
            <w:vAlign w:val="center"/>
          </w:tcPr>
          <w:p>
            <w:pPr>
              <w:pStyle w:val="28"/>
              <w:spacing w:line="360" w:lineRule="auto"/>
              <w:ind w:left="113" w:right="110"/>
              <w:jc w:val="center"/>
              <w:rPr>
                <w:sz w:val="18"/>
              </w:rPr>
            </w:pPr>
            <w:r>
              <w:rPr>
                <w:rFonts w:hint="eastAsia"/>
                <w:sz w:val="18"/>
              </w:rPr>
              <w:t>投标保证</w:t>
            </w:r>
          </w:p>
          <w:p>
            <w:pPr>
              <w:pStyle w:val="28"/>
              <w:spacing w:line="360" w:lineRule="auto"/>
              <w:ind w:left="6"/>
              <w:jc w:val="center"/>
              <w:rPr>
                <w:sz w:val="18"/>
              </w:rPr>
            </w:pPr>
            <w:r>
              <w:rPr>
                <w:rFonts w:hint="eastAsia"/>
                <w:sz w:val="18"/>
              </w:rPr>
              <w:t>金</w:t>
            </w:r>
          </w:p>
        </w:tc>
        <w:tc>
          <w:tcPr>
            <w:tcW w:w="994" w:type="dxa"/>
            <w:vAlign w:val="center"/>
          </w:tcPr>
          <w:p>
            <w:pPr>
              <w:pStyle w:val="28"/>
              <w:spacing w:line="360" w:lineRule="auto"/>
              <w:ind w:left="205"/>
              <w:jc w:val="center"/>
              <w:rPr>
                <w:sz w:val="18"/>
              </w:rPr>
            </w:pPr>
            <w:r>
              <w:rPr>
                <w:rFonts w:hint="eastAsia"/>
                <w:sz w:val="18"/>
              </w:rPr>
              <w:t>投标报价</w:t>
            </w:r>
          </w:p>
          <w:p>
            <w:pPr>
              <w:pStyle w:val="28"/>
              <w:spacing w:line="360" w:lineRule="auto"/>
              <w:ind w:left="205"/>
              <w:jc w:val="center"/>
              <w:rPr>
                <w:sz w:val="18"/>
              </w:rPr>
            </w:pPr>
            <w:r>
              <w:rPr>
                <w:rFonts w:hint="eastAsia"/>
                <w:sz w:val="18"/>
              </w:rPr>
              <w:t>（元）</w:t>
            </w:r>
          </w:p>
        </w:tc>
        <w:tc>
          <w:tcPr>
            <w:tcW w:w="1133" w:type="dxa"/>
            <w:vAlign w:val="center"/>
          </w:tcPr>
          <w:p>
            <w:pPr>
              <w:spacing w:line="500" w:lineRule="exact"/>
              <w:jc w:val="center"/>
              <w:rPr>
                <w:sz w:val="18"/>
              </w:rPr>
            </w:pPr>
            <w:r>
              <w:rPr>
                <w:rFonts w:hint="eastAsia" w:ascii="Times New Roman" w:hAnsi="Times New Roman"/>
                <w:sz w:val="18"/>
              </w:rPr>
              <w:t>监理费下浮率（%）</w:t>
            </w:r>
          </w:p>
        </w:tc>
        <w:tc>
          <w:tcPr>
            <w:tcW w:w="853" w:type="dxa"/>
            <w:vAlign w:val="center"/>
          </w:tcPr>
          <w:p>
            <w:pPr>
              <w:spacing w:line="500" w:lineRule="exact"/>
              <w:jc w:val="center"/>
              <w:rPr>
                <w:sz w:val="18"/>
              </w:rPr>
            </w:pPr>
            <w:r>
              <w:rPr>
                <w:rFonts w:ascii="Times New Roman" w:hAnsi="Times New Roman"/>
                <w:sz w:val="18"/>
              </w:rPr>
              <w:t>总监理工程师</w:t>
            </w:r>
          </w:p>
        </w:tc>
        <w:tc>
          <w:tcPr>
            <w:tcW w:w="992" w:type="dxa"/>
            <w:vAlign w:val="center"/>
          </w:tcPr>
          <w:p>
            <w:pPr>
              <w:spacing w:line="500" w:lineRule="exact"/>
              <w:jc w:val="center"/>
              <w:rPr>
                <w:sz w:val="18"/>
              </w:rPr>
            </w:pPr>
            <w:r>
              <w:rPr>
                <w:rFonts w:ascii="Times New Roman" w:hAnsi="Times New Roman"/>
                <w:sz w:val="18"/>
              </w:rPr>
              <w:t>监理服务期限</w:t>
            </w:r>
          </w:p>
        </w:tc>
        <w:tc>
          <w:tcPr>
            <w:tcW w:w="711" w:type="dxa"/>
            <w:vAlign w:val="center"/>
          </w:tcPr>
          <w:p>
            <w:pPr>
              <w:spacing w:line="500" w:lineRule="exact"/>
              <w:jc w:val="center"/>
              <w:rPr>
                <w:sz w:val="18"/>
              </w:rPr>
            </w:pPr>
            <w:r>
              <w:rPr>
                <w:rFonts w:hint="eastAsia" w:ascii="Times New Roman" w:hAnsi="Times New Roman"/>
                <w:sz w:val="18"/>
              </w:rPr>
              <w:t>投标文件递交情况</w:t>
            </w:r>
          </w:p>
        </w:tc>
        <w:tc>
          <w:tcPr>
            <w:tcW w:w="992" w:type="dxa"/>
            <w:vAlign w:val="center"/>
          </w:tcPr>
          <w:p>
            <w:pPr>
              <w:spacing w:line="500" w:lineRule="exact"/>
              <w:jc w:val="center"/>
              <w:rPr>
                <w:sz w:val="18"/>
              </w:rPr>
            </w:pPr>
            <w:r>
              <w:rPr>
                <w:rFonts w:hint="eastAsia" w:ascii="Times New Roman" w:hAnsi="Times New Roman"/>
                <w:sz w:val="18"/>
              </w:rPr>
              <w:t>投标文件解密情况</w:t>
            </w:r>
          </w:p>
        </w:tc>
        <w:tc>
          <w:tcPr>
            <w:tcW w:w="992" w:type="dxa"/>
            <w:vAlign w:val="center"/>
          </w:tcPr>
          <w:p>
            <w:pPr>
              <w:spacing w:line="500" w:lineRule="exact"/>
              <w:jc w:val="center"/>
              <w:rPr>
                <w:sz w:val="18"/>
              </w:rPr>
            </w:pPr>
            <w:r>
              <w:rPr>
                <w:rFonts w:ascii="Times New Roman" w:hAnsi="Times New Roman"/>
                <w:sz w:val="18"/>
              </w:rPr>
              <w:t>备注</w:t>
            </w:r>
          </w:p>
        </w:tc>
        <w:tc>
          <w:tcPr>
            <w:tcW w:w="992" w:type="dxa"/>
            <w:vAlign w:val="center"/>
          </w:tcPr>
          <w:p>
            <w:pPr>
              <w:spacing w:line="500" w:lineRule="exact"/>
              <w:jc w:val="center"/>
              <w:rPr>
                <w:sz w:val="18"/>
              </w:rPr>
            </w:pPr>
            <w:r>
              <w:rPr>
                <w:rFonts w:ascii="Times New Roman" w:hAnsi="Times New Roman"/>
                <w:sz w:val="18"/>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648" w:type="dxa"/>
          </w:tcPr>
          <w:p>
            <w:pPr>
              <w:pStyle w:val="28"/>
              <w:spacing w:line="360" w:lineRule="auto"/>
              <w:rPr>
                <w:sz w:val="20"/>
              </w:rPr>
            </w:pPr>
          </w:p>
        </w:tc>
        <w:tc>
          <w:tcPr>
            <w:tcW w:w="1020" w:type="dxa"/>
          </w:tcPr>
          <w:p>
            <w:pPr>
              <w:pStyle w:val="28"/>
              <w:spacing w:line="360" w:lineRule="auto"/>
              <w:rPr>
                <w:sz w:val="20"/>
              </w:rPr>
            </w:pPr>
          </w:p>
        </w:tc>
        <w:tc>
          <w:tcPr>
            <w:tcW w:w="992" w:type="dxa"/>
          </w:tcPr>
          <w:p>
            <w:pPr>
              <w:pStyle w:val="28"/>
              <w:spacing w:line="360" w:lineRule="auto"/>
              <w:rPr>
                <w:sz w:val="20"/>
              </w:rPr>
            </w:pPr>
          </w:p>
        </w:tc>
        <w:tc>
          <w:tcPr>
            <w:tcW w:w="994" w:type="dxa"/>
          </w:tcPr>
          <w:p>
            <w:pPr>
              <w:pStyle w:val="28"/>
              <w:spacing w:line="360" w:lineRule="auto"/>
              <w:rPr>
                <w:sz w:val="20"/>
              </w:rPr>
            </w:pPr>
          </w:p>
        </w:tc>
        <w:tc>
          <w:tcPr>
            <w:tcW w:w="1133" w:type="dxa"/>
          </w:tcPr>
          <w:p>
            <w:pPr>
              <w:pStyle w:val="28"/>
              <w:spacing w:line="360" w:lineRule="auto"/>
              <w:rPr>
                <w:sz w:val="20"/>
              </w:rPr>
            </w:pPr>
          </w:p>
        </w:tc>
        <w:tc>
          <w:tcPr>
            <w:tcW w:w="853" w:type="dxa"/>
          </w:tcPr>
          <w:p>
            <w:pPr>
              <w:pStyle w:val="28"/>
              <w:spacing w:line="360" w:lineRule="auto"/>
              <w:rPr>
                <w:sz w:val="20"/>
              </w:rPr>
            </w:pPr>
          </w:p>
        </w:tc>
        <w:tc>
          <w:tcPr>
            <w:tcW w:w="992" w:type="dxa"/>
          </w:tcPr>
          <w:p>
            <w:pPr>
              <w:pStyle w:val="28"/>
              <w:spacing w:line="360" w:lineRule="auto"/>
              <w:rPr>
                <w:sz w:val="20"/>
              </w:rPr>
            </w:pPr>
          </w:p>
        </w:tc>
        <w:tc>
          <w:tcPr>
            <w:tcW w:w="711"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tcPr>
          <w:p>
            <w:pPr>
              <w:pStyle w:val="28"/>
              <w:spacing w:line="360" w:lineRule="auto"/>
              <w:rPr>
                <w:sz w:val="20"/>
              </w:rPr>
            </w:pPr>
          </w:p>
        </w:tc>
        <w:tc>
          <w:tcPr>
            <w:tcW w:w="1020" w:type="dxa"/>
          </w:tcPr>
          <w:p>
            <w:pPr>
              <w:pStyle w:val="28"/>
              <w:spacing w:line="360" w:lineRule="auto"/>
              <w:rPr>
                <w:sz w:val="20"/>
              </w:rPr>
            </w:pPr>
          </w:p>
        </w:tc>
        <w:tc>
          <w:tcPr>
            <w:tcW w:w="992" w:type="dxa"/>
          </w:tcPr>
          <w:p>
            <w:pPr>
              <w:pStyle w:val="28"/>
              <w:spacing w:line="360" w:lineRule="auto"/>
              <w:rPr>
                <w:sz w:val="20"/>
              </w:rPr>
            </w:pPr>
          </w:p>
        </w:tc>
        <w:tc>
          <w:tcPr>
            <w:tcW w:w="994" w:type="dxa"/>
          </w:tcPr>
          <w:p>
            <w:pPr>
              <w:pStyle w:val="28"/>
              <w:spacing w:line="360" w:lineRule="auto"/>
              <w:rPr>
                <w:sz w:val="20"/>
              </w:rPr>
            </w:pPr>
          </w:p>
        </w:tc>
        <w:tc>
          <w:tcPr>
            <w:tcW w:w="1133" w:type="dxa"/>
          </w:tcPr>
          <w:p>
            <w:pPr>
              <w:pStyle w:val="28"/>
              <w:spacing w:line="360" w:lineRule="auto"/>
              <w:rPr>
                <w:sz w:val="20"/>
              </w:rPr>
            </w:pPr>
          </w:p>
        </w:tc>
        <w:tc>
          <w:tcPr>
            <w:tcW w:w="853" w:type="dxa"/>
          </w:tcPr>
          <w:p>
            <w:pPr>
              <w:pStyle w:val="28"/>
              <w:spacing w:line="360" w:lineRule="auto"/>
              <w:rPr>
                <w:sz w:val="20"/>
              </w:rPr>
            </w:pPr>
          </w:p>
        </w:tc>
        <w:tc>
          <w:tcPr>
            <w:tcW w:w="992" w:type="dxa"/>
          </w:tcPr>
          <w:p>
            <w:pPr>
              <w:pStyle w:val="28"/>
              <w:spacing w:line="360" w:lineRule="auto"/>
              <w:rPr>
                <w:sz w:val="20"/>
              </w:rPr>
            </w:pPr>
          </w:p>
        </w:tc>
        <w:tc>
          <w:tcPr>
            <w:tcW w:w="711"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tcPr>
          <w:p>
            <w:pPr>
              <w:pStyle w:val="28"/>
              <w:spacing w:line="360" w:lineRule="auto"/>
              <w:rPr>
                <w:sz w:val="20"/>
              </w:rPr>
            </w:pPr>
          </w:p>
        </w:tc>
        <w:tc>
          <w:tcPr>
            <w:tcW w:w="1020" w:type="dxa"/>
          </w:tcPr>
          <w:p>
            <w:pPr>
              <w:pStyle w:val="28"/>
              <w:spacing w:line="360" w:lineRule="auto"/>
              <w:rPr>
                <w:sz w:val="20"/>
              </w:rPr>
            </w:pPr>
          </w:p>
        </w:tc>
        <w:tc>
          <w:tcPr>
            <w:tcW w:w="992" w:type="dxa"/>
          </w:tcPr>
          <w:p>
            <w:pPr>
              <w:pStyle w:val="28"/>
              <w:spacing w:line="360" w:lineRule="auto"/>
              <w:rPr>
                <w:sz w:val="20"/>
              </w:rPr>
            </w:pPr>
          </w:p>
        </w:tc>
        <w:tc>
          <w:tcPr>
            <w:tcW w:w="994" w:type="dxa"/>
          </w:tcPr>
          <w:p>
            <w:pPr>
              <w:pStyle w:val="28"/>
              <w:spacing w:line="360" w:lineRule="auto"/>
              <w:rPr>
                <w:sz w:val="20"/>
              </w:rPr>
            </w:pPr>
          </w:p>
        </w:tc>
        <w:tc>
          <w:tcPr>
            <w:tcW w:w="1133" w:type="dxa"/>
          </w:tcPr>
          <w:p>
            <w:pPr>
              <w:pStyle w:val="28"/>
              <w:spacing w:line="360" w:lineRule="auto"/>
              <w:rPr>
                <w:sz w:val="20"/>
              </w:rPr>
            </w:pPr>
          </w:p>
        </w:tc>
        <w:tc>
          <w:tcPr>
            <w:tcW w:w="853" w:type="dxa"/>
          </w:tcPr>
          <w:p>
            <w:pPr>
              <w:pStyle w:val="28"/>
              <w:spacing w:line="360" w:lineRule="auto"/>
              <w:rPr>
                <w:sz w:val="20"/>
              </w:rPr>
            </w:pPr>
          </w:p>
        </w:tc>
        <w:tc>
          <w:tcPr>
            <w:tcW w:w="992" w:type="dxa"/>
          </w:tcPr>
          <w:p>
            <w:pPr>
              <w:pStyle w:val="28"/>
              <w:spacing w:line="360" w:lineRule="auto"/>
              <w:rPr>
                <w:sz w:val="20"/>
              </w:rPr>
            </w:pPr>
          </w:p>
        </w:tc>
        <w:tc>
          <w:tcPr>
            <w:tcW w:w="711"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tcPr>
          <w:p>
            <w:pPr>
              <w:pStyle w:val="28"/>
              <w:spacing w:line="360" w:lineRule="auto"/>
              <w:rPr>
                <w:sz w:val="20"/>
              </w:rPr>
            </w:pPr>
          </w:p>
        </w:tc>
        <w:tc>
          <w:tcPr>
            <w:tcW w:w="1020" w:type="dxa"/>
          </w:tcPr>
          <w:p>
            <w:pPr>
              <w:pStyle w:val="28"/>
              <w:spacing w:line="360" w:lineRule="auto"/>
              <w:rPr>
                <w:sz w:val="20"/>
              </w:rPr>
            </w:pPr>
          </w:p>
        </w:tc>
        <w:tc>
          <w:tcPr>
            <w:tcW w:w="992" w:type="dxa"/>
          </w:tcPr>
          <w:p>
            <w:pPr>
              <w:pStyle w:val="28"/>
              <w:spacing w:line="360" w:lineRule="auto"/>
              <w:rPr>
                <w:sz w:val="20"/>
              </w:rPr>
            </w:pPr>
          </w:p>
        </w:tc>
        <w:tc>
          <w:tcPr>
            <w:tcW w:w="994" w:type="dxa"/>
          </w:tcPr>
          <w:p>
            <w:pPr>
              <w:pStyle w:val="28"/>
              <w:spacing w:line="360" w:lineRule="auto"/>
              <w:rPr>
                <w:sz w:val="20"/>
              </w:rPr>
            </w:pPr>
          </w:p>
        </w:tc>
        <w:tc>
          <w:tcPr>
            <w:tcW w:w="1133" w:type="dxa"/>
          </w:tcPr>
          <w:p>
            <w:pPr>
              <w:pStyle w:val="28"/>
              <w:spacing w:line="360" w:lineRule="auto"/>
              <w:rPr>
                <w:sz w:val="20"/>
              </w:rPr>
            </w:pPr>
          </w:p>
        </w:tc>
        <w:tc>
          <w:tcPr>
            <w:tcW w:w="853" w:type="dxa"/>
          </w:tcPr>
          <w:p>
            <w:pPr>
              <w:pStyle w:val="28"/>
              <w:spacing w:line="360" w:lineRule="auto"/>
              <w:rPr>
                <w:sz w:val="20"/>
              </w:rPr>
            </w:pPr>
          </w:p>
        </w:tc>
        <w:tc>
          <w:tcPr>
            <w:tcW w:w="992" w:type="dxa"/>
          </w:tcPr>
          <w:p>
            <w:pPr>
              <w:pStyle w:val="28"/>
              <w:spacing w:line="360" w:lineRule="auto"/>
              <w:rPr>
                <w:sz w:val="20"/>
              </w:rPr>
            </w:pPr>
          </w:p>
        </w:tc>
        <w:tc>
          <w:tcPr>
            <w:tcW w:w="711"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tcPr>
          <w:p>
            <w:pPr>
              <w:pStyle w:val="28"/>
              <w:spacing w:line="360" w:lineRule="auto"/>
              <w:rPr>
                <w:sz w:val="20"/>
              </w:rPr>
            </w:pPr>
          </w:p>
        </w:tc>
        <w:tc>
          <w:tcPr>
            <w:tcW w:w="1020" w:type="dxa"/>
          </w:tcPr>
          <w:p>
            <w:pPr>
              <w:pStyle w:val="28"/>
              <w:spacing w:line="360" w:lineRule="auto"/>
              <w:rPr>
                <w:sz w:val="20"/>
              </w:rPr>
            </w:pPr>
          </w:p>
        </w:tc>
        <w:tc>
          <w:tcPr>
            <w:tcW w:w="992" w:type="dxa"/>
          </w:tcPr>
          <w:p>
            <w:pPr>
              <w:pStyle w:val="28"/>
              <w:spacing w:line="360" w:lineRule="auto"/>
              <w:rPr>
                <w:sz w:val="20"/>
              </w:rPr>
            </w:pPr>
          </w:p>
        </w:tc>
        <w:tc>
          <w:tcPr>
            <w:tcW w:w="994" w:type="dxa"/>
          </w:tcPr>
          <w:p>
            <w:pPr>
              <w:pStyle w:val="28"/>
              <w:spacing w:line="360" w:lineRule="auto"/>
              <w:rPr>
                <w:sz w:val="20"/>
              </w:rPr>
            </w:pPr>
          </w:p>
        </w:tc>
        <w:tc>
          <w:tcPr>
            <w:tcW w:w="1133" w:type="dxa"/>
          </w:tcPr>
          <w:p>
            <w:pPr>
              <w:pStyle w:val="28"/>
              <w:spacing w:line="360" w:lineRule="auto"/>
              <w:rPr>
                <w:sz w:val="20"/>
              </w:rPr>
            </w:pPr>
          </w:p>
        </w:tc>
        <w:tc>
          <w:tcPr>
            <w:tcW w:w="853" w:type="dxa"/>
          </w:tcPr>
          <w:p>
            <w:pPr>
              <w:pStyle w:val="28"/>
              <w:spacing w:line="360" w:lineRule="auto"/>
              <w:rPr>
                <w:sz w:val="20"/>
              </w:rPr>
            </w:pPr>
          </w:p>
        </w:tc>
        <w:tc>
          <w:tcPr>
            <w:tcW w:w="992" w:type="dxa"/>
          </w:tcPr>
          <w:p>
            <w:pPr>
              <w:pStyle w:val="28"/>
              <w:spacing w:line="360" w:lineRule="auto"/>
              <w:rPr>
                <w:sz w:val="20"/>
              </w:rPr>
            </w:pPr>
          </w:p>
        </w:tc>
        <w:tc>
          <w:tcPr>
            <w:tcW w:w="711"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tcPr>
          <w:p>
            <w:pPr>
              <w:pStyle w:val="28"/>
              <w:spacing w:line="360" w:lineRule="auto"/>
              <w:rPr>
                <w:sz w:val="20"/>
              </w:rPr>
            </w:pPr>
          </w:p>
        </w:tc>
        <w:tc>
          <w:tcPr>
            <w:tcW w:w="1020" w:type="dxa"/>
          </w:tcPr>
          <w:p>
            <w:pPr>
              <w:pStyle w:val="28"/>
              <w:spacing w:line="360" w:lineRule="auto"/>
              <w:rPr>
                <w:sz w:val="20"/>
              </w:rPr>
            </w:pPr>
          </w:p>
        </w:tc>
        <w:tc>
          <w:tcPr>
            <w:tcW w:w="992" w:type="dxa"/>
          </w:tcPr>
          <w:p>
            <w:pPr>
              <w:pStyle w:val="28"/>
              <w:spacing w:line="360" w:lineRule="auto"/>
              <w:rPr>
                <w:sz w:val="20"/>
              </w:rPr>
            </w:pPr>
          </w:p>
        </w:tc>
        <w:tc>
          <w:tcPr>
            <w:tcW w:w="994" w:type="dxa"/>
          </w:tcPr>
          <w:p>
            <w:pPr>
              <w:pStyle w:val="28"/>
              <w:spacing w:line="360" w:lineRule="auto"/>
              <w:rPr>
                <w:sz w:val="20"/>
              </w:rPr>
            </w:pPr>
          </w:p>
        </w:tc>
        <w:tc>
          <w:tcPr>
            <w:tcW w:w="1133" w:type="dxa"/>
          </w:tcPr>
          <w:p>
            <w:pPr>
              <w:pStyle w:val="28"/>
              <w:spacing w:line="360" w:lineRule="auto"/>
              <w:rPr>
                <w:sz w:val="20"/>
              </w:rPr>
            </w:pPr>
          </w:p>
        </w:tc>
        <w:tc>
          <w:tcPr>
            <w:tcW w:w="853" w:type="dxa"/>
          </w:tcPr>
          <w:p>
            <w:pPr>
              <w:pStyle w:val="28"/>
              <w:spacing w:line="360" w:lineRule="auto"/>
              <w:rPr>
                <w:sz w:val="20"/>
              </w:rPr>
            </w:pPr>
          </w:p>
        </w:tc>
        <w:tc>
          <w:tcPr>
            <w:tcW w:w="992" w:type="dxa"/>
          </w:tcPr>
          <w:p>
            <w:pPr>
              <w:pStyle w:val="28"/>
              <w:spacing w:line="360" w:lineRule="auto"/>
              <w:rPr>
                <w:sz w:val="20"/>
              </w:rPr>
            </w:pPr>
          </w:p>
        </w:tc>
        <w:tc>
          <w:tcPr>
            <w:tcW w:w="711"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648" w:type="dxa"/>
          </w:tcPr>
          <w:p>
            <w:pPr>
              <w:pStyle w:val="28"/>
              <w:spacing w:line="360" w:lineRule="auto"/>
              <w:rPr>
                <w:sz w:val="20"/>
              </w:rPr>
            </w:pPr>
          </w:p>
        </w:tc>
        <w:tc>
          <w:tcPr>
            <w:tcW w:w="1020" w:type="dxa"/>
          </w:tcPr>
          <w:p>
            <w:pPr>
              <w:pStyle w:val="28"/>
              <w:spacing w:line="360" w:lineRule="auto"/>
              <w:rPr>
                <w:sz w:val="20"/>
              </w:rPr>
            </w:pPr>
          </w:p>
        </w:tc>
        <w:tc>
          <w:tcPr>
            <w:tcW w:w="992" w:type="dxa"/>
          </w:tcPr>
          <w:p>
            <w:pPr>
              <w:pStyle w:val="28"/>
              <w:spacing w:line="360" w:lineRule="auto"/>
              <w:rPr>
                <w:sz w:val="20"/>
              </w:rPr>
            </w:pPr>
          </w:p>
        </w:tc>
        <w:tc>
          <w:tcPr>
            <w:tcW w:w="994" w:type="dxa"/>
          </w:tcPr>
          <w:p>
            <w:pPr>
              <w:pStyle w:val="28"/>
              <w:spacing w:line="360" w:lineRule="auto"/>
              <w:rPr>
                <w:sz w:val="20"/>
              </w:rPr>
            </w:pPr>
          </w:p>
        </w:tc>
        <w:tc>
          <w:tcPr>
            <w:tcW w:w="1133" w:type="dxa"/>
          </w:tcPr>
          <w:p>
            <w:pPr>
              <w:pStyle w:val="28"/>
              <w:spacing w:line="360" w:lineRule="auto"/>
              <w:rPr>
                <w:sz w:val="20"/>
              </w:rPr>
            </w:pPr>
          </w:p>
        </w:tc>
        <w:tc>
          <w:tcPr>
            <w:tcW w:w="853" w:type="dxa"/>
          </w:tcPr>
          <w:p>
            <w:pPr>
              <w:pStyle w:val="28"/>
              <w:spacing w:line="360" w:lineRule="auto"/>
              <w:rPr>
                <w:sz w:val="20"/>
              </w:rPr>
            </w:pPr>
          </w:p>
        </w:tc>
        <w:tc>
          <w:tcPr>
            <w:tcW w:w="992" w:type="dxa"/>
          </w:tcPr>
          <w:p>
            <w:pPr>
              <w:pStyle w:val="28"/>
              <w:spacing w:line="360" w:lineRule="auto"/>
              <w:rPr>
                <w:sz w:val="20"/>
              </w:rPr>
            </w:pPr>
          </w:p>
        </w:tc>
        <w:tc>
          <w:tcPr>
            <w:tcW w:w="711"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tcPr>
          <w:p>
            <w:pPr>
              <w:pStyle w:val="28"/>
              <w:spacing w:line="360" w:lineRule="auto"/>
              <w:rPr>
                <w:sz w:val="20"/>
              </w:rPr>
            </w:pPr>
          </w:p>
        </w:tc>
        <w:tc>
          <w:tcPr>
            <w:tcW w:w="1020" w:type="dxa"/>
          </w:tcPr>
          <w:p>
            <w:pPr>
              <w:pStyle w:val="28"/>
              <w:spacing w:line="360" w:lineRule="auto"/>
              <w:rPr>
                <w:sz w:val="20"/>
              </w:rPr>
            </w:pPr>
          </w:p>
        </w:tc>
        <w:tc>
          <w:tcPr>
            <w:tcW w:w="992" w:type="dxa"/>
          </w:tcPr>
          <w:p>
            <w:pPr>
              <w:pStyle w:val="28"/>
              <w:spacing w:line="360" w:lineRule="auto"/>
              <w:rPr>
                <w:sz w:val="20"/>
              </w:rPr>
            </w:pPr>
          </w:p>
        </w:tc>
        <w:tc>
          <w:tcPr>
            <w:tcW w:w="994" w:type="dxa"/>
          </w:tcPr>
          <w:p>
            <w:pPr>
              <w:pStyle w:val="28"/>
              <w:spacing w:line="360" w:lineRule="auto"/>
              <w:rPr>
                <w:sz w:val="20"/>
              </w:rPr>
            </w:pPr>
          </w:p>
        </w:tc>
        <w:tc>
          <w:tcPr>
            <w:tcW w:w="1133" w:type="dxa"/>
          </w:tcPr>
          <w:p>
            <w:pPr>
              <w:pStyle w:val="28"/>
              <w:spacing w:line="360" w:lineRule="auto"/>
              <w:rPr>
                <w:sz w:val="20"/>
              </w:rPr>
            </w:pPr>
          </w:p>
        </w:tc>
        <w:tc>
          <w:tcPr>
            <w:tcW w:w="853" w:type="dxa"/>
          </w:tcPr>
          <w:p>
            <w:pPr>
              <w:pStyle w:val="28"/>
              <w:spacing w:line="360" w:lineRule="auto"/>
              <w:rPr>
                <w:sz w:val="20"/>
              </w:rPr>
            </w:pPr>
          </w:p>
        </w:tc>
        <w:tc>
          <w:tcPr>
            <w:tcW w:w="992" w:type="dxa"/>
          </w:tcPr>
          <w:p>
            <w:pPr>
              <w:pStyle w:val="28"/>
              <w:spacing w:line="360" w:lineRule="auto"/>
              <w:rPr>
                <w:sz w:val="20"/>
              </w:rPr>
            </w:pPr>
          </w:p>
        </w:tc>
        <w:tc>
          <w:tcPr>
            <w:tcW w:w="711"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tcPr>
          <w:p>
            <w:pPr>
              <w:pStyle w:val="28"/>
              <w:spacing w:line="360" w:lineRule="auto"/>
              <w:rPr>
                <w:sz w:val="20"/>
              </w:rPr>
            </w:pPr>
          </w:p>
        </w:tc>
        <w:tc>
          <w:tcPr>
            <w:tcW w:w="1020" w:type="dxa"/>
          </w:tcPr>
          <w:p>
            <w:pPr>
              <w:pStyle w:val="28"/>
              <w:spacing w:line="360" w:lineRule="auto"/>
              <w:rPr>
                <w:sz w:val="20"/>
              </w:rPr>
            </w:pPr>
          </w:p>
        </w:tc>
        <w:tc>
          <w:tcPr>
            <w:tcW w:w="992" w:type="dxa"/>
          </w:tcPr>
          <w:p>
            <w:pPr>
              <w:pStyle w:val="28"/>
              <w:spacing w:line="360" w:lineRule="auto"/>
              <w:rPr>
                <w:sz w:val="20"/>
              </w:rPr>
            </w:pPr>
          </w:p>
        </w:tc>
        <w:tc>
          <w:tcPr>
            <w:tcW w:w="994" w:type="dxa"/>
          </w:tcPr>
          <w:p>
            <w:pPr>
              <w:pStyle w:val="28"/>
              <w:spacing w:line="360" w:lineRule="auto"/>
              <w:rPr>
                <w:sz w:val="20"/>
              </w:rPr>
            </w:pPr>
          </w:p>
        </w:tc>
        <w:tc>
          <w:tcPr>
            <w:tcW w:w="1133" w:type="dxa"/>
          </w:tcPr>
          <w:p>
            <w:pPr>
              <w:pStyle w:val="28"/>
              <w:spacing w:line="360" w:lineRule="auto"/>
              <w:rPr>
                <w:sz w:val="20"/>
              </w:rPr>
            </w:pPr>
          </w:p>
        </w:tc>
        <w:tc>
          <w:tcPr>
            <w:tcW w:w="853" w:type="dxa"/>
          </w:tcPr>
          <w:p>
            <w:pPr>
              <w:pStyle w:val="28"/>
              <w:spacing w:line="360" w:lineRule="auto"/>
              <w:rPr>
                <w:sz w:val="20"/>
              </w:rPr>
            </w:pPr>
          </w:p>
        </w:tc>
        <w:tc>
          <w:tcPr>
            <w:tcW w:w="992" w:type="dxa"/>
          </w:tcPr>
          <w:p>
            <w:pPr>
              <w:pStyle w:val="28"/>
              <w:spacing w:line="360" w:lineRule="auto"/>
              <w:rPr>
                <w:sz w:val="20"/>
              </w:rPr>
            </w:pPr>
          </w:p>
        </w:tc>
        <w:tc>
          <w:tcPr>
            <w:tcW w:w="711"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648" w:type="dxa"/>
          </w:tcPr>
          <w:p>
            <w:pPr>
              <w:pStyle w:val="28"/>
              <w:spacing w:line="360" w:lineRule="auto"/>
              <w:rPr>
                <w:sz w:val="20"/>
              </w:rPr>
            </w:pPr>
          </w:p>
        </w:tc>
        <w:tc>
          <w:tcPr>
            <w:tcW w:w="1020" w:type="dxa"/>
          </w:tcPr>
          <w:p>
            <w:pPr>
              <w:pStyle w:val="28"/>
              <w:spacing w:line="360" w:lineRule="auto"/>
              <w:rPr>
                <w:sz w:val="20"/>
              </w:rPr>
            </w:pPr>
          </w:p>
        </w:tc>
        <w:tc>
          <w:tcPr>
            <w:tcW w:w="992" w:type="dxa"/>
          </w:tcPr>
          <w:p>
            <w:pPr>
              <w:pStyle w:val="28"/>
              <w:spacing w:line="360" w:lineRule="auto"/>
              <w:rPr>
                <w:sz w:val="20"/>
              </w:rPr>
            </w:pPr>
          </w:p>
        </w:tc>
        <w:tc>
          <w:tcPr>
            <w:tcW w:w="994" w:type="dxa"/>
          </w:tcPr>
          <w:p>
            <w:pPr>
              <w:pStyle w:val="28"/>
              <w:spacing w:line="360" w:lineRule="auto"/>
              <w:rPr>
                <w:sz w:val="20"/>
              </w:rPr>
            </w:pPr>
          </w:p>
        </w:tc>
        <w:tc>
          <w:tcPr>
            <w:tcW w:w="1133" w:type="dxa"/>
          </w:tcPr>
          <w:p>
            <w:pPr>
              <w:pStyle w:val="28"/>
              <w:spacing w:line="360" w:lineRule="auto"/>
              <w:rPr>
                <w:sz w:val="20"/>
              </w:rPr>
            </w:pPr>
          </w:p>
        </w:tc>
        <w:tc>
          <w:tcPr>
            <w:tcW w:w="853" w:type="dxa"/>
          </w:tcPr>
          <w:p>
            <w:pPr>
              <w:pStyle w:val="28"/>
              <w:spacing w:line="360" w:lineRule="auto"/>
              <w:rPr>
                <w:sz w:val="20"/>
              </w:rPr>
            </w:pPr>
          </w:p>
        </w:tc>
        <w:tc>
          <w:tcPr>
            <w:tcW w:w="992" w:type="dxa"/>
          </w:tcPr>
          <w:p>
            <w:pPr>
              <w:pStyle w:val="28"/>
              <w:spacing w:line="360" w:lineRule="auto"/>
              <w:rPr>
                <w:sz w:val="20"/>
              </w:rPr>
            </w:pPr>
          </w:p>
        </w:tc>
        <w:tc>
          <w:tcPr>
            <w:tcW w:w="711"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48" w:type="dxa"/>
          </w:tcPr>
          <w:p>
            <w:pPr>
              <w:pStyle w:val="28"/>
              <w:spacing w:line="360" w:lineRule="auto"/>
              <w:rPr>
                <w:sz w:val="20"/>
              </w:rPr>
            </w:pPr>
          </w:p>
        </w:tc>
        <w:tc>
          <w:tcPr>
            <w:tcW w:w="1020" w:type="dxa"/>
          </w:tcPr>
          <w:p>
            <w:pPr>
              <w:pStyle w:val="28"/>
              <w:spacing w:line="360" w:lineRule="auto"/>
              <w:rPr>
                <w:sz w:val="20"/>
              </w:rPr>
            </w:pPr>
          </w:p>
        </w:tc>
        <w:tc>
          <w:tcPr>
            <w:tcW w:w="992" w:type="dxa"/>
          </w:tcPr>
          <w:p>
            <w:pPr>
              <w:pStyle w:val="28"/>
              <w:spacing w:line="360" w:lineRule="auto"/>
              <w:rPr>
                <w:sz w:val="20"/>
              </w:rPr>
            </w:pPr>
          </w:p>
        </w:tc>
        <w:tc>
          <w:tcPr>
            <w:tcW w:w="994" w:type="dxa"/>
          </w:tcPr>
          <w:p>
            <w:pPr>
              <w:pStyle w:val="28"/>
              <w:spacing w:line="360" w:lineRule="auto"/>
              <w:rPr>
                <w:sz w:val="20"/>
              </w:rPr>
            </w:pPr>
          </w:p>
        </w:tc>
        <w:tc>
          <w:tcPr>
            <w:tcW w:w="1133" w:type="dxa"/>
          </w:tcPr>
          <w:p>
            <w:pPr>
              <w:pStyle w:val="28"/>
              <w:spacing w:line="360" w:lineRule="auto"/>
              <w:rPr>
                <w:sz w:val="20"/>
              </w:rPr>
            </w:pPr>
          </w:p>
        </w:tc>
        <w:tc>
          <w:tcPr>
            <w:tcW w:w="853" w:type="dxa"/>
          </w:tcPr>
          <w:p>
            <w:pPr>
              <w:pStyle w:val="28"/>
              <w:spacing w:line="360" w:lineRule="auto"/>
              <w:rPr>
                <w:sz w:val="20"/>
              </w:rPr>
            </w:pPr>
          </w:p>
        </w:tc>
        <w:tc>
          <w:tcPr>
            <w:tcW w:w="992" w:type="dxa"/>
          </w:tcPr>
          <w:p>
            <w:pPr>
              <w:pStyle w:val="28"/>
              <w:spacing w:line="360" w:lineRule="auto"/>
              <w:rPr>
                <w:sz w:val="20"/>
              </w:rPr>
            </w:pPr>
          </w:p>
        </w:tc>
        <w:tc>
          <w:tcPr>
            <w:tcW w:w="711"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2660" w:type="dxa"/>
            <w:gridSpan w:val="3"/>
          </w:tcPr>
          <w:p>
            <w:pPr>
              <w:pStyle w:val="28"/>
              <w:spacing w:before="11" w:line="360" w:lineRule="auto"/>
              <w:rPr>
                <w:sz w:val="14"/>
              </w:rPr>
            </w:pPr>
          </w:p>
          <w:p>
            <w:pPr>
              <w:pStyle w:val="28"/>
              <w:spacing w:line="360" w:lineRule="auto"/>
              <w:ind w:left="107"/>
              <w:rPr>
                <w:sz w:val="21"/>
              </w:rPr>
            </w:pPr>
            <w:r>
              <w:rPr>
                <w:rFonts w:hint="eastAsia"/>
                <w:sz w:val="21"/>
              </w:rPr>
              <w:t>最高投标限价：</w:t>
            </w:r>
          </w:p>
        </w:tc>
        <w:tc>
          <w:tcPr>
            <w:tcW w:w="5675" w:type="dxa"/>
            <w:gridSpan w:val="6"/>
          </w:tcPr>
          <w:p>
            <w:pPr>
              <w:pStyle w:val="28"/>
              <w:spacing w:line="360" w:lineRule="auto"/>
              <w:rPr>
                <w:sz w:val="20"/>
              </w:rPr>
            </w:pPr>
          </w:p>
        </w:tc>
        <w:tc>
          <w:tcPr>
            <w:tcW w:w="992" w:type="dxa"/>
          </w:tcPr>
          <w:p>
            <w:pPr>
              <w:pStyle w:val="28"/>
              <w:spacing w:line="360" w:lineRule="auto"/>
              <w:rPr>
                <w:sz w:val="20"/>
              </w:rPr>
            </w:pPr>
          </w:p>
        </w:tc>
        <w:tc>
          <w:tcPr>
            <w:tcW w:w="992" w:type="dxa"/>
          </w:tcPr>
          <w:p>
            <w:pPr>
              <w:pStyle w:val="28"/>
              <w:spacing w:line="360" w:lineRule="auto"/>
              <w:rPr>
                <w:sz w:val="20"/>
              </w:rPr>
            </w:pPr>
          </w:p>
        </w:tc>
      </w:tr>
    </w:tbl>
    <w:p>
      <w:pPr>
        <w:pStyle w:val="11"/>
        <w:spacing w:line="360" w:lineRule="auto"/>
        <w:rPr>
          <w:sz w:val="22"/>
        </w:rPr>
      </w:pPr>
    </w:p>
    <w:p>
      <w:pPr>
        <w:pStyle w:val="11"/>
        <w:spacing w:line="360" w:lineRule="auto"/>
        <w:rPr>
          <w:sz w:val="22"/>
        </w:rPr>
      </w:pPr>
    </w:p>
    <w:p>
      <w:pPr>
        <w:pStyle w:val="11"/>
        <w:tabs>
          <w:tab w:val="left" w:pos="2284"/>
          <w:tab w:val="left" w:pos="3077"/>
          <w:tab w:val="left" w:pos="4699"/>
          <w:tab w:val="left" w:pos="5386"/>
          <w:tab w:val="left" w:pos="7009"/>
        </w:tabs>
        <w:spacing w:before="163" w:line="360" w:lineRule="auto"/>
        <w:ind w:left="240"/>
      </w:pPr>
      <w:r>
        <w:rPr>
          <w:rFonts w:hint="eastAsia"/>
        </w:rPr>
        <w:t>招标</w:t>
      </w:r>
      <w:r>
        <w:rPr>
          <w:rFonts w:hint="eastAsia"/>
          <w:spacing w:val="-3"/>
        </w:rPr>
        <w:t>人</w:t>
      </w:r>
      <w:r>
        <w:rPr>
          <w:rFonts w:hint="eastAsia"/>
        </w:rPr>
        <w:t>代</w:t>
      </w:r>
      <w:r>
        <w:rPr>
          <w:rFonts w:hint="eastAsia"/>
          <w:spacing w:val="-3"/>
        </w:rPr>
        <w:t>表</w:t>
      </w:r>
      <w:r>
        <w:rPr>
          <w:rFonts w:hint="eastAsia"/>
        </w:rPr>
        <w:t>：</w:t>
      </w:r>
      <w:r>
        <w:rPr>
          <w:rFonts w:hint="eastAsia"/>
          <w:u w:val="single"/>
        </w:rPr>
        <w:t xml:space="preserve"> </w:t>
      </w:r>
      <w:r>
        <w:rPr>
          <w:rFonts w:hint="eastAsia"/>
          <w:u w:val="single"/>
        </w:rPr>
        <w:tab/>
      </w:r>
      <w:r>
        <w:rPr>
          <w:rFonts w:hint="eastAsia"/>
        </w:rPr>
        <w:tab/>
      </w:r>
      <w:r>
        <w:rPr>
          <w:rFonts w:hint="eastAsia"/>
          <w:spacing w:val="-3"/>
        </w:rPr>
        <w:t>记</w:t>
      </w:r>
      <w:r>
        <w:rPr>
          <w:rFonts w:hint="eastAsia"/>
        </w:rPr>
        <w:t>录</w:t>
      </w:r>
      <w:r>
        <w:rPr>
          <w:rFonts w:hint="eastAsia"/>
          <w:spacing w:val="-3"/>
        </w:rPr>
        <w:t>人</w:t>
      </w:r>
      <w:r>
        <w:rPr>
          <w:rFonts w:hint="eastAsia"/>
        </w:rPr>
        <w:t>：</w:t>
      </w:r>
      <w:r>
        <w:rPr>
          <w:rFonts w:hint="eastAsia"/>
          <w:u w:val="single"/>
        </w:rPr>
        <w:t xml:space="preserve"> </w:t>
      </w:r>
      <w:r>
        <w:rPr>
          <w:rFonts w:hint="eastAsia"/>
          <w:u w:val="single"/>
        </w:rPr>
        <w:tab/>
      </w:r>
      <w:r>
        <w:rPr>
          <w:rFonts w:hint="eastAsia"/>
        </w:rPr>
        <w:tab/>
      </w:r>
      <w:r>
        <w:rPr>
          <w:rFonts w:hint="eastAsia"/>
          <w:spacing w:val="-3"/>
        </w:rPr>
        <w:t>监</w:t>
      </w:r>
      <w:r>
        <w:rPr>
          <w:rFonts w:hint="eastAsia"/>
          <w:spacing w:val="-1"/>
        </w:rPr>
        <w:t>标</w:t>
      </w:r>
      <w:r>
        <w:rPr>
          <w:rFonts w:hint="eastAsia"/>
          <w:spacing w:val="-3"/>
        </w:rPr>
        <w:t>人</w:t>
      </w:r>
      <w:r>
        <w:rPr>
          <w:rFonts w:hint="eastAsia"/>
        </w:rPr>
        <w:t>：</w:t>
      </w:r>
      <w:r>
        <w:rPr>
          <w:rFonts w:hint="eastAsia"/>
          <w:u w:val="single"/>
        </w:rPr>
        <w:t xml:space="preserve"> </w:t>
      </w:r>
      <w:r>
        <w:rPr>
          <w:rFonts w:hint="eastAsia"/>
          <w:u w:val="single"/>
        </w:rPr>
        <w:tab/>
      </w:r>
    </w:p>
    <w:p>
      <w:pPr>
        <w:pStyle w:val="11"/>
        <w:spacing w:before="4" w:line="360" w:lineRule="auto"/>
        <w:rPr>
          <w:sz w:val="24"/>
        </w:rPr>
      </w:pPr>
    </w:p>
    <w:p>
      <w:pPr>
        <w:pStyle w:val="11"/>
        <w:tabs>
          <w:tab w:val="left" w:pos="6783"/>
          <w:tab w:val="left" w:pos="7729"/>
          <w:tab w:val="left" w:pos="8673"/>
        </w:tabs>
        <w:spacing w:before="72" w:line="360" w:lineRule="auto"/>
        <w:ind w:left="6047"/>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spacing w:val="-3"/>
        </w:rPr>
        <w:t>月</w:t>
      </w:r>
      <w:r>
        <w:rPr>
          <w:rFonts w:hint="eastAsia"/>
          <w:spacing w:val="-3"/>
          <w:u w:val="single"/>
        </w:rPr>
        <w:t xml:space="preserve"> </w:t>
      </w:r>
      <w:r>
        <w:rPr>
          <w:rFonts w:hint="eastAsia"/>
          <w:spacing w:val="-3"/>
          <w:u w:val="single"/>
        </w:rPr>
        <w:tab/>
      </w:r>
      <w:r>
        <w:rPr>
          <w:rFonts w:hint="eastAsia"/>
        </w:rPr>
        <w:t>日</w:t>
      </w:r>
    </w:p>
    <w:p>
      <w:pPr>
        <w:spacing w:line="360" w:lineRule="auto"/>
        <w:sectPr>
          <w:pgSz w:w="12240" w:h="15840"/>
          <w:pgMar w:top="1400" w:right="1100" w:bottom="1120" w:left="1560" w:header="0" w:footer="841" w:gutter="0"/>
          <w:cols w:space="720" w:num="1"/>
        </w:sectPr>
      </w:pPr>
    </w:p>
    <w:p>
      <w:pPr>
        <w:pStyle w:val="11"/>
        <w:spacing w:before="12" w:line="360" w:lineRule="auto"/>
        <w:rPr>
          <w:sz w:val="18"/>
        </w:rPr>
      </w:pPr>
      <w:bookmarkStart w:id="12" w:name="_bookmark77"/>
      <w:bookmarkEnd w:id="12"/>
    </w:p>
    <w:p>
      <w:pPr>
        <w:pStyle w:val="4"/>
        <w:ind w:left="0" w:firstLine="0"/>
        <w:jc w:val="center"/>
        <w:rPr>
          <w:rFonts w:asciiTheme="minorEastAsia" w:hAnsiTheme="minorEastAsia" w:eastAsiaTheme="minorEastAsia"/>
        </w:rPr>
      </w:pPr>
      <w:bookmarkStart w:id="13" w:name="_bookmark82"/>
      <w:bookmarkEnd w:id="13"/>
      <w:bookmarkStart w:id="14" w:name="_Toc51862136"/>
      <w:bookmarkStart w:id="15" w:name="_Toc23771923"/>
      <w:bookmarkStart w:id="16" w:name="_Toc51862230"/>
      <w:r>
        <w:rPr>
          <w:rFonts w:hint="eastAsia" w:asciiTheme="minorEastAsia" w:hAnsiTheme="minorEastAsia" w:eastAsiaTheme="minorEastAsia"/>
        </w:rPr>
        <w:t>第三章 评标办法（综合评估法）</w:t>
      </w:r>
      <w:bookmarkEnd w:id="14"/>
      <w:bookmarkEnd w:id="15"/>
      <w:bookmarkEnd w:id="16"/>
    </w:p>
    <w:p>
      <w:pPr>
        <w:pStyle w:val="3"/>
        <w:adjustRightInd w:val="0"/>
        <w:snapToGrid w:val="0"/>
        <w:spacing w:after="100" w:afterAutospacing="1" w:line="240" w:lineRule="auto"/>
        <w:rPr>
          <w:rFonts w:asciiTheme="minorEastAsia" w:hAnsiTheme="minorEastAsia" w:eastAsiaTheme="minorEastAsia"/>
          <w:sz w:val="32"/>
          <w:szCs w:val="20"/>
        </w:rPr>
      </w:pPr>
      <w:bookmarkStart w:id="17" w:name="_Toc51862137"/>
      <w:bookmarkStart w:id="18" w:name="_Toc23771924"/>
      <w:bookmarkStart w:id="19" w:name="_Toc51862231"/>
      <w:r>
        <w:rPr>
          <w:rFonts w:hint="eastAsia" w:asciiTheme="minorEastAsia" w:hAnsiTheme="minorEastAsia" w:eastAsiaTheme="minorEastAsia"/>
          <w:sz w:val="32"/>
          <w:szCs w:val="20"/>
        </w:rPr>
        <w:t>评标办法前附表</w:t>
      </w:r>
      <w:bookmarkEnd w:id="17"/>
      <w:bookmarkEnd w:id="18"/>
      <w:bookmarkEnd w:id="19"/>
    </w:p>
    <w:tbl>
      <w:tblPr>
        <w:tblStyle w:val="21"/>
        <w:tblW w:w="97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4"/>
        <w:gridCol w:w="106"/>
        <w:gridCol w:w="1142"/>
        <w:gridCol w:w="2288"/>
        <w:gridCol w:w="53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2102" w:type="dxa"/>
            <w:gridSpan w:val="3"/>
            <w:tcBorders>
              <w:top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条款号</w:t>
            </w: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评审因素</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854" w:type="dxa"/>
            <w:tcBorders>
              <w:top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评标方法</w:t>
            </w: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中标候选人排序方法</w:t>
            </w:r>
          </w:p>
        </w:tc>
        <w:tc>
          <w:tcPr>
            <w:tcW w:w="5321"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eastAsiaTheme="minorEastAsia"/>
                <w:sz w:val="21"/>
                <w:szCs w:val="21"/>
              </w:rPr>
            </w:pPr>
            <w:r>
              <w:rPr>
                <w:rFonts w:hint="eastAsia"/>
                <w:sz w:val="21"/>
                <w:szCs w:val="21"/>
              </w:rPr>
              <w:t>按总得分由高到低顺序推荐中标候选人，若两家或以上的投标人总得分相同时，则投标报价得分高的排前；若投标人总得分和投标报价得分均相同，则监理大纲得分高的排前；若投标人总得分、投标报价得分和监理大纲得分均相同，则由评标委员会投票表决推荐排名优先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21" w:hRule="atLeast"/>
          <w:jc w:val="center"/>
        </w:trPr>
        <w:tc>
          <w:tcPr>
            <w:tcW w:w="854" w:type="dxa"/>
            <w:vMerge w:val="restart"/>
            <w:tcBorders>
              <w:top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asciiTheme="minorEastAsia" w:hAnsiTheme="minorEastAsia" w:eastAsiaTheme="minorEastAsia"/>
                <w:sz w:val="21"/>
                <w:szCs w:val="21"/>
              </w:rPr>
              <w:t>2.1.1</w:t>
            </w:r>
          </w:p>
        </w:tc>
        <w:tc>
          <w:tcPr>
            <w:tcW w:w="1248" w:type="dxa"/>
            <w:gridSpan w:val="2"/>
            <w:vMerge w:val="restart"/>
            <w:tcBorders>
              <w:top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形式评审标准</w:t>
            </w: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投标人名称</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投标文件</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color w:val="000000"/>
                <w:sz w:val="21"/>
                <w:szCs w:val="21"/>
              </w:rPr>
              <w:t>投标文件中的投标人、项目负责人（总监理工程师）与投标登记时的信息一致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投标函及投标函附录签字盖章</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有法定代表人</w:t>
            </w:r>
            <w:bookmarkStart w:id="20" w:name="_Toc384308269"/>
            <w:bookmarkStart w:id="21" w:name="_Toc6546"/>
            <w:bookmarkStart w:id="22" w:name="_Toc352691530"/>
            <w:bookmarkStart w:id="23" w:name="_Toc369531574"/>
            <w:bookmarkStart w:id="24" w:name="_Toc247527609"/>
            <w:bookmarkStart w:id="25" w:name="_Toc152045584"/>
            <w:bookmarkStart w:id="26" w:name="_Toc247514008"/>
            <w:bookmarkStart w:id="27" w:name="_Toc144974551"/>
            <w:bookmarkStart w:id="28" w:name="_Toc152042361"/>
            <w:bookmarkStart w:id="29" w:name="_Toc361508643"/>
            <w:bookmarkStart w:id="30" w:name="_Toc300835005"/>
            <w:r>
              <w:rPr>
                <w:rFonts w:hint="eastAsia" w:asciiTheme="minorEastAsia" w:hAnsiTheme="minorEastAsia" w:eastAsiaTheme="minorEastAsia"/>
                <w:sz w:val="21"/>
                <w:szCs w:val="21"/>
              </w:rPr>
              <w:t>或其委托</w:t>
            </w:r>
            <w:bookmarkEnd w:id="20"/>
            <w:bookmarkEnd w:id="21"/>
            <w:bookmarkEnd w:id="22"/>
            <w:bookmarkEnd w:id="23"/>
            <w:bookmarkEnd w:id="24"/>
            <w:bookmarkEnd w:id="25"/>
            <w:bookmarkEnd w:id="26"/>
            <w:bookmarkEnd w:id="27"/>
            <w:bookmarkEnd w:id="28"/>
            <w:bookmarkEnd w:id="29"/>
            <w:bookmarkEnd w:id="30"/>
            <w:r>
              <w:rPr>
                <w:rFonts w:hint="eastAsia" w:asciiTheme="minorEastAsia" w:hAnsiTheme="minorEastAsia" w:eastAsiaTheme="minorEastAsia"/>
                <w:sz w:val="21"/>
                <w:szCs w:val="21"/>
              </w:rPr>
              <w:t>代理人签字并加盖单位章。由法定代表人签字的，应附法定代表人身份证明，由代理人签字的，应附授权委托书，身份证明或授权委托书应符合第六章</w:t>
            </w:r>
            <w:r>
              <w:rPr>
                <w:rFonts w:asciiTheme="minorEastAsia" w:hAnsiTheme="minorEastAsia" w:eastAsiaTheme="minorEastAsia"/>
                <w:sz w:val="21"/>
                <w:szCs w:val="21"/>
              </w:rPr>
              <w:t>“</w:t>
            </w:r>
            <w:r>
              <w:rPr>
                <w:rFonts w:hint="eastAsia" w:asciiTheme="minorEastAsia" w:hAnsiTheme="minorEastAsia" w:eastAsiaTheme="minorEastAsia"/>
                <w:sz w:val="21"/>
                <w:szCs w:val="21"/>
              </w:rPr>
              <w:t>投标文件格式</w:t>
            </w:r>
            <w:r>
              <w:rPr>
                <w:rFonts w:asciiTheme="minorEastAsia" w:hAnsiTheme="minorEastAsia" w:eastAsiaTheme="minorEastAsia"/>
                <w:sz w:val="21"/>
                <w:szCs w:val="21"/>
              </w:rPr>
              <w:t>”</w:t>
            </w:r>
            <w:r>
              <w:rPr>
                <w:rFonts w:hint="eastAsia" w:asciiTheme="minorEastAsia" w:hAnsiTheme="minorEastAsia" w:eastAsiaTheme="minorEastAsia"/>
                <w:sz w:val="21"/>
                <w:szCs w:val="21"/>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投标文件格式</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投标函及投标函附录符合第六章“投标文件格式”的规定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备选投标方案</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41" w:hRule="atLeast"/>
          <w:jc w:val="center"/>
        </w:trPr>
        <w:tc>
          <w:tcPr>
            <w:tcW w:w="854" w:type="dxa"/>
            <w:vMerge w:val="continue"/>
            <w:tcBorders>
              <w:bottom w:val="single" w:color="auto" w:sz="4" w:space="0"/>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机器码</w:t>
            </w:r>
          </w:p>
        </w:tc>
        <w:tc>
          <w:tcPr>
            <w:tcW w:w="5321" w:type="dxa"/>
            <w:tcBorders>
              <w:top w:val="single" w:color="auto" w:sz="4" w:space="0"/>
              <w:left w:val="single" w:color="auto" w:sz="4" w:space="0"/>
              <w:bottom w:val="single" w:color="auto" w:sz="4" w:space="0"/>
            </w:tcBorders>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投标人与本项目其他投标人加密打包投标文件电脑机器特征码一致的</w:t>
            </w:r>
            <w:r>
              <w:rPr>
                <w:rFonts w:asciiTheme="minorEastAsia" w:hAnsiTheme="minorEastAsia" w:eastAsiaTheme="minorEastAsia"/>
                <w:sz w:val="21"/>
                <w:szCs w:val="21"/>
              </w:rPr>
              <w:t>(</w:t>
            </w:r>
            <w:r>
              <w:rPr>
                <w:rFonts w:hint="eastAsia" w:asciiTheme="minorEastAsia" w:hAnsiTheme="minorEastAsia" w:eastAsiaTheme="minorEastAsia"/>
                <w:sz w:val="21"/>
                <w:szCs w:val="21"/>
              </w:rPr>
              <w:t>以广州公共资源交易中心评标系统的检索信息为准</w:t>
            </w:r>
            <w:r>
              <w:rPr>
                <w:rFonts w:asciiTheme="minorEastAsia" w:hAnsiTheme="minorEastAsia" w:eastAsiaTheme="minorEastAsia"/>
                <w:sz w:val="21"/>
                <w:szCs w:val="21"/>
              </w:rPr>
              <w:t>)</w:t>
            </w:r>
            <w:r>
              <w:rPr>
                <w:rFonts w:hint="eastAsia" w:asciiTheme="minorEastAsia" w:hAnsiTheme="minorEastAsia" w:eastAsiaTheme="minorEastAsia"/>
                <w:sz w:val="21"/>
                <w:szCs w:val="21"/>
              </w:rPr>
              <w:t>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restart"/>
            <w:tcBorders>
              <w:top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asciiTheme="minorEastAsia" w:hAnsiTheme="minorEastAsia" w:eastAsiaTheme="minorEastAsia"/>
                <w:sz w:val="21"/>
                <w:szCs w:val="21"/>
              </w:rPr>
              <w:t>2.1.2</w:t>
            </w:r>
          </w:p>
        </w:tc>
        <w:tc>
          <w:tcPr>
            <w:tcW w:w="1248" w:type="dxa"/>
            <w:gridSpan w:val="2"/>
            <w:vMerge w:val="restart"/>
            <w:tcBorders>
              <w:top w:val="single" w:color="auto" w:sz="4" w:space="0"/>
              <w:left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资格评审标准</w:t>
            </w: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营业执照或</w:t>
            </w:r>
            <w:r>
              <w:rPr>
                <w:rFonts w:hint="eastAsia" w:asciiTheme="minorEastAsia" w:hAnsiTheme="minorEastAsia" w:eastAsiaTheme="minorEastAsia"/>
                <w:sz w:val="21"/>
                <w:szCs w:val="21"/>
                <w:u w:val="single"/>
              </w:rPr>
              <w:t>事业单位法人证书</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具备有效的营业执照或事业单位法人证书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left w:val="single" w:color="auto" w:sz="4" w:space="0"/>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资质要求</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符合第二章</w:t>
            </w:r>
            <w:r>
              <w:rPr>
                <w:rFonts w:asciiTheme="minorEastAsia" w:hAnsiTheme="minorEastAsia" w:eastAsiaTheme="minorEastAsia"/>
                <w:sz w:val="21"/>
                <w:szCs w:val="21"/>
              </w:rPr>
              <w:t>“</w:t>
            </w:r>
            <w:r>
              <w:rPr>
                <w:rFonts w:hint="eastAsia" w:asciiTheme="minorEastAsia" w:hAnsiTheme="minorEastAsia" w:eastAsiaTheme="minorEastAsia"/>
                <w:sz w:val="21"/>
                <w:szCs w:val="21"/>
              </w:rPr>
              <w:t>投标人须知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第</w:t>
            </w:r>
            <w:r>
              <w:rPr>
                <w:rFonts w:asciiTheme="minorEastAsia" w:hAnsiTheme="minorEastAsia" w:eastAsiaTheme="minorEastAsia"/>
                <w:sz w:val="21"/>
                <w:szCs w:val="21"/>
              </w:rPr>
              <w:t>1.4.1</w:t>
            </w:r>
            <w:r>
              <w:rPr>
                <w:rFonts w:hint="eastAsia" w:asciiTheme="minorEastAsia" w:hAnsiTheme="minorEastAsia" w:eastAsia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325" w:hRule="atLeas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left w:val="single" w:color="auto" w:sz="4" w:space="0"/>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总监理工程师</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符合第二章</w:t>
            </w:r>
            <w:r>
              <w:rPr>
                <w:rFonts w:asciiTheme="minorEastAsia" w:hAnsiTheme="minorEastAsia" w:eastAsiaTheme="minorEastAsia"/>
                <w:sz w:val="21"/>
                <w:szCs w:val="21"/>
              </w:rPr>
              <w:t>“</w:t>
            </w:r>
            <w:r>
              <w:rPr>
                <w:rFonts w:hint="eastAsia" w:asciiTheme="minorEastAsia" w:hAnsiTheme="minorEastAsia" w:eastAsiaTheme="minorEastAsia"/>
                <w:sz w:val="21"/>
                <w:szCs w:val="21"/>
              </w:rPr>
              <w:t>投标人须知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第</w:t>
            </w:r>
            <w:r>
              <w:rPr>
                <w:rFonts w:asciiTheme="minorEastAsia" w:hAnsiTheme="minorEastAsia" w:eastAsiaTheme="minorEastAsia"/>
                <w:sz w:val="21"/>
                <w:szCs w:val="21"/>
              </w:rPr>
              <w:t>1.4.1</w:t>
            </w:r>
            <w:r>
              <w:rPr>
                <w:rFonts w:hint="eastAsia" w:asciiTheme="minorEastAsia" w:hAnsiTheme="minorEastAsia" w:eastAsia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left w:val="single" w:color="auto" w:sz="4" w:space="0"/>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其他要求</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符合第二章</w:t>
            </w:r>
            <w:r>
              <w:rPr>
                <w:rFonts w:asciiTheme="minorEastAsia" w:hAnsiTheme="minorEastAsia" w:eastAsiaTheme="minorEastAsia"/>
                <w:sz w:val="21"/>
                <w:szCs w:val="21"/>
              </w:rPr>
              <w:t>“</w:t>
            </w:r>
            <w:r>
              <w:rPr>
                <w:rFonts w:hint="eastAsia" w:asciiTheme="minorEastAsia" w:hAnsiTheme="minorEastAsia" w:eastAsiaTheme="minorEastAsia"/>
                <w:sz w:val="21"/>
                <w:szCs w:val="21"/>
              </w:rPr>
              <w:t>投标人须知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第</w:t>
            </w:r>
            <w:r>
              <w:rPr>
                <w:rFonts w:asciiTheme="minorEastAsia" w:hAnsiTheme="minorEastAsia" w:eastAsiaTheme="minorEastAsia"/>
                <w:sz w:val="21"/>
                <w:szCs w:val="21"/>
              </w:rPr>
              <w:t>1.4.1</w:t>
            </w:r>
            <w:r>
              <w:rPr>
                <w:rFonts w:hint="eastAsia" w:asciiTheme="minorEastAsia" w:hAnsiTheme="minorEastAsia" w:eastAsia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left w:val="single" w:color="auto" w:sz="4" w:space="0"/>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联合体投标人</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left w:val="single" w:color="auto" w:sz="4" w:space="0"/>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不存在禁止投标的情形</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不存在第二章</w:t>
            </w:r>
            <w:r>
              <w:rPr>
                <w:rFonts w:asciiTheme="minorEastAsia" w:hAnsiTheme="minorEastAsia" w:eastAsiaTheme="minorEastAsia"/>
                <w:sz w:val="21"/>
                <w:szCs w:val="21"/>
              </w:rPr>
              <w:t>“</w:t>
            </w:r>
            <w:r>
              <w:rPr>
                <w:rFonts w:hint="eastAsia" w:asciiTheme="minorEastAsia" w:hAnsiTheme="minorEastAsia" w:eastAsiaTheme="minorEastAsia"/>
                <w:sz w:val="21"/>
                <w:szCs w:val="21"/>
              </w:rPr>
              <w:t>投标人须知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第</w:t>
            </w:r>
            <w:r>
              <w:rPr>
                <w:rFonts w:asciiTheme="minorEastAsia" w:hAnsiTheme="minorEastAsia" w:eastAsiaTheme="minorEastAsia"/>
                <w:sz w:val="21"/>
                <w:szCs w:val="21"/>
              </w:rPr>
              <w:t>1.4.3</w:t>
            </w:r>
            <w:r>
              <w:rPr>
                <w:rFonts w:hint="eastAsia" w:asciiTheme="minorEastAsia" w:hAnsiTheme="minorEastAsia" w:eastAsiaTheme="minorEastAsia"/>
                <w:sz w:val="21"/>
                <w:szCs w:val="21"/>
              </w:rPr>
              <w:t>项规定的任何一种情形（以《投标人声明》进行评审）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left w:val="single" w:color="auto" w:sz="4" w:space="0"/>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未被纳入失信联合惩戒名单</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投标人无需提供资料，按交易系统比对的结果进行评审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left w:val="single" w:color="auto" w:sz="4" w:space="0"/>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投标人承诺在参加本次招投标活动之日前</w:t>
            </w:r>
            <w:r>
              <w:rPr>
                <w:rFonts w:asciiTheme="minorEastAsia" w:hAnsiTheme="minorEastAsia" w:eastAsiaTheme="minorEastAsia"/>
                <w:sz w:val="21"/>
                <w:szCs w:val="21"/>
              </w:rPr>
              <w:t>3年内（公司成立不足三年的从成立之日起计算）无不良行为记录</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以招标人、招标代理机构于评标当日通过“中国裁判文书网”、“信用中国”、“国家企业信用信息公示系统”、“全国建筑市场监管公共服务平台”、</w:t>
            </w:r>
            <w:r>
              <w:rPr>
                <w:rFonts w:asciiTheme="minorEastAsia" w:hAnsiTheme="minorEastAsia" w:eastAsiaTheme="minorEastAsia"/>
                <w:sz w:val="21"/>
                <w:szCs w:val="21"/>
              </w:rPr>
              <w:t>“广东省建筑市场监管公共服务平台”网站的查询结果</w:t>
            </w:r>
            <w:r>
              <w:rPr>
                <w:rFonts w:hint="eastAsia" w:asciiTheme="minorEastAsia" w:hAnsiTheme="minorEastAsia" w:eastAsiaTheme="minorEastAsia"/>
                <w:sz w:val="21"/>
                <w:szCs w:val="21"/>
              </w:rPr>
              <w:t>和投标文件提供的《投标人承诺函》进行评审。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left w:val="single" w:color="auto" w:sz="4" w:space="0"/>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未被列入存在行贿行为供应商名单且在禁入期内</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以招标人评标当天向评标委员会提供的名单进行评审。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407" w:hRule="atLeast"/>
          <w:jc w:val="center"/>
        </w:trPr>
        <w:tc>
          <w:tcPr>
            <w:tcW w:w="854" w:type="dxa"/>
            <w:vMerge w:val="restart"/>
            <w:tcBorders>
              <w:top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asciiTheme="minorEastAsia" w:hAnsiTheme="minorEastAsia" w:eastAsiaTheme="minorEastAsia"/>
                <w:sz w:val="21"/>
                <w:szCs w:val="21"/>
              </w:rPr>
              <w:t>2.1.3</w:t>
            </w:r>
          </w:p>
        </w:tc>
        <w:tc>
          <w:tcPr>
            <w:tcW w:w="1248" w:type="dxa"/>
            <w:gridSpan w:val="2"/>
            <w:vMerge w:val="restart"/>
            <w:tcBorders>
              <w:top w:val="single" w:color="auto" w:sz="4" w:space="0"/>
              <w:left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响应性评审标准</w:t>
            </w:r>
          </w:p>
        </w:tc>
        <w:tc>
          <w:tcPr>
            <w:tcW w:w="2288" w:type="dxa"/>
            <w:tcBorders>
              <w:top w:val="single" w:color="auto" w:sz="4" w:space="0"/>
              <w:left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trike/>
                <w:sz w:val="21"/>
                <w:szCs w:val="21"/>
              </w:rPr>
            </w:pPr>
            <w:r>
              <w:rPr>
                <w:rFonts w:hint="eastAsia" w:asciiTheme="minorEastAsia" w:hAnsiTheme="minorEastAsia" w:eastAsiaTheme="minorEastAsia"/>
                <w:sz w:val="21"/>
                <w:szCs w:val="21"/>
              </w:rPr>
              <w:t>投标报价</w:t>
            </w:r>
          </w:p>
        </w:tc>
        <w:tc>
          <w:tcPr>
            <w:tcW w:w="5321" w:type="dxa"/>
            <w:tcBorders>
              <w:top w:val="single" w:color="auto" w:sz="4" w:space="0"/>
              <w:lef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trike/>
                <w:sz w:val="21"/>
                <w:szCs w:val="21"/>
              </w:rPr>
            </w:pPr>
            <w:r>
              <w:rPr>
                <w:rFonts w:hint="eastAsia" w:asciiTheme="minorEastAsia" w:hAnsiTheme="minorEastAsia" w:eastAsiaTheme="minorEastAsia"/>
                <w:sz w:val="21"/>
                <w:szCs w:val="21"/>
              </w:rPr>
              <w:t>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1248" w:type="dxa"/>
            <w:gridSpan w:val="2"/>
            <w:vMerge w:val="continue"/>
            <w:tcBorders>
              <w:left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监理服务期限</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符合第二章</w:t>
            </w:r>
            <w:r>
              <w:rPr>
                <w:rFonts w:asciiTheme="minorEastAsia" w:hAnsiTheme="minorEastAsia" w:eastAsiaTheme="minorEastAsia"/>
                <w:sz w:val="21"/>
                <w:szCs w:val="21"/>
              </w:rPr>
              <w:t>“</w:t>
            </w:r>
            <w:r>
              <w:rPr>
                <w:rFonts w:hint="eastAsia" w:asciiTheme="minorEastAsia" w:hAnsiTheme="minorEastAsia" w:eastAsiaTheme="minorEastAsia"/>
                <w:sz w:val="21"/>
                <w:szCs w:val="21"/>
              </w:rPr>
              <w:t>投标人须知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第</w:t>
            </w:r>
            <w:r>
              <w:rPr>
                <w:rFonts w:asciiTheme="minorEastAsia" w:hAnsiTheme="minorEastAsia" w:eastAsiaTheme="minorEastAsia"/>
                <w:sz w:val="21"/>
                <w:szCs w:val="21"/>
              </w:rPr>
              <w:t>1.3.2</w:t>
            </w:r>
            <w:r>
              <w:rPr>
                <w:rFonts w:hint="eastAsia" w:asciiTheme="minorEastAsia" w:hAnsiTheme="minorEastAsia" w:eastAsia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1248" w:type="dxa"/>
            <w:gridSpan w:val="2"/>
            <w:vMerge w:val="continue"/>
            <w:tcBorders>
              <w:left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质量标准</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符合第二章“投标人须知”第</w:t>
            </w:r>
            <w:r>
              <w:rPr>
                <w:rFonts w:asciiTheme="minorEastAsia" w:hAnsiTheme="minorEastAsia" w:eastAsiaTheme="minorEastAsia"/>
                <w:sz w:val="21"/>
                <w:szCs w:val="21"/>
              </w:rPr>
              <w:t xml:space="preserve"> 1.3.3 </w:t>
            </w:r>
            <w:r>
              <w:rPr>
                <w:rFonts w:hint="eastAsia" w:asciiTheme="minorEastAsia" w:hAnsiTheme="minorEastAsia" w:eastAsia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left w:val="single" w:color="auto" w:sz="4" w:space="0"/>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投标有效期</w:t>
            </w:r>
          </w:p>
        </w:tc>
        <w:tc>
          <w:tcPr>
            <w:tcW w:w="5321" w:type="dxa"/>
            <w:tcBorders>
              <w:top w:val="single" w:color="auto" w:sz="4" w:space="0"/>
              <w:left w:val="single" w:color="auto" w:sz="4" w:space="0"/>
              <w:bottom w:val="single" w:color="auto" w:sz="4" w:space="0"/>
            </w:tcBorders>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符合第二章“投标人须知”第</w:t>
            </w:r>
            <w:r>
              <w:rPr>
                <w:rFonts w:asciiTheme="minorEastAsia" w:hAnsiTheme="minorEastAsia" w:eastAsiaTheme="minorEastAsia"/>
                <w:sz w:val="21"/>
                <w:szCs w:val="21"/>
              </w:rPr>
              <w:t xml:space="preserve"> 3.3.1 </w:t>
            </w:r>
            <w:r>
              <w:rPr>
                <w:rFonts w:hint="eastAsia" w:asciiTheme="minorEastAsia" w:hAnsiTheme="minorEastAsia" w:eastAsia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jc w:val="center"/>
        </w:trPr>
        <w:tc>
          <w:tcPr>
            <w:tcW w:w="854" w:type="dxa"/>
            <w:vMerge w:val="continue"/>
            <w:tcBorders>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left w:val="single" w:color="auto" w:sz="4" w:space="0"/>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投标保证金</w:t>
            </w:r>
          </w:p>
        </w:tc>
        <w:tc>
          <w:tcPr>
            <w:tcW w:w="5321" w:type="dxa"/>
            <w:tcBorders>
              <w:top w:val="single" w:color="auto" w:sz="4" w:space="0"/>
              <w:left w:val="single" w:color="auto" w:sz="4" w:space="0"/>
              <w:bottom w:val="single" w:color="auto" w:sz="4" w:space="0"/>
            </w:tcBorders>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符合第二章“投标人须知”第</w:t>
            </w:r>
            <w:r>
              <w:rPr>
                <w:rFonts w:asciiTheme="minorEastAsia" w:hAnsiTheme="minorEastAsia" w:eastAsiaTheme="minorEastAsia"/>
                <w:sz w:val="21"/>
                <w:szCs w:val="21"/>
              </w:rPr>
              <w:t xml:space="preserve"> 3.4.1</w:t>
            </w:r>
            <w:r>
              <w:rPr>
                <w:rFonts w:hint="eastAsia" w:asciiTheme="minorEastAsia" w:hAnsiTheme="minorEastAsia" w:eastAsiaTheme="minor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93" w:hRule="atLeast"/>
          <w:jc w:val="center"/>
        </w:trPr>
        <w:tc>
          <w:tcPr>
            <w:tcW w:w="854" w:type="dxa"/>
            <w:vMerge w:val="continue"/>
            <w:tcBorders>
              <w:bottom w:val="single" w:color="auto" w:sz="4" w:space="0"/>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1248" w:type="dxa"/>
            <w:gridSpan w:val="2"/>
            <w:vMerge w:val="continue"/>
            <w:tcBorders>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串通投标情形</w:t>
            </w:r>
          </w:p>
        </w:tc>
        <w:tc>
          <w:tcPr>
            <w:tcW w:w="5321" w:type="dxa"/>
            <w:tcBorders>
              <w:top w:val="single" w:color="auto" w:sz="4" w:space="0"/>
              <w:left w:val="single" w:color="auto" w:sz="4" w:space="0"/>
              <w:bottom w:val="single" w:color="auto" w:sz="4" w:space="0"/>
            </w:tcBorders>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投标人之间不存在《广东省实施&lt;中华人民共和国招标投标法&gt;》第十六条所禁止的情形的；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102" w:type="dxa"/>
            <w:gridSpan w:val="3"/>
            <w:tcBorders>
              <w:top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条款号</w:t>
            </w: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条款内容</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7" w:hRule="atLeast"/>
          <w:jc w:val="center"/>
        </w:trPr>
        <w:tc>
          <w:tcPr>
            <w:tcW w:w="2102" w:type="dxa"/>
            <w:gridSpan w:val="3"/>
            <w:tcBorders>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asciiTheme="minorEastAsia" w:hAnsiTheme="minorEastAsia" w:eastAsiaTheme="minorEastAsia"/>
                <w:sz w:val="21"/>
                <w:szCs w:val="21"/>
              </w:rPr>
              <w:t>2.2.1</w:t>
            </w: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分值构成</w:t>
            </w:r>
          </w:p>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总分</w:t>
            </w:r>
            <w:r>
              <w:rPr>
                <w:rFonts w:asciiTheme="minorEastAsia" w:hAnsiTheme="minorEastAsia" w:eastAsiaTheme="minorEastAsia"/>
                <w:sz w:val="21"/>
                <w:szCs w:val="21"/>
              </w:rPr>
              <w:t>100</w:t>
            </w:r>
            <w:r>
              <w:rPr>
                <w:rFonts w:hint="eastAsia" w:asciiTheme="minorEastAsia" w:hAnsiTheme="minorEastAsia" w:eastAsiaTheme="minorEastAsia"/>
                <w:sz w:val="21"/>
                <w:szCs w:val="21"/>
              </w:rPr>
              <w:t>分</w:t>
            </w:r>
            <w:r>
              <w:rPr>
                <w:rFonts w:asciiTheme="minorEastAsia" w:hAnsiTheme="minorEastAsia" w:eastAsiaTheme="minorEastAsia"/>
                <w:sz w:val="21"/>
                <w:szCs w:val="21"/>
              </w:rPr>
              <w:t>)</w:t>
            </w:r>
          </w:p>
        </w:tc>
        <w:tc>
          <w:tcPr>
            <w:tcW w:w="5321" w:type="dxa"/>
            <w:tcBorders>
              <w:top w:val="single" w:color="auto" w:sz="4" w:space="0"/>
              <w:left w:val="single" w:color="auto" w:sz="4" w:space="0"/>
              <w:bottom w:val="single" w:color="auto" w:sz="4" w:space="0"/>
            </w:tcBorders>
            <w:vAlign w:val="center"/>
          </w:tcPr>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资信业绩部分：</w:t>
            </w:r>
            <w:r>
              <w:rPr>
                <w:rFonts w:hint="eastAsia" w:asciiTheme="minorEastAsia" w:hAnsiTheme="minorEastAsia" w:eastAsiaTheme="minorEastAsia"/>
                <w:sz w:val="21"/>
                <w:szCs w:val="21"/>
                <w:lang w:val="en-US"/>
              </w:rPr>
              <w:t>3</w:t>
            </w:r>
            <w:r>
              <w:rPr>
                <w:rFonts w:asciiTheme="minorEastAsia" w:hAnsiTheme="minorEastAsia" w:eastAsiaTheme="minorEastAsia"/>
                <w:sz w:val="21"/>
                <w:szCs w:val="21"/>
                <w:lang w:val="en-US"/>
              </w:rPr>
              <w:t>5</w:t>
            </w:r>
            <w:r>
              <w:rPr>
                <w:rFonts w:hint="eastAsia" w:asciiTheme="minorEastAsia" w:hAnsiTheme="minorEastAsia" w:eastAsiaTheme="minorEastAsia"/>
                <w:sz w:val="21"/>
                <w:szCs w:val="21"/>
              </w:rPr>
              <w:t>分</w:t>
            </w:r>
          </w:p>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监理大纲部分：</w:t>
            </w:r>
            <w:r>
              <w:rPr>
                <w:rFonts w:hint="eastAsia" w:asciiTheme="minorEastAsia" w:hAnsiTheme="minorEastAsia" w:eastAsiaTheme="minorEastAsia"/>
                <w:sz w:val="21"/>
                <w:szCs w:val="21"/>
                <w:lang w:val="en-US"/>
              </w:rPr>
              <w:t>3</w:t>
            </w:r>
            <w:r>
              <w:rPr>
                <w:rFonts w:asciiTheme="minorEastAsia" w:hAnsiTheme="minorEastAsia" w:eastAsiaTheme="minorEastAsia"/>
                <w:sz w:val="21"/>
                <w:szCs w:val="21"/>
                <w:lang w:val="en-US"/>
              </w:rPr>
              <w:t>5</w:t>
            </w:r>
            <w:r>
              <w:rPr>
                <w:rFonts w:hint="eastAsia" w:asciiTheme="minorEastAsia" w:hAnsiTheme="minorEastAsia" w:eastAsiaTheme="minorEastAsia"/>
                <w:sz w:val="21"/>
                <w:szCs w:val="21"/>
              </w:rPr>
              <w:t>分</w:t>
            </w:r>
          </w:p>
          <w:p>
            <w:pPr>
              <w:adjustRightInd w:val="0"/>
              <w:snapToGrid w:val="0"/>
              <w:spacing w:before="36" w:beforeLines="15" w:after="36" w:afterLines="15"/>
              <w:ind w:left="44" w:leftChars="20"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投标报价：</w:t>
            </w:r>
            <w:r>
              <w:rPr>
                <w:rFonts w:hint="eastAsia" w:asciiTheme="minorEastAsia" w:hAnsiTheme="minorEastAsia" w:eastAsiaTheme="minorEastAsia"/>
                <w:sz w:val="21"/>
                <w:szCs w:val="21"/>
                <w:lang w:val="en-US"/>
              </w:rPr>
              <w:t xml:space="preserve">20 </w:t>
            </w:r>
            <w:r>
              <w:rPr>
                <w:rFonts w:hint="eastAsia" w:asciiTheme="minorEastAsia" w:hAnsiTheme="minorEastAsia" w:eastAsiaTheme="minorEastAsia"/>
                <w:sz w:val="21"/>
                <w:szCs w:val="21"/>
              </w:rPr>
              <w:t>分</w:t>
            </w:r>
          </w:p>
          <w:p>
            <w:pPr>
              <w:adjustRightInd w:val="0"/>
              <w:snapToGrid w:val="0"/>
              <w:spacing w:before="36" w:beforeLines="15" w:after="36" w:afterLines="15"/>
              <w:ind w:left="44" w:leftChars="20" w:right="44" w:rightChars="20"/>
              <w:rPr>
                <w:rFonts w:asciiTheme="minorEastAsia" w:hAnsiTheme="minorEastAsia" w:eastAsiaTheme="minorEastAsia"/>
                <w:sz w:val="21"/>
                <w:szCs w:val="21"/>
                <w:lang w:val="en-US"/>
              </w:rPr>
            </w:pPr>
            <w:r>
              <w:rPr>
                <w:rFonts w:hint="eastAsia" w:asciiTheme="minorEastAsia" w:hAnsiTheme="minorEastAsia" w:eastAsiaTheme="minorEastAsia"/>
                <w:sz w:val="21"/>
                <w:szCs w:val="21"/>
              </w:rPr>
              <w:t>其他因素部分：</w:t>
            </w:r>
            <w:r>
              <w:rPr>
                <w:rFonts w:asciiTheme="minorEastAsia" w:hAnsiTheme="minorEastAsia" w:eastAsiaTheme="minorEastAsia"/>
                <w:sz w:val="21"/>
                <w:szCs w:val="21"/>
                <w:lang w:val="en-US"/>
              </w:rPr>
              <w:t>1</w:t>
            </w:r>
            <w:r>
              <w:rPr>
                <w:rFonts w:hint="eastAsia" w:asciiTheme="minorEastAsia" w:hAnsiTheme="minorEastAsia" w:eastAsiaTheme="minorEastAsia"/>
                <w:sz w:val="21"/>
                <w:szCs w:val="21"/>
                <w:lang w:val="en-US"/>
              </w:rPr>
              <w:t>0分</w:t>
            </w:r>
          </w:p>
          <w:p>
            <w:pPr>
              <w:adjustRightInd w:val="0"/>
              <w:snapToGrid w:val="0"/>
              <w:spacing w:before="36" w:beforeLines="15" w:after="36" w:afterLines="15"/>
              <w:ind w:left="44" w:leftChars="20" w:right="44" w:rightChars="20"/>
              <w:rPr>
                <w:rFonts w:asciiTheme="minorEastAsia" w:hAnsiTheme="minorEastAsia" w:eastAsiaTheme="minorEastAsia"/>
                <w:b/>
                <w:sz w:val="21"/>
                <w:szCs w:val="21"/>
              </w:rPr>
            </w:pPr>
            <w:r>
              <w:rPr>
                <w:rFonts w:hint="eastAsia" w:asciiTheme="minorEastAsia" w:hAnsiTheme="minorEastAsia" w:eastAsiaTheme="minorEastAsia"/>
                <w:sz w:val="21"/>
                <w:szCs w:val="21"/>
              </w:rPr>
              <w:t>资信业绩、监理大纲部分</w:t>
            </w:r>
            <w:r>
              <w:rPr>
                <w:rFonts w:hint="eastAsia"/>
                <w:sz w:val="21"/>
                <w:szCs w:val="21"/>
              </w:rPr>
              <w:t>得分为各评委的评分汇总后的算术平均分（分数出现小数点时，保留小数点后二位，第三位小数四舍五入）。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102" w:type="dxa"/>
            <w:gridSpan w:val="3"/>
            <w:tcBorders>
              <w:top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asciiTheme="minorEastAsia" w:hAnsiTheme="minorEastAsia" w:eastAsiaTheme="minorEastAsia"/>
                <w:sz w:val="21"/>
                <w:szCs w:val="21"/>
              </w:rPr>
              <w:t>2.2.2</w:t>
            </w:r>
          </w:p>
        </w:tc>
        <w:tc>
          <w:tcPr>
            <w:tcW w:w="22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评标基准价计算方法</w:t>
            </w:r>
          </w:p>
        </w:tc>
        <w:tc>
          <w:tcPr>
            <w:tcW w:w="5321" w:type="dxa"/>
            <w:tcBorders>
              <w:top w:val="single" w:color="auto" w:sz="4" w:space="0"/>
              <w:left w:val="single" w:color="auto" w:sz="4" w:space="0"/>
              <w:bottom w:val="single" w:color="auto" w:sz="4" w:space="0"/>
            </w:tcBorders>
            <w:shd w:val="clear" w:color="auto" w:fill="auto"/>
            <w:vAlign w:val="center"/>
          </w:tcPr>
          <w:p>
            <w:pPr>
              <w:adjustRightInd w:val="0"/>
              <w:snapToGrid w:val="0"/>
              <w:spacing w:before="36" w:beforeLines="15" w:after="36" w:afterLines="15"/>
              <w:ind w:right="44" w:rightChars="20"/>
              <w:rPr>
                <w:rFonts w:asciiTheme="minorEastAsia" w:hAnsiTheme="minorEastAsia" w:eastAsiaTheme="minorEastAsia"/>
                <w:sz w:val="21"/>
                <w:szCs w:val="21"/>
              </w:rPr>
            </w:pPr>
            <w:r>
              <w:rPr>
                <w:rFonts w:hint="eastAsia" w:asciiTheme="minorEastAsia" w:hAnsiTheme="minorEastAsia" w:eastAsiaTheme="minorEastAsia"/>
                <w:sz w:val="21"/>
                <w:szCs w:val="21"/>
              </w:rPr>
              <w:t>当通过形式评审、资格评审、响应性评审的有效投标人大于或等于</w:t>
            </w:r>
            <w:r>
              <w:rPr>
                <w:rFonts w:asciiTheme="minorEastAsia" w:hAnsiTheme="minorEastAsia" w:eastAsiaTheme="minorEastAsia"/>
                <w:sz w:val="21"/>
                <w:szCs w:val="21"/>
              </w:rPr>
              <w:t>5名且投标报价为有效投标价时，去掉一个最高价和一个最低价，取余下有效投标价的算术平均值作为评标基准价。</w:t>
            </w:r>
          </w:p>
          <w:p>
            <w:pPr>
              <w:adjustRightInd w:val="0"/>
              <w:snapToGrid w:val="0"/>
              <w:spacing w:before="36" w:beforeLines="15" w:after="36" w:afterLines="15"/>
              <w:ind w:right="44" w:rightChars="20"/>
              <w:rPr>
                <w:rFonts w:asciiTheme="minorEastAsia" w:hAnsiTheme="minorEastAsia" w:eastAsiaTheme="minorEastAsia"/>
                <w:sz w:val="21"/>
                <w:szCs w:val="21"/>
              </w:rPr>
            </w:pPr>
            <w:r>
              <w:rPr>
                <w:rFonts w:asciiTheme="minorEastAsia" w:hAnsiTheme="minorEastAsia" w:eastAsiaTheme="minorEastAsia"/>
                <w:sz w:val="21"/>
                <w:szCs w:val="21"/>
              </w:rPr>
              <w:t>当通过形式评审、资格评审、响应性评审的有效投标人小于5名大于等于3名时，取所有入围的有效投标价的算术平均值作为评标基准价。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18" w:hRule="atLeast"/>
          <w:jc w:val="center"/>
        </w:trPr>
        <w:tc>
          <w:tcPr>
            <w:tcW w:w="2102" w:type="dxa"/>
            <w:gridSpan w:val="3"/>
            <w:tcBorders>
              <w:top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asciiTheme="minorEastAsia" w:hAnsiTheme="minorEastAsia" w:eastAsiaTheme="minorEastAsia"/>
                <w:sz w:val="21"/>
                <w:szCs w:val="21"/>
              </w:rPr>
              <w:t>2.2.3</w:t>
            </w:r>
          </w:p>
        </w:tc>
        <w:tc>
          <w:tcPr>
            <w:tcW w:w="22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投标报价的偏差率</w:t>
            </w:r>
          </w:p>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计算公式</w:t>
            </w:r>
          </w:p>
        </w:tc>
        <w:tc>
          <w:tcPr>
            <w:tcW w:w="5321" w:type="dxa"/>
            <w:tcBorders>
              <w:top w:val="single" w:color="auto" w:sz="4" w:space="0"/>
              <w:left w:val="single" w:color="auto" w:sz="4" w:space="0"/>
              <w:bottom w:val="single" w:color="auto" w:sz="4" w:space="0"/>
            </w:tcBorders>
            <w:shd w:val="clear" w:color="auto" w:fill="auto"/>
            <w:vAlign w:val="center"/>
          </w:tcPr>
          <w:p>
            <w:pPr>
              <w:widowControl/>
              <w:adjustRightInd w:val="0"/>
              <w:snapToGrid w:val="0"/>
              <w:rPr>
                <w:rFonts w:asciiTheme="minorEastAsia" w:hAnsiTheme="minorEastAsia" w:eastAsiaTheme="minorEastAsia"/>
                <w:sz w:val="21"/>
                <w:szCs w:val="21"/>
              </w:rPr>
            </w:pPr>
            <w:r>
              <w:rPr>
                <w:rFonts w:hint="eastAsia" w:asciiTheme="minorEastAsia" w:hAnsiTheme="minorEastAsia" w:eastAsiaTheme="minorEastAsia"/>
                <w:sz w:val="21"/>
                <w:szCs w:val="21"/>
              </w:rPr>
              <w:t>投标报价得分以评标基准价作为计算各有效投标报价得分的基础，当有效投标报价等于评标基准价时得</w:t>
            </w:r>
            <w:r>
              <w:rPr>
                <w:rFonts w:asciiTheme="minorEastAsia" w:hAnsiTheme="minorEastAsia" w:eastAsiaTheme="minorEastAsia"/>
                <w:sz w:val="21"/>
                <w:szCs w:val="21"/>
              </w:rPr>
              <w:t>20分；投标有效投价与评标</w:t>
            </w:r>
            <w:r>
              <w:rPr>
                <w:rFonts w:hint="eastAsia" w:asciiTheme="minorEastAsia" w:hAnsiTheme="minorEastAsia" w:eastAsiaTheme="minorEastAsia"/>
                <w:sz w:val="21"/>
                <w:szCs w:val="21"/>
              </w:rPr>
              <w:t>基准</w:t>
            </w:r>
            <w:r>
              <w:rPr>
                <w:rFonts w:asciiTheme="minorEastAsia" w:hAnsiTheme="minorEastAsia" w:eastAsiaTheme="minorEastAsia"/>
                <w:sz w:val="21"/>
                <w:szCs w:val="21"/>
              </w:rPr>
              <w:t>价相比，每上偏扣1%扣1分、下偏1%扣0.5分，中间分值采用插值计算，保留小数点后两位，小数点后第三位采用四舍五入方式计算，最多扣20分。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2" w:hRule="atLeast"/>
          <w:jc w:val="center"/>
        </w:trPr>
        <w:tc>
          <w:tcPr>
            <w:tcW w:w="960" w:type="dxa"/>
            <w:gridSpan w:val="2"/>
            <w:vMerge w:val="restart"/>
            <w:tcBorders>
              <w:top w:val="single" w:color="auto" w:sz="4" w:space="0"/>
              <w:right w:val="single" w:color="auto" w:sz="4" w:space="0"/>
            </w:tcBorders>
            <w:vAlign w:val="center"/>
          </w:tcPr>
          <w:p>
            <w:pPr>
              <w:spacing w:line="44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2.2.4</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p>
        </w:tc>
        <w:tc>
          <w:tcPr>
            <w:tcW w:w="1142" w:type="dxa"/>
            <w:vMerge w:val="restart"/>
            <w:tcBorders>
              <w:top w:val="single" w:color="auto" w:sz="4" w:space="0"/>
              <w:right w:val="single" w:color="auto" w:sz="4" w:space="0"/>
            </w:tcBorders>
            <w:vAlign w:val="center"/>
          </w:tcPr>
          <w:p>
            <w:pPr>
              <w:spacing w:line="4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资信业绩评分标准（</w:t>
            </w:r>
            <w:r>
              <w:rPr>
                <w:rFonts w:hint="eastAsia" w:asciiTheme="minorEastAsia" w:hAnsiTheme="minorEastAsia" w:eastAsiaTheme="minorEastAsia"/>
                <w:sz w:val="21"/>
                <w:szCs w:val="21"/>
                <w:lang w:val="en-US"/>
              </w:rPr>
              <w:t>3</w:t>
            </w:r>
            <w:r>
              <w:rPr>
                <w:rFonts w:asciiTheme="minorEastAsia" w:hAnsiTheme="minorEastAsia" w:eastAsiaTheme="minorEastAsia"/>
                <w:sz w:val="21"/>
                <w:szCs w:val="21"/>
                <w:lang w:val="en-US"/>
              </w:rPr>
              <w:t>5</w:t>
            </w:r>
            <w:r>
              <w:rPr>
                <w:rFonts w:hint="eastAsia" w:asciiTheme="minorEastAsia" w:hAnsiTheme="minorEastAsia" w:eastAsiaTheme="minorEastAsia"/>
                <w:sz w:val="21"/>
                <w:szCs w:val="21"/>
              </w:rPr>
              <w:t>分）</w:t>
            </w:r>
          </w:p>
        </w:tc>
        <w:tc>
          <w:tcPr>
            <w:tcW w:w="2288" w:type="dxa"/>
            <w:vMerge w:val="restart"/>
            <w:tcBorders>
              <w:top w:val="single" w:color="auto" w:sz="4" w:space="0"/>
              <w:left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信誉（</w:t>
            </w:r>
            <w:r>
              <w:rPr>
                <w:rFonts w:hint="eastAsia" w:asciiTheme="minorEastAsia" w:hAnsiTheme="minorEastAsia" w:eastAsiaTheme="minorEastAsia"/>
                <w:sz w:val="21"/>
                <w:szCs w:val="21"/>
                <w:lang w:val="en-US"/>
              </w:rPr>
              <w:t>6</w:t>
            </w:r>
            <w:r>
              <w:rPr>
                <w:rFonts w:hint="eastAsia" w:asciiTheme="minorEastAsia" w:hAnsiTheme="minorEastAsia" w:eastAsiaTheme="minorEastAsia"/>
                <w:sz w:val="21"/>
                <w:szCs w:val="21"/>
              </w:rPr>
              <w:t>分）</w:t>
            </w:r>
          </w:p>
        </w:tc>
        <w:tc>
          <w:tcPr>
            <w:tcW w:w="5321" w:type="dxa"/>
            <w:tcBorders>
              <w:top w:val="single" w:color="auto" w:sz="4" w:space="0"/>
              <w:left w:val="single" w:color="auto" w:sz="4" w:space="0"/>
              <w:bottom w:val="single" w:color="auto" w:sz="4" w:space="0"/>
            </w:tcBorders>
            <w:vAlign w:val="center"/>
          </w:tcPr>
          <w:p>
            <w:pPr>
              <w:adjustRightInd w:val="0"/>
              <w:snapToGrid w:val="0"/>
              <w:rPr>
                <w:rFonts w:asciiTheme="minorEastAsia" w:hAnsiTheme="minorEastAsia" w:eastAsiaTheme="minorEastAsia"/>
                <w:sz w:val="21"/>
                <w:szCs w:val="21"/>
              </w:rPr>
            </w:pPr>
            <w:r>
              <w:rPr>
                <w:rFonts w:hint="eastAsia" w:asciiTheme="minorEastAsia" w:hAnsiTheme="minorEastAsia" w:eastAsiaTheme="minorEastAsia"/>
                <w:sz w:val="21"/>
                <w:szCs w:val="21"/>
              </w:rPr>
              <w:t>曾获得过省级或以上先进监理企业的得</w:t>
            </w:r>
            <w:r>
              <w:rPr>
                <w:rFonts w:asciiTheme="minorEastAsia" w:hAnsiTheme="minorEastAsia" w:eastAsiaTheme="minorEastAsia"/>
                <w:sz w:val="21"/>
                <w:szCs w:val="21"/>
              </w:rPr>
              <w:t>3分，曾获得过市级先进监理企业得1.5分，未获得不得分。本项按最高级别计算一次，不重复不得累计加分，最多得3分。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60" w:type="dxa"/>
            <w:gridSpan w:val="2"/>
            <w:vMerge w:val="continue"/>
            <w:tcBorders>
              <w:top w:val="single" w:color="auto" w:sz="4" w:space="0"/>
              <w:right w:val="single" w:color="auto" w:sz="4" w:space="0"/>
            </w:tcBorders>
            <w:vAlign w:val="center"/>
          </w:tcPr>
          <w:p>
            <w:pPr>
              <w:spacing w:line="440" w:lineRule="exact"/>
              <w:jc w:val="center"/>
              <w:rPr>
                <w:rFonts w:asciiTheme="minorEastAsia" w:hAnsiTheme="minorEastAsia" w:eastAsiaTheme="minorEastAsia"/>
                <w:sz w:val="21"/>
                <w:szCs w:val="21"/>
              </w:rPr>
            </w:pPr>
          </w:p>
        </w:tc>
        <w:tc>
          <w:tcPr>
            <w:tcW w:w="1142" w:type="dxa"/>
            <w:vMerge w:val="continue"/>
            <w:tcBorders>
              <w:top w:val="single" w:color="auto" w:sz="4" w:space="0"/>
              <w:right w:val="single" w:color="auto" w:sz="4" w:space="0"/>
            </w:tcBorders>
            <w:vAlign w:val="center"/>
          </w:tcPr>
          <w:p>
            <w:pPr>
              <w:spacing w:line="440" w:lineRule="exact"/>
              <w:jc w:val="center"/>
              <w:rPr>
                <w:rFonts w:asciiTheme="minorEastAsia" w:hAnsiTheme="minorEastAsia" w:eastAsiaTheme="minorEastAsia"/>
                <w:sz w:val="21"/>
                <w:szCs w:val="21"/>
              </w:rPr>
            </w:pPr>
          </w:p>
        </w:tc>
        <w:tc>
          <w:tcPr>
            <w:tcW w:w="2288" w:type="dxa"/>
            <w:vMerge w:val="continue"/>
            <w:tcBorders>
              <w:left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5321" w:type="dxa"/>
            <w:tcBorders>
              <w:top w:val="single" w:color="auto" w:sz="4" w:space="0"/>
              <w:left w:val="single" w:color="auto" w:sz="4" w:space="0"/>
              <w:bottom w:val="single" w:color="auto" w:sz="4" w:space="0"/>
            </w:tcBorders>
            <w:vAlign w:val="center"/>
          </w:tcPr>
          <w:p>
            <w:pPr>
              <w:adjustRightInd w:val="0"/>
              <w:snapToGrid w:val="0"/>
              <w:rPr>
                <w:rFonts w:asciiTheme="minorEastAsia" w:hAnsiTheme="minorEastAsia" w:eastAsiaTheme="minorEastAsia"/>
                <w:sz w:val="21"/>
                <w:szCs w:val="21"/>
              </w:rPr>
            </w:pPr>
            <w:r>
              <w:rPr>
                <w:rFonts w:hint="eastAsia" w:asciiTheme="minorEastAsia" w:hAnsiTheme="minorEastAsia" w:eastAsiaTheme="minorEastAsia"/>
                <w:sz w:val="21"/>
                <w:szCs w:val="21"/>
              </w:rPr>
              <w:t>自2019年1月1日至投标截至之日止连续三年或以上获得税务机关颁发的纳税信用等级A级荣誉的得3分，连续两年获得税务机关颁发的纳税信用等级A级荣誉的得2分，获得过税务机关颁发的纳税信用等级A级荣誉的得1分，没获得过的不得分。</w:t>
            </w:r>
          </w:p>
          <w:p>
            <w:pPr>
              <w:pStyle w:val="2"/>
              <w:ind w:right="31"/>
              <w:jc w:val="both"/>
            </w:pPr>
            <w:r>
              <w:rPr>
                <w:rFonts w:hint="eastAsia"/>
              </w:rPr>
              <w:t>（注：成立不足三年的公司缺少相应年限荣誉的视同具有相关荣誉。）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3" w:hRule="atLeast"/>
          <w:jc w:val="center"/>
        </w:trPr>
        <w:tc>
          <w:tcPr>
            <w:tcW w:w="960" w:type="dxa"/>
            <w:gridSpan w:val="2"/>
            <w:vMerge w:val="continue"/>
            <w:tcBorders>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1142" w:type="dxa"/>
            <w:vMerge w:val="continue"/>
            <w:tcBorders>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企业创新能力（3分）</w:t>
            </w:r>
          </w:p>
        </w:tc>
        <w:tc>
          <w:tcPr>
            <w:tcW w:w="5321" w:type="dxa"/>
            <w:tcBorders>
              <w:top w:val="single" w:color="auto" w:sz="4" w:space="0"/>
              <w:left w:val="single" w:color="auto" w:sz="4" w:space="0"/>
            </w:tcBorders>
            <w:vAlign w:val="center"/>
          </w:tcPr>
          <w:p>
            <w:pPr>
              <w:adjustRightInd w:val="0"/>
              <w:snapToGrid w:val="0"/>
              <w:rPr>
                <w:sz w:val="21"/>
                <w:szCs w:val="21"/>
                <w:lang w:val="en-US"/>
              </w:rPr>
            </w:pPr>
            <w:r>
              <w:rPr>
                <w:rFonts w:hint="eastAsia"/>
                <w:sz w:val="21"/>
                <w:szCs w:val="21"/>
                <w:lang w:val="en-US"/>
              </w:rPr>
              <w:t>投标人自</w:t>
            </w:r>
            <w:r>
              <w:rPr>
                <w:sz w:val="21"/>
                <w:szCs w:val="21"/>
                <w:lang w:val="en-US"/>
              </w:rPr>
              <w:t>2019年1月1日至</w:t>
            </w:r>
            <w:r>
              <w:rPr>
                <w:rFonts w:hint="eastAsia" w:asciiTheme="minorEastAsia" w:hAnsiTheme="minorEastAsia" w:eastAsiaTheme="minorEastAsia"/>
                <w:sz w:val="21"/>
                <w:szCs w:val="21"/>
              </w:rPr>
              <w:t>投标截至之日止</w:t>
            </w:r>
            <w:r>
              <w:rPr>
                <w:sz w:val="21"/>
                <w:szCs w:val="21"/>
                <w:lang w:val="en-US"/>
              </w:rPr>
              <w:t>同时获得过高新技术企业的得3分，没有获得的不得分。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33" w:hRule="atLeast"/>
          <w:jc w:val="center"/>
        </w:trPr>
        <w:tc>
          <w:tcPr>
            <w:tcW w:w="960" w:type="dxa"/>
            <w:gridSpan w:val="2"/>
            <w:vMerge w:val="continue"/>
            <w:tcBorders>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1142" w:type="dxa"/>
            <w:vMerge w:val="continue"/>
            <w:tcBorders>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22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类似项目业绩（</w:t>
            </w:r>
            <w:r>
              <w:rPr>
                <w:rFonts w:hint="eastAsia" w:asciiTheme="minorEastAsia" w:hAnsiTheme="minorEastAsia" w:eastAsiaTheme="minorEastAsia"/>
                <w:sz w:val="21"/>
                <w:szCs w:val="21"/>
                <w:lang w:val="en-US"/>
              </w:rPr>
              <w:t>1</w:t>
            </w:r>
            <w:r>
              <w:rPr>
                <w:rFonts w:asciiTheme="minorEastAsia" w:hAnsiTheme="minorEastAsia" w:eastAsiaTheme="minorEastAsia"/>
                <w:sz w:val="21"/>
                <w:szCs w:val="21"/>
                <w:lang w:val="en-US"/>
              </w:rPr>
              <w:t>4</w:t>
            </w:r>
            <w:r>
              <w:rPr>
                <w:rFonts w:hint="eastAsia" w:asciiTheme="minorEastAsia" w:hAnsiTheme="minorEastAsia" w:eastAsiaTheme="minorEastAsia"/>
                <w:sz w:val="21"/>
                <w:szCs w:val="21"/>
              </w:rPr>
              <w:t>分）</w:t>
            </w:r>
          </w:p>
        </w:tc>
        <w:tc>
          <w:tcPr>
            <w:tcW w:w="5321" w:type="dxa"/>
            <w:tcBorders>
              <w:top w:val="single" w:color="auto" w:sz="4" w:space="0"/>
              <w:left w:val="single" w:color="auto" w:sz="4" w:space="0"/>
              <w:bottom w:val="single" w:color="auto" w:sz="4" w:space="0"/>
            </w:tcBorders>
            <w:vAlign w:val="center"/>
          </w:tcPr>
          <w:p>
            <w:pPr>
              <w:spacing w:before="44"/>
              <w:rPr>
                <w:rFonts w:asciiTheme="minorEastAsia" w:hAnsiTheme="minorEastAsia" w:eastAsiaTheme="minorEastAsia"/>
                <w:sz w:val="21"/>
                <w:szCs w:val="21"/>
              </w:rPr>
            </w:pPr>
            <w:r>
              <w:rPr>
                <w:rFonts w:hint="eastAsia" w:asciiTheme="minorEastAsia" w:hAnsiTheme="minorEastAsia" w:eastAsiaTheme="minorEastAsia"/>
                <w:sz w:val="21"/>
                <w:szCs w:val="21"/>
              </w:rPr>
              <w:t>从</w:t>
            </w:r>
            <w:r>
              <w:rPr>
                <w:rFonts w:asciiTheme="minorEastAsia" w:hAnsiTheme="minorEastAsia" w:eastAsiaTheme="minorEastAsia"/>
                <w:sz w:val="21"/>
                <w:szCs w:val="21"/>
              </w:rPr>
              <w:t>2019年1月1日起至</w:t>
            </w:r>
            <w:r>
              <w:rPr>
                <w:rFonts w:hint="eastAsia" w:asciiTheme="minorEastAsia" w:hAnsiTheme="minorEastAsia" w:eastAsiaTheme="minorEastAsia"/>
                <w:sz w:val="21"/>
                <w:szCs w:val="21"/>
              </w:rPr>
              <w:t>投标截至之日止</w:t>
            </w:r>
            <w:r>
              <w:rPr>
                <w:rFonts w:asciiTheme="minorEastAsia" w:hAnsiTheme="minorEastAsia" w:eastAsiaTheme="minorEastAsia"/>
                <w:sz w:val="21"/>
                <w:szCs w:val="21"/>
              </w:rPr>
              <w:t>完成过质量合格的类似工程一项得1分，最多得</w:t>
            </w:r>
            <w:r>
              <w:rPr>
                <w:rFonts w:asciiTheme="minorEastAsia" w:hAnsiTheme="minorEastAsia" w:eastAsiaTheme="minorEastAsia"/>
                <w:sz w:val="21"/>
                <w:szCs w:val="21"/>
                <w:lang w:val="en-US"/>
              </w:rPr>
              <w:t>5</w:t>
            </w:r>
            <w:r>
              <w:rPr>
                <w:rFonts w:asciiTheme="minorEastAsia" w:hAnsiTheme="minorEastAsia" w:eastAsiaTheme="minorEastAsia"/>
                <w:sz w:val="21"/>
                <w:szCs w:val="21"/>
              </w:rPr>
              <w:t>分。</w:t>
            </w:r>
          </w:p>
          <w:p>
            <w:pPr>
              <w:spacing w:before="44"/>
              <w:rPr>
                <w:rFonts w:asciiTheme="minorEastAsia" w:hAnsiTheme="minorEastAsia" w:eastAsiaTheme="minorEastAsia"/>
                <w:sz w:val="21"/>
                <w:szCs w:val="21"/>
              </w:rPr>
            </w:pPr>
            <w:r>
              <w:rPr>
                <w:rFonts w:hint="eastAsia" w:asciiTheme="minorEastAsia" w:hAnsiTheme="minorEastAsia" w:eastAsiaTheme="minorEastAsia"/>
                <w:sz w:val="21"/>
                <w:szCs w:val="21"/>
              </w:rPr>
              <w:t>注：提供中标通知书、监理合同和验收报告的复印件并加盖公章，不提供不得分。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20" w:hRule="atLeast"/>
          <w:jc w:val="center"/>
        </w:trPr>
        <w:tc>
          <w:tcPr>
            <w:tcW w:w="960" w:type="dxa"/>
            <w:gridSpan w:val="2"/>
            <w:vMerge w:val="continue"/>
            <w:tcBorders>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1142" w:type="dxa"/>
            <w:vMerge w:val="continue"/>
            <w:tcBorders>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22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5321" w:type="dxa"/>
            <w:tcBorders>
              <w:top w:val="single" w:color="auto" w:sz="4" w:space="0"/>
              <w:left w:val="single" w:color="auto" w:sz="4" w:space="0"/>
              <w:bottom w:val="single" w:color="auto" w:sz="4" w:space="0"/>
            </w:tcBorders>
            <w:vAlign w:val="center"/>
          </w:tcPr>
          <w:p>
            <w:pPr>
              <w:spacing w:before="44"/>
              <w:rPr>
                <w:rFonts w:asciiTheme="minorEastAsia" w:hAnsiTheme="minorEastAsia" w:eastAsiaTheme="minorEastAsia"/>
                <w:sz w:val="21"/>
                <w:szCs w:val="21"/>
              </w:rPr>
            </w:pPr>
            <w:r>
              <w:rPr>
                <w:rFonts w:hint="eastAsia" w:asciiTheme="minorEastAsia" w:hAnsiTheme="minorEastAsia" w:eastAsiaTheme="minorEastAsia"/>
                <w:sz w:val="21"/>
                <w:szCs w:val="21"/>
              </w:rPr>
              <w:t>从</w:t>
            </w:r>
            <w:r>
              <w:rPr>
                <w:rFonts w:asciiTheme="minorEastAsia" w:hAnsiTheme="minorEastAsia" w:eastAsiaTheme="minorEastAsia"/>
                <w:sz w:val="21"/>
                <w:szCs w:val="21"/>
              </w:rPr>
              <w:t>2019年1月1日起至</w:t>
            </w:r>
            <w:r>
              <w:rPr>
                <w:rFonts w:hint="eastAsia" w:asciiTheme="minorEastAsia" w:hAnsiTheme="minorEastAsia" w:eastAsiaTheme="minorEastAsia"/>
                <w:sz w:val="21"/>
                <w:szCs w:val="21"/>
              </w:rPr>
              <w:t>投标截至之日止</w:t>
            </w:r>
            <w:r>
              <w:rPr>
                <w:rFonts w:asciiTheme="minorEastAsia" w:hAnsiTheme="minorEastAsia" w:eastAsiaTheme="minorEastAsia"/>
                <w:sz w:val="21"/>
                <w:szCs w:val="21"/>
              </w:rPr>
              <w:t>完成的类似工程获得国家级质量奖项的每个得2分，获得省级质量奖项的每个得1分，获得市级质量奖项的每个得0.5分，本项最多得</w:t>
            </w:r>
            <w:r>
              <w:rPr>
                <w:rFonts w:asciiTheme="minorEastAsia" w:hAnsiTheme="minorEastAsia" w:eastAsiaTheme="minorEastAsia"/>
                <w:sz w:val="21"/>
                <w:szCs w:val="21"/>
                <w:lang w:val="en-US"/>
              </w:rPr>
              <w:t>9</w:t>
            </w:r>
            <w:r>
              <w:rPr>
                <w:rFonts w:asciiTheme="minorEastAsia" w:hAnsiTheme="minorEastAsia" w:eastAsiaTheme="minorEastAsia"/>
                <w:sz w:val="21"/>
                <w:szCs w:val="21"/>
              </w:rPr>
              <w:t>分。</w:t>
            </w:r>
          </w:p>
          <w:p>
            <w:pPr>
              <w:spacing w:before="44"/>
              <w:rPr>
                <w:rFonts w:asciiTheme="minorEastAsia" w:hAnsiTheme="minorEastAsia" w:eastAsiaTheme="minorEastAsia"/>
                <w:sz w:val="21"/>
                <w:szCs w:val="21"/>
              </w:rPr>
            </w:pPr>
            <w:r>
              <w:rPr>
                <w:rFonts w:hint="eastAsia" w:asciiTheme="minorEastAsia" w:hAnsiTheme="minorEastAsia" w:eastAsiaTheme="minorEastAsia"/>
                <w:sz w:val="21"/>
                <w:szCs w:val="21"/>
              </w:rPr>
              <w:t>注：提供获奖工程的中标通知书、监理合同和验收报告的复印件并加盖公章，不提供不得分。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3" w:hRule="atLeast"/>
          <w:jc w:val="center"/>
        </w:trPr>
        <w:tc>
          <w:tcPr>
            <w:tcW w:w="960" w:type="dxa"/>
            <w:gridSpan w:val="2"/>
            <w:vMerge w:val="continue"/>
            <w:tcBorders>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1142" w:type="dxa"/>
            <w:vMerge w:val="continue"/>
            <w:tcBorders>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ins w:id="1" w:author="wong April" w:date="2022-09-20T01:10:00Z"/>
                <w:rFonts w:asciiTheme="minorEastAsia" w:hAnsiTheme="minorEastAsia" w:eastAsiaTheme="minorEastAsia"/>
                <w:sz w:val="21"/>
                <w:szCs w:val="21"/>
              </w:rPr>
            </w:pPr>
            <w:r>
              <w:rPr>
                <w:rFonts w:hint="eastAsia" w:asciiTheme="minorEastAsia" w:hAnsiTheme="minorEastAsia" w:eastAsiaTheme="minorEastAsia"/>
                <w:sz w:val="21"/>
                <w:szCs w:val="21"/>
              </w:rPr>
              <w:t>总监理工程师资历</w:t>
            </w:r>
          </w:p>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7分）</w:t>
            </w:r>
          </w:p>
        </w:tc>
        <w:tc>
          <w:tcPr>
            <w:tcW w:w="5321" w:type="dxa"/>
            <w:tcBorders>
              <w:top w:val="single" w:color="auto" w:sz="4" w:space="0"/>
              <w:left w:val="single" w:color="auto" w:sz="4" w:space="0"/>
              <w:bottom w:val="single" w:color="auto" w:sz="4" w:space="0"/>
            </w:tcBorders>
            <w:vAlign w:val="center"/>
          </w:tcPr>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1、满足招标公告要求同时取得监理工程师执业资格证15年或以上（以注册监理工程师执业资格证书签发日期计算）的得1.5分，10-14年（含10年）得0.5分，10年以下不得分。</w:t>
            </w:r>
          </w:p>
          <w:p>
            <w:pPr>
              <w:adjustRightInd w:val="0"/>
              <w:snapToGrid w:val="0"/>
              <w:rPr>
                <w:rFonts w:asciiTheme="minorEastAsia" w:hAnsiTheme="minorEastAsia" w:eastAsiaTheme="minorEastAsia"/>
                <w:sz w:val="21"/>
                <w:szCs w:val="21"/>
              </w:rPr>
            </w:pPr>
            <w:r>
              <w:rPr>
                <w:rFonts w:hint="eastAsia" w:asciiTheme="minorEastAsia" w:hAnsiTheme="minorEastAsia" w:eastAsiaTheme="minorEastAsia"/>
                <w:sz w:val="21"/>
                <w:szCs w:val="21"/>
              </w:rPr>
              <w:t>注：需同时提供总监理工程师负责完成至少3个监理项目的中标通知书、监理合同、验收报告的复印件并加盖公章。</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2、获得工程类高级（或以上）职称的，得1分。</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3、具备一级建造师并注册在本公司的得1.5分。</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4、具备注册造价工程师（一级造价师）并注册在本公司的得1.5分。</w:t>
            </w:r>
          </w:p>
          <w:p>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5、获得过</w:t>
            </w:r>
            <w:r>
              <w:rPr>
                <w:rFonts w:hint="eastAsia" w:asciiTheme="minorEastAsia" w:hAnsiTheme="minorEastAsia" w:eastAsiaTheme="minorEastAsia"/>
                <w:sz w:val="21"/>
                <w:szCs w:val="21"/>
              </w:rPr>
              <w:t>国家</w:t>
            </w:r>
            <w:r>
              <w:rPr>
                <w:rFonts w:asciiTheme="minorEastAsia" w:hAnsiTheme="minorEastAsia" w:eastAsiaTheme="minorEastAsia"/>
                <w:sz w:val="21"/>
                <w:szCs w:val="21"/>
              </w:rPr>
              <w:t>级优秀总监理工程师荣誉的得1.5分</w:t>
            </w:r>
            <w:r>
              <w:rPr>
                <w:rFonts w:hint="eastAsia" w:asciiTheme="minorEastAsia" w:hAnsiTheme="minorEastAsia" w:eastAsiaTheme="minorEastAsia"/>
                <w:sz w:val="21"/>
                <w:szCs w:val="21"/>
              </w:rPr>
              <w:t>，</w:t>
            </w:r>
            <w:r>
              <w:rPr>
                <w:rFonts w:asciiTheme="minorEastAsia" w:hAnsiTheme="minorEastAsia" w:eastAsiaTheme="minorEastAsia"/>
                <w:sz w:val="21"/>
                <w:szCs w:val="21"/>
              </w:rPr>
              <w:t>获得过省级优秀总监理工程师荣誉的得1分，获得过市级优秀总监理工程师荣誉的得0.5分。</w:t>
            </w:r>
          </w:p>
          <w:p>
            <w:pPr>
              <w:adjustRightInd w:val="0"/>
              <w:snapToGrid w:val="0"/>
              <w:rPr>
                <w:rFonts w:asciiTheme="minorEastAsia" w:hAnsiTheme="minorEastAsia" w:eastAsiaTheme="minorEastAsia"/>
                <w:sz w:val="21"/>
                <w:szCs w:val="21"/>
              </w:rPr>
            </w:pPr>
            <w:r>
              <w:rPr>
                <w:rFonts w:hint="eastAsia" w:asciiTheme="minorEastAsia" w:hAnsiTheme="minorEastAsia" w:eastAsiaTheme="minorEastAsia"/>
                <w:sz w:val="21"/>
                <w:szCs w:val="21"/>
              </w:rPr>
              <w:t>注：须提供有效的证书复印件加盖公章作为评审依据，否则不得分。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88" w:hRule="atLeast"/>
          <w:jc w:val="center"/>
        </w:trPr>
        <w:tc>
          <w:tcPr>
            <w:tcW w:w="960" w:type="dxa"/>
            <w:gridSpan w:val="2"/>
            <w:vMerge w:val="continue"/>
            <w:tcBorders>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1142" w:type="dxa"/>
            <w:vMerge w:val="continue"/>
            <w:tcBorders>
              <w:right w:val="single" w:color="auto" w:sz="4" w:space="0"/>
            </w:tcBorders>
            <w:vAlign w:val="center"/>
          </w:tcPr>
          <w:p>
            <w:pPr>
              <w:adjustRightInd w:val="0"/>
              <w:snapToGrid w:val="0"/>
              <w:spacing w:before="36" w:beforeLines="15" w:after="36" w:afterLines="15"/>
              <w:ind w:left="44" w:leftChars="20" w:right="44" w:rightChars="20"/>
              <w:jc w:val="center"/>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ind w:left="44" w:leftChars="20" w:right="44" w:rightChars="20"/>
              <w:jc w:val="center"/>
              <w:rPr>
                <w:sz w:val="21"/>
                <w:szCs w:val="21"/>
              </w:rPr>
            </w:pPr>
            <w:r>
              <w:rPr>
                <w:rFonts w:hint="eastAsia"/>
                <w:sz w:val="21"/>
                <w:szCs w:val="21"/>
              </w:rPr>
              <w:t>其他主要人员资历和业绩（</w:t>
            </w:r>
            <w:r>
              <w:rPr>
                <w:sz w:val="21"/>
                <w:szCs w:val="21"/>
              </w:rPr>
              <w:t>5分）</w:t>
            </w:r>
          </w:p>
        </w:tc>
        <w:tc>
          <w:tcPr>
            <w:tcW w:w="5321" w:type="dxa"/>
            <w:tcBorders>
              <w:top w:val="single" w:color="auto" w:sz="4" w:space="0"/>
              <w:left w:val="single" w:color="auto" w:sz="4" w:space="0"/>
              <w:bottom w:val="single" w:color="auto" w:sz="4" w:space="0"/>
            </w:tcBorders>
            <w:vAlign w:val="center"/>
          </w:tcPr>
          <w:p>
            <w:pPr>
              <w:rPr>
                <w:sz w:val="21"/>
                <w:szCs w:val="21"/>
              </w:rPr>
            </w:pPr>
            <w:r>
              <w:rPr>
                <w:sz w:val="21"/>
                <w:szCs w:val="21"/>
              </w:rPr>
              <w:t>1、满足本项目专业监理人员配套要求及专业要求（房建、机电、给排水、安全、造价）基础上，在专业监理人员配备中具有注册监理工程师或高级工程师的每人加1分，本项最多得2分。（以上岗证书或注册证或毕业证或职称证上所列的相关专业为准</w:t>
            </w:r>
            <w:r>
              <w:rPr>
                <w:rFonts w:hint="eastAsia"/>
                <w:sz w:val="21"/>
                <w:szCs w:val="21"/>
              </w:rPr>
              <w:t>；</w:t>
            </w:r>
          </w:p>
          <w:p>
            <w:pPr>
              <w:rPr>
                <w:sz w:val="21"/>
                <w:szCs w:val="21"/>
              </w:rPr>
            </w:pPr>
            <w:r>
              <w:rPr>
                <w:sz w:val="21"/>
                <w:szCs w:val="21"/>
              </w:rPr>
              <w:t>2、在专业监理人员配备中，2019年</w:t>
            </w:r>
            <w:r>
              <w:rPr>
                <w:rFonts w:hint="eastAsia"/>
                <w:sz w:val="21"/>
                <w:szCs w:val="21"/>
              </w:rPr>
              <w:t>1月1日</w:t>
            </w:r>
            <w:r>
              <w:rPr>
                <w:sz w:val="21"/>
                <w:szCs w:val="21"/>
              </w:rPr>
              <w:t>至</w:t>
            </w:r>
            <w:r>
              <w:rPr>
                <w:rFonts w:hint="eastAsia" w:asciiTheme="minorEastAsia" w:hAnsiTheme="minorEastAsia" w:eastAsiaTheme="minorEastAsia"/>
                <w:sz w:val="21"/>
                <w:szCs w:val="21"/>
              </w:rPr>
              <w:t>投标截至之日止</w:t>
            </w:r>
            <w:r>
              <w:rPr>
                <w:sz w:val="21"/>
                <w:szCs w:val="21"/>
              </w:rPr>
              <w:t>获得过市级或以上优秀专业监理工程师或优秀总监理工程师称号的每人加1.5分，本项最多得3分。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1" w:hRule="atLeast"/>
          <w:jc w:val="center"/>
        </w:trPr>
        <w:tc>
          <w:tcPr>
            <w:tcW w:w="960" w:type="dxa"/>
            <w:gridSpan w:val="2"/>
            <w:vMerge w:val="restart"/>
            <w:tcBorders>
              <w:top w:val="single" w:color="auto" w:sz="4" w:space="0"/>
              <w:right w:val="single" w:color="auto" w:sz="4" w:space="0"/>
            </w:tcBorders>
            <w:vAlign w:val="center"/>
          </w:tcPr>
          <w:p>
            <w:pPr>
              <w:spacing w:line="440" w:lineRule="exact"/>
              <w:rPr>
                <w:rFonts w:asciiTheme="minorEastAsia" w:hAnsiTheme="minorEastAsia" w:eastAsiaTheme="minorEastAsia"/>
                <w:sz w:val="21"/>
                <w:szCs w:val="21"/>
              </w:rPr>
            </w:pPr>
            <w:r>
              <w:rPr>
                <w:rFonts w:asciiTheme="minorEastAsia" w:hAnsiTheme="minorEastAsia" w:eastAsiaTheme="minorEastAsia"/>
                <w:sz w:val="21"/>
                <w:szCs w:val="21"/>
              </w:rPr>
              <w:t>2.2.4</w:t>
            </w: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p>
        </w:tc>
        <w:tc>
          <w:tcPr>
            <w:tcW w:w="1142" w:type="dxa"/>
            <w:vMerge w:val="restart"/>
            <w:tcBorders>
              <w:top w:val="single" w:color="auto" w:sz="4" w:space="0"/>
              <w:right w:val="single" w:color="auto" w:sz="4" w:space="0"/>
            </w:tcBorders>
            <w:vAlign w:val="center"/>
          </w:tcPr>
          <w:p>
            <w:pPr>
              <w:spacing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监理大纲评分标准（</w:t>
            </w:r>
            <w:r>
              <w:rPr>
                <w:rFonts w:hint="eastAsia" w:asciiTheme="minorEastAsia" w:hAnsiTheme="minorEastAsia" w:eastAsiaTheme="minorEastAsia"/>
                <w:sz w:val="21"/>
                <w:szCs w:val="21"/>
                <w:lang w:val="en-US"/>
              </w:rPr>
              <w:t>3</w:t>
            </w:r>
            <w:r>
              <w:rPr>
                <w:rFonts w:asciiTheme="minorEastAsia" w:hAnsiTheme="minorEastAsia" w:eastAsiaTheme="minorEastAsia"/>
                <w:sz w:val="21"/>
                <w:szCs w:val="21"/>
                <w:lang w:val="en-US"/>
              </w:rPr>
              <w:t>5</w:t>
            </w:r>
            <w:r>
              <w:rPr>
                <w:rFonts w:hint="eastAsia" w:asciiTheme="minorEastAsia" w:hAnsiTheme="minorEastAsia" w:eastAsiaTheme="minorEastAsia"/>
                <w:sz w:val="21"/>
                <w:szCs w:val="21"/>
              </w:rPr>
              <w:t>分）</w:t>
            </w:r>
          </w:p>
        </w:tc>
        <w:tc>
          <w:tcPr>
            <w:tcW w:w="228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360" w:lineRule="auto"/>
              <w:jc w:val="center"/>
              <w:rPr>
                <w:rFonts w:asciiTheme="minorEastAsia" w:hAnsiTheme="minorEastAsia" w:eastAsiaTheme="minorEastAsia"/>
                <w:sz w:val="21"/>
                <w:szCs w:val="21"/>
              </w:rPr>
            </w:pPr>
            <w:r>
              <w:rPr>
                <w:rFonts w:hint="eastAsia"/>
                <w:sz w:val="21"/>
                <w:szCs w:val="21"/>
              </w:rPr>
              <w:t>监理工作程序、方法和制度（</w:t>
            </w:r>
            <w:r>
              <w:rPr>
                <w:sz w:val="21"/>
                <w:szCs w:val="21"/>
                <w:lang w:val="en-US"/>
              </w:rPr>
              <w:t>4</w:t>
            </w:r>
            <w:r>
              <w:rPr>
                <w:sz w:val="21"/>
                <w:szCs w:val="21"/>
              </w:rPr>
              <w:t>分）</w:t>
            </w:r>
          </w:p>
        </w:tc>
        <w:tc>
          <w:tcPr>
            <w:tcW w:w="5321" w:type="dxa"/>
            <w:tcBorders>
              <w:top w:val="single" w:color="auto" w:sz="4" w:space="0"/>
              <w:left w:val="single" w:color="auto" w:sz="4" w:space="0"/>
              <w:bottom w:val="single" w:color="auto" w:sz="4" w:space="0"/>
            </w:tcBorders>
          </w:tcPr>
          <w:p>
            <w:pPr>
              <w:snapToGrid w:val="0"/>
              <w:rPr>
                <w:rFonts w:asciiTheme="minorEastAsia" w:hAnsiTheme="minorEastAsia" w:eastAsiaTheme="minorEastAsia"/>
                <w:sz w:val="21"/>
                <w:szCs w:val="21"/>
              </w:rPr>
            </w:pPr>
            <w:r>
              <w:rPr>
                <w:sz w:val="21"/>
                <w:szCs w:val="21"/>
              </w:rPr>
              <w:t>有清晰的工作流程图、工作准则。方案为优得</w:t>
            </w:r>
            <w:r>
              <w:rPr>
                <w:sz w:val="21"/>
                <w:szCs w:val="21"/>
                <w:lang w:val="en-US"/>
              </w:rPr>
              <w:t>4</w:t>
            </w:r>
            <w:r>
              <w:rPr>
                <w:sz w:val="21"/>
                <w:szCs w:val="21"/>
              </w:rPr>
              <w:t>分，方案为良得</w:t>
            </w:r>
            <w:r>
              <w:rPr>
                <w:rFonts w:hint="eastAsia"/>
                <w:sz w:val="21"/>
                <w:szCs w:val="21"/>
                <w:lang w:val="en-US"/>
              </w:rPr>
              <w:t>2</w:t>
            </w:r>
            <w:r>
              <w:rPr>
                <w:sz w:val="21"/>
                <w:szCs w:val="21"/>
              </w:rPr>
              <w:t>分，方案为一般得1分，方案为差不得分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50" w:hRule="atLeast"/>
          <w:jc w:val="center"/>
        </w:trPr>
        <w:tc>
          <w:tcPr>
            <w:tcW w:w="960" w:type="dxa"/>
            <w:gridSpan w:val="2"/>
            <w:vMerge w:val="continue"/>
            <w:tcBorders>
              <w:right w:val="single" w:color="auto" w:sz="4" w:space="0"/>
            </w:tcBorders>
          </w:tcPr>
          <w:p>
            <w:pPr>
              <w:spacing w:line="440" w:lineRule="exact"/>
              <w:jc w:val="center"/>
              <w:rPr>
                <w:rFonts w:asciiTheme="minorEastAsia" w:hAnsiTheme="minorEastAsia" w:eastAsiaTheme="minorEastAsia"/>
                <w:sz w:val="21"/>
                <w:szCs w:val="21"/>
              </w:rPr>
            </w:pPr>
          </w:p>
        </w:tc>
        <w:tc>
          <w:tcPr>
            <w:tcW w:w="1142" w:type="dxa"/>
            <w:vMerge w:val="continue"/>
            <w:tcBorders>
              <w:right w:val="single" w:color="auto" w:sz="4" w:space="0"/>
            </w:tcBorders>
          </w:tcPr>
          <w:p>
            <w:pPr>
              <w:spacing w:line="440" w:lineRule="exact"/>
              <w:jc w:val="center"/>
              <w:rPr>
                <w:rFonts w:asciiTheme="minorEastAsia" w:hAnsiTheme="minorEastAsia" w:eastAsiaTheme="minorEastAsia"/>
                <w:sz w:val="21"/>
                <w:szCs w:val="21"/>
              </w:rPr>
            </w:pPr>
          </w:p>
        </w:tc>
        <w:tc>
          <w:tcPr>
            <w:tcW w:w="2288" w:type="dxa"/>
            <w:vMerge w:val="restart"/>
            <w:tcBorders>
              <w:top w:val="single" w:color="auto" w:sz="4" w:space="0"/>
              <w:left w:val="single" w:color="auto" w:sz="4" w:space="0"/>
              <w:right w:val="single" w:color="auto" w:sz="4" w:space="0"/>
            </w:tcBorders>
            <w:vAlign w:val="center"/>
          </w:tcPr>
          <w:p>
            <w:pPr>
              <w:spacing w:before="100" w:beforeAutospacing="1" w:after="100" w:afterAutospacing="1"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质量、进度、造价、安全环保监理措施</w:t>
            </w:r>
          </w:p>
          <w:p>
            <w:pPr>
              <w:spacing w:before="100" w:beforeAutospacing="1" w:after="100" w:afterAutospacing="1"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rPr>
              <w:t>16</w:t>
            </w:r>
            <w:r>
              <w:rPr>
                <w:rFonts w:asciiTheme="minorEastAsia" w:hAnsiTheme="minorEastAsia" w:eastAsiaTheme="minorEastAsia"/>
                <w:sz w:val="21"/>
                <w:szCs w:val="21"/>
              </w:rPr>
              <w:t>分）</w:t>
            </w:r>
          </w:p>
        </w:tc>
        <w:tc>
          <w:tcPr>
            <w:tcW w:w="5321" w:type="dxa"/>
            <w:tcBorders>
              <w:top w:val="single" w:color="auto" w:sz="4" w:space="0"/>
              <w:left w:val="single" w:color="auto" w:sz="4" w:space="0"/>
              <w:bottom w:val="single" w:color="auto" w:sz="4" w:space="0"/>
            </w:tcBorders>
          </w:tcPr>
          <w:p>
            <w:pPr>
              <w:snapToGrid w:val="0"/>
              <w:rPr>
                <w:rFonts w:asciiTheme="minorEastAsia" w:hAnsiTheme="minorEastAsia" w:eastAsiaTheme="minorEastAsia"/>
                <w:sz w:val="21"/>
                <w:szCs w:val="21"/>
              </w:rPr>
            </w:pPr>
            <w:r>
              <w:rPr>
                <w:sz w:val="21"/>
                <w:szCs w:val="21"/>
              </w:rPr>
              <w:t>质量控制措施：要求目标明确、方法合理可行、措施具体、针对性强。方案为优得</w:t>
            </w:r>
            <w:r>
              <w:rPr>
                <w:rFonts w:hint="eastAsia"/>
                <w:sz w:val="21"/>
                <w:szCs w:val="21"/>
                <w:lang w:val="en-US"/>
              </w:rPr>
              <w:t>4</w:t>
            </w:r>
            <w:r>
              <w:rPr>
                <w:sz w:val="21"/>
                <w:szCs w:val="21"/>
              </w:rPr>
              <w:t>分，良得2分，一般得1分，差不得分。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960" w:type="dxa"/>
            <w:gridSpan w:val="2"/>
            <w:vMerge w:val="continue"/>
            <w:tcBorders>
              <w:right w:val="single" w:color="auto" w:sz="4" w:space="0"/>
            </w:tcBorders>
          </w:tcPr>
          <w:p>
            <w:pPr>
              <w:spacing w:line="440" w:lineRule="exact"/>
              <w:jc w:val="center"/>
              <w:rPr>
                <w:rFonts w:asciiTheme="minorEastAsia" w:hAnsiTheme="minorEastAsia" w:eastAsiaTheme="minorEastAsia"/>
                <w:sz w:val="21"/>
                <w:szCs w:val="21"/>
              </w:rPr>
            </w:pPr>
          </w:p>
        </w:tc>
        <w:tc>
          <w:tcPr>
            <w:tcW w:w="1142" w:type="dxa"/>
            <w:vMerge w:val="continue"/>
            <w:tcBorders>
              <w:right w:val="single" w:color="auto" w:sz="4" w:space="0"/>
            </w:tcBorders>
          </w:tcPr>
          <w:p>
            <w:pPr>
              <w:spacing w:line="440" w:lineRule="exact"/>
              <w:jc w:val="center"/>
              <w:rPr>
                <w:rFonts w:asciiTheme="minorEastAsia" w:hAnsiTheme="minorEastAsia" w:eastAsiaTheme="minorEastAsia"/>
                <w:sz w:val="21"/>
                <w:szCs w:val="21"/>
              </w:rPr>
            </w:pPr>
          </w:p>
        </w:tc>
        <w:tc>
          <w:tcPr>
            <w:tcW w:w="2288" w:type="dxa"/>
            <w:vMerge w:val="continue"/>
            <w:tcBorders>
              <w:left w:val="single" w:color="auto" w:sz="4" w:space="0"/>
              <w:right w:val="single" w:color="auto" w:sz="4" w:space="0"/>
            </w:tcBorders>
            <w:vAlign w:val="center"/>
          </w:tcPr>
          <w:p>
            <w:pPr>
              <w:snapToGrid w:val="0"/>
              <w:spacing w:line="360" w:lineRule="auto"/>
              <w:jc w:val="center"/>
              <w:rPr>
                <w:rFonts w:asciiTheme="minorEastAsia" w:hAnsiTheme="minorEastAsia" w:eastAsiaTheme="minorEastAsia"/>
                <w:sz w:val="21"/>
                <w:szCs w:val="21"/>
              </w:rPr>
            </w:pPr>
          </w:p>
        </w:tc>
        <w:tc>
          <w:tcPr>
            <w:tcW w:w="5321" w:type="dxa"/>
            <w:tcBorders>
              <w:top w:val="single" w:color="auto" w:sz="4" w:space="0"/>
              <w:left w:val="single" w:color="auto" w:sz="4" w:space="0"/>
              <w:bottom w:val="single" w:color="auto" w:sz="4" w:space="0"/>
            </w:tcBorders>
          </w:tcPr>
          <w:p>
            <w:pPr>
              <w:rPr>
                <w:rFonts w:asciiTheme="minorEastAsia" w:hAnsiTheme="minorEastAsia" w:eastAsiaTheme="minorEastAsia"/>
                <w:sz w:val="21"/>
                <w:szCs w:val="21"/>
              </w:rPr>
            </w:pPr>
            <w:r>
              <w:rPr>
                <w:sz w:val="21"/>
                <w:szCs w:val="21"/>
              </w:rPr>
              <w:t>进度控制措施：要求目标明确、方法合理可行、措施具体、针对性强。方案为优得</w:t>
            </w:r>
            <w:r>
              <w:rPr>
                <w:rFonts w:hint="eastAsia"/>
                <w:sz w:val="21"/>
                <w:szCs w:val="21"/>
                <w:lang w:val="en-US"/>
              </w:rPr>
              <w:t>4</w:t>
            </w:r>
            <w:r>
              <w:rPr>
                <w:sz w:val="21"/>
                <w:szCs w:val="21"/>
              </w:rPr>
              <w:t>分，良得2分，一般得1分，差不得分。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8" w:hRule="atLeast"/>
          <w:jc w:val="center"/>
        </w:trPr>
        <w:tc>
          <w:tcPr>
            <w:tcW w:w="960" w:type="dxa"/>
            <w:gridSpan w:val="2"/>
            <w:vMerge w:val="continue"/>
            <w:tcBorders>
              <w:right w:val="single" w:color="auto" w:sz="4" w:space="0"/>
            </w:tcBorders>
          </w:tcPr>
          <w:p>
            <w:pPr>
              <w:spacing w:line="440" w:lineRule="exact"/>
              <w:jc w:val="center"/>
              <w:rPr>
                <w:rFonts w:asciiTheme="minorEastAsia" w:hAnsiTheme="minorEastAsia" w:eastAsiaTheme="minorEastAsia"/>
                <w:sz w:val="21"/>
                <w:szCs w:val="21"/>
              </w:rPr>
            </w:pPr>
          </w:p>
        </w:tc>
        <w:tc>
          <w:tcPr>
            <w:tcW w:w="1142" w:type="dxa"/>
            <w:vMerge w:val="continue"/>
            <w:tcBorders>
              <w:right w:val="single" w:color="auto" w:sz="4" w:space="0"/>
            </w:tcBorders>
          </w:tcPr>
          <w:p>
            <w:pPr>
              <w:spacing w:line="440" w:lineRule="exact"/>
              <w:jc w:val="center"/>
              <w:rPr>
                <w:rFonts w:asciiTheme="minorEastAsia" w:hAnsiTheme="minorEastAsia" w:eastAsiaTheme="minorEastAsia"/>
                <w:sz w:val="21"/>
                <w:szCs w:val="21"/>
              </w:rPr>
            </w:pPr>
          </w:p>
        </w:tc>
        <w:tc>
          <w:tcPr>
            <w:tcW w:w="2288" w:type="dxa"/>
            <w:vMerge w:val="continue"/>
            <w:tcBorders>
              <w:left w:val="single" w:color="auto" w:sz="4" w:space="0"/>
              <w:right w:val="single" w:color="auto" w:sz="4" w:space="0"/>
            </w:tcBorders>
            <w:vAlign w:val="center"/>
          </w:tcPr>
          <w:p>
            <w:pPr>
              <w:snapToGrid w:val="0"/>
              <w:spacing w:line="360" w:lineRule="auto"/>
              <w:jc w:val="center"/>
              <w:rPr>
                <w:rFonts w:asciiTheme="minorEastAsia" w:hAnsiTheme="minorEastAsia" w:eastAsiaTheme="minorEastAsia"/>
                <w:sz w:val="21"/>
                <w:szCs w:val="21"/>
              </w:rPr>
            </w:pPr>
          </w:p>
        </w:tc>
        <w:tc>
          <w:tcPr>
            <w:tcW w:w="5321" w:type="dxa"/>
            <w:tcBorders>
              <w:top w:val="single" w:color="auto" w:sz="4" w:space="0"/>
              <w:left w:val="single" w:color="auto" w:sz="4" w:space="0"/>
              <w:bottom w:val="single" w:color="auto" w:sz="4" w:space="0"/>
            </w:tcBorders>
          </w:tcPr>
          <w:p>
            <w:pPr>
              <w:rPr>
                <w:rFonts w:asciiTheme="minorEastAsia" w:hAnsiTheme="minorEastAsia" w:eastAsiaTheme="minorEastAsia"/>
                <w:sz w:val="21"/>
                <w:szCs w:val="21"/>
              </w:rPr>
            </w:pPr>
            <w:r>
              <w:rPr>
                <w:sz w:val="21"/>
                <w:szCs w:val="21"/>
              </w:rPr>
              <w:t>投资控制方案：要求目标明确、方法合理可行、措施具体、针对性强。方案为优得</w:t>
            </w:r>
            <w:r>
              <w:rPr>
                <w:rFonts w:hint="eastAsia"/>
                <w:sz w:val="21"/>
                <w:szCs w:val="21"/>
                <w:lang w:val="en-US"/>
              </w:rPr>
              <w:t>4</w:t>
            </w:r>
            <w:r>
              <w:rPr>
                <w:sz w:val="21"/>
                <w:szCs w:val="21"/>
              </w:rPr>
              <w:t>分，良得2分，一般得1分，差不得分。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4" w:hRule="atLeast"/>
          <w:jc w:val="center"/>
        </w:trPr>
        <w:tc>
          <w:tcPr>
            <w:tcW w:w="960" w:type="dxa"/>
            <w:gridSpan w:val="2"/>
            <w:vMerge w:val="continue"/>
            <w:tcBorders>
              <w:right w:val="single" w:color="auto" w:sz="4" w:space="0"/>
            </w:tcBorders>
          </w:tcPr>
          <w:p>
            <w:pPr>
              <w:spacing w:line="440" w:lineRule="exact"/>
              <w:jc w:val="center"/>
              <w:rPr>
                <w:rFonts w:asciiTheme="minorEastAsia" w:hAnsiTheme="minorEastAsia" w:eastAsiaTheme="minorEastAsia"/>
                <w:sz w:val="21"/>
                <w:szCs w:val="21"/>
              </w:rPr>
            </w:pPr>
          </w:p>
        </w:tc>
        <w:tc>
          <w:tcPr>
            <w:tcW w:w="1142" w:type="dxa"/>
            <w:vMerge w:val="continue"/>
            <w:tcBorders>
              <w:right w:val="single" w:color="auto" w:sz="4" w:space="0"/>
            </w:tcBorders>
          </w:tcPr>
          <w:p>
            <w:pPr>
              <w:spacing w:line="440" w:lineRule="exact"/>
              <w:jc w:val="center"/>
              <w:rPr>
                <w:rFonts w:asciiTheme="minorEastAsia" w:hAnsiTheme="minorEastAsia" w:eastAsiaTheme="minorEastAsia"/>
                <w:sz w:val="21"/>
                <w:szCs w:val="21"/>
              </w:rPr>
            </w:pPr>
          </w:p>
        </w:tc>
        <w:tc>
          <w:tcPr>
            <w:tcW w:w="2288"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sz w:val="21"/>
                <w:szCs w:val="21"/>
              </w:rPr>
            </w:pPr>
          </w:p>
        </w:tc>
        <w:tc>
          <w:tcPr>
            <w:tcW w:w="5321" w:type="dxa"/>
            <w:tcBorders>
              <w:top w:val="single" w:color="auto" w:sz="4" w:space="0"/>
              <w:left w:val="single" w:color="auto" w:sz="4" w:space="0"/>
              <w:bottom w:val="single" w:color="auto" w:sz="4" w:space="0"/>
            </w:tcBorders>
          </w:tcPr>
          <w:p>
            <w:pPr>
              <w:rPr>
                <w:rFonts w:asciiTheme="minorEastAsia" w:hAnsiTheme="minorEastAsia" w:eastAsiaTheme="minorEastAsia"/>
                <w:sz w:val="21"/>
                <w:szCs w:val="21"/>
              </w:rPr>
            </w:pPr>
            <w:r>
              <w:rPr>
                <w:sz w:val="21"/>
                <w:szCs w:val="21"/>
              </w:rPr>
              <w:t>安全、文明施工管理：安全、文明施工管理。方案为优得</w:t>
            </w:r>
            <w:r>
              <w:rPr>
                <w:rFonts w:hint="eastAsia"/>
                <w:sz w:val="21"/>
                <w:szCs w:val="21"/>
                <w:lang w:val="en-US"/>
              </w:rPr>
              <w:t>4</w:t>
            </w:r>
            <w:r>
              <w:rPr>
                <w:sz w:val="21"/>
                <w:szCs w:val="21"/>
              </w:rPr>
              <w:t>分，良得2分，一般得1分，差不得分。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4" w:hRule="atLeast"/>
          <w:jc w:val="center"/>
        </w:trPr>
        <w:tc>
          <w:tcPr>
            <w:tcW w:w="960" w:type="dxa"/>
            <w:gridSpan w:val="2"/>
            <w:vMerge w:val="continue"/>
            <w:tcBorders>
              <w:right w:val="single" w:color="auto" w:sz="4" w:space="0"/>
            </w:tcBorders>
          </w:tcPr>
          <w:p>
            <w:pPr>
              <w:spacing w:line="440" w:lineRule="exact"/>
              <w:jc w:val="center"/>
              <w:rPr>
                <w:rFonts w:asciiTheme="minorEastAsia" w:hAnsiTheme="minorEastAsia" w:eastAsiaTheme="minorEastAsia"/>
                <w:sz w:val="21"/>
                <w:szCs w:val="21"/>
              </w:rPr>
            </w:pPr>
          </w:p>
        </w:tc>
        <w:tc>
          <w:tcPr>
            <w:tcW w:w="1142" w:type="dxa"/>
            <w:vMerge w:val="continue"/>
            <w:tcBorders>
              <w:right w:val="single" w:color="auto" w:sz="4" w:space="0"/>
            </w:tcBorders>
          </w:tcPr>
          <w:p>
            <w:pPr>
              <w:spacing w:line="440" w:lineRule="exact"/>
              <w:jc w:val="center"/>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76" w:right="-20"/>
              <w:jc w:val="center"/>
              <w:rPr>
                <w:rFonts w:cs="楷体"/>
                <w:sz w:val="21"/>
                <w:szCs w:val="21"/>
              </w:rPr>
            </w:pPr>
            <w:r>
              <w:rPr>
                <w:rFonts w:hint="eastAsia" w:cs="楷体"/>
                <w:sz w:val="21"/>
                <w:szCs w:val="21"/>
              </w:rPr>
              <w:t>合同、信息管理方案</w:t>
            </w:r>
          </w:p>
          <w:p>
            <w:pPr>
              <w:snapToGrid w:val="0"/>
              <w:spacing w:line="360" w:lineRule="auto"/>
              <w:jc w:val="center"/>
              <w:rPr>
                <w:sz w:val="21"/>
                <w:szCs w:val="21"/>
              </w:rPr>
            </w:pPr>
            <w:r>
              <w:rPr>
                <w:rFonts w:hint="eastAsia" w:cs="楷体"/>
                <w:sz w:val="21"/>
                <w:szCs w:val="21"/>
              </w:rPr>
              <w:t>（</w:t>
            </w:r>
            <w:r>
              <w:rPr>
                <w:rFonts w:hint="eastAsia" w:cs="楷体"/>
                <w:sz w:val="21"/>
                <w:szCs w:val="21"/>
                <w:lang w:val="en-US"/>
              </w:rPr>
              <w:t>3</w:t>
            </w:r>
            <w:r>
              <w:rPr>
                <w:rFonts w:hint="eastAsia" w:cs="楷体"/>
                <w:sz w:val="21"/>
                <w:szCs w:val="21"/>
              </w:rPr>
              <w:t>分）</w:t>
            </w:r>
          </w:p>
        </w:tc>
        <w:tc>
          <w:tcPr>
            <w:tcW w:w="5321" w:type="dxa"/>
            <w:tcBorders>
              <w:top w:val="single" w:color="auto" w:sz="4" w:space="0"/>
              <w:left w:val="single" w:color="auto" w:sz="4" w:space="0"/>
              <w:bottom w:val="single" w:color="auto" w:sz="4" w:space="0"/>
            </w:tcBorders>
            <w:vAlign w:val="center"/>
          </w:tcPr>
          <w:p>
            <w:pPr>
              <w:rPr>
                <w:sz w:val="21"/>
                <w:szCs w:val="21"/>
              </w:rPr>
            </w:pPr>
            <w:r>
              <w:rPr>
                <w:rFonts w:hint="eastAsia" w:cs="楷体"/>
                <w:sz w:val="21"/>
                <w:szCs w:val="21"/>
              </w:rPr>
              <w:t>合同管理、信息管理方法、针对性强、措施具体。方案为优得</w:t>
            </w:r>
            <w:r>
              <w:rPr>
                <w:rFonts w:hint="eastAsia" w:cs="楷体"/>
                <w:sz w:val="21"/>
                <w:szCs w:val="21"/>
                <w:lang w:val="en-US"/>
              </w:rPr>
              <w:t>3</w:t>
            </w:r>
            <w:r>
              <w:rPr>
                <w:rFonts w:hint="eastAsia" w:cs="楷体"/>
                <w:sz w:val="21"/>
                <w:szCs w:val="21"/>
              </w:rPr>
              <w:t>分，良得2分，一般得1分，差不得分。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4" w:hRule="atLeast"/>
          <w:jc w:val="center"/>
        </w:trPr>
        <w:tc>
          <w:tcPr>
            <w:tcW w:w="960" w:type="dxa"/>
            <w:gridSpan w:val="2"/>
            <w:vMerge w:val="continue"/>
            <w:tcBorders>
              <w:right w:val="single" w:color="auto" w:sz="4" w:space="0"/>
            </w:tcBorders>
          </w:tcPr>
          <w:p>
            <w:pPr>
              <w:spacing w:line="440" w:lineRule="exact"/>
              <w:jc w:val="center"/>
              <w:rPr>
                <w:rFonts w:asciiTheme="minorEastAsia" w:hAnsiTheme="minorEastAsia" w:eastAsiaTheme="minorEastAsia"/>
                <w:sz w:val="21"/>
                <w:szCs w:val="21"/>
              </w:rPr>
            </w:pPr>
          </w:p>
        </w:tc>
        <w:tc>
          <w:tcPr>
            <w:tcW w:w="1142" w:type="dxa"/>
            <w:vMerge w:val="continue"/>
            <w:tcBorders>
              <w:right w:val="single" w:color="auto" w:sz="4" w:space="0"/>
            </w:tcBorders>
          </w:tcPr>
          <w:p>
            <w:pPr>
              <w:spacing w:line="440" w:lineRule="exact"/>
              <w:jc w:val="center"/>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 w:val="21"/>
                <w:szCs w:val="21"/>
              </w:rPr>
            </w:pPr>
            <w:r>
              <w:rPr>
                <w:rFonts w:hint="eastAsia" w:cs="楷体"/>
                <w:sz w:val="21"/>
                <w:szCs w:val="21"/>
              </w:rPr>
              <w:t>监理组织协调内容及措施（</w:t>
            </w:r>
            <w:r>
              <w:rPr>
                <w:rFonts w:hint="eastAsia" w:cs="楷体"/>
                <w:sz w:val="21"/>
                <w:szCs w:val="21"/>
                <w:lang w:val="en-US"/>
              </w:rPr>
              <w:t>3</w:t>
            </w:r>
            <w:r>
              <w:rPr>
                <w:rFonts w:hint="eastAsia" w:cs="楷体"/>
                <w:sz w:val="21"/>
                <w:szCs w:val="21"/>
              </w:rPr>
              <w:t>分）</w:t>
            </w:r>
          </w:p>
        </w:tc>
        <w:tc>
          <w:tcPr>
            <w:tcW w:w="5321" w:type="dxa"/>
            <w:tcBorders>
              <w:top w:val="single" w:color="auto" w:sz="4" w:space="0"/>
              <w:left w:val="single" w:color="auto" w:sz="4" w:space="0"/>
              <w:bottom w:val="single" w:color="auto" w:sz="4" w:space="0"/>
            </w:tcBorders>
            <w:vAlign w:val="center"/>
          </w:tcPr>
          <w:p>
            <w:pPr>
              <w:rPr>
                <w:sz w:val="21"/>
                <w:szCs w:val="21"/>
              </w:rPr>
            </w:pPr>
            <w:r>
              <w:rPr>
                <w:rFonts w:hint="eastAsia" w:cs="楷体"/>
                <w:sz w:val="21"/>
                <w:szCs w:val="21"/>
              </w:rPr>
              <w:t>协调方法清晰合理，有具体措施。方案为优得</w:t>
            </w:r>
            <w:r>
              <w:rPr>
                <w:rFonts w:hint="eastAsia" w:cs="楷体"/>
                <w:sz w:val="21"/>
                <w:szCs w:val="21"/>
                <w:lang w:val="en-US"/>
              </w:rPr>
              <w:t>3</w:t>
            </w:r>
            <w:r>
              <w:rPr>
                <w:rFonts w:hint="eastAsia" w:cs="楷体"/>
                <w:sz w:val="21"/>
                <w:szCs w:val="21"/>
              </w:rPr>
              <w:t>分，良得2分，一般得1分，差不得分。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68" w:hRule="atLeast"/>
          <w:jc w:val="center"/>
        </w:trPr>
        <w:tc>
          <w:tcPr>
            <w:tcW w:w="960" w:type="dxa"/>
            <w:gridSpan w:val="2"/>
            <w:vMerge w:val="continue"/>
            <w:tcBorders>
              <w:bottom w:val="single" w:color="auto" w:sz="4" w:space="0"/>
              <w:right w:val="single" w:color="auto" w:sz="4" w:space="0"/>
            </w:tcBorders>
          </w:tcPr>
          <w:p>
            <w:pPr>
              <w:spacing w:line="440" w:lineRule="exact"/>
              <w:jc w:val="center"/>
              <w:rPr>
                <w:rFonts w:asciiTheme="minorEastAsia" w:hAnsiTheme="minorEastAsia" w:eastAsiaTheme="minorEastAsia"/>
                <w:sz w:val="21"/>
                <w:szCs w:val="21"/>
              </w:rPr>
            </w:pPr>
          </w:p>
        </w:tc>
        <w:tc>
          <w:tcPr>
            <w:tcW w:w="1142" w:type="dxa"/>
            <w:vMerge w:val="continue"/>
            <w:tcBorders>
              <w:bottom w:val="single" w:color="auto" w:sz="4" w:space="0"/>
              <w:right w:val="single" w:color="auto" w:sz="4" w:space="0"/>
            </w:tcBorders>
          </w:tcPr>
          <w:p>
            <w:pPr>
              <w:spacing w:line="440" w:lineRule="exact"/>
              <w:jc w:val="center"/>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 w:val="21"/>
                <w:szCs w:val="21"/>
              </w:rPr>
            </w:pPr>
            <w:r>
              <w:rPr>
                <w:rFonts w:hint="eastAsia" w:cs="楷体"/>
                <w:sz w:val="21"/>
                <w:szCs w:val="21"/>
              </w:rPr>
              <w:t>监理工作重点、难点分析（</w:t>
            </w:r>
            <w:r>
              <w:rPr>
                <w:rFonts w:hint="eastAsia" w:cs="楷体"/>
                <w:sz w:val="21"/>
                <w:szCs w:val="21"/>
                <w:lang w:val="en-US"/>
              </w:rPr>
              <w:t>3</w:t>
            </w:r>
            <w:r>
              <w:rPr>
                <w:rFonts w:hint="eastAsia" w:cs="楷体"/>
                <w:sz w:val="21"/>
                <w:szCs w:val="21"/>
              </w:rPr>
              <w:t>分）</w:t>
            </w:r>
          </w:p>
        </w:tc>
        <w:tc>
          <w:tcPr>
            <w:tcW w:w="5321" w:type="dxa"/>
            <w:tcBorders>
              <w:top w:val="single" w:color="auto" w:sz="4" w:space="0"/>
              <w:left w:val="single" w:color="auto" w:sz="4" w:space="0"/>
              <w:bottom w:val="single" w:color="auto" w:sz="4" w:space="0"/>
            </w:tcBorders>
            <w:vAlign w:val="center"/>
          </w:tcPr>
          <w:p>
            <w:pPr>
              <w:rPr>
                <w:sz w:val="21"/>
                <w:szCs w:val="21"/>
              </w:rPr>
            </w:pPr>
            <w:r>
              <w:rPr>
                <w:rFonts w:hint="eastAsia" w:cs="楷体"/>
                <w:sz w:val="21"/>
                <w:szCs w:val="21"/>
              </w:rPr>
              <w:t>要求针对性强、措施具体、可操作。优得</w:t>
            </w:r>
            <w:r>
              <w:rPr>
                <w:rFonts w:hint="eastAsia" w:cs="楷体"/>
                <w:sz w:val="21"/>
                <w:szCs w:val="21"/>
                <w:lang w:val="en-US"/>
              </w:rPr>
              <w:t>3</w:t>
            </w:r>
            <w:r>
              <w:rPr>
                <w:rFonts w:hint="eastAsia" w:cs="楷体"/>
                <w:sz w:val="21"/>
                <w:szCs w:val="21"/>
              </w:rPr>
              <w:t>分；良得2分；一般得 1分；无措施不得分。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68" w:hRule="atLeast"/>
          <w:jc w:val="center"/>
        </w:trPr>
        <w:tc>
          <w:tcPr>
            <w:tcW w:w="960" w:type="dxa"/>
            <w:gridSpan w:val="2"/>
            <w:vMerge w:val="continue"/>
            <w:tcBorders>
              <w:bottom w:val="single" w:color="auto" w:sz="4" w:space="0"/>
              <w:right w:val="single" w:color="auto" w:sz="4" w:space="0"/>
            </w:tcBorders>
          </w:tcPr>
          <w:p>
            <w:pPr>
              <w:spacing w:line="440" w:lineRule="exact"/>
              <w:jc w:val="center"/>
              <w:rPr>
                <w:rFonts w:asciiTheme="minorEastAsia" w:hAnsiTheme="minorEastAsia" w:eastAsiaTheme="minorEastAsia"/>
                <w:sz w:val="21"/>
                <w:szCs w:val="21"/>
              </w:rPr>
            </w:pPr>
          </w:p>
        </w:tc>
        <w:tc>
          <w:tcPr>
            <w:tcW w:w="1142" w:type="dxa"/>
            <w:vMerge w:val="continue"/>
            <w:tcBorders>
              <w:bottom w:val="single" w:color="auto" w:sz="4" w:space="0"/>
              <w:right w:val="single" w:color="auto" w:sz="4" w:space="0"/>
            </w:tcBorders>
          </w:tcPr>
          <w:p>
            <w:pPr>
              <w:spacing w:line="440" w:lineRule="exact"/>
              <w:jc w:val="center"/>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 w:val="21"/>
                <w:szCs w:val="21"/>
              </w:rPr>
            </w:pPr>
            <w:r>
              <w:rPr>
                <w:rFonts w:hint="eastAsia" w:cs="楷体"/>
                <w:sz w:val="21"/>
                <w:szCs w:val="21"/>
              </w:rPr>
              <w:t>工程进度款、工程结算的管理（</w:t>
            </w:r>
            <w:r>
              <w:rPr>
                <w:rFonts w:hint="eastAsia" w:cs="楷体"/>
                <w:sz w:val="21"/>
                <w:szCs w:val="21"/>
                <w:lang w:val="en-US"/>
              </w:rPr>
              <w:t>2</w:t>
            </w:r>
            <w:r>
              <w:rPr>
                <w:rFonts w:hint="eastAsia" w:cs="楷体"/>
                <w:sz w:val="21"/>
                <w:szCs w:val="21"/>
              </w:rPr>
              <w:t>分）</w:t>
            </w:r>
          </w:p>
        </w:tc>
        <w:tc>
          <w:tcPr>
            <w:tcW w:w="5321" w:type="dxa"/>
            <w:tcBorders>
              <w:top w:val="single" w:color="auto" w:sz="4" w:space="0"/>
              <w:left w:val="single" w:color="auto" w:sz="4" w:space="0"/>
              <w:bottom w:val="single" w:color="auto" w:sz="4" w:space="0"/>
            </w:tcBorders>
            <w:vAlign w:val="center"/>
          </w:tcPr>
          <w:p>
            <w:pPr>
              <w:rPr>
                <w:sz w:val="21"/>
                <w:szCs w:val="21"/>
              </w:rPr>
            </w:pPr>
            <w:r>
              <w:rPr>
                <w:rFonts w:hint="eastAsia" w:cs="楷体"/>
                <w:sz w:val="21"/>
                <w:szCs w:val="21"/>
              </w:rPr>
              <w:t>管理方法合理有效、有具体措施的得</w:t>
            </w:r>
            <w:r>
              <w:rPr>
                <w:rFonts w:hint="eastAsia" w:cs="楷体"/>
                <w:sz w:val="21"/>
                <w:szCs w:val="21"/>
                <w:lang w:val="en-US"/>
              </w:rPr>
              <w:t>2</w:t>
            </w:r>
            <w:r>
              <w:rPr>
                <w:rFonts w:hint="eastAsia" w:cs="楷体"/>
                <w:sz w:val="21"/>
                <w:szCs w:val="21"/>
              </w:rPr>
              <w:t>分，一般、措施不具体的得1分，无管理方法和措施不得分。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6" w:hRule="atLeast"/>
          <w:jc w:val="center"/>
        </w:trPr>
        <w:tc>
          <w:tcPr>
            <w:tcW w:w="960" w:type="dxa"/>
            <w:gridSpan w:val="2"/>
            <w:vMerge w:val="continue"/>
            <w:tcBorders>
              <w:bottom w:val="single" w:color="auto" w:sz="4" w:space="0"/>
              <w:right w:val="single" w:color="auto" w:sz="4" w:space="0"/>
            </w:tcBorders>
          </w:tcPr>
          <w:p>
            <w:pPr>
              <w:spacing w:line="440" w:lineRule="exact"/>
              <w:jc w:val="center"/>
              <w:rPr>
                <w:rFonts w:asciiTheme="minorEastAsia" w:hAnsiTheme="minorEastAsia" w:eastAsiaTheme="minorEastAsia"/>
                <w:sz w:val="21"/>
                <w:szCs w:val="21"/>
              </w:rPr>
            </w:pPr>
          </w:p>
        </w:tc>
        <w:tc>
          <w:tcPr>
            <w:tcW w:w="1142" w:type="dxa"/>
            <w:vMerge w:val="continue"/>
            <w:tcBorders>
              <w:bottom w:val="single" w:color="auto" w:sz="4" w:space="0"/>
              <w:right w:val="single" w:color="auto" w:sz="4" w:space="0"/>
            </w:tcBorders>
          </w:tcPr>
          <w:p>
            <w:pPr>
              <w:spacing w:line="440" w:lineRule="exact"/>
              <w:jc w:val="center"/>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 w:val="21"/>
                <w:szCs w:val="21"/>
              </w:rPr>
            </w:pPr>
            <w:r>
              <w:rPr>
                <w:rFonts w:hint="eastAsia" w:cs="楷体"/>
                <w:sz w:val="21"/>
                <w:szCs w:val="21"/>
              </w:rPr>
              <w:t>会议制度（</w:t>
            </w:r>
            <w:r>
              <w:rPr>
                <w:rFonts w:hint="eastAsia" w:cs="楷体"/>
                <w:sz w:val="21"/>
                <w:szCs w:val="21"/>
                <w:lang w:val="en-US"/>
              </w:rPr>
              <w:t>2</w:t>
            </w:r>
            <w:r>
              <w:rPr>
                <w:rFonts w:hint="eastAsia" w:cs="楷体"/>
                <w:sz w:val="21"/>
                <w:szCs w:val="21"/>
              </w:rPr>
              <w:t>分）</w:t>
            </w:r>
          </w:p>
        </w:tc>
        <w:tc>
          <w:tcPr>
            <w:tcW w:w="5321" w:type="dxa"/>
            <w:tcBorders>
              <w:top w:val="single" w:color="auto" w:sz="4" w:space="0"/>
              <w:left w:val="single" w:color="auto" w:sz="4" w:space="0"/>
              <w:bottom w:val="single" w:color="auto" w:sz="4" w:space="0"/>
            </w:tcBorders>
            <w:vAlign w:val="center"/>
          </w:tcPr>
          <w:p>
            <w:pPr>
              <w:rPr>
                <w:sz w:val="21"/>
                <w:szCs w:val="21"/>
              </w:rPr>
            </w:pPr>
            <w:r>
              <w:rPr>
                <w:rFonts w:hint="eastAsia" w:cs="楷体"/>
                <w:sz w:val="21"/>
                <w:szCs w:val="21"/>
              </w:rPr>
              <w:t>建立完善的工地会议制度，满足要求的得</w:t>
            </w:r>
            <w:r>
              <w:rPr>
                <w:rFonts w:hint="eastAsia" w:cs="楷体"/>
                <w:sz w:val="21"/>
                <w:szCs w:val="21"/>
                <w:lang w:val="en-US"/>
              </w:rPr>
              <w:t>2</w:t>
            </w:r>
            <w:r>
              <w:rPr>
                <w:rFonts w:hint="eastAsia" w:cs="楷体"/>
                <w:sz w:val="21"/>
                <w:szCs w:val="21"/>
              </w:rPr>
              <w:t>分，不满足要求的不得分。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68" w:hRule="atLeast"/>
          <w:jc w:val="center"/>
        </w:trPr>
        <w:tc>
          <w:tcPr>
            <w:tcW w:w="960" w:type="dxa"/>
            <w:gridSpan w:val="2"/>
            <w:vMerge w:val="continue"/>
            <w:tcBorders>
              <w:bottom w:val="single" w:color="auto" w:sz="4" w:space="0"/>
              <w:right w:val="single" w:color="auto" w:sz="4" w:space="0"/>
            </w:tcBorders>
          </w:tcPr>
          <w:p>
            <w:pPr>
              <w:spacing w:line="440" w:lineRule="exact"/>
              <w:jc w:val="center"/>
              <w:rPr>
                <w:rFonts w:asciiTheme="minorEastAsia" w:hAnsiTheme="minorEastAsia" w:eastAsiaTheme="minorEastAsia"/>
                <w:sz w:val="21"/>
                <w:szCs w:val="21"/>
              </w:rPr>
            </w:pPr>
          </w:p>
        </w:tc>
        <w:tc>
          <w:tcPr>
            <w:tcW w:w="1142" w:type="dxa"/>
            <w:vMerge w:val="continue"/>
            <w:tcBorders>
              <w:bottom w:val="single" w:color="auto" w:sz="4" w:space="0"/>
              <w:right w:val="single" w:color="auto" w:sz="4" w:space="0"/>
            </w:tcBorders>
          </w:tcPr>
          <w:p>
            <w:pPr>
              <w:spacing w:line="440" w:lineRule="exact"/>
              <w:jc w:val="center"/>
              <w:rPr>
                <w:rFonts w:asciiTheme="minorEastAsia" w:hAnsiTheme="minorEastAsia" w:eastAsiaTheme="minorEastAsia"/>
                <w:sz w:val="21"/>
                <w:szCs w:val="21"/>
              </w:rPr>
            </w:pPr>
          </w:p>
        </w:tc>
        <w:tc>
          <w:tcPr>
            <w:tcW w:w="22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 w:val="21"/>
                <w:szCs w:val="21"/>
              </w:rPr>
            </w:pPr>
            <w:r>
              <w:rPr>
                <w:rFonts w:hint="eastAsia" w:cs="楷体"/>
                <w:sz w:val="21"/>
                <w:szCs w:val="21"/>
              </w:rPr>
              <w:t>合理化建议（</w:t>
            </w:r>
            <w:r>
              <w:rPr>
                <w:rFonts w:hint="eastAsia" w:cs="楷体"/>
                <w:sz w:val="21"/>
                <w:szCs w:val="21"/>
                <w:lang w:val="en-US"/>
              </w:rPr>
              <w:t>2</w:t>
            </w:r>
            <w:r>
              <w:rPr>
                <w:rFonts w:hint="eastAsia" w:cs="楷体"/>
                <w:sz w:val="21"/>
                <w:szCs w:val="21"/>
              </w:rPr>
              <w:t>分）</w:t>
            </w:r>
          </w:p>
        </w:tc>
        <w:tc>
          <w:tcPr>
            <w:tcW w:w="5321" w:type="dxa"/>
            <w:tcBorders>
              <w:top w:val="single" w:color="auto" w:sz="4" w:space="0"/>
              <w:left w:val="single" w:color="auto" w:sz="4" w:space="0"/>
              <w:bottom w:val="single" w:color="auto" w:sz="4" w:space="0"/>
            </w:tcBorders>
            <w:vAlign w:val="center"/>
          </w:tcPr>
          <w:p>
            <w:pPr>
              <w:rPr>
                <w:sz w:val="21"/>
                <w:szCs w:val="21"/>
              </w:rPr>
            </w:pPr>
            <w:r>
              <w:rPr>
                <w:rFonts w:hint="eastAsia" w:cs="楷体"/>
                <w:sz w:val="21"/>
                <w:szCs w:val="21"/>
              </w:rPr>
              <w:t>具有科学、合理、可行及具体措施的建议并经评委分析论证认同的得</w:t>
            </w:r>
            <w:r>
              <w:rPr>
                <w:rFonts w:hint="eastAsia" w:cs="楷体"/>
                <w:sz w:val="21"/>
                <w:szCs w:val="21"/>
                <w:lang w:val="en-US"/>
              </w:rPr>
              <w:t>2</w:t>
            </w:r>
            <w:r>
              <w:rPr>
                <w:rFonts w:hint="eastAsia" w:cs="楷体"/>
                <w:sz w:val="21"/>
                <w:szCs w:val="21"/>
              </w:rPr>
              <w:t>分；无措施不得分。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55" w:hRule="atLeast"/>
          <w:jc w:val="center"/>
        </w:trPr>
        <w:tc>
          <w:tcPr>
            <w:tcW w:w="960" w:type="dxa"/>
            <w:gridSpan w:val="2"/>
            <w:tcBorders>
              <w:top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olor w:val="0000FF"/>
                <w:sz w:val="21"/>
                <w:szCs w:val="21"/>
              </w:rPr>
            </w:pPr>
            <w:r>
              <w:rPr>
                <w:rFonts w:asciiTheme="minorEastAsia" w:hAnsiTheme="minorEastAsia" w:eastAsiaTheme="minorEastAsia"/>
                <w:sz w:val="21"/>
                <w:szCs w:val="21"/>
              </w:rPr>
              <w:t>2.2.4</w:t>
            </w: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p>
        </w:tc>
        <w:tc>
          <w:tcPr>
            <w:tcW w:w="1142" w:type="dxa"/>
            <w:tcBorders>
              <w:top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投标报价评分标准</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rPr>
              <w:t>20</w:t>
            </w:r>
            <w:r>
              <w:rPr>
                <w:rFonts w:hint="eastAsia" w:asciiTheme="minorEastAsia" w:hAnsiTheme="minorEastAsia" w:eastAsiaTheme="minorEastAsia"/>
                <w:sz w:val="21"/>
                <w:szCs w:val="21"/>
              </w:rPr>
              <w:t>分</w:t>
            </w:r>
            <w:r>
              <w:rPr>
                <w:rFonts w:asciiTheme="minorEastAsia" w:hAnsiTheme="minorEastAsia" w:eastAsiaTheme="minorEastAsia"/>
                <w:sz w:val="21"/>
                <w:szCs w:val="21"/>
              </w:rPr>
              <w:t>)</w:t>
            </w:r>
          </w:p>
        </w:tc>
        <w:tc>
          <w:tcPr>
            <w:tcW w:w="2288" w:type="dxa"/>
            <w:tcBorders>
              <w:top w:val="single" w:color="auto" w:sz="4" w:space="0"/>
              <w:left w:val="single" w:color="auto" w:sz="4" w:space="0"/>
              <w:bottom w:val="single" w:color="auto" w:sz="4" w:space="0"/>
              <w:right w:val="single" w:color="auto" w:sz="4" w:space="0"/>
            </w:tcBorders>
            <w:vAlign w:val="center"/>
          </w:tcPr>
          <w:p>
            <w:pPr>
              <w:spacing w:line="4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报价得分（</w:t>
            </w:r>
            <w:r>
              <w:rPr>
                <w:rFonts w:hint="eastAsia" w:asciiTheme="minorEastAsia" w:hAnsiTheme="minorEastAsia" w:eastAsiaTheme="minorEastAsia"/>
                <w:sz w:val="21"/>
                <w:szCs w:val="21"/>
                <w:lang w:val="en-US"/>
              </w:rPr>
              <w:t>20分</w:t>
            </w:r>
            <w:r>
              <w:rPr>
                <w:rFonts w:hint="eastAsia" w:asciiTheme="minorEastAsia" w:hAnsiTheme="minorEastAsia" w:eastAsiaTheme="minorEastAsia"/>
                <w:sz w:val="21"/>
                <w:szCs w:val="21"/>
              </w:rPr>
              <w:t>）</w:t>
            </w:r>
          </w:p>
        </w:tc>
        <w:tc>
          <w:tcPr>
            <w:tcW w:w="5321" w:type="dxa"/>
            <w:tcBorders>
              <w:top w:val="single" w:color="auto" w:sz="4" w:space="0"/>
              <w:left w:val="single" w:color="auto" w:sz="4" w:space="0"/>
              <w:bottom w:val="single" w:color="auto" w:sz="4" w:space="0"/>
            </w:tcBorders>
          </w:tcPr>
          <w:p>
            <w:pPr>
              <w:spacing w:line="360" w:lineRule="auto"/>
              <w:rPr>
                <w:rFonts w:asciiTheme="minorEastAsia" w:hAnsiTheme="minorEastAsia"/>
                <w:sz w:val="21"/>
                <w:szCs w:val="21"/>
                <w:lang w:val="en-US"/>
              </w:rPr>
            </w:pPr>
            <w:r>
              <w:rPr>
                <w:rFonts w:hint="eastAsia"/>
                <w:sz w:val="21"/>
                <w:szCs w:val="21"/>
              </w:rPr>
              <w:t>以评标基准价作为计算各有效投标价得分的基础，当有效投标价等于评标基准价时得</w:t>
            </w:r>
            <w:r>
              <w:rPr>
                <w:rFonts w:hint="eastAsia"/>
                <w:sz w:val="21"/>
                <w:szCs w:val="21"/>
                <w:lang w:val="en-US"/>
              </w:rPr>
              <w:t>20</w:t>
            </w:r>
            <w:r>
              <w:rPr>
                <w:rFonts w:hint="eastAsia"/>
                <w:sz w:val="21"/>
                <w:szCs w:val="21"/>
              </w:rPr>
              <w:t xml:space="preserve">分；投标有效投价与评标基准价相比，每上偏 1 %扣 </w:t>
            </w:r>
            <w:r>
              <w:rPr>
                <w:rFonts w:hint="eastAsia"/>
                <w:sz w:val="21"/>
                <w:szCs w:val="21"/>
                <w:lang w:val="en-US"/>
              </w:rPr>
              <w:t>1</w:t>
            </w:r>
            <w:r>
              <w:rPr>
                <w:rFonts w:hint="eastAsia"/>
                <w:sz w:val="21"/>
                <w:szCs w:val="21"/>
              </w:rPr>
              <w:t>分，每下偏 1 %扣0.5分</w:t>
            </w:r>
            <w:r>
              <w:rPr>
                <w:rFonts w:hint="eastAsia"/>
                <w:b/>
                <w:sz w:val="21"/>
                <w:szCs w:val="21"/>
              </w:rPr>
              <w:t>。</w:t>
            </w:r>
            <w:r>
              <w:rPr>
                <w:rFonts w:hint="eastAsia"/>
                <w:sz w:val="21"/>
                <w:szCs w:val="21"/>
              </w:rPr>
              <w:t>最多扣</w:t>
            </w:r>
            <w:r>
              <w:rPr>
                <w:sz w:val="21"/>
                <w:szCs w:val="21"/>
                <w:lang w:val="en-US"/>
              </w:rPr>
              <w:t>2</w:t>
            </w:r>
            <w:r>
              <w:rPr>
                <w:rFonts w:hint="eastAsia"/>
                <w:sz w:val="21"/>
                <w:szCs w:val="21"/>
                <w:lang w:val="en-US"/>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55" w:hRule="atLeast"/>
          <w:jc w:val="center"/>
        </w:trPr>
        <w:tc>
          <w:tcPr>
            <w:tcW w:w="960" w:type="dxa"/>
            <w:gridSpan w:val="2"/>
            <w:tcBorders>
              <w:top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2.2.4</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rPr>
              <w:t>4</w:t>
            </w:r>
            <w:r>
              <w:rPr>
                <w:rFonts w:hint="eastAsia" w:asciiTheme="minorEastAsia" w:hAnsiTheme="minorEastAsia" w:eastAsiaTheme="minorEastAsia"/>
                <w:sz w:val="21"/>
                <w:szCs w:val="21"/>
              </w:rPr>
              <w:t>）</w:t>
            </w:r>
          </w:p>
        </w:tc>
        <w:tc>
          <w:tcPr>
            <w:tcW w:w="1142" w:type="dxa"/>
            <w:tcBorders>
              <w:top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其他评分因素</w:t>
            </w:r>
          </w:p>
        </w:tc>
        <w:tc>
          <w:tcPr>
            <w:tcW w:w="2288" w:type="dxa"/>
            <w:tcBorders>
              <w:top w:val="single" w:color="auto" w:sz="4" w:space="0"/>
              <w:left w:val="single" w:color="auto" w:sz="4" w:space="0"/>
              <w:bottom w:val="single" w:color="auto" w:sz="4" w:space="0"/>
              <w:right w:val="single" w:color="auto" w:sz="4" w:space="0"/>
            </w:tcBorders>
            <w:vAlign w:val="center"/>
          </w:tcPr>
          <w:p>
            <w:pPr>
              <w:spacing w:line="420" w:lineRule="atLeast"/>
              <w:jc w:val="center"/>
              <w:rPr>
                <w:rFonts w:asciiTheme="minorEastAsia" w:hAnsiTheme="minorEastAsia" w:eastAsiaTheme="minorEastAsia"/>
                <w:sz w:val="21"/>
                <w:szCs w:val="21"/>
              </w:rPr>
            </w:pPr>
            <w:r>
              <w:rPr>
                <w:rFonts w:hint="eastAsia"/>
                <w:sz w:val="21"/>
                <w:szCs w:val="21"/>
              </w:rPr>
              <w:t>企业综合诚信评价计分</w:t>
            </w:r>
          </w:p>
        </w:tc>
        <w:tc>
          <w:tcPr>
            <w:tcW w:w="5321" w:type="dxa"/>
            <w:tcBorders>
              <w:top w:val="single" w:color="auto" w:sz="4" w:space="0"/>
              <w:left w:val="single" w:color="auto" w:sz="4" w:space="0"/>
              <w:bottom w:val="single" w:color="auto" w:sz="4" w:space="0"/>
            </w:tcBorders>
            <w:vAlign w:val="center"/>
          </w:tcPr>
          <w:p>
            <w:pPr>
              <w:snapToGrid w:val="0"/>
              <w:spacing w:line="360" w:lineRule="auto"/>
              <w:rPr>
                <w:szCs w:val="21"/>
              </w:rPr>
            </w:pPr>
            <w:r>
              <w:rPr>
                <w:rFonts w:hint="eastAsia"/>
                <w:szCs w:val="21"/>
              </w:rPr>
              <w:t>投标人诚信综合评价得分</w:t>
            </w:r>
            <w:r>
              <w:rPr>
                <w:szCs w:val="21"/>
              </w:rPr>
              <w:t>=企业诚信综合评价排名得分×10%</w:t>
            </w:r>
          </w:p>
          <w:p>
            <w:pPr>
              <w:snapToGrid w:val="0"/>
              <w:spacing w:line="360" w:lineRule="auto"/>
              <w:rPr>
                <w:sz w:val="21"/>
                <w:szCs w:val="21"/>
              </w:rPr>
            </w:pPr>
            <w:r>
              <w:rPr>
                <w:rFonts w:hint="eastAsia"/>
                <w:szCs w:val="21"/>
              </w:rPr>
              <w:t>注：企业诚信综合评价排名得分以投标截止当日广州市工程招标代理行业协会网站监理企业专栏上公布的企业</w:t>
            </w:r>
            <w:r>
              <w:rPr>
                <w:szCs w:val="21"/>
              </w:rPr>
              <w:t>60日诚信分得分为准。企业诚信综合诚信评价排名以房建-监理排名为准。</w:t>
            </w:r>
          </w:p>
        </w:tc>
      </w:tr>
    </w:tbl>
    <w:p>
      <w:pPr>
        <w:rPr>
          <w:b/>
          <w:bCs/>
          <w:sz w:val="21"/>
          <w:szCs w:val="21"/>
        </w:rPr>
      </w:pPr>
      <w:r>
        <w:rPr>
          <w:rFonts w:hint="eastAsia"/>
          <w:b/>
          <w:bCs/>
          <w:sz w:val="21"/>
          <w:szCs w:val="21"/>
        </w:rPr>
        <w:t>说明：</w:t>
      </w:r>
    </w:p>
    <w:p>
      <w:pPr>
        <w:tabs>
          <w:tab w:val="left" w:pos="540"/>
          <w:tab w:val="left" w:pos="720"/>
        </w:tabs>
        <w:snapToGrid w:val="0"/>
        <w:ind w:firstLine="420" w:firstLineChars="200"/>
        <w:jc w:val="both"/>
      </w:pPr>
      <w:r>
        <w:rPr>
          <w:sz w:val="21"/>
          <w:szCs w:val="21"/>
        </w:rPr>
        <w:t>1.</w:t>
      </w:r>
      <w:r>
        <w:t xml:space="preserve"> </w:t>
      </w:r>
      <w:r>
        <w:rPr>
          <w:sz w:val="21"/>
          <w:szCs w:val="21"/>
        </w:rPr>
        <w:t>类似工程：是指房屋建筑工程监理服务，需同时提供中标通知书或免招标的相关证明、施工监理合同、竣工验收报告或竣工验收证明，业绩时间以竣工验收报告或竣工验收证明出具时间为准。</w:t>
      </w:r>
    </w:p>
    <w:p>
      <w:pPr>
        <w:tabs>
          <w:tab w:val="left" w:pos="540"/>
          <w:tab w:val="left" w:pos="720"/>
        </w:tabs>
        <w:snapToGrid w:val="0"/>
        <w:ind w:firstLine="440" w:firstLineChars="200"/>
        <w:jc w:val="both"/>
      </w:pPr>
      <w:r>
        <w:t>2. 获奖业绩：国家级奖指鲁班奖、中国土木工程詹天佑奖、金质奖、银质奖、国家优质工程奖等；省级奖指省级优良样板工程、省级建筑工程优质奖、省级建设工程优质结构奖等；市级奖指市级优良样板工程、市级建设工程优质奖、市级建设工程结构优质奖等。“子项”中的各奖项对同一工程项目按最高奖项计取，不重复计分。日期以发证日期为准。奖项是指由建设行政主管部门或行业协会颁发（行业协会须在民政部门备案）。需提供获奖证书原件扫描件，时间以证书发证日期为准。</w:t>
      </w:r>
    </w:p>
    <w:p>
      <w:pPr>
        <w:tabs>
          <w:tab w:val="left" w:pos="540"/>
          <w:tab w:val="left" w:pos="720"/>
        </w:tabs>
        <w:snapToGrid w:val="0"/>
        <w:ind w:firstLine="440" w:firstLineChars="200"/>
        <w:jc w:val="both"/>
        <w:rPr>
          <w:lang w:val="en-US"/>
        </w:rPr>
      </w:pPr>
      <w:r>
        <w:rPr>
          <w:rFonts w:hint="eastAsia"/>
          <w:lang w:val="en-US"/>
        </w:rPr>
        <w:t>3.</w:t>
      </w:r>
      <w:r>
        <w:t xml:space="preserve"> </w:t>
      </w:r>
      <w:r>
        <w:rPr>
          <w:szCs w:val="21"/>
        </w:rPr>
        <w:t>纳税信用情况以“国家税务总局”官网（http://www.chinatax.gov.cn/index.html）查询结果</w:t>
      </w:r>
      <w:r>
        <w:rPr>
          <w:rFonts w:hint="eastAsia"/>
          <w:szCs w:val="21"/>
        </w:rPr>
        <w:t>或纳税信用</w:t>
      </w:r>
      <w:r>
        <w:rPr>
          <w:szCs w:val="21"/>
        </w:rPr>
        <w:t>A级荣誉证书为准，投标人须提供在上述官网的查询结果网页截图（不符合条件或无提交上述打印件的不计分）</w:t>
      </w:r>
      <w:r>
        <w:rPr>
          <w:rFonts w:hint="eastAsia"/>
          <w:szCs w:val="21"/>
        </w:rPr>
        <w:t>。</w:t>
      </w:r>
      <w:r>
        <w:rPr>
          <w:szCs w:val="21"/>
        </w:rPr>
        <w:t>纳税人等级只计算投标人自身（不计算投标人的分公司和子公司）。</w:t>
      </w:r>
    </w:p>
    <w:p>
      <w:pPr>
        <w:tabs>
          <w:tab w:val="left" w:pos="540"/>
          <w:tab w:val="left" w:pos="720"/>
        </w:tabs>
        <w:snapToGrid w:val="0"/>
        <w:ind w:firstLine="440" w:firstLineChars="200"/>
        <w:jc w:val="both"/>
        <w:rPr>
          <w:lang w:val="en-US"/>
        </w:rPr>
      </w:pPr>
      <w:r>
        <w:rPr>
          <w:rFonts w:hint="eastAsia"/>
          <w:lang w:val="en-US"/>
        </w:rPr>
        <w:t>4.</w:t>
      </w:r>
      <w:r>
        <w:t xml:space="preserve"> </w:t>
      </w:r>
      <w:r>
        <w:rPr>
          <w:lang w:val="en-US"/>
        </w:rPr>
        <w:t>市级、省级及国家级奖项（如先进监理企业称号等）以各市级监理协会、省级监理协会及中国建设监理协会颁发的获奖证书为准，获奖时间以证书颁发时间为准，其他证明文件不得分。需提供获奖证书原件扫描件，时间以证书发证日期为准</w:t>
      </w:r>
      <w:r>
        <w:rPr>
          <w:rFonts w:hint="eastAsia"/>
          <w:lang w:val="en-US"/>
        </w:rPr>
        <w:t>。</w:t>
      </w:r>
    </w:p>
    <w:p>
      <w:pPr>
        <w:tabs>
          <w:tab w:val="left" w:pos="540"/>
          <w:tab w:val="left" w:pos="720"/>
        </w:tabs>
        <w:snapToGrid w:val="0"/>
        <w:ind w:firstLine="440" w:firstLineChars="200"/>
        <w:jc w:val="both"/>
        <w:rPr>
          <w:lang w:val="en-US"/>
        </w:rPr>
      </w:pPr>
      <w:r>
        <w:rPr>
          <w:rFonts w:hint="eastAsia"/>
          <w:lang w:val="en-US"/>
        </w:rPr>
        <w:t>5</w:t>
      </w:r>
      <w:r>
        <w:rPr>
          <w:lang w:val="en-US"/>
        </w:rPr>
        <w:t>. 高新技术企业以“高新技术企业认定管理工作网”（http://www.innocom.gov.cn/）查询结果为准，投标人须提供在上述官网的查询结果网页截图（不符合条件不计分）</w:t>
      </w:r>
      <w:r>
        <w:rPr>
          <w:rFonts w:hint="eastAsia"/>
          <w:lang w:val="en-US"/>
        </w:rPr>
        <w:t>。</w:t>
      </w:r>
    </w:p>
    <w:p>
      <w:pPr>
        <w:tabs>
          <w:tab w:val="left" w:pos="540"/>
          <w:tab w:val="left" w:pos="720"/>
        </w:tabs>
        <w:snapToGrid w:val="0"/>
        <w:ind w:firstLine="440" w:firstLineChars="200"/>
        <w:jc w:val="both"/>
        <w:rPr>
          <w:lang w:val="en-US"/>
        </w:rPr>
      </w:pPr>
      <w:r>
        <w:rPr>
          <w:rFonts w:hint="eastAsia"/>
          <w:lang w:val="en-US"/>
        </w:rPr>
        <w:t>6</w:t>
      </w:r>
      <w:r>
        <w:rPr>
          <w:lang w:val="en-US"/>
        </w:rPr>
        <w:t>.</w:t>
      </w:r>
      <w:r>
        <w:t xml:space="preserve"> </w:t>
      </w:r>
      <w:r>
        <w:rPr>
          <w:lang w:val="en-US"/>
        </w:rPr>
        <w:t>“优秀总监理工程师”、“优秀专业监理工程师”</w:t>
      </w:r>
      <w:r>
        <w:rPr>
          <w:rFonts w:hint="eastAsia"/>
          <w:lang w:val="en-US"/>
        </w:rPr>
        <w:t>、“</w:t>
      </w:r>
      <w:r>
        <w:rPr>
          <w:lang w:val="en-US"/>
        </w:rPr>
        <w:t>优秀监理工程师”证书以各市级监理协会、省级监理协会及中国建设监理协会颁发的获奖证书为准，获奖时间以证书颁发时间为准，同一年份按最高奖项计取</w:t>
      </w:r>
      <w:r>
        <w:rPr>
          <w:rFonts w:hint="eastAsia"/>
          <w:lang w:val="en-US"/>
        </w:rPr>
        <w:t>。</w:t>
      </w:r>
    </w:p>
    <w:p>
      <w:pPr>
        <w:tabs>
          <w:tab w:val="left" w:pos="540"/>
          <w:tab w:val="left" w:pos="720"/>
        </w:tabs>
        <w:snapToGrid w:val="0"/>
        <w:ind w:firstLine="440" w:firstLineChars="200"/>
        <w:jc w:val="both"/>
        <w:rPr>
          <w:szCs w:val="21"/>
          <w:lang w:val="en-US"/>
        </w:rPr>
      </w:pPr>
      <w:r>
        <w:rPr>
          <w:rFonts w:hint="eastAsia"/>
          <w:lang w:val="en-US"/>
        </w:rPr>
        <w:t>7</w:t>
      </w:r>
      <w:r>
        <w:rPr>
          <w:lang w:val="en-US"/>
        </w:rPr>
        <w:t>.</w:t>
      </w:r>
      <w:r>
        <w:t xml:space="preserve"> </w:t>
      </w:r>
      <w:r>
        <w:rPr>
          <w:lang w:val="en-US"/>
        </w:rPr>
        <w:t>管理体系认证证书以“国家市场监督管理总局全国认证认可信息公共服务平台”（ http://cx.cnca.cn/CertECloud/）查询结果为准，投标人须提供在上述官网的查询结果网页截图（不符合条件的不计分）。</w:t>
      </w:r>
      <w:r>
        <w:rPr>
          <w:szCs w:val="21"/>
          <w:lang w:val="en-US"/>
        </w:rPr>
        <w:t xml:space="preserve"> </w:t>
      </w:r>
    </w:p>
    <w:p>
      <w:pPr>
        <w:pStyle w:val="4"/>
        <w:jc w:val="both"/>
        <w:rPr>
          <w:rFonts w:eastAsiaTheme="minorEastAsia"/>
          <w:lang w:val="en-US"/>
        </w:rPr>
        <w:sectPr>
          <w:pgSz w:w="12240" w:h="15840"/>
          <w:pgMar w:top="1440" w:right="1100" w:bottom="1040" w:left="1560" w:header="0" w:footer="841" w:gutter="0"/>
          <w:cols w:space="720" w:num="1"/>
        </w:sectPr>
      </w:pPr>
    </w:p>
    <w:p>
      <w:pPr>
        <w:pStyle w:val="27"/>
        <w:tabs>
          <w:tab w:val="left" w:pos="642"/>
        </w:tabs>
        <w:spacing w:line="360" w:lineRule="auto"/>
        <w:ind w:left="239" w:firstLine="0"/>
        <w:rPr>
          <w:b/>
          <w:sz w:val="32"/>
          <w:lang w:val="en-US"/>
        </w:rPr>
      </w:pPr>
    </w:p>
    <w:p>
      <w:pPr>
        <w:spacing w:line="360" w:lineRule="auto"/>
        <w:rPr>
          <w:b/>
          <w:sz w:val="32"/>
        </w:rPr>
      </w:pPr>
      <w:r>
        <w:rPr>
          <w:rFonts w:hint="eastAsia"/>
          <w:b/>
          <w:sz w:val="32"/>
        </w:rPr>
        <w:t>1.评标方法</w:t>
      </w:r>
    </w:p>
    <w:p>
      <w:pPr>
        <w:spacing w:line="360" w:lineRule="auto"/>
        <w:ind w:left="80" w:firstLine="420"/>
        <w:rPr>
          <w:sz w:val="21"/>
          <w:szCs w:val="21"/>
        </w:rPr>
      </w:pPr>
      <w:r>
        <w:rPr>
          <w:rFonts w:hint="eastAsia"/>
          <w:sz w:val="21"/>
          <w:szCs w:val="21"/>
        </w:rPr>
        <w:t>本次评标采用综合评估法。评标委员会对满足招标文件实质性要求的投标文件，按照本章第 2.2 款规定的评分标准进行打分，并按总得分由高到低顺序推荐中标候选人，或根据招标人授权直接确定中标人，但投标报价低于其成本的除外。若两家或以上的投标人总得分相同时，则投标报价得分高的排前；若投标人总得分和投标报价得分均相同，则监理大纲得分高的排前；若投标人总得分、投标报价得分和监理大纲得分均相同，则由评标委员会投票表决推荐排名优先的投标人。</w:t>
      </w:r>
    </w:p>
    <w:p>
      <w:pPr>
        <w:spacing w:line="360" w:lineRule="auto"/>
        <w:rPr>
          <w:b/>
          <w:sz w:val="32"/>
        </w:rPr>
      </w:pPr>
      <w:r>
        <w:rPr>
          <w:rFonts w:hint="eastAsia"/>
          <w:b/>
          <w:sz w:val="32"/>
        </w:rPr>
        <w:t>2.评审标准</w:t>
      </w:r>
    </w:p>
    <w:p>
      <w:pPr>
        <w:spacing w:line="360" w:lineRule="auto"/>
        <w:ind w:firstLine="210" w:firstLineChars="100"/>
        <w:rPr>
          <w:sz w:val="21"/>
        </w:rPr>
      </w:pPr>
      <w:r>
        <w:rPr>
          <w:rFonts w:hint="eastAsia"/>
          <w:sz w:val="21"/>
        </w:rPr>
        <w:t>2.1初步评审标准</w:t>
      </w:r>
    </w:p>
    <w:p>
      <w:pPr>
        <w:spacing w:line="360" w:lineRule="auto"/>
        <w:ind w:firstLine="210" w:firstLineChars="100"/>
        <w:rPr>
          <w:sz w:val="21"/>
        </w:rPr>
      </w:pPr>
      <w:r>
        <w:rPr>
          <w:rFonts w:hint="eastAsia"/>
          <w:sz w:val="21"/>
        </w:rPr>
        <w:t>2.1.1形式评审标准：见评标办法前附表。</w:t>
      </w:r>
    </w:p>
    <w:p>
      <w:pPr>
        <w:spacing w:line="360" w:lineRule="auto"/>
        <w:ind w:firstLine="210" w:firstLineChars="100"/>
        <w:rPr>
          <w:sz w:val="21"/>
        </w:rPr>
      </w:pPr>
      <w:r>
        <w:rPr>
          <w:rFonts w:hint="eastAsia"/>
          <w:sz w:val="21"/>
        </w:rPr>
        <w:t>2.1.2资格评审标准：见评标办法前附表。</w:t>
      </w:r>
    </w:p>
    <w:p>
      <w:pPr>
        <w:spacing w:line="360" w:lineRule="auto"/>
        <w:ind w:firstLine="210" w:firstLineChars="100"/>
        <w:rPr>
          <w:sz w:val="21"/>
        </w:rPr>
      </w:pPr>
      <w:r>
        <w:rPr>
          <w:rFonts w:hint="eastAsia"/>
          <w:sz w:val="21"/>
        </w:rPr>
        <w:t>2.1.3响应性评审标准：见评标办法前附表。</w:t>
      </w:r>
    </w:p>
    <w:p>
      <w:pPr>
        <w:spacing w:line="360" w:lineRule="auto"/>
        <w:rPr>
          <w:b/>
          <w:sz w:val="32"/>
        </w:rPr>
      </w:pPr>
      <w:r>
        <w:rPr>
          <w:rFonts w:hint="eastAsia"/>
          <w:b/>
          <w:sz w:val="32"/>
        </w:rPr>
        <w:t>2.2分值构成与评分标准</w:t>
      </w:r>
    </w:p>
    <w:p>
      <w:pPr>
        <w:spacing w:line="360" w:lineRule="auto"/>
        <w:ind w:firstLine="210" w:firstLineChars="100"/>
        <w:rPr>
          <w:sz w:val="21"/>
        </w:rPr>
      </w:pPr>
      <w:r>
        <w:rPr>
          <w:rFonts w:hint="eastAsia"/>
          <w:sz w:val="21"/>
        </w:rPr>
        <w:t>2.2.1分值构成</w:t>
      </w:r>
    </w:p>
    <w:p>
      <w:pPr>
        <w:spacing w:line="360" w:lineRule="auto"/>
        <w:rPr>
          <w:sz w:val="21"/>
        </w:rPr>
      </w:pPr>
      <w:r>
        <w:rPr>
          <w:rFonts w:hint="eastAsia"/>
          <w:sz w:val="21"/>
        </w:rPr>
        <w:t>（1）资信业绩部分：见评标办法前附表；</w:t>
      </w:r>
    </w:p>
    <w:p>
      <w:pPr>
        <w:spacing w:line="360" w:lineRule="auto"/>
        <w:rPr>
          <w:sz w:val="21"/>
        </w:rPr>
      </w:pPr>
      <w:r>
        <w:rPr>
          <w:rFonts w:hint="eastAsia"/>
          <w:sz w:val="21"/>
        </w:rPr>
        <w:t>（2）监理大纲部分：见评标办法前附表；</w:t>
      </w:r>
    </w:p>
    <w:p>
      <w:pPr>
        <w:spacing w:line="360" w:lineRule="auto"/>
        <w:rPr>
          <w:sz w:val="21"/>
        </w:rPr>
      </w:pPr>
      <w:r>
        <w:rPr>
          <w:rFonts w:hint="eastAsia"/>
          <w:sz w:val="21"/>
        </w:rPr>
        <w:t>（3）投标报价：见评标办法前附表；</w:t>
      </w:r>
    </w:p>
    <w:p>
      <w:pPr>
        <w:spacing w:line="360" w:lineRule="auto"/>
        <w:rPr>
          <w:sz w:val="21"/>
        </w:rPr>
      </w:pPr>
      <w:r>
        <w:rPr>
          <w:rFonts w:hint="eastAsia"/>
          <w:sz w:val="21"/>
        </w:rPr>
        <w:t>（4）其他评分因素：见评标办法前附表。</w:t>
      </w:r>
    </w:p>
    <w:p>
      <w:pPr>
        <w:spacing w:line="360" w:lineRule="auto"/>
        <w:ind w:firstLine="210" w:firstLineChars="100"/>
        <w:rPr>
          <w:sz w:val="21"/>
        </w:rPr>
      </w:pPr>
      <w:r>
        <w:rPr>
          <w:rFonts w:hint="eastAsia"/>
          <w:sz w:val="21"/>
        </w:rPr>
        <w:t>2.2.2评标基准价计算</w:t>
      </w:r>
    </w:p>
    <w:p>
      <w:pPr>
        <w:spacing w:line="360" w:lineRule="auto"/>
        <w:rPr>
          <w:sz w:val="21"/>
        </w:rPr>
      </w:pPr>
      <w:r>
        <w:rPr>
          <w:rFonts w:hint="eastAsia"/>
          <w:sz w:val="21"/>
        </w:rPr>
        <w:t>评标基准价计算方法：见评标办法前附表。</w:t>
      </w:r>
    </w:p>
    <w:p>
      <w:pPr>
        <w:spacing w:line="360" w:lineRule="auto"/>
        <w:ind w:firstLine="210" w:firstLineChars="100"/>
        <w:rPr>
          <w:sz w:val="21"/>
        </w:rPr>
      </w:pPr>
      <w:r>
        <w:rPr>
          <w:rFonts w:hint="eastAsia"/>
          <w:sz w:val="21"/>
        </w:rPr>
        <w:t>2.2.3投标报价的偏差率计算</w:t>
      </w:r>
    </w:p>
    <w:p>
      <w:pPr>
        <w:spacing w:line="360" w:lineRule="auto"/>
        <w:rPr>
          <w:sz w:val="21"/>
        </w:rPr>
      </w:pPr>
      <w:r>
        <w:rPr>
          <w:rFonts w:hint="eastAsia"/>
          <w:sz w:val="21"/>
        </w:rPr>
        <w:t>投标报价的偏差率计算公式：见评标办法前附表。</w:t>
      </w:r>
    </w:p>
    <w:p>
      <w:pPr>
        <w:spacing w:line="360" w:lineRule="auto"/>
        <w:ind w:firstLine="210" w:firstLineChars="100"/>
        <w:rPr>
          <w:sz w:val="21"/>
        </w:rPr>
      </w:pPr>
      <w:r>
        <w:rPr>
          <w:rFonts w:hint="eastAsia"/>
          <w:sz w:val="21"/>
        </w:rPr>
        <w:t>2.2.4评分标准</w:t>
      </w:r>
    </w:p>
    <w:p>
      <w:pPr>
        <w:spacing w:line="360" w:lineRule="auto"/>
        <w:rPr>
          <w:sz w:val="21"/>
        </w:rPr>
      </w:pPr>
      <w:r>
        <w:rPr>
          <w:rFonts w:hint="eastAsia"/>
          <w:sz w:val="21"/>
        </w:rPr>
        <w:t>（1）资信业绩评分标准：见评标办法前附表；</w:t>
      </w:r>
    </w:p>
    <w:p>
      <w:pPr>
        <w:spacing w:line="360" w:lineRule="auto"/>
        <w:rPr>
          <w:sz w:val="21"/>
        </w:rPr>
      </w:pPr>
      <w:r>
        <w:rPr>
          <w:rFonts w:hint="eastAsia"/>
          <w:sz w:val="21"/>
        </w:rPr>
        <w:t>（2）监理大纲评分标准：见评标办法前附表；</w:t>
      </w:r>
    </w:p>
    <w:p>
      <w:pPr>
        <w:spacing w:line="360" w:lineRule="auto"/>
        <w:rPr>
          <w:sz w:val="21"/>
        </w:rPr>
      </w:pPr>
      <w:r>
        <w:rPr>
          <w:rFonts w:hint="eastAsia"/>
          <w:sz w:val="21"/>
        </w:rPr>
        <w:t>（3）投标报价评分标准：见评标办法前附表；</w:t>
      </w:r>
    </w:p>
    <w:p>
      <w:pPr>
        <w:spacing w:line="360" w:lineRule="auto"/>
        <w:rPr>
          <w:sz w:val="21"/>
        </w:rPr>
      </w:pPr>
      <w:r>
        <w:rPr>
          <w:rFonts w:hint="eastAsia"/>
          <w:sz w:val="21"/>
        </w:rPr>
        <w:t>（4）其他因素评分标准：见评标办法前附表。</w:t>
      </w:r>
    </w:p>
    <w:p>
      <w:pPr>
        <w:spacing w:line="360" w:lineRule="auto"/>
        <w:rPr>
          <w:b/>
          <w:sz w:val="32"/>
        </w:rPr>
      </w:pPr>
      <w:r>
        <w:rPr>
          <w:rFonts w:hint="eastAsia"/>
          <w:b/>
          <w:sz w:val="32"/>
        </w:rPr>
        <w:t>3.评标程序</w:t>
      </w:r>
    </w:p>
    <w:p>
      <w:pPr>
        <w:spacing w:line="360" w:lineRule="auto"/>
        <w:rPr>
          <w:sz w:val="21"/>
        </w:rPr>
      </w:pPr>
      <w:r>
        <w:rPr>
          <w:rFonts w:hint="eastAsia"/>
          <w:b/>
          <w:sz w:val="32"/>
        </w:rPr>
        <w:t>3.1初步评审</w:t>
      </w:r>
    </w:p>
    <w:p>
      <w:pPr>
        <w:spacing w:line="360" w:lineRule="auto"/>
        <w:ind w:firstLine="210" w:firstLineChars="100"/>
        <w:rPr>
          <w:sz w:val="21"/>
        </w:rPr>
      </w:pPr>
      <w:r>
        <w:rPr>
          <w:rFonts w:hint="eastAsia"/>
          <w:sz w:val="21"/>
        </w:rPr>
        <w:t>3.1.1评标委员会可以要求投标人提交第二章“投标人须知”规定的有关证明和证件的原件， 以便核验。评标委员会依据本章第 2.1 款规定的标准对投标文件进行初步评审。有一项不符合评审标准的，评标委员会应当否决其投标。</w:t>
      </w:r>
    </w:p>
    <w:p>
      <w:pPr>
        <w:spacing w:line="360" w:lineRule="auto"/>
        <w:ind w:firstLine="210" w:firstLineChars="100"/>
        <w:rPr>
          <w:sz w:val="21"/>
        </w:rPr>
      </w:pPr>
      <w:r>
        <w:rPr>
          <w:rFonts w:hint="eastAsia"/>
          <w:sz w:val="21"/>
        </w:rPr>
        <w:t>3.1.2投标人有以下情形之一的，评标委员会应当否决其投标：</w:t>
      </w:r>
    </w:p>
    <w:p>
      <w:pPr>
        <w:spacing w:line="360" w:lineRule="auto"/>
        <w:rPr>
          <w:sz w:val="21"/>
        </w:rPr>
      </w:pPr>
      <w:r>
        <w:rPr>
          <w:rFonts w:hint="eastAsia"/>
          <w:sz w:val="21"/>
        </w:rPr>
        <w:t>（1）投标文件没有对招标文件的实质性要求和条件作出响应，或者对招标文件的偏差超出招标文件规定的偏差范围或最高项数；</w:t>
      </w:r>
    </w:p>
    <w:p>
      <w:pPr>
        <w:spacing w:line="360" w:lineRule="auto"/>
        <w:rPr>
          <w:sz w:val="21"/>
        </w:rPr>
      </w:pPr>
      <w:r>
        <w:rPr>
          <w:rFonts w:hint="eastAsia"/>
          <w:sz w:val="21"/>
        </w:rPr>
        <w:t>（2）有串通投标、弄虚作假、行贿等违法行为。</w:t>
      </w:r>
    </w:p>
    <w:p>
      <w:pPr>
        <w:spacing w:line="360" w:lineRule="auto"/>
        <w:ind w:firstLine="210" w:firstLineChars="100"/>
        <w:rPr>
          <w:sz w:val="21"/>
        </w:rPr>
      </w:pPr>
      <w:r>
        <w:rPr>
          <w:rFonts w:hint="eastAsia"/>
          <w:sz w:val="21"/>
        </w:rPr>
        <w:t>3.1.3投标报价有算术错误及其他错误的，评标委员会按以下原则要求投标人对投标报价进行修正，并要求投标人书面澄清确认。投标人拒不澄清确认的，评标委员会应当否决其投标：</w:t>
      </w:r>
    </w:p>
    <w:p>
      <w:pPr>
        <w:spacing w:line="360" w:lineRule="auto"/>
        <w:rPr>
          <w:sz w:val="21"/>
          <w:szCs w:val="21"/>
        </w:rPr>
      </w:pPr>
      <w:r>
        <w:rPr>
          <w:rFonts w:hint="eastAsia"/>
          <w:sz w:val="21"/>
          <w:szCs w:val="21"/>
        </w:rPr>
        <w:t>（1）投标文件中的大写金额与小写金额不一致的，以大写金额为准；</w:t>
      </w:r>
    </w:p>
    <w:p>
      <w:pPr>
        <w:spacing w:line="360" w:lineRule="auto"/>
        <w:rPr>
          <w:sz w:val="21"/>
          <w:szCs w:val="21"/>
        </w:rPr>
      </w:pPr>
      <w:r>
        <w:rPr>
          <w:rFonts w:hint="eastAsia"/>
          <w:sz w:val="21"/>
          <w:szCs w:val="21"/>
        </w:rPr>
        <w:t>（2）总价金额与单价金额不一致的，以单价金额为准，但单价金额小数点有明显错误的除外。</w:t>
      </w:r>
    </w:p>
    <w:p>
      <w:pPr>
        <w:pStyle w:val="8"/>
        <w:spacing w:line="360" w:lineRule="auto"/>
        <w:ind w:firstLine="0"/>
        <w:rPr>
          <w:rFonts w:cs="Arial"/>
          <w:color w:val="000000"/>
          <w:u w:val="single"/>
          <w:lang w:val="en-US"/>
        </w:rPr>
      </w:pPr>
      <w:r>
        <w:rPr>
          <w:rFonts w:hint="eastAsia" w:cs="Arial"/>
          <w:color w:val="000000"/>
          <w:sz w:val="21"/>
          <w:szCs w:val="21"/>
          <w:u w:val="single"/>
          <w:lang w:val="en-US"/>
        </w:rPr>
        <w:t>(3)监理费下浮率有误的，以总价金额为准修正下浮率。</w:t>
      </w:r>
    </w:p>
    <w:p>
      <w:pPr>
        <w:pStyle w:val="8"/>
        <w:spacing w:line="360" w:lineRule="auto"/>
        <w:ind w:firstLine="220" w:firstLineChars="100"/>
      </w:pPr>
      <w:r>
        <w:rPr>
          <w:rFonts w:hint="eastAsia" w:cs="Arial"/>
          <w:color w:val="000000"/>
          <w:u w:val="single"/>
        </w:rPr>
        <w:t>3.1.4 招标人需将开标异议提交给评标委员会的评审确认时，评标委员会须进行评审确认，不得以任何理由拒绝。</w:t>
      </w:r>
    </w:p>
    <w:p>
      <w:pPr>
        <w:spacing w:line="360" w:lineRule="auto"/>
        <w:rPr>
          <w:sz w:val="21"/>
        </w:rPr>
      </w:pPr>
      <w:r>
        <w:rPr>
          <w:rFonts w:hint="eastAsia"/>
          <w:b/>
          <w:sz w:val="32"/>
        </w:rPr>
        <w:t>3.2详细评审</w:t>
      </w:r>
    </w:p>
    <w:p>
      <w:pPr>
        <w:spacing w:line="360" w:lineRule="auto"/>
        <w:ind w:firstLine="210" w:firstLineChars="100"/>
        <w:rPr>
          <w:sz w:val="21"/>
        </w:rPr>
      </w:pPr>
      <w:r>
        <w:rPr>
          <w:rFonts w:hint="eastAsia"/>
          <w:sz w:val="21"/>
        </w:rPr>
        <w:t>3.2.1评标委员会按本章第 2.2 款规定的量化因素和分值进行打分，并计算出综合评估得分。</w:t>
      </w:r>
    </w:p>
    <w:p>
      <w:pPr>
        <w:spacing w:line="360" w:lineRule="auto"/>
        <w:rPr>
          <w:sz w:val="21"/>
        </w:rPr>
      </w:pPr>
      <w:r>
        <w:rPr>
          <w:rFonts w:hint="eastAsia"/>
          <w:sz w:val="21"/>
        </w:rPr>
        <w:t>（1）按本章第 2.2.4（1）目规定的评审因素和分值对资信业绩部分计算出得分A；</w:t>
      </w:r>
    </w:p>
    <w:p>
      <w:pPr>
        <w:spacing w:line="360" w:lineRule="auto"/>
        <w:rPr>
          <w:sz w:val="21"/>
        </w:rPr>
      </w:pPr>
      <w:r>
        <w:rPr>
          <w:rFonts w:hint="eastAsia"/>
          <w:sz w:val="21"/>
        </w:rPr>
        <w:t>（2）按本章第 2.2.4（2）目规定的评审因素和分值对监理大纲部分计算出得分B；</w:t>
      </w:r>
    </w:p>
    <w:p>
      <w:pPr>
        <w:spacing w:line="360" w:lineRule="auto"/>
        <w:rPr>
          <w:sz w:val="21"/>
        </w:rPr>
      </w:pPr>
      <w:r>
        <w:rPr>
          <w:rFonts w:hint="eastAsia"/>
          <w:sz w:val="21"/>
        </w:rPr>
        <w:t>（3）按本章第 2.2.4（3）目规定的评审因素和分值对投标报价计算出得分C；</w:t>
      </w:r>
    </w:p>
    <w:p>
      <w:pPr>
        <w:spacing w:line="360" w:lineRule="auto"/>
        <w:rPr>
          <w:sz w:val="21"/>
        </w:rPr>
      </w:pPr>
      <w:r>
        <w:rPr>
          <w:rFonts w:hint="eastAsia"/>
          <w:sz w:val="21"/>
        </w:rPr>
        <w:t>（4）按本章第 2.2.4（4）目规定的评审因素和分值对其他部分计算出得分D。</w:t>
      </w:r>
    </w:p>
    <w:p>
      <w:pPr>
        <w:spacing w:line="360" w:lineRule="auto"/>
        <w:ind w:firstLine="210" w:firstLineChars="100"/>
        <w:rPr>
          <w:sz w:val="21"/>
        </w:rPr>
      </w:pPr>
      <w:r>
        <w:rPr>
          <w:rFonts w:hint="eastAsia"/>
          <w:sz w:val="21"/>
        </w:rPr>
        <w:t>3.2.2评分分值计算保留小数点后两位，小数点后第三位“四舍五入”。</w:t>
      </w:r>
    </w:p>
    <w:p>
      <w:pPr>
        <w:spacing w:line="360" w:lineRule="auto"/>
        <w:ind w:firstLine="210" w:firstLineChars="100"/>
        <w:rPr>
          <w:sz w:val="21"/>
        </w:rPr>
      </w:pPr>
      <w:r>
        <w:rPr>
          <w:rFonts w:hint="eastAsia"/>
          <w:sz w:val="21"/>
        </w:rPr>
        <w:t>3.2.3投标人得分=A+B+C+D。</w:t>
      </w:r>
    </w:p>
    <w:p>
      <w:pPr>
        <w:spacing w:line="360" w:lineRule="auto"/>
        <w:ind w:firstLine="210" w:firstLineChars="100"/>
        <w:rPr>
          <w:sz w:val="21"/>
        </w:rPr>
      </w:pPr>
      <w:r>
        <w:rPr>
          <w:rFonts w:hint="eastAsia"/>
          <w:sz w:val="21"/>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60" w:lineRule="auto"/>
        <w:rPr>
          <w:sz w:val="21"/>
        </w:rPr>
      </w:pPr>
      <w:r>
        <w:rPr>
          <w:rFonts w:hint="eastAsia"/>
          <w:b/>
          <w:sz w:val="32"/>
        </w:rPr>
        <w:t>3.3投标文件的澄清</w:t>
      </w:r>
    </w:p>
    <w:p>
      <w:pPr>
        <w:spacing w:line="360" w:lineRule="auto"/>
        <w:ind w:firstLine="210" w:firstLineChars="100"/>
        <w:rPr>
          <w:sz w:val="21"/>
        </w:rPr>
      </w:pPr>
      <w:r>
        <w:rPr>
          <w:rFonts w:hint="eastAsia"/>
          <w:sz w:val="21"/>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210" w:firstLineChars="100"/>
        <w:rPr>
          <w:sz w:val="21"/>
        </w:rPr>
      </w:pPr>
      <w:r>
        <w:rPr>
          <w:rFonts w:hint="eastAsia"/>
          <w:sz w:val="21"/>
        </w:rPr>
        <w:t>3.3.2澄清、说明或补正不得超出投标文件的范围且不得改变投标文件的实质性内容，并构成投标文件的组成部分。</w:t>
      </w:r>
    </w:p>
    <w:p>
      <w:pPr>
        <w:spacing w:line="360" w:lineRule="auto"/>
        <w:ind w:firstLine="210" w:firstLineChars="100"/>
        <w:rPr>
          <w:sz w:val="21"/>
        </w:rPr>
      </w:pPr>
      <w:r>
        <w:rPr>
          <w:rFonts w:hint="eastAsia"/>
          <w:sz w:val="21"/>
        </w:rPr>
        <w:t>3.3.3评标委员会对投标人提交的澄清、说明或补正有疑问的，可以要求投标人进一步澄清、说明或补正，直至满足评标委员会的要求。</w:t>
      </w:r>
    </w:p>
    <w:p>
      <w:pPr>
        <w:spacing w:line="360" w:lineRule="auto"/>
        <w:rPr>
          <w:sz w:val="21"/>
        </w:rPr>
      </w:pPr>
      <w:r>
        <w:rPr>
          <w:rFonts w:hint="eastAsia"/>
          <w:b/>
          <w:sz w:val="32"/>
        </w:rPr>
        <w:t>3.4评标结果</w:t>
      </w:r>
    </w:p>
    <w:p>
      <w:pPr>
        <w:spacing w:line="360" w:lineRule="auto"/>
        <w:rPr>
          <w:sz w:val="21"/>
        </w:rPr>
      </w:pPr>
      <w:r>
        <w:rPr>
          <w:rFonts w:hint="eastAsia"/>
          <w:sz w:val="21"/>
        </w:rPr>
        <w:t>3.4.1除第二章“投标人须知”前附表授权直接确定中标人外，评标委员会按照得分由高到低的顺序推荐中标候选人，并标明排序。</w:t>
      </w:r>
    </w:p>
    <w:p>
      <w:pPr>
        <w:spacing w:line="360" w:lineRule="auto"/>
        <w:rPr>
          <w:sz w:val="21"/>
        </w:rPr>
      </w:pPr>
      <w:r>
        <w:rPr>
          <w:rFonts w:hint="eastAsia"/>
          <w:sz w:val="21"/>
        </w:rPr>
        <w:t>评标委员会完成评标后，应当向招标人提交书面评标报告和中标候选人名单。</w:t>
      </w:r>
    </w:p>
    <w:p>
      <w:pPr>
        <w:spacing w:line="360" w:lineRule="auto"/>
        <w:rPr>
          <w:sz w:val="21"/>
        </w:rPr>
        <w:sectPr>
          <w:pgSz w:w="12240" w:h="15840"/>
          <w:pgMar w:top="1500" w:right="1100" w:bottom="1120" w:left="1560" w:header="0" w:footer="841" w:gutter="0"/>
          <w:cols w:space="720" w:num="1"/>
        </w:sectPr>
      </w:pPr>
    </w:p>
    <w:p>
      <w:pPr>
        <w:pStyle w:val="3"/>
        <w:spacing w:line="360" w:lineRule="auto"/>
        <w:rPr>
          <w:rFonts w:ascii="宋体" w:hAnsi="宋体" w:eastAsia="宋体" w:cs="宋体"/>
        </w:rPr>
      </w:pPr>
      <w:bookmarkStart w:id="31" w:name="_bookmark93"/>
      <w:bookmarkEnd w:id="31"/>
      <w:r>
        <w:rPr>
          <w:rFonts w:hint="eastAsia" w:ascii="宋体" w:hAnsi="宋体" w:eastAsia="宋体" w:cs="宋体"/>
        </w:rPr>
        <w:t>第四章</w:t>
      </w:r>
      <w:r>
        <w:rPr>
          <w:rFonts w:hint="eastAsia" w:ascii="宋体" w:hAnsi="宋体" w:eastAsia="宋体" w:cs="宋体"/>
          <w:lang w:val="en-US"/>
        </w:rPr>
        <w:t xml:space="preserve"> </w:t>
      </w:r>
      <w:r>
        <w:rPr>
          <w:rFonts w:hint="eastAsia" w:ascii="宋体" w:hAnsi="宋体" w:eastAsia="宋体" w:cs="宋体"/>
        </w:rPr>
        <w:t>合同条款及格式</w:t>
      </w:r>
    </w:p>
    <w:p>
      <w:pPr>
        <w:pStyle w:val="11"/>
        <w:spacing w:line="360" w:lineRule="auto"/>
        <w:rPr>
          <w:b/>
          <w:sz w:val="20"/>
        </w:rPr>
      </w:pPr>
    </w:p>
    <w:p>
      <w:pPr>
        <w:pStyle w:val="11"/>
        <w:spacing w:before="5" w:line="360" w:lineRule="auto"/>
        <w:rPr>
          <w:b/>
          <w:sz w:val="19"/>
        </w:rPr>
      </w:pPr>
    </w:p>
    <w:p>
      <w:pPr>
        <w:spacing w:line="360" w:lineRule="auto"/>
        <w:jc w:val="center"/>
        <w:sectPr>
          <w:pgSz w:w="12240" w:h="15840"/>
          <w:pgMar w:top="1420" w:right="1100" w:bottom="1120" w:left="1560" w:header="0" w:footer="841" w:gutter="0"/>
          <w:cols w:space="720" w:num="1"/>
        </w:sectPr>
      </w:pPr>
      <w:r>
        <w:rPr>
          <w:rFonts w:hint="eastAsia"/>
          <w:b/>
          <w:sz w:val="24"/>
          <w:szCs w:val="24"/>
        </w:rPr>
        <w:t>[另册]</w:t>
      </w:r>
    </w:p>
    <w:p>
      <w:pPr>
        <w:spacing w:line="360" w:lineRule="auto"/>
        <w:sectPr>
          <w:type w:val="continuous"/>
          <w:pgSz w:w="12240" w:h="15840"/>
          <w:pgMar w:top="1500" w:right="1100" w:bottom="280" w:left="1560" w:header="720" w:footer="720" w:gutter="0"/>
          <w:cols w:space="720" w:num="1"/>
        </w:sectPr>
      </w:pPr>
      <w:bookmarkStart w:id="32" w:name="_bookmark94"/>
      <w:bookmarkEnd w:id="32"/>
    </w:p>
    <w:p>
      <w:pPr>
        <w:pStyle w:val="3"/>
        <w:spacing w:before="68" w:line="360" w:lineRule="auto"/>
        <w:ind w:right="458"/>
        <w:jc w:val="both"/>
        <w:rPr>
          <w:rFonts w:ascii="宋体" w:hAnsi="宋体" w:eastAsia="宋体" w:cs="宋体"/>
        </w:rPr>
      </w:pPr>
      <w:bookmarkStart w:id="33" w:name="_bookmark161"/>
      <w:bookmarkEnd w:id="33"/>
      <w:r>
        <w:rPr>
          <w:rFonts w:hint="eastAsia" w:ascii="宋体" w:hAnsi="宋体" w:eastAsia="宋体" w:cs="宋体"/>
        </w:rPr>
        <w:t>第二卷</w:t>
      </w:r>
    </w:p>
    <w:p>
      <w:pPr>
        <w:pStyle w:val="11"/>
        <w:spacing w:before="1" w:line="360" w:lineRule="auto"/>
        <w:jc w:val="both"/>
        <w:rPr>
          <w:b/>
          <w:sz w:val="17"/>
        </w:rPr>
      </w:pPr>
    </w:p>
    <w:p>
      <w:pPr>
        <w:pStyle w:val="3"/>
        <w:spacing w:line="360" w:lineRule="auto"/>
        <w:rPr>
          <w:rFonts w:ascii="宋体" w:hAnsi="宋体" w:eastAsia="宋体" w:cs="宋体"/>
        </w:rPr>
      </w:pPr>
      <w:bookmarkStart w:id="34" w:name="_bookmark162"/>
      <w:bookmarkEnd w:id="34"/>
      <w:r>
        <w:rPr>
          <w:rFonts w:hint="eastAsia" w:ascii="宋体" w:hAnsi="宋体" w:eastAsia="宋体" w:cs="宋体"/>
        </w:rPr>
        <w:t>第五章</w:t>
      </w:r>
      <w:r>
        <w:rPr>
          <w:rFonts w:hint="eastAsia" w:ascii="宋体" w:hAnsi="宋体" w:eastAsia="宋体" w:cs="宋体"/>
          <w:lang w:val="en-US"/>
        </w:rPr>
        <w:t xml:space="preserve"> </w:t>
      </w:r>
      <w:r>
        <w:rPr>
          <w:rFonts w:hint="eastAsia" w:ascii="宋体" w:hAnsi="宋体" w:eastAsia="宋体" w:cs="宋体"/>
        </w:rPr>
        <w:t>招标人要求</w:t>
      </w:r>
    </w:p>
    <w:p>
      <w:pPr>
        <w:pStyle w:val="11"/>
        <w:spacing w:before="5" w:line="360" w:lineRule="auto"/>
        <w:jc w:val="center"/>
        <w:rPr>
          <w:sz w:val="22"/>
        </w:rPr>
      </w:pPr>
      <w:r>
        <w:rPr>
          <w:rFonts w:hint="eastAsia"/>
          <w:b/>
          <w:sz w:val="28"/>
          <w:szCs w:val="28"/>
        </w:rPr>
        <w:t>招标人</w:t>
      </w:r>
      <w:r>
        <w:rPr>
          <w:b/>
          <w:sz w:val="28"/>
          <w:szCs w:val="28"/>
        </w:rPr>
        <w:t>要求通常包括但不限于以下内容：</w:t>
      </w:r>
    </w:p>
    <w:p>
      <w:pPr>
        <w:spacing w:line="360" w:lineRule="auto"/>
        <w:jc w:val="both"/>
        <w:rPr>
          <w:sz w:val="24"/>
          <w:szCs w:val="24"/>
        </w:rPr>
      </w:pPr>
      <w:bookmarkStart w:id="35" w:name="_bookmark163"/>
      <w:bookmarkEnd w:id="35"/>
      <w:r>
        <w:rPr>
          <w:rFonts w:hint="eastAsia"/>
          <w:sz w:val="24"/>
          <w:szCs w:val="24"/>
        </w:rPr>
        <w:t>一、监理要求</w:t>
      </w:r>
    </w:p>
    <w:p>
      <w:pPr>
        <w:pStyle w:val="27"/>
        <w:numPr>
          <w:ilvl w:val="0"/>
          <w:numId w:val="2"/>
        </w:numPr>
        <w:tabs>
          <w:tab w:val="left" w:pos="865"/>
        </w:tabs>
        <w:spacing w:line="360" w:lineRule="auto"/>
        <w:ind w:left="867" w:hanging="266"/>
        <w:jc w:val="both"/>
        <w:rPr>
          <w:sz w:val="24"/>
          <w:szCs w:val="24"/>
        </w:rPr>
      </w:pPr>
      <w:r>
        <w:rPr>
          <w:rFonts w:hint="eastAsia"/>
          <w:spacing w:val="-3"/>
          <w:sz w:val="24"/>
          <w:szCs w:val="24"/>
        </w:rPr>
        <w:t>项目概况</w:t>
      </w:r>
    </w:p>
    <w:p>
      <w:pPr>
        <w:widowControl/>
        <w:spacing w:line="360" w:lineRule="auto"/>
        <w:ind w:firstLine="480" w:firstLineChars="200"/>
        <w:jc w:val="both"/>
        <w:rPr>
          <w:sz w:val="24"/>
          <w:szCs w:val="24"/>
        </w:rPr>
      </w:pPr>
      <w:r>
        <w:rPr>
          <w:rFonts w:hint="eastAsia"/>
          <w:snapToGrid w:val="0"/>
          <w:sz w:val="24"/>
          <w:szCs w:val="24"/>
        </w:rPr>
        <w:t>广州烟草物流配送中心原地技术改造项目拟在广州烟草物流配送中心现有联合工房内实施（联合工房建筑面积约</w:t>
      </w:r>
      <w:r>
        <w:rPr>
          <w:snapToGrid w:val="0"/>
          <w:sz w:val="24"/>
          <w:szCs w:val="24"/>
        </w:rPr>
        <w:t>29858平方米），按年分拣配送卷烟55.63万箱、仓储容量3.8万箱的能力进行规划设计，拟全面升级改造现有的卷烟分拣、仓储等设备，淘汰现有卷烟分拣设备，配置4套</w:t>
      </w:r>
      <w:r>
        <w:rPr>
          <w:rFonts w:hint="eastAsia"/>
          <w:snapToGrid w:val="0"/>
          <w:sz w:val="24"/>
          <w:szCs w:val="24"/>
        </w:rPr>
        <w:t>全自动标细中短</w:t>
      </w:r>
      <w:r>
        <w:rPr>
          <w:snapToGrid w:val="0"/>
          <w:sz w:val="24"/>
          <w:szCs w:val="24"/>
        </w:rPr>
        <w:t>烟分拣设备及系统和3套半自动异型烟分拣设备及系统；拆除现有高架库巷道货架2个，配置储分一体设备1套以及配套改造联合工房给排水、空调、通风、配电、照明、消防和空压等公用动力设施，升级改造物流信息化系统和园区智能化系统，完善园区室外管线等配套工程。</w:t>
      </w:r>
    </w:p>
    <w:p>
      <w:pPr>
        <w:pStyle w:val="27"/>
        <w:numPr>
          <w:ilvl w:val="0"/>
          <w:numId w:val="2"/>
        </w:numPr>
        <w:tabs>
          <w:tab w:val="left" w:pos="865"/>
        </w:tabs>
        <w:spacing w:before="1" w:line="360" w:lineRule="auto"/>
        <w:ind w:hanging="265"/>
        <w:jc w:val="both"/>
        <w:rPr>
          <w:sz w:val="24"/>
          <w:szCs w:val="24"/>
        </w:rPr>
      </w:pPr>
      <w:r>
        <w:rPr>
          <w:rFonts w:hint="eastAsia"/>
          <w:spacing w:val="-3"/>
          <w:sz w:val="24"/>
          <w:szCs w:val="24"/>
        </w:rPr>
        <w:t>监理范围及内容</w:t>
      </w:r>
    </w:p>
    <w:p>
      <w:pPr>
        <w:pStyle w:val="27"/>
        <w:tabs>
          <w:tab w:val="left" w:pos="865"/>
        </w:tabs>
        <w:spacing w:before="1" w:line="360" w:lineRule="auto"/>
        <w:ind w:left="19" w:firstLine="578" w:firstLineChars="241"/>
        <w:jc w:val="both"/>
        <w:rPr>
          <w:sz w:val="24"/>
          <w:szCs w:val="24"/>
        </w:rPr>
      </w:pPr>
      <w:r>
        <w:rPr>
          <w:rFonts w:hint="eastAsia"/>
          <w:sz w:val="24"/>
          <w:szCs w:val="24"/>
        </w:rPr>
        <w:t>根据《建设工程质量管理条例》（中华人民共和国建设部令第279号）和《建设工程监理范围和规模标准规定》（中华人民共和国建设部令第86号），按中华人民共和国国家标准GB/T50319-2013《建设工程监理规范》执行。</w:t>
      </w:r>
    </w:p>
    <w:p>
      <w:pPr>
        <w:pStyle w:val="27"/>
        <w:tabs>
          <w:tab w:val="left" w:pos="865"/>
        </w:tabs>
        <w:spacing w:before="1" w:line="360" w:lineRule="auto"/>
        <w:ind w:left="19" w:firstLine="578" w:firstLineChars="241"/>
        <w:jc w:val="both"/>
        <w:rPr>
          <w:sz w:val="24"/>
          <w:szCs w:val="24"/>
        </w:rPr>
      </w:pPr>
      <w:r>
        <w:rPr>
          <w:rFonts w:hint="eastAsia"/>
          <w:sz w:val="24"/>
          <w:szCs w:val="24"/>
        </w:rPr>
        <w:t>监理范围包含：</w:t>
      </w:r>
    </w:p>
    <w:p>
      <w:pPr>
        <w:autoSpaceDE/>
        <w:autoSpaceDN/>
        <w:adjustRightInd w:val="0"/>
        <w:snapToGrid w:val="0"/>
        <w:spacing w:line="360" w:lineRule="auto"/>
        <w:ind w:firstLine="480" w:firstLineChars="200"/>
        <w:jc w:val="both"/>
        <w:rPr>
          <w:color w:val="000000"/>
          <w:kern w:val="2"/>
          <w:sz w:val="24"/>
          <w:szCs w:val="24"/>
          <w:lang w:val="en-US" w:bidi="ar-SA"/>
        </w:rPr>
      </w:pPr>
      <w:r>
        <w:rPr>
          <w:rFonts w:hint="eastAsia"/>
          <w:color w:val="000000"/>
          <w:kern w:val="2"/>
          <w:sz w:val="24"/>
          <w:szCs w:val="24"/>
          <w:lang w:val="en-US" w:bidi="ar-SA"/>
        </w:rPr>
        <w:t>（1）</w:t>
      </w:r>
      <w:r>
        <w:rPr>
          <w:rFonts w:hint="eastAsia"/>
          <w:sz w:val="24"/>
          <w:szCs w:val="24"/>
          <w:lang w:val="en-US"/>
        </w:rPr>
        <w:t>施工前准备阶段；包括但不限于协助招标人办理场地移交、办理相关许可证照、报建报批及其他前期准备工作。</w:t>
      </w:r>
    </w:p>
    <w:p>
      <w:pPr>
        <w:autoSpaceDE/>
        <w:autoSpaceDN/>
        <w:adjustRightInd w:val="0"/>
        <w:snapToGrid w:val="0"/>
        <w:spacing w:line="360" w:lineRule="auto"/>
        <w:ind w:firstLine="480" w:firstLineChars="200"/>
        <w:jc w:val="both"/>
        <w:rPr>
          <w:sz w:val="24"/>
          <w:szCs w:val="24"/>
          <w:lang w:val="en-US"/>
        </w:rPr>
      </w:pPr>
      <w:r>
        <w:rPr>
          <w:rFonts w:hint="eastAsia"/>
          <w:color w:val="000000"/>
          <w:sz w:val="24"/>
          <w:szCs w:val="24"/>
        </w:rPr>
        <w:t>（2）</w:t>
      </w:r>
      <w:r>
        <w:rPr>
          <w:rFonts w:hint="eastAsia"/>
          <w:sz w:val="24"/>
          <w:szCs w:val="24"/>
          <w:lang w:val="en-US"/>
        </w:rPr>
        <w:t>施工阶段：包括但不限于工程施工阶段所有与本工程有关的质量、进度、投资控制、进度款审核、检验监测、安全生产监督管理(包括但不限于图纸范围内、工程变更等)以及物流工艺设备安装与调试、弱电工程改造相关的监理工作及安全管理、合同管理、信息管理及相关协调等工作。</w:t>
      </w:r>
    </w:p>
    <w:p>
      <w:pPr>
        <w:autoSpaceDE/>
        <w:autoSpaceDN/>
        <w:adjustRightInd w:val="0"/>
        <w:snapToGrid w:val="0"/>
        <w:spacing w:line="360" w:lineRule="auto"/>
        <w:ind w:firstLine="480" w:firstLineChars="200"/>
        <w:jc w:val="both"/>
        <w:rPr>
          <w:sz w:val="24"/>
          <w:szCs w:val="24"/>
          <w:lang w:val="en-US"/>
        </w:rPr>
      </w:pPr>
      <w:r>
        <w:rPr>
          <w:rFonts w:hint="eastAsia"/>
          <w:color w:val="000000"/>
          <w:sz w:val="24"/>
          <w:szCs w:val="24"/>
        </w:rPr>
        <w:t>（3）</w:t>
      </w:r>
      <w:r>
        <w:rPr>
          <w:rFonts w:hint="eastAsia"/>
          <w:sz w:val="24"/>
          <w:szCs w:val="24"/>
          <w:lang w:val="en-US"/>
        </w:rPr>
        <w:t>竣工验收及保修阶段：包括但不限于竣工验收及竣工验收资料移交档案、整改、工程移交及实物移交、审核工程结算、竣工备案等，按国家相关规定执行。</w:t>
      </w:r>
    </w:p>
    <w:p>
      <w:pPr>
        <w:autoSpaceDE/>
        <w:autoSpaceDN/>
        <w:adjustRightInd w:val="0"/>
        <w:snapToGrid w:val="0"/>
        <w:spacing w:line="360" w:lineRule="auto"/>
        <w:ind w:firstLine="480" w:firstLineChars="200"/>
        <w:jc w:val="both"/>
        <w:rPr>
          <w:sz w:val="24"/>
          <w:szCs w:val="24"/>
          <w:lang w:val="en-US"/>
        </w:rPr>
      </w:pPr>
      <w:r>
        <w:rPr>
          <w:rFonts w:hint="eastAsia"/>
          <w:sz w:val="24"/>
          <w:szCs w:val="24"/>
          <w:lang w:val="en-US"/>
        </w:rPr>
        <w:t>（</w:t>
      </w:r>
      <w:r>
        <w:rPr>
          <w:sz w:val="24"/>
          <w:szCs w:val="24"/>
          <w:lang w:val="en-US"/>
        </w:rPr>
        <w:t>4）</w:t>
      </w:r>
      <w:r>
        <w:rPr>
          <w:rFonts w:hint="eastAsia"/>
          <w:sz w:val="24"/>
          <w:szCs w:val="24"/>
          <w:lang w:val="en-US"/>
        </w:rPr>
        <w:t>项目后评价阶段：配合与协助招标人开展广州烟草物流配送中心原地技术改造项目后评价及后审计有关工作（包括但不限于配合提供有关资料、档案等），并提供相关技术咨询。</w:t>
      </w:r>
    </w:p>
    <w:p>
      <w:pPr>
        <w:spacing w:line="360" w:lineRule="auto"/>
        <w:ind w:firstLine="720" w:firstLineChars="300"/>
        <w:jc w:val="both"/>
        <w:rPr>
          <w:sz w:val="24"/>
          <w:szCs w:val="24"/>
        </w:rPr>
      </w:pPr>
      <w:r>
        <w:rPr>
          <w:rFonts w:hint="eastAsia"/>
          <w:sz w:val="24"/>
          <w:szCs w:val="24"/>
        </w:rPr>
        <w:t>监理目标：</w:t>
      </w:r>
    </w:p>
    <w:p>
      <w:pPr>
        <w:pStyle w:val="33"/>
        <w:ind w:firstLine="744" w:firstLineChars="300"/>
        <w:jc w:val="both"/>
        <w:rPr>
          <w:rFonts w:ascii="宋体" w:hAnsi="宋体" w:cs="仿宋"/>
          <w:b/>
          <w:bCs/>
        </w:rPr>
      </w:pPr>
      <w:r>
        <w:rPr>
          <w:rFonts w:hint="eastAsia" w:ascii="宋体" w:hAnsi="宋体" w:cs="宋体"/>
          <w:color w:val="000000"/>
        </w:rPr>
        <w:t>（1）质量控制目标</w:t>
      </w:r>
      <w:r>
        <w:rPr>
          <w:rFonts w:hint="eastAsia" w:ascii="宋体" w:hAnsi="宋体" w:cs="宋体"/>
          <w:color w:val="000000"/>
          <w:spacing w:val="0"/>
        </w:rPr>
        <w:t>：</w:t>
      </w:r>
      <w:r>
        <w:rPr>
          <w:rFonts w:hint="eastAsia" w:ascii="宋体" w:hAnsi="宋体" w:cs="宋体"/>
          <w:color w:val="000000"/>
          <w:spacing w:val="0"/>
          <w:u w:val="single"/>
        </w:rPr>
        <w:t>必须严格按照招标人提供的施工图纸及其有关设计说明资料开展监理工作，按照设计文件和有关的技术标准、规范和合同规定进行监理工作，验收标准按现行国家和地方颁发的建设工程质量检验评定标准执行，必须达到地方行政主管部门的一次性验收合格。</w:t>
      </w:r>
    </w:p>
    <w:p>
      <w:pPr>
        <w:spacing w:line="360" w:lineRule="auto"/>
        <w:ind w:firstLine="720" w:firstLineChars="300"/>
        <w:jc w:val="both"/>
        <w:rPr>
          <w:color w:val="000000"/>
          <w:sz w:val="24"/>
          <w:szCs w:val="24"/>
        </w:rPr>
      </w:pPr>
      <w:r>
        <w:rPr>
          <w:rFonts w:hint="eastAsia"/>
          <w:color w:val="000000"/>
          <w:sz w:val="24"/>
          <w:szCs w:val="24"/>
        </w:rPr>
        <w:t>（2）进度控制目标：</w:t>
      </w:r>
      <w:r>
        <w:rPr>
          <w:rFonts w:hint="eastAsia"/>
          <w:color w:val="000000"/>
          <w:sz w:val="24"/>
          <w:szCs w:val="24"/>
          <w:u w:val="single"/>
        </w:rPr>
        <w:t>按委托人对工期的要求进行进度目标控制。</w:t>
      </w:r>
    </w:p>
    <w:p>
      <w:pPr>
        <w:spacing w:line="360" w:lineRule="auto"/>
        <w:ind w:firstLine="720" w:firstLineChars="300"/>
        <w:jc w:val="both"/>
        <w:rPr>
          <w:color w:val="000000"/>
          <w:sz w:val="24"/>
          <w:szCs w:val="24"/>
        </w:rPr>
      </w:pPr>
      <w:r>
        <w:rPr>
          <w:rFonts w:hint="eastAsia"/>
          <w:color w:val="000000"/>
          <w:sz w:val="24"/>
          <w:szCs w:val="24"/>
        </w:rPr>
        <w:t>（3）投资控制目标：</w:t>
      </w:r>
      <w:r>
        <w:rPr>
          <w:rFonts w:hint="eastAsia"/>
          <w:color w:val="000000"/>
          <w:sz w:val="24"/>
          <w:szCs w:val="24"/>
          <w:u w:val="single"/>
        </w:rPr>
        <w:t>所监理的建安工程结算不超过合同价，且不超过相应的建安工程费概算。</w:t>
      </w:r>
    </w:p>
    <w:p>
      <w:pPr>
        <w:spacing w:line="360" w:lineRule="auto"/>
        <w:ind w:firstLine="720" w:firstLineChars="300"/>
        <w:jc w:val="both"/>
        <w:rPr>
          <w:color w:val="000000"/>
          <w:sz w:val="24"/>
          <w:szCs w:val="24"/>
        </w:rPr>
      </w:pPr>
      <w:r>
        <w:rPr>
          <w:rFonts w:hint="eastAsia"/>
          <w:color w:val="000000"/>
          <w:sz w:val="24"/>
          <w:szCs w:val="24"/>
        </w:rPr>
        <w:t>（4）安全生产文明施工控制目标：</w:t>
      </w:r>
      <w:r>
        <w:rPr>
          <w:rFonts w:hint="eastAsia"/>
          <w:color w:val="000000"/>
          <w:sz w:val="24"/>
          <w:szCs w:val="24"/>
          <w:u w:val="single"/>
        </w:rPr>
        <w:t>执行</w:t>
      </w:r>
      <w:bookmarkStart w:id="66" w:name="_GoBack"/>
      <w:bookmarkEnd w:id="66"/>
      <w:r>
        <w:rPr>
          <w:rFonts w:hint="eastAsia"/>
          <w:color w:val="000000"/>
          <w:sz w:val="24"/>
          <w:szCs w:val="24"/>
          <w:u w:val="single"/>
        </w:rPr>
        <w:t>国家安全生产、建设工程安全管理相关法律法规和烟草行业《安全生产标准化规范》（YC/T384-2018）要求，确保工程无发生国家规定的安全生产责任事故；确保实施期内有关建设人员不违反委托人安全监管规定。</w:t>
      </w:r>
    </w:p>
    <w:p>
      <w:pPr>
        <w:spacing w:line="360" w:lineRule="auto"/>
        <w:ind w:firstLine="720" w:firstLineChars="300"/>
        <w:jc w:val="both"/>
        <w:rPr>
          <w:color w:val="000000"/>
          <w:sz w:val="24"/>
          <w:szCs w:val="24"/>
        </w:rPr>
      </w:pPr>
      <w:r>
        <w:rPr>
          <w:rFonts w:hint="eastAsia"/>
          <w:color w:val="000000"/>
          <w:sz w:val="24"/>
          <w:szCs w:val="24"/>
        </w:rPr>
        <w:t>（5）职业健康安全管理目标：</w:t>
      </w:r>
      <w:r>
        <w:rPr>
          <w:rFonts w:hint="eastAsia"/>
          <w:color w:val="000000"/>
          <w:sz w:val="24"/>
          <w:szCs w:val="24"/>
          <w:u w:val="single"/>
        </w:rPr>
        <w:t>杜绝发生国家规定的安全生产责任事故。</w:t>
      </w:r>
    </w:p>
    <w:p>
      <w:pPr>
        <w:pStyle w:val="27"/>
        <w:numPr>
          <w:ilvl w:val="0"/>
          <w:numId w:val="2"/>
        </w:numPr>
        <w:tabs>
          <w:tab w:val="left" w:pos="865"/>
        </w:tabs>
        <w:spacing w:before="173" w:line="360" w:lineRule="auto"/>
        <w:ind w:hanging="265"/>
        <w:jc w:val="both"/>
        <w:rPr>
          <w:sz w:val="24"/>
          <w:szCs w:val="24"/>
        </w:rPr>
      </w:pPr>
      <w:r>
        <w:rPr>
          <w:rFonts w:hint="eastAsia"/>
          <w:spacing w:val="-3"/>
          <w:sz w:val="24"/>
          <w:szCs w:val="24"/>
        </w:rPr>
        <w:t>监理依据：</w:t>
      </w:r>
    </w:p>
    <w:p>
      <w:pPr>
        <w:spacing w:line="360" w:lineRule="auto"/>
        <w:ind w:firstLine="410" w:firstLineChars="171"/>
        <w:jc w:val="both"/>
        <w:rPr>
          <w:sz w:val="24"/>
          <w:szCs w:val="24"/>
        </w:rPr>
      </w:pPr>
      <w:r>
        <w:rPr>
          <w:rFonts w:hint="eastAsia"/>
          <w:sz w:val="24"/>
          <w:szCs w:val="24"/>
        </w:rPr>
        <w:t>（</w:t>
      </w:r>
      <w:r>
        <w:rPr>
          <w:sz w:val="24"/>
          <w:szCs w:val="24"/>
        </w:rPr>
        <w:t>1</w:t>
      </w:r>
      <w:r>
        <w:rPr>
          <w:rFonts w:hint="eastAsia"/>
          <w:sz w:val="24"/>
          <w:szCs w:val="24"/>
        </w:rPr>
        <w:t>）适用的法律、行政法规及部门规章；</w:t>
      </w:r>
    </w:p>
    <w:p>
      <w:pPr>
        <w:spacing w:line="360" w:lineRule="auto"/>
        <w:ind w:firstLine="410" w:firstLineChars="171"/>
        <w:jc w:val="both"/>
        <w:rPr>
          <w:sz w:val="24"/>
          <w:szCs w:val="24"/>
        </w:rPr>
      </w:pPr>
      <w:r>
        <w:rPr>
          <w:rFonts w:hint="eastAsia"/>
          <w:sz w:val="24"/>
          <w:szCs w:val="24"/>
        </w:rPr>
        <w:t>（</w:t>
      </w:r>
      <w:r>
        <w:rPr>
          <w:sz w:val="24"/>
          <w:szCs w:val="24"/>
        </w:rPr>
        <w:t>2</w:t>
      </w:r>
      <w:r>
        <w:rPr>
          <w:rFonts w:hint="eastAsia"/>
          <w:sz w:val="24"/>
          <w:szCs w:val="24"/>
        </w:rPr>
        <w:t>）与工程有关的规范、标准、规程；</w:t>
      </w:r>
    </w:p>
    <w:p>
      <w:pPr>
        <w:spacing w:line="360" w:lineRule="auto"/>
        <w:ind w:firstLine="410" w:firstLineChars="171"/>
        <w:jc w:val="both"/>
        <w:rPr>
          <w:sz w:val="24"/>
          <w:szCs w:val="24"/>
        </w:rPr>
      </w:pPr>
      <w:r>
        <w:rPr>
          <w:rFonts w:hint="eastAsia"/>
          <w:sz w:val="24"/>
          <w:szCs w:val="24"/>
        </w:rPr>
        <w:t>（</w:t>
      </w:r>
      <w:r>
        <w:rPr>
          <w:sz w:val="24"/>
          <w:szCs w:val="24"/>
        </w:rPr>
        <w:t>3</w:t>
      </w:r>
      <w:r>
        <w:rPr>
          <w:rFonts w:hint="eastAsia"/>
          <w:sz w:val="24"/>
          <w:szCs w:val="24"/>
        </w:rPr>
        <w:t>）工程勘察文件、设计文件及其他文件；</w:t>
      </w:r>
    </w:p>
    <w:p>
      <w:pPr>
        <w:spacing w:line="360" w:lineRule="auto"/>
        <w:ind w:firstLine="410" w:firstLineChars="171"/>
        <w:jc w:val="both"/>
        <w:rPr>
          <w:sz w:val="24"/>
          <w:szCs w:val="24"/>
        </w:rPr>
      </w:pPr>
      <w:r>
        <w:rPr>
          <w:rFonts w:hint="eastAsia"/>
          <w:sz w:val="24"/>
          <w:szCs w:val="24"/>
        </w:rPr>
        <w:t>（</w:t>
      </w:r>
      <w:r>
        <w:rPr>
          <w:sz w:val="24"/>
          <w:szCs w:val="24"/>
        </w:rPr>
        <w:t>4</w:t>
      </w:r>
      <w:r>
        <w:rPr>
          <w:rFonts w:hint="eastAsia"/>
          <w:sz w:val="24"/>
          <w:szCs w:val="24"/>
        </w:rPr>
        <w:t>）本工程监理的委托合同及补充合同；</w:t>
      </w:r>
    </w:p>
    <w:p>
      <w:pPr>
        <w:spacing w:line="360" w:lineRule="auto"/>
        <w:ind w:firstLine="410" w:firstLineChars="171"/>
        <w:jc w:val="both"/>
        <w:rPr>
          <w:sz w:val="24"/>
          <w:szCs w:val="24"/>
        </w:rPr>
      </w:pPr>
      <w:r>
        <w:rPr>
          <w:rFonts w:hint="eastAsia"/>
          <w:sz w:val="24"/>
          <w:szCs w:val="24"/>
        </w:rPr>
        <w:t>（</w:t>
      </w:r>
      <w:r>
        <w:rPr>
          <w:sz w:val="24"/>
          <w:szCs w:val="24"/>
        </w:rPr>
        <w:t>5</w:t>
      </w:r>
      <w:r>
        <w:rPr>
          <w:rFonts w:hint="eastAsia"/>
          <w:sz w:val="24"/>
          <w:szCs w:val="24"/>
        </w:rPr>
        <w:t>）委托人签订的勘察、设计和施工承包合同；</w:t>
      </w:r>
    </w:p>
    <w:p>
      <w:pPr>
        <w:spacing w:line="360" w:lineRule="auto"/>
        <w:ind w:firstLine="410" w:firstLineChars="171"/>
        <w:jc w:val="both"/>
        <w:rPr>
          <w:sz w:val="24"/>
          <w:szCs w:val="24"/>
        </w:rPr>
      </w:pPr>
      <w:r>
        <w:rPr>
          <w:rFonts w:hint="eastAsia"/>
          <w:sz w:val="24"/>
          <w:szCs w:val="24"/>
        </w:rPr>
        <w:t>（</w:t>
      </w:r>
      <w:r>
        <w:rPr>
          <w:sz w:val="24"/>
          <w:szCs w:val="24"/>
        </w:rPr>
        <w:t>6</w:t>
      </w:r>
      <w:r>
        <w:rPr>
          <w:rFonts w:hint="eastAsia"/>
          <w:sz w:val="24"/>
          <w:szCs w:val="24"/>
        </w:rPr>
        <w:t>）合同履行中与工程项目有关的来往函件；</w:t>
      </w:r>
    </w:p>
    <w:p>
      <w:pPr>
        <w:spacing w:line="360" w:lineRule="auto"/>
        <w:ind w:firstLine="410" w:firstLineChars="171"/>
        <w:jc w:val="both"/>
        <w:rPr>
          <w:sz w:val="24"/>
          <w:szCs w:val="24"/>
        </w:rPr>
      </w:pPr>
      <w:r>
        <w:rPr>
          <w:rFonts w:hint="eastAsia"/>
          <w:sz w:val="24"/>
          <w:szCs w:val="24"/>
        </w:rPr>
        <w:t>（</w:t>
      </w:r>
      <w:r>
        <w:rPr>
          <w:sz w:val="24"/>
          <w:szCs w:val="24"/>
        </w:rPr>
        <w:t>7</w:t>
      </w:r>
      <w:r>
        <w:rPr>
          <w:rFonts w:hint="eastAsia"/>
          <w:sz w:val="24"/>
          <w:szCs w:val="24"/>
        </w:rPr>
        <w:t>）其他监理依据。</w:t>
      </w:r>
    </w:p>
    <w:p>
      <w:pPr>
        <w:pStyle w:val="27"/>
        <w:numPr>
          <w:ilvl w:val="0"/>
          <w:numId w:val="2"/>
        </w:numPr>
        <w:tabs>
          <w:tab w:val="left" w:pos="865"/>
        </w:tabs>
        <w:spacing w:line="360" w:lineRule="auto"/>
        <w:ind w:hanging="265"/>
        <w:jc w:val="both"/>
        <w:rPr>
          <w:sz w:val="24"/>
          <w:szCs w:val="24"/>
        </w:rPr>
      </w:pPr>
      <w:r>
        <w:rPr>
          <w:rFonts w:hint="eastAsia"/>
          <w:sz w:val="24"/>
          <w:szCs w:val="24"/>
        </w:rPr>
        <w:t>监理的技术要求：</w:t>
      </w:r>
    </w:p>
    <w:p>
      <w:pPr>
        <w:numPr>
          <w:ilvl w:val="0"/>
          <w:numId w:val="3"/>
        </w:numPr>
        <w:spacing w:line="360" w:lineRule="auto"/>
        <w:ind w:firstLine="410" w:firstLineChars="171"/>
        <w:jc w:val="both"/>
        <w:rPr>
          <w:sz w:val="24"/>
          <w:szCs w:val="24"/>
        </w:rPr>
      </w:pPr>
      <w:r>
        <w:rPr>
          <w:rFonts w:hint="eastAsia"/>
          <w:sz w:val="24"/>
          <w:szCs w:val="24"/>
        </w:rPr>
        <w:t>符合法律、行政法规及部门规章；</w:t>
      </w:r>
    </w:p>
    <w:p>
      <w:pPr>
        <w:spacing w:line="360" w:lineRule="auto"/>
        <w:ind w:left="376" w:leftChars="171"/>
        <w:jc w:val="both"/>
        <w:rPr>
          <w:sz w:val="24"/>
          <w:szCs w:val="24"/>
        </w:rPr>
      </w:pPr>
      <w:r>
        <w:rPr>
          <w:rFonts w:hint="eastAsia"/>
          <w:sz w:val="24"/>
          <w:szCs w:val="24"/>
        </w:rPr>
        <w:t>（</w:t>
      </w:r>
      <w:r>
        <w:rPr>
          <w:sz w:val="24"/>
          <w:szCs w:val="24"/>
        </w:rPr>
        <w:t>2</w:t>
      </w:r>
      <w:r>
        <w:rPr>
          <w:rFonts w:hint="eastAsia"/>
          <w:sz w:val="24"/>
          <w:szCs w:val="24"/>
        </w:rPr>
        <w:t>）符合本工程有关的规范、标准、规程；</w:t>
      </w:r>
    </w:p>
    <w:p>
      <w:pPr>
        <w:spacing w:line="360" w:lineRule="auto"/>
        <w:ind w:firstLine="410" w:firstLineChars="171"/>
        <w:jc w:val="both"/>
        <w:rPr>
          <w:sz w:val="24"/>
          <w:szCs w:val="24"/>
        </w:rPr>
      </w:pPr>
      <w:r>
        <w:rPr>
          <w:sz w:val="24"/>
          <w:szCs w:val="24"/>
        </w:rPr>
        <w:t>5.</w:t>
      </w:r>
      <w:r>
        <w:rPr>
          <w:rFonts w:hint="eastAsia"/>
          <w:sz w:val="24"/>
          <w:szCs w:val="24"/>
        </w:rPr>
        <w:t>监理人员、设备要求：</w:t>
      </w:r>
    </w:p>
    <w:p>
      <w:pPr>
        <w:spacing w:line="360" w:lineRule="auto"/>
        <w:ind w:firstLine="410" w:firstLineChars="171"/>
        <w:jc w:val="both"/>
        <w:rPr>
          <w:sz w:val="24"/>
          <w:szCs w:val="24"/>
        </w:rPr>
      </w:pPr>
      <w:r>
        <w:rPr>
          <w:rFonts w:hint="eastAsia"/>
          <w:sz w:val="24"/>
          <w:szCs w:val="24"/>
        </w:rPr>
        <w:t>项目监理人员组成要求：</w:t>
      </w:r>
    </w:p>
    <w:p>
      <w:pPr>
        <w:spacing w:line="360" w:lineRule="auto"/>
        <w:ind w:firstLine="410" w:firstLineChars="171"/>
        <w:jc w:val="both"/>
        <w:rPr>
          <w:sz w:val="24"/>
          <w:szCs w:val="24"/>
        </w:rPr>
      </w:pPr>
      <w:r>
        <w:rPr>
          <w:rFonts w:hint="eastAsia"/>
          <w:sz w:val="24"/>
          <w:szCs w:val="24"/>
        </w:rPr>
        <w:t>（1）总监理工程师：必须具备建设部2006年4月1日后颁发的中华人民共和国注册监理工程师注册执业证书，且其注册专业为房屋建筑工程，注册执业单位为本公司，并具有本科或以上的学历。</w:t>
      </w:r>
    </w:p>
    <w:p>
      <w:pPr>
        <w:spacing w:line="360" w:lineRule="auto"/>
        <w:ind w:firstLine="410" w:firstLineChars="171"/>
        <w:jc w:val="both"/>
        <w:rPr>
          <w:sz w:val="24"/>
          <w:szCs w:val="24"/>
        </w:rPr>
      </w:pPr>
      <w:r>
        <w:rPr>
          <w:rFonts w:hint="eastAsia"/>
          <w:sz w:val="24"/>
          <w:szCs w:val="24"/>
        </w:rPr>
        <w:t>（2）专业监理人员配套要求：</w:t>
      </w:r>
    </w:p>
    <w:p>
      <w:pPr>
        <w:spacing w:line="360" w:lineRule="auto"/>
        <w:ind w:firstLine="410" w:firstLineChars="171"/>
        <w:jc w:val="both"/>
        <w:rPr>
          <w:sz w:val="24"/>
          <w:szCs w:val="24"/>
        </w:rPr>
      </w:pPr>
      <w:r>
        <w:rPr>
          <w:rFonts w:hint="eastAsia"/>
          <w:sz w:val="24"/>
          <w:szCs w:val="24"/>
        </w:rPr>
        <w:t>根据项目进度、专业需求及建设单位要求驻工地。各专业人员可根据工程进度及建设单位要求派驻现场，应满足施工时监理人员旁站监理的要求。</w:t>
      </w:r>
    </w:p>
    <w:p>
      <w:pPr>
        <w:pStyle w:val="11"/>
        <w:spacing w:before="8" w:line="360" w:lineRule="auto"/>
        <w:ind w:firstLine="480" w:firstLineChars="200"/>
        <w:jc w:val="both"/>
        <w:rPr>
          <w:sz w:val="24"/>
          <w:szCs w:val="24"/>
        </w:rPr>
      </w:pPr>
      <w:r>
        <w:rPr>
          <w:sz w:val="24"/>
          <w:szCs w:val="24"/>
        </w:rPr>
        <w:t>6.</w:t>
      </w:r>
      <w:r>
        <w:rPr>
          <w:rFonts w:hint="eastAsia"/>
          <w:sz w:val="24"/>
          <w:szCs w:val="24"/>
        </w:rPr>
        <w:t>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pPr>
        <w:spacing w:line="360" w:lineRule="auto"/>
        <w:ind w:firstLine="410" w:firstLineChars="171"/>
        <w:jc w:val="both"/>
        <w:rPr>
          <w:sz w:val="24"/>
          <w:szCs w:val="24"/>
        </w:rPr>
      </w:pPr>
      <w:r>
        <w:rPr>
          <w:rFonts w:hint="eastAsia"/>
          <w:sz w:val="24"/>
          <w:szCs w:val="24"/>
          <w:lang w:val="en-US"/>
        </w:rPr>
        <w:t>7</w:t>
      </w:r>
      <w:r>
        <w:rPr>
          <w:sz w:val="24"/>
          <w:szCs w:val="24"/>
        </w:rPr>
        <w:t>. 其他要求</w:t>
      </w:r>
    </w:p>
    <w:p>
      <w:pPr>
        <w:pStyle w:val="11"/>
        <w:spacing w:before="8" w:line="360" w:lineRule="auto"/>
        <w:ind w:firstLine="480" w:firstLineChars="200"/>
        <w:jc w:val="both"/>
        <w:rPr>
          <w:sz w:val="24"/>
          <w:szCs w:val="24"/>
        </w:rPr>
      </w:pPr>
      <w:r>
        <w:rPr>
          <w:rFonts w:hint="eastAsia"/>
          <w:sz w:val="24"/>
          <w:szCs w:val="24"/>
        </w:rPr>
        <w:t>按国家相关法规执行监理工作。</w:t>
      </w:r>
    </w:p>
    <w:p>
      <w:pPr>
        <w:spacing w:line="360" w:lineRule="auto"/>
        <w:ind w:left="240"/>
        <w:jc w:val="both"/>
        <w:rPr>
          <w:sz w:val="24"/>
          <w:szCs w:val="24"/>
        </w:rPr>
      </w:pPr>
      <w:bookmarkStart w:id="36" w:name="_bookmark164"/>
      <w:bookmarkEnd w:id="36"/>
      <w:r>
        <w:rPr>
          <w:rFonts w:hint="eastAsia"/>
          <w:sz w:val="24"/>
          <w:szCs w:val="24"/>
        </w:rPr>
        <w:t>二、适用规范标准</w:t>
      </w:r>
    </w:p>
    <w:p>
      <w:pPr>
        <w:pStyle w:val="27"/>
        <w:numPr>
          <w:ilvl w:val="0"/>
          <w:numId w:val="4"/>
        </w:numPr>
        <w:tabs>
          <w:tab w:val="left" w:pos="925"/>
        </w:tabs>
        <w:spacing w:line="360" w:lineRule="auto"/>
        <w:ind w:hanging="266"/>
        <w:jc w:val="both"/>
        <w:rPr>
          <w:sz w:val="24"/>
          <w:szCs w:val="24"/>
        </w:rPr>
      </w:pPr>
      <w:r>
        <w:rPr>
          <w:rFonts w:hint="eastAsia"/>
          <w:spacing w:val="-3"/>
          <w:sz w:val="24"/>
          <w:szCs w:val="24"/>
        </w:rPr>
        <w:t>国家、行业、项目所在地规范名录</w:t>
      </w:r>
      <w:r>
        <w:rPr>
          <w:rFonts w:hint="eastAsia"/>
          <w:sz w:val="24"/>
          <w:szCs w:val="24"/>
        </w:rPr>
        <w:t>：《建设工程监理规范》</w:t>
      </w:r>
      <w:r>
        <w:rPr>
          <w:sz w:val="24"/>
          <w:szCs w:val="24"/>
        </w:rPr>
        <w:t>GB/T50319-2013</w:t>
      </w:r>
      <w:r>
        <w:rPr>
          <w:rFonts w:hint="eastAsia"/>
          <w:sz w:val="24"/>
          <w:szCs w:val="24"/>
        </w:rPr>
        <w:t>，按国家、行业、项目所在地规范名录执行。</w:t>
      </w:r>
    </w:p>
    <w:p>
      <w:pPr>
        <w:pStyle w:val="27"/>
        <w:numPr>
          <w:ilvl w:val="0"/>
          <w:numId w:val="4"/>
        </w:numPr>
        <w:tabs>
          <w:tab w:val="left" w:pos="925"/>
        </w:tabs>
        <w:spacing w:line="360" w:lineRule="auto"/>
        <w:ind w:hanging="266"/>
        <w:jc w:val="both"/>
        <w:rPr>
          <w:sz w:val="24"/>
          <w:szCs w:val="24"/>
        </w:rPr>
      </w:pPr>
      <w:r>
        <w:rPr>
          <w:rFonts w:hint="eastAsia"/>
          <w:spacing w:val="-3"/>
          <w:sz w:val="24"/>
          <w:szCs w:val="24"/>
        </w:rPr>
        <w:t>国家、行业、项目所在地标准名录</w:t>
      </w:r>
      <w:r>
        <w:rPr>
          <w:rFonts w:hint="eastAsia"/>
          <w:sz w:val="24"/>
          <w:szCs w:val="24"/>
        </w:rPr>
        <w:t>：按国家、行业、项目所在地规范标准执行。</w:t>
      </w:r>
    </w:p>
    <w:p>
      <w:pPr>
        <w:pStyle w:val="27"/>
        <w:numPr>
          <w:ilvl w:val="0"/>
          <w:numId w:val="4"/>
        </w:numPr>
        <w:tabs>
          <w:tab w:val="left" w:pos="925"/>
        </w:tabs>
        <w:spacing w:line="360" w:lineRule="auto"/>
        <w:ind w:hanging="266"/>
        <w:jc w:val="both"/>
        <w:rPr>
          <w:sz w:val="24"/>
          <w:szCs w:val="24"/>
        </w:rPr>
      </w:pPr>
      <w:r>
        <w:rPr>
          <w:rFonts w:hint="eastAsia"/>
          <w:spacing w:val="-3"/>
          <w:sz w:val="24"/>
          <w:szCs w:val="24"/>
        </w:rPr>
        <w:t>国家、行业、项目所在地规程名录</w:t>
      </w:r>
      <w:r>
        <w:rPr>
          <w:rFonts w:hint="eastAsia"/>
          <w:sz w:val="24"/>
          <w:szCs w:val="24"/>
        </w:rPr>
        <w:t>：按国家、行业、项目所在地规范标准执行。</w:t>
      </w:r>
    </w:p>
    <w:p>
      <w:pPr>
        <w:spacing w:before="1" w:line="360" w:lineRule="auto"/>
        <w:ind w:left="240"/>
        <w:jc w:val="both"/>
        <w:rPr>
          <w:sz w:val="24"/>
          <w:szCs w:val="24"/>
        </w:rPr>
      </w:pPr>
      <w:bookmarkStart w:id="37" w:name="_bookmark165"/>
      <w:bookmarkEnd w:id="37"/>
      <w:r>
        <w:rPr>
          <w:rFonts w:hint="eastAsia"/>
          <w:sz w:val="24"/>
          <w:szCs w:val="24"/>
        </w:rPr>
        <w:t>三、成果文件要求</w:t>
      </w:r>
    </w:p>
    <w:p>
      <w:pPr>
        <w:pStyle w:val="11"/>
        <w:spacing w:before="9" w:line="360" w:lineRule="auto"/>
        <w:ind w:firstLine="480" w:firstLineChars="200"/>
        <w:jc w:val="both"/>
        <w:rPr>
          <w:sz w:val="24"/>
          <w:szCs w:val="24"/>
        </w:rPr>
      </w:pPr>
      <w:r>
        <w:rPr>
          <w:rFonts w:hint="eastAsia"/>
          <w:sz w:val="24"/>
          <w:szCs w:val="24"/>
        </w:rPr>
        <w:t>按《建设工程监理规范》（</w:t>
      </w:r>
      <w:r>
        <w:rPr>
          <w:sz w:val="24"/>
          <w:szCs w:val="24"/>
        </w:rPr>
        <w:t>GB/T50319-2013</w:t>
      </w:r>
      <w:r>
        <w:rPr>
          <w:rFonts w:hint="eastAsia"/>
          <w:sz w:val="24"/>
          <w:szCs w:val="24"/>
        </w:rPr>
        <w:t>）和招标人要求</w:t>
      </w:r>
    </w:p>
    <w:p>
      <w:pPr>
        <w:pStyle w:val="27"/>
        <w:numPr>
          <w:ilvl w:val="0"/>
          <w:numId w:val="5"/>
        </w:numPr>
        <w:tabs>
          <w:tab w:val="left" w:pos="925"/>
        </w:tabs>
        <w:spacing w:line="360" w:lineRule="auto"/>
        <w:ind w:hanging="265"/>
        <w:jc w:val="both"/>
        <w:rPr>
          <w:sz w:val="24"/>
          <w:szCs w:val="24"/>
        </w:rPr>
      </w:pPr>
      <w:r>
        <w:rPr>
          <w:rFonts w:hint="eastAsia"/>
          <w:spacing w:val="-3"/>
          <w:sz w:val="24"/>
          <w:szCs w:val="24"/>
        </w:rPr>
        <w:t>成果文件的组成</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1</w:t>
      </w:r>
      <w:r>
        <w:rPr>
          <w:rFonts w:hint="eastAsia"/>
          <w:sz w:val="24"/>
          <w:szCs w:val="24"/>
        </w:rPr>
        <w:t>）勘察设计文件、建设工程监理合同及其他合同文件；</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2</w:t>
      </w:r>
      <w:r>
        <w:rPr>
          <w:rFonts w:hint="eastAsia"/>
          <w:sz w:val="24"/>
          <w:szCs w:val="24"/>
        </w:rPr>
        <w:t>）监理规划、监理实施细则；</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3</w:t>
      </w:r>
      <w:r>
        <w:rPr>
          <w:rFonts w:hint="eastAsia"/>
          <w:sz w:val="24"/>
          <w:szCs w:val="24"/>
        </w:rPr>
        <w:t>）设计交底和图纸会审会议纪要；</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4</w:t>
      </w:r>
      <w:r>
        <w:rPr>
          <w:rFonts w:hint="eastAsia"/>
          <w:sz w:val="24"/>
          <w:szCs w:val="24"/>
        </w:rPr>
        <w:t>）施工组织设计、（专项）施工方案、施工进度计划报审文件资料；</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5</w:t>
      </w:r>
      <w:r>
        <w:rPr>
          <w:rFonts w:hint="eastAsia"/>
          <w:sz w:val="24"/>
          <w:szCs w:val="24"/>
        </w:rPr>
        <w:t>）分包单位（如有）资格报审文件资料；</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6</w:t>
      </w:r>
      <w:r>
        <w:rPr>
          <w:rFonts w:hint="eastAsia"/>
          <w:sz w:val="24"/>
          <w:szCs w:val="24"/>
        </w:rPr>
        <w:t>）施工控制测量成果报验文件资料；</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7</w:t>
      </w:r>
      <w:r>
        <w:rPr>
          <w:rFonts w:hint="eastAsia"/>
          <w:sz w:val="24"/>
          <w:szCs w:val="24"/>
        </w:rPr>
        <w:t>）总监理工程师任命书、工程开工令、暂停令、复工令、开工或复工报审文件资料；</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8</w:t>
      </w:r>
      <w:r>
        <w:rPr>
          <w:rFonts w:hint="eastAsia"/>
          <w:sz w:val="24"/>
          <w:szCs w:val="24"/>
        </w:rPr>
        <w:t>）工程材料、设备、构配件报验文件资料；</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9</w:t>
      </w:r>
      <w:r>
        <w:rPr>
          <w:rFonts w:hint="eastAsia"/>
          <w:sz w:val="24"/>
          <w:szCs w:val="24"/>
        </w:rPr>
        <w:t>）见证取样和平行检验文件资料；</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10</w:t>
      </w:r>
      <w:r>
        <w:rPr>
          <w:rFonts w:hint="eastAsia"/>
          <w:sz w:val="24"/>
          <w:szCs w:val="24"/>
        </w:rPr>
        <w:t>）工程质量检查报验资料及工程有关验收资料；</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11</w:t>
      </w:r>
      <w:r>
        <w:rPr>
          <w:rFonts w:hint="eastAsia"/>
          <w:sz w:val="24"/>
          <w:szCs w:val="24"/>
        </w:rPr>
        <w:t>）工程变更、费用索赔及工程延期文件资料；</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12</w:t>
      </w:r>
      <w:r>
        <w:rPr>
          <w:rFonts w:hint="eastAsia"/>
          <w:sz w:val="24"/>
          <w:szCs w:val="24"/>
        </w:rPr>
        <w:t>）工程计量、工程款支付文件资料；</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13</w:t>
      </w:r>
      <w:r>
        <w:rPr>
          <w:rFonts w:hint="eastAsia"/>
          <w:sz w:val="24"/>
          <w:szCs w:val="24"/>
        </w:rPr>
        <w:t>）监理通知单、工作联系单与监理报告；</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14</w:t>
      </w:r>
      <w:r>
        <w:rPr>
          <w:rFonts w:hint="eastAsia"/>
          <w:sz w:val="24"/>
          <w:szCs w:val="24"/>
        </w:rPr>
        <w:t>）第一次工地会议、监理例会、专题会议等会议纪要；</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15</w:t>
      </w:r>
      <w:r>
        <w:rPr>
          <w:rFonts w:hint="eastAsia"/>
          <w:sz w:val="24"/>
          <w:szCs w:val="24"/>
        </w:rPr>
        <w:t>）监理月报、监理日志、旁站记录；</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16</w:t>
      </w:r>
      <w:r>
        <w:rPr>
          <w:rFonts w:hint="eastAsia"/>
          <w:sz w:val="24"/>
          <w:szCs w:val="24"/>
        </w:rPr>
        <w:t>）工程质量或生产安全事故处理文件资料；</w:t>
      </w:r>
    </w:p>
    <w:p>
      <w:pPr>
        <w:tabs>
          <w:tab w:val="left" w:pos="680"/>
        </w:tabs>
        <w:snapToGrid w:val="0"/>
        <w:spacing w:line="360" w:lineRule="auto"/>
        <w:ind w:left="440" w:leftChars="200"/>
        <w:jc w:val="both"/>
        <w:rPr>
          <w:sz w:val="24"/>
          <w:szCs w:val="24"/>
        </w:rPr>
      </w:pPr>
      <w:r>
        <w:rPr>
          <w:rFonts w:hint="eastAsia"/>
          <w:sz w:val="24"/>
          <w:szCs w:val="24"/>
        </w:rPr>
        <w:t>（</w:t>
      </w:r>
      <w:r>
        <w:rPr>
          <w:rFonts w:hint="eastAsia"/>
          <w:sz w:val="24"/>
          <w:szCs w:val="24"/>
          <w:lang w:val="en-US"/>
        </w:rPr>
        <w:t>17</w:t>
      </w:r>
      <w:r>
        <w:rPr>
          <w:rFonts w:hint="eastAsia"/>
          <w:sz w:val="24"/>
          <w:szCs w:val="24"/>
        </w:rPr>
        <w:t>）工程质量评估报告及竣工验收监理文件资料；</w:t>
      </w:r>
    </w:p>
    <w:p>
      <w:pPr>
        <w:pStyle w:val="27"/>
        <w:tabs>
          <w:tab w:val="left" w:pos="925"/>
        </w:tabs>
        <w:spacing w:line="360" w:lineRule="auto"/>
        <w:ind w:left="0" w:firstLine="480" w:firstLineChars="200"/>
        <w:jc w:val="both"/>
        <w:rPr>
          <w:sz w:val="24"/>
          <w:szCs w:val="24"/>
        </w:rPr>
      </w:pPr>
      <w:r>
        <w:rPr>
          <w:rFonts w:hint="eastAsia"/>
          <w:sz w:val="24"/>
          <w:szCs w:val="24"/>
        </w:rPr>
        <w:t>（</w:t>
      </w:r>
      <w:r>
        <w:rPr>
          <w:rFonts w:hint="eastAsia"/>
          <w:sz w:val="24"/>
          <w:szCs w:val="24"/>
          <w:lang w:val="en-US"/>
        </w:rPr>
        <w:t>18</w:t>
      </w:r>
      <w:r>
        <w:rPr>
          <w:rFonts w:hint="eastAsia"/>
          <w:sz w:val="24"/>
          <w:szCs w:val="24"/>
        </w:rPr>
        <w:t>）监理工作总结。</w:t>
      </w:r>
    </w:p>
    <w:p>
      <w:pPr>
        <w:pStyle w:val="27"/>
        <w:numPr>
          <w:ilvl w:val="0"/>
          <w:numId w:val="5"/>
        </w:numPr>
        <w:tabs>
          <w:tab w:val="left" w:pos="925"/>
        </w:tabs>
        <w:spacing w:before="139" w:line="360" w:lineRule="auto"/>
        <w:ind w:hanging="265"/>
        <w:jc w:val="both"/>
        <w:rPr>
          <w:sz w:val="24"/>
          <w:szCs w:val="24"/>
        </w:rPr>
      </w:pPr>
      <w:r>
        <w:rPr>
          <w:rFonts w:hint="eastAsia"/>
          <w:spacing w:val="-3"/>
          <w:sz w:val="24"/>
          <w:szCs w:val="24"/>
        </w:rPr>
        <w:t>成果文件的深度</w:t>
      </w:r>
      <w:r>
        <w:rPr>
          <w:rFonts w:hint="eastAsia"/>
          <w:sz w:val="24"/>
          <w:szCs w:val="24"/>
        </w:rPr>
        <w:t>: 满足本项目监理服务要求。</w:t>
      </w:r>
    </w:p>
    <w:p>
      <w:pPr>
        <w:pStyle w:val="27"/>
        <w:numPr>
          <w:ilvl w:val="0"/>
          <w:numId w:val="5"/>
        </w:numPr>
        <w:tabs>
          <w:tab w:val="left" w:pos="925"/>
        </w:tabs>
        <w:spacing w:before="141" w:line="360" w:lineRule="auto"/>
        <w:ind w:hanging="265"/>
        <w:jc w:val="both"/>
        <w:rPr>
          <w:sz w:val="24"/>
          <w:szCs w:val="24"/>
        </w:rPr>
      </w:pPr>
      <w:r>
        <w:rPr>
          <w:rFonts w:hint="eastAsia"/>
          <w:spacing w:val="-3"/>
          <w:sz w:val="24"/>
          <w:szCs w:val="24"/>
        </w:rPr>
        <w:t>成果文件的格式要求</w:t>
      </w:r>
      <w:r>
        <w:rPr>
          <w:rFonts w:hint="eastAsia"/>
          <w:sz w:val="24"/>
          <w:szCs w:val="24"/>
        </w:rPr>
        <w:t>: 满足本项目监理服务要求。</w:t>
      </w:r>
    </w:p>
    <w:p>
      <w:pPr>
        <w:pStyle w:val="27"/>
        <w:numPr>
          <w:ilvl w:val="0"/>
          <w:numId w:val="5"/>
        </w:numPr>
        <w:tabs>
          <w:tab w:val="left" w:pos="925"/>
        </w:tabs>
        <w:spacing w:before="139" w:line="360" w:lineRule="auto"/>
        <w:ind w:hanging="265"/>
        <w:jc w:val="both"/>
        <w:rPr>
          <w:sz w:val="24"/>
          <w:szCs w:val="24"/>
        </w:rPr>
      </w:pPr>
      <w:r>
        <w:rPr>
          <w:rFonts w:hint="eastAsia"/>
          <w:spacing w:val="-3"/>
          <w:sz w:val="24"/>
          <w:szCs w:val="24"/>
        </w:rPr>
        <w:t>成果文件的份数要求</w:t>
      </w:r>
      <w:r>
        <w:rPr>
          <w:rFonts w:hint="eastAsia"/>
          <w:sz w:val="24"/>
          <w:szCs w:val="24"/>
        </w:rPr>
        <w:t>: 一式五份。</w:t>
      </w:r>
    </w:p>
    <w:p>
      <w:pPr>
        <w:pStyle w:val="27"/>
        <w:numPr>
          <w:ilvl w:val="0"/>
          <w:numId w:val="5"/>
        </w:numPr>
        <w:tabs>
          <w:tab w:val="left" w:pos="925"/>
        </w:tabs>
        <w:spacing w:line="360" w:lineRule="auto"/>
        <w:ind w:hanging="265"/>
        <w:jc w:val="both"/>
        <w:rPr>
          <w:sz w:val="24"/>
          <w:szCs w:val="24"/>
        </w:rPr>
      </w:pPr>
      <w:r>
        <w:rPr>
          <w:rFonts w:hint="eastAsia"/>
          <w:spacing w:val="-3"/>
          <w:sz w:val="24"/>
          <w:szCs w:val="24"/>
        </w:rPr>
        <w:t>成果文件的载体要求</w:t>
      </w:r>
    </w:p>
    <w:p>
      <w:pPr>
        <w:pStyle w:val="27"/>
        <w:numPr>
          <w:ilvl w:val="0"/>
          <w:numId w:val="6"/>
        </w:numPr>
        <w:tabs>
          <w:tab w:val="left" w:pos="1190"/>
        </w:tabs>
        <w:spacing w:line="360" w:lineRule="auto"/>
        <w:ind w:hanging="530"/>
        <w:jc w:val="both"/>
        <w:rPr>
          <w:sz w:val="24"/>
          <w:szCs w:val="24"/>
        </w:rPr>
      </w:pPr>
      <w:r>
        <w:rPr>
          <w:rFonts w:hint="eastAsia"/>
          <w:spacing w:val="-3"/>
          <w:sz w:val="24"/>
          <w:szCs w:val="24"/>
        </w:rPr>
        <w:t>纸质版的要求</w:t>
      </w:r>
      <w:r>
        <w:rPr>
          <w:rFonts w:hint="eastAsia"/>
          <w:sz w:val="24"/>
          <w:szCs w:val="24"/>
        </w:rPr>
        <w:t>: 一式五份。</w:t>
      </w:r>
    </w:p>
    <w:p>
      <w:pPr>
        <w:pStyle w:val="27"/>
        <w:numPr>
          <w:ilvl w:val="0"/>
          <w:numId w:val="6"/>
        </w:numPr>
        <w:tabs>
          <w:tab w:val="left" w:pos="1190"/>
        </w:tabs>
        <w:spacing w:line="360" w:lineRule="auto"/>
        <w:ind w:hanging="530"/>
        <w:jc w:val="both"/>
        <w:rPr>
          <w:sz w:val="24"/>
          <w:szCs w:val="24"/>
        </w:rPr>
      </w:pPr>
      <w:r>
        <w:rPr>
          <w:rFonts w:hint="eastAsia"/>
          <w:spacing w:val="-3"/>
          <w:sz w:val="24"/>
          <w:szCs w:val="24"/>
        </w:rPr>
        <w:t>电子版的要求</w:t>
      </w:r>
      <w:r>
        <w:rPr>
          <w:rFonts w:hint="eastAsia"/>
          <w:sz w:val="24"/>
          <w:szCs w:val="24"/>
        </w:rPr>
        <w:t>: 与纸质版一致的电子版文件</w:t>
      </w:r>
    </w:p>
    <w:p>
      <w:pPr>
        <w:pStyle w:val="27"/>
        <w:numPr>
          <w:ilvl w:val="0"/>
          <w:numId w:val="6"/>
        </w:numPr>
        <w:tabs>
          <w:tab w:val="left" w:pos="1190"/>
        </w:tabs>
        <w:spacing w:line="360" w:lineRule="auto"/>
        <w:ind w:hanging="530"/>
        <w:jc w:val="both"/>
        <w:rPr>
          <w:sz w:val="24"/>
          <w:szCs w:val="24"/>
        </w:rPr>
      </w:pPr>
      <w:r>
        <w:rPr>
          <w:rFonts w:hint="eastAsia"/>
          <w:spacing w:val="-3"/>
          <w:sz w:val="24"/>
          <w:szCs w:val="24"/>
        </w:rPr>
        <w:t>其他要求。</w:t>
      </w:r>
    </w:p>
    <w:p>
      <w:pPr>
        <w:pStyle w:val="27"/>
        <w:numPr>
          <w:ilvl w:val="0"/>
          <w:numId w:val="5"/>
        </w:numPr>
        <w:tabs>
          <w:tab w:val="left" w:pos="925"/>
        </w:tabs>
        <w:spacing w:before="61" w:line="360" w:lineRule="auto"/>
        <w:ind w:hanging="265"/>
        <w:jc w:val="both"/>
        <w:rPr>
          <w:sz w:val="24"/>
          <w:szCs w:val="24"/>
        </w:rPr>
      </w:pPr>
      <w:r>
        <w:rPr>
          <w:rFonts w:hint="eastAsia"/>
          <w:spacing w:val="-3"/>
          <w:sz w:val="24"/>
          <w:szCs w:val="24"/>
        </w:rPr>
        <w:t>成果文件的其他要求</w:t>
      </w:r>
      <w:r>
        <w:rPr>
          <w:rFonts w:hint="eastAsia"/>
          <w:sz w:val="24"/>
          <w:szCs w:val="24"/>
        </w:rPr>
        <w:t>: 满足本项目监理服务要求。</w:t>
      </w:r>
    </w:p>
    <w:p>
      <w:pPr>
        <w:spacing w:line="360" w:lineRule="auto"/>
        <w:ind w:left="240"/>
        <w:jc w:val="both"/>
        <w:rPr>
          <w:sz w:val="24"/>
          <w:szCs w:val="24"/>
        </w:rPr>
      </w:pPr>
      <w:bookmarkStart w:id="38" w:name="_bookmark166"/>
      <w:bookmarkEnd w:id="38"/>
      <w:r>
        <w:rPr>
          <w:rFonts w:hint="eastAsia"/>
          <w:sz w:val="24"/>
          <w:szCs w:val="24"/>
        </w:rPr>
        <w:t>四、委托人财产清单</w:t>
      </w:r>
    </w:p>
    <w:p>
      <w:pPr>
        <w:spacing w:line="360" w:lineRule="auto"/>
        <w:ind w:left="377"/>
        <w:jc w:val="both"/>
        <w:rPr>
          <w:sz w:val="24"/>
          <w:szCs w:val="24"/>
        </w:rPr>
      </w:pPr>
      <w:bookmarkStart w:id="39" w:name="_bookmark167"/>
      <w:bookmarkEnd w:id="39"/>
      <w:r>
        <w:rPr>
          <w:rFonts w:hint="eastAsia"/>
          <w:sz w:val="24"/>
          <w:szCs w:val="24"/>
        </w:rPr>
        <w:t>（一）委托人提供的设备、设施</w:t>
      </w:r>
    </w:p>
    <w:p>
      <w:pPr>
        <w:pStyle w:val="27"/>
        <w:numPr>
          <w:ilvl w:val="0"/>
          <w:numId w:val="7"/>
        </w:numPr>
        <w:tabs>
          <w:tab w:val="left" w:pos="925"/>
        </w:tabs>
        <w:spacing w:line="360" w:lineRule="auto"/>
        <w:ind w:hanging="265"/>
        <w:jc w:val="both"/>
        <w:rPr>
          <w:sz w:val="24"/>
          <w:szCs w:val="24"/>
        </w:rPr>
      </w:pPr>
      <w:r>
        <w:rPr>
          <w:rFonts w:hint="eastAsia"/>
          <w:spacing w:val="-3"/>
          <w:sz w:val="24"/>
          <w:szCs w:val="24"/>
        </w:rPr>
        <w:t>委托人提供的办公房屋及冷暖设施</w:t>
      </w:r>
      <w:r>
        <w:rPr>
          <w:sz w:val="24"/>
          <w:szCs w:val="24"/>
        </w:rPr>
        <w:t>：</w:t>
      </w:r>
      <w:r>
        <w:rPr>
          <w:rFonts w:hint="eastAsia"/>
          <w:sz w:val="24"/>
          <w:szCs w:val="24"/>
        </w:rPr>
        <w:t>按施工现场实际情况提供办公场所；</w:t>
      </w:r>
    </w:p>
    <w:p>
      <w:pPr>
        <w:pStyle w:val="27"/>
        <w:numPr>
          <w:ilvl w:val="0"/>
          <w:numId w:val="7"/>
        </w:numPr>
        <w:tabs>
          <w:tab w:val="left" w:pos="925"/>
        </w:tabs>
        <w:spacing w:before="139" w:line="360" w:lineRule="auto"/>
        <w:ind w:hanging="265"/>
        <w:jc w:val="both"/>
        <w:rPr>
          <w:sz w:val="24"/>
          <w:szCs w:val="24"/>
        </w:rPr>
      </w:pPr>
      <w:r>
        <w:rPr>
          <w:rFonts w:hint="eastAsia"/>
          <w:spacing w:val="-3"/>
          <w:sz w:val="24"/>
          <w:szCs w:val="24"/>
        </w:rPr>
        <w:t>委托人提供的设备清单</w:t>
      </w:r>
      <w:r>
        <w:rPr>
          <w:sz w:val="24"/>
          <w:szCs w:val="24"/>
        </w:rPr>
        <w:t>：</w:t>
      </w:r>
      <w:r>
        <w:rPr>
          <w:rFonts w:hint="eastAsia"/>
          <w:sz w:val="24"/>
          <w:szCs w:val="24"/>
        </w:rPr>
        <w:t>无；</w:t>
      </w:r>
    </w:p>
    <w:p>
      <w:pPr>
        <w:pStyle w:val="27"/>
        <w:numPr>
          <w:ilvl w:val="0"/>
          <w:numId w:val="7"/>
        </w:numPr>
        <w:tabs>
          <w:tab w:val="left" w:pos="925"/>
        </w:tabs>
        <w:spacing w:before="142" w:line="360" w:lineRule="auto"/>
        <w:ind w:hanging="265"/>
        <w:jc w:val="both"/>
        <w:rPr>
          <w:sz w:val="24"/>
          <w:szCs w:val="24"/>
        </w:rPr>
      </w:pPr>
      <w:r>
        <w:rPr>
          <w:rFonts w:hint="eastAsia"/>
          <w:spacing w:val="-3"/>
          <w:sz w:val="24"/>
          <w:szCs w:val="24"/>
        </w:rPr>
        <w:t>委托人提供的设施清单</w:t>
      </w:r>
      <w:r>
        <w:rPr>
          <w:sz w:val="24"/>
          <w:szCs w:val="24"/>
        </w:rPr>
        <w:t>：</w:t>
      </w:r>
      <w:r>
        <w:rPr>
          <w:rFonts w:hint="eastAsia"/>
          <w:sz w:val="24"/>
          <w:szCs w:val="24"/>
        </w:rPr>
        <w:t>无；</w:t>
      </w:r>
    </w:p>
    <w:p>
      <w:pPr>
        <w:spacing w:before="135" w:line="360" w:lineRule="auto"/>
        <w:ind w:left="240"/>
        <w:jc w:val="both"/>
        <w:rPr>
          <w:sz w:val="24"/>
          <w:szCs w:val="24"/>
        </w:rPr>
      </w:pPr>
      <w:bookmarkStart w:id="40" w:name="_bookmark168"/>
      <w:bookmarkEnd w:id="40"/>
      <w:bookmarkStart w:id="41" w:name="_bookmark170"/>
      <w:bookmarkEnd w:id="41"/>
      <w:r>
        <w:rPr>
          <w:rFonts w:hint="eastAsia"/>
          <w:sz w:val="24"/>
          <w:szCs w:val="24"/>
        </w:rPr>
        <w:t>五、委托人提供的便利条件</w:t>
      </w:r>
    </w:p>
    <w:p>
      <w:pPr>
        <w:pStyle w:val="27"/>
        <w:numPr>
          <w:ilvl w:val="0"/>
          <w:numId w:val="8"/>
        </w:numPr>
        <w:tabs>
          <w:tab w:val="left" w:pos="925"/>
        </w:tabs>
        <w:spacing w:before="1" w:line="360" w:lineRule="auto"/>
        <w:ind w:hanging="265"/>
        <w:jc w:val="both"/>
        <w:rPr>
          <w:sz w:val="24"/>
          <w:szCs w:val="24"/>
        </w:rPr>
      </w:pPr>
      <w:r>
        <w:rPr>
          <w:rFonts w:hint="eastAsia"/>
          <w:spacing w:val="-3"/>
          <w:sz w:val="24"/>
          <w:szCs w:val="24"/>
        </w:rPr>
        <w:t>委托人提供的生活条件</w:t>
      </w:r>
      <w:r>
        <w:rPr>
          <w:sz w:val="24"/>
          <w:szCs w:val="24"/>
        </w:rPr>
        <w:t>：</w:t>
      </w:r>
      <w:r>
        <w:rPr>
          <w:rFonts w:hint="eastAsia"/>
          <w:sz w:val="24"/>
          <w:szCs w:val="24"/>
        </w:rPr>
        <w:t>无；</w:t>
      </w:r>
    </w:p>
    <w:p>
      <w:pPr>
        <w:pStyle w:val="27"/>
        <w:numPr>
          <w:ilvl w:val="0"/>
          <w:numId w:val="8"/>
        </w:numPr>
        <w:tabs>
          <w:tab w:val="left" w:pos="925"/>
        </w:tabs>
        <w:spacing w:before="138" w:line="360" w:lineRule="auto"/>
        <w:ind w:hanging="265"/>
        <w:jc w:val="both"/>
        <w:rPr>
          <w:sz w:val="24"/>
          <w:szCs w:val="24"/>
        </w:rPr>
      </w:pPr>
      <w:r>
        <w:rPr>
          <w:rFonts w:hint="eastAsia"/>
          <w:spacing w:val="-3"/>
          <w:sz w:val="24"/>
          <w:szCs w:val="24"/>
        </w:rPr>
        <w:t>委托人提供的交通条件</w:t>
      </w:r>
      <w:r>
        <w:rPr>
          <w:sz w:val="24"/>
          <w:szCs w:val="24"/>
        </w:rPr>
        <w:t>：</w:t>
      </w:r>
      <w:r>
        <w:rPr>
          <w:rFonts w:hint="eastAsia"/>
          <w:sz w:val="24"/>
          <w:szCs w:val="24"/>
        </w:rPr>
        <w:t>无；</w:t>
      </w:r>
    </w:p>
    <w:p>
      <w:pPr>
        <w:pStyle w:val="27"/>
        <w:numPr>
          <w:ilvl w:val="0"/>
          <w:numId w:val="8"/>
        </w:numPr>
        <w:tabs>
          <w:tab w:val="left" w:pos="925"/>
        </w:tabs>
        <w:spacing w:before="61" w:line="360" w:lineRule="auto"/>
        <w:ind w:hanging="265"/>
        <w:jc w:val="both"/>
        <w:rPr>
          <w:sz w:val="24"/>
          <w:szCs w:val="24"/>
        </w:rPr>
      </w:pPr>
      <w:r>
        <w:rPr>
          <w:rFonts w:hint="eastAsia"/>
          <w:spacing w:val="-3"/>
          <w:sz w:val="24"/>
          <w:szCs w:val="24"/>
        </w:rPr>
        <w:t>委托人提供的网络、通讯条件</w:t>
      </w:r>
      <w:r>
        <w:rPr>
          <w:sz w:val="24"/>
          <w:szCs w:val="24"/>
        </w:rPr>
        <w:t>：</w:t>
      </w:r>
      <w:r>
        <w:rPr>
          <w:rFonts w:hint="eastAsia"/>
          <w:sz w:val="24"/>
          <w:szCs w:val="24"/>
        </w:rPr>
        <w:t>无；</w:t>
      </w:r>
    </w:p>
    <w:p>
      <w:pPr>
        <w:pStyle w:val="27"/>
        <w:numPr>
          <w:ilvl w:val="0"/>
          <w:numId w:val="8"/>
        </w:numPr>
        <w:tabs>
          <w:tab w:val="left" w:pos="925"/>
        </w:tabs>
        <w:spacing w:before="139" w:line="360" w:lineRule="auto"/>
        <w:ind w:hanging="265"/>
        <w:jc w:val="both"/>
        <w:rPr>
          <w:sz w:val="24"/>
          <w:szCs w:val="24"/>
        </w:rPr>
      </w:pPr>
      <w:r>
        <w:rPr>
          <w:rFonts w:hint="eastAsia"/>
          <w:spacing w:val="-3"/>
          <w:sz w:val="24"/>
          <w:szCs w:val="24"/>
        </w:rPr>
        <w:t>委托人提供的协助人员</w:t>
      </w:r>
      <w:r>
        <w:rPr>
          <w:sz w:val="24"/>
          <w:szCs w:val="24"/>
        </w:rPr>
        <w:t>：</w:t>
      </w:r>
      <w:r>
        <w:rPr>
          <w:rFonts w:hint="eastAsia"/>
          <w:sz w:val="24"/>
          <w:szCs w:val="24"/>
        </w:rPr>
        <w:t>无；</w:t>
      </w:r>
    </w:p>
    <w:p>
      <w:pPr>
        <w:spacing w:before="134" w:line="360" w:lineRule="auto"/>
        <w:ind w:left="240"/>
        <w:jc w:val="both"/>
        <w:rPr>
          <w:sz w:val="24"/>
          <w:szCs w:val="24"/>
        </w:rPr>
      </w:pPr>
      <w:bookmarkStart w:id="42" w:name="_bookmark171"/>
      <w:bookmarkEnd w:id="42"/>
      <w:r>
        <w:rPr>
          <w:rFonts w:hint="eastAsia"/>
          <w:sz w:val="24"/>
          <w:szCs w:val="24"/>
        </w:rPr>
        <w:t>六、监理人需要自备的工作条件</w:t>
      </w:r>
    </w:p>
    <w:p>
      <w:pPr>
        <w:pStyle w:val="27"/>
        <w:numPr>
          <w:ilvl w:val="0"/>
          <w:numId w:val="9"/>
        </w:numPr>
        <w:tabs>
          <w:tab w:val="left" w:pos="925"/>
        </w:tabs>
        <w:spacing w:line="360" w:lineRule="auto"/>
        <w:ind w:hanging="265"/>
        <w:jc w:val="both"/>
        <w:rPr>
          <w:sz w:val="24"/>
          <w:szCs w:val="24"/>
        </w:rPr>
      </w:pPr>
      <w:r>
        <w:rPr>
          <w:rFonts w:hint="eastAsia"/>
          <w:spacing w:val="-3"/>
          <w:sz w:val="24"/>
          <w:szCs w:val="24"/>
        </w:rPr>
        <w:t>监理人自备的工作手册：</w:t>
      </w:r>
      <w:r>
        <w:rPr>
          <w:rFonts w:hint="eastAsia"/>
          <w:sz w:val="24"/>
          <w:szCs w:val="24"/>
        </w:rPr>
        <w:t>本项目必备的规范标准、图集等。</w:t>
      </w:r>
    </w:p>
    <w:p>
      <w:pPr>
        <w:pStyle w:val="27"/>
        <w:numPr>
          <w:ilvl w:val="0"/>
          <w:numId w:val="9"/>
        </w:numPr>
        <w:tabs>
          <w:tab w:val="left" w:pos="925"/>
        </w:tabs>
        <w:spacing w:before="142" w:line="360" w:lineRule="auto"/>
        <w:ind w:hanging="265"/>
        <w:jc w:val="both"/>
        <w:rPr>
          <w:sz w:val="24"/>
          <w:szCs w:val="24"/>
        </w:rPr>
      </w:pPr>
      <w:r>
        <w:rPr>
          <w:rFonts w:hint="eastAsia"/>
          <w:spacing w:val="-3"/>
          <w:sz w:val="24"/>
          <w:szCs w:val="24"/>
        </w:rPr>
        <w:t>监理人自备的办公设备：</w:t>
      </w:r>
      <w:r>
        <w:rPr>
          <w:rFonts w:hint="eastAsia"/>
          <w:sz w:val="24"/>
          <w:szCs w:val="24"/>
        </w:rPr>
        <w:t>电脑、软件、投影、打印机、复印机、照相机等。</w:t>
      </w:r>
    </w:p>
    <w:p>
      <w:pPr>
        <w:pStyle w:val="27"/>
        <w:numPr>
          <w:ilvl w:val="0"/>
          <w:numId w:val="9"/>
        </w:numPr>
        <w:tabs>
          <w:tab w:val="left" w:pos="925"/>
        </w:tabs>
        <w:spacing w:before="139" w:line="360" w:lineRule="auto"/>
        <w:ind w:hanging="265"/>
        <w:jc w:val="both"/>
        <w:rPr>
          <w:sz w:val="24"/>
          <w:szCs w:val="24"/>
        </w:rPr>
      </w:pPr>
      <w:r>
        <w:rPr>
          <w:rFonts w:hint="eastAsia"/>
          <w:spacing w:val="-3"/>
          <w:sz w:val="24"/>
          <w:szCs w:val="24"/>
        </w:rPr>
        <w:t>监理人自备的交通工具：</w:t>
      </w:r>
      <w:r>
        <w:rPr>
          <w:rFonts w:hint="eastAsia"/>
          <w:sz w:val="24"/>
          <w:szCs w:val="24"/>
        </w:rPr>
        <w:t>出行车辆等。</w:t>
      </w:r>
    </w:p>
    <w:p>
      <w:pPr>
        <w:pStyle w:val="27"/>
        <w:numPr>
          <w:ilvl w:val="0"/>
          <w:numId w:val="9"/>
        </w:numPr>
        <w:tabs>
          <w:tab w:val="left" w:pos="925"/>
        </w:tabs>
        <w:spacing w:before="139" w:line="360" w:lineRule="auto"/>
        <w:ind w:hanging="265"/>
        <w:jc w:val="both"/>
        <w:rPr>
          <w:sz w:val="24"/>
          <w:szCs w:val="24"/>
        </w:rPr>
      </w:pPr>
      <w:r>
        <w:rPr>
          <w:rFonts w:hint="eastAsia"/>
          <w:spacing w:val="-3"/>
          <w:sz w:val="24"/>
          <w:szCs w:val="24"/>
        </w:rPr>
        <w:t>监理人自备的现场办公设施：</w:t>
      </w:r>
      <w:r>
        <w:rPr>
          <w:rFonts w:hint="eastAsia"/>
          <w:sz w:val="24"/>
          <w:szCs w:val="24"/>
        </w:rPr>
        <w:t>与本项目监理人员规模相匹配的办公用房、办公桌椅、文件柜等。</w:t>
      </w:r>
    </w:p>
    <w:p>
      <w:pPr>
        <w:pStyle w:val="27"/>
        <w:numPr>
          <w:ilvl w:val="0"/>
          <w:numId w:val="9"/>
        </w:numPr>
        <w:tabs>
          <w:tab w:val="left" w:pos="925"/>
        </w:tabs>
        <w:spacing w:before="139" w:line="360" w:lineRule="auto"/>
        <w:ind w:hanging="265"/>
        <w:jc w:val="both"/>
        <w:rPr>
          <w:sz w:val="24"/>
          <w:szCs w:val="24"/>
        </w:rPr>
      </w:pPr>
      <w:r>
        <w:rPr>
          <w:rFonts w:hint="eastAsia"/>
          <w:spacing w:val="-3"/>
          <w:sz w:val="24"/>
          <w:szCs w:val="24"/>
        </w:rPr>
        <w:t>监理人自备的安全设施：</w:t>
      </w:r>
      <w:r>
        <w:rPr>
          <w:rFonts w:hint="eastAsia"/>
          <w:sz w:val="24"/>
          <w:szCs w:val="24"/>
        </w:rPr>
        <w:t>安全帽、安全鞋、手电筒等。</w:t>
      </w:r>
    </w:p>
    <w:p>
      <w:pPr>
        <w:pStyle w:val="27"/>
        <w:numPr>
          <w:ilvl w:val="0"/>
          <w:numId w:val="9"/>
        </w:numPr>
        <w:tabs>
          <w:tab w:val="left" w:pos="925"/>
        </w:tabs>
        <w:spacing w:before="139" w:line="360" w:lineRule="auto"/>
        <w:ind w:hanging="265"/>
        <w:jc w:val="both"/>
        <w:rPr>
          <w:sz w:val="24"/>
          <w:szCs w:val="24"/>
        </w:rPr>
      </w:pPr>
      <w:r>
        <w:rPr>
          <w:rFonts w:hint="eastAsia"/>
          <w:spacing w:val="-3"/>
          <w:sz w:val="24"/>
          <w:szCs w:val="24"/>
        </w:rPr>
        <w:t>监理人自备的试验检测仪器、设备、工具</w:t>
      </w:r>
      <w:r>
        <w:rPr>
          <w:rFonts w:hint="eastAsia"/>
          <w:sz w:val="24"/>
          <w:szCs w:val="24"/>
        </w:rPr>
        <w:t>：满足本项目监理服务要求。</w:t>
      </w:r>
    </w:p>
    <w:p>
      <w:pPr>
        <w:pStyle w:val="27"/>
        <w:numPr>
          <w:ilvl w:val="0"/>
          <w:numId w:val="9"/>
        </w:numPr>
        <w:tabs>
          <w:tab w:val="left" w:pos="925"/>
        </w:tabs>
        <w:spacing w:before="141" w:line="360" w:lineRule="auto"/>
        <w:ind w:hanging="265"/>
        <w:jc w:val="both"/>
        <w:rPr>
          <w:sz w:val="24"/>
          <w:szCs w:val="24"/>
        </w:rPr>
      </w:pPr>
      <w:r>
        <w:rPr>
          <w:rFonts w:hint="eastAsia"/>
          <w:spacing w:val="-3"/>
          <w:sz w:val="24"/>
          <w:szCs w:val="24"/>
        </w:rPr>
        <w:t>监理人自备的试验用房、样品用房</w:t>
      </w:r>
      <w:r>
        <w:rPr>
          <w:rFonts w:hint="eastAsia"/>
          <w:sz w:val="24"/>
          <w:szCs w:val="24"/>
        </w:rPr>
        <w:t>：监理人根据现场实际情况自行准备。</w:t>
      </w:r>
    </w:p>
    <w:p>
      <w:pPr>
        <w:spacing w:line="360" w:lineRule="auto"/>
        <w:rPr>
          <w:bCs/>
          <w:sz w:val="24"/>
          <w:szCs w:val="24"/>
        </w:rPr>
      </w:pPr>
      <w:bookmarkStart w:id="43" w:name="_bookmark172"/>
      <w:bookmarkEnd w:id="43"/>
      <w:r>
        <w:rPr>
          <w:rFonts w:hint="eastAsia"/>
          <w:sz w:val="24"/>
          <w:szCs w:val="24"/>
        </w:rPr>
        <w:t>七、</w:t>
      </w:r>
      <w:r>
        <w:rPr>
          <w:rFonts w:hint="eastAsia"/>
          <w:bCs/>
          <w:sz w:val="24"/>
          <w:szCs w:val="24"/>
        </w:rPr>
        <w:t>监理管理人员要求</w:t>
      </w:r>
    </w:p>
    <w:p>
      <w:pPr>
        <w:adjustRightInd w:val="0"/>
        <w:snapToGrid w:val="0"/>
        <w:spacing w:line="360" w:lineRule="auto"/>
        <w:jc w:val="center"/>
        <w:rPr>
          <w:b/>
          <w:bCs/>
          <w:sz w:val="24"/>
        </w:rPr>
      </w:pPr>
      <w:r>
        <w:rPr>
          <w:rFonts w:hint="eastAsia"/>
          <w:b/>
          <w:bCs/>
          <w:sz w:val="24"/>
        </w:rPr>
        <w:t>项目监理人员基本配备要求表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723"/>
        <w:gridCol w:w="1134"/>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kern w:val="44"/>
                <w:szCs w:val="21"/>
              </w:rPr>
            </w:pPr>
            <w:r>
              <w:rPr>
                <w:rFonts w:hint="eastAsia"/>
                <w:b/>
                <w:bCs/>
                <w:kern w:val="44"/>
                <w:szCs w:val="21"/>
              </w:rPr>
              <w:t>序号</w:t>
            </w:r>
          </w:p>
        </w:tc>
        <w:tc>
          <w:tcPr>
            <w:tcW w:w="2723" w:type="dxa"/>
            <w:tcBorders>
              <w:top w:val="single" w:color="auto" w:sz="4" w:space="0"/>
              <w:left w:val="nil"/>
              <w:bottom w:val="single" w:color="auto" w:sz="4" w:space="0"/>
              <w:right w:val="single" w:color="auto" w:sz="4" w:space="0"/>
            </w:tcBorders>
            <w:vAlign w:val="center"/>
          </w:tcPr>
          <w:p>
            <w:pPr>
              <w:adjustRightInd w:val="0"/>
              <w:snapToGrid w:val="0"/>
              <w:jc w:val="center"/>
              <w:rPr>
                <w:kern w:val="44"/>
                <w:szCs w:val="21"/>
              </w:rPr>
            </w:pPr>
            <w:r>
              <w:rPr>
                <w:rFonts w:hint="eastAsia"/>
                <w:b/>
                <w:bCs/>
                <w:kern w:val="44"/>
                <w:szCs w:val="21"/>
              </w:rPr>
              <w:t>专业类别</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rPr>
                <w:kern w:val="44"/>
                <w:szCs w:val="21"/>
              </w:rPr>
            </w:pPr>
            <w:r>
              <w:rPr>
                <w:rFonts w:hint="eastAsia"/>
                <w:b/>
                <w:bCs/>
                <w:kern w:val="44"/>
                <w:szCs w:val="21"/>
              </w:rPr>
              <w:t>数量</w:t>
            </w:r>
          </w:p>
        </w:tc>
        <w:tc>
          <w:tcPr>
            <w:tcW w:w="4962" w:type="dxa"/>
            <w:tcBorders>
              <w:top w:val="single" w:color="auto" w:sz="4" w:space="0"/>
              <w:left w:val="nil"/>
              <w:bottom w:val="single" w:color="auto" w:sz="4" w:space="0"/>
              <w:right w:val="single" w:color="auto" w:sz="4" w:space="0"/>
            </w:tcBorders>
            <w:vAlign w:val="center"/>
          </w:tcPr>
          <w:p>
            <w:pPr>
              <w:adjustRightInd w:val="0"/>
              <w:snapToGrid w:val="0"/>
              <w:jc w:val="center"/>
              <w:rPr>
                <w:kern w:val="44"/>
                <w:szCs w:val="21"/>
              </w:rPr>
            </w:pPr>
            <w:r>
              <w:rPr>
                <w:rFonts w:hint="eastAsia"/>
                <w:b/>
                <w:bCs/>
                <w:kern w:val="44"/>
                <w:szCs w:val="21"/>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378" w:leftChars="-172" w:firstLine="440" w:firstLineChars="200"/>
              <w:jc w:val="center"/>
              <w:rPr>
                <w:szCs w:val="21"/>
              </w:rPr>
            </w:pPr>
            <w:r>
              <w:rPr>
                <w:szCs w:val="21"/>
              </w:rPr>
              <w:t>1</w:t>
            </w:r>
          </w:p>
        </w:tc>
        <w:tc>
          <w:tcPr>
            <w:tcW w:w="2723" w:type="dxa"/>
            <w:tcBorders>
              <w:top w:val="single" w:color="auto" w:sz="4" w:space="0"/>
              <w:left w:val="nil"/>
              <w:bottom w:val="single" w:color="auto" w:sz="4" w:space="0"/>
              <w:right w:val="single" w:color="auto" w:sz="4" w:space="0"/>
            </w:tcBorders>
            <w:vAlign w:val="center"/>
          </w:tcPr>
          <w:p>
            <w:pPr>
              <w:widowControl/>
              <w:adjustRightInd w:val="0"/>
              <w:snapToGrid w:val="0"/>
              <w:rPr>
                <w:szCs w:val="21"/>
              </w:rPr>
            </w:pPr>
            <w:r>
              <w:rPr>
                <w:rFonts w:hint="eastAsia"/>
                <w:szCs w:val="21"/>
              </w:rPr>
              <w:t>总监理工程师</w:t>
            </w: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ind w:left="-378" w:leftChars="-172" w:firstLine="440" w:firstLineChars="200"/>
              <w:jc w:val="center"/>
              <w:rPr>
                <w:szCs w:val="21"/>
              </w:rPr>
            </w:pPr>
            <w:r>
              <w:rPr>
                <w:rFonts w:hint="eastAsia"/>
                <w:szCs w:val="21"/>
              </w:rPr>
              <w:t>1</w:t>
            </w:r>
          </w:p>
        </w:tc>
        <w:tc>
          <w:tcPr>
            <w:tcW w:w="496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kern w:val="44"/>
                <w:szCs w:val="21"/>
              </w:rPr>
            </w:pPr>
            <w:r>
              <w:rPr>
                <w:rFonts w:hint="eastAsia"/>
                <w:szCs w:val="21"/>
              </w:rPr>
              <w:t>与招标公告一致。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220" w:firstLineChars="100"/>
              <w:rPr>
                <w:szCs w:val="21"/>
              </w:rPr>
            </w:pPr>
            <w:r>
              <w:rPr>
                <w:rFonts w:hint="eastAsia"/>
                <w:szCs w:val="21"/>
              </w:rPr>
              <w:t>2</w:t>
            </w:r>
          </w:p>
        </w:tc>
        <w:tc>
          <w:tcPr>
            <w:tcW w:w="2723" w:type="dxa"/>
            <w:tcBorders>
              <w:top w:val="single" w:color="auto" w:sz="4" w:space="0"/>
              <w:left w:val="nil"/>
              <w:bottom w:val="single" w:color="auto" w:sz="4" w:space="0"/>
              <w:right w:val="single" w:color="auto" w:sz="4" w:space="0"/>
            </w:tcBorders>
            <w:vAlign w:val="center"/>
          </w:tcPr>
          <w:p>
            <w:pPr>
              <w:widowControl/>
              <w:adjustRightInd w:val="0"/>
              <w:snapToGrid w:val="0"/>
              <w:rPr>
                <w:szCs w:val="21"/>
              </w:rPr>
            </w:pPr>
            <w:r>
              <w:rPr>
                <w:rFonts w:hint="eastAsia"/>
                <w:szCs w:val="21"/>
              </w:rPr>
              <w:t>房屋建筑专业监理工程师</w:t>
            </w: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szCs w:val="21"/>
              </w:rPr>
            </w:pPr>
            <w:r>
              <w:rPr>
                <w:rFonts w:hint="eastAsia"/>
                <w:szCs w:val="21"/>
              </w:rPr>
              <w:t>1</w:t>
            </w:r>
          </w:p>
        </w:tc>
        <w:tc>
          <w:tcPr>
            <w:tcW w:w="4962" w:type="dxa"/>
            <w:tcBorders>
              <w:top w:val="single" w:color="auto" w:sz="4" w:space="0"/>
              <w:left w:val="nil"/>
              <w:bottom w:val="single" w:color="auto" w:sz="4" w:space="0"/>
              <w:right w:val="single" w:color="auto" w:sz="4" w:space="0"/>
            </w:tcBorders>
            <w:vAlign w:val="center"/>
          </w:tcPr>
          <w:p>
            <w:pPr>
              <w:widowControl/>
              <w:adjustRightInd w:val="0"/>
              <w:snapToGrid w:val="0"/>
              <w:rPr>
                <w:szCs w:val="21"/>
              </w:rPr>
            </w:pPr>
            <w:r>
              <w:rPr>
                <w:rFonts w:hint="eastAsia"/>
                <w:szCs w:val="21"/>
              </w:rPr>
              <w:t>具有工程类相关专业中级或以上技术职称。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44"/>
                <w:szCs w:val="21"/>
              </w:rPr>
            </w:pPr>
            <w:r>
              <w:rPr>
                <w:rFonts w:hint="eastAsia"/>
                <w:kern w:val="44"/>
                <w:szCs w:val="21"/>
              </w:rPr>
              <w:t>3</w:t>
            </w:r>
          </w:p>
        </w:tc>
        <w:tc>
          <w:tcPr>
            <w:tcW w:w="2723" w:type="dxa"/>
            <w:tcBorders>
              <w:top w:val="nil"/>
              <w:left w:val="nil"/>
              <w:bottom w:val="single" w:color="auto" w:sz="4" w:space="0"/>
              <w:right w:val="single" w:color="auto" w:sz="4" w:space="0"/>
            </w:tcBorders>
            <w:vAlign w:val="center"/>
          </w:tcPr>
          <w:p>
            <w:pPr>
              <w:adjustRightInd w:val="0"/>
              <w:snapToGrid w:val="0"/>
              <w:rPr>
                <w:kern w:val="44"/>
                <w:szCs w:val="21"/>
              </w:rPr>
            </w:pPr>
            <w:r>
              <w:rPr>
                <w:rFonts w:hint="eastAsia"/>
                <w:kern w:val="44"/>
                <w:szCs w:val="21"/>
              </w:rPr>
              <w:t>机电专业工程师</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rPr>
                <w:strike/>
                <w:kern w:val="44"/>
                <w:szCs w:val="21"/>
              </w:rPr>
            </w:pPr>
            <w:r>
              <w:rPr>
                <w:rFonts w:hint="eastAsia"/>
                <w:kern w:val="44"/>
                <w:szCs w:val="21"/>
                <w:lang w:val="en-US"/>
              </w:rPr>
              <w:t>2</w:t>
            </w:r>
          </w:p>
        </w:tc>
        <w:tc>
          <w:tcPr>
            <w:tcW w:w="4962" w:type="dxa"/>
            <w:tcBorders>
              <w:top w:val="single" w:color="auto" w:sz="4" w:space="0"/>
              <w:left w:val="nil"/>
              <w:bottom w:val="single" w:color="auto" w:sz="4" w:space="0"/>
              <w:right w:val="single" w:color="auto" w:sz="4" w:space="0"/>
            </w:tcBorders>
            <w:vAlign w:val="center"/>
          </w:tcPr>
          <w:p>
            <w:pPr>
              <w:adjustRightInd w:val="0"/>
              <w:snapToGrid w:val="0"/>
              <w:rPr>
                <w:kern w:val="44"/>
                <w:szCs w:val="21"/>
              </w:rPr>
            </w:pPr>
            <w:r>
              <w:rPr>
                <w:rFonts w:hint="eastAsia"/>
                <w:szCs w:val="21"/>
              </w:rPr>
              <w:t>具有工程类相关专业中级或以上技术职称。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44"/>
                <w:szCs w:val="21"/>
              </w:rPr>
            </w:pPr>
            <w:r>
              <w:rPr>
                <w:rFonts w:hint="eastAsia"/>
                <w:kern w:val="44"/>
                <w:szCs w:val="21"/>
              </w:rPr>
              <w:t>4</w:t>
            </w:r>
          </w:p>
        </w:tc>
        <w:tc>
          <w:tcPr>
            <w:tcW w:w="2723" w:type="dxa"/>
            <w:tcBorders>
              <w:top w:val="single" w:color="auto" w:sz="4" w:space="0"/>
              <w:left w:val="nil"/>
              <w:bottom w:val="single" w:color="auto" w:sz="4" w:space="0"/>
              <w:right w:val="single" w:color="auto" w:sz="4" w:space="0"/>
            </w:tcBorders>
            <w:vAlign w:val="center"/>
          </w:tcPr>
          <w:p>
            <w:pPr>
              <w:adjustRightInd w:val="0"/>
              <w:snapToGrid w:val="0"/>
              <w:rPr>
                <w:kern w:val="44"/>
                <w:szCs w:val="21"/>
              </w:rPr>
            </w:pPr>
            <w:r>
              <w:rPr>
                <w:rFonts w:hint="eastAsia"/>
                <w:kern w:val="44"/>
                <w:szCs w:val="21"/>
              </w:rPr>
              <w:t>给排水专业工程师</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rPr>
                <w:kern w:val="44"/>
                <w:szCs w:val="21"/>
              </w:rPr>
            </w:pPr>
            <w:r>
              <w:rPr>
                <w:rFonts w:hint="eastAsia"/>
                <w:kern w:val="44"/>
                <w:szCs w:val="21"/>
              </w:rPr>
              <w:t>1</w:t>
            </w:r>
          </w:p>
        </w:tc>
        <w:tc>
          <w:tcPr>
            <w:tcW w:w="4962" w:type="dxa"/>
            <w:tcBorders>
              <w:top w:val="single" w:color="auto" w:sz="4" w:space="0"/>
              <w:left w:val="nil"/>
              <w:bottom w:val="single" w:color="auto" w:sz="4" w:space="0"/>
              <w:right w:val="single" w:color="auto" w:sz="4" w:space="0"/>
            </w:tcBorders>
            <w:vAlign w:val="center"/>
          </w:tcPr>
          <w:p>
            <w:pPr>
              <w:adjustRightInd w:val="0"/>
              <w:snapToGrid w:val="0"/>
              <w:rPr>
                <w:kern w:val="44"/>
                <w:szCs w:val="21"/>
              </w:rPr>
            </w:pPr>
            <w:r>
              <w:rPr>
                <w:rFonts w:hint="eastAsia"/>
                <w:szCs w:val="21"/>
              </w:rPr>
              <w:t>具有工程类相关专业中级或以上技术职称。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44"/>
                <w:szCs w:val="21"/>
                <w:lang w:val="en-US"/>
              </w:rPr>
            </w:pPr>
            <w:r>
              <w:rPr>
                <w:rFonts w:hint="eastAsia"/>
                <w:kern w:val="44"/>
                <w:szCs w:val="21"/>
                <w:lang w:val="en-US"/>
              </w:rPr>
              <w:t>5</w:t>
            </w:r>
          </w:p>
        </w:tc>
        <w:tc>
          <w:tcPr>
            <w:tcW w:w="2723" w:type="dxa"/>
            <w:tcBorders>
              <w:top w:val="single" w:color="auto" w:sz="4" w:space="0"/>
              <w:left w:val="nil"/>
              <w:bottom w:val="single" w:color="auto" w:sz="4" w:space="0"/>
              <w:right w:val="single" w:color="auto" w:sz="4" w:space="0"/>
            </w:tcBorders>
            <w:vAlign w:val="center"/>
          </w:tcPr>
          <w:p>
            <w:pPr>
              <w:adjustRightInd w:val="0"/>
              <w:snapToGrid w:val="0"/>
              <w:rPr>
                <w:kern w:val="44"/>
                <w:szCs w:val="21"/>
                <w:lang w:val="en-US"/>
              </w:rPr>
            </w:pPr>
            <w:r>
              <w:rPr>
                <w:rFonts w:hint="eastAsia"/>
                <w:kern w:val="44"/>
                <w:szCs w:val="21"/>
                <w:lang w:val="en-US"/>
              </w:rPr>
              <w:t>安全专业监理工程师</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rPr>
                <w:kern w:val="44"/>
                <w:szCs w:val="21"/>
                <w:lang w:val="en-US"/>
              </w:rPr>
            </w:pPr>
            <w:r>
              <w:rPr>
                <w:rFonts w:hint="eastAsia"/>
                <w:kern w:val="44"/>
                <w:szCs w:val="21"/>
                <w:lang w:val="en-US"/>
              </w:rPr>
              <w:t>1</w:t>
            </w:r>
          </w:p>
        </w:tc>
        <w:tc>
          <w:tcPr>
            <w:tcW w:w="4962" w:type="dxa"/>
            <w:tcBorders>
              <w:top w:val="single" w:color="auto" w:sz="4" w:space="0"/>
              <w:left w:val="nil"/>
              <w:bottom w:val="single" w:color="auto" w:sz="4" w:space="0"/>
              <w:right w:val="single" w:color="auto" w:sz="4" w:space="0"/>
            </w:tcBorders>
            <w:vAlign w:val="center"/>
          </w:tcPr>
          <w:p>
            <w:pPr>
              <w:adjustRightInd w:val="0"/>
              <w:snapToGrid w:val="0"/>
              <w:rPr>
                <w:szCs w:val="21"/>
              </w:rPr>
            </w:pPr>
            <w:r>
              <w:rPr>
                <w:rFonts w:hint="eastAsia"/>
                <w:szCs w:val="21"/>
              </w:rPr>
              <w:t>具有中级或以上技术职称，具备安全培训证书或上岗证。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44"/>
                <w:szCs w:val="21"/>
                <w:lang w:val="en-US"/>
              </w:rPr>
            </w:pPr>
            <w:r>
              <w:rPr>
                <w:rFonts w:hint="eastAsia"/>
                <w:kern w:val="44"/>
                <w:szCs w:val="21"/>
                <w:lang w:val="en-US"/>
              </w:rPr>
              <w:t>6</w:t>
            </w:r>
          </w:p>
        </w:tc>
        <w:tc>
          <w:tcPr>
            <w:tcW w:w="2723" w:type="dxa"/>
            <w:tcBorders>
              <w:top w:val="single" w:color="auto" w:sz="4" w:space="0"/>
              <w:left w:val="nil"/>
              <w:bottom w:val="single" w:color="auto" w:sz="4" w:space="0"/>
              <w:right w:val="single" w:color="auto" w:sz="4" w:space="0"/>
            </w:tcBorders>
            <w:vAlign w:val="center"/>
          </w:tcPr>
          <w:p>
            <w:pPr>
              <w:adjustRightInd w:val="0"/>
              <w:snapToGrid w:val="0"/>
              <w:rPr>
                <w:kern w:val="44"/>
                <w:szCs w:val="21"/>
              </w:rPr>
            </w:pPr>
            <w:r>
              <w:rPr>
                <w:rFonts w:hint="eastAsia"/>
                <w:kern w:val="44"/>
                <w:szCs w:val="21"/>
              </w:rPr>
              <w:t>造价专业监理工程师</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rPr>
                <w:kern w:val="44"/>
                <w:szCs w:val="21"/>
                <w:lang w:val="en-US"/>
              </w:rPr>
            </w:pPr>
            <w:r>
              <w:rPr>
                <w:rFonts w:hint="eastAsia"/>
                <w:kern w:val="44"/>
                <w:szCs w:val="21"/>
                <w:lang w:val="en-US"/>
              </w:rPr>
              <w:t>1</w:t>
            </w:r>
          </w:p>
        </w:tc>
        <w:tc>
          <w:tcPr>
            <w:tcW w:w="4962" w:type="dxa"/>
            <w:tcBorders>
              <w:top w:val="single" w:color="auto" w:sz="4" w:space="0"/>
              <w:left w:val="nil"/>
              <w:bottom w:val="single" w:color="auto" w:sz="4" w:space="0"/>
              <w:right w:val="single" w:color="auto" w:sz="4" w:space="0"/>
            </w:tcBorders>
            <w:vAlign w:val="center"/>
          </w:tcPr>
          <w:p>
            <w:pPr>
              <w:adjustRightInd w:val="0"/>
              <w:snapToGrid w:val="0"/>
              <w:rPr>
                <w:szCs w:val="21"/>
              </w:rPr>
            </w:pPr>
            <w:r>
              <w:rPr>
                <w:rFonts w:hint="eastAsia"/>
                <w:szCs w:val="21"/>
              </w:rPr>
              <w:t>具备注册造价师（或注册一级造价工程师）资格。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44"/>
                <w:szCs w:val="21"/>
                <w:lang w:val="en-US"/>
              </w:rPr>
            </w:pPr>
            <w:r>
              <w:rPr>
                <w:rFonts w:hint="eastAsia"/>
                <w:kern w:val="44"/>
                <w:szCs w:val="21"/>
                <w:lang w:val="en-US"/>
              </w:rPr>
              <w:t>7</w:t>
            </w:r>
          </w:p>
        </w:tc>
        <w:tc>
          <w:tcPr>
            <w:tcW w:w="2723" w:type="dxa"/>
            <w:tcBorders>
              <w:top w:val="single" w:color="auto" w:sz="4" w:space="0"/>
              <w:left w:val="nil"/>
              <w:bottom w:val="single" w:color="auto" w:sz="4" w:space="0"/>
              <w:right w:val="single" w:color="auto" w:sz="4" w:space="0"/>
            </w:tcBorders>
            <w:vAlign w:val="center"/>
          </w:tcPr>
          <w:p>
            <w:pPr>
              <w:adjustRightInd w:val="0"/>
              <w:snapToGrid w:val="0"/>
              <w:rPr>
                <w:kern w:val="44"/>
                <w:szCs w:val="21"/>
              </w:rPr>
            </w:pPr>
            <w:r>
              <w:rPr>
                <w:rFonts w:hint="eastAsia"/>
                <w:kern w:val="44"/>
                <w:szCs w:val="21"/>
              </w:rPr>
              <w:t>监理员</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rPr>
                <w:kern w:val="44"/>
                <w:szCs w:val="21"/>
                <w:lang w:val="en-US"/>
              </w:rPr>
            </w:pPr>
            <w:r>
              <w:rPr>
                <w:rFonts w:hint="eastAsia"/>
                <w:kern w:val="44"/>
                <w:szCs w:val="21"/>
                <w:lang w:val="en-US"/>
              </w:rPr>
              <w:t>1</w:t>
            </w:r>
          </w:p>
        </w:tc>
        <w:tc>
          <w:tcPr>
            <w:tcW w:w="4962" w:type="dxa"/>
            <w:tcBorders>
              <w:top w:val="single" w:color="auto" w:sz="4" w:space="0"/>
              <w:left w:val="nil"/>
              <w:bottom w:val="single" w:color="auto" w:sz="4" w:space="0"/>
              <w:right w:val="single" w:color="auto" w:sz="4" w:space="0"/>
            </w:tcBorders>
            <w:vAlign w:val="center"/>
          </w:tcPr>
          <w:p>
            <w:pPr>
              <w:adjustRightInd w:val="0"/>
              <w:snapToGrid w:val="0"/>
              <w:rPr>
                <w:szCs w:val="21"/>
              </w:rPr>
            </w:pPr>
            <w:r>
              <w:rPr>
                <w:rFonts w:hint="eastAsia"/>
                <w:szCs w:val="21"/>
              </w:rPr>
              <w:t>具有房屋建筑、机电类相关专业初级或以上技术职称或上岗证。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44"/>
                <w:szCs w:val="21"/>
              </w:rPr>
            </w:pPr>
            <w:r>
              <w:rPr>
                <w:rFonts w:hint="eastAsia"/>
                <w:kern w:val="44"/>
                <w:szCs w:val="21"/>
              </w:rPr>
              <w:t>合计</w:t>
            </w:r>
          </w:p>
        </w:tc>
        <w:tc>
          <w:tcPr>
            <w:tcW w:w="1134" w:type="dxa"/>
            <w:tcBorders>
              <w:top w:val="single" w:color="auto" w:sz="4" w:space="0"/>
              <w:left w:val="nil"/>
              <w:bottom w:val="single" w:color="auto" w:sz="4" w:space="0"/>
              <w:right w:val="single" w:color="auto" w:sz="4" w:space="0"/>
            </w:tcBorders>
            <w:vAlign w:val="center"/>
          </w:tcPr>
          <w:p>
            <w:pPr>
              <w:adjustRightInd w:val="0"/>
              <w:snapToGrid w:val="0"/>
              <w:jc w:val="center"/>
              <w:rPr>
                <w:kern w:val="44"/>
                <w:szCs w:val="21"/>
              </w:rPr>
            </w:pPr>
            <w:r>
              <w:rPr>
                <w:rFonts w:hint="eastAsia"/>
                <w:kern w:val="44"/>
                <w:szCs w:val="21"/>
                <w:lang w:val="en-US"/>
              </w:rPr>
              <w:t>8</w:t>
            </w:r>
          </w:p>
        </w:tc>
        <w:tc>
          <w:tcPr>
            <w:tcW w:w="4962" w:type="dxa"/>
            <w:tcBorders>
              <w:top w:val="single" w:color="auto" w:sz="4" w:space="0"/>
              <w:left w:val="nil"/>
              <w:bottom w:val="single" w:color="auto" w:sz="4" w:space="0"/>
              <w:right w:val="single" w:color="auto" w:sz="4" w:space="0"/>
            </w:tcBorders>
            <w:vAlign w:val="center"/>
          </w:tcPr>
          <w:p>
            <w:pPr>
              <w:adjustRightInd w:val="0"/>
              <w:snapToGrid w:val="0"/>
              <w:rPr>
                <w:szCs w:val="21"/>
              </w:rPr>
            </w:pPr>
            <w:r>
              <w:rPr>
                <w:rFonts w:hint="eastAsia"/>
                <w:szCs w:val="21"/>
              </w:rPr>
              <w:t>/</w:t>
            </w:r>
          </w:p>
        </w:tc>
      </w:tr>
    </w:tbl>
    <w:p>
      <w:pPr>
        <w:pStyle w:val="33"/>
        <w:ind w:left="130" w:leftChars="59" w:firstLine="428"/>
        <w:rPr>
          <w:rFonts w:ascii="宋体" w:hAnsi="宋体"/>
          <w:sz w:val="21"/>
          <w:szCs w:val="21"/>
          <w:u w:val="single"/>
        </w:rPr>
      </w:pPr>
      <w:r>
        <w:rPr>
          <w:rFonts w:hint="eastAsia" w:ascii="宋体" w:hAnsi="宋体"/>
          <w:sz w:val="21"/>
          <w:szCs w:val="21"/>
          <w:u w:val="single"/>
        </w:rPr>
        <w:t>备注：以上人员的专业以专业监理工程师证书或注册监理工程师注册执业证书或毕业证或职称证上所列的相关专业为准，应按《项目监理人员组成配备要求表》中基本要求提供毕业证、社保证明资料（投标截至时间前三个月的）、职称证或注册证等相关证明资料。</w:t>
      </w:r>
    </w:p>
    <w:p>
      <w:pPr>
        <w:spacing w:before="134" w:line="360" w:lineRule="auto"/>
        <w:ind w:left="240"/>
        <w:jc w:val="both"/>
        <w:rPr>
          <w:sz w:val="24"/>
          <w:szCs w:val="24"/>
        </w:rPr>
      </w:pPr>
      <w:r>
        <w:rPr>
          <w:rFonts w:hint="eastAsia"/>
          <w:sz w:val="24"/>
          <w:szCs w:val="24"/>
        </w:rPr>
        <w:t>八、委托人的其他要求</w:t>
      </w:r>
    </w:p>
    <w:p>
      <w:pPr>
        <w:pStyle w:val="11"/>
        <w:spacing w:line="360" w:lineRule="auto"/>
        <w:ind w:left="660"/>
        <w:jc w:val="both"/>
        <w:rPr>
          <w:sz w:val="24"/>
          <w:szCs w:val="24"/>
        </w:rPr>
      </w:pPr>
      <w:r>
        <w:rPr>
          <w:rFonts w:hint="eastAsia"/>
          <w:sz w:val="24"/>
          <w:szCs w:val="24"/>
        </w:rPr>
        <w:t>委托人的其他要求：其他要求详见监理合同。</w:t>
      </w:r>
    </w:p>
    <w:p>
      <w:pPr>
        <w:pStyle w:val="11"/>
        <w:spacing w:line="360" w:lineRule="auto"/>
        <w:ind w:left="660"/>
        <w:jc w:val="both"/>
        <w:rPr>
          <w:sz w:val="24"/>
          <w:szCs w:val="24"/>
        </w:rPr>
        <w:sectPr>
          <w:pgSz w:w="12240" w:h="15840"/>
          <w:pgMar w:top="1380" w:right="1100" w:bottom="1120" w:left="1560" w:header="0" w:footer="841" w:gutter="0"/>
          <w:cols w:space="720" w:num="1"/>
        </w:sectPr>
      </w:pPr>
    </w:p>
    <w:p>
      <w:pPr>
        <w:pStyle w:val="11"/>
        <w:spacing w:before="8" w:line="360" w:lineRule="auto"/>
        <w:rPr>
          <w:sz w:val="26"/>
        </w:rPr>
      </w:pPr>
    </w:p>
    <w:p>
      <w:pPr>
        <w:pStyle w:val="3"/>
        <w:spacing w:line="360" w:lineRule="auto"/>
        <w:ind w:right="458"/>
        <w:rPr>
          <w:rFonts w:ascii="宋体" w:hAnsi="宋体" w:eastAsia="宋体" w:cs="宋体"/>
        </w:rPr>
      </w:pPr>
      <w:bookmarkStart w:id="44" w:name="_bookmark173"/>
      <w:bookmarkEnd w:id="44"/>
      <w:r>
        <w:rPr>
          <w:rFonts w:hint="eastAsia" w:ascii="宋体" w:hAnsi="宋体" w:eastAsia="宋体" w:cs="宋体"/>
        </w:rPr>
        <w:t>第三卷</w:t>
      </w:r>
    </w:p>
    <w:p>
      <w:pPr>
        <w:pStyle w:val="3"/>
        <w:spacing w:line="360" w:lineRule="auto"/>
        <w:rPr>
          <w:rFonts w:ascii="宋体" w:hAnsi="宋体" w:eastAsia="宋体" w:cs="宋体"/>
        </w:rPr>
      </w:pPr>
      <w:bookmarkStart w:id="45" w:name="_bookmark174"/>
      <w:bookmarkEnd w:id="45"/>
      <w:r>
        <w:rPr>
          <w:rFonts w:hint="eastAsia" w:ascii="宋体" w:hAnsi="宋体" w:eastAsia="宋体" w:cs="宋体"/>
        </w:rPr>
        <w:t>第六章</w:t>
      </w:r>
      <w:r>
        <w:rPr>
          <w:rFonts w:hint="eastAsia" w:ascii="宋体" w:hAnsi="宋体" w:eastAsia="宋体" w:cs="宋体"/>
          <w:lang w:val="en-US"/>
        </w:rPr>
        <w:t xml:space="preserve"> </w:t>
      </w:r>
      <w:r>
        <w:rPr>
          <w:rFonts w:hint="eastAsia" w:ascii="宋体" w:hAnsi="宋体" w:eastAsia="宋体" w:cs="宋体"/>
        </w:rPr>
        <w:t>投标文件格式</w:t>
      </w:r>
    </w:p>
    <w:p>
      <w:pPr>
        <w:spacing w:line="360" w:lineRule="auto"/>
        <w:sectPr>
          <w:pgSz w:w="12240" w:h="15840"/>
          <w:pgMar w:top="1420" w:right="1100" w:bottom="1120" w:left="1560" w:header="0" w:footer="841" w:gutter="0"/>
          <w:cols w:space="720" w:num="1"/>
        </w:sectPr>
      </w:pPr>
    </w:p>
    <w:p>
      <w:pPr>
        <w:pStyle w:val="11"/>
        <w:spacing w:line="360" w:lineRule="auto"/>
        <w:rPr>
          <w:b/>
          <w:sz w:val="20"/>
        </w:rPr>
      </w:pPr>
    </w:p>
    <w:p>
      <w:pPr>
        <w:pStyle w:val="11"/>
        <w:spacing w:line="360" w:lineRule="auto"/>
        <w:rPr>
          <w:b/>
          <w:sz w:val="20"/>
        </w:rPr>
      </w:pPr>
    </w:p>
    <w:p>
      <w:pPr>
        <w:pStyle w:val="11"/>
        <w:spacing w:before="4" w:line="360" w:lineRule="auto"/>
        <w:rPr>
          <w:b/>
          <w:sz w:val="18"/>
        </w:rPr>
      </w:pPr>
    </w:p>
    <w:p>
      <w:pPr>
        <w:tabs>
          <w:tab w:val="left" w:pos="1118"/>
        </w:tabs>
        <w:spacing w:before="70" w:line="360" w:lineRule="auto"/>
        <w:ind w:right="453"/>
        <w:jc w:val="center"/>
        <w:rPr>
          <w:sz w:val="28"/>
        </w:rPr>
      </w:pPr>
      <w:r>
        <w:rPr>
          <w:rFonts w:hint="eastAsia"/>
          <w:sz w:val="28"/>
          <w:u w:val="single"/>
        </w:rPr>
        <w:t xml:space="preserve"> </w:t>
      </w:r>
      <w:r>
        <w:rPr>
          <w:rFonts w:hint="eastAsia"/>
          <w:sz w:val="28"/>
          <w:u w:val="single"/>
        </w:rPr>
        <w:tab/>
      </w:r>
      <w:r>
        <w:rPr>
          <w:rFonts w:hint="eastAsia"/>
          <w:sz w:val="28"/>
          <w:u w:val="single"/>
        </w:rPr>
        <w:t>（</w:t>
      </w:r>
      <w:r>
        <w:rPr>
          <w:rFonts w:hint="eastAsia"/>
          <w:spacing w:val="-1"/>
          <w:sz w:val="28"/>
        </w:rPr>
        <w:t>项目名称）</w:t>
      </w:r>
    </w:p>
    <w:p>
      <w:pPr>
        <w:pStyle w:val="11"/>
        <w:spacing w:line="360" w:lineRule="auto"/>
        <w:rPr>
          <w:sz w:val="20"/>
        </w:rPr>
      </w:pPr>
    </w:p>
    <w:p>
      <w:pPr>
        <w:spacing w:before="209" w:line="360" w:lineRule="auto"/>
        <w:ind w:right="455"/>
        <w:jc w:val="center"/>
        <w:rPr>
          <w:sz w:val="44"/>
        </w:rPr>
      </w:pPr>
      <w:r>
        <w:rPr>
          <w:rFonts w:hint="eastAsia"/>
          <w:sz w:val="44"/>
        </w:rPr>
        <w:t>投 标 文 件</w:t>
      </w:r>
    </w:p>
    <w:p>
      <w:pPr>
        <w:pStyle w:val="11"/>
        <w:spacing w:line="360" w:lineRule="auto"/>
        <w:rPr>
          <w:sz w:val="44"/>
        </w:rPr>
      </w:pPr>
    </w:p>
    <w:p>
      <w:pPr>
        <w:pStyle w:val="11"/>
        <w:spacing w:line="360" w:lineRule="auto"/>
        <w:rPr>
          <w:sz w:val="44"/>
        </w:rPr>
      </w:pPr>
    </w:p>
    <w:p>
      <w:pPr>
        <w:pStyle w:val="11"/>
        <w:spacing w:line="360" w:lineRule="auto"/>
        <w:rPr>
          <w:sz w:val="44"/>
        </w:rPr>
      </w:pPr>
    </w:p>
    <w:p>
      <w:pPr>
        <w:pStyle w:val="11"/>
        <w:spacing w:line="360" w:lineRule="auto"/>
        <w:rPr>
          <w:sz w:val="44"/>
        </w:rPr>
      </w:pPr>
    </w:p>
    <w:p>
      <w:pPr>
        <w:pStyle w:val="11"/>
        <w:spacing w:line="360" w:lineRule="auto"/>
        <w:rPr>
          <w:sz w:val="44"/>
        </w:rPr>
      </w:pPr>
    </w:p>
    <w:p>
      <w:pPr>
        <w:pStyle w:val="11"/>
        <w:spacing w:line="360" w:lineRule="auto"/>
        <w:rPr>
          <w:sz w:val="44"/>
        </w:rPr>
      </w:pPr>
    </w:p>
    <w:p>
      <w:pPr>
        <w:pStyle w:val="11"/>
        <w:spacing w:line="360" w:lineRule="auto"/>
        <w:rPr>
          <w:sz w:val="44"/>
        </w:rPr>
      </w:pPr>
    </w:p>
    <w:p>
      <w:pPr>
        <w:pStyle w:val="11"/>
        <w:spacing w:before="3" w:line="360" w:lineRule="auto"/>
        <w:rPr>
          <w:sz w:val="52"/>
        </w:rPr>
      </w:pPr>
    </w:p>
    <w:p>
      <w:pPr>
        <w:tabs>
          <w:tab w:val="left" w:pos="5737"/>
          <w:tab w:val="left" w:pos="7102"/>
        </w:tabs>
        <w:spacing w:line="360" w:lineRule="auto"/>
        <w:ind w:left="1361" w:right="795"/>
        <w:rPr>
          <w:sz w:val="28"/>
        </w:rPr>
      </w:pPr>
      <w:r>
        <w:rPr>
          <w:rFonts w:hint="eastAsia"/>
          <w:sz w:val="28"/>
        </w:rPr>
        <w:t>投标人：</w:t>
      </w:r>
      <w:r>
        <w:rPr>
          <w:rFonts w:hint="eastAsia"/>
          <w:sz w:val="28"/>
          <w:u w:val="single"/>
        </w:rPr>
        <w:t xml:space="preserve"> </w:t>
      </w:r>
      <w:r>
        <w:rPr>
          <w:rFonts w:hint="eastAsia"/>
          <w:sz w:val="28"/>
          <w:u w:val="single"/>
        </w:rPr>
        <w:tab/>
      </w:r>
      <w:r>
        <w:rPr>
          <w:rFonts w:hint="eastAsia"/>
          <w:sz w:val="28"/>
          <w:u w:val="single"/>
        </w:rPr>
        <w:tab/>
      </w:r>
      <w:r>
        <w:rPr>
          <w:rFonts w:hint="eastAsia"/>
          <w:sz w:val="28"/>
        </w:rPr>
        <w:t>（盖</w:t>
      </w:r>
      <w:r>
        <w:rPr>
          <w:rFonts w:hint="eastAsia"/>
          <w:spacing w:val="-3"/>
          <w:sz w:val="28"/>
        </w:rPr>
        <w:t>单</w:t>
      </w:r>
      <w:r>
        <w:rPr>
          <w:rFonts w:hint="eastAsia"/>
          <w:sz w:val="28"/>
        </w:rPr>
        <w:t>位</w:t>
      </w:r>
      <w:r>
        <w:rPr>
          <w:rFonts w:hint="eastAsia"/>
          <w:spacing w:val="-3"/>
          <w:sz w:val="28"/>
        </w:rPr>
        <w:t>章</w:t>
      </w:r>
      <w:r>
        <w:rPr>
          <w:rFonts w:hint="eastAsia"/>
          <w:spacing w:val="-16"/>
          <w:sz w:val="28"/>
        </w:rPr>
        <w:t xml:space="preserve">） </w:t>
      </w:r>
      <w:r>
        <w:rPr>
          <w:rFonts w:hint="eastAsia"/>
          <w:sz w:val="28"/>
        </w:rPr>
        <w:t>法定代</w:t>
      </w:r>
      <w:r>
        <w:rPr>
          <w:rFonts w:hint="eastAsia"/>
          <w:spacing w:val="-3"/>
          <w:sz w:val="28"/>
        </w:rPr>
        <w:t>表</w:t>
      </w:r>
      <w:r>
        <w:rPr>
          <w:rFonts w:hint="eastAsia"/>
          <w:sz w:val="28"/>
        </w:rPr>
        <w:t>人或</w:t>
      </w:r>
      <w:r>
        <w:rPr>
          <w:rFonts w:hint="eastAsia"/>
          <w:spacing w:val="-3"/>
          <w:sz w:val="28"/>
        </w:rPr>
        <w:t>其委</w:t>
      </w:r>
      <w:r>
        <w:rPr>
          <w:rFonts w:hint="eastAsia"/>
          <w:sz w:val="28"/>
        </w:rPr>
        <w:t>托代理</w:t>
      </w:r>
      <w:r>
        <w:rPr>
          <w:rFonts w:hint="eastAsia"/>
          <w:spacing w:val="-3"/>
          <w:sz w:val="28"/>
        </w:rPr>
        <w:t>人</w:t>
      </w:r>
      <w:r>
        <w:rPr>
          <w:rFonts w:hint="eastAsia"/>
          <w:sz w:val="28"/>
        </w:rPr>
        <w:t>：</w:t>
      </w:r>
      <w:r>
        <w:rPr>
          <w:rFonts w:hint="eastAsia"/>
          <w:sz w:val="28"/>
          <w:u w:val="single"/>
        </w:rPr>
        <w:t xml:space="preserve"> </w:t>
      </w:r>
      <w:r>
        <w:rPr>
          <w:rFonts w:hint="eastAsia"/>
          <w:sz w:val="28"/>
          <w:u w:val="single"/>
        </w:rPr>
        <w:tab/>
      </w:r>
      <w:r>
        <w:rPr>
          <w:rFonts w:hint="eastAsia"/>
          <w:spacing w:val="-3"/>
          <w:sz w:val="28"/>
        </w:rPr>
        <w:t>（</w:t>
      </w:r>
      <w:r>
        <w:rPr>
          <w:rFonts w:hint="eastAsia"/>
          <w:sz w:val="28"/>
        </w:rPr>
        <w:t>签字）</w:t>
      </w:r>
    </w:p>
    <w:p>
      <w:pPr>
        <w:pStyle w:val="11"/>
        <w:spacing w:before="5" w:line="360" w:lineRule="auto"/>
        <w:rPr>
          <w:sz w:val="23"/>
        </w:rPr>
      </w:pPr>
    </w:p>
    <w:p>
      <w:pPr>
        <w:tabs>
          <w:tab w:val="left" w:pos="734"/>
          <w:tab w:val="left" w:pos="1749"/>
          <w:tab w:val="left" w:pos="2765"/>
        </w:tabs>
        <w:spacing w:before="62" w:line="360" w:lineRule="auto"/>
        <w:ind w:right="459"/>
        <w:jc w:val="center"/>
        <w:rPr>
          <w:sz w:val="28"/>
        </w:rPr>
      </w:pPr>
      <w:r>
        <w:rPr>
          <w:rFonts w:hint="eastAsia"/>
          <w:sz w:val="28"/>
          <w:u w:val="single"/>
        </w:rPr>
        <w:t xml:space="preserve"> </w:t>
      </w:r>
      <w:r>
        <w:rPr>
          <w:rFonts w:hint="eastAsia"/>
          <w:sz w:val="28"/>
          <w:u w:val="single"/>
        </w:rPr>
        <w:tab/>
      </w:r>
      <w:r>
        <w:rPr>
          <w:rFonts w:hint="eastAsia"/>
          <w:sz w:val="28"/>
        </w:rPr>
        <w:t>年</w:t>
      </w:r>
      <w:r>
        <w:rPr>
          <w:rFonts w:hint="eastAsia"/>
          <w:sz w:val="28"/>
          <w:u w:val="single"/>
        </w:rPr>
        <w:t xml:space="preserve"> </w:t>
      </w:r>
      <w:r>
        <w:rPr>
          <w:rFonts w:hint="eastAsia"/>
          <w:sz w:val="28"/>
          <w:u w:val="single"/>
        </w:rPr>
        <w:tab/>
      </w:r>
      <w:r>
        <w:rPr>
          <w:rFonts w:hint="eastAsia"/>
          <w:sz w:val="28"/>
        </w:rPr>
        <w:t>月</w:t>
      </w:r>
      <w:r>
        <w:rPr>
          <w:rFonts w:hint="eastAsia"/>
          <w:sz w:val="28"/>
          <w:u w:val="single"/>
        </w:rPr>
        <w:t xml:space="preserve"> </w:t>
      </w:r>
      <w:r>
        <w:rPr>
          <w:rFonts w:hint="eastAsia"/>
          <w:sz w:val="28"/>
          <w:u w:val="single"/>
        </w:rPr>
        <w:tab/>
      </w:r>
      <w:r>
        <w:rPr>
          <w:rFonts w:hint="eastAsia"/>
          <w:sz w:val="28"/>
        </w:rPr>
        <w:t>日</w:t>
      </w:r>
    </w:p>
    <w:p>
      <w:pPr>
        <w:spacing w:line="360" w:lineRule="auto"/>
        <w:jc w:val="center"/>
        <w:rPr>
          <w:sz w:val="28"/>
        </w:rPr>
        <w:sectPr>
          <w:pgSz w:w="12240" w:h="15840"/>
          <w:pgMar w:top="1500" w:right="1100" w:bottom="1120" w:left="1560" w:header="0" w:footer="841" w:gutter="0"/>
          <w:cols w:space="720" w:num="1"/>
        </w:sectPr>
      </w:pPr>
    </w:p>
    <w:p>
      <w:pPr>
        <w:pStyle w:val="4"/>
        <w:spacing w:line="360" w:lineRule="auto"/>
        <w:ind w:left="0" w:right="457" w:firstLine="0"/>
        <w:jc w:val="center"/>
        <w:rPr>
          <w:rFonts w:ascii="宋体" w:hAnsi="宋体" w:eastAsia="宋体" w:cs="宋体"/>
        </w:rPr>
      </w:pPr>
      <w:bookmarkStart w:id="46" w:name="_bookmark175"/>
      <w:bookmarkEnd w:id="46"/>
      <w:r>
        <w:rPr>
          <w:rFonts w:hint="eastAsia" w:ascii="宋体" w:hAnsi="宋体" w:eastAsia="宋体" w:cs="宋体"/>
        </w:rPr>
        <w:t>目录</w:t>
      </w:r>
    </w:p>
    <w:p>
      <w:pPr>
        <w:pStyle w:val="11"/>
        <w:spacing w:line="360" w:lineRule="auto"/>
        <w:rPr>
          <w:b/>
          <w:sz w:val="20"/>
        </w:rPr>
      </w:pPr>
    </w:p>
    <w:p>
      <w:pPr>
        <w:pStyle w:val="11"/>
        <w:spacing w:line="360" w:lineRule="auto"/>
        <w:rPr>
          <w:b/>
          <w:sz w:val="20"/>
        </w:rPr>
      </w:pPr>
    </w:p>
    <w:p>
      <w:pPr>
        <w:pStyle w:val="11"/>
        <w:spacing w:before="1" w:line="360" w:lineRule="auto"/>
        <w:rPr>
          <w:b/>
          <w:sz w:val="24"/>
        </w:rPr>
      </w:pPr>
    </w:p>
    <w:p>
      <w:pPr>
        <w:pStyle w:val="11"/>
        <w:spacing w:before="71" w:line="360" w:lineRule="auto"/>
        <w:ind w:left="240"/>
      </w:pPr>
      <w:bookmarkStart w:id="47" w:name="_bookmark176"/>
      <w:bookmarkEnd w:id="47"/>
      <w:r>
        <w:rPr>
          <w:rFonts w:hint="eastAsia"/>
        </w:rPr>
        <w:t>一、投标函及投标函附录</w:t>
      </w:r>
    </w:p>
    <w:p>
      <w:pPr>
        <w:pStyle w:val="11"/>
        <w:spacing w:line="360" w:lineRule="auto"/>
        <w:ind w:left="240" w:right="4080"/>
      </w:pPr>
      <w:r>
        <w:rPr>
          <w:rFonts w:hint="eastAsia"/>
        </w:rPr>
        <w:t>二、法定代表人身份证明</w:t>
      </w:r>
    </w:p>
    <w:p>
      <w:pPr>
        <w:pStyle w:val="11"/>
        <w:spacing w:line="360" w:lineRule="auto"/>
        <w:ind w:left="240" w:right="4080"/>
      </w:pPr>
      <w:r>
        <w:rPr>
          <w:rFonts w:hint="eastAsia"/>
        </w:rPr>
        <w:t>三、授权委托书</w:t>
      </w:r>
    </w:p>
    <w:p>
      <w:pPr>
        <w:pStyle w:val="11"/>
        <w:spacing w:line="360" w:lineRule="auto"/>
        <w:ind w:left="240" w:right="7654"/>
        <w:rPr>
          <w:spacing w:val="-2"/>
        </w:rPr>
      </w:pPr>
      <w:r>
        <w:rPr>
          <w:rFonts w:hint="eastAsia"/>
          <w:spacing w:val="-5"/>
        </w:rPr>
        <w:t>四、</w:t>
      </w:r>
      <w:r>
        <w:rPr>
          <w:rFonts w:hint="eastAsia"/>
          <w:spacing w:val="-2"/>
        </w:rPr>
        <w:t xml:space="preserve">投标保证金 </w:t>
      </w:r>
    </w:p>
    <w:p>
      <w:pPr>
        <w:pStyle w:val="11"/>
        <w:spacing w:line="360" w:lineRule="auto"/>
        <w:ind w:left="240" w:right="4740"/>
        <w:rPr>
          <w:spacing w:val="-5"/>
        </w:rPr>
      </w:pPr>
      <w:r>
        <w:rPr>
          <w:rFonts w:hint="eastAsia"/>
          <w:spacing w:val="-5"/>
        </w:rPr>
        <w:t>五、监理报酬清单</w:t>
      </w:r>
    </w:p>
    <w:p>
      <w:pPr>
        <w:pStyle w:val="11"/>
        <w:spacing w:line="360" w:lineRule="auto"/>
        <w:ind w:left="240" w:right="4740"/>
        <w:rPr>
          <w:spacing w:val="-5"/>
        </w:rPr>
      </w:pPr>
      <w:r>
        <w:rPr>
          <w:rFonts w:hint="eastAsia"/>
          <w:spacing w:val="-5"/>
        </w:rPr>
        <w:t>六、资格审查资料</w:t>
      </w:r>
    </w:p>
    <w:p>
      <w:pPr>
        <w:pStyle w:val="11"/>
        <w:spacing w:line="360" w:lineRule="auto"/>
        <w:ind w:left="240" w:right="4740"/>
      </w:pPr>
      <w:r>
        <w:rPr>
          <w:rFonts w:hint="eastAsia"/>
          <w:spacing w:val="-2"/>
        </w:rPr>
        <w:t>七、拟委任的主要人员汇总表</w:t>
      </w:r>
    </w:p>
    <w:p>
      <w:pPr>
        <w:pStyle w:val="11"/>
        <w:spacing w:line="360" w:lineRule="auto"/>
        <w:ind w:left="240"/>
        <w:rPr>
          <w:spacing w:val="-3"/>
        </w:rPr>
      </w:pPr>
      <w:r>
        <w:rPr>
          <w:rFonts w:hint="eastAsia"/>
          <w:spacing w:val="-3"/>
        </w:rPr>
        <w:t>八、主要人员简历表</w:t>
      </w:r>
    </w:p>
    <w:p>
      <w:pPr>
        <w:pStyle w:val="11"/>
        <w:spacing w:line="360" w:lineRule="auto"/>
        <w:ind w:left="240"/>
      </w:pPr>
      <w:r>
        <w:rPr>
          <w:rFonts w:hint="eastAsia"/>
          <w:spacing w:val="-3"/>
        </w:rPr>
        <w:t>九、</w:t>
      </w:r>
      <w:r>
        <w:rPr>
          <w:rFonts w:hint="eastAsia"/>
        </w:rPr>
        <w:t>拟投入的试验检测仪器设备汇总表</w:t>
      </w:r>
    </w:p>
    <w:p>
      <w:pPr>
        <w:pStyle w:val="11"/>
        <w:spacing w:line="360" w:lineRule="auto"/>
        <w:ind w:left="240"/>
      </w:pPr>
      <w:r>
        <w:rPr>
          <w:rFonts w:hint="eastAsia"/>
        </w:rPr>
        <w:t>十、投标人声明格式</w:t>
      </w:r>
    </w:p>
    <w:p>
      <w:pPr>
        <w:pStyle w:val="11"/>
        <w:spacing w:line="360" w:lineRule="auto"/>
        <w:ind w:left="240"/>
      </w:pPr>
      <w:r>
        <w:rPr>
          <w:rFonts w:hint="eastAsia"/>
        </w:rPr>
        <w:t>十一、投标人承诺函格式</w:t>
      </w:r>
    </w:p>
    <w:p>
      <w:pPr>
        <w:pStyle w:val="11"/>
        <w:spacing w:line="360" w:lineRule="auto"/>
        <w:ind w:left="240"/>
      </w:pPr>
      <w:r>
        <w:rPr>
          <w:rFonts w:hint="eastAsia"/>
        </w:rPr>
        <w:t>十二、监理大纲</w:t>
      </w:r>
    </w:p>
    <w:p>
      <w:pPr>
        <w:pStyle w:val="11"/>
        <w:spacing w:line="360" w:lineRule="auto"/>
        <w:ind w:left="240"/>
        <w:sectPr>
          <w:pgSz w:w="12240" w:h="15840"/>
          <w:pgMar w:top="1400" w:right="1100" w:bottom="1120" w:left="1560" w:header="0" w:footer="841" w:gutter="0"/>
          <w:cols w:space="720" w:num="1"/>
        </w:sectPr>
      </w:pPr>
      <w:r>
        <w:rPr>
          <w:rFonts w:hint="eastAsia"/>
        </w:rPr>
        <w:t>十三、其他资料</w:t>
      </w:r>
    </w:p>
    <w:p>
      <w:pPr>
        <w:spacing w:line="360" w:lineRule="auto"/>
        <w:ind w:right="456"/>
        <w:jc w:val="center"/>
        <w:rPr>
          <w:b/>
          <w:sz w:val="32"/>
        </w:rPr>
      </w:pPr>
      <w:r>
        <w:rPr>
          <w:rFonts w:hint="eastAsia"/>
          <w:b/>
          <w:sz w:val="32"/>
        </w:rPr>
        <w:t>一、投标函及投标函附录</w:t>
      </w:r>
    </w:p>
    <w:p>
      <w:pPr>
        <w:pStyle w:val="11"/>
        <w:spacing w:before="6" w:line="360" w:lineRule="auto"/>
        <w:rPr>
          <w:b/>
          <w:sz w:val="23"/>
        </w:rPr>
      </w:pPr>
    </w:p>
    <w:p>
      <w:pPr>
        <w:spacing w:before="62" w:line="360" w:lineRule="auto"/>
        <w:ind w:left="377"/>
        <w:jc w:val="both"/>
        <w:rPr>
          <w:sz w:val="28"/>
        </w:rPr>
      </w:pPr>
      <w:bookmarkStart w:id="48" w:name="_bookmark177"/>
      <w:bookmarkEnd w:id="48"/>
      <w:r>
        <w:rPr>
          <w:rFonts w:hint="eastAsia"/>
          <w:sz w:val="28"/>
        </w:rPr>
        <w:t>（一）投标函</w:t>
      </w:r>
    </w:p>
    <w:p>
      <w:pPr>
        <w:pStyle w:val="11"/>
        <w:spacing w:line="360" w:lineRule="auto"/>
        <w:rPr>
          <w:sz w:val="28"/>
        </w:rPr>
      </w:pPr>
    </w:p>
    <w:p>
      <w:pPr>
        <w:rPr>
          <w:szCs w:val="21"/>
        </w:rPr>
      </w:pPr>
      <w:r>
        <w:rPr>
          <w:rFonts w:hint="eastAsia"/>
          <w:szCs w:val="21"/>
          <w:u w:val="single"/>
        </w:rPr>
        <w:t xml:space="preserve">                  </w:t>
      </w:r>
      <w:r>
        <w:rPr>
          <w:rFonts w:hint="eastAsia"/>
          <w:szCs w:val="21"/>
        </w:rPr>
        <w:t>（招标人名称）：</w:t>
      </w:r>
    </w:p>
    <w:p>
      <w:pPr>
        <w:rPr>
          <w:szCs w:val="21"/>
        </w:rPr>
      </w:pPr>
      <w:r>
        <w:rPr>
          <w:rFonts w:hint="eastAsia"/>
          <w:szCs w:val="21"/>
        </w:rPr>
        <w:t>1．我方已仔细研究了</w:t>
      </w:r>
      <w:r>
        <w:rPr>
          <w:rFonts w:hint="eastAsia"/>
          <w:szCs w:val="21"/>
          <w:u w:val="single"/>
        </w:rPr>
        <w:t xml:space="preserve">                  </w:t>
      </w:r>
      <w:r>
        <w:rPr>
          <w:rFonts w:hint="eastAsia"/>
          <w:szCs w:val="21"/>
        </w:rPr>
        <w:t>（项目名称）招标文件的全部内容，愿意以《开标一览表》中的投标总报价和监理服务期限，按合同约定完成监理工作。</w:t>
      </w:r>
    </w:p>
    <w:p>
      <w:pPr>
        <w:rPr>
          <w:szCs w:val="21"/>
        </w:rPr>
      </w:pPr>
      <w:r>
        <w:rPr>
          <w:rFonts w:hint="eastAsia"/>
          <w:szCs w:val="21"/>
        </w:rPr>
        <w:t>2. 我方的投标文件包括下列内容：</w:t>
      </w:r>
    </w:p>
    <w:p>
      <w:pPr>
        <w:rPr>
          <w:szCs w:val="21"/>
        </w:rPr>
      </w:pPr>
      <w:r>
        <w:rPr>
          <w:rFonts w:hint="eastAsia"/>
          <w:szCs w:val="21"/>
        </w:rPr>
        <w:t>（1）投标函及投标函附录；</w:t>
      </w:r>
    </w:p>
    <w:p>
      <w:pPr>
        <w:rPr>
          <w:szCs w:val="21"/>
        </w:rPr>
      </w:pPr>
      <w:r>
        <w:rPr>
          <w:rFonts w:hint="eastAsia"/>
          <w:szCs w:val="21"/>
        </w:rPr>
        <w:t>（2）法定代表人身份证明或授权委托书；</w:t>
      </w:r>
    </w:p>
    <w:p>
      <w:pPr>
        <w:rPr>
          <w:szCs w:val="21"/>
        </w:rPr>
      </w:pPr>
      <w:r>
        <w:rPr>
          <w:rFonts w:hint="eastAsia"/>
          <w:szCs w:val="21"/>
        </w:rPr>
        <w:t>（3）投标保证金（如有）；</w:t>
      </w:r>
    </w:p>
    <w:p>
      <w:pPr>
        <w:rPr>
          <w:szCs w:val="21"/>
        </w:rPr>
      </w:pPr>
      <w:r>
        <w:rPr>
          <w:rFonts w:hint="eastAsia"/>
          <w:szCs w:val="21"/>
        </w:rPr>
        <w:t>（</w:t>
      </w:r>
      <w:r>
        <w:rPr>
          <w:rFonts w:hint="eastAsia"/>
          <w:szCs w:val="21"/>
          <w:lang w:val="en-US"/>
        </w:rPr>
        <w:t>4</w:t>
      </w:r>
      <w:r>
        <w:rPr>
          <w:rFonts w:hint="eastAsia"/>
          <w:szCs w:val="21"/>
        </w:rPr>
        <w:t>）监理报酬清单；</w:t>
      </w:r>
    </w:p>
    <w:p>
      <w:pPr>
        <w:rPr>
          <w:szCs w:val="21"/>
        </w:rPr>
      </w:pPr>
      <w:r>
        <w:rPr>
          <w:rFonts w:hint="eastAsia"/>
          <w:szCs w:val="21"/>
        </w:rPr>
        <w:t>（</w:t>
      </w:r>
      <w:r>
        <w:rPr>
          <w:rFonts w:hint="eastAsia"/>
          <w:szCs w:val="21"/>
          <w:lang w:val="en-US"/>
        </w:rPr>
        <w:t>5</w:t>
      </w:r>
      <w:r>
        <w:rPr>
          <w:rFonts w:hint="eastAsia"/>
          <w:szCs w:val="21"/>
        </w:rPr>
        <w:t>）资格审查资料；</w:t>
      </w:r>
    </w:p>
    <w:p>
      <w:pPr>
        <w:rPr>
          <w:szCs w:val="21"/>
        </w:rPr>
      </w:pPr>
      <w:r>
        <w:rPr>
          <w:rFonts w:hint="eastAsia"/>
          <w:szCs w:val="21"/>
        </w:rPr>
        <w:t>（</w:t>
      </w:r>
      <w:r>
        <w:rPr>
          <w:rFonts w:hint="eastAsia"/>
          <w:szCs w:val="21"/>
          <w:lang w:val="en-US"/>
        </w:rPr>
        <w:t>6</w:t>
      </w:r>
      <w:r>
        <w:rPr>
          <w:rFonts w:hint="eastAsia"/>
          <w:szCs w:val="21"/>
        </w:rPr>
        <w:t>）监理大纲；</w:t>
      </w:r>
    </w:p>
    <w:p>
      <w:pPr>
        <w:rPr>
          <w:szCs w:val="21"/>
        </w:rPr>
      </w:pPr>
      <w:r>
        <w:rPr>
          <w:rFonts w:hint="eastAsia"/>
          <w:szCs w:val="21"/>
        </w:rPr>
        <w:t>（</w:t>
      </w:r>
      <w:r>
        <w:rPr>
          <w:rFonts w:hint="eastAsia"/>
          <w:szCs w:val="21"/>
          <w:lang w:val="en-US"/>
        </w:rPr>
        <w:t>7</w:t>
      </w:r>
      <w:r>
        <w:rPr>
          <w:rFonts w:hint="eastAsia"/>
          <w:szCs w:val="21"/>
        </w:rPr>
        <w:t>）其他资料。</w:t>
      </w:r>
    </w:p>
    <w:p>
      <w:pPr>
        <w:rPr>
          <w:szCs w:val="21"/>
        </w:rPr>
      </w:pPr>
      <w:r>
        <w:rPr>
          <w:rFonts w:hint="eastAsia"/>
          <w:szCs w:val="21"/>
        </w:rPr>
        <w:t>投标文件的上述组成部分如存在内容不一致的，以投标函为准。</w:t>
      </w:r>
    </w:p>
    <w:p>
      <w:pPr>
        <w:rPr>
          <w:szCs w:val="21"/>
        </w:rPr>
      </w:pPr>
      <w:r>
        <w:rPr>
          <w:rFonts w:hint="eastAsia"/>
          <w:szCs w:val="21"/>
        </w:rPr>
        <w:t>3．我方承诺在招标文件规定的投标有效期内不撤销投标文件。</w:t>
      </w:r>
    </w:p>
    <w:p>
      <w:pPr>
        <w:rPr>
          <w:szCs w:val="21"/>
        </w:rPr>
      </w:pPr>
      <w:r>
        <w:rPr>
          <w:rFonts w:hint="eastAsia"/>
          <w:szCs w:val="21"/>
        </w:rPr>
        <w:t>4．如我方中标，我方承诺：</w:t>
      </w:r>
    </w:p>
    <w:p>
      <w:pPr>
        <w:rPr>
          <w:szCs w:val="21"/>
        </w:rPr>
      </w:pPr>
      <w:r>
        <w:rPr>
          <w:rFonts w:hint="eastAsia"/>
          <w:szCs w:val="21"/>
        </w:rPr>
        <w:t>（1）在收到中标通知书后，在中标通知书规定的期限内与你方签订合同；</w:t>
      </w:r>
    </w:p>
    <w:p>
      <w:pPr>
        <w:rPr>
          <w:szCs w:val="21"/>
        </w:rPr>
      </w:pPr>
      <w:r>
        <w:rPr>
          <w:rFonts w:hint="eastAsia"/>
          <w:szCs w:val="21"/>
        </w:rPr>
        <w:t>（2）在签订合同时不向你方提出附加条件；</w:t>
      </w:r>
    </w:p>
    <w:p>
      <w:pPr>
        <w:rPr>
          <w:szCs w:val="21"/>
        </w:rPr>
      </w:pPr>
      <w:r>
        <w:rPr>
          <w:rFonts w:hint="eastAsia"/>
          <w:szCs w:val="21"/>
        </w:rPr>
        <w:t>（3）按照招标文件要求提交履约保证金；</w:t>
      </w:r>
    </w:p>
    <w:p>
      <w:pPr>
        <w:rPr>
          <w:szCs w:val="21"/>
        </w:rPr>
      </w:pPr>
      <w:r>
        <w:rPr>
          <w:rFonts w:hint="eastAsia"/>
          <w:szCs w:val="21"/>
        </w:rPr>
        <w:t>（4）在合同约定的期限内完成合同规定的全部义务。</w:t>
      </w:r>
    </w:p>
    <w:p>
      <w:pPr>
        <w:rPr>
          <w:szCs w:val="21"/>
        </w:rPr>
      </w:pPr>
      <w:r>
        <w:rPr>
          <w:rFonts w:hint="eastAsia"/>
          <w:szCs w:val="21"/>
        </w:rPr>
        <w:t>5．我方在此声明，所递交的投标文件及有关资料内容完整、真实和准确，且不存在第二章“投标人须知”第1.4.3项规定的任何一种情形。</w:t>
      </w:r>
    </w:p>
    <w:p>
      <w:pPr>
        <w:rPr>
          <w:szCs w:val="21"/>
        </w:rPr>
      </w:pPr>
      <w:r>
        <w:rPr>
          <w:rFonts w:hint="eastAsia"/>
          <w:szCs w:val="21"/>
        </w:rPr>
        <w:t>6．</w:t>
      </w:r>
      <w:r>
        <w:rPr>
          <w:rFonts w:hint="eastAsia"/>
          <w:szCs w:val="21"/>
          <w:u w:val="single"/>
        </w:rPr>
        <w:t xml:space="preserve">                            </w:t>
      </w:r>
      <w:r>
        <w:rPr>
          <w:rFonts w:hint="eastAsia"/>
          <w:szCs w:val="21"/>
          <w:u w:val="single"/>
        </w:rPr>
        <w:tab/>
      </w:r>
      <w:r>
        <w:rPr>
          <w:rFonts w:hint="eastAsia"/>
          <w:szCs w:val="21"/>
        </w:rPr>
        <w:t>（其他补充说明）。</w:t>
      </w:r>
    </w:p>
    <w:p>
      <w:pPr>
        <w:rPr>
          <w:szCs w:val="21"/>
        </w:rPr>
      </w:pPr>
    </w:p>
    <w:p>
      <w:pPr>
        <w:spacing w:line="440" w:lineRule="exact"/>
        <w:ind w:firstLine="2640" w:firstLineChars="1200"/>
        <w:rPr>
          <w:szCs w:val="21"/>
        </w:rPr>
      </w:pPr>
      <w:r>
        <w:rPr>
          <w:rFonts w:hint="eastAsia"/>
          <w:szCs w:val="21"/>
        </w:rPr>
        <w:t>投 标 人：</w:t>
      </w:r>
      <w:r>
        <w:rPr>
          <w:rFonts w:hint="eastAsia"/>
          <w:szCs w:val="21"/>
          <w:u w:val="single"/>
        </w:rPr>
        <w:t xml:space="preserve">                                </w:t>
      </w:r>
      <w:r>
        <w:rPr>
          <w:rFonts w:hint="eastAsia"/>
          <w:szCs w:val="21"/>
          <w:u w:val="single"/>
        </w:rPr>
        <w:tab/>
      </w:r>
      <w:r>
        <w:rPr>
          <w:rFonts w:hint="eastAsia"/>
          <w:szCs w:val="21"/>
        </w:rPr>
        <w:t>（盖单位章）</w:t>
      </w:r>
    </w:p>
    <w:p>
      <w:pPr>
        <w:spacing w:line="440" w:lineRule="exact"/>
        <w:rPr>
          <w:szCs w:val="21"/>
        </w:rPr>
      </w:pPr>
      <w:r>
        <w:rPr>
          <w:rFonts w:hint="eastAsia"/>
          <w:color w:val="000000"/>
          <w:szCs w:val="21"/>
        </w:rPr>
        <w:t xml:space="preserve">                        法定代表人</w:t>
      </w:r>
      <w:r>
        <w:rPr>
          <w:rFonts w:hint="eastAsia"/>
          <w:szCs w:val="21"/>
        </w:rPr>
        <w:t>或其委托代理人：</w:t>
      </w:r>
      <w:r>
        <w:rPr>
          <w:rFonts w:hint="eastAsia"/>
          <w:szCs w:val="21"/>
          <w:u w:val="single"/>
        </w:rPr>
        <w:t xml:space="preserve">       </w:t>
      </w:r>
      <w:r>
        <w:rPr>
          <w:rFonts w:hint="eastAsia"/>
          <w:szCs w:val="21"/>
          <w:u w:val="single"/>
        </w:rPr>
        <w:tab/>
      </w:r>
      <w:r>
        <w:rPr>
          <w:rFonts w:hint="eastAsia"/>
          <w:szCs w:val="21"/>
        </w:rPr>
        <w:t>（签字）</w:t>
      </w:r>
    </w:p>
    <w:p>
      <w:pPr>
        <w:spacing w:line="440" w:lineRule="exact"/>
        <w:ind w:firstLine="2640" w:firstLineChars="1200"/>
        <w:rPr>
          <w:szCs w:val="21"/>
        </w:rPr>
      </w:pPr>
      <w:r>
        <w:rPr>
          <w:rFonts w:hint="eastAsia"/>
          <w:szCs w:val="21"/>
        </w:rPr>
        <w:t>地    址：</w:t>
      </w:r>
      <w:r>
        <w:rPr>
          <w:rFonts w:hint="eastAsia"/>
          <w:szCs w:val="21"/>
          <w:u w:val="single"/>
        </w:rPr>
        <w:t xml:space="preserve">          </w:t>
      </w:r>
      <w:r>
        <w:rPr>
          <w:rFonts w:hint="eastAsia"/>
          <w:szCs w:val="21"/>
          <w:u w:val="single"/>
        </w:rPr>
        <w:tab/>
      </w:r>
      <w:r>
        <w:rPr>
          <w:rFonts w:hint="eastAsia"/>
          <w:szCs w:val="21"/>
          <w:u w:val="single"/>
        </w:rPr>
        <w:t xml:space="preserve">                             </w:t>
      </w:r>
      <w:r>
        <w:rPr>
          <w:rFonts w:hint="eastAsia"/>
          <w:szCs w:val="21"/>
          <w:u w:val="single"/>
        </w:rPr>
        <w:tab/>
      </w:r>
    </w:p>
    <w:p>
      <w:pPr>
        <w:spacing w:line="440" w:lineRule="exact"/>
        <w:ind w:firstLine="2640" w:firstLineChars="1200"/>
        <w:rPr>
          <w:szCs w:val="21"/>
        </w:rPr>
      </w:pPr>
      <w:r>
        <w:rPr>
          <w:rFonts w:hint="eastAsia"/>
          <w:szCs w:val="21"/>
        </w:rPr>
        <w:t>网    址：</w:t>
      </w:r>
      <w:r>
        <w:rPr>
          <w:rFonts w:hint="eastAsia"/>
          <w:szCs w:val="21"/>
          <w:u w:val="single"/>
        </w:rPr>
        <w:t xml:space="preserve">                                       </w:t>
      </w:r>
      <w:r>
        <w:rPr>
          <w:rFonts w:hint="eastAsia"/>
          <w:szCs w:val="21"/>
          <w:u w:val="single"/>
        </w:rPr>
        <w:tab/>
      </w:r>
      <w:r>
        <w:rPr>
          <w:rFonts w:hint="eastAsia"/>
          <w:szCs w:val="21"/>
          <w:u w:val="single"/>
        </w:rPr>
        <w:t xml:space="preserve">    </w:t>
      </w:r>
    </w:p>
    <w:p>
      <w:pPr>
        <w:spacing w:line="440" w:lineRule="exact"/>
        <w:ind w:firstLine="2640" w:firstLineChars="1200"/>
        <w:rPr>
          <w:szCs w:val="21"/>
        </w:rPr>
      </w:pPr>
      <w:r>
        <w:rPr>
          <w:rFonts w:hint="eastAsia"/>
          <w:szCs w:val="21"/>
        </w:rPr>
        <w:t>电    话：</w:t>
      </w:r>
      <w:r>
        <w:rPr>
          <w:rFonts w:hint="eastAsia"/>
          <w:szCs w:val="21"/>
          <w:u w:val="single"/>
        </w:rPr>
        <w:t xml:space="preserve">          </w:t>
      </w:r>
      <w:r>
        <w:rPr>
          <w:rFonts w:hint="eastAsia"/>
          <w:szCs w:val="21"/>
          <w:u w:val="single"/>
        </w:rPr>
        <w:tab/>
      </w:r>
      <w:r>
        <w:rPr>
          <w:rFonts w:hint="eastAsia"/>
          <w:szCs w:val="21"/>
          <w:u w:val="single"/>
        </w:rPr>
        <w:t xml:space="preserve">                          </w:t>
      </w:r>
      <w:r>
        <w:rPr>
          <w:rFonts w:hint="eastAsia"/>
          <w:szCs w:val="21"/>
          <w:u w:val="single"/>
        </w:rPr>
        <w:tab/>
      </w:r>
      <w:r>
        <w:rPr>
          <w:rFonts w:hint="eastAsia"/>
          <w:szCs w:val="21"/>
          <w:u w:val="single"/>
        </w:rPr>
        <w:t xml:space="preserve">    </w:t>
      </w:r>
    </w:p>
    <w:p>
      <w:pPr>
        <w:spacing w:line="440" w:lineRule="exact"/>
        <w:ind w:firstLine="2640" w:firstLineChars="1200"/>
        <w:rPr>
          <w:szCs w:val="21"/>
        </w:rPr>
      </w:pPr>
      <w:r>
        <w:rPr>
          <w:rFonts w:hint="eastAsia"/>
          <w:szCs w:val="21"/>
        </w:rPr>
        <w:t>传    真：</w:t>
      </w:r>
      <w:r>
        <w:rPr>
          <w:rFonts w:hint="eastAsia"/>
          <w:szCs w:val="21"/>
          <w:u w:val="single"/>
        </w:rPr>
        <w:t xml:space="preserve">          </w:t>
      </w:r>
      <w:r>
        <w:rPr>
          <w:rFonts w:hint="eastAsia"/>
          <w:szCs w:val="21"/>
          <w:u w:val="single"/>
        </w:rPr>
        <w:tab/>
      </w:r>
      <w:r>
        <w:rPr>
          <w:rFonts w:hint="eastAsia"/>
          <w:szCs w:val="21"/>
          <w:u w:val="single"/>
        </w:rPr>
        <w:t xml:space="preserve">                                </w:t>
      </w:r>
    </w:p>
    <w:p>
      <w:pPr>
        <w:spacing w:line="440" w:lineRule="exact"/>
        <w:ind w:firstLine="2640" w:firstLineChars="1200"/>
        <w:rPr>
          <w:szCs w:val="21"/>
        </w:rPr>
      </w:pPr>
      <w:r>
        <w:rPr>
          <w:rFonts w:hint="eastAsia"/>
          <w:szCs w:val="21"/>
        </w:rPr>
        <w:t>邮政编码：</w:t>
      </w:r>
      <w:r>
        <w:rPr>
          <w:rFonts w:hint="eastAsia"/>
          <w:szCs w:val="21"/>
          <w:u w:val="single"/>
        </w:rPr>
        <w:t xml:space="preserve">          </w:t>
      </w:r>
      <w:r>
        <w:rPr>
          <w:rFonts w:hint="eastAsia"/>
          <w:szCs w:val="21"/>
          <w:u w:val="single"/>
        </w:rPr>
        <w:tab/>
      </w:r>
      <w:r>
        <w:rPr>
          <w:rFonts w:hint="eastAsia"/>
          <w:szCs w:val="21"/>
          <w:u w:val="single"/>
        </w:rPr>
        <w:t xml:space="preserve">                                </w:t>
      </w:r>
    </w:p>
    <w:p>
      <w:pPr>
        <w:pStyle w:val="11"/>
        <w:tabs>
          <w:tab w:val="left" w:pos="6990"/>
          <w:tab w:val="left" w:pos="7830"/>
          <w:tab w:val="left" w:pos="8670"/>
        </w:tabs>
        <w:spacing w:before="171" w:line="360" w:lineRule="auto"/>
        <w:ind w:left="6359"/>
      </w:pPr>
      <w:r>
        <w:rPr>
          <w:rFonts w:hint="eastAsia"/>
        </w:rPr>
        <w:t xml:space="preserve">                                 </w:t>
      </w:r>
      <w:r>
        <w:rPr>
          <w:rFonts w:hint="eastAsia"/>
          <w:color w:val="000000"/>
          <w:u w:val="single"/>
        </w:rPr>
        <w:t xml:space="preserve">      </w:t>
      </w:r>
      <w:r>
        <w:rPr>
          <w:rFonts w:hint="eastAsia"/>
        </w:rPr>
        <w:t>年</w:t>
      </w:r>
      <w:r>
        <w:rPr>
          <w:rFonts w:hint="eastAsia"/>
          <w:color w:val="000000"/>
          <w:u w:val="single"/>
        </w:rPr>
        <w:t xml:space="preserve">      </w:t>
      </w:r>
      <w:r>
        <w:rPr>
          <w:rFonts w:hint="eastAsia"/>
        </w:rPr>
        <w:t>月</w:t>
      </w:r>
      <w:r>
        <w:rPr>
          <w:rFonts w:hint="eastAsia"/>
          <w:color w:val="000000"/>
          <w:u w:val="single"/>
        </w:rPr>
        <w:t xml:space="preserve">      </w:t>
      </w:r>
      <w:r>
        <w:rPr>
          <w:rFonts w:hint="eastAsia"/>
        </w:rPr>
        <w:t>日</w:t>
      </w:r>
    </w:p>
    <w:p>
      <w:pPr>
        <w:spacing w:line="360" w:lineRule="auto"/>
        <w:sectPr>
          <w:pgSz w:w="12240" w:h="15840"/>
          <w:pgMar w:top="1500" w:right="1100" w:bottom="1120" w:left="1560" w:header="0" w:footer="841" w:gutter="0"/>
          <w:cols w:space="720" w:num="1"/>
        </w:sectPr>
      </w:pPr>
    </w:p>
    <w:p>
      <w:pPr>
        <w:spacing w:before="43" w:line="360" w:lineRule="auto"/>
        <w:ind w:left="377"/>
        <w:rPr>
          <w:sz w:val="28"/>
        </w:rPr>
      </w:pPr>
      <w:bookmarkStart w:id="49" w:name="_bookmark178"/>
      <w:bookmarkEnd w:id="49"/>
      <w:r>
        <w:rPr>
          <w:rFonts w:hint="eastAsia"/>
          <w:sz w:val="28"/>
        </w:rPr>
        <w:t>（二）投标函附录</w:t>
      </w:r>
    </w:p>
    <w:p>
      <w:pPr>
        <w:pStyle w:val="11"/>
        <w:spacing w:line="360" w:lineRule="auto"/>
        <w:rPr>
          <w:sz w:val="20"/>
        </w:rPr>
      </w:pPr>
    </w:p>
    <w:p>
      <w:pPr>
        <w:pStyle w:val="11"/>
        <w:spacing w:before="9" w:line="360" w:lineRule="auto"/>
        <w:rPr>
          <w:sz w:val="20"/>
        </w:rPr>
      </w:pPr>
    </w:p>
    <w:tbl>
      <w:tblPr>
        <w:tblStyle w:val="21"/>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5"/>
        <w:gridCol w:w="3109"/>
        <w:gridCol w:w="2893"/>
        <w:gridCol w:w="1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375" w:type="dxa"/>
            <w:vAlign w:val="center"/>
          </w:tcPr>
          <w:p>
            <w:pPr>
              <w:pStyle w:val="28"/>
              <w:spacing w:before="59" w:line="360" w:lineRule="auto"/>
              <w:ind w:left="446" w:right="439"/>
              <w:jc w:val="center"/>
              <w:rPr>
                <w:b/>
                <w:sz w:val="21"/>
              </w:rPr>
            </w:pPr>
            <w:r>
              <w:rPr>
                <w:rFonts w:hint="eastAsia"/>
                <w:b/>
                <w:sz w:val="21"/>
              </w:rPr>
              <w:t>序号</w:t>
            </w:r>
          </w:p>
        </w:tc>
        <w:tc>
          <w:tcPr>
            <w:tcW w:w="3109" w:type="dxa"/>
            <w:vAlign w:val="center"/>
          </w:tcPr>
          <w:p>
            <w:pPr>
              <w:pStyle w:val="28"/>
              <w:spacing w:before="59" w:line="360" w:lineRule="auto"/>
              <w:ind w:left="218" w:right="210"/>
              <w:jc w:val="center"/>
              <w:rPr>
                <w:b/>
                <w:sz w:val="21"/>
              </w:rPr>
            </w:pPr>
            <w:r>
              <w:rPr>
                <w:rFonts w:hint="eastAsia"/>
                <w:b/>
                <w:sz w:val="21"/>
              </w:rPr>
              <w:t>条款名称</w:t>
            </w:r>
          </w:p>
        </w:tc>
        <w:tc>
          <w:tcPr>
            <w:tcW w:w="2893" w:type="dxa"/>
            <w:vAlign w:val="center"/>
          </w:tcPr>
          <w:p>
            <w:pPr>
              <w:pStyle w:val="28"/>
              <w:spacing w:before="59" w:line="360" w:lineRule="auto"/>
              <w:jc w:val="center"/>
              <w:rPr>
                <w:b/>
                <w:sz w:val="21"/>
              </w:rPr>
            </w:pPr>
            <w:r>
              <w:rPr>
                <w:rFonts w:hint="eastAsia"/>
                <w:b/>
                <w:sz w:val="21"/>
              </w:rPr>
              <w:t>约定内容</w:t>
            </w:r>
          </w:p>
        </w:tc>
        <w:tc>
          <w:tcPr>
            <w:tcW w:w="1881" w:type="dxa"/>
            <w:vAlign w:val="center"/>
          </w:tcPr>
          <w:p>
            <w:pPr>
              <w:pStyle w:val="28"/>
              <w:spacing w:before="59" w:line="360" w:lineRule="auto"/>
              <w:ind w:left="502" w:right="502"/>
              <w:jc w:val="center"/>
              <w:rPr>
                <w:b/>
                <w:sz w:val="21"/>
              </w:rPr>
            </w:pPr>
            <w:r>
              <w:rPr>
                <w:rFonts w:hint="eastAsia"/>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375" w:type="dxa"/>
            <w:vAlign w:val="center"/>
          </w:tcPr>
          <w:p>
            <w:pPr>
              <w:pStyle w:val="28"/>
              <w:spacing w:before="94" w:line="360" w:lineRule="auto"/>
              <w:ind w:left="7"/>
              <w:jc w:val="center"/>
              <w:rPr>
                <w:sz w:val="21"/>
              </w:rPr>
            </w:pPr>
            <w:r>
              <w:rPr>
                <w:rFonts w:hint="eastAsia"/>
                <w:sz w:val="21"/>
              </w:rPr>
              <w:t>1</w:t>
            </w:r>
          </w:p>
        </w:tc>
        <w:tc>
          <w:tcPr>
            <w:tcW w:w="3109" w:type="dxa"/>
            <w:vAlign w:val="center"/>
          </w:tcPr>
          <w:p>
            <w:pPr>
              <w:pStyle w:val="28"/>
              <w:spacing w:before="142" w:line="360" w:lineRule="auto"/>
              <w:ind w:left="218" w:leftChars="99" w:right="210"/>
              <w:rPr>
                <w:sz w:val="21"/>
              </w:rPr>
            </w:pPr>
            <w:r>
              <w:rPr>
                <w:rFonts w:hint="eastAsia"/>
                <w:sz w:val="21"/>
              </w:rPr>
              <w:t>总监理工程师</w:t>
            </w:r>
          </w:p>
        </w:tc>
        <w:tc>
          <w:tcPr>
            <w:tcW w:w="2893" w:type="dxa"/>
            <w:vAlign w:val="center"/>
          </w:tcPr>
          <w:p>
            <w:pPr>
              <w:spacing w:line="440" w:lineRule="exact"/>
            </w:pPr>
            <w:r>
              <w:rPr>
                <w:rFonts w:hint="eastAsia"/>
              </w:rPr>
              <w:t>姓名：</w:t>
            </w:r>
          </w:p>
          <w:p>
            <w:pPr>
              <w:spacing w:line="440" w:lineRule="exact"/>
            </w:pPr>
            <w:r>
              <w:rPr>
                <w:rFonts w:hint="eastAsia"/>
              </w:rPr>
              <w:t>技术职称 ：</w:t>
            </w:r>
          </w:p>
          <w:p>
            <w:pPr>
              <w:spacing w:line="440" w:lineRule="exact"/>
              <w:rPr>
                <w:sz w:val="21"/>
              </w:rPr>
            </w:pPr>
            <w:r>
              <w:rPr>
                <w:rFonts w:hint="eastAsia"/>
              </w:rPr>
              <w:t>注册证号：</w:t>
            </w:r>
          </w:p>
        </w:tc>
        <w:tc>
          <w:tcPr>
            <w:tcW w:w="1881" w:type="dxa"/>
            <w:vAlign w:val="center"/>
          </w:tcPr>
          <w:p>
            <w:pPr>
              <w:pStyle w:val="28"/>
              <w:spacing w:line="360" w:lineRule="auto"/>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1375" w:type="dxa"/>
            <w:vAlign w:val="center"/>
          </w:tcPr>
          <w:p>
            <w:pPr>
              <w:pStyle w:val="28"/>
              <w:spacing w:before="91" w:line="360" w:lineRule="auto"/>
              <w:ind w:left="7"/>
              <w:jc w:val="center"/>
              <w:rPr>
                <w:sz w:val="21"/>
              </w:rPr>
            </w:pPr>
            <w:r>
              <w:rPr>
                <w:rFonts w:hint="eastAsia"/>
                <w:sz w:val="21"/>
              </w:rPr>
              <w:t>2</w:t>
            </w:r>
          </w:p>
        </w:tc>
        <w:tc>
          <w:tcPr>
            <w:tcW w:w="3109" w:type="dxa"/>
            <w:vAlign w:val="center"/>
          </w:tcPr>
          <w:p>
            <w:pPr>
              <w:pStyle w:val="28"/>
              <w:spacing w:before="142" w:line="360" w:lineRule="auto"/>
              <w:ind w:left="218" w:leftChars="99" w:right="210"/>
              <w:rPr>
                <w:sz w:val="21"/>
              </w:rPr>
            </w:pPr>
            <w:r>
              <w:rPr>
                <w:rFonts w:hint="eastAsia"/>
                <w:sz w:val="21"/>
              </w:rPr>
              <w:t>监理服务期限</w:t>
            </w:r>
          </w:p>
        </w:tc>
        <w:tc>
          <w:tcPr>
            <w:tcW w:w="2893" w:type="dxa"/>
            <w:vAlign w:val="center"/>
          </w:tcPr>
          <w:p>
            <w:pPr>
              <w:spacing w:line="440" w:lineRule="exact"/>
              <w:rPr>
                <w:sz w:val="21"/>
              </w:rPr>
            </w:pPr>
            <w:r>
              <w:rPr>
                <w:rFonts w:hint="eastAsia"/>
              </w:rPr>
              <w:t>按招标文件要求</w:t>
            </w:r>
          </w:p>
        </w:tc>
        <w:tc>
          <w:tcPr>
            <w:tcW w:w="1881" w:type="dxa"/>
            <w:vAlign w:val="center"/>
          </w:tcPr>
          <w:p>
            <w:pPr>
              <w:pStyle w:val="28"/>
              <w:spacing w:line="360" w:lineRule="auto"/>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1375" w:type="dxa"/>
            <w:vAlign w:val="center"/>
          </w:tcPr>
          <w:p>
            <w:pPr>
              <w:pStyle w:val="28"/>
              <w:spacing w:before="94" w:line="360" w:lineRule="auto"/>
              <w:ind w:left="7"/>
              <w:jc w:val="center"/>
              <w:rPr>
                <w:sz w:val="21"/>
              </w:rPr>
            </w:pPr>
            <w:r>
              <w:rPr>
                <w:rFonts w:hint="eastAsia"/>
                <w:sz w:val="21"/>
              </w:rPr>
              <w:t>3</w:t>
            </w:r>
          </w:p>
        </w:tc>
        <w:tc>
          <w:tcPr>
            <w:tcW w:w="3109" w:type="dxa"/>
            <w:vAlign w:val="center"/>
          </w:tcPr>
          <w:p>
            <w:pPr>
              <w:pStyle w:val="28"/>
              <w:spacing w:before="142" w:line="360" w:lineRule="auto"/>
              <w:ind w:left="218" w:leftChars="99" w:right="210"/>
              <w:rPr>
                <w:sz w:val="21"/>
              </w:rPr>
            </w:pPr>
            <w:r>
              <w:rPr>
                <w:rFonts w:hint="eastAsia"/>
                <w:sz w:val="21"/>
              </w:rPr>
              <w:t>合同价款确定方式</w:t>
            </w:r>
          </w:p>
        </w:tc>
        <w:tc>
          <w:tcPr>
            <w:tcW w:w="2893" w:type="dxa"/>
            <w:vAlign w:val="center"/>
          </w:tcPr>
          <w:p>
            <w:pPr>
              <w:spacing w:line="440" w:lineRule="exact"/>
              <w:rPr>
                <w:sz w:val="21"/>
              </w:rPr>
            </w:pPr>
            <w:r>
              <w:rPr>
                <w:rFonts w:hint="eastAsia"/>
              </w:rPr>
              <w:t>按招标文件要求</w:t>
            </w:r>
          </w:p>
        </w:tc>
        <w:tc>
          <w:tcPr>
            <w:tcW w:w="1881" w:type="dxa"/>
            <w:vAlign w:val="center"/>
          </w:tcPr>
          <w:p>
            <w:pPr>
              <w:pStyle w:val="28"/>
              <w:spacing w:line="360" w:lineRule="auto"/>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1375" w:type="dxa"/>
            <w:vAlign w:val="center"/>
          </w:tcPr>
          <w:p>
            <w:pPr>
              <w:pStyle w:val="28"/>
              <w:spacing w:line="360" w:lineRule="auto"/>
              <w:ind w:left="446" w:right="439"/>
              <w:jc w:val="center"/>
              <w:rPr>
                <w:sz w:val="21"/>
              </w:rPr>
            </w:pPr>
            <w:r>
              <w:rPr>
                <w:rFonts w:hint="eastAsia"/>
                <w:sz w:val="21"/>
                <w:lang w:val="en-US"/>
              </w:rPr>
              <w:t>4</w:t>
            </w:r>
          </w:p>
        </w:tc>
        <w:tc>
          <w:tcPr>
            <w:tcW w:w="3109" w:type="dxa"/>
            <w:vAlign w:val="center"/>
          </w:tcPr>
          <w:p>
            <w:pPr>
              <w:spacing w:line="440" w:lineRule="exact"/>
              <w:ind w:left="218" w:leftChars="99"/>
              <w:rPr>
                <w:sz w:val="21"/>
              </w:rPr>
            </w:pPr>
            <w:r>
              <w:rPr>
                <w:rFonts w:hint="eastAsia"/>
              </w:rPr>
              <w:t>质量标准</w:t>
            </w:r>
          </w:p>
        </w:tc>
        <w:tc>
          <w:tcPr>
            <w:tcW w:w="2893" w:type="dxa"/>
            <w:vAlign w:val="center"/>
          </w:tcPr>
          <w:p>
            <w:pPr>
              <w:spacing w:line="440" w:lineRule="exact"/>
              <w:rPr>
                <w:sz w:val="21"/>
              </w:rPr>
            </w:pPr>
            <w:r>
              <w:rPr>
                <w:rFonts w:hint="eastAsia"/>
              </w:rPr>
              <w:t>按招标文件要求</w:t>
            </w:r>
          </w:p>
        </w:tc>
        <w:tc>
          <w:tcPr>
            <w:tcW w:w="1881" w:type="dxa"/>
            <w:vAlign w:val="center"/>
          </w:tcPr>
          <w:p>
            <w:pPr>
              <w:pStyle w:val="28"/>
              <w:spacing w:line="360" w:lineRule="auto"/>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trPr>
        <w:tc>
          <w:tcPr>
            <w:tcW w:w="1375" w:type="dxa"/>
            <w:vAlign w:val="center"/>
          </w:tcPr>
          <w:p>
            <w:pPr>
              <w:pStyle w:val="28"/>
              <w:spacing w:line="360" w:lineRule="auto"/>
              <w:ind w:left="446" w:right="439"/>
              <w:jc w:val="center"/>
              <w:rPr>
                <w:sz w:val="21"/>
                <w:lang w:val="en-US"/>
              </w:rPr>
            </w:pPr>
            <w:r>
              <w:rPr>
                <w:rFonts w:hint="eastAsia"/>
                <w:sz w:val="21"/>
                <w:lang w:val="en-US"/>
              </w:rPr>
              <w:t>5</w:t>
            </w:r>
          </w:p>
        </w:tc>
        <w:tc>
          <w:tcPr>
            <w:tcW w:w="3109" w:type="dxa"/>
            <w:vAlign w:val="center"/>
          </w:tcPr>
          <w:p>
            <w:pPr>
              <w:spacing w:line="440" w:lineRule="exact"/>
              <w:ind w:left="218" w:leftChars="99"/>
              <w:rPr>
                <w:sz w:val="21"/>
              </w:rPr>
            </w:pPr>
            <w:r>
              <w:rPr>
                <w:rFonts w:hint="eastAsia"/>
              </w:rPr>
              <w:t>监理人员</w:t>
            </w:r>
          </w:p>
        </w:tc>
        <w:tc>
          <w:tcPr>
            <w:tcW w:w="2893" w:type="dxa"/>
            <w:vAlign w:val="center"/>
          </w:tcPr>
          <w:p>
            <w:pPr>
              <w:spacing w:line="440" w:lineRule="exact"/>
            </w:pPr>
            <w:r>
              <w:rPr>
                <w:rFonts w:hint="eastAsia"/>
              </w:rPr>
              <w:t>驻场监理人数：</w:t>
            </w:r>
          </w:p>
          <w:p>
            <w:pPr>
              <w:spacing w:line="440" w:lineRule="exact"/>
              <w:rPr>
                <w:sz w:val="21"/>
              </w:rPr>
            </w:pPr>
            <w:r>
              <w:rPr>
                <w:rFonts w:hint="eastAsia"/>
              </w:rPr>
              <w:t>监理工程师人数:</w:t>
            </w:r>
          </w:p>
        </w:tc>
        <w:tc>
          <w:tcPr>
            <w:tcW w:w="1881" w:type="dxa"/>
            <w:vAlign w:val="center"/>
          </w:tcPr>
          <w:p>
            <w:pPr>
              <w:pStyle w:val="28"/>
              <w:spacing w:line="360" w:lineRule="auto"/>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trPr>
        <w:tc>
          <w:tcPr>
            <w:tcW w:w="1375" w:type="dxa"/>
            <w:vAlign w:val="center"/>
          </w:tcPr>
          <w:p>
            <w:pPr>
              <w:pStyle w:val="28"/>
              <w:spacing w:line="360" w:lineRule="auto"/>
              <w:ind w:left="446" w:right="439"/>
              <w:jc w:val="center"/>
              <w:rPr>
                <w:sz w:val="21"/>
                <w:lang w:val="en-US"/>
              </w:rPr>
            </w:pPr>
            <w:r>
              <w:rPr>
                <w:rFonts w:hint="eastAsia"/>
                <w:sz w:val="21"/>
                <w:lang w:val="en-US"/>
              </w:rPr>
              <w:t>6</w:t>
            </w:r>
          </w:p>
        </w:tc>
        <w:tc>
          <w:tcPr>
            <w:tcW w:w="3109" w:type="dxa"/>
            <w:vAlign w:val="center"/>
          </w:tcPr>
          <w:p>
            <w:pPr>
              <w:spacing w:line="440" w:lineRule="exact"/>
              <w:ind w:left="218" w:leftChars="99"/>
            </w:pPr>
            <w:r>
              <w:rPr>
                <w:rFonts w:hint="eastAsia"/>
              </w:rPr>
              <w:t>投标总报价（监理服务费报价）</w:t>
            </w:r>
          </w:p>
        </w:tc>
        <w:tc>
          <w:tcPr>
            <w:tcW w:w="2893" w:type="dxa"/>
            <w:vAlign w:val="center"/>
          </w:tcPr>
          <w:p>
            <w:pPr>
              <w:spacing w:line="440" w:lineRule="exact"/>
            </w:pPr>
            <w:r>
              <w:rPr>
                <w:rFonts w:hint="eastAsia"/>
              </w:rPr>
              <w:t>监理服务费报价（元）：</w:t>
            </w:r>
          </w:p>
        </w:tc>
        <w:tc>
          <w:tcPr>
            <w:tcW w:w="1881" w:type="dxa"/>
            <w:vAlign w:val="center"/>
          </w:tcPr>
          <w:p>
            <w:pPr>
              <w:pStyle w:val="28"/>
              <w:spacing w:line="360" w:lineRule="auto"/>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trPr>
        <w:tc>
          <w:tcPr>
            <w:tcW w:w="1375" w:type="dxa"/>
            <w:vAlign w:val="center"/>
          </w:tcPr>
          <w:p>
            <w:pPr>
              <w:pStyle w:val="28"/>
              <w:spacing w:line="360" w:lineRule="auto"/>
              <w:ind w:left="446" w:right="439"/>
              <w:jc w:val="center"/>
              <w:rPr>
                <w:sz w:val="21"/>
                <w:lang w:val="en-US"/>
              </w:rPr>
            </w:pPr>
            <w:r>
              <w:rPr>
                <w:rFonts w:hint="eastAsia"/>
                <w:sz w:val="21"/>
                <w:lang w:val="en-US"/>
              </w:rPr>
              <w:t>7</w:t>
            </w:r>
          </w:p>
        </w:tc>
        <w:tc>
          <w:tcPr>
            <w:tcW w:w="3109" w:type="dxa"/>
            <w:vAlign w:val="center"/>
          </w:tcPr>
          <w:p>
            <w:pPr>
              <w:spacing w:line="440" w:lineRule="exact"/>
              <w:ind w:left="218" w:leftChars="99"/>
              <w:rPr>
                <w:u w:val="single"/>
              </w:rPr>
            </w:pPr>
            <w:r>
              <w:rPr>
                <w:rFonts w:hint="eastAsia"/>
                <w:u w:val="single"/>
              </w:rPr>
              <w:t>监理费下浮率</w:t>
            </w:r>
          </w:p>
        </w:tc>
        <w:tc>
          <w:tcPr>
            <w:tcW w:w="2893" w:type="dxa"/>
            <w:vAlign w:val="center"/>
          </w:tcPr>
          <w:p>
            <w:pPr>
              <w:spacing w:line="440" w:lineRule="exact"/>
              <w:rPr>
                <w:u w:val="single"/>
              </w:rPr>
            </w:pPr>
            <w:r>
              <w:rPr>
                <w:rFonts w:hint="eastAsia"/>
                <w:u w:val="single"/>
              </w:rPr>
              <w:t>监理费下浮率：</w:t>
            </w:r>
          </w:p>
        </w:tc>
        <w:tc>
          <w:tcPr>
            <w:tcW w:w="1881" w:type="dxa"/>
            <w:vAlign w:val="center"/>
          </w:tcPr>
          <w:p>
            <w:pPr>
              <w:pStyle w:val="28"/>
              <w:spacing w:line="360" w:lineRule="auto"/>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trPr>
        <w:tc>
          <w:tcPr>
            <w:tcW w:w="1375" w:type="dxa"/>
            <w:vAlign w:val="center"/>
          </w:tcPr>
          <w:p>
            <w:pPr>
              <w:pStyle w:val="28"/>
              <w:spacing w:line="360" w:lineRule="auto"/>
              <w:ind w:left="446" w:right="439"/>
              <w:jc w:val="center"/>
              <w:rPr>
                <w:sz w:val="21"/>
                <w:lang w:val="en-US"/>
              </w:rPr>
            </w:pPr>
            <w:r>
              <w:rPr>
                <w:rFonts w:hint="eastAsia"/>
                <w:sz w:val="21"/>
                <w:lang w:val="en-US"/>
              </w:rPr>
              <w:t>8</w:t>
            </w:r>
          </w:p>
        </w:tc>
        <w:tc>
          <w:tcPr>
            <w:tcW w:w="3109" w:type="dxa"/>
            <w:vAlign w:val="center"/>
          </w:tcPr>
          <w:p>
            <w:pPr>
              <w:spacing w:line="440" w:lineRule="exact"/>
              <w:ind w:left="218" w:leftChars="99"/>
            </w:pPr>
            <w:r>
              <w:rPr>
                <w:rFonts w:hint="eastAsia"/>
              </w:rPr>
              <w:t>法 人 营 业</w:t>
            </w:r>
          </w:p>
          <w:p>
            <w:pPr>
              <w:spacing w:line="440" w:lineRule="exact"/>
              <w:ind w:left="218" w:leftChars="99"/>
            </w:pPr>
            <w:r>
              <w:rPr>
                <w:rFonts w:hint="eastAsia"/>
              </w:rPr>
              <w:t>执 照 证 号</w:t>
            </w:r>
          </w:p>
        </w:tc>
        <w:tc>
          <w:tcPr>
            <w:tcW w:w="2893" w:type="dxa"/>
            <w:vAlign w:val="center"/>
          </w:tcPr>
          <w:p>
            <w:pPr>
              <w:spacing w:line="440" w:lineRule="exact"/>
            </w:pPr>
            <w:r>
              <w:rPr>
                <w:rFonts w:hint="eastAsia"/>
              </w:rPr>
              <w:t>法 人 营 业</w:t>
            </w:r>
          </w:p>
          <w:p>
            <w:pPr>
              <w:spacing w:line="440" w:lineRule="exact"/>
            </w:pPr>
            <w:r>
              <w:rPr>
                <w:rFonts w:hint="eastAsia"/>
              </w:rPr>
              <w:t>执 照 证 号：</w:t>
            </w:r>
          </w:p>
        </w:tc>
        <w:tc>
          <w:tcPr>
            <w:tcW w:w="1881" w:type="dxa"/>
            <w:vAlign w:val="center"/>
          </w:tcPr>
          <w:p>
            <w:pPr>
              <w:pStyle w:val="28"/>
              <w:spacing w:line="360" w:lineRule="auto"/>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trPr>
        <w:tc>
          <w:tcPr>
            <w:tcW w:w="1375" w:type="dxa"/>
            <w:vAlign w:val="center"/>
          </w:tcPr>
          <w:p>
            <w:pPr>
              <w:pStyle w:val="28"/>
              <w:spacing w:line="360" w:lineRule="auto"/>
              <w:ind w:left="446" w:right="439"/>
              <w:jc w:val="center"/>
              <w:rPr>
                <w:sz w:val="21"/>
                <w:lang w:val="en-US"/>
              </w:rPr>
            </w:pPr>
            <w:r>
              <w:rPr>
                <w:rFonts w:hint="eastAsia"/>
                <w:sz w:val="21"/>
                <w:lang w:val="en-US"/>
              </w:rPr>
              <w:t>9</w:t>
            </w:r>
          </w:p>
        </w:tc>
        <w:tc>
          <w:tcPr>
            <w:tcW w:w="3109" w:type="dxa"/>
            <w:vAlign w:val="center"/>
          </w:tcPr>
          <w:p>
            <w:pPr>
              <w:spacing w:line="440" w:lineRule="exact"/>
              <w:ind w:left="218" w:leftChars="99"/>
            </w:pPr>
            <w:r>
              <w:rPr>
                <w:rFonts w:hint="eastAsia"/>
              </w:rPr>
              <w:t>资 质 等 级</w:t>
            </w:r>
          </w:p>
          <w:p>
            <w:pPr>
              <w:spacing w:line="440" w:lineRule="exact"/>
              <w:ind w:left="218" w:leftChars="99"/>
            </w:pPr>
            <w:r>
              <w:rPr>
                <w:rFonts w:hint="eastAsia"/>
              </w:rPr>
              <w:t>及 证 书 号</w:t>
            </w:r>
          </w:p>
        </w:tc>
        <w:tc>
          <w:tcPr>
            <w:tcW w:w="2893" w:type="dxa"/>
            <w:vAlign w:val="center"/>
          </w:tcPr>
          <w:p>
            <w:pPr>
              <w:spacing w:line="440" w:lineRule="exact"/>
            </w:pPr>
            <w:r>
              <w:rPr>
                <w:rFonts w:hint="eastAsia"/>
              </w:rPr>
              <w:t>资质等级：</w:t>
            </w:r>
          </w:p>
          <w:p>
            <w:pPr>
              <w:spacing w:line="440" w:lineRule="exact"/>
            </w:pPr>
            <w:r>
              <w:rPr>
                <w:rFonts w:hint="eastAsia"/>
              </w:rPr>
              <w:t>资质证书号：</w:t>
            </w:r>
          </w:p>
        </w:tc>
        <w:tc>
          <w:tcPr>
            <w:tcW w:w="1881" w:type="dxa"/>
            <w:vAlign w:val="center"/>
          </w:tcPr>
          <w:p>
            <w:pPr>
              <w:pStyle w:val="28"/>
              <w:spacing w:line="360" w:lineRule="auto"/>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trPr>
        <w:tc>
          <w:tcPr>
            <w:tcW w:w="1375" w:type="dxa"/>
            <w:vAlign w:val="center"/>
          </w:tcPr>
          <w:p>
            <w:pPr>
              <w:pStyle w:val="28"/>
              <w:spacing w:line="360" w:lineRule="auto"/>
              <w:ind w:left="446" w:right="439"/>
              <w:jc w:val="center"/>
              <w:rPr>
                <w:sz w:val="21"/>
                <w:lang w:val="en-US"/>
              </w:rPr>
            </w:pPr>
            <w:r>
              <w:rPr>
                <w:rFonts w:hint="eastAsia"/>
                <w:sz w:val="21"/>
                <w:lang w:val="en-US"/>
              </w:rPr>
              <w:t>10</w:t>
            </w:r>
          </w:p>
        </w:tc>
        <w:tc>
          <w:tcPr>
            <w:tcW w:w="3109" w:type="dxa"/>
            <w:vAlign w:val="center"/>
          </w:tcPr>
          <w:p>
            <w:pPr>
              <w:spacing w:line="440" w:lineRule="exact"/>
              <w:ind w:left="218" w:leftChars="99"/>
            </w:pPr>
            <w:r>
              <w:rPr>
                <w:rFonts w:hint="eastAsia"/>
              </w:rPr>
              <w:t>投标有效期</w:t>
            </w:r>
          </w:p>
        </w:tc>
        <w:tc>
          <w:tcPr>
            <w:tcW w:w="2893" w:type="dxa"/>
            <w:vAlign w:val="center"/>
          </w:tcPr>
          <w:p>
            <w:pPr>
              <w:spacing w:line="440" w:lineRule="exact"/>
            </w:pPr>
            <w:r>
              <w:rPr>
                <w:rFonts w:hint="eastAsia"/>
              </w:rPr>
              <w:t>按招标文件要求</w:t>
            </w:r>
          </w:p>
        </w:tc>
        <w:tc>
          <w:tcPr>
            <w:tcW w:w="1881" w:type="dxa"/>
            <w:vAlign w:val="center"/>
          </w:tcPr>
          <w:p>
            <w:pPr>
              <w:pStyle w:val="28"/>
              <w:spacing w:line="360" w:lineRule="auto"/>
              <w:jc w:val="center"/>
              <w:rPr>
                <w:sz w:val="20"/>
              </w:rPr>
            </w:pPr>
          </w:p>
        </w:tc>
      </w:tr>
    </w:tbl>
    <w:p>
      <w:pPr>
        <w:pStyle w:val="11"/>
        <w:spacing w:line="360" w:lineRule="auto"/>
        <w:rPr>
          <w:sz w:val="20"/>
        </w:rPr>
      </w:pPr>
    </w:p>
    <w:p>
      <w:pPr>
        <w:pStyle w:val="11"/>
        <w:spacing w:before="4" w:line="360" w:lineRule="auto"/>
        <w:rPr>
          <w:sz w:val="19"/>
        </w:rPr>
      </w:pPr>
    </w:p>
    <w:p>
      <w:pPr>
        <w:pStyle w:val="11"/>
        <w:tabs>
          <w:tab w:val="left" w:pos="7381"/>
        </w:tabs>
        <w:spacing w:before="78" w:line="360" w:lineRule="auto"/>
        <w:ind w:left="2761"/>
      </w:pPr>
      <w:r>
        <w:rPr>
          <w:rFonts w:hint="eastAsia"/>
        </w:rPr>
        <w:t>投 标 人</w:t>
      </w:r>
      <w:r>
        <w:rPr>
          <w:rFonts w:hint="eastAsia"/>
          <w:spacing w:val="-3"/>
        </w:rPr>
        <w:t>：</w:t>
      </w:r>
      <w:r>
        <w:rPr>
          <w:rFonts w:hint="eastAsia"/>
          <w:spacing w:val="-3"/>
          <w:u w:val="single"/>
        </w:rPr>
        <w:t xml:space="preserve"> </w:t>
      </w:r>
      <w:r>
        <w:rPr>
          <w:rFonts w:hint="eastAsia"/>
          <w:spacing w:val="-3"/>
          <w:u w:val="single"/>
        </w:rPr>
        <w:tab/>
      </w:r>
      <w:r>
        <w:rPr>
          <w:rFonts w:hint="eastAsia"/>
        </w:rPr>
        <w:t>（盖</w:t>
      </w:r>
      <w:r>
        <w:rPr>
          <w:rFonts w:hint="eastAsia"/>
          <w:spacing w:val="-3"/>
        </w:rPr>
        <w:t>单</w:t>
      </w:r>
      <w:r>
        <w:rPr>
          <w:rFonts w:hint="eastAsia"/>
        </w:rPr>
        <w:t>位</w:t>
      </w:r>
      <w:r>
        <w:rPr>
          <w:rFonts w:hint="eastAsia"/>
          <w:spacing w:val="-3"/>
        </w:rPr>
        <w:t>章</w:t>
      </w:r>
      <w:r>
        <w:rPr>
          <w:rFonts w:hint="eastAsia"/>
        </w:rPr>
        <w:t>）</w:t>
      </w:r>
    </w:p>
    <w:p>
      <w:pPr>
        <w:pStyle w:val="11"/>
        <w:tabs>
          <w:tab w:val="left" w:pos="6541"/>
        </w:tabs>
        <w:spacing w:before="173" w:line="360" w:lineRule="auto"/>
        <w:ind w:left="2761"/>
      </w:pPr>
      <w:r>
        <w:rPr>
          <w:rFonts w:hint="eastAsia"/>
        </w:rPr>
        <w:t>法</w:t>
      </w:r>
      <w:r>
        <w:rPr>
          <w:rFonts w:hint="eastAsia"/>
          <w:spacing w:val="-3"/>
        </w:rPr>
        <w:t>定</w:t>
      </w:r>
      <w:r>
        <w:rPr>
          <w:rFonts w:hint="eastAsia"/>
        </w:rPr>
        <w:t>代</w:t>
      </w:r>
      <w:r>
        <w:rPr>
          <w:rFonts w:hint="eastAsia"/>
          <w:spacing w:val="-3"/>
        </w:rPr>
        <w:t>表</w:t>
      </w:r>
      <w:r>
        <w:rPr>
          <w:rFonts w:hint="eastAsia"/>
        </w:rPr>
        <w:t>人</w:t>
      </w:r>
      <w:r>
        <w:rPr>
          <w:rFonts w:hint="eastAsia"/>
          <w:spacing w:val="-3"/>
        </w:rPr>
        <w:t>或</w:t>
      </w:r>
      <w:r>
        <w:rPr>
          <w:rFonts w:hint="eastAsia"/>
        </w:rPr>
        <w:t>其</w:t>
      </w:r>
      <w:r>
        <w:rPr>
          <w:rFonts w:hint="eastAsia"/>
          <w:spacing w:val="-3"/>
        </w:rPr>
        <w:t>委</w:t>
      </w:r>
      <w:r>
        <w:rPr>
          <w:rFonts w:hint="eastAsia"/>
        </w:rPr>
        <w:t>托</w:t>
      </w:r>
      <w:r>
        <w:rPr>
          <w:rFonts w:hint="eastAsia"/>
          <w:spacing w:val="-3"/>
        </w:rPr>
        <w:t>代理</w:t>
      </w:r>
      <w:r>
        <w:rPr>
          <w:rFonts w:hint="eastAsia"/>
        </w:rPr>
        <w:t>人：</w:t>
      </w:r>
      <w:r>
        <w:rPr>
          <w:rFonts w:hint="eastAsia"/>
          <w:u w:val="single"/>
        </w:rPr>
        <w:t xml:space="preserve"> </w:t>
      </w:r>
      <w:r>
        <w:rPr>
          <w:rFonts w:hint="eastAsia"/>
          <w:u w:val="single"/>
        </w:rPr>
        <w:tab/>
      </w:r>
      <w:r>
        <w:rPr>
          <w:rFonts w:hint="eastAsia"/>
        </w:rPr>
        <w:t>（签</w:t>
      </w:r>
      <w:r>
        <w:rPr>
          <w:rFonts w:hint="eastAsia"/>
          <w:spacing w:val="-3"/>
        </w:rPr>
        <w:t>字</w:t>
      </w:r>
      <w:r>
        <w:rPr>
          <w:rFonts w:hint="eastAsia"/>
        </w:rPr>
        <w:t>）</w:t>
      </w:r>
    </w:p>
    <w:p>
      <w:pPr>
        <w:pStyle w:val="11"/>
        <w:tabs>
          <w:tab w:val="left" w:pos="6990"/>
          <w:tab w:val="left" w:pos="7830"/>
          <w:tab w:val="left" w:pos="8670"/>
        </w:tabs>
        <w:spacing w:before="170" w:line="360" w:lineRule="auto"/>
        <w:ind w:left="6359"/>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pPr>
        <w:spacing w:line="360" w:lineRule="auto"/>
        <w:sectPr>
          <w:pgSz w:w="12240" w:h="15840"/>
          <w:pgMar w:top="1400" w:right="1100" w:bottom="1120" w:left="1560" w:header="0" w:footer="841" w:gutter="0"/>
          <w:cols w:space="720" w:num="1"/>
        </w:sectPr>
      </w:pPr>
    </w:p>
    <w:p>
      <w:pPr>
        <w:spacing w:line="360" w:lineRule="auto"/>
        <w:ind w:right="457"/>
        <w:jc w:val="center"/>
        <w:rPr>
          <w:b/>
          <w:sz w:val="32"/>
        </w:rPr>
      </w:pPr>
      <w:bookmarkStart w:id="50" w:name="_bookmark179"/>
      <w:bookmarkEnd w:id="50"/>
      <w:r>
        <w:rPr>
          <w:rFonts w:hint="eastAsia"/>
          <w:b/>
          <w:sz w:val="32"/>
        </w:rPr>
        <w:t>二、法定代表人身份证明（格式可自拟）</w:t>
      </w:r>
    </w:p>
    <w:p>
      <w:pPr>
        <w:pStyle w:val="11"/>
        <w:spacing w:line="360" w:lineRule="auto"/>
        <w:rPr>
          <w:b/>
          <w:sz w:val="32"/>
        </w:rPr>
      </w:pPr>
    </w:p>
    <w:p>
      <w:pPr>
        <w:pStyle w:val="11"/>
        <w:spacing w:line="360" w:lineRule="auto"/>
        <w:rPr>
          <w:b/>
          <w:sz w:val="32"/>
        </w:rPr>
      </w:pPr>
    </w:p>
    <w:p>
      <w:pPr>
        <w:pStyle w:val="11"/>
        <w:spacing w:before="3" w:line="360" w:lineRule="auto"/>
        <w:rPr>
          <w:b/>
          <w:sz w:val="18"/>
        </w:rPr>
      </w:pPr>
    </w:p>
    <w:p>
      <w:pPr>
        <w:pStyle w:val="11"/>
        <w:tabs>
          <w:tab w:val="left" w:pos="4068"/>
        </w:tabs>
        <w:spacing w:line="360" w:lineRule="auto"/>
        <w:ind w:left="240"/>
      </w:pPr>
      <w:r>
        <w:rPr>
          <w:rFonts w:hint="eastAsia"/>
          <w:spacing w:val="-1"/>
        </w:rPr>
        <w:t>投</w:t>
      </w:r>
      <w:r>
        <w:rPr>
          <w:rFonts w:hint="eastAsia"/>
        </w:rPr>
        <w:t>标</w:t>
      </w:r>
      <w:r>
        <w:rPr>
          <w:rFonts w:hint="eastAsia"/>
          <w:spacing w:val="-3"/>
        </w:rPr>
        <w:t>人</w:t>
      </w:r>
      <w:r>
        <w:rPr>
          <w:rFonts w:hint="eastAsia"/>
        </w:rPr>
        <w:t>名</w:t>
      </w:r>
      <w:r>
        <w:rPr>
          <w:rFonts w:hint="eastAsia"/>
          <w:spacing w:val="-3"/>
        </w:rPr>
        <w:t>称</w:t>
      </w:r>
      <w:r>
        <w:rPr>
          <w:rFonts w:hint="eastAsia"/>
        </w:rPr>
        <w:t>：</w:t>
      </w:r>
      <w:r>
        <w:rPr>
          <w:rFonts w:hint="eastAsia"/>
          <w:u w:val="single"/>
        </w:rPr>
        <w:t xml:space="preserve"> </w:t>
      </w:r>
      <w:r>
        <w:rPr>
          <w:rFonts w:hint="eastAsia"/>
          <w:u w:val="single"/>
        </w:rPr>
        <w:tab/>
      </w:r>
    </w:p>
    <w:p>
      <w:pPr>
        <w:pStyle w:val="11"/>
        <w:tabs>
          <w:tab w:val="left" w:pos="2552"/>
          <w:tab w:val="left" w:pos="4023"/>
          <w:tab w:val="left" w:pos="5492"/>
          <w:tab w:val="left" w:pos="7009"/>
        </w:tabs>
        <w:spacing w:before="170" w:line="360" w:lineRule="auto"/>
        <w:ind w:left="240"/>
      </w:pPr>
      <w:r>
        <w:rPr>
          <w:rFonts w:hint="eastAsia"/>
        </w:rPr>
        <w:t>姓名</w:t>
      </w:r>
      <w:r>
        <w:rPr>
          <w:rFonts w:hint="eastAsia"/>
          <w:spacing w:val="-3"/>
        </w:rPr>
        <w:t>：</w:t>
      </w:r>
      <w:r>
        <w:rPr>
          <w:rFonts w:hint="eastAsia"/>
          <w:spacing w:val="-3"/>
          <w:u w:val="single"/>
        </w:rPr>
        <w:t xml:space="preserve"> </w:t>
      </w:r>
      <w:r>
        <w:rPr>
          <w:rFonts w:hint="eastAsia"/>
          <w:spacing w:val="-3"/>
          <w:u w:val="single"/>
        </w:rPr>
        <w:tab/>
      </w:r>
      <w:r>
        <w:rPr>
          <w:rFonts w:hint="eastAsia"/>
        </w:rPr>
        <w:t>性别</w:t>
      </w:r>
      <w:r>
        <w:rPr>
          <w:rFonts w:hint="eastAsia"/>
          <w:spacing w:val="-3"/>
        </w:rPr>
        <w:t>：</w:t>
      </w:r>
      <w:r>
        <w:rPr>
          <w:rFonts w:hint="eastAsia"/>
          <w:spacing w:val="-3"/>
          <w:u w:val="single"/>
        </w:rPr>
        <w:t xml:space="preserve"> </w:t>
      </w:r>
      <w:r>
        <w:rPr>
          <w:rFonts w:hint="eastAsia"/>
          <w:spacing w:val="-3"/>
          <w:u w:val="single"/>
        </w:rPr>
        <w:tab/>
      </w:r>
      <w:r>
        <w:rPr>
          <w:rFonts w:hint="eastAsia"/>
        </w:rPr>
        <w:t>年</w:t>
      </w:r>
      <w:r>
        <w:rPr>
          <w:rFonts w:hint="eastAsia"/>
          <w:spacing w:val="-3"/>
        </w:rPr>
        <w:t>龄</w:t>
      </w:r>
      <w:r>
        <w:rPr>
          <w:rFonts w:hint="eastAsia"/>
        </w:rPr>
        <w:t>：</w:t>
      </w:r>
      <w:r>
        <w:rPr>
          <w:rFonts w:hint="eastAsia"/>
          <w:u w:val="single"/>
        </w:rPr>
        <w:t xml:space="preserve"> </w:t>
      </w:r>
      <w:r>
        <w:rPr>
          <w:rFonts w:hint="eastAsia"/>
          <w:u w:val="single"/>
        </w:rPr>
        <w:tab/>
      </w:r>
      <w:r>
        <w:rPr>
          <w:rFonts w:hint="eastAsia"/>
          <w:spacing w:val="-1"/>
        </w:rPr>
        <w:t>职</w:t>
      </w:r>
      <w:r>
        <w:rPr>
          <w:rFonts w:hint="eastAsia"/>
          <w:spacing w:val="-3"/>
        </w:rPr>
        <w:t>务</w:t>
      </w:r>
      <w:r>
        <w:rPr>
          <w:rFonts w:hint="eastAsia"/>
        </w:rPr>
        <w:t>：</w:t>
      </w:r>
      <w:r>
        <w:rPr>
          <w:rFonts w:hint="eastAsia"/>
          <w:u w:val="single"/>
        </w:rPr>
        <w:t xml:space="preserve"> </w:t>
      </w:r>
      <w:r>
        <w:rPr>
          <w:rFonts w:hint="eastAsia"/>
          <w:u w:val="single"/>
        </w:rPr>
        <w:tab/>
      </w:r>
    </w:p>
    <w:p>
      <w:pPr>
        <w:pStyle w:val="11"/>
        <w:tabs>
          <w:tab w:val="left" w:pos="2972"/>
        </w:tabs>
        <w:spacing w:before="173" w:line="360" w:lineRule="auto"/>
        <w:ind w:left="240"/>
      </w:pPr>
      <w:r>
        <w:rPr>
          <w:rFonts w:hint="eastAsia"/>
        </w:rPr>
        <w:t>系</w:t>
      </w:r>
      <w:r>
        <w:rPr>
          <w:rFonts w:hint="eastAsia"/>
          <w:u w:val="single"/>
        </w:rPr>
        <w:t xml:space="preserve"> </w:t>
      </w:r>
      <w:r>
        <w:rPr>
          <w:rFonts w:hint="eastAsia"/>
          <w:u w:val="single"/>
        </w:rPr>
        <w:tab/>
      </w:r>
      <w:r>
        <w:rPr>
          <w:rFonts w:hint="eastAsia"/>
          <w:spacing w:val="-3"/>
        </w:rPr>
        <w:t>（</w:t>
      </w:r>
      <w:r>
        <w:rPr>
          <w:rFonts w:hint="eastAsia"/>
        </w:rPr>
        <w:t>投</w:t>
      </w:r>
      <w:r>
        <w:rPr>
          <w:rFonts w:hint="eastAsia"/>
          <w:spacing w:val="-3"/>
        </w:rPr>
        <w:t>标</w:t>
      </w:r>
      <w:r>
        <w:rPr>
          <w:rFonts w:hint="eastAsia"/>
        </w:rPr>
        <w:t>人</w:t>
      </w:r>
      <w:r>
        <w:rPr>
          <w:rFonts w:hint="eastAsia"/>
          <w:spacing w:val="-3"/>
        </w:rPr>
        <w:t>名</w:t>
      </w:r>
      <w:r>
        <w:rPr>
          <w:rFonts w:hint="eastAsia"/>
        </w:rPr>
        <w:t>称</w:t>
      </w:r>
      <w:r>
        <w:rPr>
          <w:rFonts w:hint="eastAsia"/>
          <w:spacing w:val="-3"/>
        </w:rPr>
        <w:t>）</w:t>
      </w:r>
      <w:r>
        <w:rPr>
          <w:rFonts w:hint="eastAsia"/>
        </w:rPr>
        <w:t>的</w:t>
      </w:r>
      <w:r>
        <w:rPr>
          <w:rFonts w:hint="eastAsia"/>
          <w:spacing w:val="-3"/>
        </w:rPr>
        <w:t>法定</w:t>
      </w:r>
      <w:r>
        <w:rPr>
          <w:rFonts w:hint="eastAsia"/>
        </w:rPr>
        <w:t>代表</w:t>
      </w:r>
      <w:r>
        <w:rPr>
          <w:rFonts w:hint="eastAsia"/>
          <w:spacing w:val="-3"/>
        </w:rPr>
        <w:t>人</w:t>
      </w:r>
      <w:r>
        <w:rPr>
          <w:rFonts w:hint="eastAsia"/>
        </w:rPr>
        <w:t>。</w:t>
      </w:r>
    </w:p>
    <w:p>
      <w:pPr>
        <w:pStyle w:val="11"/>
        <w:spacing w:before="170" w:line="360" w:lineRule="auto"/>
        <w:ind w:left="660"/>
      </w:pPr>
      <w:r>
        <w:rPr>
          <w:rFonts w:hint="eastAsia"/>
        </w:rPr>
        <w:t>特此证明。</w:t>
      </w:r>
    </w:p>
    <w:p>
      <w:pPr>
        <w:pStyle w:val="11"/>
        <w:spacing w:line="360" w:lineRule="auto"/>
        <w:rPr>
          <w:sz w:val="20"/>
        </w:rPr>
      </w:pPr>
    </w:p>
    <w:p>
      <w:pPr>
        <w:pStyle w:val="11"/>
        <w:spacing w:before="10" w:line="360" w:lineRule="auto"/>
        <w:rPr>
          <w:sz w:val="27"/>
        </w:rPr>
      </w:pPr>
    </w:p>
    <w:p>
      <w:pPr>
        <w:pStyle w:val="11"/>
        <w:spacing w:line="360" w:lineRule="auto"/>
        <w:ind w:left="240"/>
      </w:pPr>
      <w:r>
        <w:rPr>
          <w:rFonts w:hint="eastAsia"/>
        </w:rPr>
        <w:t>附：法定代表人身份证复印件。</w:t>
      </w:r>
    </w:p>
    <w:p>
      <w:pPr>
        <w:pStyle w:val="11"/>
        <w:spacing w:line="360" w:lineRule="auto"/>
        <w:rPr>
          <w:sz w:val="20"/>
        </w:rPr>
      </w:pPr>
    </w:p>
    <w:p>
      <w:pPr>
        <w:pStyle w:val="11"/>
        <w:spacing w:before="7" w:line="360" w:lineRule="auto"/>
        <w:rPr>
          <w:sz w:val="27"/>
        </w:rPr>
      </w:pPr>
    </w:p>
    <w:p>
      <w:pPr>
        <w:pStyle w:val="11"/>
        <w:spacing w:line="360" w:lineRule="auto"/>
        <w:ind w:left="240"/>
      </w:pPr>
      <w:r>
        <w:rPr>
          <w:rFonts w:hint="eastAsia"/>
        </w:rPr>
        <w:t>注：本身份证明需由投标人加盖单位公章。</w:t>
      </w:r>
    </w:p>
    <w:p>
      <w:pPr>
        <w:pStyle w:val="11"/>
        <w:spacing w:line="360" w:lineRule="auto"/>
        <w:rPr>
          <w:sz w:val="20"/>
        </w:rPr>
      </w:pPr>
    </w:p>
    <w:p>
      <w:pPr>
        <w:pStyle w:val="11"/>
        <w:spacing w:line="360" w:lineRule="auto"/>
        <w:rPr>
          <w:sz w:val="20"/>
        </w:rPr>
      </w:pPr>
    </w:p>
    <w:p>
      <w:pPr>
        <w:pStyle w:val="11"/>
        <w:spacing w:line="360" w:lineRule="auto"/>
        <w:rPr>
          <w:sz w:val="20"/>
        </w:rPr>
      </w:pPr>
    </w:p>
    <w:p>
      <w:pPr>
        <w:pStyle w:val="11"/>
        <w:spacing w:before="12" w:line="360" w:lineRule="auto"/>
        <w:rPr>
          <w:sz w:val="15"/>
        </w:rPr>
      </w:pPr>
    </w:p>
    <w:p>
      <w:pPr>
        <w:pStyle w:val="11"/>
        <w:tabs>
          <w:tab w:val="left" w:pos="6661"/>
        </w:tabs>
        <w:spacing w:before="79" w:line="360" w:lineRule="auto"/>
        <w:ind w:left="4352"/>
      </w:pPr>
      <w:r>
        <w:rPr>
          <w:rFonts w:hint="eastAsia"/>
          <w:spacing w:val="-3"/>
        </w:rPr>
        <w:t>投</w:t>
      </w:r>
      <w:r>
        <w:rPr>
          <w:rFonts w:hint="eastAsia"/>
        </w:rPr>
        <w:t>标</w:t>
      </w:r>
      <w:r>
        <w:rPr>
          <w:rFonts w:hint="eastAsia"/>
          <w:spacing w:val="-3"/>
        </w:rPr>
        <w:t>人</w:t>
      </w:r>
      <w:r>
        <w:rPr>
          <w:rFonts w:hint="eastAsia"/>
        </w:rPr>
        <w:t>：</w:t>
      </w:r>
      <w:r>
        <w:rPr>
          <w:rFonts w:hint="eastAsia"/>
          <w:u w:val="single"/>
        </w:rPr>
        <w:t xml:space="preserve"> </w:t>
      </w:r>
      <w:r>
        <w:rPr>
          <w:rFonts w:hint="eastAsia"/>
          <w:u w:val="single"/>
        </w:rPr>
        <w:tab/>
      </w:r>
      <w:r>
        <w:rPr>
          <w:rFonts w:hint="eastAsia"/>
        </w:rPr>
        <w:t>（盖</w:t>
      </w:r>
      <w:r>
        <w:rPr>
          <w:rFonts w:hint="eastAsia"/>
          <w:spacing w:val="-3"/>
        </w:rPr>
        <w:t>单</w:t>
      </w:r>
      <w:r>
        <w:rPr>
          <w:rFonts w:hint="eastAsia"/>
        </w:rPr>
        <w:t>位</w:t>
      </w:r>
      <w:r>
        <w:rPr>
          <w:rFonts w:hint="eastAsia"/>
          <w:spacing w:val="-3"/>
        </w:rPr>
        <w:t>章</w:t>
      </w:r>
      <w:r>
        <w:rPr>
          <w:rFonts w:hint="eastAsia"/>
        </w:rPr>
        <w:t>）</w:t>
      </w:r>
    </w:p>
    <w:p>
      <w:pPr>
        <w:pStyle w:val="11"/>
        <w:spacing w:line="360" w:lineRule="auto"/>
        <w:rPr>
          <w:sz w:val="20"/>
        </w:rPr>
      </w:pPr>
    </w:p>
    <w:p>
      <w:pPr>
        <w:pStyle w:val="11"/>
        <w:spacing w:before="1" w:line="360" w:lineRule="auto"/>
        <w:rPr>
          <w:sz w:val="22"/>
        </w:rPr>
      </w:pPr>
    </w:p>
    <w:p>
      <w:pPr>
        <w:pStyle w:val="11"/>
        <w:tabs>
          <w:tab w:val="left" w:pos="5492"/>
          <w:tab w:val="left" w:pos="6332"/>
          <w:tab w:val="left" w:pos="7172"/>
        </w:tabs>
        <w:spacing w:before="72" w:line="360" w:lineRule="auto"/>
        <w:ind w:left="4861"/>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rPr>
        <w:t>月</w:t>
      </w:r>
      <w:r>
        <w:rPr>
          <w:rFonts w:hint="eastAsia"/>
          <w:u w:val="single"/>
        </w:rPr>
        <w:t xml:space="preserve"> </w:t>
      </w:r>
      <w:r>
        <w:rPr>
          <w:rFonts w:hint="eastAsia"/>
          <w:u w:val="single"/>
        </w:rPr>
        <w:tab/>
      </w:r>
      <w:r>
        <w:rPr>
          <w:rFonts w:hint="eastAsia"/>
        </w:rPr>
        <w:t>日</w:t>
      </w:r>
    </w:p>
    <w:p>
      <w:pPr>
        <w:spacing w:line="360" w:lineRule="auto"/>
        <w:sectPr>
          <w:pgSz w:w="12240" w:h="15840"/>
          <w:pgMar w:top="1400" w:right="1100" w:bottom="1120" w:left="1560" w:header="0" w:footer="841" w:gutter="0"/>
          <w:cols w:space="720" w:num="1"/>
        </w:sectPr>
      </w:pPr>
    </w:p>
    <w:p>
      <w:pPr>
        <w:spacing w:line="360" w:lineRule="auto"/>
        <w:ind w:right="459"/>
        <w:jc w:val="center"/>
        <w:rPr>
          <w:b/>
          <w:sz w:val="32"/>
        </w:rPr>
      </w:pPr>
      <w:bookmarkStart w:id="51" w:name="_bookmark180"/>
      <w:bookmarkEnd w:id="51"/>
      <w:r>
        <w:rPr>
          <w:rFonts w:hint="eastAsia"/>
          <w:b/>
          <w:sz w:val="32"/>
        </w:rPr>
        <w:t>三、授权委托书（格式可自拟）</w:t>
      </w:r>
    </w:p>
    <w:p>
      <w:pPr>
        <w:pStyle w:val="11"/>
        <w:spacing w:line="360" w:lineRule="auto"/>
        <w:rPr>
          <w:b/>
          <w:sz w:val="32"/>
        </w:rPr>
      </w:pPr>
    </w:p>
    <w:p>
      <w:pPr>
        <w:pStyle w:val="11"/>
        <w:spacing w:before="5" w:line="360" w:lineRule="auto"/>
        <w:rPr>
          <w:b/>
          <w:sz w:val="26"/>
        </w:rPr>
      </w:pPr>
    </w:p>
    <w:p>
      <w:pPr>
        <w:pStyle w:val="11"/>
        <w:tabs>
          <w:tab w:val="left" w:pos="2561"/>
          <w:tab w:val="left" w:pos="5725"/>
        </w:tabs>
        <w:spacing w:line="360" w:lineRule="auto"/>
        <w:ind w:left="660"/>
      </w:pPr>
      <w:r>
        <w:rPr>
          <w:rFonts w:hint="eastAsia"/>
        </w:rPr>
        <w:t>本人</w:t>
      </w:r>
      <w:r>
        <w:rPr>
          <w:rFonts w:hint="eastAsia"/>
          <w:u w:val="single"/>
        </w:rPr>
        <w:t xml:space="preserve"> </w:t>
      </w:r>
      <w:r>
        <w:rPr>
          <w:rFonts w:hint="eastAsia"/>
          <w:u w:val="single"/>
        </w:rPr>
        <w:tab/>
      </w:r>
      <w:r>
        <w:rPr>
          <w:rFonts w:hint="eastAsia"/>
        </w:rPr>
        <w:t>（</w:t>
      </w:r>
      <w:r>
        <w:rPr>
          <w:rFonts w:hint="eastAsia"/>
          <w:spacing w:val="-3"/>
        </w:rPr>
        <w:t>姓</w:t>
      </w:r>
      <w:r>
        <w:rPr>
          <w:rFonts w:hint="eastAsia"/>
        </w:rPr>
        <w:t>名）系</w:t>
      </w:r>
      <w:r>
        <w:rPr>
          <w:rFonts w:hint="eastAsia"/>
          <w:u w:val="single"/>
        </w:rPr>
        <w:t xml:space="preserve"> </w:t>
      </w:r>
      <w:r>
        <w:rPr>
          <w:rFonts w:hint="eastAsia"/>
          <w:u w:val="single"/>
        </w:rPr>
        <w:tab/>
      </w:r>
      <w:r>
        <w:rPr>
          <w:rFonts w:hint="eastAsia"/>
        </w:rPr>
        <w:t>（投标人</w:t>
      </w:r>
      <w:r>
        <w:rPr>
          <w:rFonts w:hint="eastAsia"/>
          <w:spacing w:val="-3"/>
        </w:rPr>
        <w:t>名</w:t>
      </w:r>
      <w:r>
        <w:rPr>
          <w:rFonts w:hint="eastAsia"/>
        </w:rPr>
        <w:t>称）的</w:t>
      </w:r>
      <w:r>
        <w:rPr>
          <w:rFonts w:hint="eastAsia"/>
          <w:spacing w:val="-3"/>
        </w:rPr>
        <w:t>法定</w:t>
      </w:r>
      <w:r>
        <w:rPr>
          <w:rFonts w:hint="eastAsia"/>
        </w:rPr>
        <w:t>代表人</w:t>
      </w:r>
      <w:r>
        <w:rPr>
          <w:rFonts w:hint="eastAsia"/>
          <w:spacing w:val="-3"/>
        </w:rPr>
        <w:t>，</w:t>
      </w:r>
      <w:r>
        <w:rPr>
          <w:rFonts w:hint="eastAsia"/>
        </w:rPr>
        <w:t>现</w:t>
      </w:r>
    </w:p>
    <w:p>
      <w:pPr>
        <w:pStyle w:val="11"/>
        <w:tabs>
          <w:tab w:val="left" w:pos="1929"/>
        </w:tabs>
        <w:spacing w:before="170" w:line="360" w:lineRule="auto"/>
        <w:ind w:left="240"/>
      </w:pPr>
      <w:r>
        <w:rPr>
          <w:rFonts w:hint="eastAsia"/>
        </w:rPr>
        <w:t>委托</w:t>
      </w:r>
      <w:r>
        <w:rPr>
          <w:rFonts w:hint="eastAsia"/>
          <w:u w:val="single"/>
        </w:rPr>
        <w:t xml:space="preserve"> </w:t>
      </w:r>
      <w:r>
        <w:rPr>
          <w:rFonts w:hint="eastAsia"/>
          <w:u w:val="single"/>
        </w:rPr>
        <w:tab/>
      </w:r>
      <w:r>
        <w:rPr>
          <w:rFonts w:hint="eastAsia"/>
        </w:rPr>
        <w:t>（姓</w:t>
      </w:r>
      <w:r>
        <w:rPr>
          <w:rFonts w:hint="eastAsia"/>
          <w:spacing w:val="-3"/>
        </w:rPr>
        <w:t>名</w:t>
      </w:r>
      <w:r>
        <w:rPr>
          <w:rFonts w:hint="eastAsia"/>
        </w:rPr>
        <w:t>）为我方代</w:t>
      </w:r>
      <w:r>
        <w:rPr>
          <w:rFonts w:hint="eastAsia"/>
          <w:spacing w:val="-3"/>
        </w:rPr>
        <w:t>理</w:t>
      </w:r>
      <w:r>
        <w:rPr>
          <w:rFonts w:hint="eastAsia"/>
        </w:rPr>
        <w:t>人。代理</w:t>
      </w:r>
      <w:r>
        <w:rPr>
          <w:rFonts w:hint="eastAsia"/>
          <w:spacing w:val="-3"/>
        </w:rPr>
        <w:t>人</w:t>
      </w:r>
      <w:r>
        <w:rPr>
          <w:rFonts w:hint="eastAsia"/>
        </w:rPr>
        <w:t>根据授权，</w:t>
      </w:r>
      <w:r>
        <w:rPr>
          <w:rFonts w:hint="eastAsia"/>
          <w:spacing w:val="-3"/>
        </w:rPr>
        <w:t>以</w:t>
      </w:r>
      <w:r>
        <w:rPr>
          <w:rFonts w:hint="eastAsia"/>
        </w:rPr>
        <w:t>我方名义</w:t>
      </w:r>
      <w:r>
        <w:rPr>
          <w:rFonts w:hint="eastAsia"/>
          <w:spacing w:val="-3"/>
        </w:rPr>
        <w:t>签</w:t>
      </w:r>
      <w:r>
        <w:rPr>
          <w:rFonts w:hint="eastAsia"/>
        </w:rPr>
        <w:t>署、澄清确</w:t>
      </w:r>
      <w:r>
        <w:rPr>
          <w:rFonts w:hint="eastAsia"/>
          <w:spacing w:val="-3"/>
        </w:rPr>
        <w:t>认</w:t>
      </w:r>
      <w:r>
        <w:rPr>
          <w:rFonts w:hint="eastAsia"/>
        </w:rPr>
        <w:t>、递</w:t>
      </w:r>
    </w:p>
    <w:p>
      <w:pPr>
        <w:pStyle w:val="11"/>
        <w:tabs>
          <w:tab w:val="left" w:pos="3706"/>
        </w:tabs>
        <w:spacing w:before="170" w:line="360" w:lineRule="auto"/>
        <w:ind w:left="240" w:right="720"/>
      </w:pPr>
      <w:r>
        <w:rPr>
          <w:rFonts w:hint="eastAsia"/>
        </w:rPr>
        <w:t>交、</w:t>
      </w:r>
      <w:r>
        <w:rPr>
          <w:rFonts w:hint="eastAsia"/>
          <w:spacing w:val="-3"/>
        </w:rPr>
        <w:t>撤</w:t>
      </w:r>
      <w:r>
        <w:rPr>
          <w:rFonts w:hint="eastAsia"/>
        </w:rPr>
        <w:t>回</w:t>
      </w:r>
      <w:r>
        <w:rPr>
          <w:rFonts w:hint="eastAsia"/>
          <w:spacing w:val="-3"/>
        </w:rPr>
        <w:t>、</w:t>
      </w:r>
      <w:r>
        <w:rPr>
          <w:rFonts w:hint="eastAsia"/>
        </w:rPr>
        <w:t>修</w:t>
      </w:r>
      <w:r>
        <w:rPr>
          <w:rFonts w:hint="eastAsia"/>
          <w:spacing w:val="-3"/>
        </w:rPr>
        <w:t>改</w:t>
      </w:r>
      <w:r>
        <w:rPr>
          <w:rFonts w:hint="eastAsia"/>
        </w:rPr>
        <w:t>监</w:t>
      </w:r>
      <w:r>
        <w:rPr>
          <w:rFonts w:hint="eastAsia"/>
          <w:spacing w:val="-3"/>
        </w:rPr>
        <w:t>理</w:t>
      </w:r>
      <w:r>
        <w:rPr>
          <w:rFonts w:hint="eastAsia"/>
        </w:rPr>
        <w:t>招</w:t>
      </w:r>
      <w:r>
        <w:rPr>
          <w:rFonts w:hint="eastAsia"/>
          <w:spacing w:val="-3"/>
        </w:rPr>
        <w:t>标</w:t>
      </w:r>
      <w:r>
        <w:rPr>
          <w:rFonts w:hint="eastAsia"/>
        </w:rPr>
        <w:t>项目</w:t>
      </w:r>
      <w:r>
        <w:rPr>
          <w:rFonts w:hint="eastAsia"/>
          <w:spacing w:val="-3"/>
        </w:rPr>
        <w:t>投</w:t>
      </w:r>
      <w:r>
        <w:rPr>
          <w:rFonts w:hint="eastAsia"/>
        </w:rPr>
        <w:t>标</w:t>
      </w:r>
      <w:r>
        <w:rPr>
          <w:rFonts w:hint="eastAsia"/>
          <w:spacing w:val="-3"/>
        </w:rPr>
        <w:t>文</w:t>
      </w:r>
      <w:r>
        <w:rPr>
          <w:rFonts w:hint="eastAsia"/>
        </w:rPr>
        <w:t>件</w:t>
      </w:r>
      <w:r>
        <w:rPr>
          <w:rFonts w:hint="eastAsia"/>
          <w:spacing w:val="-3"/>
        </w:rPr>
        <w:t>、</w:t>
      </w:r>
      <w:r>
        <w:rPr>
          <w:rFonts w:hint="eastAsia"/>
        </w:rPr>
        <w:t>签</w:t>
      </w:r>
      <w:r>
        <w:rPr>
          <w:rFonts w:hint="eastAsia"/>
          <w:spacing w:val="-3"/>
        </w:rPr>
        <w:t>订</w:t>
      </w:r>
      <w:r>
        <w:rPr>
          <w:rFonts w:hint="eastAsia"/>
        </w:rPr>
        <w:t>合</w:t>
      </w:r>
      <w:r>
        <w:rPr>
          <w:rFonts w:hint="eastAsia"/>
          <w:spacing w:val="-3"/>
        </w:rPr>
        <w:t>同</w:t>
      </w:r>
      <w:r>
        <w:rPr>
          <w:rFonts w:hint="eastAsia"/>
        </w:rPr>
        <w:t>和处</w:t>
      </w:r>
      <w:r>
        <w:rPr>
          <w:rFonts w:hint="eastAsia"/>
          <w:spacing w:val="-3"/>
        </w:rPr>
        <w:t>理</w:t>
      </w:r>
      <w:r>
        <w:rPr>
          <w:rFonts w:hint="eastAsia"/>
        </w:rPr>
        <w:t>有</w:t>
      </w:r>
      <w:r>
        <w:rPr>
          <w:rFonts w:hint="eastAsia"/>
          <w:spacing w:val="-3"/>
        </w:rPr>
        <w:t>关</w:t>
      </w:r>
      <w:r>
        <w:rPr>
          <w:rFonts w:hint="eastAsia"/>
        </w:rPr>
        <w:t>事</w:t>
      </w:r>
      <w:r>
        <w:rPr>
          <w:rFonts w:hint="eastAsia"/>
          <w:spacing w:val="-3"/>
        </w:rPr>
        <w:t>宜</w:t>
      </w:r>
      <w:r>
        <w:rPr>
          <w:rFonts w:hint="eastAsia"/>
        </w:rPr>
        <w:t>，</w:t>
      </w:r>
      <w:r>
        <w:rPr>
          <w:rFonts w:hint="eastAsia"/>
          <w:spacing w:val="-3"/>
        </w:rPr>
        <w:t>其</w:t>
      </w:r>
      <w:r>
        <w:rPr>
          <w:rFonts w:hint="eastAsia"/>
        </w:rPr>
        <w:t>法</w:t>
      </w:r>
      <w:r>
        <w:rPr>
          <w:rFonts w:hint="eastAsia"/>
          <w:spacing w:val="-3"/>
        </w:rPr>
        <w:t>律</w:t>
      </w:r>
      <w:r>
        <w:rPr>
          <w:rFonts w:hint="eastAsia"/>
        </w:rPr>
        <w:t>后果</w:t>
      </w:r>
      <w:r>
        <w:rPr>
          <w:rFonts w:hint="eastAsia"/>
          <w:spacing w:val="-3"/>
        </w:rPr>
        <w:t>由</w:t>
      </w:r>
      <w:r>
        <w:rPr>
          <w:rFonts w:hint="eastAsia"/>
        </w:rPr>
        <w:t>我</w:t>
      </w:r>
      <w:r>
        <w:rPr>
          <w:rFonts w:hint="eastAsia"/>
          <w:spacing w:val="-3"/>
        </w:rPr>
        <w:t>方</w:t>
      </w:r>
      <w:r>
        <w:rPr>
          <w:rFonts w:hint="eastAsia"/>
        </w:rPr>
        <w:t>承</w:t>
      </w:r>
      <w:r>
        <w:rPr>
          <w:rFonts w:hint="eastAsia"/>
          <w:spacing w:val="-3"/>
        </w:rPr>
        <w:t>担</w:t>
      </w:r>
      <w:r>
        <w:rPr>
          <w:rFonts w:hint="eastAsia"/>
        </w:rPr>
        <w:t>。委托</w:t>
      </w:r>
      <w:r>
        <w:rPr>
          <w:rFonts w:hint="eastAsia"/>
          <w:spacing w:val="-3"/>
        </w:rPr>
        <w:t>期</w:t>
      </w:r>
      <w:r>
        <w:rPr>
          <w:rFonts w:hint="eastAsia"/>
        </w:rPr>
        <w:t>限</w:t>
      </w:r>
      <w:r>
        <w:rPr>
          <w:rFonts w:hint="eastAsia"/>
          <w:spacing w:val="-3"/>
        </w:rPr>
        <w:t>：</w:t>
      </w:r>
      <w:r>
        <w:rPr>
          <w:rFonts w:hint="eastAsia"/>
          <w:spacing w:val="-3"/>
          <w:u w:val="single"/>
        </w:rPr>
        <w:t xml:space="preserve"> </w:t>
      </w:r>
      <w:r>
        <w:rPr>
          <w:rFonts w:hint="eastAsia"/>
          <w:spacing w:val="-3"/>
          <w:u w:val="single"/>
        </w:rPr>
        <w:tab/>
      </w:r>
      <w:r>
        <w:rPr>
          <w:rFonts w:hint="eastAsia"/>
        </w:rPr>
        <w:t>。</w:t>
      </w:r>
    </w:p>
    <w:p>
      <w:pPr>
        <w:pStyle w:val="11"/>
        <w:spacing w:line="360" w:lineRule="auto"/>
        <w:ind w:left="660"/>
      </w:pPr>
      <w:r>
        <w:rPr>
          <w:rFonts w:hint="eastAsia"/>
        </w:rPr>
        <w:t>代理人无转委托权。</w:t>
      </w:r>
    </w:p>
    <w:p>
      <w:pPr>
        <w:pStyle w:val="11"/>
        <w:spacing w:line="360" w:lineRule="auto"/>
        <w:rPr>
          <w:sz w:val="20"/>
        </w:rPr>
      </w:pPr>
    </w:p>
    <w:p>
      <w:pPr>
        <w:pStyle w:val="11"/>
        <w:spacing w:before="9" w:line="360" w:lineRule="auto"/>
        <w:rPr>
          <w:sz w:val="27"/>
        </w:rPr>
      </w:pPr>
    </w:p>
    <w:p>
      <w:pPr>
        <w:pStyle w:val="11"/>
        <w:spacing w:line="360" w:lineRule="auto"/>
        <w:ind w:left="240"/>
      </w:pPr>
      <w:r>
        <w:rPr>
          <w:rFonts w:hint="eastAsia"/>
        </w:rPr>
        <w:t>附：法定代表人身份证复印件及委托代理人身份证复印件</w:t>
      </w:r>
    </w:p>
    <w:p>
      <w:pPr>
        <w:pStyle w:val="11"/>
        <w:spacing w:line="360" w:lineRule="auto"/>
        <w:rPr>
          <w:sz w:val="20"/>
        </w:rPr>
      </w:pPr>
    </w:p>
    <w:p>
      <w:pPr>
        <w:pStyle w:val="11"/>
        <w:spacing w:before="7" w:line="360" w:lineRule="auto"/>
        <w:rPr>
          <w:sz w:val="27"/>
        </w:rPr>
      </w:pPr>
    </w:p>
    <w:p>
      <w:pPr>
        <w:pStyle w:val="11"/>
        <w:spacing w:line="360" w:lineRule="auto"/>
        <w:ind w:left="240"/>
      </w:pPr>
      <w:r>
        <w:rPr>
          <w:rFonts w:hint="eastAsia"/>
        </w:rPr>
        <w:t>注：本授权委托书需由投标人加盖单位公章并由其法定代表人和委托代理人签字。</w:t>
      </w:r>
    </w:p>
    <w:p>
      <w:pPr>
        <w:pStyle w:val="11"/>
        <w:spacing w:line="360" w:lineRule="auto"/>
        <w:rPr>
          <w:sz w:val="20"/>
        </w:rPr>
      </w:pPr>
    </w:p>
    <w:p>
      <w:pPr>
        <w:pStyle w:val="11"/>
        <w:spacing w:before="10" w:line="360" w:lineRule="auto"/>
        <w:rPr>
          <w:sz w:val="27"/>
        </w:rPr>
      </w:pPr>
    </w:p>
    <w:p>
      <w:pPr>
        <w:pStyle w:val="11"/>
        <w:tabs>
          <w:tab w:val="left" w:pos="3356"/>
          <w:tab w:val="left" w:pos="3776"/>
          <w:tab w:val="left" w:pos="7381"/>
        </w:tabs>
        <w:spacing w:line="360" w:lineRule="auto"/>
        <w:ind w:left="2933"/>
      </w:pPr>
      <w:r>
        <w:rPr>
          <w:rFonts w:hint="eastAsia"/>
        </w:rPr>
        <w:t>投</w:t>
      </w:r>
      <w:r>
        <w:rPr>
          <w:rFonts w:hint="eastAsia"/>
        </w:rPr>
        <w:tab/>
      </w:r>
      <w:r>
        <w:rPr>
          <w:rFonts w:hint="eastAsia"/>
        </w:rPr>
        <w:t>标</w:t>
      </w:r>
      <w:r>
        <w:rPr>
          <w:rFonts w:hint="eastAsia"/>
        </w:rPr>
        <w:tab/>
      </w:r>
      <w:r>
        <w:rPr>
          <w:rFonts w:hint="eastAsia"/>
          <w:spacing w:val="-3"/>
        </w:rPr>
        <w:t>人：</w:t>
      </w:r>
      <w:r>
        <w:rPr>
          <w:rFonts w:hint="eastAsia"/>
          <w:spacing w:val="-3"/>
          <w:u w:val="single"/>
        </w:rPr>
        <w:t xml:space="preserve"> </w:t>
      </w:r>
      <w:r>
        <w:rPr>
          <w:rFonts w:hint="eastAsia"/>
          <w:spacing w:val="-3"/>
          <w:u w:val="single"/>
        </w:rPr>
        <w:tab/>
      </w:r>
      <w:r>
        <w:rPr>
          <w:rFonts w:hint="eastAsia"/>
        </w:rPr>
        <w:t>（盖</w:t>
      </w:r>
      <w:r>
        <w:rPr>
          <w:rFonts w:hint="eastAsia"/>
          <w:spacing w:val="-3"/>
        </w:rPr>
        <w:t>单</w:t>
      </w:r>
      <w:r>
        <w:rPr>
          <w:rFonts w:hint="eastAsia"/>
        </w:rPr>
        <w:t>位</w:t>
      </w:r>
      <w:r>
        <w:rPr>
          <w:rFonts w:hint="eastAsia"/>
          <w:spacing w:val="-3"/>
        </w:rPr>
        <w:t>章</w:t>
      </w:r>
      <w:r>
        <w:rPr>
          <w:rFonts w:hint="eastAsia"/>
        </w:rPr>
        <w:t>）</w:t>
      </w:r>
    </w:p>
    <w:p>
      <w:pPr>
        <w:pStyle w:val="11"/>
        <w:tabs>
          <w:tab w:val="left" w:pos="6541"/>
        </w:tabs>
        <w:spacing w:before="79" w:line="360" w:lineRule="auto"/>
        <w:ind w:left="2931"/>
      </w:pPr>
      <w:r>
        <w:rPr>
          <w:rFonts w:hint="eastAsia"/>
        </w:rPr>
        <w:t>法定</w:t>
      </w:r>
      <w:r>
        <w:rPr>
          <w:rFonts w:hint="eastAsia"/>
          <w:spacing w:val="-3"/>
        </w:rPr>
        <w:t>代</w:t>
      </w:r>
      <w:r>
        <w:rPr>
          <w:rFonts w:hint="eastAsia"/>
        </w:rPr>
        <w:t>表</w:t>
      </w:r>
      <w:r>
        <w:rPr>
          <w:rFonts w:hint="eastAsia"/>
          <w:spacing w:val="-3"/>
        </w:rPr>
        <w:t>人：</w:t>
      </w:r>
      <w:r>
        <w:rPr>
          <w:rFonts w:hint="eastAsia"/>
          <w:spacing w:val="-3"/>
          <w:u w:val="single"/>
        </w:rPr>
        <w:t xml:space="preserve"> </w:t>
      </w:r>
      <w:r>
        <w:rPr>
          <w:rFonts w:hint="eastAsia"/>
          <w:spacing w:val="-3"/>
          <w:u w:val="single"/>
        </w:rPr>
        <w:tab/>
      </w:r>
      <w:r>
        <w:rPr>
          <w:rFonts w:hint="eastAsia"/>
        </w:rPr>
        <w:t>（签</w:t>
      </w:r>
      <w:r>
        <w:rPr>
          <w:rFonts w:hint="eastAsia"/>
          <w:spacing w:val="-3"/>
        </w:rPr>
        <w:t>字</w:t>
      </w:r>
      <w:r>
        <w:rPr>
          <w:rFonts w:hint="eastAsia"/>
        </w:rPr>
        <w:t>）</w:t>
      </w:r>
    </w:p>
    <w:p>
      <w:pPr>
        <w:pStyle w:val="11"/>
        <w:tabs>
          <w:tab w:val="left" w:pos="8689"/>
        </w:tabs>
        <w:spacing w:before="79" w:line="360" w:lineRule="auto"/>
        <w:ind w:left="2933"/>
      </w:pPr>
      <w:r>
        <w:rPr>
          <w:rFonts w:hint="eastAsia"/>
        </w:rPr>
        <w:t>身份</w:t>
      </w:r>
      <w:r>
        <w:rPr>
          <w:rFonts w:hint="eastAsia"/>
          <w:spacing w:val="-3"/>
        </w:rPr>
        <w:t>证</w:t>
      </w:r>
      <w:r>
        <w:rPr>
          <w:rFonts w:hint="eastAsia"/>
        </w:rPr>
        <w:t>号</w:t>
      </w:r>
      <w:r>
        <w:rPr>
          <w:rFonts w:hint="eastAsia"/>
          <w:spacing w:val="-3"/>
        </w:rPr>
        <w:t>码：</w:t>
      </w:r>
      <w:r>
        <w:rPr>
          <w:rFonts w:hint="eastAsia"/>
          <w:u w:val="single"/>
        </w:rPr>
        <w:t xml:space="preserve"> </w:t>
      </w:r>
      <w:r>
        <w:rPr>
          <w:rFonts w:hint="eastAsia"/>
          <w:u w:val="single"/>
        </w:rPr>
        <w:tab/>
      </w:r>
    </w:p>
    <w:p>
      <w:pPr>
        <w:pStyle w:val="11"/>
        <w:tabs>
          <w:tab w:val="left" w:pos="7801"/>
        </w:tabs>
        <w:spacing w:before="79" w:line="360" w:lineRule="auto"/>
        <w:ind w:left="2933"/>
      </w:pPr>
      <w:r>
        <w:rPr>
          <w:rFonts w:hint="eastAsia"/>
        </w:rPr>
        <w:t>委托</w:t>
      </w:r>
      <w:r>
        <w:rPr>
          <w:rFonts w:hint="eastAsia"/>
          <w:spacing w:val="-3"/>
        </w:rPr>
        <w:t>代</w:t>
      </w:r>
      <w:r>
        <w:rPr>
          <w:rFonts w:hint="eastAsia"/>
        </w:rPr>
        <w:t>理</w:t>
      </w:r>
      <w:r>
        <w:rPr>
          <w:rFonts w:hint="eastAsia"/>
          <w:spacing w:val="-3"/>
        </w:rPr>
        <w:t>人：</w:t>
      </w:r>
      <w:r>
        <w:rPr>
          <w:rFonts w:hint="eastAsia"/>
          <w:spacing w:val="-3"/>
          <w:u w:val="single"/>
        </w:rPr>
        <w:t xml:space="preserve"> </w:t>
      </w:r>
      <w:r>
        <w:rPr>
          <w:rFonts w:hint="eastAsia"/>
          <w:spacing w:val="-3"/>
          <w:u w:val="single"/>
        </w:rPr>
        <w:tab/>
      </w:r>
      <w:r>
        <w:rPr>
          <w:rFonts w:hint="eastAsia"/>
        </w:rPr>
        <w:t>（签</w:t>
      </w:r>
      <w:r>
        <w:rPr>
          <w:rFonts w:hint="eastAsia"/>
          <w:spacing w:val="-3"/>
        </w:rPr>
        <w:t>字</w:t>
      </w:r>
      <w:r>
        <w:rPr>
          <w:rFonts w:hint="eastAsia"/>
        </w:rPr>
        <w:t>）</w:t>
      </w:r>
    </w:p>
    <w:p>
      <w:pPr>
        <w:pStyle w:val="11"/>
        <w:tabs>
          <w:tab w:val="left" w:pos="8689"/>
        </w:tabs>
        <w:spacing w:before="79" w:line="360" w:lineRule="auto"/>
        <w:ind w:left="2933"/>
      </w:pPr>
      <w:r>
        <w:rPr>
          <w:rFonts w:hint="eastAsia"/>
        </w:rPr>
        <w:t>身份</w:t>
      </w:r>
      <w:r>
        <w:rPr>
          <w:rFonts w:hint="eastAsia"/>
          <w:spacing w:val="-3"/>
        </w:rPr>
        <w:t>证</w:t>
      </w:r>
      <w:r>
        <w:rPr>
          <w:rFonts w:hint="eastAsia"/>
        </w:rPr>
        <w:t>号</w:t>
      </w:r>
      <w:r>
        <w:rPr>
          <w:rFonts w:hint="eastAsia"/>
          <w:spacing w:val="-3"/>
        </w:rPr>
        <w:t>码：</w:t>
      </w:r>
      <w:r>
        <w:rPr>
          <w:rFonts w:hint="eastAsia"/>
          <w:u w:val="single"/>
        </w:rPr>
        <w:t xml:space="preserve"> </w:t>
      </w:r>
      <w:r>
        <w:rPr>
          <w:rFonts w:hint="eastAsia"/>
          <w:u w:val="single"/>
        </w:rPr>
        <w:tab/>
      </w:r>
    </w:p>
    <w:p>
      <w:pPr>
        <w:pStyle w:val="11"/>
        <w:tabs>
          <w:tab w:val="left" w:pos="6783"/>
          <w:tab w:val="left" w:pos="7729"/>
          <w:tab w:val="left" w:pos="8673"/>
        </w:tabs>
        <w:spacing w:before="72" w:line="360" w:lineRule="auto"/>
        <w:ind w:left="6047"/>
      </w:pP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r>
      <w:r>
        <w:rPr>
          <w:rFonts w:hint="eastAsia"/>
          <w:spacing w:val="-3"/>
        </w:rPr>
        <w:t>月</w:t>
      </w:r>
      <w:r>
        <w:rPr>
          <w:rFonts w:hint="eastAsia"/>
          <w:spacing w:val="-3"/>
          <w:u w:val="single"/>
        </w:rPr>
        <w:t xml:space="preserve"> </w:t>
      </w:r>
      <w:r>
        <w:rPr>
          <w:rFonts w:hint="eastAsia"/>
          <w:spacing w:val="-3"/>
          <w:u w:val="single"/>
        </w:rPr>
        <w:tab/>
      </w:r>
      <w:r>
        <w:rPr>
          <w:rFonts w:hint="eastAsia"/>
        </w:rPr>
        <w:t>日</w:t>
      </w:r>
    </w:p>
    <w:p>
      <w:pPr>
        <w:spacing w:line="360" w:lineRule="auto"/>
        <w:sectPr>
          <w:pgSz w:w="12240" w:h="15840"/>
          <w:pgMar w:top="1400" w:right="1100" w:bottom="1120" w:left="1560" w:header="0" w:footer="841" w:gutter="0"/>
          <w:cols w:space="720" w:num="1"/>
        </w:sectPr>
      </w:pPr>
    </w:p>
    <w:p>
      <w:pPr>
        <w:spacing w:line="360" w:lineRule="auto"/>
        <w:ind w:right="457"/>
        <w:jc w:val="center"/>
        <w:rPr>
          <w:b/>
          <w:sz w:val="32"/>
        </w:rPr>
      </w:pPr>
      <w:bookmarkStart w:id="52" w:name="_bookmark181"/>
      <w:bookmarkEnd w:id="52"/>
      <w:bookmarkStart w:id="53" w:name="_bookmark182"/>
      <w:bookmarkEnd w:id="53"/>
      <w:r>
        <w:rPr>
          <w:rFonts w:hint="eastAsia"/>
          <w:b/>
          <w:sz w:val="32"/>
        </w:rPr>
        <w:t>四、投标保证金（格式可自拟）</w:t>
      </w:r>
    </w:p>
    <w:p>
      <w:pPr>
        <w:pStyle w:val="11"/>
        <w:spacing w:line="360" w:lineRule="auto"/>
        <w:ind w:right="3451"/>
      </w:pPr>
    </w:p>
    <w:p>
      <w:pPr>
        <w:pStyle w:val="11"/>
        <w:spacing w:line="360" w:lineRule="auto"/>
        <w:rPr>
          <w:sz w:val="20"/>
        </w:rPr>
      </w:pPr>
    </w:p>
    <w:p>
      <w:pPr>
        <w:pStyle w:val="11"/>
        <w:tabs>
          <w:tab w:val="left" w:pos="6574"/>
          <w:tab w:val="left" w:pos="7623"/>
          <w:tab w:val="left" w:pos="8673"/>
        </w:tabs>
        <w:spacing w:before="72" w:line="360" w:lineRule="auto"/>
        <w:ind w:left="5732"/>
      </w:pPr>
    </w:p>
    <w:p>
      <w:pPr>
        <w:spacing w:line="360" w:lineRule="auto"/>
        <w:sectPr>
          <w:pgSz w:w="12240" w:h="15840"/>
          <w:pgMar w:top="1400" w:right="1100" w:bottom="1120" w:left="1560" w:header="0" w:footer="841" w:gutter="0"/>
          <w:cols w:space="720" w:num="1"/>
        </w:sectPr>
      </w:pPr>
    </w:p>
    <w:p>
      <w:pPr>
        <w:spacing w:line="360" w:lineRule="auto"/>
        <w:ind w:right="458"/>
        <w:jc w:val="center"/>
        <w:rPr>
          <w:sz w:val="32"/>
        </w:rPr>
      </w:pPr>
      <w:bookmarkStart w:id="54" w:name="_bookmark183"/>
      <w:bookmarkEnd w:id="54"/>
      <w:r>
        <w:rPr>
          <w:rFonts w:hint="eastAsia"/>
          <w:b/>
          <w:sz w:val="32"/>
        </w:rPr>
        <w:t>五、监理报价（格式可自拟）</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193" w:type="dxa"/>
            <w:vAlign w:val="center"/>
          </w:tcPr>
          <w:p>
            <w:pPr>
              <w:jc w:val="center"/>
              <w:rPr>
                <w:b/>
                <w:sz w:val="28"/>
                <w:szCs w:val="28"/>
              </w:rPr>
            </w:pPr>
            <w:r>
              <w:rPr>
                <w:b/>
                <w:sz w:val="28"/>
                <w:szCs w:val="28"/>
              </w:rPr>
              <w:t>项目名称</w:t>
            </w:r>
          </w:p>
        </w:tc>
        <w:tc>
          <w:tcPr>
            <w:tcW w:w="6586" w:type="dxa"/>
            <w:vAlign w:val="center"/>
          </w:tcPr>
          <w:p>
            <w:pPr>
              <w:rPr>
                <w:sz w:val="28"/>
                <w:szCs w:val="28"/>
              </w:rPr>
            </w:pPr>
            <w:r>
              <w:rPr>
                <w:rFonts w:hint="eastAsia"/>
                <w:sz w:val="28"/>
                <w:szCs w:val="28"/>
                <w:lang w:val="en-US"/>
              </w:rPr>
              <w:t>***</w:t>
            </w:r>
            <w:r>
              <w:rPr>
                <w:rFonts w:hint="eastAsia"/>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193" w:type="dxa"/>
            <w:vAlign w:val="center"/>
          </w:tcPr>
          <w:p>
            <w:pPr>
              <w:jc w:val="center"/>
              <w:rPr>
                <w:b/>
                <w:sz w:val="28"/>
                <w:szCs w:val="28"/>
              </w:rPr>
            </w:pPr>
            <w:r>
              <w:rPr>
                <w:b/>
                <w:sz w:val="28"/>
                <w:szCs w:val="28"/>
              </w:rPr>
              <w:t>项目编号</w:t>
            </w:r>
          </w:p>
        </w:tc>
        <w:tc>
          <w:tcPr>
            <w:tcW w:w="6586"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193" w:type="dxa"/>
            <w:vAlign w:val="center"/>
          </w:tcPr>
          <w:p>
            <w:pPr>
              <w:jc w:val="center"/>
              <w:rPr>
                <w:b/>
                <w:sz w:val="28"/>
                <w:szCs w:val="28"/>
              </w:rPr>
            </w:pPr>
            <w:r>
              <w:rPr>
                <w:b/>
                <w:sz w:val="28"/>
                <w:szCs w:val="28"/>
              </w:rPr>
              <w:t>投标总价</w:t>
            </w:r>
          </w:p>
        </w:tc>
        <w:tc>
          <w:tcPr>
            <w:tcW w:w="6586" w:type="dxa"/>
            <w:vAlign w:val="center"/>
          </w:tcPr>
          <w:p>
            <w:pPr>
              <w:rPr>
                <w:sz w:val="28"/>
                <w:szCs w:val="28"/>
                <w:u w:val="single"/>
              </w:rPr>
            </w:pPr>
            <w:r>
              <w:rPr>
                <w:sz w:val="28"/>
                <w:szCs w:val="28"/>
              </w:rPr>
              <w:t>小写：￥</w:t>
            </w:r>
            <w:r>
              <w:rPr>
                <w:sz w:val="28"/>
                <w:szCs w:val="28"/>
                <w:u w:val="single"/>
              </w:rPr>
              <w:t xml:space="preserve">                         </w:t>
            </w:r>
          </w:p>
          <w:p>
            <w:pPr>
              <w:rPr>
                <w:sz w:val="28"/>
                <w:szCs w:val="28"/>
              </w:rPr>
            </w:pPr>
          </w:p>
          <w:p>
            <w:pPr>
              <w:rPr>
                <w:sz w:val="28"/>
                <w:szCs w:val="28"/>
              </w:rPr>
            </w:pPr>
            <w:r>
              <w:rPr>
                <w:sz w:val="28"/>
                <w:szCs w:val="28"/>
              </w:rPr>
              <w:t>大写：人民币</w:t>
            </w:r>
            <w:r>
              <w:rPr>
                <w:sz w:val="28"/>
                <w:szCs w:val="28"/>
                <w:u w:val="single"/>
              </w:rPr>
              <w:t xml:space="preserve">                     </w:t>
            </w:r>
          </w:p>
        </w:tc>
      </w:tr>
    </w:tbl>
    <w:p>
      <w:pPr>
        <w:spacing w:line="360" w:lineRule="auto"/>
        <w:rPr>
          <w:szCs w:val="21"/>
          <w:u w:val="single"/>
        </w:rPr>
      </w:pPr>
    </w:p>
    <w:p>
      <w:pPr>
        <w:spacing w:line="360" w:lineRule="auto"/>
        <w:rPr>
          <w:szCs w:val="21"/>
        </w:rPr>
      </w:pPr>
      <w:r>
        <w:rPr>
          <w:rFonts w:hint="eastAsia"/>
          <w:szCs w:val="21"/>
        </w:rPr>
        <w:t>注：</w:t>
      </w:r>
    </w:p>
    <w:p>
      <w:pPr>
        <w:numPr>
          <w:ilvl w:val="0"/>
          <w:numId w:val="10"/>
        </w:numPr>
        <w:spacing w:line="360" w:lineRule="auto"/>
        <w:rPr>
          <w:szCs w:val="21"/>
        </w:rPr>
      </w:pPr>
      <w:r>
        <w:rPr>
          <w:rFonts w:hint="eastAsia"/>
          <w:szCs w:val="21"/>
        </w:rPr>
        <w:t>报价以元为单位，保留两位小数，第三位小数四舍五入。</w:t>
      </w:r>
    </w:p>
    <w:p>
      <w:pPr>
        <w:numPr>
          <w:ilvl w:val="0"/>
          <w:numId w:val="10"/>
        </w:numPr>
        <w:spacing w:line="360" w:lineRule="auto"/>
      </w:pPr>
      <w:r>
        <w:rPr>
          <w:rFonts w:hint="eastAsia"/>
          <w:szCs w:val="21"/>
        </w:rPr>
        <w:t>监理费固定总价包干，服务期至项目后评价及后审计工作结束止，投标报价为项目过程中可能涉及的所有监理内容费用。</w:t>
      </w:r>
    </w:p>
    <w:p>
      <w:pPr>
        <w:pStyle w:val="4"/>
      </w:pPr>
    </w:p>
    <w:p/>
    <w:p>
      <w:pPr>
        <w:pStyle w:val="2"/>
        <w:sectPr>
          <w:pgSz w:w="12240" w:h="15840"/>
          <w:pgMar w:top="1400" w:right="1100" w:bottom="1120" w:left="1560" w:header="0" w:footer="841" w:gutter="0"/>
          <w:cols w:space="720" w:num="1"/>
        </w:sectPr>
      </w:pPr>
    </w:p>
    <w:p>
      <w:pPr>
        <w:pStyle w:val="11"/>
        <w:spacing w:before="5" w:line="360" w:lineRule="auto"/>
        <w:rPr>
          <w:sz w:val="11"/>
        </w:rPr>
      </w:pPr>
    </w:p>
    <w:p>
      <w:pPr>
        <w:spacing w:line="360" w:lineRule="auto"/>
        <w:ind w:right="461"/>
        <w:jc w:val="center"/>
        <w:rPr>
          <w:b/>
          <w:sz w:val="32"/>
        </w:rPr>
      </w:pPr>
      <w:bookmarkStart w:id="55" w:name="_bookmark184"/>
      <w:bookmarkEnd w:id="55"/>
      <w:r>
        <w:rPr>
          <w:rFonts w:hint="eastAsia"/>
          <w:b/>
          <w:sz w:val="32"/>
        </w:rPr>
        <w:t>六、资格审查资料（格式可自拟）</w:t>
      </w:r>
    </w:p>
    <w:p>
      <w:pPr>
        <w:pStyle w:val="11"/>
        <w:spacing w:before="5" w:line="360" w:lineRule="auto"/>
        <w:rPr>
          <w:b/>
          <w:sz w:val="10"/>
        </w:rPr>
      </w:pPr>
    </w:p>
    <w:p>
      <w:pPr>
        <w:spacing w:before="62" w:line="360" w:lineRule="auto"/>
        <w:ind w:left="377"/>
        <w:rPr>
          <w:sz w:val="28"/>
        </w:rPr>
      </w:pPr>
      <w:bookmarkStart w:id="56" w:name="_bookmark185"/>
      <w:bookmarkEnd w:id="56"/>
      <w:r>
        <w:rPr>
          <w:rFonts w:hint="eastAsia"/>
          <w:sz w:val="28"/>
        </w:rPr>
        <w:t>（一）基本情况表</w:t>
      </w:r>
    </w:p>
    <w:tbl>
      <w:tblPr>
        <w:tblStyle w:val="21"/>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4"/>
        <w:gridCol w:w="709"/>
        <w:gridCol w:w="992"/>
        <w:gridCol w:w="1122"/>
        <w:gridCol w:w="415"/>
        <w:gridCol w:w="871"/>
        <w:gridCol w:w="828"/>
        <w:gridCol w:w="286"/>
        <w:gridCol w:w="1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2434" w:type="dxa"/>
          </w:tcPr>
          <w:p>
            <w:pPr>
              <w:pStyle w:val="28"/>
              <w:spacing w:before="142" w:line="360" w:lineRule="auto"/>
              <w:ind w:left="496"/>
              <w:rPr>
                <w:sz w:val="21"/>
              </w:rPr>
            </w:pPr>
            <w:r>
              <w:rPr>
                <w:rFonts w:hint="eastAsia"/>
                <w:sz w:val="21"/>
              </w:rPr>
              <w:t>投标人名称</w:t>
            </w:r>
          </w:p>
        </w:tc>
        <w:tc>
          <w:tcPr>
            <w:tcW w:w="6662" w:type="dxa"/>
            <w:gridSpan w:val="8"/>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pPr>
              <w:pStyle w:val="28"/>
              <w:spacing w:before="142" w:line="360" w:lineRule="auto"/>
              <w:ind w:left="602"/>
              <w:rPr>
                <w:sz w:val="21"/>
              </w:rPr>
            </w:pPr>
            <w:r>
              <w:rPr>
                <w:rFonts w:hint="eastAsia"/>
                <w:sz w:val="21"/>
              </w:rPr>
              <w:t>注册地址</w:t>
            </w:r>
          </w:p>
        </w:tc>
        <w:tc>
          <w:tcPr>
            <w:tcW w:w="2823" w:type="dxa"/>
            <w:gridSpan w:val="3"/>
          </w:tcPr>
          <w:p>
            <w:pPr>
              <w:pStyle w:val="28"/>
              <w:spacing w:line="360" w:lineRule="auto"/>
              <w:rPr>
                <w:sz w:val="20"/>
              </w:rPr>
            </w:pPr>
          </w:p>
        </w:tc>
        <w:tc>
          <w:tcPr>
            <w:tcW w:w="1286" w:type="dxa"/>
            <w:gridSpan w:val="2"/>
          </w:tcPr>
          <w:p>
            <w:pPr>
              <w:pStyle w:val="28"/>
              <w:spacing w:before="142" w:line="360" w:lineRule="auto"/>
              <w:ind w:left="222"/>
              <w:rPr>
                <w:sz w:val="21"/>
              </w:rPr>
            </w:pPr>
            <w:r>
              <w:rPr>
                <w:rFonts w:hint="eastAsia"/>
                <w:sz w:val="21"/>
              </w:rPr>
              <w:t>邮政编码</w:t>
            </w:r>
          </w:p>
        </w:tc>
        <w:tc>
          <w:tcPr>
            <w:tcW w:w="2553" w:type="dxa"/>
            <w:gridSpan w:val="3"/>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2434" w:type="dxa"/>
            <w:vMerge w:val="restart"/>
          </w:tcPr>
          <w:p>
            <w:pPr>
              <w:pStyle w:val="28"/>
              <w:spacing w:before="10" w:line="360" w:lineRule="auto"/>
              <w:rPr>
                <w:sz w:val="28"/>
              </w:rPr>
            </w:pPr>
          </w:p>
          <w:p>
            <w:pPr>
              <w:pStyle w:val="28"/>
              <w:spacing w:line="360" w:lineRule="auto"/>
              <w:ind w:left="602"/>
              <w:rPr>
                <w:sz w:val="21"/>
              </w:rPr>
            </w:pPr>
            <w:r>
              <w:rPr>
                <w:rFonts w:hint="eastAsia"/>
                <w:sz w:val="21"/>
              </w:rPr>
              <w:t>联系方式</w:t>
            </w:r>
          </w:p>
        </w:tc>
        <w:tc>
          <w:tcPr>
            <w:tcW w:w="709" w:type="dxa"/>
          </w:tcPr>
          <w:p>
            <w:pPr>
              <w:pStyle w:val="28"/>
              <w:spacing w:before="142" w:line="360" w:lineRule="auto"/>
              <w:ind w:left="8"/>
              <w:jc w:val="center"/>
              <w:rPr>
                <w:sz w:val="21"/>
              </w:rPr>
            </w:pPr>
            <w:r>
              <w:rPr>
                <w:rFonts w:hint="eastAsia"/>
                <w:sz w:val="21"/>
              </w:rPr>
              <w:t>联系人</w:t>
            </w:r>
          </w:p>
        </w:tc>
        <w:tc>
          <w:tcPr>
            <w:tcW w:w="2114" w:type="dxa"/>
            <w:gridSpan w:val="2"/>
          </w:tcPr>
          <w:p>
            <w:pPr>
              <w:pStyle w:val="28"/>
              <w:spacing w:line="360" w:lineRule="auto"/>
              <w:rPr>
                <w:sz w:val="20"/>
              </w:rPr>
            </w:pPr>
          </w:p>
        </w:tc>
        <w:tc>
          <w:tcPr>
            <w:tcW w:w="1286" w:type="dxa"/>
            <w:gridSpan w:val="2"/>
          </w:tcPr>
          <w:p>
            <w:pPr>
              <w:pStyle w:val="28"/>
              <w:spacing w:before="142" w:line="360" w:lineRule="auto"/>
              <w:ind w:left="378"/>
              <w:rPr>
                <w:sz w:val="21"/>
              </w:rPr>
            </w:pPr>
            <w:r>
              <w:rPr>
                <w:rFonts w:hint="eastAsia"/>
                <w:sz w:val="21"/>
              </w:rPr>
              <w:t>电 话</w:t>
            </w:r>
          </w:p>
        </w:tc>
        <w:tc>
          <w:tcPr>
            <w:tcW w:w="2553" w:type="dxa"/>
            <w:gridSpan w:val="3"/>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9" w:hRule="atLeast"/>
        </w:trPr>
        <w:tc>
          <w:tcPr>
            <w:tcW w:w="2434" w:type="dxa"/>
            <w:vMerge w:val="continue"/>
            <w:tcBorders>
              <w:top w:val="nil"/>
            </w:tcBorders>
          </w:tcPr>
          <w:p>
            <w:pPr>
              <w:spacing w:line="360" w:lineRule="auto"/>
              <w:rPr>
                <w:sz w:val="2"/>
                <w:szCs w:val="2"/>
              </w:rPr>
            </w:pPr>
          </w:p>
        </w:tc>
        <w:tc>
          <w:tcPr>
            <w:tcW w:w="709" w:type="dxa"/>
          </w:tcPr>
          <w:p>
            <w:pPr>
              <w:pStyle w:val="28"/>
              <w:tabs>
                <w:tab w:val="left" w:pos="432"/>
              </w:tabs>
              <w:spacing w:before="143" w:line="360" w:lineRule="auto"/>
              <w:ind w:left="9"/>
              <w:jc w:val="center"/>
              <w:rPr>
                <w:sz w:val="21"/>
              </w:rPr>
            </w:pPr>
            <w:r>
              <w:rPr>
                <w:rFonts w:hint="eastAsia"/>
                <w:sz w:val="21"/>
              </w:rPr>
              <w:t>传</w:t>
            </w:r>
            <w:r>
              <w:rPr>
                <w:rFonts w:hint="eastAsia"/>
                <w:sz w:val="21"/>
              </w:rPr>
              <w:tab/>
            </w:r>
            <w:r>
              <w:rPr>
                <w:rFonts w:hint="eastAsia"/>
                <w:sz w:val="21"/>
              </w:rPr>
              <w:t>真</w:t>
            </w:r>
          </w:p>
        </w:tc>
        <w:tc>
          <w:tcPr>
            <w:tcW w:w="2114" w:type="dxa"/>
            <w:gridSpan w:val="2"/>
          </w:tcPr>
          <w:p>
            <w:pPr>
              <w:pStyle w:val="28"/>
              <w:spacing w:line="360" w:lineRule="auto"/>
              <w:rPr>
                <w:sz w:val="20"/>
              </w:rPr>
            </w:pPr>
          </w:p>
        </w:tc>
        <w:tc>
          <w:tcPr>
            <w:tcW w:w="1286" w:type="dxa"/>
            <w:gridSpan w:val="2"/>
          </w:tcPr>
          <w:p>
            <w:pPr>
              <w:pStyle w:val="28"/>
              <w:spacing w:before="143" w:line="360" w:lineRule="auto"/>
              <w:ind w:left="378"/>
              <w:rPr>
                <w:sz w:val="21"/>
              </w:rPr>
            </w:pPr>
            <w:r>
              <w:rPr>
                <w:rFonts w:hint="eastAsia"/>
                <w:sz w:val="21"/>
              </w:rPr>
              <w:t>网 址</w:t>
            </w:r>
          </w:p>
        </w:tc>
        <w:tc>
          <w:tcPr>
            <w:tcW w:w="2553" w:type="dxa"/>
            <w:gridSpan w:val="3"/>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2434" w:type="dxa"/>
          </w:tcPr>
          <w:p>
            <w:pPr>
              <w:pStyle w:val="28"/>
              <w:spacing w:before="142" w:line="360" w:lineRule="auto"/>
              <w:ind w:left="496"/>
              <w:rPr>
                <w:sz w:val="21"/>
              </w:rPr>
            </w:pPr>
            <w:r>
              <w:rPr>
                <w:rFonts w:hint="eastAsia"/>
                <w:sz w:val="21"/>
              </w:rPr>
              <w:t>法定代表人</w:t>
            </w:r>
          </w:p>
        </w:tc>
        <w:tc>
          <w:tcPr>
            <w:tcW w:w="709" w:type="dxa"/>
          </w:tcPr>
          <w:p>
            <w:pPr>
              <w:pStyle w:val="28"/>
              <w:spacing w:before="142" w:line="360" w:lineRule="auto"/>
              <w:ind w:left="8"/>
              <w:jc w:val="center"/>
              <w:rPr>
                <w:sz w:val="21"/>
              </w:rPr>
            </w:pPr>
            <w:r>
              <w:rPr>
                <w:rFonts w:hint="eastAsia"/>
                <w:sz w:val="21"/>
              </w:rPr>
              <w:t>姓名</w:t>
            </w:r>
          </w:p>
        </w:tc>
        <w:tc>
          <w:tcPr>
            <w:tcW w:w="992" w:type="dxa"/>
          </w:tcPr>
          <w:p>
            <w:pPr>
              <w:pStyle w:val="28"/>
              <w:spacing w:line="360" w:lineRule="auto"/>
              <w:rPr>
                <w:sz w:val="20"/>
              </w:rPr>
            </w:pPr>
          </w:p>
        </w:tc>
        <w:tc>
          <w:tcPr>
            <w:tcW w:w="1122" w:type="dxa"/>
          </w:tcPr>
          <w:p>
            <w:pPr>
              <w:pStyle w:val="28"/>
              <w:spacing w:before="142" w:line="360" w:lineRule="auto"/>
              <w:jc w:val="center"/>
              <w:rPr>
                <w:sz w:val="21"/>
              </w:rPr>
            </w:pPr>
            <w:r>
              <w:rPr>
                <w:rFonts w:hint="eastAsia"/>
                <w:sz w:val="21"/>
              </w:rPr>
              <w:t>技术职称</w:t>
            </w:r>
          </w:p>
        </w:tc>
        <w:tc>
          <w:tcPr>
            <w:tcW w:w="1286" w:type="dxa"/>
            <w:gridSpan w:val="2"/>
          </w:tcPr>
          <w:p>
            <w:pPr>
              <w:pStyle w:val="28"/>
              <w:spacing w:line="360" w:lineRule="auto"/>
              <w:rPr>
                <w:sz w:val="20"/>
              </w:rPr>
            </w:pPr>
          </w:p>
        </w:tc>
        <w:tc>
          <w:tcPr>
            <w:tcW w:w="1114" w:type="dxa"/>
            <w:gridSpan w:val="2"/>
          </w:tcPr>
          <w:p>
            <w:pPr>
              <w:pStyle w:val="28"/>
              <w:spacing w:before="142" w:line="360" w:lineRule="auto"/>
              <w:ind w:left="345"/>
              <w:rPr>
                <w:sz w:val="21"/>
              </w:rPr>
            </w:pPr>
            <w:r>
              <w:rPr>
                <w:rFonts w:hint="eastAsia"/>
                <w:sz w:val="21"/>
              </w:rPr>
              <w:t>电话</w:t>
            </w:r>
          </w:p>
        </w:tc>
        <w:tc>
          <w:tcPr>
            <w:tcW w:w="1439" w:type="dxa"/>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2434" w:type="dxa"/>
          </w:tcPr>
          <w:p>
            <w:pPr>
              <w:pStyle w:val="28"/>
              <w:spacing w:before="142" w:line="360" w:lineRule="auto"/>
              <w:ind w:left="496"/>
              <w:rPr>
                <w:sz w:val="21"/>
              </w:rPr>
            </w:pPr>
            <w:r>
              <w:rPr>
                <w:rFonts w:hint="eastAsia"/>
                <w:sz w:val="21"/>
              </w:rPr>
              <w:t>技术负责人</w:t>
            </w:r>
          </w:p>
        </w:tc>
        <w:tc>
          <w:tcPr>
            <w:tcW w:w="709" w:type="dxa"/>
          </w:tcPr>
          <w:p>
            <w:pPr>
              <w:pStyle w:val="28"/>
              <w:spacing w:before="142" w:line="360" w:lineRule="auto"/>
              <w:ind w:left="8"/>
              <w:jc w:val="center"/>
              <w:rPr>
                <w:sz w:val="21"/>
              </w:rPr>
            </w:pPr>
            <w:r>
              <w:rPr>
                <w:rFonts w:hint="eastAsia"/>
                <w:sz w:val="21"/>
              </w:rPr>
              <w:t>姓名</w:t>
            </w:r>
          </w:p>
        </w:tc>
        <w:tc>
          <w:tcPr>
            <w:tcW w:w="992" w:type="dxa"/>
          </w:tcPr>
          <w:p>
            <w:pPr>
              <w:pStyle w:val="28"/>
              <w:spacing w:line="360" w:lineRule="auto"/>
              <w:rPr>
                <w:sz w:val="20"/>
              </w:rPr>
            </w:pPr>
          </w:p>
        </w:tc>
        <w:tc>
          <w:tcPr>
            <w:tcW w:w="1122" w:type="dxa"/>
          </w:tcPr>
          <w:p>
            <w:pPr>
              <w:pStyle w:val="28"/>
              <w:spacing w:before="142" w:line="360" w:lineRule="auto"/>
              <w:jc w:val="center"/>
              <w:rPr>
                <w:sz w:val="21"/>
              </w:rPr>
            </w:pPr>
            <w:r>
              <w:rPr>
                <w:rFonts w:hint="eastAsia"/>
                <w:sz w:val="21"/>
              </w:rPr>
              <w:t>技术职称</w:t>
            </w:r>
          </w:p>
        </w:tc>
        <w:tc>
          <w:tcPr>
            <w:tcW w:w="1286" w:type="dxa"/>
            <w:gridSpan w:val="2"/>
          </w:tcPr>
          <w:p>
            <w:pPr>
              <w:pStyle w:val="28"/>
              <w:spacing w:line="360" w:lineRule="auto"/>
              <w:rPr>
                <w:sz w:val="20"/>
              </w:rPr>
            </w:pPr>
          </w:p>
        </w:tc>
        <w:tc>
          <w:tcPr>
            <w:tcW w:w="1114" w:type="dxa"/>
            <w:gridSpan w:val="2"/>
          </w:tcPr>
          <w:p>
            <w:pPr>
              <w:pStyle w:val="28"/>
              <w:spacing w:before="142" w:line="360" w:lineRule="auto"/>
              <w:ind w:left="345"/>
              <w:rPr>
                <w:sz w:val="21"/>
              </w:rPr>
            </w:pPr>
            <w:r>
              <w:rPr>
                <w:rFonts w:hint="eastAsia"/>
                <w:sz w:val="21"/>
              </w:rPr>
              <w:t>电话</w:t>
            </w:r>
          </w:p>
        </w:tc>
        <w:tc>
          <w:tcPr>
            <w:tcW w:w="1439" w:type="dxa"/>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2434" w:type="dxa"/>
          </w:tcPr>
          <w:p>
            <w:pPr>
              <w:pStyle w:val="28"/>
              <w:spacing w:before="142" w:line="360" w:lineRule="auto"/>
              <w:ind w:left="182"/>
              <w:rPr>
                <w:sz w:val="21"/>
              </w:rPr>
            </w:pPr>
            <w:r>
              <w:rPr>
                <w:rFonts w:hint="eastAsia"/>
                <w:sz w:val="21"/>
              </w:rPr>
              <w:t>企业监理资质证书</w:t>
            </w:r>
          </w:p>
        </w:tc>
        <w:tc>
          <w:tcPr>
            <w:tcW w:w="6662" w:type="dxa"/>
            <w:gridSpan w:val="8"/>
          </w:tcPr>
          <w:p>
            <w:pPr>
              <w:pStyle w:val="28"/>
              <w:tabs>
                <w:tab w:val="left" w:pos="2848"/>
                <w:tab w:val="left" w:pos="4108"/>
              </w:tabs>
              <w:spacing w:before="142" w:line="360" w:lineRule="auto"/>
              <w:ind w:left="116"/>
              <w:jc w:val="center"/>
              <w:rPr>
                <w:sz w:val="21"/>
              </w:rPr>
            </w:pPr>
            <w:r>
              <w:rPr>
                <w:rFonts w:hint="eastAsia"/>
                <w:sz w:val="21"/>
              </w:rPr>
              <w:t>类型：</w:t>
            </w:r>
            <w:r>
              <w:rPr>
                <w:rFonts w:hint="eastAsia"/>
                <w:sz w:val="21"/>
              </w:rPr>
              <w:tab/>
            </w:r>
            <w:r>
              <w:rPr>
                <w:rFonts w:hint="eastAsia"/>
                <w:spacing w:val="-3"/>
                <w:sz w:val="21"/>
              </w:rPr>
              <w:t>等</w:t>
            </w:r>
            <w:r>
              <w:rPr>
                <w:rFonts w:hint="eastAsia"/>
                <w:sz w:val="21"/>
              </w:rPr>
              <w:t>级：</w:t>
            </w:r>
            <w:r>
              <w:rPr>
                <w:rFonts w:hint="eastAsia"/>
                <w:sz w:val="21"/>
              </w:rPr>
              <w:tab/>
            </w:r>
            <w:r>
              <w:rPr>
                <w:rFonts w:hint="eastAsia"/>
                <w:spacing w:val="-3"/>
                <w:sz w:val="21"/>
              </w:rPr>
              <w:t>证</w:t>
            </w:r>
            <w:r>
              <w:rPr>
                <w:rFonts w:hint="eastAsia"/>
                <w:sz w:val="21"/>
              </w:rPr>
              <w:t>书</w:t>
            </w:r>
            <w:r>
              <w:rPr>
                <w:rFonts w:hint="eastAsia"/>
                <w:spacing w:val="-3"/>
                <w:sz w:val="21"/>
              </w:rPr>
              <w:t>号</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hRule="atLeast"/>
        </w:trPr>
        <w:tc>
          <w:tcPr>
            <w:tcW w:w="2434" w:type="dxa"/>
          </w:tcPr>
          <w:p>
            <w:pPr>
              <w:pStyle w:val="28"/>
              <w:spacing w:before="142"/>
              <w:ind w:left="182"/>
              <w:rPr>
                <w:sz w:val="21"/>
              </w:rPr>
            </w:pPr>
            <w:r>
              <w:rPr>
                <w:rFonts w:hint="eastAsia"/>
                <w:sz w:val="21"/>
              </w:rPr>
              <w:t>质量管理体系证书</w:t>
            </w:r>
          </w:p>
          <w:p>
            <w:pPr>
              <w:pStyle w:val="28"/>
              <w:spacing w:before="170"/>
              <w:ind w:left="549"/>
              <w:rPr>
                <w:sz w:val="21"/>
              </w:rPr>
            </w:pPr>
            <w:r>
              <w:rPr>
                <w:rFonts w:hint="eastAsia"/>
                <w:sz w:val="21"/>
              </w:rPr>
              <w:t>（如有）</w:t>
            </w:r>
          </w:p>
        </w:tc>
        <w:tc>
          <w:tcPr>
            <w:tcW w:w="6662" w:type="dxa"/>
            <w:gridSpan w:val="8"/>
          </w:tcPr>
          <w:p>
            <w:pPr>
              <w:pStyle w:val="28"/>
              <w:spacing w:before="4" w:line="360" w:lineRule="auto"/>
              <w:rPr>
                <w:sz w:val="28"/>
              </w:rPr>
            </w:pPr>
          </w:p>
          <w:p>
            <w:pPr>
              <w:pStyle w:val="28"/>
              <w:tabs>
                <w:tab w:val="left" w:pos="2848"/>
                <w:tab w:val="left" w:pos="4108"/>
              </w:tabs>
              <w:spacing w:line="360" w:lineRule="auto"/>
              <w:ind w:left="116"/>
              <w:jc w:val="center"/>
              <w:rPr>
                <w:sz w:val="21"/>
              </w:rPr>
            </w:pPr>
            <w:r>
              <w:rPr>
                <w:rFonts w:hint="eastAsia"/>
                <w:sz w:val="21"/>
              </w:rPr>
              <w:t>类型：</w:t>
            </w:r>
            <w:r>
              <w:rPr>
                <w:rFonts w:hint="eastAsia"/>
                <w:sz w:val="21"/>
              </w:rPr>
              <w:tab/>
            </w:r>
            <w:r>
              <w:rPr>
                <w:rFonts w:hint="eastAsia"/>
                <w:spacing w:val="-3"/>
                <w:sz w:val="21"/>
              </w:rPr>
              <w:t>等</w:t>
            </w:r>
            <w:r>
              <w:rPr>
                <w:rFonts w:hint="eastAsia"/>
                <w:sz w:val="21"/>
              </w:rPr>
              <w:t>级：</w:t>
            </w:r>
            <w:r>
              <w:rPr>
                <w:rFonts w:hint="eastAsia"/>
                <w:sz w:val="21"/>
              </w:rPr>
              <w:tab/>
            </w:r>
            <w:r>
              <w:rPr>
                <w:rFonts w:hint="eastAsia"/>
                <w:spacing w:val="-3"/>
                <w:sz w:val="21"/>
              </w:rPr>
              <w:t>证</w:t>
            </w:r>
            <w:r>
              <w:rPr>
                <w:rFonts w:hint="eastAsia"/>
                <w:sz w:val="21"/>
              </w:rPr>
              <w:t>书</w:t>
            </w:r>
            <w:r>
              <w:rPr>
                <w:rFonts w:hint="eastAsia"/>
                <w:spacing w:val="-3"/>
                <w:sz w:val="21"/>
              </w:rPr>
              <w:t>号</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34" w:type="dxa"/>
          </w:tcPr>
          <w:p>
            <w:pPr>
              <w:pStyle w:val="28"/>
              <w:spacing w:before="142" w:line="360" w:lineRule="auto"/>
              <w:ind w:left="496"/>
              <w:rPr>
                <w:sz w:val="21"/>
              </w:rPr>
            </w:pPr>
            <w:r>
              <w:rPr>
                <w:rFonts w:hint="eastAsia"/>
                <w:sz w:val="21"/>
              </w:rPr>
              <w:t>营业执照号</w:t>
            </w:r>
          </w:p>
        </w:tc>
        <w:tc>
          <w:tcPr>
            <w:tcW w:w="2823" w:type="dxa"/>
            <w:gridSpan w:val="3"/>
          </w:tcPr>
          <w:p>
            <w:pPr>
              <w:pStyle w:val="28"/>
              <w:spacing w:line="360" w:lineRule="auto"/>
              <w:rPr>
                <w:sz w:val="20"/>
              </w:rPr>
            </w:pPr>
          </w:p>
        </w:tc>
        <w:tc>
          <w:tcPr>
            <w:tcW w:w="3839" w:type="dxa"/>
            <w:gridSpan w:val="5"/>
          </w:tcPr>
          <w:p>
            <w:pPr>
              <w:pStyle w:val="28"/>
              <w:spacing w:before="142" w:line="360" w:lineRule="auto"/>
              <w:ind w:left="1182"/>
              <w:rPr>
                <w:sz w:val="21"/>
              </w:rPr>
            </w:pPr>
            <w:r>
              <w:rPr>
                <w:rFonts w:hint="eastAsia"/>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434" w:type="dxa"/>
          </w:tcPr>
          <w:p>
            <w:pPr>
              <w:pStyle w:val="28"/>
              <w:spacing w:before="142" w:line="360" w:lineRule="auto"/>
              <w:ind w:left="602"/>
              <w:rPr>
                <w:sz w:val="21"/>
              </w:rPr>
            </w:pPr>
            <w:r>
              <w:rPr>
                <w:rFonts w:hint="eastAsia"/>
                <w:sz w:val="21"/>
              </w:rPr>
              <w:t>注册资本</w:t>
            </w:r>
          </w:p>
        </w:tc>
        <w:tc>
          <w:tcPr>
            <w:tcW w:w="2823" w:type="dxa"/>
            <w:gridSpan w:val="3"/>
          </w:tcPr>
          <w:p>
            <w:pPr>
              <w:pStyle w:val="28"/>
              <w:spacing w:line="360" w:lineRule="auto"/>
              <w:rPr>
                <w:sz w:val="20"/>
              </w:rPr>
            </w:pPr>
          </w:p>
        </w:tc>
        <w:tc>
          <w:tcPr>
            <w:tcW w:w="415" w:type="dxa"/>
            <w:vMerge w:val="restart"/>
          </w:tcPr>
          <w:p>
            <w:pPr>
              <w:pStyle w:val="28"/>
              <w:spacing w:line="360" w:lineRule="auto"/>
              <w:rPr>
                <w:sz w:val="20"/>
              </w:rPr>
            </w:pPr>
          </w:p>
          <w:p>
            <w:pPr>
              <w:pStyle w:val="28"/>
              <w:spacing w:before="9" w:line="360" w:lineRule="auto"/>
              <w:rPr>
                <w:sz w:val="26"/>
              </w:rPr>
            </w:pPr>
          </w:p>
          <w:p>
            <w:pPr>
              <w:pStyle w:val="28"/>
              <w:spacing w:line="360" w:lineRule="auto"/>
              <w:ind w:left="107" w:right="84"/>
              <w:rPr>
                <w:sz w:val="21"/>
              </w:rPr>
            </w:pPr>
            <w:r>
              <w:rPr>
                <w:rFonts w:hint="eastAsia"/>
                <w:sz w:val="21"/>
              </w:rPr>
              <w:t>其中</w:t>
            </w:r>
          </w:p>
        </w:tc>
        <w:tc>
          <w:tcPr>
            <w:tcW w:w="1699" w:type="dxa"/>
            <w:gridSpan w:val="2"/>
          </w:tcPr>
          <w:p>
            <w:pPr>
              <w:pStyle w:val="28"/>
              <w:spacing w:before="142" w:line="360" w:lineRule="auto"/>
              <w:ind w:left="220"/>
              <w:rPr>
                <w:sz w:val="21"/>
              </w:rPr>
            </w:pPr>
            <w:r>
              <w:rPr>
                <w:rFonts w:hint="eastAsia"/>
                <w:sz w:val="21"/>
              </w:rPr>
              <w:t>高级职称人员</w:t>
            </w:r>
          </w:p>
        </w:tc>
        <w:tc>
          <w:tcPr>
            <w:tcW w:w="1725" w:type="dxa"/>
            <w:gridSpan w:val="2"/>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434" w:type="dxa"/>
          </w:tcPr>
          <w:p>
            <w:pPr>
              <w:pStyle w:val="28"/>
              <w:spacing w:before="142" w:line="360" w:lineRule="auto"/>
              <w:ind w:left="602"/>
              <w:rPr>
                <w:sz w:val="21"/>
              </w:rPr>
            </w:pPr>
            <w:r>
              <w:rPr>
                <w:rFonts w:hint="eastAsia"/>
                <w:sz w:val="21"/>
              </w:rPr>
              <w:t>成立日期</w:t>
            </w:r>
          </w:p>
        </w:tc>
        <w:tc>
          <w:tcPr>
            <w:tcW w:w="2823" w:type="dxa"/>
            <w:gridSpan w:val="3"/>
          </w:tcPr>
          <w:p>
            <w:pPr>
              <w:pStyle w:val="28"/>
              <w:spacing w:line="360" w:lineRule="auto"/>
              <w:rPr>
                <w:sz w:val="20"/>
              </w:rPr>
            </w:pPr>
          </w:p>
        </w:tc>
        <w:tc>
          <w:tcPr>
            <w:tcW w:w="415" w:type="dxa"/>
            <w:vMerge w:val="continue"/>
            <w:tcBorders>
              <w:top w:val="nil"/>
            </w:tcBorders>
          </w:tcPr>
          <w:p>
            <w:pPr>
              <w:spacing w:line="360" w:lineRule="auto"/>
              <w:rPr>
                <w:sz w:val="2"/>
                <w:szCs w:val="2"/>
              </w:rPr>
            </w:pPr>
          </w:p>
        </w:tc>
        <w:tc>
          <w:tcPr>
            <w:tcW w:w="1699" w:type="dxa"/>
            <w:gridSpan w:val="2"/>
          </w:tcPr>
          <w:p>
            <w:pPr>
              <w:pStyle w:val="28"/>
              <w:spacing w:before="142" w:line="360" w:lineRule="auto"/>
              <w:ind w:left="220"/>
              <w:rPr>
                <w:sz w:val="21"/>
              </w:rPr>
            </w:pPr>
            <w:r>
              <w:rPr>
                <w:rFonts w:hint="eastAsia"/>
                <w:sz w:val="21"/>
              </w:rPr>
              <w:t>中级职称人员</w:t>
            </w:r>
          </w:p>
        </w:tc>
        <w:tc>
          <w:tcPr>
            <w:tcW w:w="1725" w:type="dxa"/>
            <w:gridSpan w:val="2"/>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2434" w:type="dxa"/>
          </w:tcPr>
          <w:p>
            <w:pPr>
              <w:pStyle w:val="28"/>
              <w:spacing w:before="142" w:line="360" w:lineRule="auto"/>
              <w:ind w:left="182"/>
              <w:rPr>
                <w:sz w:val="21"/>
              </w:rPr>
            </w:pPr>
            <w:r>
              <w:rPr>
                <w:rFonts w:hint="eastAsia"/>
                <w:sz w:val="21"/>
              </w:rPr>
              <w:t>基本账户开户银行</w:t>
            </w:r>
          </w:p>
        </w:tc>
        <w:tc>
          <w:tcPr>
            <w:tcW w:w="2823" w:type="dxa"/>
            <w:gridSpan w:val="3"/>
          </w:tcPr>
          <w:p>
            <w:pPr>
              <w:pStyle w:val="28"/>
              <w:spacing w:line="360" w:lineRule="auto"/>
              <w:rPr>
                <w:sz w:val="20"/>
              </w:rPr>
            </w:pPr>
          </w:p>
        </w:tc>
        <w:tc>
          <w:tcPr>
            <w:tcW w:w="415" w:type="dxa"/>
            <w:vMerge w:val="continue"/>
            <w:tcBorders>
              <w:top w:val="nil"/>
            </w:tcBorders>
          </w:tcPr>
          <w:p>
            <w:pPr>
              <w:spacing w:line="360" w:lineRule="auto"/>
              <w:rPr>
                <w:sz w:val="2"/>
                <w:szCs w:val="2"/>
              </w:rPr>
            </w:pPr>
          </w:p>
        </w:tc>
        <w:tc>
          <w:tcPr>
            <w:tcW w:w="1699" w:type="dxa"/>
            <w:gridSpan w:val="2"/>
          </w:tcPr>
          <w:p>
            <w:pPr>
              <w:pStyle w:val="28"/>
              <w:spacing w:before="142" w:line="360" w:lineRule="auto"/>
              <w:ind w:left="220"/>
              <w:rPr>
                <w:sz w:val="21"/>
              </w:rPr>
            </w:pPr>
            <w:r>
              <w:rPr>
                <w:rFonts w:hint="eastAsia"/>
                <w:sz w:val="21"/>
              </w:rPr>
              <w:t>技术人员数量</w:t>
            </w:r>
          </w:p>
        </w:tc>
        <w:tc>
          <w:tcPr>
            <w:tcW w:w="1725" w:type="dxa"/>
            <w:gridSpan w:val="2"/>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2434" w:type="dxa"/>
          </w:tcPr>
          <w:p>
            <w:pPr>
              <w:pStyle w:val="28"/>
              <w:spacing w:before="142" w:line="360" w:lineRule="auto"/>
              <w:ind w:left="182"/>
              <w:rPr>
                <w:sz w:val="21"/>
              </w:rPr>
            </w:pPr>
            <w:r>
              <w:rPr>
                <w:rFonts w:hint="eastAsia"/>
                <w:sz w:val="21"/>
              </w:rPr>
              <w:t>基本账户银行账号</w:t>
            </w:r>
          </w:p>
        </w:tc>
        <w:tc>
          <w:tcPr>
            <w:tcW w:w="2823" w:type="dxa"/>
            <w:gridSpan w:val="3"/>
          </w:tcPr>
          <w:p>
            <w:pPr>
              <w:pStyle w:val="28"/>
              <w:spacing w:line="360" w:lineRule="auto"/>
              <w:rPr>
                <w:sz w:val="20"/>
              </w:rPr>
            </w:pPr>
          </w:p>
        </w:tc>
        <w:tc>
          <w:tcPr>
            <w:tcW w:w="415" w:type="dxa"/>
            <w:vMerge w:val="continue"/>
            <w:tcBorders>
              <w:top w:val="nil"/>
            </w:tcBorders>
          </w:tcPr>
          <w:p>
            <w:pPr>
              <w:spacing w:line="360" w:lineRule="auto"/>
              <w:rPr>
                <w:sz w:val="2"/>
                <w:szCs w:val="2"/>
              </w:rPr>
            </w:pPr>
          </w:p>
        </w:tc>
        <w:tc>
          <w:tcPr>
            <w:tcW w:w="1699" w:type="dxa"/>
            <w:gridSpan w:val="2"/>
          </w:tcPr>
          <w:p>
            <w:pPr>
              <w:pStyle w:val="28"/>
              <w:spacing w:before="142" w:line="360" w:lineRule="auto"/>
              <w:ind w:left="220"/>
              <w:rPr>
                <w:sz w:val="21"/>
              </w:rPr>
            </w:pPr>
            <w:r>
              <w:rPr>
                <w:rFonts w:hint="eastAsia"/>
                <w:sz w:val="21"/>
              </w:rPr>
              <w:t>各类注册人员</w:t>
            </w:r>
          </w:p>
        </w:tc>
        <w:tc>
          <w:tcPr>
            <w:tcW w:w="1725" w:type="dxa"/>
            <w:gridSpan w:val="2"/>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2434" w:type="dxa"/>
          </w:tcPr>
          <w:p>
            <w:pPr>
              <w:pStyle w:val="28"/>
              <w:spacing w:before="142" w:line="360" w:lineRule="auto"/>
              <w:ind w:left="707"/>
              <w:rPr>
                <w:sz w:val="21"/>
              </w:rPr>
            </w:pPr>
            <w:r>
              <w:rPr>
                <w:rFonts w:hint="eastAsia"/>
                <w:sz w:val="21"/>
              </w:rPr>
              <w:t>经营范围</w:t>
            </w:r>
          </w:p>
        </w:tc>
        <w:tc>
          <w:tcPr>
            <w:tcW w:w="6662" w:type="dxa"/>
            <w:gridSpan w:val="8"/>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5" w:hRule="atLeast"/>
        </w:trPr>
        <w:tc>
          <w:tcPr>
            <w:tcW w:w="2434" w:type="dxa"/>
          </w:tcPr>
          <w:p>
            <w:pPr>
              <w:pStyle w:val="28"/>
              <w:spacing w:before="142"/>
              <w:ind w:left="108" w:right="91" w:hanging="6"/>
              <w:rPr>
                <w:sz w:val="21"/>
              </w:rPr>
            </w:pPr>
            <w:r>
              <w:rPr>
                <w:rFonts w:hint="eastAsia"/>
                <w:spacing w:val="-3"/>
                <w:sz w:val="21"/>
              </w:rPr>
              <w:t>投标人关联企业情</w:t>
            </w:r>
            <w:r>
              <w:rPr>
                <w:rFonts w:hint="eastAsia"/>
                <w:spacing w:val="-60"/>
                <w:sz w:val="21"/>
              </w:rPr>
              <w:t>况</w:t>
            </w:r>
            <w:r>
              <w:rPr>
                <w:rFonts w:hint="eastAsia"/>
                <w:sz w:val="21"/>
              </w:rPr>
              <w:t>（</w:t>
            </w:r>
            <w:r>
              <w:rPr>
                <w:rFonts w:hint="eastAsia"/>
                <w:spacing w:val="-5"/>
                <w:sz w:val="21"/>
              </w:rPr>
              <w:t>包括但不限于与</w:t>
            </w:r>
            <w:r>
              <w:rPr>
                <w:rFonts w:hint="eastAsia"/>
                <w:spacing w:val="-3"/>
                <w:sz w:val="21"/>
              </w:rPr>
              <w:t>投标人法定代表人为同一人或者存在</w:t>
            </w:r>
            <w:r>
              <w:rPr>
                <w:rFonts w:hint="eastAsia"/>
                <w:spacing w:val="-12"/>
                <w:sz w:val="21"/>
              </w:rPr>
              <w:t>控股、管理关系的不</w:t>
            </w:r>
            <w:r>
              <w:rPr>
                <w:rFonts w:hint="eastAsia"/>
                <w:sz w:val="21"/>
              </w:rPr>
              <w:t>同单位）</w:t>
            </w:r>
          </w:p>
        </w:tc>
        <w:tc>
          <w:tcPr>
            <w:tcW w:w="6662" w:type="dxa"/>
            <w:gridSpan w:val="8"/>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2434" w:type="dxa"/>
          </w:tcPr>
          <w:p>
            <w:pPr>
              <w:pStyle w:val="28"/>
              <w:spacing w:before="142" w:line="360" w:lineRule="auto"/>
              <w:ind w:left="583" w:right="569"/>
              <w:jc w:val="center"/>
              <w:rPr>
                <w:sz w:val="21"/>
              </w:rPr>
            </w:pPr>
            <w:r>
              <w:rPr>
                <w:rFonts w:hint="eastAsia"/>
                <w:sz w:val="21"/>
              </w:rPr>
              <w:t>备注</w:t>
            </w:r>
          </w:p>
        </w:tc>
        <w:tc>
          <w:tcPr>
            <w:tcW w:w="6662" w:type="dxa"/>
            <w:gridSpan w:val="8"/>
          </w:tcPr>
          <w:p>
            <w:pPr>
              <w:pStyle w:val="28"/>
              <w:spacing w:line="360" w:lineRule="auto"/>
              <w:rPr>
                <w:sz w:val="20"/>
              </w:rPr>
            </w:pPr>
          </w:p>
        </w:tc>
      </w:tr>
    </w:tbl>
    <w:p>
      <w:pPr>
        <w:pStyle w:val="11"/>
        <w:spacing w:before="109" w:line="360" w:lineRule="auto"/>
        <w:ind w:left="240" w:right="366"/>
      </w:pPr>
      <w:r>
        <w:rPr>
          <w:rFonts w:hint="eastAsia"/>
          <w:spacing w:val="-10"/>
        </w:rPr>
        <w:t xml:space="preserve">注：投标人应根据投标人须知第 </w:t>
      </w:r>
      <w:r>
        <w:rPr>
          <w:rFonts w:hint="eastAsia"/>
        </w:rPr>
        <w:t xml:space="preserve">3.5.1 </w:t>
      </w:r>
      <w:r>
        <w:rPr>
          <w:rFonts w:hint="eastAsia"/>
          <w:spacing w:val="-6"/>
        </w:rPr>
        <w:t>项的要求在本表后附相关证明材料。</w:t>
      </w:r>
      <w:r>
        <w:rPr>
          <w:rFonts w:hint="eastAsia" w:ascii="Times New Roman" w:hAnsi="Times New Roman"/>
          <w:u w:val="single"/>
        </w:rPr>
        <w:t>香港企业投标的，须按照招标公告“投标人资格要求”另行提供</w:t>
      </w:r>
      <w:r>
        <w:rPr>
          <w:rFonts w:hint="eastAsia"/>
          <w:u w:val="single"/>
        </w:rPr>
        <w:t>在香港公司注册证书及</w:t>
      </w:r>
      <w:r>
        <w:rPr>
          <w:u w:val="single"/>
        </w:rPr>
        <w:t>商业登记</w:t>
      </w:r>
      <w:r>
        <w:rPr>
          <w:rFonts w:hint="eastAsia"/>
          <w:u w:val="single"/>
        </w:rPr>
        <w:t>证及经广东省住房和城乡建设主管部门备案的企业和人员的备案证明文件</w:t>
      </w:r>
      <w:r>
        <w:rPr>
          <w:rFonts w:hint="eastAsia" w:ascii="Times New Roman" w:hAnsi="Times New Roman"/>
        </w:rPr>
        <w:t>。</w:t>
      </w:r>
    </w:p>
    <w:p>
      <w:pPr>
        <w:spacing w:line="360" w:lineRule="auto"/>
        <w:ind w:right="366"/>
        <w:sectPr>
          <w:pgSz w:w="12240" w:h="15840"/>
          <w:pgMar w:top="1500" w:right="1100" w:bottom="1120" w:left="1560" w:header="0" w:footer="841" w:gutter="0"/>
          <w:cols w:space="720" w:num="1"/>
        </w:sectPr>
      </w:pPr>
    </w:p>
    <w:p>
      <w:pPr>
        <w:spacing w:before="43" w:line="360" w:lineRule="auto"/>
        <w:ind w:left="377"/>
        <w:rPr>
          <w:sz w:val="28"/>
        </w:rPr>
      </w:pPr>
      <w:bookmarkStart w:id="57" w:name="_bookmark186"/>
      <w:bookmarkEnd w:id="57"/>
      <w:r>
        <w:rPr>
          <w:rFonts w:hint="eastAsia"/>
          <w:sz w:val="28"/>
        </w:rPr>
        <w:t>（二）近年财务状况表</w:t>
      </w:r>
    </w:p>
    <w:p>
      <w:pPr>
        <w:pStyle w:val="11"/>
        <w:spacing w:line="360" w:lineRule="auto"/>
        <w:ind w:left="426"/>
      </w:pPr>
      <w:r>
        <w:rPr>
          <w:rFonts w:hint="eastAsia"/>
        </w:rPr>
        <w:t>注：本招标项目的资格审查资料不需要提供此项内容。如投标人认为有需要提供，</w:t>
      </w:r>
      <w:r>
        <w:t>应根据投标人须知第3.5.2项的要求在本表后附相关证明材料。</w:t>
      </w:r>
    </w:p>
    <w:p>
      <w:pPr>
        <w:spacing w:line="360" w:lineRule="auto"/>
        <w:ind w:left="426"/>
        <w:sectPr>
          <w:pgSz w:w="12240" w:h="15840"/>
          <w:pgMar w:top="1400" w:right="1100" w:bottom="1120" w:left="1560" w:header="0" w:footer="841" w:gutter="0"/>
          <w:cols w:space="720" w:num="1"/>
        </w:sectPr>
      </w:pPr>
    </w:p>
    <w:p>
      <w:pPr>
        <w:spacing w:before="43" w:line="360" w:lineRule="auto"/>
        <w:ind w:left="377"/>
        <w:rPr>
          <w:sz w:val="28"/>
        </w:rPr>
      </w:pPr>
      <w:bookmarkStart w:id="58" w:name="_bookmark187"/>
      <w:bookmarkEnd w:id="58"/>
      <w:r>
        <w:rPr>
          <w:rFonts w:hint="eastAsia"/>
          <w:sz w:val="28"/>
        </w:rPr>
        <w:t>（三）近年完成的类似项目情况表（格式可自拟）</w:t>
      </w:r>
    </w:p>
    <w:p>
      <w:pPr>
        <w:pStyle w:val="11"/>
        <w:spacing w:line="360" w:lineRule="auto"/>
        <w:ind w:left="426"/>
        <w:sectPr>
          <w:pgSz w:w="12240" w:h="15840"/>
          <w:pgMar w:top="1400" w:right="1100" w:bottom="1120" w:left="1560" w:header="0" w:footer="841" w:gutter="0"/>
          <w:cols w:space="720" w:num="1"/>
        </w:sectPr>
      </w:pPr>
      <w:r>
        <w:rPr>
          <w:rFonts w:hint="eastAsia"/>
        </w:rPr>
        <w:t>注：本招标项目的资格审查资料不需要提供此项内容。如投标人认为有需要提供，</w:t>
      </w:r>
      <w:r>
        <w:t>应根据投标人须知第</w:t>
      </w:r>
      <w:r>
        <w:rPr>
          <w:rFonts w:hint="eastAsia"/>
        </w:rPr>
        <w:t>3.5.3 项的要求在本表后附相关证明材料。</w:t>
      </w:r>
    </w:p>
    <w:p>
      <w:pPr>
        <w:spacing w:before="43" w:line="360" w:lineRule="auto"/>
        <w:ind w:left="377"/>
        <w:rPr>
          <w:sz w:val="28"/>
        </w:rPr>
      </w:pPr>
      <w:bookmarkStart w:id="59" w:name="_bookmark188"/>
      <w:bookmarkEnd w:id="59"/>
      <w:r>
        <w:rPr>
          <w:rFonts w:hint="eastAsia"/>
          <w:sz w:val="28"/>
        </w:rPr>
        <w:t>（四）正在监理和新承接的项目情况表（格式可自拟）</w:t>
      </w:r>
    </w:p>
    <w:p>
      <w:pPr>
        <w:pStyle w:val="11"/>
        <w:spacing w:before="142" w:line="360" w:lineRule="auto"/>
        <w:ind w:left="240"/>
      </w:pPr>
      <w:r>
        <w:rPr>
          <w:rFonts w:hint="eastAsia"/>
        </w:rPr>
        <w:t>注：本招标项目的资格审查资料不需要提供此项内容。如投标人认为有需要提供，应根据投标人须知第 3.5.4 项的要求在本表后附相关证明材料。</w:t>
      </w:r>
    </w:p>
    <w:p>
      <w:pPr>
        <w:spacing w:line="360" w:lineRule="auto"/>
        <w:sectPr>
          <w:pgSz w:w="12240" w:h="15840"/>
          <w:pgMar w:top="1400" w:right="1100" w:bottom="1120" w:left="1560" w:header="0" w:footer="841" w:gutter="0"/>
          <w:cols w:space="720" w:num="1"/>
        </w:sectPr>
      </w:pPr>
    </w:p>
    <w:p>
      <w:pPr>
        <w:spacing w:before="43" w:line="360" w:lineRule="auto"/>
        <w:ind w:left="377"/>
        <w:rPr>
          <w:sz w:val="28"/>
        </w:rPr>
      </w:pPr>
      <w:bookmarkStart w:id="60" w:name="_bookmark189"/>
      <w:bookmarkEnd w:id="60"/>
      <w:r>
        <w:rPr>
          <w:rFonts w:hint="eastAsia"/>
          <w:sz w:val="28"/>
        </w:rPr>
        <w:t>（五）项目总监理工程师完成的类似项目情况表（格式可自拟）</w:t>
      </w:r>
    </w:p>
    <w:p>
      <w:pPr>
        <w:pStyle w:val="11"/>
        <w:spacing w:line="360" w:lineRule="auto"/>
        <w:ind w:left="426"/>
      </w:pPr>
      <w:r>
        <w:rPr>
          <w:rFonts w:hint="eastAsia"/>
        </w:rPr>
        <w:t>注：1、须提供至少</w:t>
      </w:r>
      <w:r>
        <w:t>3</w:t>
      </w:r>
      <w:r>
        <w:rPr>
          <w:rFonts w:hint="eastAsia"/>
        </w:rPr>
        <w:t>个同类项目的中标通知书、监理服务合同、验收报告等证明资料。</w:t>
      </w:r>
    </w:p>
    <w:p>
      <w:pPr>
        <w:pStyle w:val="11"/>
        <w:spacing w:line="360" w:lineRule="auto"/>
        <w:ind w:left="426" w:firstLine="420" w:firstLineChars="200"/>
        <w:sectPr>
          <w:pgSz w:w="12240" w:h="15840"/>
          <w:pgMar w:top="1400" w:right="1100" w:bottom="1120" w:left="1560" w:header="0" w:footer="841" w:gutter="0"/>
          <w:cols w:space="720" w:num="1"/>
        </w:sectPr>
      </w:pPr>
      <w:r>
        <w:rPr>
          <w:rFonts w:hint="eastAsia"/>
        </w:rPr>
        <w:t>2、本招标项目的资格审查资料不需要提供此项内容。如投标人认为有需要提供，</w:t>
      </w:r>
      <w:r>
        <w:t>应根据投标人须知第</w:t>
      </w:r>
      <w:r>
        <w:rPr>
          <w:rFonts w:hint="eastAsia"/>
        </w:rPr>
        <w:t>3.5.3 项的要求在本表后附相关证明材料。</w:t>
      </w:r>
    </w:p>
    <w:p>
      <w:pPr>
        <w:spacing w:before="35" w:line="360" w:lineRule="auto"/>
        <w:ind w:left="377"/>
        <w:rPr>
          <w:sz w:val="28"/>
        </w:rPr>
      </w:pPr>
      <w:r>
        <w:rPr>
          <w:rFonts w:hint="eastAsia"/>
          <w:sz w:val="28"/>
        </w:rPr>
        <w:t>（六）近年发生的诉讼及仲裁情况</w:t>
      </w:r>
    </w:p>
    <w:p>
      <w:pPr>
        <w:pStyle w:val="11"/>
        <w:spacing w:line="360" w:lineRule="auto"/>
        <w:ind w:left="240"/>
      </w:pPr>
      <w:r>
        <w:rPr>
          <w:rFonts w:hint="eastAsia"/>
        </w:rPr>
        <w:t>注：本招标项目的资格审查资料不需要提供此项内容。如投标人认为有需要提供，投标人应根据投标人须知第3.5.5项的要求附相关证明材料。</w:t>
      </w:r>
    </w:p>
    <w:p>
      <w:pPr>
        <w:spacing w:line="360" w:lineRule="auto"/>
        <w:sectPr>
          <w:pgSz w:w="12240" w:h="15840"/>
          <w:pgMar w:top="1480" w:right="1100" w:bottom="1120" w:left="1560" w:header="0" w:footer="841" w:gutter="0"/>
          <w:cols w:space="720" w:num="1"/>
        </w:sectPr>
      </w:pPr>
    </w:p>
    <w:p>
      <w:pPr>
        <w:spacing w:line="360" w:lineRule="auto"/>
        <w:ind w:right="461"/>
        <w:jc w:val="center"/>
        <w:rPr>
          <w:b/>
          <w:sz w:val="32"/>
        </w:rPr>
      </w:pPr>
      <w:bookmarkStart w:id="61" w:name="_bookmark190"/>
      <w:bookmarkEnd w:id="61"/>
      <w:r>
        <w:rPr>
          <w:rFonts w:hint="eastAsia"/>
          <w:b/>
          <w:sz w:val="32"/>
        </w:rPr>
        <w:t>七、拟委任的主要人员汇总表（格式可自拟）</w:t>
      </w:r>
    </w:p>
    <w:p>
      <w:pPr>
        <w:pStyle w:val="11"/>
        <w:spacing w:before="9" w:line="360" w:lineRule="auto"/>
        <w:rPr>
          <w:sz w:val="20"/>
        </w:rPr>
      </w:pP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364"/>
        <w:gridCol w:w="1358"/>
        <w:gridCol w:w="1364"/>
        <w:gridCol w:w="1622"/>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44" w:type="pct"/>
            <w:vAlign w:val="center"/>
          </w:tcPr>
          <w:p>
            <w:pPr>
              <w:widowControl/>
              <w:jc w:val="center"/>
              <w:rPr>
                <w:b/>
                <w:bCs/>
                <w:color w:val="000000"/>
                <w:szCs w:val="21"/>
              </w:rPr>
            </w:pPr>
            <w:r>
              <w:rPr>
                <w:rFonts w:hint="eastAsia"/>
                <w:b/>
                <w:bCs/>
                <w:color w:val="000000"/>
                <w:szCs w:val="21"/>
              </w:rPr>
              <w:t>序号</w:t>
            </w:r>
          </w:p>
        </w:tc>
        <w:tc>
          <w:tcPr>
            <w:tcW w:w="696" w:type="pct"/>
            <w:vAlign w:val="center"/>
          </w:tcPr>
          <w:p>
            <w:pPr>
              <w:widowControl/>
              <w:jc w:val="center"/>
              <w:rPr>
                <w:b/>
                <w:bCs/>
                <w:color w:val="000000"/>
                <w:szCs w:val="21"/>
              </w:rPr>
            </w:pPr>
            <w:r>
              <w:rPr>
                <w:rFonts w:hint="eastAsia"/>
                <w:b/>
                <w:bCs/>
                <w:color w:val="000000"/>
                <w:szCs w:val="21"/>
              </w:rPr>
              <w:t>姓名</w:t>
            </w:r>
          </w:p>
        </w:tc>
        <w:tc>
          <w:tcPr>
            <w:tcW w:w="693" w:type="pct"/>
            <w:vAlign w:val="center"/>
          </w:tcPr>
          <w:p>
            <w:pPr>
              <w:widowControl/>
              <w:jc w:val="center"/>
              <w:rPr>
                <w:b/>
                <w:bCs/>
                <w:color w:val="000000"/>
                <w:szCs w:val="21"/>
              </w:rPr>
            </w:pPr>
            <w:r>
              <w:rPr>
                <w:rFonts w:hint="eastAsia"/>
                <w:b/>
                <w:bCs/>
                <w:color w:val="000000"/>
                <w:szCs w:val="21"/>
              </w:rPr>
              <w:t>岗位</w:t>
            </w:r>
          </w:p>
        </w:tc>
        <w:tc>
          <w:tcPr>
            <w:tcW w:w="696" w:type="pct"/>
            <w:vAlign w:val="center"/>
          </w:tcPr>
          <w:p>
            <w:pPr>
              <w:widowControl/>
              <w:jc w:val="center"/>
              <w:rPr>
                <w:b/>
                <w:bCs/>
                <w:color w:val="000000"/>
                <w:szCs w:val="21"/>
              </w:rPr>
            </w:pPr>
            <w:r>
              <w:rPr>
                <w:rFonts w:hint="eastAsia"/>
                <w:b/>
                <w:bCs/>
                <w:color w:val="000000"/>
                <w:szCs w:val="21"/>
              </w:rPr>
              <w:t>职称</w:t>
            </w:r>
          </w:p>
        </w:tc>
        <w:tc>
          <w:tcPr>
            <w:tcW w:w="828" w:type="pct"/>
          </w:tcPr>
          <w:p>
            <w:pPr>
              <w:widowControl/>
              <w:jc w:val="center"/>
              <w:rPr>
                <w:b/>
                <w:bCs/>
                <w:color w:val="000000"/>
                <w:szCs w:val="21"/>
              </w:rPr>
            </w:pPr>
            <w:r>
              <w:rPr>
                <w:rFonts w:hint="eastAsia"/>
                <w:b/>
                <w:bCs/>
                <w:color w:val="000000"/>
                <w:szCs w:val="21"/>
              </w:rPr>
              <w:t>职称证书或资格证书编号</w:t>
            </w:r>
          </w:p>
        </w:tc>
        <w:tc>
          <w:tcPr>
            <w:tcW w:w="1744" w:type="pct"/>
            <w:vAlign w:val="center"/>
          </w:tcPr>
          <w:p>
            <w:pPr>
              <w:widowControl/>
              <w:jc w:val="center"/>
              <w:rPr>
                <w:b/>
                <w:bCs/>
                <w:color w:val="000000"/>
                <w:szCs w:val="21"/>
              </w:rPr>
            </w:pPr>
            <w:r>
              <w:rPr>
                <w:rFonts w:hint="eastAsia"/>
                <w:b/>
                <w:bCs/>
                <w:szCs w:val="21"/>
              </w:rPr>
              <w:t>参与完成的监理服务项目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noWrap/>
            <w:vAlign w:val="center"/>
          </w:tcPr>
          <w:p>
            <w:pPr>
              <w:widowControl/>
              <w:jc w:val="center"/>
              <w:rPr>
                <w:color w:val="000000"/>
                <w:szCs w:val="21"/>
              </w:rPr>
            </w:pPr>
            <w:r>
              <w:rPr>
                <w:rFonts w:hint="eastAsia"/>
                <w:color w:val="000000"/>
                <w:szCs w:val="21"/>
              </w:rPr>
              <w:t>1</w:t>
            </w:r>
          </w:p>
        </w:tc>
        <w:tc>
          <w:tcPr>
            <w:tcW w:w="696" w:type="pct"/>
            <w:noWrap/>
            <w:vAlign w:val="center"/>
          </w:tcPr>
          <w:p>
            <w:pPr>
              <w:widowControl/>
              <w:jc w:val="center"/>
              <w:rPr>
                <w:color w:val="000000"/>
                <w:szCs w:val="21"/>
              </w:rPr>
            </w:pPr>
            <w:r>
              <w:rPr>
                <w:rFonts w:hint="eastAsia"/>
                <w:color w:val="000000"/>
                <w:szCs w:val="21"/>
              </w:rPr>
              <w:t>　</w:t>
            </w:r>
          </w:p>
        </w:tc>
        <w:tc>
          <w:tcPr>
            <w:tcW w:w="693"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828" w:type="pct"/>
          </w:tcPr>
          <w:p>
            <w:pPr>
              <w:widowControl/>
              <w:jc w:val="center"/>
              <w:rPr>
                <w:color w:val="000000"/>
                <w:szCs w:val="21"/>
              </w:rPr>
            </w:pPr>
          </w:p>
        </w:tc>
        <w:tc>
          <w:tcPr>
            <w:tcW w:w="1744" w:type="pct"/>
            <w:noWrap/>
            <w:vAlign w:val="center"/>
          </w:tcPr>
          <w:p>
            <w:pPr>
              <w:widowControl/>
              <w:jc w:val="center"/>
              <w:rPr>
                <w:color w:val="000000"/>
                <w:szCs w:val="21"/>
              </w:rPr>
            </w:pPr>
            <w:r>
              <w:rPr>
                <w:rFonts w:hint="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noWrap/>
            <w:vAlign w:val="center"/>
          </w:tcPr>
          <w:p>
            <w:pPr>
              <w:widowControl/>
              <w:jc w:val="center"/>
              <w:rPr>
                <w:color w:val="000000"/>
                <w:szCs w:val="21"/>
              </w:rPr>
            </w:pPr>
            <w:r>
              <w:rPr>
                <w:rFonts w:hint="eastAsia"/>
                <w:color w:val="000000"/>
                <w:szCs w:val="21"/>
              </w:rPr>
              <w:t>2</w:t>
            </w:r>
          </w:p>
        </w:tc>
        <w:tc>
          <w:tcPr>
            <w:tcW w:w="696" w:type="pct"/>
            <w:noWrap/>
            <w:vAlign w:val="center"/>
          </w:tcPr>
          <w:p>
            <w:pPr>
              <w:widowControl/>
              <w:jc w:val="center"/>
              <w:rPr>
                <w:color w:val="000000"/>
                <w:szCs w:val="21"/>
              </w:rPr>
            </w:pPr>
            <w:r>
              <w:rPr>
                <w:rFonts w:hint="eastAsia"/>
                <w:color w:val="000000"/>
                <w:szCs w:val="21"/>
              </w:rPr>
              <w:t>　</w:t>
            </w:r>
          </w:p>
        </w:tc>
        <w:tc>
          <w:tcPr>
            <w:tcW w:w="693"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828" w:type="pct"/>
          </w:tcPr>
          <w:p>
            <w:pPr>
              <w:widowControl/>
              <w:jc w:val="center"/>
              <w:rPr>
                <w:color w:val="000000"/>
                <w:szCs w:val="21"/>
              </w:rPr>
            </w:pPr>
          </w:p>
        </w:tc>
        <w:tc>
          <w:tcPr>
            <w:tcW w:w="1744" w:type="pct"/>
            <w:noWrap/>
            <w:vAlign w:val="center"/>
          </w:tcPr>
          <w:p>
            <w:pPr>
              <w:widowControl/>
              <w:jc w:val="center"/>
              <w:rPr>
                <w:color w:val="000000"/>
                <w:szCs w:val="21"/>
              </w:rPr>
            </w:pPr>
            <w:r>
              <w:rPr>
                <w:rFonts w:hint="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noWrap/>
            <w:vAlign w:val="center"/>
          </w:tcPr>
          <w:p>
            <w:pPr>
              <w:widowControl/>
              <w:jc w:val="center"/>
              <w:rPr>
                <w:color w:val="000000"/>
                <w:szCs w:val="21"/>
              </w:rPr>
            </w:pPr>
            <w:r>
              <w:rPr>
                <w:rFonts w:hint="eastAsia"/>
                <w:color w:val="000000"/>
                <w:szCs w:val="21"/>
              </w:rPr>
              <w:t>3</w:t>
            </w:r>
          </w:p>
        </w:tc>
        <w:tc>
          <w:tcPr>
            <w:tcW w:w="696" w:type="pct"/>
            <w:noWrap/>
            <w:vAlign w:val="center"/>
          </w:tcPr>
          <w:p>
            <w:pPr>
              <w:widowControl/>
              <w:jc w:val="center"/>
              <w:rPr>
                <w:color w:val="000000"/>
                <w:szCs w:val="21"/>
              </w:rPr>
            </w:pPr>
            <w:r>
              <w:rPr>
                <w:rFonts w:hint="eastAsia"/>
                <w:color w:val="000000"/>
                <w:szCs w:val="21"/>
              </w:rPr>
              <w:t>　</w:t>
            </w:r>
          </w:p>
        </w:tc>
        <w:tc>
          <w:tcPr>
            <w:tcW w:w="693"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828" w:type="pct"/>
          </w:tcPr>
          <w:p>
            <w:pPr>
              <w:widowControl/>
              <w:jc w:val="center"/>
              <w:rPr>
                <w:color w:val="000000"/>
                <w:szCs w:val="21"/>
              </w:rPr>
            </w:pPr>
          </w:p>
        </w:tc>
        <w:tc>
          <w:tcPr>
            <w:tcW w:w="1744" w:type="pct"/>
            <w:noWrap/>
            <w:vAlign w:val="center"/>
          </w:tcPr>
          <w:p>
            <w:pPr>
              <w:widowControl/>
              <w:jc w:val="center"/>
              <w:rPr>
                <w:color w:val="000000"/>
                <w:szCs w:val="21"/>
              </w:rPr>
            </w:pPr>
            <w:r>
              <w:rPr>
                <w:rFonts w:hint="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noWrap/>
            <w:vAlign w:val="center"/>
          </w:tcPr>
          <w:p>
            <w:pPr>
              <w:widowControl/>
              <w:jc w:val="center"/>
              <w:rPr>
                <w:color w:val="000000"/>
                <w:szCs w:val="21"/>
              </w:rPr>
            </w:pPr>
            <w:r>
              <w:rPr>
                <w:rFonts w:hint="eastAsia"/>
                <w:color w:val="000000"/>
                <w:szCs w:val="21"/>
              </w:rPr>
              <w:t>4</w:t>
            </w:r>
          </w:p>
        </w:tc>
        <w:tc>
          <w:tcPr>
            <w:tcW w:w="696" w:type="pct"/>
            <w:noWrap/>
            <w:vAlign w:val="center"/>
          </w:tcPr>
          <w:p>
            <w:pPr>
              <w:widowControl/>
              <w:jc w:val="center"/>
              <w:rPr>
                <w:color w:val="000000"/>
                <w:szCs w:val="21"/>
              </w:rPr>
            </w:pPr>
            <w:r>
              <w:rPr>
                <w:rFonts w:hint="eastAsia"/>
                <w:color w:val="000000"/>
                <w:szCs w:val="21"/>
              </w:rPr>
              <w:t>　</w:t>
            </w:r>
          </w:p>
        </w:tc>
        <w:tc>
          <w:tcPr>
            <w:tcW w:w="693"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828" w:type="pct"/>
          </w:tcPr>
          <w:p>
            <w:pPr>
              <w:widowControl/>
              <w:jc w:val="center"/>
              <w:rPr>
                <w:color w:val="000000"/>
                <w:szCs w:val="21"/>
              </w:rPr>
            </w:pPr>
          </w:p>
        </w:tc>
        <w:tc>
          <w:tcPr>
            <w:tcW w:w="1744" w:type="pct"/>
            <w:noWrap/>
            <w:vAlign w:val="center"/>
          </w:tcPr>
          <w:p>
            <w:pPr>
              <w:widowControl/>
              <w:jc w:val="center"/>
              <w:rPr>
                <w:color w:val="000000"/>
                <w:szCs w:val="21"/>
              </w:rPr>
            </w:pPr>
            <w:r>
              <w:rPr>
                <w:rFonts w:hint="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noWrap/>
            <w:vAlign w:val="center"/>
          </w:tcPr>
          <w:p>
            <w:pPr>
              <w:widowControl/>
              <w:jc w:val="center"/>
              <w:rPr>
                <w:color w:val="000000"/>
                <w:szCs w:val="21"/>
              </w:rPr>
            </w:pPr>
            <w:r>
              <w:rPr>
                <w:rFonts w:hint="eastAsia"/>
                <w:color w:val="000000"/>
                <w:szCs w:val="21"/>
              </w:rPr>
              <w:t>……</w:t>
            </w:r>
          </w:p>
        </w:tc>
        <w:tc>
          <w:tcPr>
            <w:tcW w:w="696" w:type="pct"/>
            <w:noWrap/>
            <w:vAlign w:val="center"/>
          </w:tcPr>
          <w:p>
            <w:pPr>
              <w:widowControl/>
              <w:jc w:val="center"/>
              <w:rPr>
                <w:color w:val="000000"/>
                <w:szCs w:val="21"/>
              </w:rPr>
            </w:pPr>
            <w:r>
              <w:rPr>
                <w:rFonts w:hint="eastAsia"/>
                <w:color w:val="000000"/>
                <w:szCs w:val="21"/>
              </w:rPr>
              <w:t>　</w:t>
            </w:r>
          </w:p>
        </w:tc>
        <w:tc>
          <w:tcPr>
            <w:tcW w:w="693"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828" w:type="pct"/>
          </w:tcPr>
          <w:p>
            <w:pPr>
              <w:widowControl/>
              <w:jc w:val="center"/>
              <w:rPr>
                <w:color w:val="000000"/>
                <w:szCs w:val="21"/>
              </w:rPr>
            </w:pPr>
          </w:p>
        </w:tc>
        <w:tc>
          <w:tcPr>
            <w:tcW w:w="1744" w:type="pct"/>
            <w:noWrap/>
            <w:vAlign w:val="center"/>
          </w:tcPr>
          <w:p>
            <w:pPr>
              <w:widowControl/>
              <w:jc w:val="center"/>
              <w:rPr>
                <w:color w:val="000000"/>
                <w:szCs w:val="21"/>
              </w:rPr>
            </w:pPr>
            <w:r>
              <w:rPr>
                <w:rFonts w:hint="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693"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828" w:type="pct"/>
          </w:tcPr>
          <w:p>
            <w:pPr>
              <w:widowControl/>
              <w:jc w:val="center"/>
              <w:rPr>
                <w:color w:val="000000"/>
                <w:szCs w:val="21"/>
              </w:rPr>
            </w:pPr>
          </w:p>
        </w:tc>
        <w:tc>
          <w:tcPr>
            <w:tcW w:w="1744" w:type="pct"/>
            <w:noWrap/>
            <w:vAlign w:val="center"/>
          </w:tcPr>
          <w:p>
            <w:pPr>
              <w:widowControl/>
              <w:jc w:val="center"/>
              <w:rPr>
                <w:color w:val="000000"/>
                <w:szCs w:val="21"/>
              </w:rPr>
            </w:pPr>
            <w:r>
              <w:rPr>
                <w:rFonts w:hint="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693"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828" w:type="pct"/>
          </w:tcPr>
          <w:p>
            <w:pPr>
              <w:widowControl/>
              <w:jc w:val="center"/>
              <w:rPr>
                <w:color w:val="000000"/>
                <w:szCs w:val="21"/>
              </w:rPr>
            </w:pPr>
          </w:p>
        </w:tc>
        <w:tc>
          <w:tcPr>
            <w:tcW w:w="1744" w:type="pct"/>
            <w:noWrap/>
            <w:vAlign w:val="center"/>
          </w:tcPr>
          <w:p>
            <w:pPr>
              <w:widowControl/>
              <w:jc w:val="center"/>
              <w:rPr>
                <w:color w:val="000000"/>
                <w:szCs w:val="21"/>
              </w:rPr>
            </w:pPr>
            <w:r>
              <w:rPr>
                <w:rFonts w:hint="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693"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828" w:type="pct"/>
          </w:tcPr>
          <w:p>
            <w:pPr>
              <w:widowControl/>
              <w:jc w:val="center"/>
              <w:rPr>
                <w:color w:val="000000"/>
                <w:szCs w:val="21"/>
              </w:rPr>
            </w:pPr>
          </w:p>
        </w:tc>
        <w:tc>
          <w:tcPr>
            <w:tcW w:w="1744" w:type="pct"/>
            <w:noWrap/>
            <w:vAlign w:val="center"/>
          </w:tcPr>
          <w:p>
            <w:pPr>
              <w:widowControl/>
              <w:jc w:val="center"/>
              <w:rPr>
                <w:color w:val="000000"/>
                <w:szCs w:val="21"/>
              </w:rPr>
            </w:pPr>
            <w:r>
              <w:rPr>
                <w:rFonts w:hint="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693"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828" w:type="pct"/>
          </w:tcPr>
          <w:p>
            <w:pPr>
              <w:widowControl/>
              <w:jc w:val="center"/>
              <w:rPr>
                <w:color w:val="000000"/>
                <w:szCs w:val="21"/>
              </w:rPr>
            </w:pPr>
          </w:p>
        </w:tc>
        <w:tc>
          <w:tcPr>
            <w:tcW w:w="1744" w:type="pct"/>
            <w:noWrap/>
            <w:vAlign w:val="center"/>
          </w:tcPr>
          <w:p>
            <w:pPr>
              <w:widowControl/>
              <w:jc w:val="center"/>
              <w:rPr>
                <w:color w:val="000000"/>
                <w:szCs w:val="21"/>
              </w:rPr>
            </w:pPr>
            <w:r>
              <w:rPr>
                <w:rFonts w:hint="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693"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828" w:type="pct"/>
          </w:tcPr>
          <w:p>
            <w:pPr>
              <w:widowControl/>
              <w:jc w:val="center"/>
              <w:rPr>
                <w:color w:val="000000"/>
                <w:szCs w:val="21"/>
              </w:rPr>
            </w:pPr>
          </w:p>
        </w:tc>
        <w:tc>
          <w:tcPr>
            <w:tcW w:w="1744" w:type="pct"/>
            <w:noWrap/>
            <w:vAlign w:val="center"/>
          </w:tcPr>
          <w:p>
            <w:pPr>
              <w:widowControl/>
              <w:jc w:val="center"/>
              <w:rPr>
                <w:color w:val="000000"/>
                <w:szCs w:val="21"/>
              </w:rPr>
            </w:pPr>
            <w:r>
              <w:rPr>
                <w:rFonts w:hint="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693"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828" w:type="pct"/>
          </w:tcPr>
          <w:p>
            <w:pPr>
              <w:widowControl/>
              <w:jc w:val="center"/>
              <w:rPr>
                <w:color w:val="000000"/>
                <w:szCs w:val="21"/>
              </w:rPr>
            </w:pPr>
          </w:p>
        </w:tc>
        <w:tc>
          <w:tcPr>
            <w:tcW w:w="1744" w:type="pct"/>
            <w:noWrap/>
            <w:vAlign w:val="center"/>
          </w:tcPr>
          <w:p>
            <w:pPr>
              <w:widowControl/>
              <w:jc w:val="center"/>
              <w:rPr>
                <w:color w:val="000000"/>
                <w:szCs w:val="21"/>
              </w:rPr>
            </w:pPr>
            <w:r>
              <w:rPr>
                <w:rFonts w:hint="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693" w:type="pct"/>
            <w:noWrap/>
            <w:vAlign w:val="center"/>
          </w:tcPr>
          <w:p>
            <w:pPr>
              <w:widowControl/>
              <w:jc w:val="center"/>
              <w:rPr>
                <w:color w:val="000000"/>
                <w:szCs w:val="21"/>
              </w:rPr>
            </w:pPr>
            <w:r>
              <w:rPr>
                <w:rFonts w:hint="eastAsia"/>
                <w:color w:val="000000"/>
                <w:szCs w:val="21"/>
              </w:rPr>
              <w:t>　</w:t>
            </w:r>
          </w:p>
        </w:tc>
        <w:tc>
          <w:tcPr>
            <w:tcW w:w="696" w:type="pct"/>
            <w:noWrap/>
            <w:vAlign w:val="center"/>
          </w:tcPr>
          <w:p>
            <w:pPr>
              <w:widowControl/>
              <w:jc w:val="center"/>
              <w:rPr>
                <w:color w:val="000000"/>
                <w:szCs w:val="21"/>
              </w:rPr>
            </w:pPr>
            <w:r>
              <w:rPr>
                <w:rFonts w:hint="eastAsia"/>
                <w:color w:val="000000"/>
                <w:szCs w:val="21"/>
              </w:rPr>
              <w:t>　</w:t>
            </w:r>
          </w:p>
        </w:tc>
        <w:tc>
          <w:tcPr>
            <w:tcW w:w="828" w:type="pct"/>
          </w:tcPr>
          <w:p>
            <w:pPr>
              <w:widowControl/>
              <w:jc w:val="center"/>
              <w:rPr>
                <w:color w:val="000000"/>
                <w:szCs w:val="21"/>
              </w:rPr>
            </w:pPr>
          </w:p>
        </w:tc>
        <w:tc>
          <w:tcPr>
            <w:tcW w:w="1744" w:type="pct"/>
            <w:noWrap/>
            <w:vAlign w:val="center"/>
          </w:tcPr>
          <w:p>
            <w:pPr>
              <w:widowControl/>
              <w:jc w:val="center"/>
              <w:rPr>
                <w:color w:val="000000"/>
                <w:szCs w:val="21"/>
              </w:rPr>
            </w:pPr>
            <w:r>
              <w:rPr>
                <w:rFonts w:hint="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5000" w:type="pct"/>
            <w:gridSpan w:val="6"/>
          </w:tcPr>
          <w:p>
            <w:pPr>
              <w:widowControl/>
              <w:rPr>
                <w:color w:val="000000"/>
                <w:szCs w:val="21"/>
              </w:rPr>
            </w:pPr>
            <w:r>
              <w:rPr>
                <w:rFonts w:hint="eastAsia"/>
                <w:color w:val="000000"/>
                <w:szCs w:val="21"/>
              </w:rPr>
              <w:t>备注：</w:t>
            </w:r>
          </w:p>
          <w:p>
            <w:pPr>
              <w:widowControl/>
              <w:rPr>
                <w:color w:val="000000"/>
                <w:szCs w:val="21"/>
              </w:rPr>
            </w:pPr>
            <w:r>
              <w:rPr>
                <w:rFonts w:hint="eastAsia"/>
                <w:color w:val="000000"/>
                <w:szCs w:val="21"/>
              </w:rPr>
              <w:t>1、“岗位”要求</w:t>
            </w:r>
            <w:r>
              <w:rPr>
                <w:rFonts w:hint="eastAsia"/>
                <w:b/>
                <w:bCs/>
                <w:color w:val="000000"/>
                <w:szCs w:val="21"/>
              </w:rPr>
              <w:t>（总监理工程师除外）</w:t>
            </w:r>
            <w:r>
              <w:rPr>
                <w:rFonts w:hint="eastAsia"/>
                <w:color w:val="000000"/>
                <w:szCs w:val="21"/>
              </w:rPr>
              <w:t>由招标人根据项目管理需要在本表备注中明确提出，如：拟派驻施工现场的总监理工程师代表、专业监理工程师、监理员等。以上项目管理团队人员信息将由交易系统提取后供各相关单位在履约时比对、查核。</w:t>
            </w:r>
          </w:p>
          <w:p>
            <w:pPr>
              <w:widowControl/>
              <w:rPr>
                <w:color w:val="000000"/>
                <w:szCs w:val="21"/>
              </w:rPr>
            </w:pPr>
            <w:r>
              <w:rPr>
                <w:rFonts w:hint="eastAsia"/>
                <w:color w:val="00000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rPr>
                <w:color w:val="000000"/>
                <w:szCs w:val="21"/>
              </w:rPr>
            </w:pPr>
            <w:r>
              <w:rPr>
                <w:rFonts w:hint="eastAsia"/>
                <w:color w:val="000000"/>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widowControl/>
              <w:rPr>
                <w:b/>
                <w:color w:val="000000"/>
                <w:szCs w:val="21"/>
              </w:rPr>
            </w:pPr>
            <w:r>
              <w:rPr>
                <w:rFonts w:hint="eastAsia"/>
                <w:b/>
                <w:color w:val="000000"/>
                <w:szCs w:val="21"/>
              </w:rPr>
              <w:t>4、本表中投入人员由投标人根据投标人须知前附表中的附件“监理机构人员配备要求”以及投标人实际情况填写。</w:t>
            </w:r>
          </w:p>
        </w:tc>
      </w:tr>
    </w:tbl>
    <w:p>
      <w:pPr>
        <w:spacing w:line="360" w:lineRule="auto"/>
        <w:sectPr>
          <w:pgSz w:w="12240" w:h="15840"/>
          <w:pgMar w:top="1400" w:right="1100" w:bottom="1120" w:left="1560" w:header="0" w:footer="841" w:gutter="0"/>
          <w:cols w:space="720" w:num="1"/>
        </w:sectPr>
      </w:pPr>
      <w:r>
        <w:rPr>
          <w:rFonts w:hint="eastAsia"/>
          <w:u w:val="single"/>
        </w:rPr>
        <w:t>注：投标人应根据投标人须知第 3.5.6 项和第五章“委托人要求”的人员要求进行本表的填写。</w:t>
      </w:r>
    </w:p>
    <w:p>
      <w:pPr>
        <w:spacing w:line="360" w:lineRule="auto"/>
        <w:ind w:right="461"/>
        <w:jc w:val="center"/>
        <w:rPr>
          <w:b/>
          <w:sz w:val="32"/>
        </w:rPr>
      </w:pPr>
      <w:bookmarkStart w:id="62" w:name="_bookmark191"/>
      <w:bookmarkEnd w:id="62"/>
      <w:r>
        <w:rPr>
          <w:rFonts w:hint="eastAsia"/>
          <w:b/>
          <w:sz w:val="32"/>
        </w:rPr>
        <w:t>八、主要人员简历表（格式可自拟）</w:t>
      </w:r>
    </w:p>
    <w:p>
      <w:pPr>
        <w:pStyle w:val="11"/>
        <w:spacing w:line="360" w:lineRule="auto"/>
        <w:rPr>
          <w:sz w:val="15"/>
        </w:rPr>
      </w:pPr>
    </w:p>
    <w:tbl>
      <w:tblPr>
        <w:tblStyle w:val="21"/>
        <w:tblW w:w="0" w:type="auto"/>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77"/>
        <w:gridCol w:w="731"/>
        <w:gridCol w:w="1011"/>
        <w:gridCol w:w="1126"/>
        <w:gridCol w:w="744"/>
        <w:gridCol w:w="1331"/>
        <w:gridCol w:w="424"/>
        <w:gridCol w:w="2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252" w:type="dxa"/>
            <w:vAlign w:val="center"/>
          </w:tcPr>
          <w:p>
            <w:pPr>
              <w:pStyle w:val="28"/>
              <w:tabs>
                <w:tab w:val="left" w:pos="436"/>
              </w:tabs>
              <w:spacing w:line="360" w:lineRule="auto"/>
              <w:ind w:left="13"/>
              <w:jc w:val="center"/>
              <w:rPr>
                <w:sz w:val="21"/>
              </w:rPr>
            </w:pPr>
            <w:r>
              <w:rPr>
                <w:rFonts w:hint="eastAsia"/>
                <w:sz w:val="21"/>
              </w:rPr>
              <w:t>姓</w:t>
            </w:r>
            <w:r>
              <w:rPr>
                <w:rFonts w:hint="eastAsia"/>
                <w:sz w:val="21"/>
              </w:rPr>
              <w:tab/>
            </w:r>
            <w:r>
              <w:rPr>
                <w:rFonts w:hint="eastAsia"/>
                <w:sz w:val="21"/>
              </w:rPr>
              <w:t>名</w:t>
            </w:r>
          </w:p>
        </w:tc>
        <w:tc>
          <w:tcPr>
            <w:tcW w:w="1108" w:type="dxa"/>
            <w:gridSpan w:val="2"/>
            <w:vAlign w:val="center"/>
          </w:tcPr>
          <w:p>
            <w:pPr>
              <w:pStyle w:val="28"/>
              <w:spacing w:line="360" w:lineRule="auto"/>
              <w:jc w:val="center"/>
              <w:rPr>
                <w:sz w:val="20"/>
              </w:rPr>
            </w:pPr>
          </w:p>
        </w:tc>
        <w:tc>
          <w:tcPr>
            <w:tcW w:w="1011" w:type="dxa"/>
            <w:vAlign w:val="center"/>
          </w:tcPr>
          <w:p>
            <w:pPr>
              <w:pStyle w:val="28"/>
              <w:spacing w:line="360" w:lineRule="auto"/>
              <w:ind w:right="256"/>
              <w:jc w:val="center"/>
              <w:rPr>
                <w:sz w:val="21"/>
              </w:rPr>
            </w:pPr>
            <w:r>
              <w:rPr>
                <w:rFonts w:hint="eastAsia"/>
                <w:sz w:val="21"/>
              </w:rPr>
              <w:t>年龄</w:t>
            </w:r>
          </w:p>
        </w:tc>
        <w:tc>
          <w:tcPr>
            <w:tcW w:w="1125" w:type="dxa"/>
            <w:vAlign w:val="center"/>
          </w:tcPr>
          <w:p>
            <w:pPr>
              <w:pStyle w:val="28"/>
              <w:spacing w:line="360" w:lineRule="auto"/>
              <w:jc w:val="center"/>
              <w:rPr>
                <w:sz w:val="20"/>
              </w:rPr>
            </w:pPr>
          </w:p>
        </w:tc>
        <w:tc>
          <w:tcPr>
            <w:tcW w:w="2499" w:type="dxa"/>
            <w:gridSpan w:val="3"/>
            <w:vAlign w:val="center"/>
          </w:tcPr>
          <w:p>
            <w:pPr>
              <w:pStyle w:val="28"/>
              <w:spacing w:before="3" w:line="360" w:lineRule="auto"/>
              <w:ind w:left="655" w:right="120" w:hanging="524"/>
              <w:jc w:val="center"/>
              <w:rPr>
                <w:sz w:val="21"/>
              </w:rPr>
            </w:pPr>
            <w:r>
              <w:rPr>
                <w:rFonts w:hint="eastAsia"/>
                <w:sz w:val="21"/>
              </w:rPr>
              <w:t>执业资格证书（或上岗证书）名称</w:t>
            </w:r>
          </w:p>
        </w:tc>
        <w:tc>
          <w:tcPr>
            <w:tcW w:w="2002" w:type="dxa"/>
            <w:vAlign w:val="center"/>
          </w:tcPr>
          <w:p>
            <w:pPr>
              <w:pStyle w:val="28"/>
              <w:spacing w:line="360" w:lineRule="auto"/>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252" w:type="dxa"/>
            <w:vAlign w:val="center"/>
          </w:tcPr>
          <w:p>
            <w:pPr>
              <w:pStyle w:val="28"/>
              <w:tabs>
                <w:tab w:val="left" w:pos="436"/>
              </w:tabs>
              <w:spacing w:line="360" w:lineRule="auto"/>
              <w:ind w:left="13"/>
              <w:jc w:val="center"/>
              <w:rPr>
                <w:sz w:val="21"/>
              </w:rPr>
            </w:pPr>
            <w:r>
              <w:rPr>
                <w:rFonts w:hint="eastAsia"/>
                <w:sz w:val="21"/>
              </w:rPr>
              <w:t>职</w:t>
            </w:r>
            <w:r>
              <w:rPr>
                <w:rFonts w:hint="eastAsia"/>
                <w:sz w:val="21"/>
              </w:rPr>
              <w:tab/>
            </w:r>
            <w:r>
              <w:rPr>
                <w:rFonts w:hint="eastAsia"/>
                <w:sz w:val="21"/>
              </w:rPr>
              <w:t>称</w:t>
            </w:r>
          </w:p>
        </w:tc>
        <w:tc>
          <w:tcPr>
            <w:tcW w:w="1108" w:type="dxa"/>
            <w:gridSpan w:val="2"/>
            <w:vAlign w:val="center"/>
          </w:tcPr>
          <w:p>
            <w:pPr>
              <w:pStyle w:val="28"/>
              <w:spacing w:line="360" w:lineRule="auto"/>
              <w:jc w:val="center"/>
              <w:rPr>
                <w:sz w:val="20"/>
              </w:rPr>
            </w:pPr>
          </w:p>
        </w:tc>
        <w:tc>
          <w:tcPr>
            <w:tcW w:w="1011" w:type="dxa"/>
            <w:vAlign w:val="center"/>
          </w:tcPr>
          <w:p>
            <w:pPr>
              <w:pStyle w:val="28"/>
              <w:spacing w:line="360" w:lineRule="auto"/>
              <w:ind w:right="256"/>
              <w:jc w:val="center"/>
              <w:rPr>
                <w:sz w:val="21"/>
              </w:rPr>
            </w:pPr>
            <w:r>
              <w:rPr>
                <w:rFonts w:hint="eastAsia"/>
                <w:sz w:val="21"/>
              </w:rPr>
              <w:t>学历</w:t>
            </w:r>
          </w:p>
        </w:tc>
        <w:tc>
          <w:tcPr>
            <w:tcW w:w="1125" w:type="dxa"/>
            <w:vAlign w:val="center"/>
          </w:tcPr>
          <w:p>
            <w:pPr>
              <w:pStyle w:val="28"/>
              <w:spacing w:line="360" w:lineRule="auto"/>
              <w:jc w:val="center"/>
              <w:rPr>
                <w:sz w:val="20"/>
              </w:rPr>
            </w:pPr>
          </w:p>
        </w:tc>
        <w:tc>
          <w:tcPr>
            <w:tcW w:w="2499" w:type="dxa"/>
            <w:gridSpan w:val="3"/>
            <w:vAlign w:val="center"/>
          </w:tcPr>
          <w:p>
            <w:pPr>
              <w:pStyle w:val="28"/>
              <w:spacing w:line="360" w:lineRule="auto"/>
              <w:ind w:left="446"/>
              <w:jc w:val="center"/>
              <w:rPr>
                <w:sz w:val="21"/>
              </w:rPr>
            </w:pPr>
            <w:r>
              <w:rPr>
                <w:rFonts w:hint="eastAsia"/>
                <w:sz w:val="21"/>
              </w:rPr>
              <w:t>拟在本项目任职</w:t>
            </w:r>
          </w:p>
        </w:tc>
        <w:tc>
          <w:tcPr>
            <w:tcW w:w="2002" w:type="dxa"/>
            <w:vAlign w:val="center"/>
          </w:tcPr>
          <w:p>
            <w:pPr>
              <w:pStyle w:val="28"/>
              <w:spacing w:line="360" w:lineRule="auto"/>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2" w:type="dxa"/>
            <w:vAlign w:val="center"/>
          </w:tcPr>
          <w:p>
            <w:pPr>
              <w:pStyle w:val="28"/>
              <w:spacing w:line="360" w:lineRule="auto"/>
              <w:ind w:left="11"/>
              <w:jc w:val="center"/>
              <w:rPr>
                <w:sz w:val="21"/>
              </w:rPr>
            </w:pPr>
            <w:r>
              <w:rPr>
                <w:rFonts w:hint="eastAsia"/>
                <w:sz w:val="21"/>
              </w:rPr>
              <w:t>工作年限</w:t>
            </w:r>
          </w:p>
        </w:tc>
        <w:tc>
          <w:tcPr>
            <w:tcW w:w="3245" w:type="dxa"/>
            <w:gridSpan w:val="4"/>
            <w:vAlign w:val="center"/>
          </w:tcPr>
          <w:p>
            <w:pPr>
              <w:pStyle w:val="28"/>
              <w:spacing w:line="360" w:lineRule="auto"/>
              <w:jc w:val="center"/>
              <w:rPr>
                <w:sz w:val="20"/>
              </w:rPr>
            </w:pPr>
          </w:p>
        </w:tc>
        <w:tc>
          <w:tcPr>
            <w:tcW w:w="2499" w:type="dxa"/>
            <w:gridSpan w:val="3"/>
            <w:vAlign w:val="center"/>
          </w:tcPr>
          <w:p>
            <w:pPr>
              <w:pStyle w:val="28"/>
              <w:spacing w:line="360" w:lineRule="auto"/>
              <w:ind w:left="341"/>
              <w:jc w:val="center"/>
              <w:rPr>
                <w:sz w:val="21"/>
              </w:rPr>
            </w:pPr>
            <w:r>
              <w:rPr>
                <w:rFonts w:hint="eastAsia"/>
                <w:sz w:val="21"/>
              </w:rPr>
              <w:t>从事监理工作年限</w:t>
            </w:r>
          </w:p>
        </w:tc>
        <w:tc>
          <w:tcPr>
            <w:tcW w:w="2002" w:type="dxa"/>
            <w:vAlign w:val="center"/>
          </w:tcPr>
          <w:p>
            <w:pPr>
              <w:pStyle w:val="28"/>
              <w:spacing w:line="360" w:lineRule="auto"/>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52" w:type="dxa"/>
            <w:vAlign w:val="center"/>
          </w:tcPr>
          <w:p>
            <w:pPr>
              <w:pStyle w:val="28"/>
              <w:spacing w:line="360" w:lineRule="auto"/>
              <w:ind w:left="11"/>
              <w:jc w:val="center"/>
              <w:rPr>
                <w:sz w:val="21"/>
              </w:rPr>
            </w:pPr>
            <w:r>
              <w:rPr>
                <w:rFonts w:hint="eastAsia"/>
                <w:sz w:val="21"/>
              </w:rPr>
              <w:t>毕业学校</w:t>
            </w:r>
          </w:p>
        </w:tc>
        <w:tc>
          <w:tcPr>
            <w:tcW w:w="7747" w:type="dxa"/>
            <w:gridSpan w:val="8"/>
            <w:vAlign w:val="center"/>
          </w:tcPr>
          <w:p>
            <w:pPr>
              <w:pStyle w:val="28"/>
              <w:tabs>
                <w:tab w:val="left" w:pos="3364"/>
                <w:tab w:val="left" w:pos="4625"/>
              </w:tabs>
              <w:spacing w:line="360" w:lineRule="auto"/>
              <w:ind w:left="1262"/>
              <w:jc w:val="center"/>
              <w:rPr>
                <w:sz w:val="21"/>
              </w:rPr>
            </w:pPr>
            <w:r>
              <w:rPr>
                <w:rFonts w:hint="eastAsia"/>
                <w:sz w:val="21"/>
              </w:rPr>
              <w:t>年毕</w:t>
            </w:r>
            <w:r>
              <w:rPr>
                <w:rFonts w:hint="eastAsia"/>
                <w:spacing w:val="-3"/>
                <w:sz w:val="21"/>
              </w:rPr>
              <w:t>业</w:t>
            </w:r>
            <w:r>
              <w:rPr>
                <w:rFonts w:hint="eastAsia"/>
                <w:sz w:val="21"/>
              </w:rPr>
              <w:t>于</w:t>
            </w:r>
            <w:r>
              <w:rPr>
                <w:rFonts w:hint="eastAsia"/>
                <w:sz w:val="21"/>
              </w:rPr>
              <w:tab/>
            </w:r>
            <w:r>
              <w:rPr>
                <w:rFonts w:hint="eastAsia"/>
                <w:spacing w:val="-3"/>
                <w:sz w:val="21"/>
              </w:rPr>
              <w:t>学</w:t>
            </w:r>
            <w:r>
              <w:rPr>
                <w:rFonts w:hint="eastAsia"/>
                <w:sz w:val="21"/>
              </w:rPr>
              <w:t>校</w:t>
            </w:r>
            <w:r>
              <w:rPr>
                <w:rFonts w:hint="eastAsia"/>
                <w:sz w:val="21"/>
              </w:rPr>
              <w:tab/>
            </w:r>
            <w:r>
              <w:rPr>
                <w:rFonts w:hint="eastAsia"/>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8999" w:type="dxa"/>
            <w:gridSpan w:val="9"/>
            <w:vAlign w:val="center"/>
          </w:tcPr>
          <w:p>
            <w:pPr>
              <w:pStyle w:val="28"/>
              <w:spacing w:line="360" w:lineRule="auto"/>
              <w:ind w:left="107"/>
              <w:jc w:val="center"/>
              <w:rPr>
                <w:sz w:val="21"/>
              </w:rPr>
            </w:pPr>
            <w:r>
              <w:rPr>
                <w:rFonts w:hint="eastAsia"/>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629" w:type="dxa"/>
            <w:gridSpan w:val="2"/>
            <w:vAlign w:val="center"/>
          </w:tcPr>
          <w:p>
            <w:pPr>
              <w:pStyle w:val="28"/>
              <w:tabs>
                <w:tab w:val="left" w:pos="878"/>
              </w:tabs>
              <w:spacing w:before="1" w:line="360" w:lineRule="auto"/>
              <w:ind w:left="455"/>
              <w:jc w:val="center"/>
              <w:rPr>
                <w:sz w:val="21"/>
              </w:rPr>
            </w:pPr>
            <w:r>
              <w:rPr>
                <w:rFonts w:hint="eastAsia"/>
                <w:sz w:val="21"/>
              </w:rPr>
              <w:t>时</w:t>
            </w:r>
            <w:r>
              <w:rPr>
                <w:rFonts w:hint="eastAsia"/>
                <w:sz w:val="21"/>
              </w:rPr>
              <w:tab/>
            </w:r>
            <w:r>
              <w:rPr>
                <w:rFonts w:hint="eastAsia"/>
                <w:sz w:val="21"/>
              </w:rPr>
              <w:t>间</w:t>
            </w:r>
          </w:p>
        </w:tc>
        <w:tc>
          <w:tcPr>
            <w:tcW w:w="3612" w:type="dxa"/>
            <w:gridSpan w:val="4"/>
            <w:vAlign w:val="center"/>
          </w:tcPr>
          <w:p>
            <w:pPr>
              <w:pStyle w:val="28"/>
              <w:spacing w:before="1" w:line="360" w:lineRule="auto"/>
              <w:ind w:left="868"/>
              <w:jc w:val="center"/>
              <w:rPr>
                <w:sz w:val="21"/>
              </w:rPr>
            </w:pPr>
            <w:r>
              <w:rPr>
                <w:rFonts w:hint="eastAsia"/>
                <w:sz w:val="21"/>
              </w:rPr>
              <w:t>参加过的类似项目</w:t>
            </w:r>
          </w:p>
        </w:tc>
        <w:tc>
          <w:tcPr>
            <w:tcW w:w="1331" w:type="dxa"/>
            <w:vAlign w:val="center"/>
          </w:tcPr>
          <w:p>
            <w:pPr>
              <w:pStyle w:val="28"/>
              <w:spacing w:before="1" w:line="360" w:lineRule="auto"/>
              <w:ind w:left="206"/>
              <w:jc w:val="center"/>
              <w:rPr>
                <w:sz w:val="21"/>
              </w:rPr>
            </w:pPr>
            <w:r>
              <w:rPr>
                <w:rFonts w:hint="eastAsia"/>
                <w:sz w:val="21"/>
              </w:rPr>
              <w:t>担任职务</w:t>
            </w:r>
          </w:p>
        </w:tc>
        <w:tc>
          <w:tcPr>
            <w:tcW w:w="2425" w:type="dxa"/>
            <w:gridSpan w:val="2"/>
            <w:vAlign w:val="center"/>
          </w:tcPr>
          <w:p>
            <w:pPr>
              <w:pStyle w:val="28"/>
              <w:spacing w:before="1" w:line="360" w:lineRule="auto"/>
              <w:ind w:left="304"/>
              <w:jc w:val="center"/>
              <w:rPr>
                <w:sz w:val="21"/>
              </w:rPr>
            </w:pPr>
            <w:r>
              <w:rPr>
                <w:rFonts w:hint="eastAsia"/>
                <w:sz w:val="21"/>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29" w:type="dxa"/>
            <w:gridSpan w:val="2"/>
          </w:tcPr>
          <w:p>
            <w:pPr>
              <w:pStyle w:val="28"/>
              <w:spacing w:line="360" w:lineRule="auto"/>
              <w:rPr>
                <w:sz w:val="20"/>
              </w:rPr>
            </w:pPr>
          </w:p>
        </w:tc>
        <w:tc>
          <w:tcPr>
            <w:tcW w:w="3612" w:type="dxa"/>
            <w:gridSpan w:val="4"/>
          </w:tcPr>
          <w:p>
            <w:pPr>
              <w:pStyle w:val="28"/>
              <w:spacing w:line="360" w:lineRule="auto"/>
              <w:rPr>
                <w:sz w:val="20"/>
              </w:rPr>
            </w:pPr>
          </w:p>
        </w:tc>
        <w:tc>
          <w:tcPr>
            <w:tcW w:w="1331" w:type="dxa"/>
          </w:tcPr>
          <w:p>
            <w:pPr>
              <w:pStyle w:val="28"/>
              <w:spacing w:line="360" w:lineRule="auto"/>
              <w:rPr>
                <w:sz w:val="20"/>
              </w:rPr>
            </w:pPr>
          </w:p>
        </w:tc>
        <w:tc>
          <w:tcPr>
            <w:tcW w:w="2425" w:type="dxa"/>
            <w:gridSpan w:val="2"/>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629" w:type="dxa"/>
            <w:gridSpan w:val="2"/>
          </w:tcPr>
          <w:p>
            <w:pPr>
              <w:pStyle w:val="28"/>
              <w:spacing w:line="360" w:lineRule="auto"/>
              <w:rPr>
                <w:sz w:val="20"/>
              </w:rPr>
            </w:pPr>
          </w:p>
        </w:tc>
        <w:tc>
          <w:tcPr>
            <w:tcW w:w="3612" w:type="dxa"/>
            <w:gridSpan w:val="4"/>
          </w:tcPr>
          <w:p>
            <w:pPr>
              <w:pStyle w:val="28"/>
              <w:spacing w:line="360" w:lineRule="auto"/>
              <w:rPr>
                <w:sz w:val="20"/>
              </w:rPr>
            </w:pPr>
          </w:p>
        </w:tc>
        <w:tc>
          <w:tcPr>
            <w:tcW w:w="1331" w:type="dxa"/>
          </w:tcPr>
          <w:p>
            <w:pPr>
              <w:pStyle w:val="28"/>
              <w:spacing w:line="360" w:lineRule="auto"/>
              <w:rPr>
                <w:sz w:val="20"/>
              </w:rPr>
            </w:pPr>
          </w:p>
        </w:tc>
        <w:tc>
          <w:tcPr>
            <w:tcW w:w="2425" w:type="dxa"/>
            <w:gridSpan w:val="2"/>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28"/>
              <w:spacing w:line="360" w:lineRule="auto"/>
              <w:rPr>
                <w:sz w:val="20"/>
              </w:rPr>
            </w:pPr>
          </w:p>
        </w:tc>
        <w:tc>
          <w:tcPr>
            <w:tcW w:w="3612" w:type="dxa"/>
            <w:gridSpan w:val="4"/>
          </w:tcPr>
          <w:p>
            <w:pPr>
              <w:pStyle w:val="28"/>
              <w:spacing w:line="360" w:lineRule="auto"/>
              <w:rPr>
                <w:sz w:val="20"/>
              </w:rPr>
            </w:pPr>
          </w:p>
        </w:tc>
        <w:tc>
          <w:tcPr>
            <w:tcW w:w="1331" w:type="dxa"/>
          </w:tcPr>
          <w:p>
            <w:pPr>
              <w:pStyle w:val="28"/>
              <w:spacing w:line="360" w:lineRule="auto"/>
              <w:rPr>
                <w:sz w:val="20"/>
              </w:rPr>
            </w:pPr>
          </w:p>
        </w:tc>
        <w:tc>
          <w:tcPr>
            <w:tcW w:w="2425" w:type="dxa"/>
            <w:gridSpan w:val="2"/>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28"/>
              <w:spacing w:line="360" w:lineRule="auto"/>
              <w:rPr>
                <w:sz w:val="20"/>
              </w:rPr>
            </w:pPr>
          </w:p>
        </w:tc>
        <w:tc>
          <w:tcPr>
            <w:tcW w:w="3612" w:type="dxa"/>
            <w:gridSpan w:val="4"/>
          </w:tcPr>
          <w:p>
            <w:pPr>
              <w:pStyle w:val="28"/>
              <w:spacing w:line="360" w:lineRule="auto"/>
              <w:rPr>
                <w:sz w:val="20"/>
              </w:rPr>
            </w:pPr>
          </w:p>
        </w:tc>
        <w:tc>
          <w:tcPr>
            <w:tcW w:w="1331" w:type="dxa"/>
          </w:tcPr>
          <w:p>
            <w:pPr>
              <w:pStyle w:val="28"/>
              <w:spacing w:line="360" w:lineRule="auto"/>
              <w:rPr>
                <w:sz w:val="20"/>
              </w:rPr>
            </w:pPr>
          </w:p>
        </w:tc>
        <w:tc>
          <w:tcPr>
            <w:tcW w:w="2425" w:type="dxa"/>
            <w:gridSpan w:val="2"/>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7" w:hRule="atLeast"/>
        </w:trPr>
        <w:tc>
          <w:tcPr>
            <w:tcW w:w="1629" w:type="dxa"/>
            <w:gridSpan w:val="2"/>
          </w:tcPr>
          <w:p>
            <w:pPr>
              <w:pStyle w:val="28"/>
              <w:spacing w:line="360" w:lineRule="auto"/>
              <w:rPr>
                <w:sz w:val="20"/>
              </w:rPr>
            </w:pPr>
          </w:p>
        </w:tc>
        <w:tc>
          <w:tcPr>
            <w:tcW w:w="3612" w:type="dxa"/>
            <w:gridSpan w:val="4"/>
          </w:tcPr>
          <w:p>
            <w:pPr>
              <w:pStyle w:val="28"/>
              <w:spacing w:line="360" w:lineRule="auto"/>
              <w:rPr>
                <w:sz w:val="20"/>
              </w:rPr>
            </w:pPr>
          </w:p>
        </w:tc>
        <w:tc>
          <w:tcPr>
            <w:tcW w:w="1331" w:type="dxa"/>
          </w:tcPr>
          <w:p>
            <w:pPr>
              <w:pStyle w:val="28"/>
              <w:spacing w:line="360" w:lineRule="auto"/>
              <w:rPr>
                <w:sz w:val="20"/>
              </w:rPr>
            </w:pPr>
          </w:p>
        </w:tc>
        <w:tc>
          <w:tcPr>
            <w:tcW w:w="2425" w:type="dxa"/>
            <w:gridSpan w:val="2"/>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trPr>
        <w:tc>
          <w:tcPr>
            <w:tcW w:w="1629" w:type="dxa"/>
            <w:gridSpan w:val="2"/>
          </w:tcPr>
          <w:p>
            <w:pPr>
              <w:pStyle w:val="28"/>
              <w:spacing w:line="360" w:lineRule="auto"/>
              <w:rPr>
                <w:sz w:val="20"/>
              </w:rPr>
            </w:pPr>
          </w:p>
        </w:tc>
        <w:tc>
          <w:tcPr>
            <w:tcW w:w="3612" w:type="dxa"/>
            <w:gridSpan w:val="4"/>
          </w:tcPr>
          <w:p>
            <w:pPr>
              <w:pStyle w:val="28"/>
              <w:spacing w:line="360" w:lineRule="auto"/>
              <w:rPr>
                <w:sz w:val="20"/>
              </w:rPr>
            </w:pPr>
          </w:p>
        </w:tc>
        <w:tc>
          <w:tcPr>
            <w:tcW w:w="1331" w:type="dxa"/>
          </w:tcPr>
          <w:p>
            <w:pPr>
              <w:pStyle w:val="28"/>
              <w:spacing w:line="360" w:lineRule="auto"/>
              <w:rPr>
                <w:sz w:val="20"/>
              </w:rPr>
            </w:pPr>
          </w:p>
        </w:tc>
        <w:tc>
          <w:tcPr>
            <w:tcW w:w="2425" w:type="dxa"/>
            <w:gridSpan w:val="2"/>
          </w:tcPr>
          <w:p>
            <w:pPr>
              <w:pStyle w:val="28"/>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trPr>
        <w:tc>
          <w:tcPr>
            <w:tcW w:w="1629" w:type="dxa"/>
            <w:gridSpan w:val="2"/>
          </w:tcPr>
          <w:p>
            <w:pPr>
              <w:pStyle w:val="28"/>
              <w:spacing w:line="360" w:lineRule="auto"/>
              <w:rPr>
                <w:sz w:val="20"/>
              </w:rPr>
            </w:pPr>
          </w:p>
        </w:tc>
        <w:tc>
          <w:tcPr>
            <w:tcW w:w="3612" w:type="dxa"/>
            <w:gridSpan w:val="4"/>
          </w:tcPr>
          <w:p>
            <w:pPr>
              <w:pStyle w:val="28"/>
              <w:spacing w:line="360" w:lineRule="auto"/>
              <w:rPr>
                <w:sz w:val="20"/>
              </w:rPr>
            </w:pPr>
          </w:p>
        </w:tc>
        <w:tc>
          <w:tcPr>
            <w:tcW w:w="1331" w:type="dxa"/>
          </w:tcPr>
          <w:p>
            <w:pPr>
              <w:pStyle w:val="28"/>
              <w:spacing w:line="360" w:lineRule="auto"/>
              <w:rPr>
                <w:sz w:val="20"/>
              </w:rPr>
            </w:pPr>
          </w:p>
        </w:tc>
        <w:tc>
          <w:tcPr>
            <w:tcW w:w="2425" w:type="dxa"/>
            <w:gridSpan w:val="2"/>
          </w:tcPr>
          <w:p>
            <w:pPr>
              <w:pStyle w:val="28"/>
              <w:spacing w:line="360" w:lineRule="auto"/>
              <w:rPr>
                <w:sz w:val="20"/>
              </w:rPr>
            </w:pPr>
          </w:p>
        </w:tc>
      </w:tr>
    </w:tbl>
    <w:p>
      <w:pPr>
        <w:pStyle w:val="11"/>
        <w:spacing w:before="143" w:line="360" w:lineRule="auto"/>
        <w:ind w:left="240"/>
        <w:sectPr>
          <w:pgSz w:w="12240" w:h="15840"/>
          <w:pgMar w:top="1400" w:right="1100" w:bottom="1120" w:left="1560" w:header="0" w:footer="841" w:gutter="0"/>
          <w:cols w:space="720" w:num="1"/>
        </w:sectPr>
      </w:pPr>
      <w:r>
        <w:rPr>
          <w:rFonts w:hint="eastAsia"/>
        </w:rPr>
        <w:t>注：投标人应根据投标人须知第 3.5.6 项的要求在本表后附相关证明材料。</w:t>
      </w:r>
    </w:p>
    <w:p>
      <w:pPr>
        <w:spacing w:before="43" w:line="360" w:lineRule="auto"/>
        <w:ind w:left="377"/>
        <w:jc w:val="center"/>
        <w:rPr>
          <w:sz w:val="28"/>
        </w:rPr>
      </w:pPr>
      <w:bookmarkStart w:id="63" w:name="_bookmark192"/>
      <w:bookmarkEnd w:id="63"/>
      <w:r>
        <w:rPr>
          <w:rFonts w:hint="eastAsia"/>
          <w:b/>
          <w:sz w:val="32"/>
        </w:rPr>
        <w:t>九、拟投入的试验检测仪器设备汇总表（格式可自拟）</w:t>
      </w:r>
    </w:p>
    <w:p>
      <w:pPr>
        <w:pStyle w:val="11"/>
        <w:spacing w:before="9" w:line="360" w:lineRule="auto"/>
        <w:rPr>
          <w:sz w:val="20"/>
        </w:rPr>
      </w:pPr>
    </w:p>
    <w:tbl>
      <w:tblPr>
        <w:tblStyle w:val="21"/>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369"/>
        <w:gridCol w:w="1006"/>
        <w:gridCol w:w="802"/>
        <w:gridCol w:w="912"/>
        <w:gridCol w:w="1067"/>
        <w:gridCol w:w="1522"/>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3" w:hRule="atLeast"/>
        </w:trPr>
        <w:tc>
          <w:tcPr>
            <w:tcW w:w="783" w:type="dxa"/>
            <w:vAlign w:val="center"/>
          </w:tcPr>
          <w:p>
            <w:pPr>
              <w:pStyle w:val="28"/>
              <w:spacing w:before="133" w:line="360" w:lineRule="auto"/>
              <w:ind w:left="107"/>
              <w:jc w:val="center"/>
              <w:rPr>
                <w:sz w:val="21"/>
              </w:rPr>
            </w:pPr>
            <w:r>
              <w:rPr>
                <w:rFonts w:hint="eastAsia"/>
                <w:sz w:val="21"/>
              </w:rPr>
              <w:t>序号</w:t>
            </w:r>
          </w:p>
        </w:tc>
        <w:tc>
          <w:tcPr>
            <w:tcW w:w="1369" w:type="dxa"/>
            <w:tcBorders>
              <w:right w:val="single" w:color="000000" w:sz="6" w:space="0"/>
            </w:tcBorders>
            <w:vAlign w:val="center"/>
          </w:tcPr>
          <w:p>
            <w:pPr>
              <w:pStyle w:val="28"/>
              <w:spacing w:before="27" w:line="360" w:lineRule="auto"/>
              <w:ind w:left="426" w:right="202" w:hanging="212"/>
              <w:jc w:val="center"/>
              <w:rPr>
                <w:sz w:val="21"/>
              </w:rPr>
            </w:pPr>
            <w:r>
              <w:rPr>
                <w:rFonts w:hint="eastAsia"/>
                <w:sz w:val="21"/>
              </w:rPr>
              <w:t>仪器设备名称</w:t>
            </w:r>
          </w:p>
        </w:tc>
        <w:tc>
          <w:tcPr>
            <w:tcW w:w="1006" w:type="dxa"/>
            <w:tcBorders>
              <w:left w:val="single" w:color="000000" w:sz="6" w:space="0"/>
            </w:tcBorders>
            <w:vAlign w:val="center"/>
          </w:tcPr>
          <w:p>
            <w:pPr>
              <w:pStyle w:val="28"/>
              <w:spacing w:before="27" w:line="360" w:lineRule="auto"/>
              <w:ind w:left="253" w:right="246"/>
              <w:jc w:val="center"/>
              <w:rPr>
                <w:sz w:val="21"/>
              </w:rPr>
            </w:pPr>
            <w:r>
              <w:rPr>
                <w:rFonts w:hint="eastAsia"/>
                <w:sz w:val="21"/>
              </w:rPr>
              <w:t>型号规格</w:t>
            </w:r>
          </w:p>
        </w:tc>
        <w:tc>
          <w:tcPr>
            <w:tcW w:w="802" w:type="dxa"/>
            <w:vAlign w:val="center"/>
          </w:tcPr>
          <w:p>
            <w:pPr>
              <w:pStyle w:val="28"/>
              <w:spacing w:before="133" w:line="360" w:lineRule="auto"/>
              <w:ind w:left="161"/>
              <w:jc w:val="center"/>
              <w:rPr>
                <w:sz w:val="21"/>
              </w:rPr>
            </w:pPr>
            <w:r>
              <w:rPr>
                <w:rFonts w:hint="eastAsia"/>
                <w:sz w:val="21"/>
              </w:rPr>
              <w:t>数量</w:t>
            </w:r>
          </w:p>
        </w:tc>
        <w:tc>
          <w:tcPr>
            <w:tcW w:w="912" w:type="dxa"/>
            <w:vAlign w:val="center"/>
          </w:tcPr>
          <w:p>
            <w:pPr>
              <w:pStyle w:val="28"/>
              <w:spacing w:before="27" w:line="360" w:lineRule="auto"/>
              <w:ind w:left="211" w:right="204"/>
              <w:jc w:val="center"/>
              <w:rPr>
                <w:sz w:val="21"/>
              </w:rPr>
            </w:pPr>
            <w:r>
              <w:rPr>
                <w:rFonts w:hint="eastAsia"/>
                <w:sz w:val="21"/>
              </w:rPr>
              <w:t>国别产地</w:t>
            </w:r>
          </w:p>
        </w:tc>
        <w:tc>
          <w:tcPr>
            <w:tcW w:w="1067" w:type="dxa"/>
            <w:vAlign w:val="center"/>
          </w:tcPr>
          <w:p>
            <w:pPr>
              <w:pStyle w:val="28"/>
              <w:spacing w:before="27" w:line="360" w:lineRule="auto"/>
              <w:ind w:left="283" w:right="276"/>
              <w:jc w:val="center"/>
              <w:rPr>
                <w:sz w:val="21"/>
              </w:rPr>
            </w:pPr>
            <w:r>
              <w:rPr>
                <w:rFonts w:hint="eastAsia"/>
                <w:sz w:val="21"/>
              </w:rPr>
              <w:t>制造年份</w:t>
            </w:r>
          </w:p>
        </w:tc>
        <w:tc>
          <w:tcPr>
            <w:tcW w:w="1522" w:type="dxa"/>
            <w:vAlign w:val="center"/>
          </w:tcPr>
          <w:p>
            <w:pPr>
              <w:pStyle w:val="28"/>
              <w:spacing w:before="133" w:line="360" w:lineRule="auto"/>
              <w:ind w:left="477" w:right="470"/>
              <w:jc w:val="center"/>
              <w:rPr>
                <w:sz w:val="21"/>
              </w:rPr>
            </w:pPr>
            <w:r>
              <w:rPr>
                <w:rFonts w:hint="eastAsia"/>
                <w:sz w:val="21"/>
              </w:rPr>
              <w:t>用途</w:t>
            </w:r>
          </w:p>
        </w:tc>
        <w:tc>
          <w:tcPr>
            <w:tcW w:w="1247" w:type="dxa"/>
            <w:vAlign w:val="center"/>
          </w:tcPr>
          <w:p>
            <w:pPr>
              <w:pStyle w:val="28"/>
              <w:spacing w:before="133" w:line="360" w:lineRule="auto"/>
              <w:ind w:left="367"/>
              <w:rPr>
                <w:sz w:val="21"/>
              </w:rPr>
            </w:pPr>
            <w:r>
              <w:rPr>
                <w:rFonts w:hint="eastAsia"/>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trPr>
        <w:tc>
          <w:tcPr>
            <w:tcW w:w="783" w:type="dxa"/>
          </w:tcPr>
          <w:p>
            <w:pPr>
              <w:pStyle w:val="28"/>
              <w:spacing w:line="360" w:lineRule="auto"/>
              <w:rPr>
                <w:sz w:val="24"/>
              </w:rPr>
            </w:pPr>
          </w:p>
        </w:tc>
        <w:tc>
          <w:tcPr>
            <w:tcW w:w="1369" w:type="dxa"/>
            <w:tcBorders>
              <w:right w:val="single" w:color="000000" w:sz="6" w:space="0"/>
            </w:tcBorders>
          </w:tcPr>
          <w:p>
            <w:pPr>
              <w:pStyle w:val="28"/>
              <w:spacing w:line="360" w:lineRule="auto"/>
              <w:rPr>
                <w:sz w:val="24"/>
              </w:rPr>
            </w:pPr>
          </w:p>
        </w:tc>
        <w:tc>
          <w:tcPr>
            <w:tcW w:w="1006" w:type="dxa"/>
            <w:tcBorders>
              <w:left w:val="single" w:color="000000" w:sz="6" w:space="0"/>
            </w:tcBorders>
          </w:tcPr>
          <w:p>
            <w:pPr>
              <w:pStyle w:val="28"/>
              <w:spacing w:line="360" w:lineRule="auto"/>
              <w:rPr>
                <w:sz w:val="24"/>
              </w:rPr>
            </w:pPr>
          </w:p>
        </w:tc>
        <w:tc>
          <w:tcPr>
            <w:tcW w:w="802" w:type="dxa"/>
          </w:tcPr>
          <w:p>
            <w:pPr>
              <w:pStyle w:val="28"/>
              <w:spacing w:line="360" w:lineRule="auto"/>
              <w:rPr>
                <w:sz w:val="24"/>
              </w:rPr>
            </w:pPr>
          </w:p>
        </w:tc>
        <w:tc>
          <w:tcPr>
            <w:tcW w:w="912" w:type="dxa"/>
          </w:tcPr>
          <w:p>
            <w:pPr>
              <w:pStyle w:val="28"/>
              <w:spacing w:line="360" w:lineRule="auto"/>
              <w:rPr>
                <w:sz w:val="24"/>
              </w:rPr>
            </w:pPr>
          </w:p>
        </w:tc>
        <w:tc>
          <w:tcPr>
            <w:tcW w:w="1067" w:type="dxa"/>
          </w:tcPr>
          <w:p>
            <w:pPr>
              <w:pStyle w:val="28"/>
              <w:spacing w:line="360" w:lineRule="auto"/>
              <w:rPr>
                <w:sz w:val="24"/>
              </w:rPr>
            </w:pPr>
          </w:p>
        </w:tc>
        <w:tc>
          <w:tcPr>
            <w:tcW w:w="1522" w:type="dxa"/>
          </w:tcPr>
          <w:p>
            <w:pPr>
              <w:pStyle w:val="28"/>
              <w:spacing w:line="360" w:lineRule="auto"/>
              <w:rPr>
                <w:sz w:val="24"/>
              </w:rPr>
            </w:pPr>
          </w:p>
        </w:tc>
        <w:tc>
          <w:tcPr>
            <w:tcW w:w="1247" w:type="dxa"/>
          </w:tcPr>
          <w:p>
            <w:pPr>
              <w:pStyle w:val="28"/>
              <w:spacing w:line="360" w:lineRule="auto"/>
              <w:rPr>
                <w:sz w:val="24"/>
              </w:rPr>
            </w:pPr>
          </w:p>
        </w:tc>
      </w:tr>
    </w:tbl>
    <w:p>
      <w:pPr>
        <w:ind w:firstLine="440" w:firstLineChars="200"/>
        <w:rPr>
          <w:rFonts w:ascii="Times New Roman" w:hAnsi="Times New Roman"/>
          <w:szCs w:val="21"/>
        </w:rPr>
      </w:pPr>
      <w:r>
        <w:t>注：</w:t>
      </w:r>
      <w:r>
        <w:rPr>
          <w:rFonts w:hint="eastAsia"/>
        </w:rPr>
        <w:t>本项不作为资审内容。投标人根据“</w:t>
      </w:r>
      <w:r>
        <w:rPr>
          <w:rFonts w:hint="eastAsia"/>
          <w:szCs w:val="21"/>
        </w:rPr>
        <w:t>第五章委托人要求</w:t>
      </w:r>
      <w:r>
        <w:rPr>
          <w:rFonts w:hint="eastAsia"/>
        </w:rPr>
        <w:t>”</w:t>
      </w:r>
      <w:r>
        <w:rPr>
          <w:rFonts w:hint="eastAsia"/>
          <w:szCs w:val="21"/>
        </w:rPr>
        <w:t>中的设备要求</w:t>
      </w:r>
      <w:r>
        <w:rPr>
          <w:rFonts w:hint="eastAsia"/>
        </w:rPr>
        <w:t>提供</w:t>
      </w:r>
      <w:r>
        <w:rPr>
          <w:rFonts w:hint="eastAsia"/>
          <w:szCs w:val="21"/>
        </w:rPr>
        <w:t>。</w:t>
      </w:r>
    </w:p>
    <w:p>
      <w:pPr>
        <w:spacing w:line="360" w:lineRule="auto"/>
        <w:rPr>
          <w:sz w:val="24"/>
        </w:rPr>
        <w:sectPr>
          <w:pgSz w:w="12240" w:h="15840"/>
          <w:pgMar w:top="1400" w:right="1100" w:bottom="1120" w:left="1560" w:header="0" w:footer="841" w:gutter="0"/>
          <w:cols w:space="720" w:num="1"/>
        </w:sectPr>
      </w:pPr>
    </w:p>
    <w:p>
      <w:pPr>
        <w:spacing w:before="43"/>
        <w:jc w:val="center"/>
        <w:rPr>
          <w:b/>
          <w:sz w:val="32"/>
        </w:rPr>
      </w:pPr>
      <w:r>
        <w:rPr>
          <w:rFonts w:hint="eastAsia"/>
          <w:b/>
          <w:sz w:val="32"/>
        </w:rPr>
        <w:t>十、投标人声明格式</w:t>
      </w:r>
    </w:p>
    <w:p>
      <w:pPr>
        <w:widowControl/>
        <w:snapToGrid w:val="0"/>
        <w:spacing w:before="260" w:after="260"/>
        <w:ind w:right="386"/>
        <w:jc w:val="center"/>
        <w:rPr>
          <w:sz w:val="28"/>
          <w:szCs w:val="28"/>
        </w:rPr>
      </w:pPr>
      <w:r>
        <w:rPr>
          <w:rFonts w:hint="eastAsia"/>
          <w:sz w:val="28"/>
          <w:szCs w:val="28"/>
        </w:rPr>
        <w:t>投标人声明</w:t>
      </w:r>
    </w:p>
    <w:p>
      <w:pPr>
        <w:snapToGrid w:val="0"/>
        <w:spacing w:after="120" w:afterLines="50"/>
        <w:ind w:firstLine="480" w:firstLineChars="200"/>
        <w:rPr>
          <w:sz w:val="24"/>
          <w:szCs w:val="24"/>
        </w:rPr>
      </w:pPr>
      <w:r>
        <w:rPr>
          <w:rFonts w:hint="eastAsia"/>
          <w:sz w:val="24"/>
          <w:szCs w:val="24"/>
        </w:rPr>
        <w:t>广州市住房和城乡建设局、本招标项目招标人及招标监管机构：</w:t>
      </w:r>
    </w:p>
    <w:p>
      <w:pPr>
        <w:snapToGrid w:val="0"/>
        <w:spacing w:line="360" w:lineRule="auto"/>
        <w:ind w:firstLine="480" w:firstLineChars="200"/>
        <w:rPr>
          <w:sz w:val="24"/>
          <w:szCs w:val="24"/>
        </w:rPr>
      </w:pPr>
      <w:r>
        <w:rPr>
          <w:rFonts w:hint="eastAsia"/>
          <w:sz w:val="24"/>
          <w:szCs w:val="24"/>
        </w:rPr>
        <w:t>本公司就参加</w:t>
      </w:r>
      <w:r>
        <w:rPr>
          <w:rFonts w:hint="eastAsia"/>
          <w:sz w:val="24"/>
          <w:szCs w:val="24"/>
          <w:u w:val="single"/>
          <w:lang w:val="en-US"/>
        </w:rPr>
        <w:t xml:space="preserve">                        </w:t>
      </w:r>
      <w:r>
        <w:rPr>
          <w:rFonts w:hint="eastAsia"/>
          <w:sz w:val="24"/>
          <w:szCs w:val="24"/>
        </w:rPr>
        <w:t>项目投标工作，作出郑重声明：</w:t>
      </w:r>
    </w:p>
    <w:p>
      <w:pPr>
        <w:snapToGrid w:val="0"/>
        <w:spacing w:line="360" w:lineRule="auto"/>
        <w:ind w:firstLine="480" w:firstLineChars="200"/>
        <w:rPr>
          <w:sz w:val="24"/>
          <w:szCs w:val="24"/>
        </w:rPr>
      </w:pPr>
      <w:r>
        <w:rPr>
          <w:rFonts w:hint="eastAsia"/>
          <w:sz w:val="24"/>
          <w:szCs w:val="24"/>
        </w:rPr>
        <w:t>一、本公司保证投标报名材料及其后提供的一切材料都是真实的。如我司成为本项目中标候选人，我司同意并授权招标人将我司投标文件商务部分的人员、业绩、奖项等资料进行公开。</w:t>
      </w:r>
    </w:p>
    <w:p>
      <w:pPr>
        <w:snapToGrid w:val="0"/>
        <w:spacing w:line="360" w:lineRule="auto"/>
        <w:ind w:firstLine="480" w:firstLineChars="200"/>
        <w:rPr>
          <w:bCs/>
          <w:sz w:val="24"/>
          <w:szCs w:val="24"/>
        </w:rPr>
      </w:pPr>
      <w:r>
        <w:rPr>
          <w:rFonts w:hint="eastAsia"/>
          <w:bCs/>
          <w:sz w:val="24"/>
          <w:szCs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snapToGrid w:val="0"/>
        <w:spacing w:line="360" w:lineRule="auto"/>
        <w:ind w:firstLine="480" w:firstLineChars="200"/>
        <w:rPr>
          <w:bCs/>
          <w:sz w:val="24"/>
          <w:szCs w:val="24"/>
        </w:rPr>
      </w:pPr>
      <w:r>
        <w:rPr>
          <w:rFonts w:hint="eastAsia"/>
          <w:bCs/>
          <w:sz w:val="24"/>
          <w:szCs w:val="24"/>
        </w:rPr>
        <w:t>三、本公司不存在招标文件第二章投标人须知第1.4.3项所规定的任何一种情形。</w:t>
      </w:r>
    </w:p>
    <w:p>
      <w:pPr>
        <w:snapToGrid w:val="0"/>
        <w:spacing w:line="360" w:lineRule="auto"/>
        <w:ind w:firstLine="480" w:firstLineChars="200"/>
        <w:rPr>
          <w:bCs/>
          <w:sz w:val="24"/>
          <w:szCs w:val="24"/>
        </w:rPr>
      </w:pPr>
      <w:r>
        <w:rPr>
          <w:rFonts w:hint="eastAsia"/>
          <w:bCs/>
          <w:sz w:val="24"/>
          <w:szCs w:val="24"/>
        </w:rPr>
        <w:t>四、本公司及其有隶属关系的机构，没有参加本项目招标文件的编写工作；本公司与本次招标的招标代理机构没有隶属关系或其他利害关系。</w:t>
      </w:r>
    </w:p>
    <w:p>
      <w:pPr>
        <w:snapToGrid w:val="0"/>
        <w:spacing w:line="360" w:lineRule="auto"/>
        <w:ind w:firstLine="480" w:firstLineChars="200"/>
        <w:rPr>
          <w:bCs/>
          <w:sz w:val="24"/>
          <w:szCs w:val="24"/>
        </w:rPr>
      </w:pPr>
      <w:r>
        <w:rPr>
          <w:rFonts w:hint="eastAsia"/>
          <w:bCs/>
          <w:sz w:val="24"/>
          <w:szCs w:val="24"/>
        </w:rPr>
        <w:t>五、本公司承诺，中标后严格执行安全生产相关管理规定。</w:t>
      </w:r>
    </w:p>
    <w:p>
      <w:pPr>
        <w:spacing w:line="360" w:lineRule="auto"/>
        <w:ind w:firstLine="480" w:firstLineChars="200"/>
        <w:jc w:val="both"/>
        <w:rPr>
          <w:bCs/>
          <w:sz w:val="24"/>
          <w:szCs w:val="24"/>
        </w:rPr>
      </w:pPr>
      <w:r>
        <w:rPr>
          <w:rFonts w:hint="eastAsia"/>
          <w:bCs/>
          <w:sz w:val="24"/>
          <w:szCs w:val="24"/>
        </w:rPr>
        <w:t>六、与本公司单位负责人为同一人或者与本公司存在控股、管理关系的其他单位包括：</w:t>
      </w:r>
      <w:r>
        <w:rPr>
          <w:rFonts w:hint="eastAsia"/>
          <w:bCs/>
          <w:sz w:val="24"/>
          <w:szCs w:val="24"/>
          <w:u w:val="single"/>
        </w:rPr>
        <w:t xml:space="preserve">                          </w:t>
      </w:r>
      <w:r>
        <w:rPr>
          <w:rFonts w:hint="eastAsia"/>
          <w:bCs/>
          <w:sz w:val="24"/>
          <w:szCs w:val="24"/>
        </w:rPr>
        <w:t>。（注：本条由投标人如实填写，如有，应列出全部满足招标公告资质要求的相关单位的名称；如无，则填写“无”。）</w:t>
      </w:r>
    </w:p>
    <w:p>
      <w:pPr>
        <w:snapToGrid w:val="0"/>
        <w:spacing w:line="360" w:lineRule="auto"/>
        <w:ind w:firstLine="480" w:firstLineChars="200"/>
        <w:rPr>
          <w:bCs/>
          <w:sz w:val="24"/>
          <w:szCs w:val="24"/>
        </w:rPr>
      </w:pPr>
      <w:r>
        <w:rPr>
          <w:rFonts w:hint="eastAsia"/>
          <w:bCs/>
          <w:sz w:val="24"/>
          <w:szCs w:val="24"/>
        </w:rPr>
        <w:t>本公司违反上述承诺，或本声明陈述与事实不符，经查实，本公司愿意接受公开通报，愿意按照《广州市建筑市场信用管理办法》（穗建规字﹝20</w:t>
      </w:r>
      <w:r>
        <w:rPr>
          <w:rFonts w:hint="eastAsia"/>
          <w:bCs/>
          <w:sz w:val="24"/>
          <w:szCs w:val="24"/>
          <w:lang w:val="en-US"/>
        </w:rPr>
        <w:t>19</w:t>
      </w:r>
      <w:r>
        <w:rPr>
          <w:rFonts w:hint="eastAsia"/>
          <w:bCs/>
          <w:sz w:val="24"/>
          <w:szCs w:val="24"/>
        </w:rPr>
        <w:t>﹞16号）的规定被记录为失信信息，承担由此带来的一切后果，并自愿停止参加广州市行政辖区内的招标投标活动三个月。</w:t>
      </w:r>
    </w:p>
    <w:p>
      <w:pPr>
        <w:widowControl/>
        <w:shd w:val="clear" w:color="auto" w:fill="FFFFFF"/>
        <w:spacing w:line="360" w:lineRule="auto"/>
        <w:ind w:firstLine="480" w:firstLineChars="200"/>
        <w:rPr>
          <w:sz w:val="24"/>
          <w:szCs w:val="24"/>
        </w:rPr>
      </w:pPr>
      <w:r>
        <w:rPr>
          <w:rFonts w:hint="eastAsia"/>
          <w:sz w:val="24"/>
          <w:szCs w:val="24"/>
        </w:rPr>
        <w:t>特此声明。</w:t>
      </w:r>
    </w:p>
    <w:p>
      <w:pPr>
        <w:snapToGrid w:val="0"/>
        <w:spacing w:line="360" w:lineRule="auto"/>
        <w:ind w:firstLine="4320" w:firstLineChars="1800"/>
        <w:rPr>
          <w:sz w:val="24"/>
          <w:szCs w:val="24"/>
        </w:rPr>
      </w:pPr>
      <w:r>
        <w:rPr>
          <w:rFonts w:hint="eastAsia"/>
          <w:sz w:val="24"/>
          <w:szCs w:val="24"/>
        </w:rPr>
        <w:t>声明企业：            (企业公章)</w:t>
      </w:r>
    </w:p>
    <w:p>
      <w:pPr>
        <w:snapToGrid w:val="0"/>
        <w:spacing w:line="360" w:lineRule="auto"/>
        <w:ind w:firstLine="4320" w:firstLineChars="1800"/>
        <w:rPr>
          <w:sz w:val="24"/>
          <w:szCs w:val="24"/>
        </w:rPr>
      </w:pPr>
      <w:r>
        <w:rPr>
          <w:rFonts w:hint="eastAsia"/>
          <w:sz w:val="24"/>
          <w:szCs w:val="24"/>
        </w:rPr>
        <w:t>总监理工程师：         （签字）</w:t>
      </w:r>
    </w:p>
    <w:p>
      <w:pPr>
        <w:snapToGrid w:val="0"/>
        <w:spacing w:line="360" w:lineRule="auto"/>
        <w:ind w:firstLine="4252" w:firstLineChars="1772"/>
        <w:rPr>
          <w:sz w:val="24"/>
          <w:szCs w:val="24"/>
        </w:rPr>
      </w:pPr>
      <w:r>
        <w:rPr>
          <w:rFonts w:hint="eastAsia"/>
          <w:sz w:val="24"/>
          <w:szCs w:val="24"/>
        </w:rPr>
        <w:t>法定代表人签字：</w:t>
      </w:r>
    </w:p>
    <w:p>
      <w:pPr>
        <w:widowControl/>
        <w:snapToGrid w:val="0"/>
        <w:spacing w:line="360" w:lineRule="auto"/>
        <w:ind w:firstLine="4252" w:firstLineChars="1772"/>
        <w:rPr>
          <w:sz w:val="32"/>
          <w:szCs w:val="32"/>
        </w:rPr>
        <w:sectPr>
          <w:pgSz w:w="12240" w:h="15840"/>
          <w:pgMar w:top="1400" w:right="1100" w:bottom="1120" w:left="1560" w:header="0" w:footer="841" w:gutter="0"/>
          <w:cols w:space="720" w:num="1"/>
        </w:sectPr>
      </w:pPr>
      <w:r>
        <w:rPr>
          <w:rFonts w:hint="eastAsia"/>
          <w:sz w:val="24"/>
          <w:szCs w:val="24"/>
          <w:lang w:val="en-US"/>
        </w:rPr>
        <w:t xml:space="preserve"> </w:t>
      </w:r>
      <w:r>
        <w:rPr>
          <w:rFonts w:hint="eastAsia"/>
          <w:sz w:val="24"/>
          <w:szCs w:val="24"/>
        </w:rPr>
        <w:t xml:space="preserve">年   月  日 </w:t>
      </w:r>
    </w:p>
    <w:p>
      <w:pPr>
        <w:spacing w:before="43"/>
        <w:jc w:val="center"/>
        <w:rPr>
          <w:sz w:val="32"/>
        </w:rPr>
      </w:pPr>
      <w:bookmarkStart w:id="64" w:name="_bookmark193"/>
      <w:bookmarkEnd w:id="64"/>
      <w:r>
        <w:rPr>
          <w:rFonts w:hint="eastAsia"/>
          <w:b/>
          <w:sz w:val="32"/>
        </w:rPr>
        <w:t>十一、</w:t>
      </w:r>
      <w:r>
        <w:rPr>
          <w:sz w:val="32"/>
        </w:rPr>
        <w:t>投标人</w:t>
      </w:r>
      <w:r>
        <w:rPr>
          <w:rFonts w:hint="eastAsia"/>
          <w:sz w:val="32"/>
        </w:rPr>
        <w:t>承诺函格式</w:t>
      </w:r>
    </w:p>
    <w:p>
      <w:pPr>
        <w:pStyle w:val="4"/>
        <w:rPr>
          <w:rFonts w:eastAsiaTheme="minorEastAsia"/>
        </w:rPr>
      </w:pPr>
    </w:p>
    <w:p>
      <w:pPr>
        <w:spacing w:line="360" w:lineRule="auto"/>
        <w:jc w:val="center"/>
        <w:rPr>
          <w:b/>
          <w:bCs/>
          <w:sz w:val="32"/>
          <w:szCs w:val="32"/>
        </w:rPr>
      </w:pPr>
      <w:r>
        <w:rPr>
          <w:rFonts w:hint="eastAsia"/>
          <w:b/>
          <w:bCs/>
          <w:sz w:val="32"/>
          <w:szCs w:val="32"/>
        </w:rPr>
        <w:t>承诺函</w:t>
      </w:r>
    </w:p>
    <w:p>
      <w:pPr>
        <w:spacing w:line="360" w:lineRule="auto"/>
        <w:jc w:val="both"/>
        <w:rPr>
          <w:sz w:val="24"/>
          <w:szCs w:val="24"/>
        </w:rPr>
      </w:pPr>
      <w:r>
        <w:rPr>
          <w:rFonts w:hint="eastAsia"/>
          <w:sz w:val="24"/>
          <w:szCs w:val="24"/>
        </w:rPr>
        <w:t>致广东烟草广州市有限公司：</w:t>
      </w:r>
    </w:p>
    <w:p>
      <w:pPr>
        <w:spacing w:line="360" w:lineRule="auto"/>
        <w:ind w:firstLine="480" w:firstLineChars="200"/>
        <w:jc w:val="both"/>
        <w:rPr>
          <w:sz w:val="24"/>
          <w:szCs w:val="24"/>
        </w:rPr>
      </w:pPr>
      <w:r>
        <w:rPr>
          <w:rFonts w:hint="eastAsia"/>
          <w:sz w:val="24"/>
          <w:szCs w:val="24"/>
          <w:lang w:val="en-US" w:eastAsia="zh-Hans"/>
        </w:rPr>
        <w:t>就“</w:t>
      </w:r>
      <w:r>
        <w:rPr>
          <w:rFonts w:hint="eastAsia"/>
          <w:sz w:val="24"/>
          <w:szCs w:val="24"/>
        </w:rPr>
        <w:t>供应商不良行为查询</w:t>
      </w:r>
      <w:r>
        <w:rPr>
          <w:rFonts w:hint="eastAsia"/>
          <w:sz w:val="24"/>
          <w:szCs w:val="24"/>
          <w:lang w:eastAsia="zh-Hans"/>
        </w:rPr>
        <w:t>”</w:t>
      </w:r>
      <w:r>
        <w:rPr>
          <w:rFonts w:hint="eastAsia"/>
          <w:sz w:val="24"/>
          <w:szCs w:val="24"/>
          <w:lang w:val="en-US" w:eastAsia="zh-Hans"/>
        </w:rPr>
        <w:t>事宜，</w:t>
      </w:r>
      <w:r>
        <w:rPr>
          <w:rFonts w:hint="eastAsia"/>
          <w:sz w:val="24"/>
          <w:szCs w:val="24"/>
        </w:rPr>
        <w:t>我单位</w:t>
      </w:r>
      <w:r>
        <w:rPr>
          <w:rFonts w:hint="eastAsia"/>
          <w:sz w:val="24"/>
          <w:szCs w:val="24"/>
          <w:lang w:val="en-US" w:eastAsia="zh-Hans"/>
        </w:rPr>
        <w:t>郑重向贵司作出如下承诺：</w:t>
      </w:r>
    </w:p>
    <w:p>
      <w:pPr>
        <w:spacing w:line="360" w:lineRule="auto"/>
        <w:ind w:firstLine="480" w:firstLineChars="200"/>
        <w:jc w:val="both"/>
        <w:rPr>
          <w:sz w:val="24"/>
          <w:szCs w:val="24"/>
        </w:rPr>
      </w:pPr>
      <w:r>
        <w:rPr>
          <w:rFonts w:hint="eastAsia"/>
          <w:sz w:val="24"/>
          <w:szCs w:val="24"/>
          <w:lang w:val="en-US"/>
        </w:rPr>
        <w:t>1、</w:t>
      </w:r>
      <w:r>
        <w:rPr>
          <w:rFonts w:hint="eastAsia"/>
          <w:sz w:val="24"/>
          <w:szCs w:val="24"/>
          <w:lang w:val="en-US" w:eastAsia="zh-Hans"/>
        </w:rPr>
        <w:t>本单位向贵司提交的</w:t>
      </w:r>
      <w:r>
        <w:rPr>
          <w:rFonts w:hint="eastAsia"/>
          <w:sz w:val="24"/>
          <w:szCs w:val="24"/>
        </w:rPr>
        <w:t>“中国裁判文书网”（https://wenshu.court.gov.cn/）</w:t>
      </w:r>
      <w:r>
        <w:rPr>
          <w:rFonts w:hint="eastAsia"/>
          <w:sz w:val="24"/>
          <w:szCs w:val="24"/>
          <w:lang w:eastAsia="zh-Hans"/>
        </w:rPr>
        <w:t>、</w:t>
      </w:r>
      <w:r>
        <w:rPr>
          <w:rFonts w:hint="eastAsia"/>
          <w:sz w:val="24"/>
          <w:szCs w:val="24"/>
        </w:rPr>
        <w:t>“信用中国”（www.creditchina.gov.cn）</w:t>
      </w:r>
      <w:r>
        <w:rPr>
          <w:rFonts w:hint="eastAsia"/>
          <w:sz w:val="24"/>
          <w:szCs w:val="24"/>
          <w:lang w:eastAsia="zh-Hans"/>
        </w:rPr>
        <w:t>、</w:t>
      </w:r>
      <w:r>
        <w:rPr>
          <w:rFonts w:hint="eastAsia"/>
          <w:sz w:val="24"/>
          <w:szCs w:val="24"/>
        </w:rPr>
        <w:t>“国家企业信用信息公示系统”</w:t>
      </w:r>
      <w:r>
        <w:rPr>
          <w:rFonts w:hint="eastAsia"/>
          <w:sz w:val="24"/>
          <w:szCs w:val="24"/>
          <w:lang w:val="en-US" w:eastAsia="zh-Hans"/>
        </w:rPr>
        <w:t>网站（www.gsxt.gov.cn）、“全国建筑市场监管公共服务平台”（http://jzsc.mohurd.gov.cn/asite/jsbpp/index）、“广东省建筑市场监管公共服务平台” （http://210.76.74.214/Project/）查询信息均真实、合法、有效。</w:t>
      </w:r>
    </w:p>
    <w:p>
      <w:pPr>
        <w:spacing w:line="360" w:lineRule="auto"/>
        <w:ind w:firstLine="480" w:firstLineChars="200"/>
        <w:jc w:val="both"/>
        <w:rPr>
          <w:sz w:val="24"/>
          <w:szCs w:val="24"/>
        </w:rPr>
      </w:pPr>
      <w:r>
        <w:rPr>
          <w:rFonts w:hint="eastAsia"/>
          <w:sz w:val="24"/>
          <w:szCs w:val="24"/>
          <w:lang w:val="en-US"/>
        </w:rPr>
        <w:t>2、</w:t>
      </w:r>
      <w:r>
        <w:rPr>
          <w:rFonts w:hint="eastAsia"/>
          <w:sz w:val="24"/>
          <w:szCs w:val="24"/>
        </w:rPr>
        <w:t>截至本项目招标文件规定的投标截止时间</w:t>
      </w:r>
      <w:r>
        <w:rPr>
          <w:rFonts w:hint="eastAsia"/>
          <w:sz w:val="24"/>
          <w:szCs w:val="24"/>
          <w:lang w:eastAsia="zh-Hans"/>
        </w:rPr>
        <w:t>，</w:t>
      </w:r>
      <w:r>
        <w:rPr>
          <w:rFonts w:hint="eastAsia"/>
          <w:sz w:val="24"/>
          <w:szCs w:val="24"/>
        </w:rPr>
        <w:t>我单位</w:t>
      </w:r>
      <w:r>
        <w:rPr>
          <w:rFonts w:hint="eastAsia"/>
          <w:sz w:val="24"/>
          <w:szCs w:val="24"/>
          <w:lang w:val="en-US" w:eastAsia="zh-Hans"/>
        </w:rPr>
        <w:t>没有贵司规定的“供应商不良行为”信息：</w:t>
      </w:r>
      <w:r>
        <w:rPr>
          <w:rFonts w:hint="eastAsia"/>
          <w:spacing w:val="-6"/>
          <w:sz w:val="24"/>
          <w:szCs w:val="24"/>
        </w:rPr>
        <w:t>近三年来生效的涉及行</w:t>
      </w:r>
      <w:r>
        <w:rPr>
          <w:rFonts w:hint="eastAsia"/>
          <w:spacing w:val="-1"/>
          <w:sz w:val="24"/>
          <w:szCs w:val="24"/>
        </w:rPr>
        <w:t>贿方面的刑事判决书、刑事</w:t>
      </w:r>
      <w:r>
        <w:rPr>
          <w:rFonts w:hint="eastAsia"/>
          <w:sz w:val="24"/>
          <w:szCs w:val="24"/>
        </w:rPr>
        <w:t>裁定书等信息</w:t>
      </w:r>
      <w:r>
        <w:rPr>
          <w:rFonts w:hint="eastAsia"/>
          <w:sz w:val="24"/>
          <w:szCs w:val="24"/>
          <w:lang w:eastAsia="zh-Hans"/>
        </w:rPr>
        <w:t>；</w:t>
      </w:r>
      <w:r>
        <w:rPr>
          <w:rFonts w:hint="eastAsia"/>
          <w:spacing w:val="-2"/>
          <w:sz w:val="24"/>
          <w:szCs w:val="24"/>
        </w:rPr>
        <w:t>失信惩戒对象、失</w:t>
      </w:r>
      <w:r>
        <w:rPr>
          <w:rFonts w:hint="eastAsia"/>
          <w:spacing w:val="-1"/>
          <w:sz w:val="24"/>
          <w:szCs w:val="24"/>
        </w:rPr>
        <w:t>信被执</w:t>
      </w:r>
      <w:r>
        <w:rPr>
          <w:rFonts w:hint="eastAsia"/>
          <w:sz w:val="24"/>
          <w:szCs w:val="24"/>
        </w:rPr>
        <w:t>行人、重大税收违法案件当事人信息</w:t>
      </w:r>
      <w:r>
        <w:rPr>
          <w:rFonts w:hint="eastAsia"/>
          <w:sz w:val="24"/>
          <w:szCs w:val="24"/>
          <w:lang w:eastAsia="zh-Hans"/>
        </w:rPr>
        <w:t>；</w:t>
      </w:r>
      <w:r>
        <w:rPr>
          <w:rFonts w:hint="eastAsia"/>
          <w:spacing w:val="-2"/>
          <w:sz w:val="24"/>
          <w:szCs w:val="24"/>
        </w:rPr>
        <w:t>严重违</w:t>
      </w:r>
      <w:r>
        <w:rPr>
          <w:rFonts w:hint="eastAsia"/>
          <w:spacing w:val="-1"/>
          <w:sz w:val="24"/>
          <w:szCs w:val="24"/>
        </w:rPr>
        <w:t>法失信企业名单以及相关行政处</w:t>
      </w:r>
      <w:r>
        <w:rPr>
          <w:rFonts w:hint="eastAsia"/>
          <w:sz w:val="24"/>
          <w:szCs w:val="24"/>
        </w:rPr>
        <w:t>罚信息</w:t>
      </w:r>
      <w:r>
        <w:rPr>
          <w:rFonts w:hint="eastAsia"/>
          <w:sz w:val="24"/>
          <w:szCs w:val="24"/>
          <w:lang w:eastAsia="zh-Hans"/>
        </w:rPr>
        <w:t>；</w:t>
      </w:r>
      <w:r>
        <w:rPr>
          <w:rFonts w:hint="eastAsia"/>
          <w:spacing w:val="-2"/>
          <w:sz w:val="24"/>
          <w:szCs w:val="24"/>
        </w:rPr>
        <w:t>信用建</w:t>
      </w:r>
      <w:r>
        <w:rPr>
          <w:rFonts w:hint="eastAsia"/>
          <w:spacing w:val="-6"/>
          <w:sz w:val="24"/>
          <w:szCs w:val="24"/>
        </w:rPr>
        <w:t>设的</w:t>
      </w:r>
      <w:r>
        <w:rPr>
          <w:rFonts w:hint="eastAsia"/>
          <w:spacing w:val="-5"/>
          <w:sz w:val="24"/>
          <w:szCs w:val="24"/>
        </w:rPr>
        <w:t>黑</w:t>
      </w:r>
      <w:r>
        <w:rPr>
          <w:rFonts w:hint="eastAsia"/>
          <w:spacing w:val="-3"/>
          <w:sz w:val="24"/>
          <w:szCs w:val="24"/>
        </w:rPr>
        <w:t>名单、失信联合惩戒记录</w:t>
      </w:r>
      <w:r>
        <w:rPr>
          <w:rFonts w:hint="eastAsia"/>
          <w:spacing w:val="-3"/>
          <w:sz w:val="24"/>
          <w:szCs w:val="24"/>
          <w:lang w:eastAsia="zh-Hans"/>
        </w:rPr>
        <w:t>；</w:t>
      </w:r>
      <w:r>
        <w:rPr>
          <w:rFonts w:hint="eastAsia"/>
          <w:spacing w:val="-3"/>
          <w:sz w:val="24"/>
          <w:szCs w:val="24"/>
          <w:lang w:val="en-US" w:eastAsia="zh-Hans"/>
        </w:rPr>
        <w:t>企业</w:t>
      </w:r>
      <w:r>
        <w:rPr>
          <w:rFonts w:hint="eastAsia"/>
          <w:spacing w:val="-1"/>
          <w:sz w:val="24"/>
          <w:szCs w:val="24"/>
        </w:rPr>
        <w:t>不良行</w:t>
      </w:r>
      <w:r>
        <w:rPr>
          <w:rFonts w:hint="eastAsia"/>
          <w:sz w:val="24"/>
          <w:szCs w:val="24"/>
        </w:rPr>
        <w:t>为、企业黑名单</w:t>
      </w:r>
      <w:r>
        <w:rPr>
          <w:rFonts w:hint="eastAsia"/>
          <w:sz w:val="24"/>
          <w:szCs w:val="24"/>
          <w:lang w:eastAsia="zh-Hans"/>
        </w:rPr>
        <w:t>；</w:t>
      </w:r>
      <w:r>
        <w:rPr>
          <w:rFonts w:hint="eastAsia"/>
          <w:spacing w:val="2"/>
          <w:sz w:val="24"/>
          <w:szCs w:val="24"/>
        </w:rPr>
        <w:t>烟草行业供应商不良行为</w:t>
      </w:r>
      <w:r>
        <w:rPr>
          <w:rFonts w:hint="eastAsia"/>
          <w:spacing w:val="2"/>
          <w:sz w:val="24"/>
          <w:szCs w:val="24"/>
          <w:lang w:val="en-US" w:eastAsia="zh-Hans"/>
        </w:rPr>
        <w:t>信息</w:t>
      </w:r>
      <w:r>
        <w:rPr>
          <w:rFonts w:hint="eastAsia"/>
          <w:sz w:val="24"/>
          <w:szCs w:val="24"/>
          <w:lang w:val="en-US" w:eastAsia="zh-Hans"/>
        </w:rPr>
        <w:t>等。</w:t>
      </w:r>
    </w:p>
    <w:p>
      <w:pPr>
        <w:spacing w:line="360" w:lineRule="auto"/>
        <w:ind w:firstLine="480" w:firstLineChars="200"/>
        <w:jc w:val="both"/>
        <w:rPr>
          <w:sz w:val="24"/>
          <w:szCs w:val="24"/>
        </w:rPr>
      </w:pPr>
      <w:r>
        <w:rPr>
          <w:rFonts w:hint="eastAsia"/>
          <w:sz w:val="24"/>
          <w:szCs w:val="24"/>
          <w:lang w:val="en-US"/>
        </w:rPr>
        <w:t>3、</w:t>
      </w:r>
      <w:r>
        <w:rPr>
          <w:rFonts w:hint="eastAsia"/>
          <w:sz w:val="24"/>
          <w:szCs w:val="24"/>
        </w:rPr>
        <w:t>截至本项目招标文件规定的投标截止时间</w:t>
      </w:r>
      <w:r>
        <w:rPr>
          <w:rFonts w:hint="eastAsia"/>
          <w:sz w:val="24"/>
          <w:szCs w:val="24"/>
          <w:lang w:eastAsia="zh-Hans"/>
        </w:rPr>
        <w:t>，</w:t>
      </w:r>
      <w:r>
        <w:rPr>
          <w:rFonts w:hint="eastAsia"/>
          <w:sz w:val="24"/>
          <w:szCs w:val="24"/>
        </w:rPr>
        <w:t>我单位的法定代表人、主要负责人或实际控制人以及拟委任的项目负责人</w:t>
      </w:r>
      <w:r>
        <w:rPr>
          <w:rFonts w:hint="eastAsia"/>
          <w:sz w:val="24"/>
          <w:szCs w:val="24"/>
          <w:lang w:val="en-US" w:eastAsia="zh-Hans"/>
        </w:rPr>
        <w:t>均没有贵司规定的“供应商不良行为”信息：</w:t>
      </w:r>
      <w:r>
        <w:rPr>
          <w:rFonts w:hint="eastAsia"/>
          <w:sz w:val="24"/>
          <w:szCs w:val="24"/>
        </w:rPr>
        <w:t>行贿行为记录</w:t>
      </w:r>
      <w:r>
        <w:rPr>
          <w:rFonts w:hint="eastAsia"/>
          <w:sz w:val="24"/>
          <w:szCs w:val="24"/>
          <w:lang w:eastAsia="zh-Hans"/>
        </w:rPr>
        <w:t>、</w:t>
      </w:r>
      <w:r>
        <w:rPr>
          <w:rFonts w:hint="eastAsia"/>
          <w:spacing w:val="-1"/>
          <w:sz w:val="24"/>
          <w:szCs w:val="24"/>
        </w:rPr>
        <w:t>人员不良行</w:t>
      </w:r>
      <w:r>
        <w:rPr>
          <w:rFonts w:hint="eastAsia"/>
          <w:sz w:val="24"/>
          <w:szCs w:val="24"/>
        </w:rPr>
        <w:t>为</w:t>
      </w:r>
      <w:r>
        <w:rPr>
          <w:rFonts w:hint="eastAsia"/>
          <w:sz w:val="24"/>
          <w:szCs w:val="24"/>
          <w:lang w:val="en-US" w:eastAsia="zh-Hans"/>
        </w:rPr>
        <w:t>信息</w:t>
      </w:r>
      <w:r>
        <w:rPr>
          <w:rFonts w:hint="eastAsia"/>
          <w:sz w:val="24"/>
          <w:szCs w:val="24"/>
        </w:rPr>
        <w:t>、人员黑名单</w:t>
      </w:r>
      <w:r>
        <w:rPr>
          <w:rFonts w:hint="eastAsia"/>
          <w:sz w:val="24"/>
          <w:szCs w:val="24"/>
          <w:lang w:val="en-US" w:eastAsia="zh-Hans"/>
        </w:rPr>
        <w:t>信息、</w:t>
      </w:r>
      <w:r>
        <w:rPr>
          <w:rFonts w:hint="eastAsia"/>
          <w:spacing w:val="2"/>
          <w:sz w:val="24"/>
          <w:szCs w:val="24"/>
        </w:rPr>
        <w:t>烟草行业供应商不良行为</w:t>
      </w:r>
      <w:r>
        <w:rPr>
          <w:rFonts w:hint="eastAsia"/>
          <w:spacing w:val="2"/>
          <w:sz w:val="24"/>
          <w:szCs w:val="24"/>
          <w:lang w:val="en-US" w:eastAsia="zh-Hans"/>
        </w:rPr>
        <w:t>信息</w:t>
      </w:r>
      <w:r>
        <w:rPr>
          <w:rFonts w:hint="eastAsia"/>
          <w:sz w:val="24"/>
          <w:szCs w:val="24"/>
          <w:lang w:val="en-US" w:eastAsia="zh-Hans"/>
        </w:rPr>
        <w:t>等。</w:t>
      </w:r>
    </w:p>
    <w:p>
      <w:pPr>
        <w:spacing w:before="1" w:line="360" w:lineRule="auto"/>
        <w:ind w:firstLine="480" w:firstLineChars="200"/>
        <w:jc w:val="both"/>
        <w:rPr>
          <w:sz w:val="24"/>
          <w:szCs w:val="24"/>
        </w:rPr>
      </w:pPr>
      <w:r>
        <w:rPr>
          <w:rFonts w:hint="eastAsia"/>
          <w:sz w:val="24"/>
          <w:szCs w:val="24"/>
          <w:lang w:val="en-US"/>
        </w:rPr>
        <w:t>4、</w:t>
      </w:r>
      <w:r>
        <w:rPr>
          <w:rFonts w:hint="eastAsia"/>
          <w:sz w:val="24"/>
          <w:szCs w:val="24"/>
        </w:rPr>
        <w:t>截至本项目招标文件规定的投标截止时间</w:t>
      </w:r>
      <w:r>
        <w:rPr>
          <w:rFonts w:hint="eastAsia"/>
          <w:sz w:val="24"/>
          <w:szCs w:val="24"/>
          <w:lang w:eastAsia="zh-Hans"/>
        </w:rPr>
        <w:t>，</w:t>
      </w:r>
      <w:r>
        <w:rPr>
          <w:rFonts w:hint="eastAsia"/>
          <w:sz w:val="24"/>
          <w:szCs w:val="24"/>
        </w:rPr>
        <w:t>我单位</w:t>
      </w:r>
      <w:r>
        <w:rPr>
          <w:rFonts w:hint="eastAsia"/>
          <w:sz w:val="24"/>
          <w:szCs w:val="24"/>
          <w:lang w:val="en-US" w:eastAsia="zh-Hans"/>
        </w:rPr>
        <w:t>没有</w:t>
      </w:r>
      <w:r>
        <w:rPr>
          <w:rFonts w:hint="eastAsia"/>
          <w:spacing w:val="-3"/>
          <w:sz w:val="24"/>
          <w:szCs w:val="24"/>
        </w:rPr>
        <w:t>严重违反招标投标有关规定和烟草企业供应商管理规定</w:t>
      </w:r>
      <w:r>
        <w:rPr>
          <w:rFonts w:hint="eastAsia"/>
          <w:spacing w:val="-3"/>
          <w:sz w:val="24"/>
          <w:szCs w:val="24"/>
          <w:lang w:val="en-US" w:eastAsia="zh-Hans"/>
        </w:rPr>
        <w:t>的行为，</w:t>
      </w:r>
      <w:r>
        <w:rPr>
          <w:rFonts w:hint="eastAsia"/>
          <w:spacing w:val="-3"/>
          <w:sz w:val="24"/>
          <w:szCs w:val="24"/>
        </w:rPr>
        <w:t>主要包括</w:t>
      </w:r>
      <w:r>
        <w:rPr>
          <w:rFonts w:hint="eastAsia"/>
          <w:spacing w:val="-2"/>
          <w:sz w:val="24"/>
          <w:szCs w:val="24"/>
        </w:rPr>
        <w:t>：</w:t>
      </w:r>
    </w:p>
    <w:p>
      <w:pPr>
        <w:spacing w:before="1" w:line="360" w:lineRule="auto"/>
        <w:ind w:firstLine="468" w:firstLineChars="200"/>
        <w:jc w:val="both"/>
        <w:rPr>
          <w:spacing w:val="-3"/>
          <w:sz w:val="24"/>
          <w:szCs w:val="24"/>
        </w:rPr>
      </w:pPr>
      <w:r>
        <w:rPr>
          <w:rFonts w:hint="eastAsia"/>
          <w:spacing w:val="-3"/>
          <w:sz w:val="24"/>
          <w:szCs w:val="24"/>
          <w:lang w:eastAsia="zh-Hans"/>
        </w:rPr>
        <w:t>（1）</w:t>
      </w:r>
      <w:r>
        <w:rPr>
          <w:rFonts w:hint="eastAsia"/>
          <w:spacing w:val="-3"/>
          <w:sz w:val="24"/>
          <w:szCs w:val="24"/>
        </w:rPr>
        <w:t>中标或成交后无正当理由拒不与采购人签订采购合同， 或未按照采购文件确定的主要条款签订采购合同；</w:t>
      </w:r>
    </w:p>
    <w:p>
      <w:pPr>
        <w:spacing w:before="1" w:line="360" w:lineRule="auto"/>
        <w:ind w:firstLine="468" w:firstLineChars="200"/>
        <w:jc w:val="both"/>
        <w:rPr>
          <w:spacing w:val="-3"/>
          <w:sz w:val="24"/>
          <w:szCs w:val="24"/>
        </w:rPr>
      </w:pPr>
      <w:r>
        <w:rPr>
          <w:rFonts w:hint="eastAsia"/>
          <w:spacing w:val="-3"/>
          <w:sz w:val="24"/>
          <w:szCs w:val="24"/>
          <w:lang w:eastAsia="zh-Hans"/>
        </w:rPr>
        <w:t>（2）</w:t>
      </w:r>
      <w:r>
        <w:rPr>
          <w:rFonts w:hint="eastAsia"/>
          <w:spacing w:val="-3"/>
          <w:sz w:val="24"/>
          <w:szCs w:val="24"/>
          <w:lang w:val="en-US" w:eastAsia="zh-Hans"/>
        </w:rPr>
        <w:t>中标项目</w:t>
      </w:r>
      <w:r>
        <w:rPr>
          <w:rFonts w:hint="eastAsia"/>
          <w:spacing w:val="-3"/>
          <w:sz w:val="24"/>
          <w:szCs w:val="24"/>
        </w:rPr>
        <w:t>违反合同约定进行转包、分包；</w:t>
      </w:r>
    </w:p>
    <w:p>
      <w:pPr>
        <w:spacing w:before="1" w:line="360" w:lineRule="auto"/>
        <w:ind w:firstLine="468" w:firstLineChars="200"/>
        <w:jc w:val="both"/>
        <w:rPr>
          <w:spacing w:val="-3"/>
          <w:sz w:val="24"/>
          <w:szCs w:val="24"/>
        </w:rPr>
      </w:pPr>
      <w:r>
        <w:rPr>
          <w:rFonts w:hint="eastAsia"/>
          <w:spacing w:val="-3"/>
          <w:sz w:val="24"/>
          <w:szCs w:val="24"/>
          <w:lang w:eastAsia="zh-Hans"/>
        </w:rPr>
        <w:t>（3）</w:t>
      </w:r>
      <w:r>
        <w:rPr>
          <w:rFonts w:hint="eastAsia"/>
          <w:spacing w:val="-3"/>
          <w:sz w:val="24"/>
          <w:szCs w:val="24"/>
        </w:rPr>
        <w:t>擅自变更、中止或终止</w:t>
      </w:r>
      <w:r>
        <w:rPr>
          <w:rFonts w:hint="eastAsia"/>
          <w:spacing w:val="-3"/>
          <w:sz w:val="24"/>
          <w:szCs w:val="24"/>
          <w:lang w:val="en-US" w:eastAsia="zh-Hans"/>
        </w:rPr>
        <w:t>中标的采购</w:t>
      </w:r>
      <w:r>
        <w:rPr>
          <w:rFonts w:hint="eastAsia"/>
          <w:spacing w:val="-3"/>
          <w:sz w:val="24"/>
          <w:szCs w:val="24"/>
        </w:rPr>
        <w:t>合同；</w:t>
      </w:r>
    </w:p>
    <w:p>
      <w:pPr>
        <w:spacing w:before="1" w:line="360" w:lineRule="auto"/>
        <w:ind w:firstLine="468" w:firstLineChars="200"/>
        <w:jc w:val="both"/>
        <w:rPr>
          <w:spacing w:val="-3"/>
          <w:sz w:val="24"/>
          <w:szCs w:val="24"/>
        </w:rPr>
      </w:pPr>
      <w:r>
        <w:rPr>
          <w:rFonts w:hint="eastAsia"/>
          <w:spacing w:val="-3"/>
          <w:sz w:val="24"/>
          <w:szCs w:val="24"/>
          <w:lang w:eastAsia="zh-Hans"/>
        </w:rPr>
        <w:t>（4）</w:t>
      </w:r>
      <w:r>
        <w:rPr>
          <w:rFonts w:hint="eastAsia"/>
          <w:spacing w:val="-3"/>
          <w:sz w:val="24"/>
          <w:szCs w:val="24"/>
        </w:rPr>
        <w:t>履约过程中，提供假冒伪劣产品或弄虚作假、偷工减料，或产品和服务质量严重偏离合同约定，验收或考核评价不合格；</w:t>
      </w:r>
    </w:p>
    <w:p>
      <w:pPr>
        <w:spacing w:before="1" w:line="360" w:lineRule="auto"/>
        <w:ind w:firstLine="468" w:firstLineChars="200"/>
        <w:jc w:val="both"/>
        <w:rPr>
          <w:spacing w:val="-3"/>
          <w:sz w:val="24"/>
          <w:szCs w:val="24"/>
        </w:rPr>
      </w:pPr>
      <w:r>
        <w:rPr>
          <w:rFonts w:hint="eastAsia"/>
          <w:spacing w:val="-3"/>
          <w:sz w:val="24"/>
          <w:szCs w:val="24"/>
          <w:lang w:eastAsia="zh-Hans"/>
        </w:rPr>
        <w:t>（5）</w:t>
      </w:r>
      <w:r>
        <w:rPr>
          <w:rFonts w:hint="eastAsia"/>
          <w:spacing w:val="-3"/>
          <w:sz w:val="24"/>
          <w:szCs w:val="24"/>
        </w:rPr>
        <w:t>与采购人、其他供应商或招标代理机构恶意串通；</w:t>
      </w:r>
    </w:p>
    <w:p>
      <w:pPr>
        <w:spacing w:before="1" w:line="360" w:lineRule="auto"/>
        <w:ind w:firstLine="468" w:firstLineChars="200"/>
        <w:jc w:val="both"/>
        <w:rPr>
          <w:spacing w:val="-3"/>
          <w:sz w:val="24"/>
          <w:szCs w:val="24"/>
        </w:rPr>
      </w:pPr>
      <w:r>
        <w:rPr>
          <w:rFonts w:hint="eastAsia"/>
          <w:spacing w:val="-3"/>
          <w:sz w:val="24"/>
          <w:szCs w:val="24"/>
          <w:lang w:eastAsia="zh-Hans"/>
        </w:rPr>
        <w:t>（6）</w:t>
      </w:r>
      <w:r>
        <w:rPr>
          <w:rFonts w:hint="eastAsia"/>
          <w:spacing w:val="-3"/>
          <w:sz w:val="24"/>
          <w:szCs w:val="24"/>
        </w:rPr>
        <w:t>提供虚假材料谋取中标、成交；</w:t>
      </w:r>
    </w:p>
    <w:p>
      <w:pPr>
        <w:spacing w:before="1" w:line="360" w:lineRule="auto"/>
        <w:ind w:firstLine="468" w:firstLineChars="200"/>
        <w:jc w:val="both"/>
        <w:rPr>
          <w:spacing w:val="-3"/>
          <w:sz w:val="24"/>
          <w:szCs w:val="24"/>
        </w:rPr>
      </w:pPr>
      <w:r>
        <w:rPr>
          <w:rFonts w:hint="eastAsia"/>
          <w:spacing w:val="-3"/>
          <w:sz w:val="24"/>
          <w:szCs w:val="24"/>
          <w:lang w:eastAsia="zh-Hans"/>
        </w:rPr>
        <w:t>（7）</w:t>
      </w:r>
      <w:r>
        <w:rPr>
          <w:rFonts w:hint="eastAsia"/>
          <w:spacing w:val="-3"/>
          <w:sz w:val="24"/>
          <w:szCs w:val="24"/>
        </w:rPr>
        <w:t>捏造曲解事实、提供虚假材料或以非法手段取得 证明材料进行恶意投诉、违法滥诉，以达到中标或排除潜在竞争对手目的；</w:t>
      </w:r>
    </w:p>
    <w:p>
      <w:pPr>
        <w:spacing w:before="1" w:line="360" w:lineRule="auto"/>
        <w:ind w:firstLine="468" w:firstLineChars="200"/>
        <w:jc w:val="both"/>
        <w:rPr>
          <w:spacing w:val="-3"/>
          <w:sz w:val="24"/>
          <w:szCs w:val="24"/>
        </w:rPr>
      </w:pPr>
      <w:r>
        <w:rPr>
          <w:rFonts w:hint="eastAsia"/>
          <w:spacing w:val="-3"/>
          <w:sz w:val="24"/>
          <w:szCs w:val="24"/>
          <w:lang w:eastAsia="zh-Hans"/>
        </w:rPr>
        <w:t>（8）</w:t>
      </w:r>
      <w:r>
        <w:rPr>
          <w:rFonts w:hint="eastAsia"/>
          <w:spacing w:val="-3"/>
          <w:sz w:val="24"/>
          <w:szCs w:val="24"/>
        </w:rPr>
        <w:t>直接或间接从采购人或招标代理机构处获得其他 供应商的相关情况，并修改其投标文件或响应文件；</w:t>
      </w:r>
    </w:p>
    <w:p>
      <w:pPr>
        <w:spacing w:before="1" w:line="360" w:lineRule="auto"/>
        <w:ind w:firstLine="468" w:firstLineChars="200"/>
        <w:jc w:val="both"/>
        <w:rPr>
          <w:spacing w:val="-3"/>
          <w:sz w:val="24"/>
          <w:szCs w:val="24"/>
        </w:rPr>
      </w:pPr>
      <w:r>
        <w:rPr>
          <w:rFonts w:hint="eastAsia"/>
          <w:spacing w:val="-3"/>
          <w:sz w:val="24"/>
          <w:szCs w:val="24"/>
          <w:lang w:eastAsia="zh-Hans"/>
        </w:rPr>
        <w:t>（9）</w:t>
      </w:r>
      <w:r>
        <w:rPr>
          <w:rFonts w:hint="eastAsia"/>
          <w:spacing w:val="-3"/>
          <w:sz w:val="24"/>
          <w:szCs w:val="24"/>
          <w:lang w:val="en-US" w:eastAsia="zh-Hans"/>
        </w:rPr>
        <w:t>与其他</w:t>
      </w:r>
      <w:r>
        <w:rPr>
          <w:rFonts w:hint="eastAsia"/>
          <w:spacing w:val="-3"/>
          <w:sz w:val="24"/>
          <w:szCs w:val="24"/>
        </w:rPr>
        <w:t>供应商事先约定由某一特定供应商中标、成交，或商定部分供应商放弃参加采购活动或放弃中标、成交；</w:t>
      </w:r>
    </w:p>
    <w:p>
      <w:pPr>
        <w:spacing w:before="1" w:line="360" w:lineRule="auto"/>
        <w:ind w:firstLine="468" w:firstLineChars="200"/>
        <w:jc w:val="both"/>
        <w:rPr>
          <w:spacing w:val="-3"/>
          <w:sz w:val="24"/>
          <w:szCs w:val="24"/>
        </w:rPr>
      </w:pPr>
      <w:r>
        <w:rPr>
          <w:rFonts w:hint="eastAsia"/>
          <w:spacing w:val="-3"/>
          <w:sz w:val="24"/>
          <w:szCs w:val="24"/>
          <w:lang w:eastAsia="zh-Hans"/>
        </w:rPr>
        <w:t>（10）</w:t>
      </w:r>
      <w:r>
        <w:rPr>
          <w:rFonts w:hint="eastAsia"/>
          <w:spacing w:val="-3"/>
          <w:sz w:val="24"/>
          <w:szCs w:val="24"/>
          <w:lang w:val="en-US" w:eastAsia="zh-Hans"/>
        </w:rPr>
        <w:t>与其他</w:t>
      </w:r>
      <w:r>
        <w:rPr>
          <w:rFonts w:hint="eastAsia"/>
          <w:spacing w:val="-3"/>
          <w:sz w:val="24"/>
          <w:szCs w:val="24"/>
        </w:rPr>
        <w:t>供应商协商报价、技术方案等投标文件或响应文件的实质性内容；</w:t>
      </w:r>
    </w:p>
    <w:p>
      <w:pPr>
        <w:spacing w:before="1" w:line="360" w:lineRule="auto"/>
        <w:ind w:firstLine="468" w:firstLineChars="200"/>
        <w:jc w:val="both"/>
        <w:rPr>
          <w:spacing w:val="-3"/>
          <w:sz w:val="24"/>
          <w:szCs w:val="24"/>
        </w:rPr>
      </w:pPr>
      <w:r>
        <w:rPr>
          <w:rFonts w:hint="eastAsia"/>
          <w:spacing w:val="-3"/>
          <w:sz w:val="24"/>
          <w:szCs w:val="24"/>
          <w:lang w:eastAsia="zh-Hans"/>
        </w:rPr>
        <w:t>（11）</w:t>
      </w:r>
      <w:r>
        <w:rPr>
          <w:rFonts w:hint="eastAsia"/>
          <w:spacing w:val="-3"/>
          <w:sz w:val="24"/>
          <w:szCs w:val="24"/>
          <w:lang w:val="en-US" w:eastAsia="zh-Hans"/>
        </w:rPr>
        <w:t>与其他</w:t>
      </w:r>
      <w:r>
        <w:rPr>
          <w:rFonts w:hint="eastAsia"/>
          <w:spacing w:val="-3"/>
          <w:sz w:val="24"/>
          <w:szCs w:val="24"/>
        </w:rPr>
        <w:t>供应商属于同一集团、协会、商会等组织成员</w:t>
      </w:r>
      <w:r>
        <w:rPr>
          <w:rFonts w:hint="eastAsia"/>
          <w:spacing w:val="-3"/>
          <w:sz w:val="24"/>
          <w:szCs w:val="24"/>
          <w:lang w:eastAsia="zh-Hans"/>
        </w:rPr>
        <w:t>，</w:t>
      </w:r>
      <w:r>
        <w:rPr>
          <w:rFonts w:hint="eastAsia"/>
          <w:spacing w:val="-3"/>
          <w:sz w:val="24"/>
          <w:szCs w:val="24"/>
          <w:lang w:val="en-US" w:eastAsia="zh-Hans"/>
        </w:rPr>
        <w:t>并</w:t>
      </w:r>
      <w:r>
        <w:rPr>
          <w:rFonts w:hint="eastAsia"/>
          <w:spacing w:val="-3"/>
          <w:sz w:val="24"/>
          <w:szCs w:val="24"/>
        </w:rPr>
        <w:t>按照组织要求协同参加采购活动；</w:t>
      </w:r>
    </w:p>
    <w:p>
      <w:pPr>
        <w:spacing w:before="1" w:line="360" w:lineRule="auto"/>
        <w:ind w:firstLine="468" w:firstLineChars="200"/>
        <w:jc w:val="both"/>
        <w:rPr>
          <w:spacing w:val="-3"/>
          <w:sz w:val="24"/>
          <w:szCs w:val="24"/>
        </w:rPr>
      </w:pPr>
      <w:r>
        <w:rPr>
          <w:rFonts w:hint="eastAsia"/>
          <w:spacing w:val="-3"/>
          <w:sz w:val="24"/>
          <w:szCs w:val="24"/>
          <w:lang w:eastAsia="zh-Hans"/>
        </w:rPr>
        <w:t>（12）</w:t>
      </w:r>
      <w:r>
        <w:rPr>
          <w:rFonts w:hint="eastAsia"/>
          <w:spacing w:val="-3"/>
          <w:sz w:val="24"/>
          <w:szCs w:val="24"/>
        </w:rPr>
        <w:t>与采购人或招标代理机构之间、</w:t>
      </w:r>
      <w:r>
        <w:rPr>
          <w:rFonts w:hint="eastAsia"/>
          <w:spacing w:val="-3"/>
          <w:sz w:val="24"/>
          <w:szCs w:val="24"/>
          <w:lang w:val="en-US" w:eastAsia="zh-Hans"/>
        </w:rPr>
        <w:t>其他</w:t>
      </w:r>
      <w:r>
        <w:rPr>
          <w:rFonts w:hint="eastAsia"/>
          <w:spacing w:val="-3"/>
          <w:sz w:val="24"/>
          <w:szCs w:val="24"/>
        </w:rPr>
        <w:t>供应商相互之间， 为谋求特定供应商中标、成交或排斥其他供应商等串通行为；</w:t>
      </w:r>
    </w:p>
    <w:p>
      <w:pPr>
        <w:spacing w:before="1" w:line="360" w:lineRule="auto"/>
        <w:ind w:firstLine="468" w:firstLineChars="200"/>
        <w:jc w:val="both"/>
        <w:rPr>
          <w:spacing w:val="-3"/>
          <w:sz w:val="24"/>
          <w:szCs w:val="24"/>
        </w:rPr>
      </w:pPr>
      <w:r>
        <w:rPr>
          <w:rFonts w:hint="eastAsia"/>
          <w:spacing w:val="-3"/>
          <w:sz w:val="24"/>
          <w:szCs w:val="24"/>
          <w:lang w:eastAsia="zh-Hans"/>
        </w:rPr>
        <w:t>（13）</w:t>
      </w:r>
      <w:r>
        <w:rPr>
          <w:rFonts w:hint="eastAsia"/>
          <w:spacing w:val="-3"/>
          <w:sz w:val="24"/>
          <w:szCs w:val="24"/>
        </w:rPr>
        <w:t>拒绝有关部门监督检查或过程中提供虚假信息；</w:t>
      </w:r>
    </w:p>
    <w:p>
      <w:pPr>
        <w:spacing w:before="1" w:line="360" w:lineRule="auto"/>
        <w:ind w:firstLine="468" w:firstLineChars="200"/>
        <w:jc w:val="both"/>
        <w:rPr>
          <w:spacing w:val="-3"/>
          <w:sz w:val="24"/>
          <w:szCs w:val="24"/>
        </w:rPr>
      </w:pPr>
      <w:r>
        <w:rPr>
          <w:rFonts w:hint="eastAsia"/>
          <w:spacing w:val="-3"/>
          <w:sz w:val="24"/>
          <w:szCs w:val="24"/>
          <w:lang w:eastAsia="zh-Hans"/>
        </w:rPr>
        <w:t>（14）</w:t>
      </w:r>
      <w:r>
        <w:rPr>
          <w:rFonts w:hint="eastAsia"/>
          <w:spacing w:val="-3"/>
          <w:sz w:val="24"/>
          <w:szCs w:val="24"/>
        </w:rPr>
        <w:t>法律法规和制度规定的其他采购严重违法失信行为</w:t>
      </w:r>
      <w:r>
        <w:rPr>
          <w:rFonts w:hint="eastAsia"/>
          <w:spacing w:val="-3"/>
          <w:sz w:val="24"/>
          <w:szCs w:val="24"/>
          <w:lang w:eastAsia="zh-Hans"/>
        </w:rPr>
        <w:t>；</w:t>
      </w:r>
    </w:p>
    <w:p>
      <w:pPr>
        <w:spacing w:before="1" w:line="360" w:lineRule="auto"/>
        <w:ind w:firstLine="468" w:firstLineChars="200"/>
        <w:jc w:val="both"/>
        <w:rPr>
          <w:spacing w:val="-3"/>
          <w:sz w:val="24"/>
          <w:szCs w:val="24"/>
        </w:rPr>
      </w:pPr>
      <w:r>
        <w:rPr>
          <w:rFonts w:hint="eastAsia"/>
          <w:spacing w:val="-3"/>
          <w:sz w:val="24"/>
          <w:szCs w:val="24"/>
        </w:rPr>
        <w:t>(15)其他违法犯罪行为。</w:t>
      </w:r>
    </w:p>
    <w:p>
      <w:pPr>
        <w:spacing w:line="360" w:lineRule="auto"/>
        <w:ind w:firstLine="480" w:firstLineChars="200"/>
        <w:jc w:val="both"/>
        <w:rPr>
          <w:sz w:val="24"/>
          <w:szCs w:val="24"/>
        </w:rPr>
      </w:pPr>
      <w:r>
        <w:rPr>
          <w:rFonts w:hint="eastAsia"/>
          <w:sz w:val="24"/>
          <w:szCs w:val="24"/>
        </w:rPr>
        <w:t>如经</w:t>
      </w:r>
      <w:r>
        <w:rPr>
          <w:rFonts w:hint="eastAsia"/>
          <w:sz w:val="24"/>
          <w:szCs w:val="24"/>
          <w:lang w:val="en-US" w:eastAsia="zh-Hans"/>
        </w:rPr>
        <w:t>贵司</w:t>
      </w:r>
      <w:r>
        <w:rPr>
          <w:rFonts w:hint="eastAsia"/>
          <w:sz w:val="24"/>
          <w:szCs w:val="24"/>
        </w:rPr>
        <w:t>复核、</w:t>
      </w:r>
      <w:r>
        <w:rPr>
          <w:rFonts w:hint="eastAsia"/>
          <w:sz w:val="24"/>
          <w:szCs w:val="24"/>
          <w:lang w:val="en-US" w:eastAsia="zh-Hans"/>
        </w:rPr>
        <w:t>贵司</w:t>
      </w:r>
      <w:r>
        <w:rPr>
          <w:rFonts w:hint="eastAsia"/>
          <w:sz w:val="24"/>
          <w:szCs w:val="24"/>
        </w:rPr>
        <w:t>上级主管部门或有关第三方提供线索等渠道发现</w:t>
      </w:r>
      <w:r>
        <w:rPr>
          <w:rFonts w:hint="eastAsia"/>
          <w:sz w:val="24"/>
          <w:szCs w:val="24"/>
          <w:lang w:val="en-US" w:eastAsia="zh-Hans"/>
        </w:rPr>
        <w:t>本单位有违反前述</w:t>
      </w:r>
      <w:r>
        <w:rPr>
          <w:rFonts w:hint="eastAsia"/>
          <w:sz w:val="24"/>
          <w:szCs w:val="24"/>
          <w:lang w:eastAsia="zh-Hans"/>
        </w:rPr>
        <w:t>1</w:t>
      </w:r>
      <w:r>
        <w:rPr>
          <w:rFonts w:hint="eastAsia"/>
          <w:sz w:val="24"/>
          <w:szCs w:val="24"/>
          <w:lang w:val="en-US" w:eastAsia="zh-Hans"/>
        </w:rPr>
        <w:t>至</w:t>
      </w:r>
      <w:r>
        <w:rPr>
          <w:rFonts w:hint="eastAsia"/>
          <w:sz w:val="24"/>
          <w:szCs w:val="24"/>
          <w:lang w:eastAsia="zh-Hans"/>
        </w:rPr>
        <w:t>4</w:t>
      </w:r>
      <w:r>
        <w:rPr>
          <w:rFonts w:hint="eastAsia"/>
          <w:sz w:val="24"/>
          <w:szCs w:val="24"/>
          <w:lang w:val="en-US" w:eastAsia="zh-Hans"/>
        </w:rPr>
        <w:t>条的情形，贵司</w:t>
      </w:r>
      <w:r>
        <w:rPr>
          <w:rFonts w:hint="eastAsia"/>
          <w:sz w:val="24"/>
          <w:szCs w:val="24"/>
        </w:rPr>
        <w:t>有权拒绝</w:t>
      </w:r>
      <w:r>
        <w:rPr>
          <w:rFonts w:hint="eastAsia"/>
          <w:sz w:val="24"/>
          <w:szCs w:val="24"/>
          <w:lang w:val="en-US" w:eastAsia="zh-Hans"/>
        </w:rPr>
        <w:t>本单位</w:t>
      </w:r>
      <w:r>
        <w:rPr>
          <w:rFonts w:hint="eastAsia"/>
          <w:sz w:val="24"/>
          <w:szCs w:val="24"/>
        </w:rPr>
        <w:t>投标、取消</w:t>
      </w:r>
      <w:r>
        <w:rPr>
          <w:rFonts w:hint="eastAsia"/>
          <w:sz w:val="24"/>
          <w:szCs w:val="24"/>
          <w:lang w:val="en-US" w:eastAsia="zh-Hans"/>
        </w:rPr>
        <w:t>本单位</w:t>
      </w:r>
      <w:r>
        <w:rPr>
          <w:rFonts w:hint="eastAsia"/>
          <w:sz w:val="24"/>
          <w:szCs w:val="24"/>
        </w:rPr>
        <w:t>中标资格、解除</w:t>
      </w:r>
      <w:r>
        <w:rPr>
          <w:rFonts w:hint="eastAsia"/>
          <w:sz w:val="24"/>
          <w:szCs w:val="24"/>
          <w:lang w:val="en-US" w:eastAsia="zh-Hans"/>
        </w:rPr>
        <w:t>与本单位</w:t>
      </w:r>
      <w:r>
        <w:rPr>
          <w:rFonts w:hint="eastAsia"/>
          <w:sz w:val="24"/>
          <w:szCs w:val="24"/>
        </w:rPr>
        <w:t>已签订的合同</w:t>
      </w:r>
      <w:r>
        <w:rPr>
          <w:rFonts w:hint="eastAsia"/>
          <w:sz w:val="24"/>
          <w:szCs w:val="24"/>
          <w:lang w:eastAsia="zh-Hans"/>
        </w:rPr>
        <w:t>、</w:t>
      </w:r>
      <w:r>
        <w:rPr>
          <w:rFonts w:hint="eastAsia"/>
          <w:sz w:val="24"/>
          <w:szCs w:val="24"/>
        </w:rPr>
        <w:t>追究相关责任，并接受行政监督部门依法处理</w:t>
      </w:r>
      <w:r>
        <w:rPr>
          <w:rFonts w:hint="eastAsia"/>
          <w:sz w:val="24"/>
          <w:szCs w:val="24"/>
          <w:lang w:eastAsia="zh-Hans"/>
        </w:rPr>
        <w:t>。</w:t>
      </w:r>
    </w:p>
    <w:p>
      <w:pPr>
        <w:spacing w:line="360" w:lineRule="auto"/>
        <w:jc w:val="both"/>
        <w:rPr>
          <w:sz w:val="24"/>
          <w:szCs w:val="24"/>
        </w:rPr>
      </w:pPr>
    </w:p>
    <w:p>
      <w:pPr>
        <w:spacing w:line="360" w:lineRule="auto"/>
        <w:ind w:firstLine="506" w:firstLineChars="210"/>
        <w:jc w:val="both"/>
        <w:rPr>
          <w:sz w:val="24"/>
          <w:szCs w:val="24"/>
        </w:rPr>
      </w:pPr>
      <w:r>
        <w:rPr>
          <w:rFonts w:hint="eastAsia"/>
          <w:b/>
          <w:bCs/>
          <w:sz w:val="24"/>
          <w:szCs w:val="24"/>
        </w:rPr>
        <w:t>特此承诺！</w:t>
      </w:r>
    </w:p>
    <w:p>
      <w:pPr>
        <w:wordWrap w:val="0"/>
        <w:spacing w:line="360" w:lineRule="auto"/>
        <w:jc w:val="right"/>
        <w:rPr>
          <w:sz w:val="24"/>
          <w:szCs w:val="24"/>
        </w:rPr>
      </w:pPr>
      <w:r>
        <w:rPr>
          <w:rFonts w:hint="eastAsia"/>
          <w:sz w:val="24"/>
          <w:szCs w:val="24"/>
        </w:rPr>
        <w:t xml:space="preserve">   </w:t>
      </w:r>
    </w:p>
    <w:p>
      <w:pPr>
        <w:spacing w:line="360" w:lineRule="auto"/>
        <w:ind w:right="240"/>
        <w:jc w:val="center"/>
        <w:rPr>
          <w:sz w:val="24"/>
          <w:szCs w:val="24"/>
        </w:rPr>
      </w:pPr>
      <w:r>
        <w:rPr>
          <w:rFonts w:hint="eastAsia"/>
          <w:sz w:val="24"/>
          <w:szCs w:val="24"/>
          <w:lang w:val="en-US"/>
        </w:rPr>
        <w:t xml:space="preserve">               </w:t>
      </w:r>
      <w:r>
        <w:rPr>
          <w:rFonts w:hint="eastAsia"/>
          <w:sz w:val="24"/>
          <w:szCs w:val="24"/>
        </w:rPr>
        <w:t xml:space="preserve">投标人法定代表人（或授权代表）签字：       </w:t>
      </w:r>
    </w:p>
    <w:p>
      <w:pPr>
        <w:wordWrap w:val="0"/>
        <w:spacing w:line="360" w:lineRule="auto"/>
        <w:ind w:right="480" w:firstLine="3720" w:firstLineChars="1550"/>
        <w:rPr>
          <w:sz w:val="24"/>
          <w:szCs w:val="24"/>
        </w:rPr>
      </w:pPr>
      <w:r>
        <w:rPr>
          <w:rFonts w:hint="eastAsia"/>
          <w:sz w:val="24"/>
          <w:szCs w:val="24"/>
        </w:rPr>
        <w:t xml:space="preserve">投标人名称（加盖公章）：     </w:t>
      </w:r>
    </w:p>
    <w:p>
      <w:pPr>
        <w:spacing w:line="360" w:lineRule="auto"/>
        <w:ind w:firstLine="3720" w:firstLineChars="1550"/>
        <w:rPr>
          <w:sz w:val="24"/>
          <w:szCs w:val="24"/>
        </w:rPr>
      </w:pPr>
      <w:r>
        <w:rPr>
          <w:rFonts w:hint="eastAsia"/>
          <w:sz w:val="24"/>
          <w:szCs w:val="24"/>
        </w:rPr>
        <w:t>承诺日期：      年    月    日</w:t>
      </w:r>
    </w:p>
    <w:p>
      <w:pPr>
        <w:spacing w:line="360" w:lineRule="auto"/>
        <w:ind w:right="458"/>
        <w:jc w:val="center"/>
        <w:rPr>
          <w:b/>
          <w:sz w:val="32"/>
        </w:rPr>
      </w:pPr>
    </w:p>
    <w:p>
      <w:pPr>
        <w:rPr>
          <w:b/>
          <w:sz w:val="32"/>
        </w:rPr>
      </w:pPr>
      <w:r>
        <w:rPr>
          <w:rFonts w:hint="eastAsia"/>
          <w:b/>
          <w:sz w:val="32"/>
        </w:rPr>
        <w:br w:type="page"/>
      </w:r>
    </w:p>
    <w:p>
      <w:pPr>
        <w:spacing w:line="360" w:lineRule="auto"/>
        <w:ind w:right="458"/>
        <w:jc w:val="center"/>
        <w:rPr>
          <w:b/>
          <w:sz w:val="32"/>
        </w:rPr>
      </w:pPr>
      <w:r>
        <w:rPr>
          <w:rFonts w:hint="eastAsia"/>
          <w:b/>
          <w:sz w:val="32"/>
        </w:rPr>
        <w:t>十二、监理大纲</w:t>
      </w:r>
    </w:p>
    <w:p>
      <w:pPr>
        <w:snapToGrid w:val="0"/>
        <w:spacing w:line="360" w:lineRule="auto"/>
        <w:rPr>
          <w:bCs/>
          <w:sz w:val="24"/>
          <w:szCs w:val="24"/>
        </w:rPr>
      </w:pPr>
      <w:r>
        <w:rPr>
          <w:rFonts w:hint="eastAsia"/>
          <w:bCs/>
          <w:sz w:val="24"/>
          <w:szCs w:val="24"/>
        </w:rPr>
        <w:t xml:space="preserve">监理大纲应包括（但不限于）下列内容（投标单位可根据评分表自行增加或调整内容）： </w:t>
      </w:r>
    </w:p>
    <w:p>
      <w:pPr>
        <w:snapToGrid w:val="0"/>
        <w:spacing w:line="360" w:lineRule="auto"/>
        <w:ind w:firstLine="567" w:firstLineChars="270"/>
        <w:rPr>
          <w:bCs/>
          <w:sz w:val="21"/>
          <w:szCs w:val="21"/>
        </w:rPr>
      </w:pPr>
      <w:r>
        <w:rPr>
          <w:rFonts w:hint="eastAsia"/>
          <w:bCs/>
          <w:sz w:val="21"/>
          <w:szCs w:val="21"/>
        </w:rPr>
        <w:t>一、监理工程概况；</w:t>
      </w:r>
    </w:p>
    <w:p>
      <w:pPr>
        <w:snapToGrid w:val="0"/>
        <w:spacing w:line="360" w:lineRule="auto"/>
        <w:ind w:firstLine="567" w:firstLineChars="270"/>
        <w:rPr>
          <w:bCs/>
          <w:sz w:val="21"/>
          <w:szCs w:val="21"/>
        </w:rPr>
      </w:pPr>
      <w:r>
        <w:rPr>
          <w:rFonts w:hint="eastAsia"/>
          <w:bCs/>
          <w:sz w:val="21"/>
          <w:szCs w:val="21"/>
        </w:rPr>
        <w:t>二、监理范围与内容、监理依据与工作目标；</w:t>
      </w:r>
    </w:p>
    <w:p>
      <w:pPr>
        <w:snapToGrid w:val="0"/>
        <w:spacing w:line="360" w:lineRule="auto"/>
        <w:ind w:firstLine="567" w:firstLineChars="270"/>
        <w:rPr>
          <w:bCs/>
          <w:sz w:val="21"/>
          <w:szCs w:val="21"/>
        </w:rPr>
      </w:pPr>
      <w:r>
        <w:rPr>
          <w:rFonts w:hint="eastAsia"/>
          <w:bCs/>
          <w:sz w:val="21"/>
          <w:szCs w:val="21"/>
        </w:rPr>
        <w:t>三、监理机构设置与岗位职责；</w:t>
      </w:r>
    </w:p>
    <w:p>
      <w:pPr>
        <w:snapToGrid w:val="0"/>
        <w:spacing w:line="360" w:lineRule="auto"/>
        <w:ind w:firstLine="567" w:firstLineChars="270"/>
        <w:rPr>
          <w:bCs/>
          <w:sz w:val="21"/>
          <w:szCs w:val="21"/>
        </w:rPr>
      </w:pPr>
      <w:r>
        <w:rPr>
          <w:rFonts w:hint="eastAsia"/>
          <w:bCs/>
          <w:sz w:val="21"/>
          <w:szCs w:val="21"/>
        </w:rPr>
        <w:t>四、监理工作程序、方法和制度；</w:t>
      </w:r>
    </w:p>
    <w:p>
      <w:pPr>
        <w:snapToGrid w:val="0"/>
        <w:spacing w:line="360" w:lineRule="auto"/>
        <w:ind w:firstLine="567" w:firstLineChars="270"/>
        <w:rPr>
          <w:bCs/>
          <w:sz w:val="21"/>
          <w:szCs w:val="21"/>
        </w:rPr>
      </w:pPr>
      <w:r>
        <w:rPr>
          <w:rFonts w:hint="eastAsia"/>
          <w:bCs/>
          <w:sz w:val="21"/>
          <w:szCs w:val="21"/>
        </w:rPr>
        <w:t>五、质量控制措施；</w:t>
      </w:r>
    </w:p>
    <w:p>
      <w:pPr>
        <w:snapToGrid w:val="0"/>
        <w:spacing w:line="360" w:lineRule="auto"/>
        <w:ind w:firstLine="567" w:firstLineChars="270"/>
        <w:rPr>
          <w:bCs/>
          <w:sz w:val="21"/>
          <w:szCs w:val="21"/>
        </w:rPr>
      </w:pPr>
      <w:r>
        <w:rPr>
          <w:rFonts w:hint="eastAsia"/>
          <w:bCs/>
          <w:sz w:val="21"/>
          <w:szCs w:val="21"/>
        </w:rPr>
        <w:t xml:space="preserve">六、进度控制措施； </w:t>
      </w:r>
    </w:p>
    <w:p>
      <w:pPr>
        <w:snapToGrid w:val="0"/>
        <w:spacing w:line="360" w:lineRule="auto"/>
        <w:ind w:firstLine="567" w:firstLineChars="270"/>
        <w:rPr>
          <w:bCs/>
          <w:sz w:val="21"/>
          <w:szCs w:val="21"/>
        </w:rPr>
      </w:pPr>
      <w:r>
        <w:rPr>
          <w:rFonts w:hint="eastAsia"/>
          <w:bCs/>
          <w:sz w:val="21"/>
          <w:szCs w:val="21"/>
        </w:rPr>
        <w:t>七、造价控制措施；</w:t>
      </w:r>
    </w:p>
    <w:p>
      <w:pPr>
        <w:snapToGrid w:val="0"/>
        <w:spacing w:line="360" w:lineRule="auto"/>
        <w:ind w:firstLine="567" w:firstLineChars="270"/>
        <w:rPr>
          <w:bCs/>
          <w:sz w:val="21"/>
          <w:szCs w:val="21"/>
        </w:rPr>
      </w:pPr>
      <w:r>
        <w:rPr>
          <w:rFonts w:hint="eastAsia"/>
          <w:bCs/>
          <w:sz w:val="21"/>
          <w:szCs w:val="21"/>
        </w:rPr>
        <w:t>八、安全、环保控制措施；</w:t>
      </w:r>
    </w:p>
    <w:p>
      <w:pPr>
        <w:snapToGrid w:val="0"/>
        <w:spacing w:line="360" w:lineRule="auto"/>
        <w:ind w:firstLine="567" w:firstLineChars="270"/>
        <w:rPr>
          <w:bCs/>
          <w:sz w:val="21"/>
          <w:szCs w:val="21"/>
        </w:rPr>
      </w:pPr>
      <w:r>
        <w:rPr>
          <w:rFonts w:hint="eastAsia"/>
          <w:bCs/>
          <w:sz w:val="21"/>
          <w:szCs w:val="21"/>
        </w:rPr>
        <w:t>九、合同、信息管理方案；</w:t>
      </w:r>
    </w:p>
    <w:p>
      <w:pPr>
        <w:snapToGrid w:val="0"/>
        <w:spacing w:line="360" w:lineRule="auto"/>
        <w:ind w:firstLine="567" w:firstLineChars="270"/>
        <w:rPr>
          <w:bCs/>
          <w:sz w:val="21"/>
          <w:szCs w:val="21"/>
        </w:rPr>
      </w:pPr>
      <w:r>
        <w:rPr>
          <w:rFonts w:hint="eastAsia"/>
          <w:bCs/>
          <w:sz w:val="21"/>
          <w:szCs w:val="21"/>
        </w:rPr>
        <w:t>十、组织协调内容及措施；</w:t>
      </w:r>
    </w:p>
    <w:p>
      <w:pPr>
        <w:snapToGrid w:val="0"/>
        <w:spacing w:line="360" w:lineRule="auto"/>
        <w:ind w:firstLine="567" w:firstLineChars="270"/>
        <w:rPr>
          <w:bCs/>
          <w:sz w:val="21"/>
          <w:szCs w:val="21"/>
        </w:rPr>
      </w:pPr>
      <w:r>
        <w:rPr>
          <w:rFonts w:hint="eastAsia"/>
          <w:bCs/>
          <w:sz w:val="21"/>
          <w:szCs w:val="21"/>
        </w:rPr>
        <w:t>十一、重点难点监控措施；</w:t>
      </w:r>
    </w:p>
    <w:p>
      <w:pPr>
        <w:snapToGrid w:val="0"/>
        <w:spacing w:line="360" w:lineRule="auto"/>
        <w:ind w:firstLine="567" w:firstLineChars="270"/>
        <w:rPr>
          <w:bCs/>
          <w:sz w:val="21"/>
          <w:szCs w:val="21"/>
        </w:rPr>
      </w:pPr>
      <w:r>
        <w:rPr>
          <w:rFonts w:hint="eastAsia"/>
          <w:bCs/>
          <w:sz w:val="21"/>
          <w:szCs w:val="21"/>
        </w:rPr>
        <w:t>十二、合理化建议。</w:t>
      </w:r>
    </w:p>
    <w:p>
      <w:pPr>
        <w:snapToGrid w:val="0"/>
        <w:spacing w:line="360" w:lineRule="auto"/>
        <w:ind w:firstLine="567" w:firstLineChars="270"/>
        <w:rPr>
          <w:bCs/>
          <w:sz w:val="21"/>
          <w:szCs w:val="21"/>
        </w:rPr>
      </w:pPr>
      <w:r>
        <w:rPr>
          <w:rFonts w:hint="eastAsia"/>
          <w:bCs/>
          <w:sz w:val="21"/>
          <w:szCs w:val="21"/>
        </w:rPr>
        <w:t>十三、工程验收、移交、保修的管理；</w:t>
      </w:r>
    </w:p>
    <w:p>
      <w:pPr>
        <w:snapToGrid w:val="0"/>
        <w:spacing w:line="360" w:lineRule="auto"/>
        <w:ind w:firstLine="567" w:firstLineChars="270"/>
        <w:rPr>
          <w:bCs/>
          <w:sz w:val="21"/>
          <w:szCs w:val="21"/>
        </w:rPr>
      </w:pPr>
      <w:r>
        <w:rPr>
          <w:rFonts w:hint="eastAsia"/>
          <w:bCs/>
          <w:sz w:val="21"/>
          <w:szCs w:val="21"/>
        </w:rPr>
        <w:t>十四、工程进度款、工程结算的管理。</w:t>
      </w:r>
    </w:p>
    <w:p>
      <w:pPr>
        <w:snapToGrid w:val="0"/>
        <w:spacing w:line="360" w:lineRule="auto"/>
        <w:ind w:firstLine="567" w:firstLineChars="270"/>
        <w:rPr>
          <w:bCs/>
          <w:sz w:val="21"/>
          <w:szCs w:val="21"/>
        </w:rPr>
      </w:pPr>
      <w:r>
        <w:rPr>
          <w:rFonts w:hint="eastAsia"/>
          <w:bCs/>
          <w:sz w:val="21"/>
          <w:szCs w:val="21"/>
        </w:rPr>
        <w:t>十五、会议制度。</w:t>
      </w:r>
    </w:p>
    <w:p>
      <w:pPr>
        <w:snapToGrid w:val="0"/>
        <w:spacing w:line="360" w:lineRule="auto"/>
        <w:rPr>
          <w:bCs/>
          <w:sz w:val="24"/>
          <w:szCs w:val="24"/>
        </w:rPr>
        <w:sectPr>
          <w:pgSz w:w="12240" w:h="15840"/>
          <w:pgMar w:top="1400" w:right="1100" w:bottom="1120" w:left="1560" w:header="0" w:footer="841" w:gutter="0"/>
          <w:cols w:space="720" w:num="1"/>
        </w:sectPr>
      </w:pPr>
    </w:p>
    <w:p>
      <w:pPr>
        <w:spacing w:line="360" w:lineRule="auto"/>
        <w:ind w:right="457" w:firstLine="2891" w:firstLineChars="900"/>
        <w:jc w:val="both"/>
        <w:rPr>
          <w:b/>
          <w:sz w:val="32"/>
        </w:rPr>
      </w:pPr>
      <w:bookmarkStart w:id="65" w:name="_bookmark194"/>
      <w:bookmarkEnd w:id="65"/>
      <w:r>
        <w:rPr>
          <w:rFonts w:hint="eastAsia"/>
          <w:b/>
          <w:sz w:val="32"/>
        </w:rPr>
        <w:t>十三、其他资料</w:t>
      </w:r>
    </w:p>
    <w:p>
      <w:pPr>
        <w:spacing w:line="360" w:lineRule="auto"/>
        <w:ind w:right="457"/>
        <w:jc w:val="center"/>
        <w:rPr>
          <w:b/>
          <w:sz w:val="32"/>
        </w:rPr>
      </w:pPr>
      <w:r>
        <w:rPr>
          <w:rFonts w:hint="eastAsia"/>
        </w:rPr>
        <w:t>投标人认为有必要提交的其他资料，格式自定。</w:t>
      </w:r>
    </w:p>
    <w:sectPr>
      <w:pgSz w:w="12240" w:h="15840"/>
      <w:pgMar w:top="1400" w:right="1100" w:bottom="1120" w:left="1560" w:header="0" w:footer="8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书宋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r>
      <w:rPr>
        <w:sz w:val="12"/>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mju8kBAACe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pbl&#10;6l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iaO7yQEAAJ4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r>
      <w:rPr>
        <w:sz w:val="12"/>
        <w:lang w:val="en-US" w:bidi="ar-SA"/>
      </w:rPr>
      <mc:AlternateContent>
        <mc:Choice Requires="wps">
          <w:drawing>
            <wp:anchor distT="0" distB="0" distL="114300" distR="114300" simplePos="0" relativeHeight="251660288" behindDoc="0" locked="0" layoutInCell="1" allowOverlap="1">
              <wp:simplePos x="0" y="0"/>
              <wp:positionH relativeFrom="margin">
                <wp:posOffset>3008630</wp:posOffset>
              </wp:positionH>
              <wp:positionV relativeFrom="paragraph">
                <wp:posOffset>-635</wp:posOffset>
              </wp:positionV>
              <wp:extent cx="349885" cy="19558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49857" cy="195663"/>
                      </a:xfrm>
                      <a:prstGeom prst="rect">
                        <a:avLst/>
                      </a:prstGeom>
                      <a:noFill/>
                      <a:ln>
                        <a:noFill/>
                      </a:ln>
                      <a:effectLst/>
                    </wps:spPr>
                    <wps:txbx>
                      <w:txbxContent>
                        <w:p>
                          <w:pPr>
                            <w:pStyle w:val="15"/>
                          </w:pPr>
                          <w:r>
                            <w:fldChar w:fldCharType="begin"/>
                          </w:r>
                          <w:r>
                            <w:instrText xml:space="preserve"> PAGE  \* MERGEFORMAT </w:instrText>
                          </w:r>
                          <w:r>
                            <w:fldChar w:fldCharType="separate"/>
                          </w:r>
                          <w:r>
                            <w:t>2</w:t>
                          </w:r>
                          <w:r>
                            <w:fldChar w:fldCharType="end"/>
                          </w:r>
                        </w:p>
                      </w:txbxContent>
                    </wps:txbx>
                    <wps:bodyPr wrap="square" lIns="0" tIns="0" rIns="0" bIns="0">
                      <a:noAutofit/>
                    </wps:bodyPr>
                  </wps:wsp>
                </a:graphicData>
              </a:graphic>
            </wp:anchor>
          </w:drawing>
        </mc:Choice>
        <mc:Fallback>
          <w:pict>
            <v:shape id="文本框 1025" o:spid="_x0000_s1026" o:spt="202" type="#_x0000_t202" style="position:absolute;left:0pt;margin-left:236.9pt;margin-top:-0.05pt;height:15.4pt;width:27.55pt;mso-position-horizontal-relative:margin;z-index:251660288;mso-width-relative:page;mso-height-relative:page;" filled="f" stroked="f" coordsize="21600,21600" o:gfxdata="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PXXf2AAAAAgBAAAPAAAAAAAAAAEAIAAAACIA&#10;AABkcnMvZG93bnJldi54bWxQSwECFAAUAAAACACHTuJAP0DLjtABAACeAwAADgAAAAAAAAABACAA&#10;AAAnAQAAZHJzL2Uyb0RvYy54bWxQSwUGAAAAAAYABgBZAQAAaQUAAAAA&#10;">
              <v:fill on="f" focussize="0,0"/>
              <v:stroke on="f"/>
              <v:imagedata o:title=""/>
              <o:lock v:ext="edit" aspectratio="f"/>
              <v:textbox inset="0mm,0mm,0mm,0mm">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4D5C3"/>
    <w:multiLevelType w:val="singleLevel"/>
    <w:tmpl w:val="8C34D5C3"/>
    <w:lvl w:ilvl="0" w:tentative="0">
      <w:start w:val="1"/>
      <w:numFmt w:val="decimal"/>
      <w:suff w:val="space"/>
      <w:lvlText w:val="%1."/>
      <w:lvlJc w:val="left"/>
    </w:lvl>
  </w:abstractNum>
  <w:abstractNum w:abstractNumId="1">
    <w:nsid w:val="D7D140E4"/>
    <w:multiLevelType w:val="multilevel"/>
    <w:tmpl w:val="D7D140E4"/>
    <w:lvl w:ilvl="0" w:tentative="0">
      <w:start w:val="1"/>
      <w:numFmt w:val="decimal"/>
      <w:lvlText w:val="%1."/>
      <w:lvlJc w:val="left"/>
      <w:pPr>
        <w:ind w:left="924" w:hanging="264"/>
      </w:pPr>
      <w:rPr>
        <w:rFonts w:hint="default" w:ascii="宋体" w:hAnsi="宋体" w:eastAsia="宋体" w:cs="宋体"/>
        <w:w w:val="100"/>
        <w:sz w:val="24"/>
        <w:szCs w:val="24"/>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2">
    <w:nsid w:val="DB318FCD"/>
    <w:multiLevelType w:val="singleLevel"/>
    <w:tmpl w:val="DB318FCD"/>
    <w:lvl w:ilvl="0" w:tentative="0">
      <w:start w:val="1"/>
      <w:numFmt w:val="decimal"/>
      <w:suff w:val="nothing"/>
      <w:lvlText w:val="（%1）"/>
      <w:lvlJc w:val="left"/>
    </w:lvl>
  </w:abstractNum>
  <w:abstractNum w:abstractNumId="3">
    <w:nsid w:val="ECDE0E89"/>
    <w:multiLevelType w:val="singleLevel"/>
    <w:tmpl w:val="ECDE0E89"/>
    <w:lvl w:ilvl="0" w:tentative="0">
      <w:start w:val="1"/>
      <w:numFmt w:val="chineseCounting"/>
      <w:suff w:val="space"/>
      <w:lvlText w:val="第%1章"/>
      <w:lvlJc w:val="left"/>
      <w:rPr>
        <w:rFonts w:hint="eastAsia"/>
      </w:rPr>
    </w:lvl>
  </w:abstractNum>
  <w:abstractNum w:abstractNumId="4">
    <w:nsid w:val="F0E89278"/>
    <w:multiLevelType w:val="multilevel"/>
    <w:tmpl w:val="F0E89278"/>
    <w:lvl w:ilvl="0" w:tentative="0">
      <w:start w:val="1"/>
      <w:numFmt w:val="decimal"/>
      <w:lvlText w:val="%1."/>
      <w:lvlJc w:val="left"/>
      <w:pPr>
        <w:ind w:left="924" w:hanging="264"/>
      </w:pPr>
      <w:rPr>
        <w:rFonts w:hint="default" w:ascii="宋体" w:hAnsi="宋体" w:eastAsia="宋体" w:cs="宋体"/>
        <w:w w:val="100"/>
        <w:sz w:val="24"/>
        <w:szCs w:val="24"/>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5">
    <w:nsid w:val="0709FD3E"/>
    <w:multiLevelType w:val="multilevel"/>
    <w:tmpl w:val="0709FD3E"/>
    <w:lvl w:ilvl="0" w:tentative="0">
      <w:start w:val="1"/>
      <w:numFmt w:val="decimal"/>
      <w:lvlText w:val="%1."/>
      <w:lvlJc w:val="left"/>
      <w:pPr>
        <w:ind w:left="924" w:hanging="264"/>
      </w:pPr>
      <w:rPr>
        <w:rFonts w:hint="default" w:ascii="宋体" w:hAnsi="宋体" w:eastAsia="宋体" w:cs="宋体"/>
        <w:w w:val="100"/>
        <w:sz w:val="24"/>
        <w:szCs w:val="24"/>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6">
    <w:nsid w:val="0CEF100B"/>
    <w:multiLevelType w:val="multilevel"/>
    <w:tmpl w:val="0CEF100B"/>
    <w:lvl w:ilvl="0" w:tentative="0">
      <w:start w:val="1"/>
      <w:numFmt w:val="decimal"/>
      <w:lvlText w:val="（%1）"/>
      <w:lvlJc w:val="left"/>
      <w:pPr>
        <w:ind w:left="1189" w:hanging="529"/>
      </w:pPr>
      <w:rPr>
        <w:rFonts w:hint="default" w:ascii="宋体" w:hAnsi="宋体" w:eastAsia="宋体" w:cs="宋体"/>
        <w:spacing w:val="-3"/>
        <w:w w:val="100"/>
        <w:sz w:val="24"/>
        <w:szCs w:val="24"/>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7">
    <w:nsid w:val="23E97754"/>
    <w:multiLevelType w:val="multilevel"/>
    <w:tmpl w:val="23E97754"/>
    <w:lvl w:ilvl="0" w:tentative="0">
      <w:start w:val="1"/>
      <w:numFmt w:val="decimal"/>
      <w:lvlText w:val="%1."/>
      <w:lvlJc w:val="left"/>
      <w:pPr>
        <w:ind w:left="924" w:hanging="264"/>
      </w:pPr>
      <w:rPr>
        <w:rFonts w:hint="default" w:ascii="宋体" w:hAnsi="宋体" w:eastAsia="宋体" w:cs="宋体"/>
        <w:w w:val="100"/>
        <w:sz w:val="24"/>
        <w:szCs w:val="24"/>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8">
    <w:nsid w:val="322D85CA"/>
    <w:multiLevelType w:val="multilevel"/>
    <w:tmpl w:val="322D85CA"/>
    <w:lvl w:ilvl="0" w:tentative="0">
      <w:start w:val="1"/>
      <w:numFmt w:val="decimal"/>
      <w:lvlText w:val="%1."/>
      <w:lvlJc w:val="left"/>
      <w:pPr>
        <w:ind w:left="864" w:hanging="264"/>
      </w:pPr>
      <w:rPr>
        <w:rFonts w:hint="default" w:ascii="宋体" w:hAnsi="宋体" w:eastAsia="宋体" w:cs="宋体"/>
        <w:w w:val="100"/>
        <w:sz w:val="24"/>
        <w:szCs w:val="24"/>
        <w:lang w:val="zh-CN" w:eastAsia="zh-CN" w:bidi="zh-CN"/>
      </w:rPr>
    </w:lvl>
    <w:lvl w:ilvl="1" w:tentative="0">
      <w:start w:val="0"/>
      <w:numFmt w:val="bullet"/>
      <w:lvlText w:val="•"/>
      <w:lvlJc w:val="left"/>
      <w:pPr>
        <w:ind w:left="1732" w:hanging="264"/>
      </w:pPr>
      <w:rPr>
        <w:rFonts w:hint="default"/>
        <w:lang w:val="zh-CN" w:eastAsia="zh-CN" w:bidi="zh-CN"/>
      </w:rPr>
    </w:lvl>
    <w:lvl w:ilvl="2" w:tentative="0">
      <w:start w:val="0"/>
      <w:numFmt w:val="bullet"/>
      <w:lvlText w:val="•"/>
      <w:lvlJc w:val="left"/>
      <w:pPr>
        <w:ind w:left="2604" w:hanging="264"/>
      </w:pPr>
      <w:rPr>
        <w:rFonts w:hint="default"/>
        <w:lang w:val="zh-CN" w:eastAsia="zh-CN" w:bidi="zh-CN"/>
      </w:rPr>
    </w:lvl>
    <w:lvl w:ilvl="3" w:tentative="0">
      <w:start w:val="0"/>
      <w:numFmt w:val="bullet"/>
      <w:lvlText w:val="•"/>
      <w:lvlJc w:val="left"/>
      <w:pPr>
        <w:ind w:left="3476" w:hanging="264"/>
      </w:pPr>
      <w:rPr>
        <w:rFonts w:hint="default"/>
        <w:lang w:val="zh-CN" w:eastAsia="zh-CN" w:bidi="zh-CN"/>
      </w:rPr>
    </w:lvl>
    <w:lvl w:ilvl="4" w:tentative="0">
      <w:start w:val="0"/>
      <w:numFmt w:val="bullet"/>
      <w:lvlText w:val="•"/>
      <w:lvlJc w:val="left"/>
      <w:pPr>
        <w:ind w:left="4348" w:hanging="264"/>
      </w:pPr>
      <w:rPr>
        <w:rFonts w:hint="default"/>
        <w:lang w:val="zh-CN" w:eastAsia="zh-CN" w:bidi="zh-CN"/>
      </w:rPr>
    </w:lvl>
    <w:lvl w:ilvl="5" w:tentative="0">
      <w:start w:val="0"/>
      <w:numFmt w:val="bullet"/>
      <w:lvlText w:val="•"/>
      <w:lvlJc w:val="left"/>
      <w:pPr>
        <w:ind w:left="5220" w:hanging="264"/>
      </w:pPr>
      <w:rPr>
        <w:rFonts w:hint="default"/>
        <w:lang w:val="zh-CN" w:eastAsia="zh-CN" w:bidi="zh-CN"/>
      </w:rPr>
    </w:lvl>
    <w:lvl w:ilvl="6" w:tentative="0">
      <w:start w:val="0"/>
      <w:numFmt w:val="bullet"/>
      <w:lvlText w:val="•"/>
      <w:lvlJc w:val="left"/>
      <w:pPr>
        <w:ind w:left="6092" w:hanging="264"/>
      </w:pPr>
      <w:rPr>
        <w:rFonts w:hint="default"/>
        <w:lang w:val="zh-CN" w:eastAsia="zh-CN" w:bidi="zh-CN"/>
      </w:rPr>
    </w:lvl>
    <w:lvl w:ilvl="7" w:tentative="0">
      <w:start w:val="0"/>
      <w:numFmt w:val="bullet"/>
      <w:lvlText w:val="•"/>
      <w:lvlJc w:val="left"/>
      <w:pPr>
        <w:ind w:left="6964" w:hanging="264"/>
      </w:pPr>
      <w:rPr>
        <w:rFonts w:hint="default"/>
        <w:lang w:val="zh-CN" w:eastAsia="zh-CN" w:bidi="zh-CN"/>
      </w:rPr>
    </w:lvl>
    <w:lvl w:ilvl="8" w:tentative="0">
      <w:start w:val="0"/>
      <w:numFmt w:val="bullet"/>
      <w:lvlText w:val="•"/>
      <w:lvlJc w:val="left"/>
      <w:pPr>
        <w:ind w:left="7836" w:hanging="264"/>
      </w:pPr>
      <w:rPr>
        <w:rFonts w:hint="default"/>
        <w:lang w:val="zh-CN" w:eastAsia="zh-CN" w:bidi="zh-CN"/>
      </w:rPr>
    </w:lvl>
  </w:abstractNum>
  <w:abstractNum w:abstractNumId="9">
    <w:nsid w:val="65CD0074"/>
    <w:multiLevelType w:val="multilevel"/>
    <w:tmpl w:val="65CD0074"/>
    <w:lvl w:ilvl="0" w:tentative="0">
      <w:start w:val="1"/>
      <w:numFmt w:val="decimal"/>
      <w:lvlText w:val="%1."/>
      <w:lvlJc w:val="left"/>
      <w:pPr>
        <w:ind w:left="924" w:hanging="264"/>
      </w:pPr>
      <w:rPr>
        <w:rFonts w:hint="default" w:ascii="宋体" w:hAnsi="宋体" w:eastAsia="宋体" w:cs="宋体"/>
        <w:w w:val="100"/>
        <w:sz w:val="24"/>
        <w:szCs w:val="24"/>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num w:numId="1">
    <w:abstractNumId w:val="3"/>
  </w:num>
  <w:num w:numId="2">
    <w:abstractNumId w:val="8"/>
  </w:num>
  <w:num w:numId="3">
    <w:abstractNumId w:val="2"/>
  </w:num>
  <w:num w:numId="4">
    <w:abstractNumId w:val="9"/>
  </w:num>
  <w:num w:numId="5">
    <w:abstractNumId w:val="5"/>
  </w:num>
  <w:num w:numId="6">
    <w:abstractNumId w:val="6"/>
  </w:num>
  <w:num w:numId="7">
    <w:abstractNumId w:val="1"/>
  </w:num>
  <w:num w:numId="8">
    <w:abstractNumId w:val="4"/>
  </w:num>
  <w:num w:numId="9">
    <w:abstractNumId w:val="7"/>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ong April">
    <w15:presenceInfo w15:providerId="Windows Live" w15:userId="b3e6db4ede0358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zMDUwMmE0MWVjMDVjZGYyZjMxNmI3ZDMyNmFkMDMifQ=="/>
  </w:docVars>
  <w:rsids>
    <w:rsidRoot w:val="009F6590"/>
    <w:rsid w:val="0001170D"/>
    <w:rsid w:val="00062014"/>
    <w:rsid w:val="00066492"/>
    <w:rsid w:val="00073717"/>
    <w:rsid w:val="00094FC5"/>
    <w:rsid w:val="000B43DE"/>
    <w:rsid w:val="000C5134"/>
    <w:rsid w:val="000D5FE3"/>
    <w:rsid w:val="000F556D"/>
    <w:rsid w:val="000F6F90"/>
    <w:rsid w:val="00101637"/>
    <w:rsid w:val="00106489"/>
    <w:rsid w:val="00127B10"/>
    <w:rsid w:val="00150BBC"/>
    <w:rsid w:val="00151203"/>
    <w:rsid w:val="00186E6B"/>
    <w:rsid w:val="001877D5"/>
    <w:rsid w:val="001A327E"/>
    <w:rsid w:val="00204197"/>
    <w:rsid w:val="002202DE"/>
    <w:rsid w:val="002209E5"/>
    <w:rsid w:val="00227CB0"/>
    <w:rsid w:val="00250FFC"/>
    <w:rsid w:val="00271570"/>
    <w:rsid w:val="00274859"/>
    <w:rsid w:val="002970E0"/>
    <w:rsid w:val="002A2BC1"/>
    <w:rsid w:val="002A48A7"/>
    <w:rsid w:val="002B3C97"/>
    <w:rsid w:val="002C464B"/>
    <w:rsid w:val="002C4A14"/>
    <w:rsid w:val="003037BB"/>
    <w:rsid w:val="00330B89"/>
    <w:rsid w:val="00334023"/>
    <w:rsid w:val="00345222"/>
    <w:rsid w:val="00363729"/>
    <w:rsid w:val="00367FF1"/>
    <w:rsid w:val="003A5EF7"/>
    <w:rsid w:val="003B3319"/>
    <w:rsid w:val="003B4742"/>
    <w:rsid w:val="00401569"/>
    <w:rsid w:val="004825A1"/>
    <w:rsid w:val="004B7EE9"/>
    <w:rsid w:val="004D1FD0"/>
    <w:rsid w:val="004F24A2"/>
    <w:rsid w:val="0050643E"/>
    <w:rsid w:val="00520C66"/>
    <w:rsid w:val="0052716E"/>
    <w:rsid w:val="005363DD"/>
    <w:rsid w:val="00554EB6"/>
    <w:rsid w:val="00555875"/>
    <w:rsid w:val="0056634F"/>
    <w:rsid w:val="005713C7"/>
    <w:rsid w:val="005C090D"/>
    <w:rsid w:val="005C500A"/>
    <w:rsid w:val="005C5A62"/>
    <w:rsid w:val="005E67B1"/>
    <w:rsid w:val="00616E2F"/>
    <w:rsid w:val="00620EA0"/>
    <w:rsid w:val="00665086"/>
    <w:rsid w:val="00672900"/>
    <w:rsid w:val="006A0E7C"/>
    <w:rsid w:val="006A76D0"/>
    <w:rsid w:val="006A7BD7"/>
    <w:rsid w:val="006B181F"/>
    <w:rsid w:val="006C3EDC"/>
    <w:rsid w:val="006D7721"/>
    <w:rsid w:val="006F1EEF"/>
    <w:rsid w:val="00742A22"/>
    <w:rsid w:val="0075597C"/>
    <w:rsid w:val="00762DFD"/>
    <w:rsid w:val="00797610"/>
    <w:rsid w:val="007A59D0"/>
    <w:rsid w:val="007C3BD1"/>
    <w:rsid w:val="007E14C9"/>
    <w:rsid w:val="007E69CD"/>
    <w:rsid w:val="0080020B"/>
    <w:rsid w:val="00827E3A"/>
    <w:rsid w:val="008724AC"/>
    <w:rsid w:val="008B1368"/>
    <w:rsid w:val="008C6FEA"/>
    <w:rsid w:val="008D1935"/>
    <w:rsid w:val="008E4056"/>
    <w:rsid w:val="00915398"/>
    <w:rsid w:val="00915BF3"/>
    <w:rsid w:val="009333E2"/>
    <w:rsid w:val="009414E6"/>
    <w:rsid w:val="00943324"/>
    <w:rsid w:val="00950503"/>
    <w:rsid w:val="009739E8"/>
    <w:rsid w:val="00976B6C"/>
    <w:rsid w:val="009D4BA0"/>
    <w:rsid w:val="009D4C53"/>
    <w:rsid w:val="009E00F7"/>
    <w:rsid w:val="009F5AB3"/>
    <w:rsid w:val="009F6590"/>
    <w:rsid w:val="00A076B7"/>
    <w:rsid w:val="00A27B18"/>
    <w:rsid w:val="00A66BCE"/>
    <w:rsid w:val="00A769DB"/>
    <w:rsid w:val="00A8276B"/>
    <w:rsid w:val="00A90200"/>
    <w:rsid w:val="00A974D9"/>
    <w:rsid w:val="00AA2872"/>
    <w:rsid w:val="00B07956"/>
    <w:rsid w:val="00B15CC1"/>
    <w:rsid w:val="00B21DF4"/>
    <w:rsid w:val="00B223DA"/>
    <w:rsid w:val="00B22C69"/>
    <w:rsid w:val="00B26FA3"/>
    <w:rsid w:val="00B46135"/>
    <w:rsid w:val="00B52791"/>
    <w:rsid w:val="00B554C2"/>
    <w:rsid w:val="00B904D5"/>
    <w:rsid w:val="00B907D5"/>
    <w:rsid w:val="00BE2404"/>
    <w:rsid w:val="00C249EC"/>
    <w:rsid w:val="00C4224F"/>
    <w:rsid w:val="00C8325E"/>
    <w:rsid w:val="00C83E9C"/>
    <w:rsid w:val="00CC5E54"/>
    <w:rsid w:val="00CE4A40"/>
    <w:rsid w:val="00CF3365"/>
    <w:rsid w:val="00CF6155"/>
    <w:rsid w:val="00D449DB"/>
    <w:rsid w:val="00D521A5"/>
    <w:rsid w:val="00D52A80"/>
    <w:rsid w:val="00D71629"/>
    <w:rsid w:val="00D75193"/>
    <w:rsid w:val="00D8496A"/>
    <w:rsid w:val="00DA39D7"/>
    <w:rsid w:val="00DC4E46"/>
    <w:rsid w:val="00DD1B6C"/>
    <w:rsid w:val="00DF0263"/>
    <w:rsid w:val="00E029C1"/>
    <w:rsid w:val="00E05B48"/>
    <w:rsid w:val="00E3231C"/>
    <w:rsid w:val="00E43782"/>
    <w:rsid w:val="00E50740"/>
    <w:rsid w:val="00E54410"/>
    <w:rsid w:val="00E712B0"/>
    <w:rsid w:val="00E96711"/>
    <w:rsid w:val="00EA3684"/>
    <w:rsid w:val="00EB1241"/>
    <w:rsid w:val="00ED6D9F"/>
    <w:rsid w:val="00EE4E4B"/>
    <w:rsid w:val="00F0351B"/>
    <w:rsid w:val="00F06184"/>
    <w:rsid w:val="00F0719E"/>
    <w:rsid w:val="00F24776"/>
    <w:rsid w:val="00F26575"/>
    <w:rsid w:val="00FA74DC"/>
    <w:rsid w:val="00FA74F4"/>
    <w:rsid w:val="00FC14DD"/>
    <w:rsid w:val="010019A2"/>
    <w:rsid w:val="01762E7D"/>
    <w:rsid w:val="0194452E"/>
    <w:rsid w:val="01A064C7"/>
    <w:rsid w:val="01C42A92"/>
    <w:rsid w:val="02C31023"/>
    <w:rsid w:val="02DA018C"/>
    <w:rsid w:val="03282D6E"/>
    <w:rsid w:val="03B45165"/>
    <w:rsid w:val="041D0905"/>
    <w:rsid w:val="04E43BF8"/>
    <w:rsid w:val="06145DF3"/>
    <w:rsid w:val="065A13BA"/>
    <w:rsid w:val="0695134A"/>
    <w:rsid w:val="06BD432A"/>
    <w:rsid w:val="06DF0666"/>
    <w:rsid w:val="06E30290"/>
    <w:rsid w:val="06FB073A"/>
    <w:rsid w:val="07025650"/>
    <w:rsid w:val="07A57DF0"/>
    <w:rsid w:val="07BC4329"/>
    <w:rsid w:val="07F30E41"/>
    <w:rsid w:val="08390BF9"/>
    <w:rsid w:val="0859648F"/>
    <w:rsid w:val="09356DC5"/>
    <w:rsid w:val="09534D11"/>
    <w:rsid w:val="096376E6"/>
    <w:rsid w:val="09D27E0F"/>
    <w:rsid w:val="0A4641C5"/>
    <w:rsid w:val="0AB47859"/>
    <w:rsid w:val="0B2733C3"/>
    <w:rsid w:val="0B5A0F7B"/>
    <w:rsid w:val="0BB80A6B"/>
    <w:rsid w:val="0C0F51AD"/>
    <w:rsid w:val="0C35402D"/>
    <w:rsid w:val="0C423CB5"/>
    <w:rsid w:val="0CA1342B"/>
    <w:rsid w:val="0D973B36"/>
    <w:rsid w:val="0DB7606F"/>
    <w:rsid w:val="0DF7671C"/>
    <w:rsid w:val="0E286219"/>
    <w:rsid w:val="0E2B569A"/>
    <w:rsid w:val="0E4344E6"/>
    <w:rsid w:val="0E8E65AB"/>
    <w:rsid w:val="0EF7408E"/>
    <w:rsid w:val="0F6201CF"/>
    <w:rsid w:val="10001431"/>
    <w:rsid w:val="10B4474E"/>
    <w:rsid w:val="10DE299A"/>
    <w:rsid w:val="118156B4"/>
    <w:rsid w:val="11C10A51"/>
    <w:rsid w:val="12020BFE"/>
    <w:rsid w:val="120576E3"/>
    <w:rsid w:val="120676C9"/>
    <w:rsid w:val="127B7B31"/>
    <w:rsid w:val="12806406"/>
    <w:rsid w:val="12B46304"/>
    <w:rsid w:val="133A6790"/>
    <w:rsid w:val="138D5C8C"/>
    <w:rsid w:val="13EA5F3E"/>
    <w:rsid w:val="14005CEE"/>
    <w:rsid w:val="141F1EE1"/>
    <w:rsid w:val="1455356B"/>
    <w:rsid w:val="148511D9"/>
    <w:rsid w:val="14C5757B"/>
    <w:rsid w:val="14E2238D"/>
    <w:rsid w:val="15A855CE"/>
    <w:rsid w:val="15B87D80"/>
    <w:rsid w:val="169528F0"/>
    <w:rsid w:val="16AF1A54"/>
    <w:rsid w:val="17933BB8"/>
    <w:rsid w:val="17A617DF"/>
    <w:rsid w:val="18397E11"/>
    <w:rsid w:val="188644B1"/>
    <w:rsid w:val="18F602C8"/>
    <w:rsid w:val="195F2D42"/>
    <w:rsid w:val="196A6198"/>
    <w:rsid w:val="19CB30B0"/>
    <w:rsid w:val="1ABF2E24"/>
    <w:rsid w:val="1AEA2668"/>
    <w:rsid w:val="1AFA2544"/>
    <w:rsid w:val="1AFE356F"/>
    <w:rsid w:val="1B3A3153"/>
    <w:rsid w:val="1C1C5240"/>
    <w:rsid w:val="1C7865F4"/>
    <w:rsid w:val="1C7B6A5F"/>
    <w:rsid w:val="1CA13D9D"/>
    <w:rsid w:val="1CBA5C9C"/>
    <w:rsid w:val="1D2A5848"/>
    <w:rsid w:val="1DDC3B38"/>
    <w:rsid w:val="1F247F42"/>
    <w:rsid w:val="1FE479EE"/>
    <w:rsid w:val="1FEB09B2"/>
    <w:rsid w:val="1FEF7B10"/>
    <w:rsid w:val="205269A2"/>
    <w:rsid w:val="20C556E4"/>
    <w:rsid w:val="217C49CA"/>
    <w:rsid w:val="22882206"/>
    <w:rsid w:val="22961C84"/>
    <w:rsid w:val="22B248D1"/>
    <w:rsid w:val="231F5671"/>
    <w:rsid w:val="23D578DF"/>
    <w:rsid w:val="23DA0456"/>
    <w:rsid w:val="251F6D94"/>
    <w:rsid w:val="252A1B8D"/>
    <w:rsid w:val="253F7037"/>
    <w:rsid w:val="25506F27"/>
    <w:rsid w:val="255A27F5"/>
    <w:rsid w:val="259479E9"/>
    <w:rsid w:val="26551809"/>
    <w:rsid w:val="265708E0"/>
    <w:rsid w:val="26840445"/>
    <w:rsid w:val="2714367E"/>
    <w:rsid w:val="28110AC8"/>
    <w:rsid w:val="2827687A"/>
    <w:rsid w:val="28DD0DC0"/>
    <w:rsid w:val="29080D00"/>
    <w:rsid w:val="296A6396"/>
    <w:rsid w:val="298C2BD9"/>
    <w:rsid w:val="29A769E1"/>
    <w:rsid w:val="29B6036E"/>
    <w:rsid w:val="29BA6F14"/>
    <w:rsid w:val="2A032CDB"/>
    <w:rsid w:val="2A924D25"/>
    <w:rsid w:val="2A9B0686"/>
    <w:rsid w:val="2AA71BFA"/>
    <w:rsid w:val="2AAC68DF"/>
    <w:rsid w:val="2AB75689"/>
    <w:rsid w:val="2ADA0E92"/>
    <w:rsid w:val="2B2F7622"/>
    <w:rsid w:val="2B996092"/>
    <w:rsid w:val="2C744C76"/>
    <w:rsid w:val="2CA844CC"/>
    <w:rsid w:val="2D61014F"/>
    <w:rsid w:val="2D8A00A3"/>
    <w:rsid w:val="2DF2195B"/>
    <w:rsid w:val="2E4D699B"/>
    <w:rsid w:val="2E956C7E"/>
    <w:rsid w:val="2F297B0D"/>
    <w:rsid w:val="2F410637"/>
    <w:rsid w:val="2F604A5B"/>
    <w:rsid w:val="2FBA2AE1"/>
    <w:rsid w:val="2FE207C4"/>
    <w:rsid w:val="306971C1"/>
    <w:rsid w:val="3082703A"/>
    <w:rsid w:val="31505E8D"/>
    <w:rsid w:val="31A10741"/>
    <w:rsid w:val="32773506"/>
    <w:rsid w:val="32993258"/>
    <w:rsid w:val="32DA2C4E"/>
    <w:rsid w:val="331A61FF"/>
    <w:rsid w:val="33E4308B"/>
    <w:rsid w:val="35725E7F"/>
    <w:rsid w:val="35C63761"/>
    <w:rsid w:val="35FA4C0F"/>
    <w:rsid w:val="36415851"/>
    <w:rsid w:val="365E3FC7"/>
    <w:rsid w:val="366C574B"/>
    <w:rsid w:val="36E553CA"/>
    <w:rsid w:val="379E2C8B"/>
    <w:rsid w:val="37F520EF"/>
    <w:rsid w:val="38A05FC8"/>
    <w:rsid w:val="38A722E3"/>
    <w:rsid w:val="391B64AE"/>
    <w:rsid w:val="391E5E73"/>
    <w:rsid w:val="398D21B6"/>
    <w:rsid w:val="3BA05290"/>
    <w:rsid w:val="3BF2488F"/>
    <w:rsid w:val="3C6D6E28"/>
    <w:rsid w:val="3C976F69"/>
    <w:rsid w:val="3CFD4C21"/>
    <w:rsid w:val="3D373021"/>
    <w:rsid w:val="3DEC0798"/>
    <w:rsid w:val="3DFC0A87"/>
    <w:rsid w:val="3E366EC1"/>
    <w:rsid w:val="3E683393"/>
    <w:rsid w:val="3EBD3802"/>
    <w:rsid w:val="3ED92D3E"/>
    <w:rsid w:val="3F0F2AD9"/>
    <w:rsid w:val="3F131F15"/>
    <w:rsid w:val="3FDF6807"/>
    <w:rsid w:val="40307062"/>
    <w:rsid w:val="40C1653F"/>
    <w:rsid w:val="40C21B30"/>
    <w:rsid w:val="40C36392"/>
    <w:rsid w:val="41647224"/>
    <w:rsid w:val="41814051"/>
    <w:rsid w:val="41D807F3"/>
    <w:rsid w:val="42733BF6"/>
    <w:rsid w:val="42DD57D6"/>
    <w:rsid w:val="42E865A9"/>
    <w:rsid w:val="43A656B7"/>
    <w:rsid w:val="448652A9"/>
    <w:rsid w:val="44B86B57"/>
    <w:rsid w:val="44CA37BE"/>
    <w:rsid w:val="454938CB"/>
    <w:rsid w:val="45516687"/>
    <w:rsid w:val="45AF4585"/>
    <w:rsid w:val="46E9309D"/>
    <w:rsid w:val="486D180C"/>
    <w:rsid w:val="48BE1216"/>
    <w:rsid w:val="49170FD0"/>
    <w:rsid w:val="49234BEC"/>
    <w:rsid w:val="497A3F01"/>
    <w:rsid w:val="498542F6"/>
    <w:rsid w:val="4A07796E"/>
    <w:rsid w:val="4A2E578E"/>
    <w:rsid w:val="4A8A0D65"/>
    <w:rsid w:val="4AAA05F0"/>
    <w:rsid w:val="4AF81A73"/>
    <w:rsid w:val="4B8F3198"/>
    <w:rsid w:val="4D5E7A32"/>
    <w:rsid w:val="4D627DFA"/>
    <w:rsid w:val="4D8153BF"/>
    <w:rsid w:val="4D8A4D28"/>
    <w:rsid w:val="4D8E0094"/>
    <w:rsid w:val="4DD95C0E"/>
    <w:rsid w:val="4DDB4FA8"/>
    <w:rsid w:val="4E91022B"/>
    <w:rsid w:val="4EF3162A"/>
    <w:rsid w:val="50055777"/>
    <w:rsid w:val="505841B1"/>
    <w:rsid w:val="508911CB"/>
    <w:rsid w:val="50A50902"/>
    <w:rsid w:val="50F73B65"/>
    <w:rsid w:val="5156435F"/>
    <w:rsid w:val="5189533D"/>
    <w:rsid w:val="520A23C1"/>
    <w:rsid w:val="52572919"/>
    <w:rsid w:val="52736473"/>
    <w:rsid w:val="5294038D"/>
    <w:rsid w:val="53597850"/>
    <w:rsid w:val="53B65679"/>
    <w:rsid w:val="54E21498"/>
    <w:rsid w:val="54ED024A"/>
    <w:rsid w:val="55545420"/>
    <w:rsid w:val="55840764"/>
    <w:rsid w:val="56250239"/>
    <w:rsid w:val="565261A5"/>
    <w:rsid w:val="5670237A"/>
    <w:rsid w:val="577203A1"/>
    <w:rsid w:val="57BA0F2F"/>
    <w:rsid w:val="584E18D2"/>
    <w:rsid w:val="589F0257"/>
    <w:rsid w:val="58D84726"/>
    <w:rsid w:val="58DE054D"/>
    <w:rsid w:val="5938297B"/>
    <w:rsid w:val="59A1080B"/>
    <w:rsid w:val="59CE213F"/>
    <w:rsid w:val="5A59036A"/>
    <w:rsid w:val="5AF33DE4"/>
    <w:rsid w:val="5BF50220"/>
    <w:rsid w:val="5CEF4389"/>
    <w:rsid w:val="5D003BC4"/>
    <w:rsid w:val="5D826197"/>
    <w:rsid w:val="5EAD1EB4"/>
    <w:rsid w:val="5EF9118D"/>
    <w:rsid w:val="5F1E3C06"/>
    <w:rsid w:val="5F242D7A"/>
    <w:rsid w:val="5F291320"/>
    <w:rsid w:val="5F292F68"/>
    <w:rsid w:val="5F850E49"/>
    <w:rsid w:val="5FD04AAD"/>
    <w:rsid w:val="5FD55944"/>
    <w:rsid w:val="600B59F5"/>
    <w:rsid w:val="602F5D3A"/>
    <w:rsid w:val="617A67FC"/>
    <w:rsid w:val="618D5C6B"/>
    <w:rsid w:val="619D4A75"/>
    <w:rsid w:val="61F35244"/>
    <w:rsid w:val="62597072"/>
    <w:rsid w:val="627E2385"/>
    <w:rsid w:val="628404CB"/>
    <w:rsid w:val="637366AE"/>
    <w:rsid w:val="63B035EB"/>
    <w:rsid w:val="64251946"/>
    <w:rsid w:val="64E00A12"/>
    <w:rsid w:val="65832D56"/>
    <w:rsid w:val="66687FFE"/>
    <w:rsid w:val="66BD2757"/>
    <w:rsid w:val="66DE5FC9"/>
    <w:rsid w:val="672B39E4"/>
    <w:rsid w:val="674004CA"/>
    <w:rsid w:val="675475DC"/>
    <w:rsid w:val="684E6C7E"/>
    <w:rsid w:val="6859580C"/>
    <w:rsid w:val="68CE634B"/>
    <w:rsid w:val="68EF4B15"/>
    <w:rsid w:val="69527DB7"/>
    <w:rsid w:val="699A7177"/>
    <w:rsid w:val="69F949F7"/>
    <w:rsid w:val="6A136F29"/>
    <w:rsid w:val="6A2B72A7"/>
    <w:rsid w:val="6AA52A8A"/>
    <w:rsid w:val="6AA62C9C"/>
    <w:rsid w:val="6B43768C"/>
    <w:rsid w:val="6B6825BB"/>
    <w:rsid w:val="6B7D5228"/>
    <w:rsid w:val="6C276B06"/>
    <w:rsid w:val="6CB9396A"/>
    <w:rsid w:val="6CB93DB8"/>
    <w:rsid w:val="6E364F96"/>
    <w:rsid w:val="6E5F44EB"/>
    <w:rsid w:val="6EB944B7"/>
    <w:rsid w:val="6EBA782A"/>
    <w:rsid w:val="6F1761AB"/>
    <w:rsid w:val="6FD20CED"/>
    <w:rsid w:val="70840045"/>
    <w:rsid w:val="71204BF1"/>
    <w:rsid w:val="71213AE5"/>
    <w:rsid w:val="713074BB"/>
    <w:rsid w:val="713B4D68"/>
    <w:rsid w:val="714E16E1"/>
    <w:rsid w:val="71773B7C"/>
    <w:rsid w:val="719E2FA2"/>
    <w:rsid w:val="7218332F"/>
    <w:rsid w:val="72FD4B07"/>
    <w:rsid w:val="7452064E"/>
    <w:rsid w:val="74526B34"/>
    <w:rsid w:val="74FA2B4A"/>
    <w:rsid w:val="75597E96"/>
    <w:rsid w:val="75C061A8"/>
    <w:rsid w:val="7656792B"/>
    <w:rsid w:val="772C41D1"/>
    <w:rsid w:val="775E3800"/>
    <w:rsid w:val="77C72403"/>
    <w:rsid w:val="78592C86"/>
    <w:rsid w:val="78A05E2C"/>
    <w:rsid w:val="78EF1A00"/>
    <w:rsid w:val="790077DD"/>
    <w:rsid w:val="79041518"/>
    <w:rsid w:val="79394D24"/>
    <w:rsid w:val="795C05E7"/>
    <w:rsid w:val="79FE5F3C"/>
    <w:rsid w:val="7A9E4394"/>
    <w:rsid w:val="7AF02C54"/>
    <w:rsid w:val="7B3C6AE9"/>
    <w:rsid w:val="7B6018A2"/>
    <w:rsid w:val="7B681FE9"/>
    <w:rsid w:val="7BA81FAA"/>
    <w:rsid w:val="7BE03F1E"/>
    <w:rsid w:val="7BF623E4"/>
    <w:rsid w:val="7C664AC6"/>
    <w:rsid w:val="7CA51C63"/>
    <w:rsid w:val="7CF76B30"/>
    <w:rsid w:val="7D162B61"/>
    <w:rsid w:val="7D4A21DC"/>
    <w:rsid w:val="7D56134E"/>
    <w:rsid w:val="7D92659B"/>
    <w:rsid w:val="7D993270"/>
    <w:rsid w:val="7DD677E5"/>
    <w:rsid w:val="7DD76462"/>
    <w:rsid w:val="7E7B428D"/>
    <w:rsid w:val="7E7D56F7"/>
    <w:rsid w:val="7F0709B3"/>
    <w:rsid w:val="7F0A050B"/>
    <w:rsid w:val="7F364CFB"/>
    <w:rsid w:val="7F906A84"/>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1" w:semiHidden="0" w:name="toc 2"/>
    <w:lsdException w:qFormat="1" w:unhideWhenUsed="0" w:uiPriority="1"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702" w:lineRule="exact"/>
      <w:ind w:right="457"/>
      <w:jc w:val="center"/>
      <w:outlineLvl w:val="0"/>
    </w:pPr>
    <w:rPr>
      <w:rFonts w:ascii="Microsoft JhengHei" w:hAnsi="Microsoft JhengHei" w:eastAsia="Microsoft JhengHei" w:cs="Microsoft JhengHei"/>
      <w:b/>
      <w:bCs/>
      <w:sz w:val="44"/>
      <w:szCs w:val="44"/>
    </w:rPr>
  </w:style>
  <w:style w:type="paragraph" w:styleId="4">
    <w:name w:val="heading 2"/>
    <w:basedOn w:val="1"/>
    <w:next w:val="1"/>
    <w:qFormat/>
    <w:uiPriority w:val="1"/>
    <w:pPr>
      <w:ind w:left="641" w:hanging="402"/>
      <w:outlineLvl w:val="1"/>
    </w:pPr>
    <w:rPr>
      <w:rFonts w:ascii="Microsoft JhengHei" w:hAnsi="Microsoft JhengHei" w:eastAsia="Microsoft JhengHei" w:cs="Microsoft JhengHei"/>
      <w:b/>
      <w:bCs/>
      <w:sz w:val="32"/>
      <w:szCs w:val="32"/>
    </w:rPr>
  </w:style>
  <w:style w:type="paragraph" w:styleId="5">
    <w:name w:val="heading 3"/>
    <w:basedOn w:val="1"/>
    <w:next w:val="1"/>
    <w:qFormat/>
    <w:uiPriority w:val="1"/>
    <w:pPr>
      <w:ind w:left="866" w:hanging="490"/>
      <w:outlineLvl w:val="2"/>
    </w:pPr>
    <w:rPr>
      <w:sz w:val="28"/>
      <w:szCs w:val="28"/>
    </w:rPr>
  </w:style>
  <w:style w:type="paragraph" w:styleId="6">
    <w:name w:val="heading 4"/>
    <w:basedOn w:val="1"/>
    <w:next w:val="1"/>
    <w:qFormat/>
    <w:uiPriority w:val="1"/>
    <w:pPr>
      <w:ind w:left="240" w:firstLine="479"/>
      <w:outlineLvl w:val="3"/>
    </w:pPr>
    <w:rPr>
      <w:sz w:val="24"/>
      <w:szCs w:val="24"/>
    </w:rPr>
  </w:style>
  <w:style w:type="paragraph" w:styleId="7">
    <w:name w:val="heading 5"/>
    <w:basedOn w:val="1"/>
    <w:next w:val="1"/>
    <w:qFormat/>
    <w:uiPriority w:val="1"/>
    <w:pPr>
      <w:ind w:left="1188" w:hanging="527"/>
      <w:outlineLvl w:val="4"/>
    </w:pPr>
    <w:rPr>
      <w:rFonts w:ascii="Microsoft JhengHei" w:hAnsi="Microsoft JhengHei" w:eastAsia="Microsoft JhengHei" w:cs="Microsoft JhengHei"/>
      <w:b/>
      <w:bCs/>
      <w:sz w:val="21"/>
      <w:szCs w:val="21"/>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1"/>
    <w:pPr>
      <w:spacing w:before="2"/>
      <w:ind w:right="703"/>
      <w:jc w:val="right"/>
    </w:pPr>
    <w:rPr>
      <w:sz w:val="21"/>
      <w:szCs w:val="21"/>
    </w:rPr>
  </w:style>
  <w:style w:type="paragraph" w:styleId="8">
    <w:name w:val="Normal Indent"/>
    <w:basedOn w:val="1"/>
    <w:qFormat/>
    <w:uiPriority w:val="0"/>
    <w:pPr>
      <w:ind w:firstLine="420"/>
    </w:pPr>
    <w:rPr>
      <w:szCs w:val="20"/>
    </w:rPr>
  </w:style>
  <w:style w:type="paragraph" w:styleId="9">
    <w:name w:val="annotation text"/>
    <w:basedOn w:val="1"/>
    <w:link w:val="34"/>
    <w:qFormat/>
    <w:uiPriority w:val="0"/>
  </w:style>
  <w:style w:type="paragraph" w:styleId="10">
    <w:name w:val="Body Text 3"/>
    <w:basedOn w:val="1"/>
    <w:qFormat/>
    <w:uiPriority w:val="0"/>
    <w:pPr>
      <w:spacing w:after="120"/>
    </w:pPr>
    <w:rPr>
      <w:sz w:val="16"/>
      <w:szCs w:val="16"/>
    </w:rPr>
  </w:style>
  <w:style w:type="paragraph" w:styleId="11">
    <w:name w:val="Body Text"/>
    <w:basedOn w:val="1"/>
    <w:qFormat/>
    <w:uiPriority w:val="1"/>
    <w:rPr>
      <w:sz w:val="21"/>
      <w:szCs w:val="21"/>
    </w:rPr>
  </w:style>
  <w:style w:type="paragraph" w:styleId="12">
    <w:name w:val="Body Text Indent"/>
    <w:basedOn w:val="1"/>
    <w:link w:val="38"/>
    <w:qFormat/>
    <w:uiPriority w:val="0"/>
    <w:pPr>
      <w:spacing w:after="120"/>
      <w:ind w:left="420" w:leftChars="200"/>
    </w:pPr>
  </w:style>
  <w:style w:type="paragraph" w:styleId="13">
    <w:name w:val="toc 3"/>
    <w:basedOn w:val="1"/>
    <w:next w:val="1"/>
    <w:qFormat/>
    <w:uiPriority w:val="1"/>
    <w:pPr>
      <w:spacing w:before="2"/>
      <w:ind w:left="1450" w:hanging="370"/>
    </w:pPr>
    <w:rPr>
      <w:sz w:val="21"/>
      <w:szCs w:val="21"/>
    </w:rPr>
  </w:style>
  <w:style w:type="paragraph" w:styleId="14">
    <w:name w:val="Balloon Text"/>
    <w:basedOn w:val="1"/>
    <w:link w:val="31"/>
    <w:qFormat/>
    <w:uiPriority w:val="0"/>
    <w:rPr>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2"/>
    <w:basedOn w:val="1"/>
    <w:next w:val="1"/>
    <w:qFormat/>
    <w:uiPriority w:val="1"/>
    <w:pPr>
      <w:spacing w:before="2"/>
      <w:ind w:left="660"/>
    </w:pPr>
    <w:rPr>
      <w:sz w:val="21"/>
      <w:szCs w:val="21"/>
    </w:rPr>
  </w:style>
  <w:style w:type="paragraph" w:styleId="18">
    <w:name w:val="annotation subject"/>
    <w:basedOn w:val="9"/>
    <w:next w:val="9"/>
    <w:link w:val="35"/>
    <w:qFormat/>
    <w:uiPriority w:val="0"/>
    <w:rPr>
      <w:b/>
      <w:bCs/>
    </w:rPr>
  </w:style>
  <w:style w:type="paragraph" w:styleId="19">
    <w:name w:val="Body Text First Indent"/>
    <w:basedOn w:val="11"/>
    <w:qFormat/>
    <w:uiPriority w:val="0"/>
    <w:pPr>
      <w:spacing w:line="312" w:lineRule="auto"/>
      <w:ind w:firstLine="420"/>
    </w:pPr>
    <w:rPr>
      <w:szCs w:val="24"/>
      <w:lang w:val="en-US"/>
    </w:rPr>
  </w:style>
  <w:style w:type="paragraph" w:styleId="20">
    <w:name w:val="Body Text First Indent 2"/>
    <w:basedOn w:val="12"/>
    <w:link w:val="39"/>
    <w:semiHidden/>
    <w:unhideWhenUsed/>
    <w:qFormat/>
    <w:uiPriority w:val="0"/>
    <w:pPr>
      <w:ind w:firstLine="420" w:firstLineChars="200"/>
    </w:pPr>
  </w:style>
  <w:style w:type="character" w:styleId="23">
    <w:name w:val="annotation reference"/>
    <w:basedOn w:val="22"/>
    <w:qFormat/>
    <w:uiPriority w:val="0"/>
    <w:rPr>
      <w:sz w:val="21"/>
      <w:szCs w:val="21"/>
    </w:rPr>
  </w:style>
  <w:style w:type="paragraph" w:customStyle="1" w:styleId="24">
    <w:name w:val="首行缩进"/>
    <w:basedOn w:val="1"/>
    <w:qFormat/>
    <w:uiPriority w:val="0"/>
    <w:pPr>
      <w:spacing w:line="300" w:lineRule="auto"/>
      <w:ind w:firstLine="420" w:firstLineChars="200"/>
    </w:pPr>
    <w:rPr>
      <w:rFonts w:eastAsia="方正书宋简体"/>
      <w:szCs w:val="20"/>
    </w:rPr>
  </w:style>
  <w:style w:type="paragraph" w:customStyle="1" w:styleId="2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240" w:firstLine="419"/>
    </w:pPr>
  </w:style>
  <w:style w:type="paragraph" w:customStyle="1" w:styleId="28">
    <w:name w:val="Table Paragraph"/>
    <w:basedOn w:val="1"/>
    <w:qFormat/>
    <w:uiPriority w:val="1"/>
  </w:style>
  <w:style w:type="character" w:customStyle="1" w:styleId="29">
    <w:name w:val="font31"/>
    <w:basedOn w:val="22"/>
    <w:qFormat/>
    <w:uiPriority w:val="0"/>
    <w:rPr>
      <w:rFonts w:hint="eastAsia" w:ascii="仿宋" w:hAnsi="仿宋" w:eastAsia="仿宋" w:cs="仿宋"/>
      <w:color w:val="000000"/>
      <w:sz w:val="28"/>
      <w:szCs w:val="28"/>
      <w:u w:val="none"/>
    </w:rPr>
  </w:style>
  <w:style w:type="character" w:customStyle="1" w:styleId="30">
    <w:name w:val="font41"/>
    <w:basedOn w:val="22"/>
    <w:qFormat/>
    <w:uiPriority w:val="0"/>
    <w:rPr>
      <w:rFonts w:hint="eastAsia" w:ascii="仿宋" w:hAnsi="仿宋" w:eastAsia="仿宋" w:cs="仿宋"/>
      <w:b/>
      <w:bCs/>
      <w:color w:val="000000"/>
      <w:sz w:val="28"/>
      <w:szCs w:val="28"/>
      <w:u w:val="none"/>
    </w:rPr>
  </w:style>
  <w:style w:type="character" w:customStyle="1" w:styleId="31">
    <w:name w:val="批注框文本 字符"/>
    <w:basedOn w:val="22"/>
    <w:link w:val="14"/>
    <w:qFormat/>
    <w:uiPriority w:val="0"/>
    <w:rPr>
      <w:rFonts w:ascii="宋体" w:hAnsi="宋体" w:cs="宋体"/>
      <w:sz w:val="18"/>
      <w:szCs w:val="18"/>
      <w:lang w:val="zh-CN" w:bidi="zh-CN"/>
    </w:rPr>
  </w:style>
  <w:style w:type="paragraph" w:customStyle="1" w:styleId="32">
    <w:name w:val="正文文本 31"/>
    <w:basedOn w:val="1"/>
    <w:qFormat/>
    <w:uiPriority w:val="99"/>
    <w:rPr>
      <w:sz w:val="16"/>
      <w:szCs w:val="16"/>
    </w:rPr>
  </w:style>
  <w:style w:type="paragraph" w:customStyle="1" w:styleId="33">
    <w:name w:val="文一"/>
    <w:basedOn w:val="1"/>
    <w:link w:val="43"/>
    <w:qFormat/>
    <w:uiPriority w:val="0"/>
    <w:pPr>
      <w:topLinePunct/>
      <w:adjustRightInd w:val="0"/>
      <w:snapToGrid w:val="0"/>
      <w:spacing w:line="360" w:lineRule="auto"/>
      <w:ind w:firstLine="200" w:firstLineChars="200"/>
    </w:pPr>
    <w:rPr>
      <w:rFonts w:ascii="Times New Roman" w:hAnsi="Times New Roman" w:cs="Times New Roman"/>
      <w:spacing w:val="4"/>
      <w:sz w:val="24"/>
      <w:szCs w:val="24"/>
    </w:rPr>
  </w:style>
  <w:style w:type="character" w:customStyle="1" w:styleId="34">
    <w:name w:val="批注文字 字符"/>
    <w:basedOn w:val="22"/>
    <w:link w:val="9"/>
    <w:qFormat/>
    <w:uiPriority w:val="0"/>
    <w:rPr>
      <w:rFonts w:ascii="宋体" w:hAnsi="宋体" w:cs="宋体"/>
      <w:sz w:val="22"/>
      <w:szCs w:val="22"/>
      <w:lang w:val="zh-CN" w:bidi="zh-CN"/>
    </w:rPr>
  </w:style>
  <w:style w:type="character" w:customStyle="1" w:styleId="35">
    <w:name w:val="批注主题 字符"/>
    <w:basedOn w:val="34"/>
    <w:link w:val="18"/>
    <w:qFormat/>
    <w:uiPriority w:val="0"/>
    <w:rPr>
      <w:rFonts w:ascii="宋体" w:hAnsi="宋体" w:cs="宋体"/>
      <w:b/>
      <w:bCs/>
      <w:sz w:val="22"/>
      <w:szCs w:val="22"/>
      <w:lang w:val="zh-CN" w:bidi="zh-CN"/>
    </w:rPr>
  </w:style>
  <w:style w:type="paragraph" w:customStyle="1" w:styleId="36">
    <w:name w:val="修订1"/>
    <w:hidden/>
    <w:semiHidden/>
    <w:qFormat/>
    <w:uiPriority w:val="99"/>
    <w:rPr>
      <w:rFonts w:ascii="宋体" w:hAnsi="宋体" w:eastAsia="宋体" w:cs="宋体"/>
      <w:sz w:val="22"/>
      <w:szCs w:val="22"/>
      <w:lang w:val="zh-CN" w:eastAsia="zh-CN" w:bidi="zh-CN"/>
    </w:rPr>
  </w:style>
  <w:style w:type="paragraph" w:customStyle="1" w:styleId="37">
    <w:name w:val="文二"/>
    <w:basedOn w:val="1"/>
    <w:qFormat/>
    <w:uiPriority w:val="0"/>
    <w:pPr>
      <w:autoSpaceDE/>
      <w:autoSpaceDN/>
      <w:jc w:val="both"/>
    </w:pPr>
    <w:rPr>
      <w:rFonts w:cs="Calibri"/>
      <w:kern w:val="2"/>
      <w:sz w:val="21"/>
      <w:szCs w:val="21"/>
      <w:lang w:val="en-US" w:bidi="ar-SA"/>
    </w:rPr>
  </w:style>
  <w:style w:type="character" w:customStyle="1" w:styleId="38">
    <w:name w:val="正文文本缩进 字符"/>
    <w:basedOn w:val="22"/>
    <w:link w:val="12"/>
    <w:qFormat/>
    <w:uiPriority w:val="0"/>
    <w:rPr>
      <w:rFonts w:ascii="宋体" w:hAnsi="宋体" w:cs="宋体"/>
      <w:sz w:val="22"/>
      <w:szCs w:val="22"/>
      <w:lang w:val="zh-CN" w:bidi="zh-CN"/>
    </w:rPr>
  </w:style>
  <w:style w:type="character" w:customStyle="1" w:styleId="39">
    <w:name w:val="正文文本首行缩进 2 字符"/>
    <w:basedOn w:val="38"/>
    <w:link w:val="20"/>
    <w:semiHidden/>
    <w:qFormat/>
    <w:uiPriority w:val="0"/>
    <w:rPr>
      <w:rFonts w:ascii="宋体" w:hAnsi="宋体" w:cs="宋体"/>
      <w:sz w:val="22"/>
      <w:szCs w:val="22"/>
      <w:lang w:val="zh-CN" w:bidi="zh-CN"/>
    </w:rPr>
  </w:style>
  <w:style w:type="character" w:customStyle="1" w:styleId="40">
    <w:name w:val="NormalCharacter"/>
    <w:qFormat/>
    <w:uiPriority w:val="0"/>
  </w:style>
  <w:style w:type="paragraph" w:customStyle="1" w:styleId="41">
    <w:name w:val="UserStyle_66"/>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paragraph" w:customStyle="1" w:styleId="42">
    <w:name w:val="修订2"/>
    <w:hidden/>
    <w:semiHidden/>
    <w:qFormat/>
    <w:uiPriority w:val="99"/>
    <w:rPr>
      <w:rFonts w:ascii="宋体" w:hAnsi="宋体" w:eastAsia="宋体" w:cs="宋体"/>
      <w:sz w:val="22"/>
      <w:szCs w:val="22"/>
      <w:lang w:val="zh-CN" w:eastAsia="zh-CN" w:bidi="zh-CN"/>
    </w:rPr>
  </w:style>
  <w:style w:type="character" w:customStyle="1" w:styleId="43">
    <w:name w:val="文一 Char"/>
    <w:link w:val="33"/>
    <w:qFormat/>
    <w:uiPriority w:val="0"/>
    <w:rPr>
      <w:spacing w:val="4"/>
      <w:sz w:val="24"/>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805F4-A2AC-42E5-A0C2-AF0E18C5ECAC}">
  <ds:schemaRefs/>
</ds:datastoreItem>
</file>

<file path=docProps/app.xml><?xml version="1.0" encoding="utf-8"?>
<Properties xmlns="http://schemas.openxmlformats.org/officeDocument/2006/extended-properties" xmlns:vt="http://schemas.openxmlformats.org/officeDocument/2006/docPropsVTypes">
  <Template>Normal</Template>
  <Pages>65</Pages>
  <Words>29254</Words>
  <Characters>30916</Characters>
  <Lines>243</Lines>
  <Paragraphs>68</Paragraphs>
  <TotalTime>6</TotalTime>
  <ScaleCrop>false</ScaleCrop>
  <LinksUpToDate>false</LinksUpToDate>
  <CharactersWithSpaces>31989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2022-09-29T02:18:00Z</dcterms:created>
  <dc:creator>Administrator</dc:creator>
  <cp:lastModifiedBy>陈俊杰</cp:lastModifiedBy>
  <cp:lastPrinted>2022-04-14T06:19:00Z</cp:lastPrinted>
  <dcterms:modified xsi:type="dcterms:W3CDTF">2022-09-29T02:27:26Z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2021-04-02T00:00:00Z</vt:filetime>
  </property>
  <property fmtid="{D5CDD505-2E9C-101B-9397-08002B2CF9AE}" pid="5" name="KSOProductBuildVer">
    <vt:lpwstr>2052-11.1.0.12358</vt:lpwstr>
  </property>
  <property fmtid="{D5CDD505-2E9C-101B-9397-08002B2CF9AE}" pid="6" name="ICV">
    <vt:lpwstr>18327CB1136946488D64D8C00193BBE6</vt:lpwstr>
  </property>
</Properties>
</file>