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left"/>
        <w:rPr>
          <w:rFonts w:asciiTheme="minorEastAsia" w:hAnsiTheme="minorEastAsia" w:eastAsiaTheme="minorEastAsia"/>
          <w:bCs/>
          <w:color w:val="auto"/>
          <w:sz w:val="32"/>
          <w:szCs w:val="32"/>
        </w:rPr>
      </w:pPr>
      <w:bookmarkStart w:id="1040" w:name="_GoBack"/>
      <w:r>
        <w:rPr>
          <w:rFonts w:hint="eastAsia" w:asciiTheme="minorEastAsia" w:hAnsiTheme="minorEastAsia" w:eastAsiaTheme="minorEastAsia"/>
          <w:bCs/>
          <w:color w:val="auto"/>
          <w:sz w:val="30"/>
          <w:szCs w:val="30"/>
        </w:rPr>
        <w:t>GF—</w:t>
      </w:r>
    </w:p>
    <w:p>
      <w:pPr>
        <w:spacing w:line="360" w:lineRule="auto"/>
        <w:ind w:firstLine="5737" w:firstLineChars="1905"/>
        <w:rPr>
          <w:rFonts w:asciiTheme="minorEastAsia" w:hAnsiTheme="minorEastAsia" w:eastAsiaTheme="minorEastAsia"/>
          <w:b/>
          <w:color w:val="auto"/>
          <w:sz w:val="30"/>
          <w:szCs w:val="30"/>
        </w:rPr>
      </w:pPr>
      <w:r>
        <w:rPr>
          <w:rFonts w:hint="eastAsia" w:asciiTheme="minorEastAsia" w:hAnsiTheme="minorEastAsia" w:eastAsiaTheme="minorEastAsia"/>
          <w:b/>
          <w:color w:val="auto"/>
          <w:sz w:val="30"/>
          <w:szCs w:val="30"/>
        </w:rPr>
        <w:t>合同编号：</w:t>
      </w:r>
    </w:p>
    <w:p>
      <w:pPr>
        <w:spacing w:line="360" w:lineRule="auto"/>
        <w:jc w:val="center"/>
        <w:rPr>
          <w:rFonts w:asciiTheme="minorEastAsia" w:hAnsiTheme="minorEastAsia" w:eastAsiaTheme="minorEastAsia"/>
          <w:b/>
          <w:color w:val="auto"/>
          <w:sz w:val="52"/>
          <w:szCs w:val="52"/>
        </w:rPr>
      </w:pPr>
    </w:p>
    <w:p>
      <w:pPr>
        <w:spacing w:line="360" w:lineRule="auto"/>
        <w:jc w:val="center"/>
        <w:rPr>
          <w:rFonts w:asciiTheme="minorEastAsia" w:hAnsiTheme="minorEastAsia" w:eastAsiaTheme="minorEastAsia"/>
          <w:b/>
          <w:color w:val="auto"/>
          <w:sz w:val="72"/>
          <w:szCs w:val="52"/>
        </w:rPr>
      </w:pPr>
      <w:r>
        <w:rPr>
          <w:rFonts w:hint="eastAsia" w:asciiTheme="minorEastAsia" w:hAnsiTheme="minorEastAsia" w:eastAsiaTheme="minorEastAsia"/>
          <w:b/>
          <w:color w:val="auto"/>
          <w:sz w:val="72"/>
          <w:szCs w:val="52"/>
        </w:rPr>
        <w:t>建设工程勘察设计合同</w:t>
      </w:r>
    </w:p>
    <w:p>
      <w:pPr>
        <w:spacing w:line="360" w:lineRule="auto"/>
        <w:jc w:val="center"/>
        <w:rPr>
          <w:rFonts w:asciiTheme="minorEastAsia" w:hAnsiTheme="minorEastAsia" w:eastAsiaTheme="minorEastAsia"/>
          <w:b/>
          <w:color w:val="auto"/>
          <w:sz w:val="72"/>
          <w:szCs w:val="52"/>
        </w:rPr>
      </w:pPr>
      <w:r>
        <w:rPr>
          <w:rFonts w:hint="eastAsia" w:asciiTheme="minorEastAsia" w:hAnsiTheme="minorEastAsia" w:eastAsiaTheme="minorEastAsia"/>
          <w:b/>
          <w:color w:val="auto"/>
          <w:sz w:val="72"/>
          <w:szCs w:val="52"/>
        </w:rPr>
        <w:t>示范文本</w:t>
      </w:r>
    </w:p>
    <w:p>
      <w:pPr>
        <w:spacing w:line="360" w:lineRule="auto"/>
        <w:jc w:val="center"/>
        <w:rPr>
          <w:rFonts w:asciiTheme="minorEastAsia" w:hAnsiTheme="minorEastAsia" w:eastAsiaTheme="minorEastAsia"/>
          <w:b/>
          <w:color w:val="auto"/>
          <w:sz w:val="52"/>
          <w:szCs w:val="52"/>
        </w:rPr>
      </w:pPr>
      <w:r>
        <w:rPr>
          <w:rFonts w:hint="eastAsia" w:asciiTheme="minorEastAsia" w:hAnsiTheme="minorEastAsia" w:eastAsiaTheme="minorEastAsia"/>
          <w:b/>
          <w:color w:val="auto"/>
          <w:sz w:val="72"/>
          <w:szCs w:val="52"/>
        </w:rPr>
        <w:t>（房屋建筑工程）</w:t>
      </w:r>
    </w:p>
    <w:p>
      <w:pPr>
        <w:spacing w:line="360" w:lineRule="auto"/>
        <w:jc w:val="center"/>
        <w:rPr>
          <w:rFonts w:asciiTheme="minorEastAsia" w:hAnsiTheme="minorEastAsia" w:eastAsiaTheme="minorEastAsia"/>
          <w:b/>
          <w:color w:val="auto"/>
          <w:sz w:val="52"/>
          <w:szCs w:val="52"/>
        </w:rPr>
      </w:pPr>
    </w:p>
    <w:p>
      <w:pPr>
        <w:spacing w:line="360" w:lineRule="auto"/>
        <w:rPr>
          <w:rFonts w:asciiTheme="minorEastAsia" w:hAnsiTheme="minorEastAsia" w:eastAsiaTheme="minorEastAsia"/>
          <w:b/>
          <w:color w:val="auto"/>
          <w:sz w:val="28"/>
          <w:szCs w:val="28"/>
        </w:rPr>
      </w:pPr>
    </w:p>
    <w:p>
      <w:pPr>
        <w:spacing w:line="360" w:lineRule="auto"/>
        <w:rPr>
          <w:rFonts w:asciiTheme="minorEastAsia" w:hAnsiTheme="minorEastAsia" w:eastAsiaTheme="minorEastAsia"/>
          <w:b/>
          <w:color w:val="auto"/>
          <w:sz w:val="28"/>
          <w:szCs w:val="28"/>
        </w:rPr>
      </w:pPr>
    </w:p>
    <w:p>
      <w:pPr>
        <w:spacing w:line="360" w:lineRule="auto"/>
        <w:rPr>
          <w:rFonts w:asciiTheme="minorEastAsia" w:hAnsiTheme="minorEastAsia" w:eastAsiaTheme="minorEastAsia"/>
          <w:b/>
          <w:color w:val="auto"/>
          <w:sz w:val="28"/>
          <w:szCs w:val="28"/>
        </w:rPr>
      </w:pPr>
    </w:p>
    <w:p>
      <w:pPr>
        <w:spacing w:line="360" w:lineRule="auto"/>
        <w:ind w:right="3559" w:rightChars="1695" w:firstLine="2100" w:firstLineChars="1000"/>
        <w:jc w:val="distribute"/>
        <w:rPr>
          <w:rFonts w:asciiTheme="minorEastAsia" w:hAnsiTheme="minorEastAsia" w:eastAsiaTheme="minorEastAsia"/>
          <w:b/>
          <w:color w:val="auto"/>
          <w:sz w:val="32"/>
          <w:szCs w:val="28"/>
        </w:rPr>
      </w:pPr>
      <w:r>
        <w:rPr>
          <w:rFonts w:asciiTheme="minorEastAsia" w:hAnsiTheme="minorEastAsia" w:eastAsiaTheme="minorEastAsia"/>
          <w:color w:val="auto"/>
        </w:rPr>
        <w:pict>
          <v:shape id="Text Box 20" o:spid="_x0000_s1026" o:spt="202" type="#_x0000_t202" style="position:absolute;left:0pt;margin-left:281.15pt;margin-top:15.6pt;height:36pt;width:57pt;z-index:251659264;mso-width-relative:page;mso-height-relative:page;" filled="f" stroked="t" coordsize="21600,21600" o:gfxdata="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gLnD/YAAAACgEAAA8AAAAAAAAA&#10;AQAgAAAAIgAAAGRycy9kb3ducmV2LnhtbFBLAQIUABQAAAAIAIdO4kA65MkLEQIAAA8EAAAOAAAA&#10;AAAAAAEAIAAAACcBAABkcnMvZTJvRG9jLnhtbFBLBQYAAAAABgAGAFkBAACqBQAAAAA=&#10;">
            <v:path/>
            <v:fill on="f" focussize="0,0"/>
            <v:stroke color="#FFFFFF" joinstyle="miter"/>
            <v:imagedata o:title=""/>
            <o:lock v:ext="edit"/>
            <v:textbox>
              <w:txbxContent>
                <w:p>
                  <w:pPr>
                    <w:rPr>
                      <w:b/>
                      <w:bCs/>
                      <w:sz w:val="32"/>
                    </w:rPr>
                  </w:pPr>
                  <w:r>
                    <w:rPr>
                      <w:rFonts w:hint="eastAsia"/>
                      <w:b/>
                      <w:bCs/>
                      <w:sz w:val="32"/>
                    </w:rPr>
                    <w:t>制定</w:t>
                  </w:r>
                </w:p>
              </w:txbxContent>
            </v:textbox>
          </v:shape>
        </w:pict>
      </w:r>
      <w:r>
        <w:rPr>
          <w:rFonts w:hint="eastAsia" w:asciiTheme="minorEastAsia" w:hAnsiTheme="minorEastAsia" w:eastAsiaTheme="minorEastAsia"/>
          <w:b/>
          <w:color w:val="auto"/>
          <w:sz w:val="32"/>
          <w:szCs w:val="28"/>
        </w:rPr>
        <w:t>住房和城乡建设部</w:t>
      </w:r>
    </w:p>
    <w:p>
      <w:pPr>
        <w:spacing w:line="360" w:lineRule="auto"/>
        <w:ind w:right="3360" w:rightChars="1600" w:firstLine="2107" w:firstLineChars="656"/>
        <w:rPr>
          <w:rFonts w:asciiTheme="minorEastAsia" w:hAnsiTheme="minorEastAsia" w:eastAsiaTheme="minorEastAsia"/>
          <w:b/>
          <w:color w:val="auto"/>
          <w:sz w:val="32"/>
        </w:rPr>
      </w:pPr>
      <w:r>
        <w:rPr>
          <w:rFonts w:hint="eastAsia" w:asciiTheme="minorEastAsia" w:hAnsiTheme="minorEastAsia" w:eastAsiaTheme="minorEastAsia"/>
          <w:b/>
          <w:color w:val="auto"/>
          <w:sz w:val="32"/>
          <w:szCs w:val="28"/>
        </w:rPr>
        <w:t>国家工商行政管理总局</w:t>
      </w:r>
    </w:p>
    <w:p>
      <w:pPr>
        <w:pStyle w:val="261"/>
        <w:spacing w:before="0" w:line="360" w:lineRule="auto"/>
        <w:jc w:val="center"/>
        <w:rPr>
          <w:rFonts w:asciiTheme="minorEastAsia" w:hAnsiTheme="minorEastAsia" w:eastAsiaTheme="minorEastAsia"/>
          <w:b w:val="0"/>
          <w:color w:val="auto"/>
        </w:rPr>
      </w:pPr>
      <w:r>
        <w:rPr>
          <w:rFonts w:hint="eastAsia" w:asciiTheme="minorEastAsia" w:hAnsiTheme="minorEastAsia" w:eastAsiaTheme="minorEastAsia"/>
          <w:b w:val="0"/>
          <w:color w:val="auto"/>
        </w:rPr>
        <w:br w:type="page"/>
      </w:r>
      <w:bookmarkStart w:id="0" w:name="_Toc296503025"/>
      <w:bookmarkStart w:id="1" w:name="_Toc296890982"/>
    </w:p>
    <w:p>
      <w:pPr>
        <w:pStyle w:val="261"/>
        <w:spacing w:before="0" w:line="360" w:lineRule="auto"/>
        <w:jc w:val="center"/>
        <w:rPr>
          <w:rFonts w:asciiTheme="minorEastAsia" w:hAnsiTheme="minorEastAsia" w:eastAsiaTheme="minorEastAsia"/>
          <w:color w:val="auto"/>
          <w:lang w:val="zh-CN"/>
        </w:rPr>
      </w:pPr>
      <w:r>
        <w:rPr>
          <w:rFonts w:hint="eastAsia" w:asciiTheme="minorEastAsia" w:hAnsiTheme="minorEastAsia" w:eastAsiaTheme="minorEastAsia"/>
          <w:color w:val="auto"/>
          <w:lang w:val="zh-CN"/>
        </w:rPr>
        <w:t>说  明</w:t>
      </w:r>
    </w:p>
    <w:p>
      <w:pPr>
        <w:spacing w:line="360" w:lineRule="auto"/>
        <w:rPr>
          <w:rFonts w:asciiTheme="minorEastAsia" w:hAnsiTheme="minorEastAsia" w:eastAsiaTheme="minorEastAsia"/>
          <w:color w:val="auto"/>
          <w:lang w:val="zh-CN"/>
        </w:rPr>
      </w:pP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为了指导建设工程设计合同当事人的签约行为，维护合同当事人的合法权益，依据《中华人民共和国合同法》、《中华人民共和国建筑法》、《中华人民共和国招标投标法》以及相关法律法规，住房城乡建设部、工商总局对《建设工程设计合同（一）（民用建设工程设计合同）》（GF-2000-0209）进行了修订，制定了《建设工程设计合同示范文本（房屋建筑工程）》（GF-2015-0209）（以下简称《示范文本》）。为了便于合同当事人使用《示范文本》，现就有关问题说明如下：</w:t>
      </w:r>
    </w:p>
    <w:p>
      <w:pPr>
        <w:spacing w:line="360" w:lineRule="auto"/>
        <w:ind w:firstLine="480" w:firstLineChars="200"/>
        <w:rPr>
          <w:rFonts w:asciiTheme="minorEastAsia" w:hAnsiTheme="minorEastAsia" w:eastAsiaTheme="minorEastAsia"/>
          <w:bCs/>
          <w:color w:val="auto"/>
          <w:sz w:val="24"/>
          <w:szCs w:val="24"/>
        </w:rPr>
      </w:pPr>
      <w:r>
        <w:rPr>
          <w:rFonts w:hint="eastAsia" w:asciiTheme="minorEastAsia" w:hAnsiTheme="minorEastAsia" w:eastAsiaTheme="minorEastAsia"/>
          <w:bCs/>
          <w:color w:val="auto"/>
          <w:sz w:val="24"/>
          <w:szCs w:val="24"/>
        </w:rPr>
        <w:t>一、《示范文本》的组成</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《示范文本》由合同协议书、通用合同条款和专用合同条款三部分组成。</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（一）合同协议书</w:t>
      </w:r>
    </w:p>
    <w:p>
      <w:pPr>
        <w:spacing w:line="360" w:lineRule="auto"/>
        <w:ind w:left="147" w:leftChars="70" w:firstLine="360" w:firstLineChars="15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《示范文本》合同协议书集中约定了合同当事人基本的合同权利义务。</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（二）通用合同条款</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通用合同条款是合同当事人根据《中华人民共和国建筑法》、《中华人民共和国合同法》等法律法规的规定，就工程设计的实施及相关事项，对合同当事人的权利义务作出的原则性约定。</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通用合同条款既考虑了现行法律法规对工程建设的有关要求，也考虑了工程设计管理的特殊需要。</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（三）专用合同条款</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专用合同条款是对通用合同条款原则性约定的细化、完善、补充、修改或另行约定的条款。合同当事人可以根据不同建设工程的特点及具体情况，通过双方的谈判、协商对相应的专用合同条款进行修改补充。在使用专用合同条款时，应注意以下事项：</w:t>
      </w:r>
    </w:p>
    <w:p>
      <w:pPr>
        <w:spacing w:line="360" w:lineRule="auto"/>
        <w:ind w:right="25" w:rightChars="12"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1.专用合同条款的编号应与相应的通用合同条款的编号一致；</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2.合同当事人可以通过对专用合同条款的修改，满足具体房屋建筑工程的特殊要求，避免直接修改通用合同条款；</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3.在专用合同条款中有横道线的地方，合同当事人可针对相应的通用合同条款进行细化、完善、补充、修改或另行约定；如无细化、完善、补充、修改或另行约定，则填写“无”或划“/”。</w:t>
      </w:r>
    </w:p>
    <w:p>
      <w:pPr>
        <w:spacing w:line="360" w:lineRule="auto"/>
        <w:ind w:firstLine="480" w:firstLineChars="200"/>
        <w:rPr>
          <w:rFonts w:asciiTheme="minorEastAsia" w:hAnsiTheme="minorEastAsia" w:eastAsiaTheme="minorEastAsia"/>
          <w:b/>
          <w:color w:val="auto"/>
          <w:sz w:val="24"/>
          <w:szCs w:val="24"/>
        </w:rPr>
      </w:pPr>
      <w:r>
        <w:rPr>
          <w:rFonts w:hint="eastAsia" w:asciiTheme="minorEastAsia" w:hAnsiTheme="minorEastAsia" w:eastAsiaTheme="minorEastAsia"/>
          <w:bCs/>
          <w:color w:val="auto"/>
          <w:sz w:val="24"/>
          <w:szCs w:val="24"/>
        </w:rPr>
        <w:t>二、《示范文本》的性质和适用范围</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《示范文本》供合同双方当事人参照使用，可适用于方案设计招标投标、队伍比选等形式下的合同订立。</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示范文本》适用于建设用地规划许可证范围内的建筑物构筑物设计、室外工程设计、民用建筑修建的地下工程设计及住宅小区、工厂厂前区、工厂生活区、小区规划设计及单体设计等，以及所包含的相关专业的设计内容（总平面布置、竖向设计、各类管网管线设计、景观设计、室内外环境设计及建筑装饰、道路、消防、智能、安保、通信、防雷、人防、供配电、照明、废水治理、空调设施、抗震加固等）等工程设计活动。</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br w:type="page"/>
      </w:r>
    </w:p>
    <w:p>
      <w:pPr>
        <w:pStyle w:val="261"/>
        <w:tabs>
          <w:tab w:val="right" w:leader="middleDot" w:pos="8400"/>
        </w:tabs>
        <w:spacing w:before="120" w:after="120" w:line="360" w:lineRule="auto"/>
        <w:jc w:val="center"/>
        <w:rPr>
          <w:rFonts w:asciiTheme="minorEastAsia" w:hAnsiTheme="minorEastAsia" w:eastAsiaTheme="minorEastAsia"/>
          <w:color w:val="auto"/>
        </w:rPr>
      </w:pPr>
      <w:r>
        <w:rPr>
          <w:rFonts w:hint="eastAsia" w:asciiTheme="minorEastAsia" w:hAnsiTheme="minorEastAsia" w:eastAsiaTheme="minorEastAsia"/>
          <w:color w:val="auto"/>
          <w:lang w:val="zh-CN"/>
        </w:rPr>
        <w:t>目  录</w:t>
      </w:r>
    </w:p>
    <w:p>
      <w:pPr>
        <w:pStyle w:val="29"/>
        <w:tabs>
          <w:tab w:val="right" w:leader="middleDot" w:pos="8400"/>
          <w:tab w:val="right" w:leader="dot" w:pos="8810"/>
        </w:tabs>
        <w:spacing w:line="360" w:lineRule="auto"/>
        <w:ind w:left="0" w:leftChars="0" w:firstLine="240" w:firstLineChars="100"/>
        <w:rPr>
          <w:rFonts w:asciiTheme="minorEastAsia" w:hAnsiTheme="minorEastAsia" w:eastAsiaTheme="minorEastAsia"/>
          <w:b/>
          <w:color w:val="auto"/>
          <w:sz w:val="24"/>
          <w:szCs w:val="24"/>
        </w:rPr>
      </w:pPr>
      <w:r>
        <w:rPr>
          <w:rFonts w:hint="eastAsia" w:asciiTheme="minorEastAsia" w:hAnsiTheme="minorEastAsia" w:eastAsiaTheme="minorEastAsia"/>
          <w:color w:val="auto"/>
          <w:sz w:val="24"/>
          <w:szCs w:val="24"/>
        </w:rPr>
        <w:fldChar w:fldCharType="begin"/>
      </w:r>
      <w:r>
        <w:rPr>
          <w:rFonts w:hint="eastAsia" w:asciiTheme="minorEastAsia" w:hAnsiTheme="minorEastAsia" w:eastAsiaTheme="minorEastAsia"/>
          <w:color w:val="auto"/>
          <w:sz w:val="24"/>
          <w:szCs w:val="24"/>
        </w:rPr>
        <w:instrText xml:space="preserve"> TOC \o "1-5" \h \z \u </w:instrText>
      </w:r>
      <w:r>
        <w:rPr>
          <w:rFonts w:hint="eastAsia" w:asciiTheme="minorEastAsia" w:hAnsiTheme="minorEastAsia" w:eastAsiaTheme="minorEastAsia"/>
          <w:color w:val="auto"/>
          <w:sz w:val="24"/>
          <w:szCs w:val="24"/>
        </w:rPr>
        <w:fldChar w:fldCharType="separate"/>
      </w:r>
      <w:r>
        <w:rPr>
          <w:color w:val="auto"/>
        </w:rPr>
        <w:fldChar w:fldCharType="begin"/>
      </w:r>
      <w:r>
        <w:rPr>
          <w:color w:val="auto"/>
        </w:rPr>
        <w:instrText xml:space="preserve"> HYPERLINK \l "_Toc351203480" </w:instrText>
      </w:r>
      <w:r>
        <w:rPr>
          <w:color w:val="auto"/>
        </w:rPr>
        <w:fldChar w:fldCharType="separate"/>
      </w:r>
      <w:r>
        <w:rPr>
          <w:rStyle w:val="64"/>
          <w:rFonts w:hint="eastAsia" w:asciiTheme="minorEastAsia" w:hAnsiTheme="minorEastAsia" w:eastAsiaTheme="minorEastAsia"/>
          <w:b/>
          <w:color w:val="auto"/>
          <w:sz w:val="24"/>
          <w:szCs w:val="24"/>
        </w:rPr>
        <w:t>第一部分 合同协议书</w:t>
      </w:r>
      <w:r>
        <w:rPr>
          <w:rStyle w:val="64"/>
          <w:rFonts w:hint="eastAsia" w:asciiTheme="minorEastAsia" w:hAnsiTheme="minorEastAsia" w:eastAsiaTheme="minorEastAsia"/>
          <w:b/>
          <w:color w:val="auto"/>
          <w:sz w:val="24"/>
          <w:szCs w:val="24"/>
        </w:rPr>
        <w:fldChar w:fldCharType="end"/>
      </w:r>
      <w:r>
        <w:rPr>
          <w:rFonts w:hint="eastAsia" w:asciiTheme="minorEastAsia" w:hAnsiTheme="minorEastAsia" w:eastAsiaTheme="minorEastAsia"/>
          <w:bCs/>
          <w:color w:val="auto"/>
          <w:sz w:val="24"/>
          <w:szCs w:val="24"/>
        </w:rPr>
        <w:tab/>
      </w:r>
      <w:r>
        <w:rPr>
          <w:rFonts w:hint="eastAsia" w:asciiTheme="minorEastAsia" w:hAnsiTheme="minorEastAsia" w:eastAsiaTheme="minorEastAsia"/>
          <w:bCs/>
          <w:color w:val="auto"/>
          <w:sz w:val="24"/>
          <w:szCs w:val="24"/>
        </w:rPr>
        <w:t>7</w:t>
      </w:r>
    </w:p>
    <w:p>
      <w:pPr>
        <w:pStyle w:val="29"/>
        <w:tabs>
          <w:tab w:val="right" w:leader="middleDot" w:pos="8400"/>
          <w:tab w:val="right" w:leader="dot" w:pos="8810"/>
        </w:tabs>
        <w:spacing w:line="360" w:lineRule="auto"/>
        <w:ind w:left="0" w:leftChars="0" w:firstLine="198" w:firstLineChars="99"/>
        <w:rPr>
          <w:rFonts w:asciiTheme="minorEastAsia" w:hAnsiTheme="minorEastAsia" w:eastAsiaTheme="minorEastAsia"/>
          <w:b/>
          <w:color w:val="auto"/>
          <w:sz w:val="24"/>
          <w:szCs w:val="24"/>
        </w:rPr>
      </w:pPr>
      <w:r>
        <w:rPr>
          <w:color w:val="auto"/>
        </w:rPr>
        <w:fldChar w:fldCharType="begin"/>
      </w:r>
      <w:r>
        <w:rPr>
          <w:color w:val="auto"/>
        </w:rPr>
        <w:instrText xml:space="preserve"> HYPERLINK \l "_Toc351203494" </w:instrText>
      </w:r>
      <w:r>
        <w:rPr>
          <w:color w:val="auto"/>
        </w:rPr>
        <w:fldChar w:fldCharType="separate"/>
      </w:r>
      <w:r>
        <w:rPr>
          <w:rStyle w:val="64"/>
          <w:rFonts w:hint="eastAsia" w:asciiTheme="minorEastAsia" w:hAnsiTheme="minorEastAsia" w:eastAsiaTheme="minorEastAsia"/>
          <w:b/>
          <w:color w:val="auto"/>
          <w:sz w:val="24"/>
          <w:szCs w:val="24"/>
        </w:rPr>
        <w:t>第二部分 通用合同</w:t>
      </w:r>
      <w:bookmarkStart w:id="2" w:name="_Hlt278396651"/>
      <w:r>
        <w:rPr>
          <w:rStyle w:val="64"/>
          <w:rFonts w:hint="eastAsia" w:asciiTheme="minorEastAsia" w:hAnsiTheme="minorEastAsia" w:eastAsiaTheme="minorEastAsia"/>
          <w:b/>
          <w:color w:val="auto"/>
          <w:sz w:val="24"/>
          <w:szCs w:val="24"/>
        </w:rPr>
        <w:t>条</w:t>
      </w:r>
      <w:bookmarkEnd w:id="2"/>
      <w:r>
        <w:rPr>
          <w:rStyle w:val="64"/>
          <w:rFonts w:hint="eastAsia" w:asciiTheme="minorEastAsia" w:hAnsiTheme="minorEastAsia" w:eastAsiaTheme="minorEastAsia"/>
          <w:b/>
          <w:color w:val="auto"/>
          <w:sz w:val="24"/>
          <w:szCs w:val="24"/>
        </w:rPr>
        <w:t>款</w:t>
      </w:r>
      <w:r>
        <w:rPr>
          <w:rStyle w:val="64"/>
          <w:rFonts w:hint="eastAsia" w:asciiTheme="minorEastAsia" w:hAnsiTheme="minorEastAsia" w:eastAsiaTheme="minorEastAsia"/>
          <w:b/>
          <w:color w:val="auto"/>
          <w:sz w:val="24"/>
          <w:szCs w:val="24"/>
        </w:rPr>
        <w:fldChar w:fldCharType="end"/>
      </w:r>
      <w:r>
        <w:rPr>
          <w:rFonts w:hint="eastAsia" w:asciiTheme="minorEastAsia" w:hAnsiTheme="minorEastAsia" w:eastAsiaTheme="minorEastAsia"/>
          <w:bCs/>
          <w:color w:val="auto"/>
          <w:sz w:val="24"/>
          <w:szCs w:val="24"/>
        </w:rPr>
        <w:tab/>
      </w:r>
      <w:r>
        <w:rPr>
          <w:rFonts w:hint="eastAsia" w:asciiTheme="minorEastAsia" w:hAnsiTheme="minorEastAsia" w:eastAsiaTheme="minorEastAsia"/>
          <w:bCs/>
          <w:color w:val="auto"/>
          <w:sz w:val="24"/>
          <w:szCs w:val="24"/>
        </w:rPr>
        <w:t>11</w:t>
      </w:r>
    </w:p>
    <w:p>
      <w:pPr>
        <w:pStyle w:val="39"/>
        <w:tabs>
          <w:tab w:val="right" w:leader="middleDot" w:pos="8400"/>
        </w:tabs>
        <w:spacing w:line="360" w:lineRule="auto"/>
        <w:ind w:firstLine="210" w:firstLineChars="100"/>
        <w:rPr>
          <w:rFonts w:asciiTheme="minorEastAsia" w:hAnsiTheme="minorEastAsia" w:eastAsiaTheme="minorEastAsia"/>
          <w:color w:val="auto"/>
          <w:sz w:val="24"/>
          <w:szCs w:val="24"/>
        </w:rPr>
      </w:pPr>
      <w:r>
        <w:rPr>
          <w:color w:val="auto"/>
        </w:rPr>
        <w:fldChar w:fldCharType="begin"/>
      </w:r>
      <w:r>
        <w:rPr>
          <w:color w:val="auto"/>
        </w:rPr>
        <w:instrText xml:space="preserve"> HYPERLINK \l "_Toc351203495" </w:instrText>
      </w:r>
      <w:r>
        <w:rPr>
          <w:color w:val="auto"/>
        </w:rPr>
        <w:fldChar w:fldCharType="separate"/>
      </w:r>
      <w:r>
        <w:rPr>
          <w:rStyle w:val="64"/>
          <w:rFonts w:hint="eastAsia" w:asciiTheme="minorEastAsia" w:hAnsiTheme="minorEastAsia" w:eastAsiaTheme="minorEastAsia"/>
          <w:color w:val="auto"/>
          <w:sz w:val="24"/>
          <w:szCs w:val="24"/>
        </w:rPr>
        <w:t>1. 一般约定</w:t>
      </w:r>
      <w:r>
        <w:rPr>
          <w:rStyle w:val="64"/>
          <w:rFonts w:hint="eastAsia" w:asciiTheme="minorEastAsia" w:hAnsiTheme="minorEastAsia" w:eastAsiaTheme="minorEastAsia"/>
          <w:color w:val="auto"/>
          <w:sz w:val="24"/>
          <w:szCs w:val="24"/>
        </w:rPr>
        <w:fldChar w:fldCharType="end"/>
      </w:r>
      <w:r>
        <w:rPr>
          <w:rFonts w:hint="eastAsia" w:asciiTheme="minorEastAsia" w:hAnsiTheme="minorEastAsia" w:eastAsiaTheme="minorEastAsia"/>
          <w:color w:val="auto"/>
          <w:sz w:val="24"/>
          <w:szCs w:val="24"/>
        </w:rPr>
        <w:tab/>
      </w:r>
      <w:r>
        <w:rPr>
          <w:rFonts w:asciiTheme="minorEastAsia" w:hAnsiTheme="minorEastAsia" w:eastAsiaTheme="minorEastAsia"/>
          <w:color w:val="auto"/>
          <w:sz w:val="24"/>
          <w:szCs w:val="24"/>
        </w:rPr>
        <w:t>14</w:t>
      </w:r>
    </w:p>
    <w:p>
      <w:pPr>
        <w:pStyle w:val="28"/>
        <w:tabs>
          <w:tab w:val="right" w:leader="middleDot" w:pos="8400"/>
        </w:tabs>
        <w:spacing w:line="360" w:lineRule="auto"/>
        <w:ind w:firstLine="210" w:firstLineChars="100"/>
        <w:rPr>
          <w:rFonts w:asciiTheme="minorEastAsia" w:hAnsiTheme="minorEastAsia" w:eastAsiaTheme="minorEastAsia"/>
          <w:color w:val="auto"/>
          <w:sz w:val="24"/>
          <w:szCs w:val="24"/>
        </w:rPr>
      </w:pPr>
      <w:r>
        <w:rPr>
          <w:color w:val="auto"/>
        </w:rPr>
        <w:fldChar w:fldCharType="begin"/>
      </w:r>
      <w:r>
        <w:rPr>
          <w:color w:val="auto"/>
        </w:rPr>
        <w:instrText xml:space="preserve"> HYPERLINK \l "_Toc351203496" </w:instrText>
      </w:r>
      <w:r>
        <w:rPr>
          <w:color w:val="auto"/>
        </w:rPr>
        <w:fldChar w:fldCharType="separate"/>
      </w:r>
      <w:r>
        <w:rPr>
          <w:rStyle w:val="64"/>
          <w:rFonts w:hint="eastAsia" w:asciiTheme="minorEastAsia" w:hAnsiTheme="minorEastAsia" w:eastAsiaTheme="minorEastAsia"/>
          <w:color w:val="auto"/>
          <w:sz w:val="24"/>
          <w:szCs w:val="24"/>
        </w:rPr>
        <w:t>1.1 词语定义与解释</w:t>
      </w:r>
      <w:r>
        <w:rPr>
          <w:rStyle w:val="64"/>
          <w:rFonts w:hint="eastAsia" w:asciiTheme="minorEastAsia" w:hAnsiTheme="minorEastAsia" w:eastAsiaTheme="minorEastAsia"/>
          <w:color w:val="auto"/>
          <w:sz w:val="24"/>
          <w:szCs w:val="24"/>
        </w:rPr>
        <w:fldChar w:fldCharType="end"/>
      </w:r>
    </w:p>
    <w:p>
      <w:pPr>
        <w:pStyle w:val="28"/>
        <w:tabs>
          <w:tab w:val="right" w:leader="middleDot" w:pos="8400"/>
        </w:tabs>
        <w:spacing w:line="360" w:lineRule="auto"/>
        <w:ind w:firstLine="210" w:firstLineChars="100"/>
        <w:rPr>
          <w:rFonts w:asciiTheme="minorEastAsia" w:hAnsiTheme="minorEastAsia" w:eastAsiaTheme="minorEastAsia"/>
          <w:color w:val="auto"/>
          <w:sz w:val="24"/>
          <w:szCs w:val="24"/>
        </w:rPr>
      </w:pPr>
      <w:r>
        <w:rPr>
          <w:color w:val="auto"/>
        </w:rPr>
        <w:fldChar w:fldCharType="begin"/>
      </w:r>
      <w:r>
        <w:rPr>
          <w:color w:val="auto"/>
        </w:rPr>
        <w:instrText xml:space="preserve"> HYPERLINK \l "_Toc351203497" </w:instrText>
      </w:r>
      <w:r>
        <w:rPr>
          <w:color w:val="auto"/>
        </w:rPr>
        <w:fldChar w:fldCharType="separate"/>
      </w:r>
      <w:r>
        <w:rPr>
          <w:rStyle w:val="64"/>
          <w:rFonts w:hint="eastAsia" w:asciiTheme="minorEastAsia" w:hAnsiTheme="minorEastAsia" w:eastAsiaTheme="minorEastAsia"/>
          <w:color w:val="auto"/>
          <w:sz w:val="24"/>
          <w:szCs w:val="24"/>
        </w:rPr>
        <w:t>1.2 语言文字</w:t>
      </w:r>
      <w:r>
        <w:rPr>
          <w:rStyle w:val="64"/>
          <w:rFonts w:hint="eastAsia" w:asciiTheme="minorEastAsia" w:hAnsiTheme="minorEastAsia" w:eastAsiaTheme="minorEastAsia"/>
          <w:color w:val="auto"/>
          <w:sz w:val="24"/>
          <w:szCs w:val="24"/>
        </w:rPr>
        <w:fldChar w:fldCharType="end"/>
      </w:r>
    </w:p>
    <w:p>
      <w:pPr>
        <w:pStyle w:val="28"/>
        <w:tabs>
          <w:tab w:val="right" w:leader="middleDot" w:pos="8400"/>
        </w:tabs>
        <w:spacing w:line="360" w:lineRule="auto"/>
        <w:ind w:firstLine="210" w:firstLineChars="100"/>
        <w:rPr>
          <w:rFonts w:asciiTheme="minorEastAsia" w:hAnsiTheme="minorEastAsia" w:eastAsiaTheme="minorEastAsia"/>
          <w:color w:val="auto"/>
          <w:sz w:val="24"/>
          <w:szCs w:val="24"/>
        </w:rPr>
      </w:pPr>
      <w:r>
        <w:rPr>
          <w:color w:val="auto"/>
        </w:rPr>
        <w:fldChar w:fldCharType="begin"/>
      </w:r>
      <w:r>
        <w:rPr>
          <w:color w:val="auto"/>
        </w:rPr>
        <w:instrText xml:space="preserve"> HYPERLINK \l "_Toc351203498" </w:instrText>
      </w:r>
      <w:r>
        <w:rPr>
          <w:color w:val="auto"/>
        </w:rPr>
        <w:fldChar w:fldCharType="separate"/>
      </w:r>
      <w:r>
        <w:rPr>
          <w:rStyle w:val="64"/>
          <w:rFonts w:hint="eastAsia" w:asciiTheme="minorEastAsia" w:hAnsiTheme="minorEastAsia" w:eastAsiaTheme="minorEastAsia"/>
          <w:color w:val="auto"/>
          <w:sz w:val="24"/>
          <w:szCs w:val="24"/>
        </w:rPr>
        <w:t>1.3 法律</w:t>
      </w:r>
      <w:r>
        <w:rPr>
          <w:rStyle w:val="64"/>
          <w:rFonts w:hint="eastAsia" w:asciiTheme="minorEastAsia" w:hAnsiTheme="minorEastAsia" w:eastAsiaTheme="minorEastAsia"/>
          <w:color w:val="auto"/>
          <w:sz w:val="24"/>
          <w:szCs w:val="24"/>
        </w:rPr>
        <w:fldChar w:fldCharType="end"/>
      </w:r>
    </w:p>
    <w:p>
      <w:pPr>
        <w:pStyle w:val="28"/>
        <w:tabs>
          <w:tab w:val="right" w:leader="middleDot" w:pos="8400"/>
        </w:tabs>
        <w:spacing w:line="360" w:lineRule="auto"/>
        <w:ind w:firstLine="210" w:firstLineChars="100"/>
        <w:rPr>
          <w:rFonts w:asciiTheme="minorEastAsia" w:hAnsiTheme="minorEastAsia" w:eastAsiaTheme="minorEastAsia"/>
          <w:color w:val="auto"/>
          <w:sz w:val="24"/>
          <w:szCs w:val="24"/>
        </w:rPr>
      </w:pPr>
      <w:r>
        <w:rPr>
          <w:color w:val="auto"/>
        </w:rPr>
        <w:fldChar w:fldCharType="begin"/>
      </w:r>
      <w:r>
        <w:rPr>
          <w:color w:val="auto"/>
        </w:rPr>
        <w:instrText xml:space="preserve"> HYPERLINK \l "_Toc351203499" </w:instrText>
      </w:r>
      <w:r>
        <w:rPr>
          <w:color w:val="auto"/>
        </w:rPr>
        <w:fldChar w:fldCharType="separate"/>
      </w:r>
      <w:r>
        <w:rPr>
          <w:rStyle w:val="64"/>
          <w:rFonts w:hint="eastAsia" w:asciiTheme="minorEastAsia" w:hAnsiTheme="minorEastAsia" w:eastAsiaTheme="minorEastAsia"/>
          <w:color w:val="auto"/>
          <w:sz w:val="24"/>
          <w:szCs w:val="24"/>
        </w:rPr>
        <w:t>1.4 技术标准</w:t>
      </w:r>
      <w:r>
        <w:rPr>
          <w:rStyle w:val="64"/>
          <w:rFonts w:hint="eastAsia" w:asciiTheme="minorEastAsia" w:hAnsiTheme="minorEastAsia" w:eastAsiaTheme="minorEastAsia"/>
          <w:color w:val="auto"/>
          <w:sz w:val="24"/>
          <w:szCs w:val="24"/>
        </w:rPr>
        <w:fldChar w:fldCharType="end"/>
      </w:r>
    </w:p>
    <w:p>
      <w:pPr>
        <w:pStyle w:val="28"/>
        <w:tabs>
          <w:tab w:val="right" w:leader="middleDot" w:pos="8400"/>
        </w:tabs>
        <w:spacing w:line="360" w:lineRule="auto"/>
        <w:ind w:firstLine="210" w:firstLineChars="100"/>
        <w:rPr>
          <w:rFonts w:asciiTheme="minorEastAsia" w:hAnsiTheme="minorEastAsia" w:eastAsiaTheme="minorEastAsia"/>
          <w:color w:val="auto"/>
          <w:sz w:val="24"/>
          <w:szCs w:val="24"/>
        </w:rPr>
      </w:pPr>
      <w:r>
        <w:rPr>
          <w:color w:val="auto"/>
        </w:rPr>
        <w:fldChar w:fldCharType="begin"/>
      </w:r>
      <w:r>
        <w:rPr>
          <w:color w:val="auto"/>
        </w:rPr>
        <w:instrText xml:space="preserve"> HYPERLINK \l "_Toc351203500" </w:instrText>
      </w:r>
      <w:r>
        <w:rPr>
          <w:color w:val="auto"/>
        </w:rPr>
        <w:fldChar w:fldCharType="separate"/>
      </w:r>
      <w:r>
        <w:rPr>
          <w:rStyle w:val="64"/>
          <w:rFonts w:hint="eastAsia" w:asciiTheme="minorEastAsia" w:hAnsiTheme="minorEastAsia" w:eastAsiaTheme="minorEastAsia"/>
          <w:color w:val="auto"/>
          <w:sz w:val="24"/>
          <w:szCs w:val="24"/>
        </w:rPr>
        <w:t>1.5 合同文件的优先顺序</w:t>
      </w:r>
      <w:r>
        <w:rPr>
          <w:rStyle w:val="64"/>
          <w:rFonts w:hint="eastAsia" w:asciiTheme="minorEastAsia" w:hAnsiTheme="minorEastAsia" w:eastAsiaTheme="minorEastAsia"/>
          <w:color w:val="auto"/>
          <w:sz w:val="24"/>
          <w:szCs w:val="24"/>
        </w:rPr>
        <w:fldChar w:fldCharType="end"/>
      </w:r>
    </w:p>
    <w:p>
      <w:pPr>
        <w:pStyle w:val="28"/>
        <w:tabs>
          <w:tab w:val="right" w:leader="middleDot" w:pos="8400"/>
        </w:tabs>
        <w:spacing w:line="360" w:lineRule="auto"/>
        <w:ind w:firstLine="210" w:firstLineChars="100"/>
        <w:rPr>
          <w:rFonts w:asciiTheme="minorEastAsia" w:hAnsiTheme="minorEastAsia" w:eastAsiaTheme="minorEastAsia"/>
          <w:color w:val="auto"/>
          <w:sz w:val="24"/>
          <w:szCs w:val="24"/>
        </w:rPr>
      </w:pPr>
      <w:r>
        <w:rPr>
          <w:color w:val="auto"/>
        </w:rPr>
        <w:fldChar w:fldCharType="begin"/>
      </w:r>
      <w:r>
        <w:rPr>
          <w:color w:val="auto"/>
        </w:rPr>
        <w:instrText xml:space="preserve"> HYPERLINK \l "_Toc351203501" </w:instrText>
      </w:r>
      <w:r>
        <w:rPr>
          <w:color w:val="auto"/>
        </w:rPr>
        <w:fldChar w:fldCharType="separate"/>
      </w:r>
      <w:r>
        <w:rPr>
          <w:rStyle w:val="64"/>
          <w:rFonts w:hint="eastAsia" w:asciiTheme="minorEastAsia" w:hAnsiTheme="minorEastAsia" w:eastAsiaTheme="minorEastAsia"/>
          <w:color w:val="auto"/>
          <w:sz w:val="24"/>
          <w:szCs w:val="24"/>
        </w:rPr>
        <w:t>1.6 联络</w:t>
      </w:r>
      <w:r>
        <w:rPr>
          <w:rStyle w:val="64"/>
          <w:rFonts w:hint="eastAsia" w:asciiTheme="minorEastAsia" w:hAnsiTheme="minorEastAsia" w:eastAsiaTheme="minorEastAsia"/>
          <w:color w:val="auto"/>
          <w:sz w:val="24"/>
          <w:szCs w:val="24"/>
        </w:rPr>
        <w:fldChar w:fldCharType="end"/>
      </w:r>
    </w:p>
    <w:p>
      <w:pPr>
        <w:pStyle w:val="28"/>
        <w:tabs>
          <w:tab w:val="right" w:leader="middleDot" w:pos="8400"/>
        </w:tabs>
        <w:spacing w:line="360" w:lineRule="auto"/>
        <w:ind w:firstLine="210" w:firstLineChars="100"/>
        <w:rPr>
          <w:rFonts w:asciiTheme="minorEastAsia" w:hAnsiTheme="minorEastAsia" w:eastAsiaTheme="minorEastAsia"/>
          <w:color w:val="auto"/>
          <w:sz w:val="24"/>
          <w:szCs w:val="24"/>
        </w:rPr>
      </w:pPr>
      <w:r>
        <w:rPr>
          <w:color w:val="auto"/>
        </w:rPr>
        <w:fldChar w:fldCharType="begin"/>
      </w:r>
      <w:r>
        <w:rPr>
          <w:color w:val="auto"/>
        </w:rPr>
        <w:instrText xml:space="preserve"> HYPERLINK \l "_Toc351203502" </w:instrText>
      </w:r>
      <w:r>
        <w:rPr>
          <w:color w:val="auto"/>
        </w:rPr>
        <w:fldChar w:fldCharType="separate"/>
      </w:r>
      <w:r>
        <w:rPr>
          <w:rStyle w:val="64"/>
          <w:rFonts w:hint="eastAsia" w:asciiTheme="minorEastAsia" w:hAnsiTheme="minorEastAsia" w:eastAsiaTheme="minorEastAsia"/>
          <w:color w:val="auto"/>
          <w:sz w:val="24"/>
          <w:szCs w:val="24"/>
        </w:rPr>
        <w:t>1.7 严禁贿赂</w:t>
      </w:r>
      <w:r>
        <w:rPr>
          <w:rStyle w:val="64"/>
          <w:rFonts w:hint="eastAsia" w:asciiTheme="minorEastAsia" w:hAnsiTheme="minorEastAsia" w:eastAsiaTheme="minorEastAsia"/>
          <w:color w:val="auto"/>
          <w:sz w:val="24"/>
          <w:szCs w:val="24"/>
        </w:rPr>
        <w:fldChar w:fldCharType="end"/>
      </w:r>
    </w:p>
    <w:p>
      <w:pPr>
        <w:pStyle w:val="28"/>
        <w:tabs>
          <w:tab w:val="right" w:leader="middleDot" w:pos="8400"/>
        </w:tabs>
        <w:spacing w:line="360" w:lineRule="auto"/>
        <w:ind w:firstLine="210" w:firstLineChars="100"/>
        <w:rPr>
          <w:rFonts w:asciiTheme="minorEastAsia" w:hAnsiTheme="minorEastAsia" w:eastAsiaTheme="minorEastAsia"/>
          <w:color w:val="auto"/>
          <w:sz w:val="24"/>
          <w:szCs w:val="24"/>
        </w:rPr>
      </w:pPr>
      <w:r>
        <w:rPr>
          <w:color w:val="auto"/>
        </w:rPr>
        <w:fldChar w:fldCharType="begin"/>
      </w:r>
      <w:r>
        <w:rPr>
          <w:color w:val="auto"/>
        </w:rPr>
        <w:instrText xml:space="preserve"> HYPERLINK \l "_Toc351203503" </w:instrText>
      </w:r>
      <w:r>
        <w:rPr>
          <w:color w:val="auto"/>
        </w:rPr>
        <w:fldChar w:fldCharType="separate"/>
      </w:r>
      <w:r>
        <w:rPr>
          <w:rStyle w:val="64"/>
          <w:rFonts w:hint="eastAsia" w:asciiTheme="minorEastAsia" w:hAnsiTheme="minorEastAsia" w:eastAsiaTheme="minorEastAsia"/>
          <w:color w:val="auto"/>
          <w:sz w:val="24"/>
          <w:szCs w:val="24"/>
        </w:rPr>
        <w:t>1.8 保密</w:t>
      </w:r>
      <w:r>
        <w:rPr>
          <w:rStyle w:val="64"/>
          <w:rFonts w:hint="eastAsia" w:asciiTheme="minorEastAsia" w:hAnsiTheme="minorEastAsia" w:eastAsiaTheme="minorEastAsia"/>
          <w:color w:val="auto"/>
          <w:sz w:val="24"/>
          <w:szCs w:val="24"/>
        </w:rPr>
        <w:fldChar w:fldCharType="end"/>
      </w:r>
    </w:p>
    <w:p>
      <w:pPr>
        <w:pStyle w:val="39"/>
        <w:tabs>
          <w:tab w:val="right" w:leader="middleDot" w:pos="8400"/>
        </w:tabs>
        <w:spacing w:line="360" w:lineRule="auto"/>
        <w:ind w:firstLine="210" w:firstLineChars="100"/>
        <w:rPr>
          <w:rFonts w:asciiTheme="minorEastAsia" w:hAnsiTheme="minorEastAsia" w:eastAsiaTheme="minorEastAsia"/>
          <w:color w:val="auto"/>
          <w:sz w:val="24"/>
          <w:szCs w:val="24"/>
        </w:rPr>
      </w:pPr>
      <w:r>
        <w:rPr>
          <w:color w:val="auto"/>
        </w:rPr>
        <w:fldChar w:fldCharType="begin"/>
      </w:r>
      <w:r>
        <w:rPr>
          <w:color w:val="auto"/>
        </w:rPr>
        <w:instrText xml:space="preserve"> HYPERLINK \l "_Toc351203509" </w:instrText>
      </w:r>
      <w:r>
        <w:rPr>
          <w:color w:val="auto"/>
        </w:rPr>
        <w:fldChar w:fldCharType="separate"/>
      </w:r>
      <w:r>
        <w:rPr>
          <w:rStyle w:val="64"/>
          <w:rFonts w:hint="eastAsia" w:asciiTheme="minorEastAsia" w:hAnsiTheme="minorEastAsia" w:eastAsiaTheme="minorEastAsia"/>
          <w:color w:val="auto"/>
          <w:sz w:val="24"/>
          <w:szCs w:val="24"/>
        </w:rPr>
        <w:t>2. 发包人</w:t>
      </w:r>
      <w:r>
        <w:rPr>
          <w:rStyle w:val="64"/>
          <w:rFonts w:hint="eastAsia" w:asciiTheme="minorEastAsia" w:hAnsiTheme="minorEastAsia" w:eastAsiaTheme="minorEastAsia"/>
          <w:color w:val="auto"/>
          <w:sz w:val="24"/>
          <w:szCs w:val="24"/>
        </w:rPr>
        <w:fldChar w:fldCharType="end"/>
      </w:r>
      <w:r>
        <w:rPr>
          <w:rFonts w:hint="eastAsia" w:asciiTheme="minorEastAsia" w:hAnsiTheme="minorEastAsia" w:eastAsiaTheme="minorEastAsia"/>
          <w:color w:val="auto"/>
          <w:sz w:val="24"/>
          <w:szCs w:val="24"/>
        </w:rPr>
        <w:tab/>
      </w:r>
      <w:r>
        <w:rPr>
          <w:rFonts w:hint="eastAsia" w:asciiTheme="minorEastAsia" w:hAnsiTheme="minorEastAsia" w:eastAsiaTheme="minorEastAsia"/>
          <w:color w:val="auto"/>
          <w:sz w:val="24"/>
          <w:szCs w:val="24"/>
        </w:rPr>
        <w:t>18</w:t>
      </w:r>
    </w:p>
    <w:p>
      <w:pPr>
        <w:pStyle w:val="28"/>
        <w:tabs>
          <w:tab w:val="right" w:leader="middleDot" w:pos="8400"/>
        </w:tabs>
        <w:spacing w:line="360" w:lineRule="auto"/>
        <w:ind w:firstLine="210" w:firstLineChars="100"/>
        <w:rPr>
          <w:rFonts w:asciiTheme="minorEastAsia" w:hAnsiTheme="minorEastAsia" w:eastAsiaTheme="minorEastAsia"/>
          <w:color w:val="auto"/>
          <w:sz w:val="24"/>
          <w:szCs w:val="24"/>
        </w:rPr>
      </w:pPr>
      <w:r>
        <w:rPr>
          <w:color w:val="auto"/>
        </w:rPr>
        <w:fldChar w:fldCharType="begin"/>
      </w:r>
      <w:r>
        <w:rPr>
          <w:color w:val="auto"/>
        </w:rPr>
        <w:instrText xml:space="preserve"> HYPERLINK \l "_Toc351203510" </w:instrText>
      </w:r>
      <w:r>
        <w:rPr>
          <w:color w:val="auto"/>
        </w:rPr>
        <w:fldChar w:fldCharType="separate"/>
      </w:r>
      <w:r>
        <w:rPr>
          <w:rStyle w:val="64"/>
          <w:rFonts w:hint="eastAsia" w:asciiTheme="minorEastAsia" w:hAnsiTheme="minorEastAsia" w:eastAsiaTheme="minorEastAsia"/>
          <w:color w:val="auto"/>
          <w:sz w:val="24"/>
          <w:szCs w:val="24"/>
        </w:rPr>
        <w:t>2.1 发包人一般义务</w:t>
      </w:r>
      <w:r>
        <w:rPr>
          <w:rStyle w:val="64"/>
          <w:rFonts w:hint="eastAsia" w:asciiTheme="minorEastAsia" w:hAnsiTheme="minorEastAsia" w:eastAsiaTheme="minorEastAsia"/>
          <w:color w:val="auto"/>
          <w:sz w:val="24"/>
          <w:szCs w:val="24"/>
        </w:rPr>
        <w:fldChar w:fldCharType="end"/>
      </w:r>
    </w:p>
    <w:p>
      <w:pPr>
        <w:pStyle w:val="28"/>
        <w:tabs>
          <w:tab w:val="right" w:leader="middleDot" w:pos="8400"/>
        </w:tabs>
        <w:spacing w:line="360" w:lineRule="auto"/>
        <w:ind w:firstLine="210" w:firstLineChars="100"/>
        <w:rPr>
          <w:rFonts w:asciiTheme="minorEastAsia" w:hAnsiTheme="minorEastAsia" w:eastAsiaTheme="minorEastAsia"/>
          <w:color w:val="auto"/>
          <w:sz w:val="24"/>
          <w:szCs w:val="24"/>
        </w:rPr>
      </w:pPr>
      <w:r>
        <w:rPr>
          <w:color w:val="auto"/>
        </w:rPr>
        <w:fldChar w:fldCharType="begin"/>
      </w:r>
      <w:r>
        <w:rPr>
          <w:color w:val="auto"/>
        </w:rPr>
        <w:instrText xml:space="preserve"> HYPERLINK \l "_Toc351203511" </w:instrText>
      </w:r>
      <w:r>
        <w:rPr>
          <w:color w:val="auto"/>
        </w:rPr>
        <w:fldChar w:fldCharType="separate"/>
      </w:r>
      <w:r>
        <w:rPr>
          <w:rStyle w:val="64"/>
          <w:rFonts w:hint="eastAsia" w:asciiTheme="minorEastAsia" w:hAnsiTheme="minorEastAsia" w:eastAsiaTheme="minorEastAsia"/>
          <w:color w:val="auto"/>
          <w:sz w:val="24"/>
          <w:szCs w:val="24"/>
        </w:rPr>
        <w:t>2.2 发包人代表</w:t>
      </w:r>
      <w:r>
        <w:rPr>
          <w:rStyle w:val="64"/>
          <w:rFonts w:hint="eastAsia" w:asciiTheme="minorEastAsia" w:hAnsiTheme="minorEastAsia" w:eastAsiaTheme="minorEastAsia"/>
          <w:color w:val="auto"/>
          <w:sz w:val="24"/>
          <w:szCs w:val="24"/>
        </w:rPr>
        <w:fldChar w:fldCharType="end"/>
      </w:r>
    </w:p>
    <w:p>
      <w:pPr>
        <w:pStyle w:val="28"/>
        <w:tabs>
          <w:tab w:val="right" w:leader="middleDot" w:pos="8400"/>
        </w:tabs>
        <w:spacing w:line="360" w:lineRule="auto"/>
        <w:ind w:firstLine="210" w:firstLineChars="100"/>
        <w:rPr>
          <w:rFonts w:asciiTheme="minorEastAsia" w:hAnsiTheme="minorEastAsia" w:eastAsiaTheme="minorEastAsia"/>
          <w:color w:val="auto"/>
          <w:sz w:val="24"/>
          <w:szCs w:val="24"/>
        </w:rPr>
      </w:pPr>
      <w:r>
        <w:rPr>
          <w:color w:val="auto"/>
        </w:rPr>
        <w:fldChar w:fldCharType="begin"/>
      </w:r>
      <w:r>
        <w:rPr>
          <w:color w:val="auto"/>
        </w:rPr>
        <w:instrText xml:space="preserve"> HYPERLINK \l "_Toc351203512" </w:instrText>
      </w:r>
      <w:r>
        <w:rPr>
          <w:color w:val="auto"/>
        </w:rPr>
        <w:fldChar w:fldCharType="separate"/>
      </w:r>
      <w:r>
        <w:rPr>
          <w:rStyle w:val="64"/>
          <w:rFonts w:hint="eastAsia" w:asciiTheme="minorEastAsia" w:hAnsiTheme="minorEastAsia" w:eastAsiaTheme="minorEastAsia"/>
          <w:color w:val="auto"/>
          <w:sz w:val="24"/>
          <w:szCs w:val="24"/>
        </w:rPr>
        <w:t>2.3 发包人决定</w:t>
      </w:r>
      <w:r>
        <w:rPr>
          <w:rStyle w:val="64"/>
          <w:rFonts w:hint="eastAsia" w:asciiTheme="minorEastAsia" w:hAnsiTheme="minorEastAsia" w:eastAsiaTheme="minorEastAsia"/>
          <w:color w:val="auto"/>
          <w:sz w:val="24"/>
          <w:szCs w:val="24"/>
        </w:rPr>
        <w:fldChar w:fldCharType="end"/>
      </w:r>
    </w:p>
    <w:p>
      <w:pPr>
        <w:pStyle w:val="28"/>
        <w:tabs>
          <w:tab w:val="right" w:leader="middleDot" w:pos="8400"/>
        </w:tabs>
        <w:spacing w:line="360" w:lineRule="auto"/>
        <w:ind w:firstLine="210" w:firstLineChars="100"/>
        <w:rPr>
          <w:rFonts w:asciiTheme="minorEastAsia" w:hAnsiTheme="minorEastAsia" w:eastAsiaTheme="minorEastAsia"/>
          <w:color w:val="auto"/>
          <w:sz w:val="24"/>
          <w:szCs w:val="24"/>
        </w:rPr>
      </w:pPr>
      <w:r>
        <w:rPr>
          <w:color w:val="auto"/>
        </w:rPr>
        <w:fldChar w:fldCharType="begin"/>
      </w:r>
      <w:r>
        <w:rPr>
          <w:color w:val="auto"/>
        </w:rPr>
        <w:instrText xml:space="preserve"> HYPERLINK \l "_Toc351203513" </w:instrText>
      </w:r>
      <w:r>
        <w:rPr>
          <w:color w:val="auto"/>
        </w:rPr>
        <w:fldChar w:fldCharType="separate"/>
      </w:r>
      <w:r>
        <w:rPr>
          <w:rStyle w:val="64"/>
          <w:rFonts w:hint="eastAsia" w:asciiTheme="minorEastAsia" w:hAnsiTheme="minorEastAsia" w:eastAsiaTheme="minorEastAsia"/>
          <w:color w:val="auto"/>
          <w:sz w:val="24"/>
          <w:szCs w:val="24"/>
        </w:rPr>
        <w:t>2.4 支付合同价款</w:t>
      </w:r>
      <w:r>
        <w:rPr>
          <w:rStyle w:val="64"/>
          <w:rFonts w:hint="eastAsia" w:asciiTheme="minorEastAsia" w:hAnsiTheme="minorEastAsia" w:eastAsiaTheme="minorEastAsia"/>
          <w:color w:val="auto"/>
          <w:sz w:val="24"/>
          <w:szCs w:val="24"/>
        </w:rPr>
        <w:fldChar w:fldCharType="end"/>
      </w:r>
    </w:p>
    <w:p>
      <w:pPr>
        <w:pStyle w:val="28"/>
        <w:tabs>
          <w:tab w:val="right" w:leader="middleDot" w:pos="8400"/>
        </w:tabs>
        <w:spacing w:line="360" w:lineRule="auto"/>
        <w:ind w:firstLine="210" w:firstLineChars="100"/>
        <w:rPr>
          <w:rFonts w:asciiTheme="minorEastAsia" w:hAnsiTheme="minorEastAsia" w:eastAsiaTheme="minorEastAsia"/>
          <w:color w:val="auto"/>
          <w:sz w:val="24"/>
          <w:szCs w:val="24"/>
        </w:rPr>
      </w:pPr>
      <w:r>
        <w:rPr>
          <w:color w:val="auto"/>
        </w:rPr>
        <w:fldChar w:fldCharType="begin"/>
      </w:r>
      <w:r>
        <w:rPr>
          <w:color w:val="auto"/>
        </w:rPr>
        <w:instrText xml:space="preserve"> HYPERLINK \l "_Toc351203514" </w:instrText>
      </w:r>
      <w:r>
        <w:rPr>
          <w:color w:val="auto"/>
        </w:rPr>
        <w:fldChar w:fldCharType="separate"/>
      </w:r>
      <w:r>
        <w:rPr>
          <w:rStyle w:val="64"/>
          <w:rFonts w:hint="eastAsia" w:asciiTheme="minorEastAsia" w:hAnsiTheme="minorEastAsia" w:eastAsiaTheme="minorEastAsia"/>
          <w:color w:val="auto"/>
          <w:sz w:val="24"/>
          <w:szCs w:val="24"/>
        </w:rPr>
        <w:t>2.5 设计文件接收</w:t>
      </w:r>
      <w:r>
        <w:rPr>
          <w:rStyle w:val="64"/>
          <w:rFonts w:hint="eastAsia" w:asciiTheme="minorEastAsia" w:hAnsiTheme="minorEastAsia" w:eastAsiaTheme="minorEastAsia"/>
          <w:color w:val="auto"/>
          <w:sz w:val="24"/>
          <w:szCs w:val="24"/>
        </w:rPr>
        <w:fldChar w:fldCharType="end"/>
      </w:r>
    </w:p>
    <w:p>
      <w:pPr>
        <w:pStyle w:val="39"/>
        <w:tabs>
          <w:tab w:val="right" w:leader="middleDot" w:pos="8400"/>
        </w:tabs>
        <w:spacing w:line="360" w:lineRule="auto"/>
        <w:ind w:firstLine="210" w:firstLineChars="100"/>
        <w:rPr>
          <w:rFonts w:asciiTheme="minorEastAsia" w:hAnsiTheme="minorEastAsia" w:eastAsiaTheme="minorEastAsia"/>
          <w:color w:val="auto"/>
          <w:sz w:val="24"/>
          <w:szCs w:val="24"/>
        </w:rPr>
      </w:pPr>
      <w:r>
        <w:rPr>
          <w:color w:val="auto"/>
        </w:rPr>
        <w:fldChar w:fldCharType="begin"/>
      </w:r>
      <w:r>
        <w:rPr>
          <w:color w:val="auto"/>
        </w:rPr>
        <w:instrText xml:space="preserve"> HYPERLINK \l "_Toc351203518" </w:instrText>
      </w:r>
      <w:r>
        <w:rPr>
          <w:color w:val="auto"/>
        </w:rPr>
        <w:fldChar w:fldCharType="separate"/>
      </w:r>
      <w:r>
        <w:rPr>
          <w:rStyle w:val="64"/>
          <w:rFonts w:hint="eastAsia" w:asciiTheme="minorEastAsia" w:hAnsiTheme="minorEastAsia" w:eastAsiaTheme="minorEastAsia"/>
          <w:color w:val="auto"/>
          <w:sz w:val="24"/>
          <w:szCs w:val="24"/>
        </w:rPr>
        <w:t>3. 设计人</w:t>
      </w:r>
      <w:r>
        <w:rPr>
          <w:rStyle w:val="64"/>
          <w:rFonts w:hint="eastAsia" w:asciiTheme="minorEastAsia" w:hAnsiTheme="minorEastAsia" w:eastAsiaTheme="minorEastAsia"/>
          <w:color w:val="auto"/>
          <w:sz w:val="24"/>
          <w:szCs w:val="24"/>
        </w:rPr>
        <w:fldChar w:fldCharType="end"/>
      </w:r>
      <w:r>
        <w:rPr>
          <w:rFonts w:hint="eastAsia" w:asciiTheme="minorEastAsia" w:hAnsiTheme="minorEastAsia" w:eastAsiaTheme="minorEastAsia"/>
          <w:color w:val="auto"/>
          <w:sz w:val="24"/>
          <w:szCs w:val="24"/>
        </w:rPr>
        <w:tab/>
      </w:r>
      <w:r>
        <w:rPr>
          <w:rFonts w:hint="eastAsia" w:asciiTheme="minorEastAsia" w:hAnsiTheme="minorEastAsia" w:eastAsiaTheme="minorEastAsia"/>
          <w:color w:val="auto"/>
          <w:sz w:val="24"/>
          <w:szCs w:val="24"/>
        </w:rPr>
        <w:t>19</w:t>
      </w:r>
    </w:p>
    <w:p>
      <w:pPr>
        <w:pStyle w:val="28"/>
        <w:tabs>
          <w:tab w:val="right" w:leader="middleDot" w:pos="8400"/>
        </w:tabs>
        <w:spacing w:line="360" w:lineRule="auto"/>
        <w:ind w:firstLine="210" w:firstLineChars="100"/>
        <w:rPr>
          <w:rFonts w:asciiTheme="minorEastAsia" w:hAnsiTheme="minorEastAsia" w:eastAsiaTheme="minorEastAsia"/>
          <w:color w:val="auto"/>
          <w:sz w:val="24"/>
          <w:szCs w:val="24"/>
        </w:rPr>
      </w:pPr>
      <w:r>
        <w:rPr>
          <w:color w:val="auto"/>
        </w:rPr>
        <w:fldChar w:fldCharType="begin"/>
      </w:r>
      <w:r>
        <w:rPr>
          <w:color w:val="auto"/>
        </w:rPr>
        <w:instrText xml:space="preserve"> HYPERLINK \l "_Toc351203519" </w:instrText>
      </w:r>
      <w:r>
        <w:rPr>
          <w:color w:val="auto"/>
        </w:rPr>
        <w:fldChar w:fldCharType="separate"/>
      </w:r>
      <w:r>
        <w:rPr>
          <w:rStyle w:val="64"/>
          <w:rFonts w:hint="eastAsia" w:asciiTheme="minorEastAsia" w:hAnsiTheme="minorEastAsia" w:eastAsiaTheme="minorEastAsia"/>
          <w:color w:val="auto"/>
          <w:sz w:val="24"/>
          <w:szCs w:val="24"/>
        </w:rPr>
        <w:t>3.1 设计人一般义务</w:t>
      </w:r>
      <w:r>
        <w:rPr>
          <w:rStyle w:val="64"/>
          <w:rFonts w:hint="eastAsia" w:asciiTheme="minorEastAsia" w:hAnsiTheme="minorEastAsia" w:eastAsiaTheme="minorEastAsia"/>
          <w:color w:val="auto"/>
          <w:sz w:val="24"/>
          <w:szCs w:val="24"/>
        </w:rPr>
        <w:fldChar w:fldCharType="end"/>
      </w:r>
    </w:p>
    <w:p>
      <w:pPr>
        <w:pStyle w:val="28"/>
        <w:tabs>
          <w:tab w:val="right" w:leader="middleDot" w:pos="8400"/>
        </w:tabs>
        <w:spacing w:line="360" w:lineRule="auto"/>
        <w:ind w:firstLine="210" w:firstLineChars="100"/>
        <w:rPr>
          <w:rFonts w:asciiTheme="minorEastAsia" w:hAnsiTheme="minorEastAsia" w:eastAsiaTheme="minorEastAsia"/>
          <w:color w:val="auto"/>
          <w:sz w:val="24"/>
          <w:szCs w:val="24"/>
        </w:rPr>
      </w:pPr>
      <w:r>
        <w:rPr>
          <w:color w:val="auto"/>
        </w:rPr>
        <w:fldChar w:fldCharType="begin"/>
      </w:r>
      <w:r>
        <w:rPr>
          <w:color w:val="auto"/>
        </w:rPr>
        <w:instrText xml:space="preserve"> HYPERLINK \l "_Toc351203520" </w:instrText>
      </w:r>
      <w:r>
        <w:rPr>
          <w:color w:val="auto"/>
        </w:rPr>
        <w:fldChar w:fldCharType="separate"/>
      </w:r>
      <w:r>
        <w:rPr>
          <w:rStyle w:val="64"/>
          <w:rFonts w:hint="eastAsia" w:asciiTheme="minorEastAsia" w:hAnsiTheme="minorEastAsia" w:eastAsiaTheme="minorEastAsia"/>
          <w:color w:val="auto"/>
          <w:sz w:val="24"/>
          <w:szCs w:val="24"/>
        </w:rPr>
        <w:t>3.2 项目负责人</w:t>
      </w:r>
      <w:r>
        <w:rPr>
          <w:rStyle w:val="64"/>
          <w:rFonts w:hint="eastAsia" w:asciiTheme="minorEastAsia" w:hAnsiTheme="minorEastAsia" w:eastAsiaTheme="minorEastAsia"/>
          <w:color w:val="auto"/>
          <w:sz w:val="24"/>
          <w:szCs w:val="24"/>
        </w:rPr>
        <w:fldChar w:fldCharType="end"/>
      </w:r>
    </w:p>
    <w:p>
      <w:pPr>
        <w:pStyle w:val="28"/>
        <w:tabs>
          <w:tab w:val="right" w:leader="middleDot" w:pos="8400"/>
        </w:tabs>
        <w:spacing w:line="360" w:lineRule="auto"/>
        <w:ind w:firstLine="210" w:firstLineChars="100"/>
        <w:rPr>
          <w:rFonts w:asciiTheme="minorEastAsia" w:hAnsiTheme="minorEastAsia" w:eastAsiaTheme="minorEastAsia"/>
          <w:color w:val="auto"/>
          <w:sz w:val="24"/>
          <w:szCs w:val="24"/>
        </w:rPr>
      </w:pPr>
      <w:r>
        <w:rPr>
          <w:color w:val="auto"/>
        </w:rPr>
        <w:fldChar w:fldCharType="begin"/>
      </w:r>
      <w:r>
        <w:rPr>
          <w:color w:val="auto"/>
        </w:rPr>
        <w:instrText xml:space="preserve"> HYPERLINK \l "_Toc351203521" </w:instrText>
      </w:r>
      <w:r>
        <w:rPr>
          <w:color w:val="auto"/>
        </w:rPr>
        <w:fldChar w:fldCharType="separate"/>
      </w:r>
      <w:r>
        <w:rPr>
          <w:rStyle w:val="64"/>
          <w:rFonts w:hint="eastAsia" w:asciiTheme="minorEastAsia" w:hAnsiTheme="minorEastAsia" w:eastAsiaTheme="minorEastAsia"/>
          <w:color w:val="auto"/>
          <w:sz w:val="24"/>
          <w:szCs w:val="24"/>
        </w:rPr>
        <w:t>3.3 设计人人员</w:t>
      </w:r>
      <w:r>
        <w:rPr>
          <w:rStyle w:val="64"/>
          <w:rFonts w:hint="eastAsia" w:asciiTheme="minorEastAsia" w:hAnsiTheme="minorEastAsia" w:eastAsiaTheme="minorEastAsia"/>
          <w:color w:val="auto"/>
          <w:sz w:val="24"/>
          <w:szCs w:val="24"/>
        </w:rPr>
        <w:fldChar w:fldCharType="end"/>
      </w:r>
    </w:p>
    <w:p>
      <w:pPr>
        <w:pStyle w:val="28"/>
        <w:tabs>
          <w:tab w:val="right" w:leader="middleDot" w:pos="8400"/>
        </w:tabs>
        <w:spacing w:line="360" w:lineRule="auto"/>
        <w:ind w:firstLine="210" w:firstLineChars="100"/>
        <w:rPr>
          <w:rFonts w:asciiTheme="minorEastAsia" w:hAnsiTheme="minorEastAsia" w:eastAsiaTheme="minorEastAsia"/>
          <w:color w:val="auto"/>
          <w:sz w:val="24"/>
          <w:szCs w:val="24"/>
        </w:rPr>
      </w:pPr>
      <w:r>
        <w:rPr>
          <w:color w:val="auto"/>
        </w:rPr>
        <w:fldChar w:fldCharType="begin"/>
      </w:r>
      <w:r>
        <w:rPr>
          <w:color w:val="auto"/>
        </w:rPr>
        <w:instrText xml:space="preserve"> HYPERLINK \l "_Toc351203522" </w:instrText>
      </w:r>
      <w:r>
        <w:rPr>
          <w:color w:val="auto"/>
        </w:rPr>
        <w:fldChar w:fldCharType="separate"/>
      </w:r>
      <w:r>
        <w:rPr>
          <w:rStyle w:val="64"/>
          <w:rFonts w:hint="eastAsia" w:asciiTheme="minorEastAsia" w:hAnsiTheme="minorEastAsia" w:eastAsiaTheme="minorEastAsia"/>
          <w:color w:val="auto"/>
          <w:sz w:val="24"/>
          <w:szCs w:val="24"/>
        </w:rPr>
        <w:t>3.4 设计分包</w:t>
      </w:r>
      <w:r>
        <w:rPr>
          <w:rStyle w:val="64"/>
          <w:rFonts w:hint="eastAsia" w:asciiTheme="minorEastAsia" w:hAnsiTheme="minorEastAsia" w:eastAsiaTheme="minorEastAsia"/>
          <w:color w:val="auto"/>
          <w:sz w:val="24"/>
          <w:szCs w:val="24"/>
        </w:rPr>
        <w:fldChar w:fldCharType="end"/>
      </w:r>
    </w:p>
    <w:p>
      <w:pPr>
        <w:pStyle w:val="28"/>
        <w:tabs>
          <w:tab w:val="right" w:leader="middleDot" w:pos="8400"/>
        </w:tabs>
        <w:spacing w:line="360" w:lineRule="auto"/>
        <w:ind w:firstLine="210" w:firstLineChars="100"/>
        <w:rPr>
          <w:rFonts w:asciiTheme="minorEastAsia" w:hAnsiTheme="minorEastAsia" w:eastAsiaTheme="minorEastAsia"/>
          <w:color w:val="auto"/>
          <w:sz w:val="24"/>
          <w:szCs w:val="24"/>
        </w:rPr>
      </w:pPr>
      <w:r>
        <w:rPr>
          <w:color w:val="auto"/>
        </w:rPr>
        <w:fldChar w:fldCharType="begin"/>
      </w:r>
      <w:r>
        <w:rPr>
          <w:color w:val="auto"/>
        </w:rPr>
        <w:instrText xml:space="preserve"> HYPERLINK \l "_Toc351203523" </w:instrText>
      </w:r>
      <w:r>
        <w:rPr>
          <w:color w:val="auto"/>
        </w:rPr>
        <w:fldChar w:fldCharType="separate"/>
      </w:r>
      <w:r>
        <w:rPr>
          <w:rStyle w:val="64"/>
          <w:rFonts w:hint="eastAsia" w:asciiTheme="minorEastAsia" w:hAnsiTheme="minorEastAsia" w:eastAsiaTheme="minorEastAsia"/>
          <w:color w:val="auto"/>
          <w:sz w:val="24"/>
          <w:szCs w:val="24"/>
        </w:rPr>
        <w:t>3.5 联合体</w:t>
      </w:r>
      <w:r>
        <w:rPr>
          <w:rStyle w:val="64"/>
          <w:rFonts w:hint="eastAsia" w:asciiTheme="minorEastAsia" w:hAnsiTheme="minorEastAsia" w:eastAsiaTheme="minorEastAsia"/>
          <w:color w:val="auto"/>
          <w:sz w:val="24"/>
          <w:szCs w:val="24"/>
        </w:rPr>
        <w:fldChar w:fldCharType="end"/>
      </w:r>
    </w:p>
    <w:p>
      <w:pPr>
        <w:pStyle w:val="39"/>
        <w:tabs>
          <w:tab w:val="right" w:leader="middleDot" w:pos="8400"/>
        </w:tabs>
        <w:spacing w:line="360" w:lineRule="auto"/>
        <w:ind w:firstLine="210" w:firstLineChars="100"/>
        <w:rPr>
          <w:rFonts w:asciiTheme="minorEastAsia" w:hAnsiTheme="minorEastAsia" w:eastAsiaTheme="minorEastAsia"/>
          <w:color w:val="auto"/>
          <w:sz w:val="24"/>
          <w:szCs w:val="24"/>
        </w:rPr>
      </w:pPr>
      <w:r>
        <w:rPr>
          <w:color w:val="auto"/>
        </w:rPr>
        <w:fldChar w:fldCharType="begin"/>
      </w:r>
      <w:r>
        <w:rPr>
          <w:color w:val="auto"/>
        </w:rPr>
        <w:instrText xml:space="preserve"> HYPERLINK \l "_Toc351203532" </w:instrText>
      </w:r>
      <w:r>
        <w:rPr>
          <w:color w:val="auto"/>
        </w:rPr>
        <w:fldChar w:fldCharType="separate"/>
      </w:r>
      <w:r>
        <w:rPr>
          <w:rStyle w:val="64"/>
          <w:rFonts w:hint="eastAsia" w:asciiTheme="minorEastAsia" w:hAnsiTheme="minorEastAsia" w:eastAsiaTheme="minorEastAsia"/>
          <w:color w:val="auto"/>
          <w:sz w:val="24"/>
          <w:szCs w:val="24"/>
        </w:rPr>
        <w:t>4. 工程设计</w:t>
      </w:r>
      <w:r>
        <w:rPr>
          <w:rStyle w:val="64"/>
          <w:rFonts w:hint="eastAsia" w:asciiTheme="minorEastAsia" w:hAnsiTheme="minorEastAsia" w:eastAsiaTheme="minorEastAsia"/>
          <w:color w:val="auto"/>
          <w:sz w:val="24"/>
          <w:szCs w:val="24"/>
        </w:rPr>
        <w:fldChar w:fldCharType="end"/>
      </w:r>
      <w:r>
        <w:rPr>
          <w:rStyle w:val="64"/>
          <w:rFonts w:hint="eastAsia" w:asciiTheme="minorEastAsia" w:hAnsiTheme="minorEastAsia" w:eastAsiaTheme="minorEastAsia"/>
          <w:color w:val="auto"/>
          <w:sz w:val="24"/>
          <w:szCs w:val="24"/>
        </w:rPr>
        <w:t>资料</w:t>
      </w:r>
      <w:r>
        <w:rPr>
          <w:rFonts w:hint="eastAsia" w:asciiTheme="minorEastAsia" w:hAnsiTheme="minorEastAsia" w:eastAsiaTheme="minorEastAsia"/>
          <w:color w:val="auto"/>
          <w:sz w:val="24"/>
          <w:szCs w:val="24"/>
        </w:rPr>
        <w:tab/>
      </w:r>
      <w:r>
        <w:rPr>
          <w:rFonts w:hint="eastAsia" w:asciiTheme="minorEastAsia" w:hAnsiTheme="minorEastAsia" w:eastAsiaTheme="minorEastAsia"/>
          <w:color w:val="auto"/>
          <w:sz w:val="24"/>
          <w:szCs w:val="24"/>
        </w:rPr>
        <w:t>2</w:t>
      </w:r>
      <w:r>
        <w:rPr>
          <w:rFonts w:asciiTheme="minorEastAsia" w:hAnsiTheme="minorEastAsia" w:eastAsiaTheme="minorEastAsia"/>
          <w:color w:val="auto"/>
          <w:sz w:val="24"/>
          <w:szCs w:val="24"/>
        </w:rPr>
        <w:t>1</w:t>
      </w:r>
    </w:p>
    <w:p>
      <w:pPr>
        <w:pStyle w:val="28"/>
        <w:tabs>
          <w:tab w:val="right" w:leader="middleDot" w:pos="8400"/>
        </w:tabs>
        <w:spacing w:line="360" w:lineRule="auto"/>
        <w:ind w:firstLine="210" w:firstLineChars="100"/>
        <w:rPr>
          <w:rFonts w:asciiTheme="minorEastAsia" w:hAnsiTheme="minorEastAsia" w:eastAsiaTheme="minorEastAsia"/>
          <w:color w:val="auto"/>
          <w:sz w:val="24"/>
          <w:szCs w:val="24"/>
        </w:rPr>
      </w:pPr>
      <w:r>
        <w:rPr>
          <w:color w:val="auto"/>
        </w:rPr>
        <w:fldChar w:fldCharType="begin"/>
      </w:r>
      <w:r>
        <w:rPr>
          <w:color w:val="auto"/>
        </w:rPr>
        <w:instrText xml:space="preserve"> HYPERLINK \l "_Toc351203533" </w:instrText>
      </w:r>
      <w:r>
        <w:rPr>
          <w:color w:val="auto"/>
        </w:rPr>
        <w:fldChar w:fldCharType="separate"/>
      </w:r>
      <w:r>
        <w:rPr>
          <w:rStyle w:val="64"/>
          <w:rFonts w:hint="eastAsia" w:asciiTheme="minorEastAsia" w:hAnsiTheme="minorEastAsia" w:eastAsiaTheme="minorEastAsia"/>
          <w:color w:val="auto"/>
          <w:sz w:val="24"/>
          <w:szCs w:val="24"/>
        </w:rPr>
        <w:t>4.1 提供工程设计资料</w:t>
      </w:r>
      <w:r>
        <w:rPr>
          <w:rStyle w:val="64"/>
          <w:rFonts w:hint="eastAsia" w:asciiTheme="minorEastAsia" w:hAnsiTheme="minorEastAsia" w:eastAsiaTheme="minorEastAsia"/>
          <w:color w:val="auto"/>
          <w:sz w:val="24"/>
          <w:szCs w:val="24"/>
        </w:rPr>
        <w:fldChar w:fldCharType="end"/>
      </w:r>
    </w:p>
    <w:p>
      <w:pPr>
        <w:pStyle w:val="28"/>
        <w:tabs>
          <w:tab w:val="right" w:leader="middleDot" w:pos="8400"/>
        </w:tabs>
        <w:spacing w:line="360" w:lineRule="auto"/>
        <w:ind w:firstLine="210" w:firstLineChars="100"/>
        <w:rPr>
          <w:rFonts w:asciiTheme="minorEastAsia" w:hAnsiTheme="minorEastAsia" w:eastAsiaTheme="minorEastAsia"/>
          <w:color w:val="auto"/>
          <w:sz w:val="24"/>
          <w:szCs w:val="24"/>
        </w:rPr>
      </w:pPr>
      <w:r>
        <w:rPr>
          <w:color w:val="auto"/>
        </w:rPr>
        <w:fldChar w:fldCharType="begin"/>
      </w:r>
      <w:r>
        <w:rPr>
          <w:color w:val="auto"/>
        </w:rPr>
        <w:instrText xml:space="preserve"> HYPERLINK \l "_Toc351203534" </w:instrText>
      </w:r>
      <w:r>
        <w:rPr>
          <w:color w:val="auto"/>
        </w:rPr>
        <w:fldChar w:fldCharType="separate"/>
      </w:r>
      <w:r>
        <w:rPr>
          <w:rStyle w:val="64"/>
          <w:rFonts w:hint="eastAsia" w:asciiTheme="minorEastAsia" w:hAnsiTheme="minorEastAsia" w:eastAsiaTheme="minorEastAsia"/>
          <w:color w:val="auto"/>
          <w:sz w:val="24"/>
          <w:szCs w:val="24"/>
        </w:rPr>
        <w:t>4.2 逾期提供的责任</w:t>
      </w:r>
      <w:r>
        <w:rPr>
          <w:rStyle w:val="64"/>
          <w:rFonts w:hint="eastAsia" w:asciiTheme="minorEastAsia" w:hAnsiTheme="minorEastAsia" w:eastAsiaTheme="minorEastAsia"/>
          <w:color w:val="auto"/>
          <w:sz w:val="24"/>
          <w:szCs w:val="24"/>
        </w:rPr>
        <w:fldChar w:fldCharType="end"/>
      </w:r>
    </w:p>
    <w:p>
      <w:pPr>
        <w:pStyle w:val="39"/>
        <w:tabs>
          <w:tab w:val="right" w:leader="middleDot" w:pos="8400"/>
        </w:tabs>
        <w:spacing w:line="360" w:lineRule="auto"/>
        <w:ind w:firstLine="210" w:firstLineChars="100"/>
        <w:rPr>
          <w:rFonts w:asciiTheme="minorEastAsia" w:hAnsiTheme="minorEastAsia" w:eastAsiaTheme="minorEastAsia"/>
          <w:color w:val="auto"/>
          <w:sz w:val="24"/>
          <w:szCs w:val="24"/>
        </w:rPr>
      </w:pPr>
      <w:r>
        <w:rPr>
          <w:color w:val="auto"/>
        </w:rPr>
        <w:fldChar w:fldCharType="begin"/>
      </w:r>
      <w:r>
        <w:rPr>
          <w:color w:val="auto"/>
        </w:rPr>
        <w:instrText xml:space="preserve"> HYPERLINK \l "_Toc351203538" </w:instrText>
      </w:r>
      <w:r>
        <w:rPr>
          <w:color w:val="auto"/>
        </w:rPr>
        <w:fldChar w:fldCharType="separate"/>
      </w:r>
      <w:r>
        <w:rPr>
          <w:rStyle w:val="64"/>
          <w:rFonts w:hint="eastAsia" w:asciiTheme="minorEastAsia" w:hAnsiTheme="minorEastAsia" w:eastAsiaTheme="minorEastAsia"/>
          <w:color w:val="auto"/>
          <w:sz w:val="24"/>
          <w:szCs w:val="24"/>
        </w:rPr>
        <w:t>5. 工程设计要求</w:t>
      </w:r>
      <w:r>
        <w:rPr>
          <w:rStyle w:val="64"/>
          <w:rFonts w:hint="eastAsia" w:asciiTheme="minorEastAsia" w:hAnsiTheme="minorEastAsia" w:eastAsiaTheme="minorEastAsia"/>
          <w:color w:val="auto"/>
          <w:sz w:val="24"/>
          <w:szCs w:val="24"/>
        </w:rPr>
        <w:fldChar w:fldCharType="end"/>
      </w:r>
      <w:r>
        <w:rPr>
          <w:rFonts w:hint="eastAsia" w:asciiTheme="minorEastAsia" w:hAnsiTheme="minorEastAsia" w:eastAsiaTheme="minorEastAsia"/>
          <w:color w:val="auto"/>
          <w:sz w:val="24"/>
          <w:szCs w:val="24"/>
        </w:rPr>
        <w:tab/>
      </w:r>
      <w:r>
        <w:rPr>
          <w:rFonts w:hint="eastAsia" w:asciiTheme="minorEastAsia" w:hAnsiTheme="minorEastAsia" w:eastAsiaTheme="minorEastAsia"/>
          <w:color w:val="auto"/>
          <w:sz w:val="24"/>
          <w:szCs w:val="24"/>
        </w:rPr>
        <w:t>2</w:t>
      </w:r>
      <w:r>
        <w:rPr>
          <w:rFonts w:asciiTheme="minorEastAsia" w:hAnsiTheme="minorEastAsia" w:eastAsiaTheme="minorEastAsia"/>
          <w:color w:val="auto"/>
          <w:sz w:val="24"/>
          <w:szCs w:val="24"/>
        </w:rPr>
        <w:t>1</w:t>
      </w:r>
    </w:p>
    <w:p>
      <w:pPr>
        <w:pStyle w:val="28"/>
        <w:tabs>
          <w:tab w:val="right" w:leader="middleDot" w:pos="8400"/>
        </w:tabs>
        <w:spacing w:line="360" w:lineRule="auto"/>
        <w:ind w:firstLine="210" w:firstLineChars="100"/>
        <w:rPr>
          <w:rFonts w:asciiTheme="minorEastAsia" w:hAnsiTheme="minorEastAsia" w:eastAsiaTheme="minorEastAsia"/>
          <w:color w:val="auto"/>
          <w:sz w:val="24"/>
          <w:szCs w:val="24"/>
        </w:rPr>
      </w:pPr>
      <w:r>
        <w:rPr>
          <w:color w:val="auto"/>
        </w:rPr>
        <w:fldChar w:fldCharType="begin"/>
      </w:r>
      <w:r>
        <w:rPr>
          <w:color w:val="auto"/>
        </w:rPr>
        <w:instrText xml:space="preserve"> HYPERLINK \l "_Toc351203539" </w:instrText>
      </w:r>
      <w:r>
        <w:rPr>
          <w:color w:val="auto"/>
        </w:rPr>
        <w:fldChar w:fldCharType="separate"/>
      </w:r>
      <w:r>
        <w:rPr>
          <w:rStyle w:val="64"/>
          <w:rFonts w:hint="eastAsia" w:asciiTheme="minorEastAsia" w:hAnsiTheme="minorEastAsia" w:eastAsiaTheme="minorEastAsia"/>
          <w:color w:val="auto"/>
          <w:sz w:val="24"/>
          <w:szCs w:val="24"/>
        </w:rPr>
        <w:t>5.1 工程设计一般要求</w:t>
      </w:r>
      <w:r>
        <w:rPr>
          <w:rStyle w:val="64"/>
          <w:rFonts w:hint="eastAsia" w:asciiTheme="minorEastAsia" w:hAnsiTheme="minorEastAsia" w:eastAsiaTheme="minorEastAsia"/>
          <w:color w:val="auto"/>
          <w:sz w:val="24"/>
          <w:szCs w:val="24"/>
        </w:rPr>
        <w:fldChar w:fldCharType="end"/>
      </w:r>
    </w:p>
    <w:p>
      <w:pPr>
        <w:pStyle w:val="28"/>
        <w:tabs>
          <w:tab w:val="right" w:leader="middleDot" w:pos="8400"/>
        </w:tabs>
        <w:spacing w:line="360" w:lineRule="auto"/>
        <w:ind w:firstLine="210" w:firstLineChars="100"/>
        <w:rPr>
          <w:rFonts w:asciiTheme="minorEastAsia" w:hAnsiTheme="minorEastAsia" w:eastAsiaTheme="minorEastAsia"/>
          <w:color w:val="auto"/>
          <w:sz w:val="24"/>
          <w:szCs w:val="24"/>
        </w:rPr>
      </w:pPr>
      <w:r>
        <w:rPr>
          <w:color w:val="auto"/>
        </w:rPr>
        <w:fldChar w:fldCharType="begin"/>
      </w:r>
      <w:r>
        <w:rPr>
          <w:color w:val="auto"/>
        </w:rPr>
        <w:instrText xml:space="preserve"> HYPERLINK \l "_Toc351203540" </w:instrText>
      </w:r>
      <w:r>
        <w:rPr>
          <w:color w:val="auto"/>
        </w:rPr>
        <w:fldChar w:fldCharType="separate"/>
      </w:r>
      <w:r>
        <w:rPr>
          <w:rStyle w:val="64"/>
          <w:rFonts w:hint="eastAsia" w:asciiTheme="minorEastAsia" w:hAnsiTheme="minorEastAsia" w:eastAsiaTheme="minorEastAsia"/>
          <w:color w:val="auto"/>
          <w:sz w:val="24"/>
          <w:szCs w:val="24"/>
        </w:rPr>
        <w:t>5.2 工程设计保证措施</w:t>
      </w:r>
      <w:r>
        <w:rPr>
          <w:rStyle w:val="64"/>
          <w:rFonts w:hint="eastAsia" w:asciiTheme="minorEastAsia" w:hAnsiTheme="minorEastAsia" w:eastAsiaTheme="minorEastAsia"/>
          <w:color w:val="auto"/>
          <w:sz w:val="24"/>
          <w:szCs w:val="24"/>
        </w:rPr>
        <w:fldChar w:fldCharType="end"/>
      </w:r>
    </w:p>
    <w:p>
      <w:pPr>
        <w:pStyle w:val="28"/>
        <w:tabs>
          <w:tab w:val="right" w:leader="middleDot" w:pos="8400"/>
        </w:tabs>
        <w:spacing w:line="360" w:lineRule="auto"/>
        <w:ind w:firstLine="210" w:firstLineChars="100"/>
        <w:rPr>
          <w:rFonts w:asciiTheme="minorEastAsia" w:hAnsiTheme="minorEastAsia" w:eastAsiaTheme="minorEastAsia"/>
          <w:color w:val="auto"/>
          <w:sz w:val="24"/>
          <w:szCs w:val="24"/>
        </w:rPr>
      </w:pPr>
      <w:r>
        <w:rPr>
          <w:color w:val="auto"/>
        </w:rPr>
        <w:fldChar w:fldCharType="begin"/>
      </w:r>
      <w:r>
        <w:rPr>
          <w:color w:val="auto"/>
        </w:rPr>
        <w:instrText xml:space="preserve"> HYPERLINK \l "_Toc351203541" </w:instrText>
      </w:r>
      <w:r>
        <w:rPr>
          <w:color w:val="auto"/>
        </w:rPr>
        <w:fldChar w:fldCharType="separate"/>
      </w:r>
      <w:r>
        <w:rPr>
          <w:rStyle w:val="64"/>
          <w:rFonts w:hint="eastAsia" w:asciiTheme="minorEastAsia" w:hAnsiTheme="minorEastAsia" w:eastAsiaTheme="minorEastAsia"/>
          <w:color w:val="auto"/>
          <w:sz w:val="24"/>
          <w:szCs w:val="24"/>
        </w:rPr>
        <w:t>5.3 工程设计文件的要求</w:t>
      </w:r>
      <w:r>
        <w:rPr>
          <w:rStyle w:val="64"/>
          <w:rFonts w:hint="eastAsia" w:asciiTheme="minorEastAsia" w:hAnsiTheme="minorEastAsia" w:eastAsiaTheme="minorEastAsia"/>
          <w:color w:val="auto"/>
          <w:sz w:val="24"/>
          <w:szCs w:val="24"/>
        </w:rPr>
        <w:fldChar w:fldCharType="end"/>
      </w:r>
    </w:p>
    <w:p>
      <w:pPr>
        <w:pStyle w:val="28"/>
        <w:tabs>
          <w:tab w:val="right" w:leader="middleDot" w:pos="8400"/>
        </w:tabs>
        <w:spacing w:line="360" w:lineRule="auto"/>
        <w:ind w:firstLine="210" w:firstLineChars="100"/>
        <w:rPr>
          <w:rFonts w:asciiTheme="minorEastAsia" w:hAnsiTheme="minorEastAsia" w:eastAsiaTheme="minorEastAsia"/>
          <w:color w:val="auto"/>
          <w:sz w:val="24"/>
          <w:szCs w:val="24"/>
        </w:rPr>
      </w:pPr>
      <w:r>
        <w:rPr>
          <w:color w:val="auto"/>
        </w:rPr>
        <w:fldChar w:fldCharType="begin"/>
      </w:r>
      <w:r>
        <w:rPr>
          <w:color w:val="auto"/>
        </w:rPr>
        <w:instrText xml:space="preserve"> HYPERLINK \l "_Toc351203541" </w:instrText>
      </w:r>
      <w:r>
        <w:rPr>
          <w:color w:val="auto"/>
        </w:rPr>
        <w:fldChar w:fldCharType="separate"/>
      </w:r>
      <w:r>
        <w:rPr>
          <w:rStyle w:val="64"/>
          <w:rFonts w:hint="eastAsia" w:asciiTheme="minorEastAsia" w:hAnsiTheme="minorEastAsia" w:eastAsiaTheme="minorEastAsia"/>
          <w:color w:val="auto"/>
          <w:sz w:val="24"/>
          <w:szCs w:val="24"/>
        </w:rPr>
        <w:t>5.4 不合格工程设计文件的处理</w:t>
      </w:r>
      <w:r>
        <w:rPr>
          <w:rStyle w:val="64"/>
          <w:rFonts w:hint="eastAsia" w:asciiTheme="minorEastAsia" w:hAnsiTheme="minorEastAsia" w:eastAsiaTheme="minorEastAsia"/>
          <w:color w:val="auto"/>
          <w:sz w:val="24"/>
          <w:szCs w:val="24"/>
        </w:rPr>
        <w:fldChar w:fldCharType="end"/>
      </w:r>
    </w:p>
    <w:p>
      <w:pPr>
        <w:pStyle w:val="39"/>
        <w:tabs>
          <w:tab w:val="right" w:leader="middleDot" w:pos="8400"/>
        </w:tabs>
        <w:spacing w:line="360" w:lineRule="auto"/>
        <w:ind w:firstLine="210" w:firstLineChars="100"/>
        <w:rPr>
          <w:rFonts w:asciiTheme="minorEastAsia" w:hAnsiTheme="minorEastAsia" w:eastAsiaTheme="minorEastAsia"/>
          <w:color w:val="auto"/>
          <w:sz w:val="24"/>
          <w:szCs w:val="24"/>
        </w:rPr>
      </w:pPr>
      <w:r>
        <w:rPr>
          <w:color w:val="auto"/>
        </w:rPr>
        <w:fldChar w:fldCharType="begin"/>
      </w:r>
      <w:r>
        <w:rPr>
          <w:color w:val="auto"/>
        </w:rPr>
        <w:instrText xml:space="preserve"> HYPERLINK \l "_Toc351203542" </w:instrText>
      </w:r>
      <w:r>
        <w:rPr>
          <w:color w:val="auto"/>
        </w:rPr>
        <w:fldChar w:fldCharType="separate"/>
      </w:r>
      <w:r>
        <w:rPr>
          <w:rStyle w:val="64"/>
          <w:rFonts w:hint="eastAsia" w:asciiTheme="minorEastAsia" w:hAnsiTheme="minorEastAsia" w:eastAsiaTheme="minorEastAsia"/>
          <w:color w:val="auto"/>
          <w:sz w:val="24"/>
          <w:szCs w:val="24"/>
        </w:rPr>
        <w:t>6. 工程设计进度与周期</w:t>
      </w:r>
      <w:r>
        <w:rPr>
          <w:rStyle w:val="64"/>
          <w:rFonts w:hint="eastAsia" w:asciiTheme="minorEastAsia" w:hAnsiTheme="minorEastAsia" w:eastAsiaTheme="minorEastAsia"/>
          <w:color w:val="auto"/>
          <w:sz w:val="24"/>
          <w:szCs w:val="24"/>
        </w:rPr>
        <w:fldChar w:fldCharType="end"/>
      </w:r>
      <w:r>
        <w:rPr>
          <w:rFonts w:hint="eastAsia" w:asciiTheme="minorEastAsia" w:hAnsiTheme="minorEastAsia" w:eastAsiaTheme="minorEastAsia"/>
          <w:color w:val="auto"/>
          <w:sz w:val="24"/>
          <w:szCs w:val="24"/>
        </w:rPr>
        <w:tab/>
      </w:r>
      <w:r>
        <w:rPr>
          <w:rFonts w:hint="eastAsia" w:asciiTheme="minorEastAsia" w:hAnsiTheme="minorEastAsia" w:eastAsiaTheme="minorEastAsia"/>
          <w:color w:val="auto"/>
          <w:sz w:val="24"/>
          <w:szCs w:val="24"/>
        </w:rPr>
        <w:t>2</w:t>
      </w:r>
      <w:r>
        <w:rPr>
          <w:rFonts w:asciiTheme="minorEastAsia" w:hAnsiTheme="minorEastAsia" w:eastAsiaTheme="minorEastAsia"/>
          <w:color w:val="auto"/>
          <w:sz w:val="24"/>
          <w:szCs w:val="24"/>
        </w:rPr>
        <w:t>3</w:t>
      </w:r>
    </w:p>
    <w:p>
      <w:pPr>
        <w:pStyle w:val="28"/>
        <w:tabs>
          <w:tab w:val="right" w:leader="middleDot" w:pos="8400"/>
        </w:tabs>
        <w:spacing w:line="360" w:lineRule="auto"/>
        <w:ind w:firstLine="210" w:firstLineChars="100"/>
        <w:rPr>
          <w:rFonts w:asciiTheme="minorEastAsia" w:hAnsiTheme="minorEastAsia" w:eastAsiaTheme="minorEastAsia"/>
          <w:color w:val="auto"/>
          <w:sz w:val="24"/>
          <w:szCs w:val="24"/>
        </w:rPr>
      </w:pPr>
      <w:r>
        <w:rPr>
          <w:color w:val="auto"/>
        </w:rPr>
        <w:fldChar w:fldCharType="begin"/>
      </w:r>
      <w:r>
        <w:rPr>
          <w:color w:val="auto"/>
        </w:rPr>
        <w:instrText xml:space="preserve"> HYPERLINK \l "_Toc351203543" </w:instrText>
      </w:r>
      <w:r>
        <w:rPr>
          <w:color w:val="auto"/>
        </w:rPr>
        <w:fldChar w:fldCharType="separate"/>
      </w:r>
      <w:r>
        <w:rPr>
          <w:rStyle w:val="64"/>
          <w:rFonts w:hint="eastAsia" w:asciiTheme="minorEastAsia" w:hAnsiTheme="minorEastAsia" w:eastAsiaTheme="minorEastAsia"/>
          <w:color w:val="auto"/>
          <w:sz w:val="24"/>
          <w:szCs w:val="24"/>
        </w:rPr>
        <w:t>6.1 工程设计进度计划</w:t>
      </w:r>
      <w:r>
        <w:rPr>
          <w:rStyle w:val="64"/>
          <w:rFonts w:hint="eastAsia" w:asciiTheme="minorEastAsia" w:hAnsiTheme="minorEastAsia" w:eastAsiaTheme="minorEastAsia"/>
          <w:color w:val="auto"/>
          <w:sz w:val="24"/>
          <w:szCs w:val="24"/>
        </w:rPr>
        <w:fldChar w:fldCharType="end"/>
      </w:r>
    </w:p>
    <w:p>
      <w:pPr>
        <w:pStyle w:val="28"/>
        <w:tabs>
          <w:tab w:val="right" w:leader="middleDot" w:pos="8400"/>
        </w:tabs>
        <w:spacing w:line="360" w:lineRule="auto"/>
        <w:ind w:firstLine="210" w:firstLineChars="100"/>
        <w:rPr>
          <w:rFonts w:asciiTheme="minorEastAsia" w:hAnsiTheme="minorEastAsia" w:eastAsiaTheme="minorEastAsia"/>
          <w:color w:val="auto"/>
          <w:sz w:val="24"/>
          <w:szCs w:val="24"/>
        </w:rPr>
      </w:pPr>
      <w:r>
        <w:rPr>
          <w:color w:val="auto"/>
        </w:rPr>
        <w:fldChar w:fldCharType="begin"/>
      </w:r>
      <w:r>
        <w:rPr>
          <w:color w:val="auto"/>
        </w:rPr>
        <w:instrText xml:space="preserve"> HYPERLINK \l "_Toc351203544" </w:instrText>
      </w:r>
      <w:r>
        <w:rPr>
          <w:color w:val="auto"/>
        </w:rPr>
        <w:fldChar w:fldCharType="separate"/>
      </w:r>
      <w:r>
        <w:rPr>
          <w:rStyle w:val="64"/>
          <w:rFonts w:hint="eastAsia" w:asciiTheme="minorEastAsia" w:hAnsiTheme="minorEastAsia" w:eastAsiaTheme="minorEastAsia"/>
          <w:color w:val="auto"/>
          <w:sz w:val="24"/>
          <w:szCs w:val="24"/>
        </w:rPr>
        <w:t>6.2 工程设计开始</w:t>
      </w:r>
      <w:r>
        <w:rPr>
          <w:rStyle w:val="64"/>
          <w:rFonts w:hint="eastAsia" w:asciiTheme="minorEastAsia" w:hAnsiTheme="minorEastAsia" w:eastAsiaTheme="minorEastAsia"/>
          <w:color w:val="auto"/>
          <w:sz w:val="24"/>
          <w:szCs w:val="24"/>
        </w:rPr>
        <w:fldChar w:fldCharType="end"/>
      </w:r>
    </w:p>
    <w:p>
      <w:pPr>
        <w:pStyle w:val="28"/>
        <w:tabs>
          <w:tab w:val="right" w:leader="middleDot" w:pos="8400"/>
        </w:tabs>
        <w:spacing w:line="360" w:lineRule="auto"/>
        <w:ind w:firstLine="210" w:firstLineChars="100"/>
        <w:rPr>
          <w:rFonts w:asciiTheme="minorEastAsia" w:hAnsiTheme="minorEastAsia" w:eastAsiaTheme="minorEastAsia"/>
          <w:color w:val="auto"/>
          <w:sz w:val="24"/>
          <w:szCs w:val="24"/>
        </w:rPr>
      </w:pPr>
      <w:r>
        <w:rPr>
          <w:color w:val="auto"/>
        </w:rPr>
        <w:fldChar w:fldCharType="begin"/>
      </w:r>
      <w:r>
        <w:rPr>
          <w:color w:val="auto"/>
        </w:rPr>
        <w:instrText xml:space="preserve"> HYPERLINK \l "_Toc351203545" </w:instrText>
      </w:r>
      <w:r>
        <w:rPr>
          <w:color w:val="auto"/>
        </w:rPr>
        <w:fldChar w:fldCharType="separate"/>
      </w:r>
      <w:r>
        <w:rPr>
          <w:rStyle w:val="64"/>
          <w:rFonts w:hint="eastAsia" w:asciiTheme="minorEastAsia" w:hAnsiTheme="minorEastAsia" w:eastAsiaTheme="minorEastAsia"/>
          <w:color w:val="auto"/>
          <w:sz w:val="24"/>
          <w:szCs w:val="24"/>
        </w:rPr>
        <w:t>6.3 工程设计进度延误</w:t>
      </w:r>
      <w:r>
        <w:rPr>
          <w:rStyle w:val="64"/>
          <w:rFonts w:hint="eastAsia" w:asciiTheme="minorEastAsia" w:hAnsiTheme="minorEastAsia" w:eastAsiaTheme="minorEastAsia"/>
          <w:color w:val="auto"/>
          <w:sz w:val="24"/>
          <w:szCs w:val="24"/>
        </w:rPr>
        <w:fldChar w:fldCharType="end"/>
      </w:r>
    </w:p>
    <w:p>
      <w:pPr>
        <w:pStyle w:val="28"/>
        <w:tabs>
          <w:tab w:val="right" w:leader="middleDot" w:pos="8400"/>
        </w:tabs>
        <w:spacing w:line="360" w:lineRule="auto"/>
        <w:ind w:firstLine="210" w:firstLineChars="100"/>
        <w:rPr>
          <w:rFonts w:asciiTheme="minorEastAsia" w:hAnsiTheme="minorEastAsia" w:eastAsiaTheme="minorEastAsia"/>
          <w:color w:val="auto"/>
          <w:sz w:val="24"/>
          <w:szCs w:val="24"/>
        </w:rPr>
      </w:pPr>
      <w:r>
        <w:rPr>
          <w:color w:val="auto"/>
        </w:rPr>
        <w:fldChar w:fldCharType="begin"/>
      </w:r>
      <w:r>
        <w:rPr>
          <w:color w:val="auto"/>
        </w:rPr>
        <w:instrText xml:space="preserve"> HYPERLINK \l "_Toc351203546" </w:instrText>
      </w:r>
      <w:r>
        <w:rPr>
          <w:color w:val="auto"/>
        </w:rPr>
        <w:fldChar w:fldCharType="separate"/>
      </w:r>
      <w:r>
        <w:rPr>
          <w:rStyle w:val="64"/>
          <w:rFonts w:hint="eastAsia" w:asciiTheme="minorEastAsia" w:hAnsiTheme="minorEastAsia" w:eastAsiaTheme="minorEastAsia"/>
          <w:color w:val="auto"/>
          <w:sz w:val="24"/>
          <w:szCs w:val="24"/>
        </w:rPr>
        <w:t>6.4 暂停设计</w:t>
      </w:r>
      <w:r>
        <w:rPr>
          <w:rStyle w:val="64"/>
          <w:rFonts w:hint="eastAsia" w:asciiTheme="minorEastAsia" w:hAnsiTheme="minorEastAsia" w:eastAsiaTheme="minorEastAsia"/>
          <w:color w:val="auto"/>
          <w:sz w:val="24"/>
          <w:szCs w:val="24"/>
        </w:rPr>
        <w:fldChar w:fldCharType="end"/>
      </w:r>
    </w:p>
    <w:p>
      <w:pPr>
        <w:pStyle w:val="28"/>
        <w:tabs>
          <w:tab w:val="right" w:leader="middleDot" w:pos="8400"/>
        </w:tabs>
        <w:spacing w:line="360" w:lineRule="auto"/>
        <w:ind w:firstLine="210" w:firstLineChars="100"/>
        <w:rPr>
          <w:rFonts w:asciiTheme="minorEastAsia" w:hAnsiTheme="minorEastAsia" w:eastAsiaTheme="minorEastAsia"/>
          <w:color w:val="auto"/>
          <w:sz w:val="24"/>
          <w:szCs w:val="24"/>
        </w:rPr>
      </w:pPr>
      <w:r>
        <w:rPr>
          <w:color w:val="auto"/>
        </w:rPr>
        <w:fldChar w:fldCharType="begin"/>
      </w:r>
      <w:r>
        <w:rPr>
          <w:color w:val="auto"/>
        </w:rPr>
        <w:instrText xml:space="preserve"> HYPERLINK \l "_Toc351203547" </w:instrText>
      </w:r>
      <w:r>
        <w:rPr>
          <w:color w:val="auto"/>
        </w:rPr>
        <w:fldChar w:fldCharType="separate"/>
      </w:r>
      <w:r>
        <w:rPr>
          <w:rStyle w:val="64"/>
          <w:rFonts w:hint="eastAsia" w:asciiTheme="minorEastAsia" w:hAnsiTheme="minorEastAsia" w:eastAsiaTheme="minorEastAsia"/>
          <w:color w:val="auto"/>
          <w:sz w:val="24"/>
          <w:szCs w:val="24"/>
        </w:rPr>
        <w:t>6.5 提前交付工程设计文件</w:t>
      </w:r>
      <w:r>
        <w:rPr>
          <w:rStyle w:val="64"/>
          <w:rFonts w:hint="eastAsia" w:asciiTheme="minorEastAsia" w:hAnsiTheme="minorEastAsia" w:eastAsiaTheme="minorEastAsia"/>
          <w:color w:val="auto"/>
          <w:sz w:val="24"/>
          <w:szCs w:val="24"/>
        </w:rPr>
        <w:fldChar w:fldCharType="end"/>
      </w:r>
    </w:p>
    <w:p>
      <w:pPr>
        <w:pStyle w:val="39"/>
        <w:tabs>
          <w:tab w:val="right" w:leader="middleDot" w:pos="8400"/>
        </w:tabs>
        <w:spacing w:line="360" w:lineRule="auto"/>
        <w:ind w:firstLine="240" w:firstLineChars="1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7</w:t>
      </w:r>
      <w:r>
        <w:rPr>
          <w:color w:val="auto"/>
        </w:rPr>
        <w:fldChar w:fldCharType="begin"/>
      </w:r>
      <w:r>
        <w:rPr>
          <w:color w:val="auto"/>
        </w:rPr>
        <w:instrText xml:space="preserve"> HYPERLINK \l "_Toc351203562" </w:instrText>
      </w:r>
      <w:r>
        <w:rPr>
          <w:color w:val="auto"/>
        </w:rPr>
        <w:fldChar w:fldCharType="separate"/>
      </w:r>
      <w:r>
        <w:rPr>
          <w:rStyle w:val="64"/>
          <w:rFonts w:hint="eastAsia" w:asciiTheme="minorEastAsia" w:hAnsiTheme="minorEastAsia" w:eastAsiaTheme="minorEastAsia"/>
          <w:color w:val="auto"/>
          <w:sz w:val="24"/>
          <w:szCs w:val="24"/>
        </w:rPr>
        <w:t>. 工程设计文件交付</w:t>
      </w:r>
      <w:r>
        <w:rPr>
          <w:rStyle w:val="64"/>
          <w:rFonts w:hint="eastAsia" w:asciiTheme="minorEastAsia" w:hAnsiTheme="minorEastAsia" w:eastAsiaTheme="minorEastAsia"/>
          <w:color w:val="auto"/>
          <w:sz w:val="24"/>
          <w:szCs w:val="24"/>
        </w:rPr>
        <w:fldChar w:fldCharType="end"/>
      </w:r>
      <w:r>
        <w:rPr>
          <w:rFonts w:hint="eastAsia" w:asciiTheme="minorEastAsia" w:hAnsiTheme="minorEastAsia" w:eastAsiaTheme="minorEastAsia"/>
          <w:color w:val="auto"/>
          <w:sz w:val="24"/>
          <w:szCs w:val="24"/>
        </w:rPr>
        <w:tab/>
      </w:r>
      <w:r>
        <w:rPr>
          <w:rFonts w:asciiTheme="minorEastAsia" w:hAnsiTheme="minorEastAsia" w:eastAsiaTheme="minorEastAsia"/>
          <w:color w:val="auto"/>
          <w:sz w:val="24"/>
          <w:szCs w:val="24"/>
        </w:rPr>
        <w:t>25</w:t>
      </w:r>
    </w:p>
    <w:p>
      <w:pPr>
        <w:pStyle w:val="39"/>
        <w:tabs>
          <w:tab w:val="right" w:leader="middleDot" w:pos="8400"/>
        </w:tabs>
        <w:spacing w:line="360" w:lineRule="auto"/>
        <w:ind w:firstLine="210" w:firstLineChars="100"/>
        <w:rPr>
          <w:rFonts w:asciiTheme="minorEastAsia" w:hAnsiTheme="minorEastAsia" w:eastAsiaTheme="minorEastAsia"/>
          <w:color w:val="auto"/>
          <w:sz w:val="24"/>
          <w:szCs w:val="24"/>
        </w:rPr>
      </w:pPr>
      <w:r>
        <w:rPr>
          <w:color w:val="auto"/>
        </w:rPr>
        <w:fldChar w:fldCharType="begin"/>
      </w:r>
      <w:r>
        <w:rPr>
          <w:color w:val="auto"/>
        </w:rPr>
        <w:instrText xml:space="preserve"> HYPERLINK \l "_Toc351203562" </w:instrText>
      </w:r>
      <w:r>
        <w:rPr>
          <w:color w:val="auto"/>
        </w:rPr>
        <w:fldChar w:fldCharType="separate"/>
      </w:r>
      <w:r>
        <w:rPr>
          <w:rStyle w:val="64"/>
          <w:rFonts w:hint="eastAsia" w:asciiTheme="minorEastAsia" w:hAnsiTheme="minorEastAsia" w:eastAsiaTheme="minorEastAsia"/>
          <w:color w:val="auto"/>
          <w:sz w:val="24"/>
          <w:szCs w:val="24"/>
        </w:rPr>
        <w:t>8. 工程设计文件审查</w:t>
      </w:r>
      <w:r>
        <w:rPr>
          <w:rStyle w:val="64"/>
          <w:rFonts w:hint="eastAsia" w:asciiTheme="minorEastAsia" w:hAnsiTheme="minorEastAsia" w:eastAsiaTheme="minorEastAsia"/>
          <w:color w:val="auto"/>
          <w:sz w:val="24"/>
          <w:szCs w:val="24"/>
        </w:rPr>
        <w:fldChar w:fldCharType="end"/>
      </w:r>
      <w:r>
        <w:rPr>
          <w:rFonts w:hint="eastAsia" w:asciiTheme="minorEastAsia" w:hAnsiTheme="minorEastAsia" w:eastAsiaTheme="minorEastAsia"/>
          <w:color w:val="auto"/>
          <w:sz w:val="24"/>
          <w:szCs w:val="24"/>
        </w:rPr>
        <w:tab/>
      </w:r>
      <w:r>
        <w:rPr>
          <w:rFonts w:asciiTheme="minorEastAsia" w:hAnsiTheme="minorEastAsia" w:eastAsiaTheme="minorEastAsia"/>
          <w:color w:val="auto"/>
          <w:sz w:val="24"/>
          <w:szCs w:val="24"/>
        </w:rPr>
        <w:t>26</w:t>
      </w:r>
    </w:p>
    <w:p>
      <w:pPr>
        <w:pStyle w:val="39"/>
        <w:tabs>
          <w:tab w:val="right" w:leader="middleDot" w:pos="8400"/>
        </w:tabs>
        <w:spacing w:line="360" w:lineRule="auto"/>
        <w:ind w:firstLine="210" w:firstLineChars="100"/>
        <w:rPr>
          <w:rFonts w:asciiTheme="minorEastAsia" w:hAnsiTheme="minorEastAsia" w:eastAsiaTheme="minorEastAsia"/>
          <w:color w:val="auto"/>
          <w:sz w:val="24"/>
          <w:szCs w:val="24"/>
        </w:rPr>
      </w:pPr>
      <w:r>
        <w:rPr>
          <w:color w:val="auto"/>
        </w:rPr>
        <w:fldChar w:fldCharType="begin"/>
      </w:r>
      <w:r>
        <w:rPr>
          <w:color w:val="auto"/>
        </w:rPr>
        <w:instrText xml:space="preserve"> HYPERLINK \l "_Toc351203562" </w:instrText>
      </w:r>
      <w:r>
        <w:rPr>
          <w:color w:val="auto"/>
        </w:rPr>
        <w:fldChar w:fldCharType="separate"/>
      </w:r>
      <w:r>
        <w:rPr>
          <w:rStyle w:val="64"/>
          <w:rFonts w:hint="eastAsia" w:asciiTheme="minorEastAsia" w:hAnsiTheme="minorEastAsia" w:eastAsiaTheme="minorEastAsia"/>
          <w:color w:val="auto"/>
          <w:sz w:val="24"/>
          <w:szCs w:val="24"/>
        </w:rPr>
        <w:t>9. 施工现场配合服务</w:t>
      </w:r>
      <w:r>
        <w:rPr>
          <w:rStyle w:val="64"/>
          <w:rFonts w:hint="eastAsia" w:asciiTheme="minorEastAsia" w:hAnsiTheme="minorEastAsia" w:eastAsiaTheme="minorEastAsia"/>
          <w:color w:val="auto"/>
          <w:sz w:val="24"/>
          <w:szCs w:val="24"/>
        </w:rPr>
        <w:fldChar w:fldCharType="end"/>
      </w:r>
      <w:r>
        <w:rPr>
          <w:rFonts w:hint="eastAsia" w:asciiTheme="minorEastAsia" w:hAnsiTheme="minorEastAsia" w:eastAsiaTheme="minorEastAsia"/>
          <w:color w:val="auto"/>
          <w:sz w:val="24"/>
          <w:szCs w:val="24"/>
        </w:rPr>
        <w:tab/>
      </w:r>
      <w:r>
        <w:rPr>
          <w:rFonts w:asciiTheme="minorEastAsia" w:hAnsiTheme="minorEastAsia" w:eastAsiaTheme="minorEastAsia"/>
          <w:color w:val="auto"/>
          <w:sz w:val="24"/>
          <w:szCs w:val="24"/>
        </w:rPr>
        <w:t>27</w:t>
      </w:r>
    </w:p>
    <w:p>
      <w:pPr>
        <w:pStyle w:val="39"/>
        <w:tabs>
          <w:tab w:val="right" w:leader="middleDot" w:pos="8400"/>
        </w:tabs>
        <w:spacing w:line="360" w:lineRule="auto"/>
        <w:ind w:firstLine="210" w:firstLineChars="100"/>
        <w:rPr>
          <w:rFonts w:asciiTheme="minorEastAsia" w:hAnsiTheme="minorEastAsia" w:eastAsiaTheme="minorEastAsia"/>
          <w:color w:val="auto"/>
          <w:sz w:val="24"/>
          <w:szCs w:val="24"/>
        </w:rPr>
      </w:pPr>
      <w:r>
        <w:rPr>
          <w:color w:val="auto"/>
        </w:rPr>
        <w:fldChar w:fldCharType="begin"/>
      </w:r>
      <w:r>
        <w:rPr>
          <w:color w:val="auto"/>
        </w:rPr>
        <w:instrText xml:space="preserve"> HYPERLINK \l "_Toc351203562" </w:instrText>
      </w:r>
      <w:r>
        <w:rPr>
          <w:color w:val="auto"/>
        </w:rPr>
        <w:fldChar w:fldCharType="separate"/>
      </w:r>
      <w:r>
        <w:rPr>
          <w:rStyle w:val="64"/>
          <w:rFonts w:hint="eastAsia" w:asciiTheme="minorEastAsia" w:hAnsiTheme="minorEastAsia" w:eastAsiaTheme="minorEastAsia"/>
          <w:color w:val="auto"/>
          <w:sz w:val="24"/>
          <w:szCs w:val="24"/>
        </w:rPr>
        <w:t>10. 合同价款与支付</w:t>
      </w:r>
      <w:r>
        <w:rPr>
          <w:rStyle w:val="64"/>
          <w:rFonts w:hint="eastAsia" w:asciiTheme="minorEastAsia" w:hAnsiTheme="minorEastAsia" w:eastAsiaTheme="minorEastAsia"/>
          <w:color w:val="auto"/>
          <w:sz w:val="24"/>
          <w:szCs w:val="24"/>
        </w:rPr>
        <w:fldChar w:fldCharType="end"/>
      </w:r>
      <w:r>
        <w:rPr>
          <w:rFonts w:hint="eastAsia" w:asciiTheme="minorEastAsia" w:hAnsiTheme="minorEastAsia" w:eastAsiaTheme="minorEastAsia"/>
          <w:color w:val="auto"/>
          <w:sz w:val="24"/>
          <w:szCs w:val="24"/>
        </w:rPr>
        <w:tab/>
      </w:r>
      <w:r>
        <w:rPr>
          <w:rFonts w:asciiTheme="minorEastAsia" w:hAnsiTheme="minorEastAsia" w:eastAsiaTheme="minorEastAsia"/>
          <w:color w:val="auto"/>
          <w:sz w:val="24"/>
          <w:szCs w:val="24"/>
        </w:rPr>
        <w:t>27</w:t>
      </w:r>
    </w:p>
    <w:p>
      <w:pPr>
        <w:pStyle w:val="28"/>
        <w:tabs>
          <w:tab w:val="right" w:leader="middleDot" w:pos="8400"/>
        </w:tabs>
        <w:spacing w:line="360" w:lineRule="auto"/>
        <w:ind w:firstLine="210" w:firstLineChars="100"/>
        <w:rPr>
          <w:rFonts w:asciiTheme="minorEastAsia" w:hAnsiTheme="minorEastAsia" w:eastAsiaTheme="minorEastAsia"/>
          <w:color w:val="auto"/>
          <w:sz w:val="24"/>
          <w:szCs w:val="24"/>
        </w:rPr>
      </w:pPr>
      <w:r>
        <w:rPr>
          <w:color w:val="auto"/>
        </w:rPr>
        <w:fldChar w:fldCharType="begin"/>
      </w:r>
      <w:r>
        <w:rPr>
          <w:color w:val="auto"/>
        </w:rPr>
        <w:instrText xml:space="preserve"> HYPERLINK \l "_Toc351203546" </w:instrText>
      </w:r>
      <w:r>
        <w:rPr>
          <w:color w:val="auto"/>
        </w:rPr>
        <w:fldChar w:fldCharType="separate"/>
      </w:r>
      <w:r>
        <w:rPr>
          <w:rStyle w:val="64"/>
          <w:rFonts w:hint="eastAsia" w:asciiTheme="minorEastAsia" w:hAnsiTheme="minorEastAsia" w:eastAsiaTheme="minorEastAsia"/>
          <w:color w:val="auto"/>
          <w:sz w:val="24"/>
          <w:szCs w:val="24"/>
        </w:rPr>
        <w:t>10.1 合同价款组成</w:t>
      </w:r>
      <w:r>
        <w:rPr>
          <w:rStyle w:val="64"/>
          <w:rFonts w:hint="eastAsia" w:asciiTheme="minorEastAsia" w:hAnsiTheme="minorEastAsia" w:eastAsiaTheme="minorEastAsia"/>
          <w:color w:val="auto"/>
          <w:sz w:val="24"/>
          <w:szCs w:val="24"/>
        </w:rPr>
        <w:fldChar w:fldCharType="end"/>
      </w:r>
    </w:p>
    <w:p>
      <w:pPr>
        <w:pStyle w:val="28"/>
        <w:tabs>
          <w:tab w:val="right" w:leader="middleDot" w:pos="8400"/>
        </w:tabs>
        <w:spacing w:line="360" w:lineRule="auto"/>
        <w:ind w:firstLine="210" w:firstLineChars="100"/>
        <w:rPr>
          <w:rFonts w:asciiTheme="minorEastAsia" w:hAnsiTheme="minorEastAsia" w:eastAsiaTheme="minorEastAsia"/>
          <w:color w:val="auto"/>
          <w:sz w:val="24"/>
          <w:szCs w:val="24"/>
        </w:rPr>
      </w:pPr>
      <w:r>
        <w:rPr>
          <w:color w:val="auto"/>
        </w:rPr>
        <w:fldChar w:fldCharType="begin"/>
      </w:r>
      <w:r>
        <w:rPr>
          <w:color w:val="auto"/>
        </w:rPr>
        <w:instrText xml:space="preserve"> HYPERLINK \l "_Toc351203546" </w:instrText>
      </w:r>
      <w:r>
        <w:rPr>
          <w:color w:val="auto"/>
        </w:rPr>
        <w:fldChar w:fldCharType="separate"/>
      </w:r>
      <w:r>
        <w:rPr>
          <w:rStyle w:val="64"/>
          <w:rFonts w:hint="eastAsia" w:asciiTheme="minorEastAsia" w:hAnsiTheme="minorEastAsia" w:eastAsiaTheme="minorEastAsia"/>
          <w:color w:val="auto"/>
          <w:sz w:val="24"/>
          <w:szCs w:val="24"/>
        </w:rPr>
        <w:t>10.2 合同价格形式</w:t>
      </w:r>
      <w:bookmarkStart w:id="3" w:name="_Hlt370150699"/>
      <w:bookmarkEnd w:id="3"/>
      <w:bookmarkStart w:id="4" w:name="_Hlt370150698"/>
      <w:bookmarkEnd w:id="4"/>
      <w:r>
        <w:rPr>
          <w:rStyle w:val="64"/>
          <w:rFonts w:hint="eastAsia" w:asciiTheme="minorEastAsia" w:hAnsiTheme="minorEastAsia" w:eastAsiaTheme="minorEastAsia"/>
          <w:color w:val="auto"/>
          <w:sz w:val="24"/>
          <w:szCs w:val="24"/>
        </w:rPr>
        <w:fldChar w:fldCharType="end"/>
      </w:r>
    </w:p>
    <w:p>
      <w:pPr>
        <w:pStyle w:val="28"/>
        <w:tabs>
          <w:tab w:val="right" w:leader="middleDot" w:pos="8400"/>
        </w:tabs>
        <w:spacing w:line="360" w:lineRule="auto"/>
        <w:ind w:firstLine="210" w:firstLineChars="100"/>
        <w:rPr>
          <w:rFonts w:asciiTheme="minorEastAsia" w:hAnsiTheme="minorEastAsia" w:eastAsiaTheme="minorEastAsia"/>
          <w:color w:val="auto"/>
          <w:sz w:val="24"/>
          <w:szCs w:val="24"/>
        </w:rPr>
      </w:pPr>
      <w:r>
        <w:rPr>
          <w:color w:val="auto"/>
        </w:rPr>
        <w:fldChar w:fldCharType="begin"/>
      </w:r>
      <w:r>
        <w:rPr>
          <w:color w:val="auto"/>
        </w:rPr>
        <w:instrText xml:space="preserve"> HYPERLINK \l "_Toc351203546" </w:instrText>
      </w:r>
      <w:r>
        <w:rPr>
          <w:color w:val="auto"/>
        </w:rPr>
        <w:fldChar w:fldCharType="separate"/>
      </w:r>
      <w:r>
        <w:rPr>
          <w:rStyle w:val="64"/>
          <w:rFonts w:hint="eastAsia" w:asciiTheme="minorEastAsia" w:hAnsiTheme="minorEastAsia" w:eastAsiaTheme="minorEastAsia"/>
          <w:color w:val="auto"/>
          <w:sz w:val="24"/>
          <w:szCs w:val="24"/>
        </w:rPr>
        <w:t>10.3 定金</w:t>
      </w:r>
      <w:r>
        <w:rPr>
          <w:rStyle w:val="64"/>
          <w:rFonts w:hint="eastAsia" w:asciiTheme="minorEastAsia" w:hAnsiTheme="minorEastAsia" w:eastAsiaTheme="minorEastAsia"/>
          <w:color w:val="auto"/>
          <w:sz w:val="24"/>
          <w:szCs w:val="24"/>
        </w:rPr>
        <w:fldChar w:fldCharType="end"/>
      </w:r>
      <w:r>
        <w:rPr>
          <w:rFonts w:hint="eastAsia" w:asciiTheme="minorEastAsia" w:hAnsiTheme="minorEastAsia" w:eastAsiaTheme="minorEastAsia"/>
          <w:color w:val="auto"/>
          <w:sz w:val="24"/>
          <w:szCs w:val="24"/>
        </w:rPr>
        <w:t>或预付款</w:t>
      </w:r>
    </w:p>
    <w:p>
      <w:pPr>
        <w:pStyle w:val="28"/>
        <w:tabs>
          <w:tab w:val="right" w:leader="middleDot" w:pos="8400"/>
        </w:tabs>
        <w:spacing w:line="360" w:lineRule="auto"/>
        <w:ind w:firstLine="210" w:firstLineChars="100"/>
        <w:rPr>
          <w:rFonts w:asciiTheme="minorEastAsia" w:hAnsiTheme="minorEastAsia" w:eastAsiaTheme="minorEastAsia"/>
          <w:color w:val="auto"/>
          <w:sz w:val="24"/>
          <w:szCs w:val="24"/>
        </w:rPr>
      </w:pPr>
      <w:r>
        <w:rPr>
          <w:color w:val="auto"/>
        </w:rPr>
        <w:fldChar w:fldCharType="begin"/>
      </w:r>
      <w:r>
        <w:rPr>
          <w:color w:val="auto"/>
        </w:rPr>
        <w:instrText xml:space="preserve"> HYPERLINK \l "_Toc351203546" </w:instrText>
      </w:r>
      <w:r>
        <w:rPr>
          <w:color w:val="auto"/>
        </w:rPr>
        <w:fldChar w:fldCharType="separate"/>
      </w:r>
      <w:r>
        <w:rPr>
          <w:rStyle w:val="64"/>
          <w:rFonts w:hint="eastAsia" w:asciiTheme="minorEastAsia" w:hAnsiTheme="minorEastAsia" w:eastAsiaTheme="minorEastAsia"/>
          <w:color w:val="auto"/>
          <w:sz w:val="24"/>
          <w:szCs w:val="24"/>
        </w:rPr>
        <w:t>10.4 进度款支付</w:t>
      </w:r>
      <w:r>
        <w:rPr>
          <w:rStyle w:val="64"/>
          <w:rFonts w:hint="eastAsia" w:asciiTheme="minorEastAsia" w:hAnsiTheme="minorEastAsia" w:eastAsiaTheme="minorEastAsia"/>
          <w:color w:val="auto"/>
          <w:sz w:val="24"/>
          <w:szCs w:val="24"/>
        </w:rPr>
        <w:fldChar w:fldCharType="end"/>
      </w:r>
    </w:p>
    <w:p>
      <w:pPr>
        <w:pStyle w:val="28"/>
        <w:tabs>
          <w:tab w:val="right" w:leader="middleDot" w:pos="8400"/>
        </w:tabs>
        <w:spacing w:line="360" w:lineRule="auto"/>
        <w:ind w:firstLine="210" w:firstLineChars="100"/>
        <w:rPr>
          <w:rFonts w:asciiTheme="minorEastAsia" w:hAnsiTheme="minorEastAsia" w:eastAsiaTheme="minorEastAsia"/>
          <w:color w:val="auto"/>
          <w:sz w:val="24"/>
          <w:szCs w:val="24"/>
        </w:rPr>
      </w:pPr>
      <w:r>
        <w:rPr>
          <w:color w:val="auto"/>
        </w:rPr>
        <w:fldChar w:fldCharType="begin"/>
      </w:r>
      <w:r>
        <w:rPr>
          <w:color w:val="auto"/>
        </w:rPr>
        <w:instrText xml:space="preserve"> HYPERLINK \l "_Toc351203546" </w:instrText>
      </w:r>
      <w:r>
        <w:rPr>
          <w:color w:val="auto"/>
        </w:rPr>
        <w:fldChar w:fldCharType="separate"/>
      </w:r>
      <w:r>
        <w:rPr>
          <w:rStyle w:val="64"/>
          <w:rFonts w:hint="eastAsia" w:asciiTheme="minorEastAsia" w:hAnsiTheme="minorEastAsia" w:eastAsiaTheme="minorEastAsia"/>
          <w:color w:val="auto"/>
          <w:sz w:val="24"/>
          <w:szCs w:val="24"/>
        </w:rPr>
        <w:t>10.5 合同价款的结算与支付</w:t>
      </w:r>
      <w:r>
        <w:rPr>
          <w:rStyle w:val="64"/>
          <w:rFonts w:hint="eastAsia" w:asciiTheme="minorEastAsia" w:hAnsiTheme="minorEastAsia" w:eastAsiaTheme="minorEastAsia"/>
          <w:color w:val="auto"/>
          <w:sz w:val="24"/>
          <w:szCs w:val="24"/>
        </w:rPr>
        <w:fldChar w:fldCharType="end"/>
      </w:r>
    </w:p>
    <w:p>
      <w:pPr>
        <w:pStyle w:val="28"/>
        <w:tabs>
          <w:tab w:val="right" w:leader="middleDot" w:pos="8400"/>
        </w:tabs>
        <w:spacing w:line="360" w:lineRule="auto"/>
        <w:ind w:firstLine="210" w:firstLineChars="100"/>
        <w:rPr>
          <w:rStyle w:val="64"/>
          <w:rFonts w:asciiTheme="minorEastAsia" w:hAnsiTheme="minorEastAsia" w:eastAsiaTheme="minorEastAsia"/>
          <w:color w:val="auto"/>
          <w:sz w:val="24"/>
          <w:szCs w:val="24"/>
        </w:rPr>
      </w:pPr>
      <w:r>
        <w:rPr>
          <w:color w:val="auto"/>
        </w:rPr>
        <w:fldChar w:fldCharType="begin"/>
      </w:r>
      <w:r>
        <w:rPr>
          <w:color w:val="auto"/>
        </w:rPr>
        <w:instrText xml:space="preserve"> HYPERLINK \l "_Toc351203546" </w:instrText>
      </w:r>
      <w:r>
        <w:rPr>
          <w:color w:val="auto"/>
        </w:rPr>
        <w:fldChar w:fldCharType="separate"/>
      </w:r>
      <w:r>
        <w:rPr>
          <w:rStyle w:val="64"/>
          <w:rFonts w:hint="eastAsia" w:asciiTheme="minorEastAsia" w:hAnsiTheme="minorEastAsia" w:eastAsiaTheme="minorEastAsia"/>
          <w:color w:val="auto"/>
          <w:sz w:val="24"/>
          <w:szCs w:val="24"/>
        </w:rPr>
        <w:t>10.6 支付账户</w:t>
      </w:r>
      <w:r>
        <w:rPr>
          <w:rStyle w:val="64"/>
          <w:rFonts w:hint="eastAsia" w:asciiTheme="minorEastAsia" w:hAnsiTheme="minorEastAsia" w:eastAsiaTheme="minorEastAsia"/>
          <w:color w:val="auto"/>
          <w:sz w:val="24"/>
          <w:szCs w:val="24"/>
        </w:rPr>
        <w:fldChar w:fldCharType="end"/>
      </w:r>
    </w:p>
    <w:p>
      <w:pPr>
        <w:pStyle w:val="39"/>
        <w:tabs>
          <w:tab w:val="right" w:leader="middleDot" w:pos="8400"/>
        </w:tabs>
        <w:spacing w:line="360" w:lineRule="auto"/>
        <w:ind w:firstLine="210" w:firstLineChars="100"/>
        <w:rPr>
          <w:rFonts w:asciiTheme="minorEastAsia" w:hAnsiTheme="minorEastAsia" w:eastAsiaTheme="minorEastAsia"/>
          <w:color w:val="auto"/>
          <w:sz w:val="24"/>
          <w:szCs w:val="24"/>
        </w:rPr>
      </w:pPr>
      <w:r>
        <w:rPr>
          <w:color w:val="auto"/>
        </w:rPr>
        <w:fldChar w:fldCharType="begin"/>
      </w:r>
      <w:r>
        <w:rPr>
          <w:color w:val="auto"/>
        </w:rPr>
        <w:instrText xml:space="preserve"> HYPERLINK \l "_Toc351203567" </w:instrText>
      </w:r>
      <w:r>
        <w:rPr>
          <w:color w:val="auto"/>
        </w:rPr>
        <w:fldChar w:fldCharType="separate"/>
      </w:r>
      <w:r>
        <w:rPr>
          <w:rStyle w:val="64"/>
          <w:rFonts w:hint="eastAsia" w:asciiTheme="minorEastAsia" w:hAnsiTheme="minorEastAsia" w:eastAsiaTheme="minorEastAsia"/>
          <w:color w:val="auto"/>
          <w:sz w:val="24"/>
          <w:szCs w:val="24"/>
        </w:rPr>
        <w:t>11. 工程设计变更与索赔</w:t>
      </w:r>
      <w:r>
        <w:rPr>
          <w:rStyle w:val="64"/>
          <w:rFonts w:hint="eastAsia" w:asciiTheme="minorEastAsia" w:hAnsiTheme="minorEastAsia" w:eastAsiaTheme="minorEastAsia"/>
          <w:color w:val="auto"/>
          <w:sz w:val="24"/>
          <w:szCs w:val="24"/>
        </w:rPr>
        <w:fldChar w:fldCharType="end"/>
      </w:r>
      <w:r>
        <w:rPr>
          <w:rFonts w:hint="eastAsia" w:asciiTheme="minorEastAsia" w:hAnsiTheme="minorEastAsia" w:eastAsiaTheme="minorEastAsia"/>
          <w:color w:val="auto"/>
          <w:sz w:val="24"/>
          <w:szCs w:val="24"/>
        </w:rPr>
        <w:tab/>
      </w:r>
      <w:r>
        <w:rPr>
          <w:rFonts w:asciiTheme="minorEastAsia" w:hAnsiTheme="minorEastAsia" w:eastAsiaTheme="minorEastAsia"/>
          <w:color w:val="auto"/>
          <w:sz w:val="24"/>
          <w:szCs w:val="24"/>
        </w:rPr>
        <w:t>29</w:t>
      </w:r>
    </w:p>
    <w:p>
      <w:pPr>
        <w:pStyle w:val="39"/>
        <w:tabs>
          <w:tab w:val="right" w:leader="middleDot" w:pos="8400"/>
        </w:tabs>
        <w:spacing w:line="360" w:lineRule="auto"/>
        <w:ind w:firstLine="210" w:firstLineChars="100"/>
        <w:rPr>
          <w:rFonts w:asciiTheme="minorEastAsia" w:hAnsiTheme="minorEastAsia" w:eastAsiaTheme="minorEastAsia"/>
          <w:color w:val="auto"/>
          <w:sz w:val="24"/>
          <w:szCs w:val="24"/>
        </w:rPr>
      </w:pPr>
      <w:r>
        <w:rPr>
          <w:color w:val="auto"/>
        </w:rPr>
        <w:fldChar w:fldCharType="begin"/>
      </w:r>
      <w:r>
        <w:rPr>
          <w:color w:val="auto"/>
        </w:rPr>
        <w:instrText xml:space="preserve"> HYPERLINK \l "_Toc351203577" </w:instrText>
      </w:r>
      <w:r>
        <w:rPr>
          <w:color w:val="auto"/>
        </w:rPr>
        <w:fldChar w:fldCharType="separate"/>
      </w:r>
      <w:r>
        <w:rPr>
          <w:rStyle w:val="64"/>
          <w:rFonts w:hint="eastAsia" w:asciiTheme="minorEastAsia" w:hAnsiTheme="minorEastAsia" w:eastAsiaTheme="minorEastAsia"/>
          <w:color w:val="auto"/>
          <w:sz w:val="24"/>
          <w:szCs w:val="24"/>
        </w:rPr>
        <w:t>12. 专业责任与保险</w:t>
      </w:r>
      <w:r>
        <w:rPr>
          <w:rStyle w:val="64"/>
          <w:rFonts w:hint="eastAsia" w:asciiTheme="minorEastAsia" w:hAnsiTheme="minorEastAsia" w:eastAsiaTheme="minorEastAsia"/>
          <w:color w:val="auto"/>
          <w:sz w:val="24"/>
          <w:szCs w:val="24"/>
        </w:rPr>
        <w:fldChar w:fldCharType="end"/>
      </w:r>
      <w:r>
        <w:rPr>
          <w:rFonts w:hint="eastAsia" w:asciiTheme="minorEastAsia" w:hAnsiTheme="minorEastAsia" w:eastAsiaTheme="minorEastAsia"/>
          <w:color w:val="auto"/>
          <w:sz w:val="24"/>
          <w:szCs w:val="24"/>
        </w:rPr>
        <w:tab/>
      </w:r>
      <w:r>
        <w:rPr>
          <w:rFonts w:asciiTheme="minorEastAsia" w:hAnsiTheme="minorEastAsia" w:eastAsiaTheme="minorEastAsia"/>
          <w:color w:val="auto"/>
          <w:sz w:val="24"/>
          <w:szCs w:val="24"/>
        </w:rPr>
        <w:t>29</w:t>
      </w:r>
    </w:p>
    <w:p>
      <w:pPr>
        <w:pStyle w:val="39"/>
        <w:tabs>
          <w:tab w:val="right" w:leader="middleDot" w:pos="8400"/>
        </w:tabs>
        <w:spacing w:line="360" w:lineRule="auto"/>
        <w:ind w:firstLine="210" w:firstLineChars="100"/>
        <w:rPr>
          <w:rFonts w:asciiTheme="minorEastAsia" w:hAnsiTheme="minorEastAsia" w:eastAsiaTheme="minorEastAsia"/>
          <w:color w:val="auto"/>
          <w:sz w:val="24"/>
          <w:szCs w:val="24"/>
        </w:rPr>
      </w:pPr>
      <w:r>
        <w:rPr>
          <w:color w:val="auto"/>
        </w:rPr>
        <w:fldChar w:fldCharType="begin"/>
      </w:r>
      <w:r>
        <w:rPr>
          <w:color w:val="auto"/>
        </w:rPr>
        <w:instrText xml:space="preserve"> HYPERLINK \l "_Toc351203580" </w:instrText>
      </w:r>
      <w:r>
        <w:rPr>
          <w:color w:val="auto"/>
        </w:rPr>
        <w:fldChar w:fldCharType="separate"/>
      </w:r>
      <w:r>
        <w:rPr>
          <w:rStyle w:val="64"/>
          <w:rFonts w:hint="eastAsia" w:asciiTheme="minorEastAsia" w:hAnsiTheme="minorEastAsia" w:eastAsiaTheme="minorEastAsia"/>
          <w:color w:val="auto"/>
          <w:sz w:val="24"/>
          <w:szCs w:val="24"/>
        </w:rPr>
        <w:t>13. 知识产权</w:t>
      </w:r>
      <w:r>
        <w:rPr>
          <w:rStyle w:val="64"/>
          <w:rFonts w:hint="eastAsia" w:asciiTheme="minorEastAsia" w:hAnsiTheme="minorEastAsia" w:eastAsiaTheme="minorEastAsia"/>
          <w:color w:val="auto"/>
          <w:sz w:val="24"/>
          <w:szCs w:val="24"/>
        </w:rPr>
        <w:fldChar w:fldCharType="end"/>
      </w:r>
      <w:r>
        <w:rPr>
          <w:rFonts w:hint="eastAsia" w:asciiTheme="minorEastAsia" w:hAnsiTheme="minorEastAsia" w:eastAsiaTheme="minorEastAsia"/>
          <w:color w:val="auto"/>
          <w:sz w:val="24"/>
          <w:szCs w:val="24"/>
        </w:rPr>
        <w:tab/>
      </w:r>
      <w:r>
        <w:rPr>
          <w:rFonts w:asciiTheme="minorEastAsia" w:hAnsiTheme="minorEastAsia" w:eastAsiaTheme="minorEastAsia"/>
          <w:color w:val="auto"/>
          <w:sz w:val="24"/>
          <w:szCs w:val="24"/>
        </w:rPr>
        <w:t>30</w:t>
      </w:r>
    </w:p>
    <w:p>
      <w:pPr>
        <w:pStyle w:val="39"/>
        <w:tabs>
          <w:tab w:val="right" w:leader="middleDot" w:pos="8400"/>
        </w:tabs>
        <w:spacing w:line="360" w:lineRule="auto"/>
        <w:ind w:firstLine="210" w:firstLineChars="100"/>
        <w:rPr>
          <w:rFonts w:asciiTheme="minorEastAsia" w:hAnsiTheme="minorEastAsia" w:eastAsiaTheme="minorEastAsia"/>
          <w:color w:val="auto"/>
          <w:sz w:val="24"/>
          <w:szCs w:val="24"/>
        </w:rPr>
      </w:pPr>
      <w:r>
        <w:rPr>
          <w:color w:val="auto"/>
        </w:rPr>
        <w:fldChar w:fldCharType="begin"/>
      </w:r>
      <w:r>
        <w:rPr>
          <w:color w:val="auto"/>
        </w:rPr>
        <w:instrText xml:space="preserve"> HYPERLINK \l "_Toc351203603" </w:instrText>
      </w:r>
      <w:r>
        <w:rPr>
          <w:color w:val="auto"/>
        </w:rPr>
        <w:fldChar w:fldCharType="separate"/>
      </w:r>
      <w:r>
        <w:rPr>
          <w:rStyle w:val="64"/>
          <w:rFonts w:hint="eastAsia" w:asciiTheme="minorEastAsia" w:hAnsiTheme="minorEastAsia" w:eastAsiaTheme="minorEastAsia"/>
          <w:color w:val="auto"/>
          <w:sz w:val="24"/>
          <w:szCs w:val="24"/>
        </w:rPr>
        <w:t>14. 违约责任</w:t>
      </w:r>
      <w:r>
        <w:rPr>
          <w:rStyle w:val="64"/>
          <w:rFonts w:hint="eastAsia" w:asciiTheme="minorEastAsia" w:hAnsiTheme="minorEastAsia" w:eastAsiaTheme="minorEastAsia"/>
          <w:color w:val="auto"/>
          <w:sz w:val="24"/>
          <w:szCs w:val="24"/>
        </w:rPr>
        <w:fldChar w:fldCharType="end"/>
      </w:r>
      <w:r>
        <w:rPr>
          <w:rFonts w:hint="eastAsia" w:asciiTheme="minorEastAsia" w:hAnsiTheme="minorEastAsia" w:eastAsiaTheme="minorEastAsia"/>
          <w:color w:val="auto"/>
          <w:sz w:val="24"/>
          <w:szCs w:val="24"/>
        </w:rPr>
        <w:tab/>
      </w:r>
      <w:r>
        <w:rPr>
          <w:rFonts w:asciiTheme="minorEastAsia" w:hAnsiTheme="minorEastAsia" w:eastAsiaTheme="minorEastAsia"/>
          <w:color w:val="auto"/>
          <w:sz w:val="24"/>
          <w:szCs w:val="24"/>
        </w:rPr>
        <w:t>30</w:t>
      </w:r>
    </w:p>
    <w:p>
      <w:pPr>
        <w:pStyle w:val="28"/>
        <w:tabs>
          <w:tab w:val="right" w:leader="middleDot" w:pos="8400"/>
        </w:tabs>
        <w:spacing w:line="360" w:lineRule="auto"/>
        <w:ind w:firstLine="210" w:firstLineChars="100"/>
        <w:rPr>
          <w:rFonts w:asciiTheme="minorEastAsia" w:hAnsiTheme="minorEastAsia" w:eastAsiaTheme="minorEastAsia"/>
          <w:color w:val="auto"/>
          <w:sz w:val="24"/>
          <w:szCs w:val="24"/>
        </w:rPr>
      </w:pPr>
      <w:r>
        <w:rPr>
          <w:color w:val="auto"/>
        </w:rPr>
        <w:fldChar w:fldCharType="begin"/>
      </w:r>
      <w:r>
        <w:rPr>
          <w:color w:val="auto"/>
        </w:rPr>
        <w:instrText xml:space="preserve"> HYPERLINK \l "_Toc351203604" </w:instrText>
      </w:r>
      <w:r>
        <w:rPr>
          <w:color w:val="auto"/>
        </w:rPr>
        <w:fldChar w:fldCharType="separate"/>
      </w:r>
      <w:r>
        <w:rPr>
          <w:rStyle w:val="64"/>
          <w:rFonts w:hint="eastAsia" w:asciiTheme="minorEastAsia" w:hAnsiTheme="minorEastAsia" w:eastAsiaTheme="minorEastAsia"/>
          <w:color w:val="auto"/>
          <w:sz w:val="24"/>
          <w:szCs w:val="24"/>
        </w:rPr>
        <w:t>14.1 发包人违约责任</w:t>
      </w:r>
      <w:r>
        <w:rPr>
          <w:rStyle w:val="64"/>
          <w:rFonts w:hint="eastAsia" w:asciiTheme="minorEastAsia" w:hAnsiTheme="minorEastAsia" w:eastAsiaTheme="minorEastAsia"/>
          <w:color w:val="auto"/>
          <w:sz w:val="24"/>
          <w:szCs w:val="24"/>
        </w:rPr>
        <w:fldChar w:fldCharType="end"/>
      </w:r>
    </w:p>
    <w:p>
      <w:pPr>
        <w:pStyle w:val="28"/>
        <w:tabs>
          <w:tab w:val="right" w:leader="middleDot" w:pos="8400"/>
        </w:tabs>
        <w:spacing w:line="360" w:lineRule="auto"/>
        <w:ind w:firstLine="210" w:firstLineChars="100"/>
        <w:rPr>
          <w:rFonts w:asciiTheme="minorEastAsia" w:hAnsiTheme="minorEastAsia" w:eastAsiaTheme="minorEastAsia"/>
          <w:color w:val="auto"/>
          <w:sz w:val="24"/>
          <w:szCs w:val="24"/>
        </w:rPr>
      </w:pPr>
      <w:r>
        <w:rPr>
          <w:color w:val="auto"/>
        </w:rPr>
        <w:fldChar w:fldCharType="begin"/>
      </w:r>
      <w:r>
        <w:rPr>
          <w:color w:val="auto"/>
        </w:rPr>
        <w:instrText xml:space="preserve"> HYPERLINK \l "_Toc351203605" </w:instrText>
      </w:r>
      <w:r>
        <w:rPr>
          <w:color w:val="auto"/>
        </w:rPr>
        <w:fldChar w:fldCharType="separate"/>
      </w:r>
      <w:r>
        <w:rPr>
          <w:rStyle w:val="64"/>
          <w:rFonts w:hint="eastAsia" w:asciiTheme="minorEastAsia" w:hAnsiTheme="minorEastAsia" w:eastAsiaTheme="minorEastAsia"/>
          <w:color w:val="auto"/>
          <w:sz w:val="24"/>
          <w:szCs w:val="24"/>
        </w:rPr>
        <w:t>14.2 设计人违约责任</w:t>
      </w:r>
      <w:r>
        <w:rPr>
          <w:rStyle w:val="64"/>
          <w:rFonts w:hint="eastAsia" w:asciiTheme="minorEastAsia" w:hAnsiTheme="minorEastAsia" w:eastAsiaTheme="minorEastAsia"/>
          <w:color w:val="auto"/>
          <w:sz w:val="24"/>
          <w:szCs w:val="24"/>
        </w:rPr>
        <w:fldChar w:fldCharType="end"/>
      </w:r>
    </w:p>
    <w:p>
      <w:pPr>
        <w:pStyle w:val="39"/>
        <w:tabs>
          <w:tab w:val="right" w:leader="middleDot" w:pos="8400"/>
        </w:tabs>
        <w:spacing w:line="360" w:lineRule="auto"/>
        <w:ind w:firstLine="210" w:firstLineChars="100"/>
        <w:rPr>
          <w:rFonts w:asciiTheme="minorEastAsia" w:hAnsiTheme="minorEastAsia" w:eastAsiaTheme="minorEastAsia"/>
          <w:color w:val="auto"/>
          <w:sz w:val="24"/>
          <w:szCs w:val="24"/>
        </w:rPr>
      </w:pPr>
      <w:r>
        <w:rPr>
          <w:color w:val="auto"/>
        </w:rPr>
        <w:fldChar w:fldCharType="begin"/>
      </w:r>
      <w:r>
        <w:rPr>
          <w:color w:val="auto"/>
        </w:rPr>
        <w:instrText xml:space="preserve"> HYPERLINK \l "_Toc351203607" </w:instrText>
      </w:r>
      <w:r>
        <w:rPr>
          <w:color w:val="auto"/>
        </w:rPr>
        <w:fldChar w:fldCharType="separate"/>
      </w:r>
      <w:r>
        <w:rPr>
          <w:rStyle w:val="64"/>
          <w:rFonts w:hint="eastAsia" w:asciiTheme="minorEastAsia" w:hAnsiTheme="minorEastAsia" w:eastAsiaTheme="minorEastAsia"/>
          <w:color w:val="auto"/>
          <w:sz w:val="24"/>
          <w:szCs w:val="24"/>
        </w:rPr>
        <w:t>15. 不可抗力</w:t>
      </w:r>
      <w:r>
        <w:rPr>
          <w:rStyle w:val="64"/>
          <w:rFonts w:hint="eastAsia" w:asciiTheme="minorEastAsia" w:hAnsiTheme="minorEastAsia" w:eastAsiaTheme="minorEastAsia"/>
          <w:color w:val="auto"/>
          <w:sz w:val="24"/>
          <w:szCs w:val="24"/>
        </w:rPr>
        <w:fldChar w:fldCharType="end"/>
      </w:r>
      <w:r>
        <w:rPr>
          <w:rFonts w:hint="eastAsia" w:asciiTheme="minorEastAsia" w:hAnsiTheme="minorEastAsia" w:eastAsiaTheme="minorEastAsia"/>
          <w:color w:val="auto"/>
          <w:sz w:val="24"/>
          <w:szCs w:val="24"/>
        </w:rPr>
        <w:tab/>
      </w:r>
      <w:r>
        <w:rPr>
          <w:rFonts w:asciiTheme="minorEastAsia" w:hAnsiTheme="minorEastAsia" w:eastAsiaTheme="minorEastAsia"/>
          <w:color w:val="auto"/>
          <w:sz w:val="24"/>
          <w:szCs w:val="24"/>
        </w:rPr>
        <w:t>3</w:t>
      </w:r>
      <w:r>
        <w:rPr>
          <w:rFonts w:hint="eastAsia" w:asciiTheme="minorEastAsia" w:hAnsiTheme="minorEastAsia" w:eastAsiaTheme="minorEastAsia"/>
          <w:color w:val="auto"/>
          <w:sz w:val="24"/>
          <w:szCs w:val="24"/>
        </w:rPr>
        <w:t>1</w:t>
      </w:r>
    </w:p>
    <w:p>
      <w:pPr>
        <w:pStyle w:val="28"/>
        <w:tabs>
          <w:tab w:val="right" w:leader="middleDot" w:pos="8400"/>
        </w:tabs>
        <w:spacing w:line="360" w:lineRule="auto"/>
        <w:ind w:firstLine="210" w:firstLineChars="100"/>
        <w:rPr>
          <w:rFonts w:asciiTheme="minorEastAsia" w:hAnsiTheme="minorEastAsia" w:eastAsiaTheme="minorEastAsia"/>
          <w:color w:val="auto"/>
          <w:sz w:val="24"/>
          <w:szCs w:val="24"/>
        </w:rPr>
      </w:pPr>
      <w:r>
        <w:rPr>
          <w:color w:val="auto"/>
        </w:rPr>
        <w:fldChar w:fldCharType="begin"/>
      </w:r>
      <w:r>
        <w:rPr>
          <w:color w:val="auto"/>
        </w:rPr>
        <w:instrText xml:space="preserve"> HYPERLINK \l "_Toc351203608" </w:instrText>
      </w:r>
      <w:r>
        <w:rPr>
          <w:color w:val="auto"/>
        </w:rPr>
        <w:fldChar w:fldCharType="separate"/>
      </w:r>
      <w:r>
        <w:rPr>
          <w:rStyle w:val="64"/>
          <w:rFonts w:hint="eastAsia" w:asciiTheme="minorEastAsia" w:hAnsiTheme="minorEastAsia" w:eastAsiaTheme="minorEastAsia"/>
          <w:color w:val="auto"/>
          <w:sz w:val="24"/>
          <w:szCs w:val="24"/>
        </w:rPr>
        <w:t>15.1 不可抗力的确认</w:t>
      </w:r>
      <w:r>
        <w:rPr>
          <w:rStyle w:val="64"/>
          <w:rFonts w:hint="eastAsia" w:asciiTheme="minorEastAsia" w:hAnsiTheme="minorEastAsia" w:eastAsiaTheme="minorEastAsia"/>
          <w:color w:val="auto"/>
          <w:sz w:val="24"/>
          <w:szCs w:val="24"/>
        </w:rPr>
        <w:fldChar w:fldCharType="end"/>
      </w:r>
    </w:p>
    <w:p>
      <w:pPr>
        <w:pStyle w:val="28"/>
        <w:tabs>
          <w:tab w:val="right" w:leader="middleDot" w:pos="8400"/>
        </w:tabs>
        <w:spacing w:line="360" w:lineRule="auto"/>
        <w:ind w:firstLine="210" w:firstLineChars="100"/>
        <w:rPr>
          <w:rFonts w:asciiTheme="minorEastAsia" w:hAnsiTheme="minorEastAsia" w:eastAsiaTheme="minorEastAsia"/>
          <w:color w:val="auto"/>
          <w:sz w:val="24"/>
          <w:szCs w:val="24"/>
        </w:rPr>
      </w:pPr>
      <w:r>
        <w:rPr>
          <w:color w:val="auto"/>
        </w:rPr>
        <w:fldChar w:fldCharType="begin"/>
      </w:r>
      <w:r>
        <w:rPr>
          <w:color w:val="auto"/>
        </w:rPr>
        <w:instrText xml:space="preserve"> HYPERLINK \l "_Toc351203609" </w:instrText>
      </w:r>
      <w:r>
        <w:rPr>
          <w:color w:val="auto"/>
        </w:rPr>
        <w:fldChar w:fldCharType="separate"/>
      </w:r>
      <w:r>
        <w:rPr>
          <w:rStyle w:val="64"/>
          <w:rFonts w:hint="eastAsia" w:asciiTheme="minorEastAsia" w:hAnsiTheme="minorEastAsia" w:eastAsiaTheme="minorEastAsia"/>
          <w:color w:val="auto"/>
          <w:sz w:val="24"/>
          <w:szCs w:val="24"/>
        </w:rPr>
        <w:t>15.2 不可抗力的通知</w:t>
      </w:r>
      <w:r>
        <w:rPr>
          <w:rStyle w:val="64"/>
          <w:rFonts w:hint="eastAsia" w:asciiTheme="minorEastAsia" w:hAnsiTheme="minorEastAsia" w:eastAsiaTheme="minorEastAsia"/>
          <w:color w:val="auto"/>
          <w:sz w:val="24"/>
          <w:szCs w:val="24"/>
        </w:rPr>
        <w:fldChar w:fldCharType="end"/>
      </w:r>
    </w:p>
    <w:p>
      <w:pPr>
        <w:pStyle w:val="28"/>
        <w:tabs>
          <w:tab w:val="right" w:leader="middleDot" w:pos="8400"/>
        </w:tabs>
        <w:spacing w:line="360" w:lineRule="auto"/>
        <w:ind w:firstLine="210" w:firstLineChars="100"/>
        <w:rPr>
          <w:rFonts w:asciiTheme="minorEastAsia" w:hAnsiTheme="minorEastAsia" w:eastAsiaTheme="minorEastAsia"/>
          <w:color w:val="auto"/>
          <w:sz w:val="24"/>
          <w:szCs w:val="24"/>
        </w:rPr>
      </w:pPr>
      <w:r>
        <w:rPr>
          <w:color w:val="auto"/>
        </w:rPr>
        <w:fldChar w:fldCharType="begin"/>
      </w:r>
      <w:r>
        <w:rPr>
          <w:color w:val="auto"/>
        </w:rPr>
        <w:instrText xml:space="preserve"> HYPERLINK \l "_Toc351203610" </w:instrText>
      </w:r>
      <w:r>
        <w:rPr>
          <w:color w:val="auto"/>
        </w:rPr>
        <w:fldChar w:fldCharType="separate"/>
      </w:r>
      <w:r>
        <w:rPr>
          <w:rStyle w:val="64"/>
          <w:rFonts w:hint="eastAsia" w:asciiTheme="minorEastAsia" w:hAnsiTheme="minorEastAsia" w:eastAsiaTheme="minorEastAsia"/>
          <w:color w:val="auto"/>
          <w:sz w:val="24"/>
          <w:szCs w:val="24"/>
        </w:rPr>
        <w:t>15.3 不可抗力后果的承担</w:t>
      </w:r>
      <w:r>
        <w:rPr>
          <w:rStyle w:val="64"/>
          <w:rFonts w:hint="eastAsia" w:asciiTheme="minorEastAsia" w:hAnsiTheme="minorEastAsia" w:eastAsiaTheme="minorEastAsia"/>
          <w:color w:val="auto"/>
          <w:sz w:val="24"/>
          <w:szCs w:val="24"/>
        </w:rPr>
        <w:fldChar w:fldCharType="end"/>
      </w:r>
    </w:p>
    <w:p>
      <w:pPr>
        <w:pStyle w:val="39"/>
        <w:tabs>
          <w:tab w:val="right" w:leader="middleDot" w:pos="8400"/>
        </w:tabs>
        <w:spacing w:line="360" w:lineRule="auto"/>
        <w:ind w:firstLine="210" w:firstLineChars="100"/>
        <w:rPr>
          <w:rFonts w:asciiTheme="minorEastAsia" w:hAnsiTheme="minorEastAsia" w:eastAsiaTheme="minorEastAsia"/>
          <w:color w:val="auto"/>
          <w:sz w:val="24"/>
          <w:szCs w:val="24"/>
        </w:rPr>
      </w:pPr>
      <w:r>
        <w:rPr>
          <w:color w:val="auto"/>
        </w:rPr>
        <w:fldChar w:fldCharType="begin"/>
      </w:r>
      <w:r>
        <w:rPr>
          <w:color w:val="auto"/>
        </w:rPr>
        <w:instrText xml:space="preserve"> HYPERLINK \l "_Toc351203607" </w:instrText>
      </w:r>
      <w:r>
        <w:rPr>
          <w:color w:val="auto"/>
        </w:rPr>
        <w:fldChar w:fldCharType="separate"/>
      </w:r>
      <w:r>
        <w:rPr>
          <w:rStyle w:val="64"/>
          <w:rFonts w:hint="eastAsia" w:asciiTheme="minorEastAsia" w:hAnsiTheme="minorEastAsia" w:eastAsiaTheme="minorEastAsia"/>
          <w:color w:val="auto"/>
          <w:sz w:val="24"/>
          <w:szCs w:val="24"/>
        </w:rPr>
        <w:t>16. 合同解除</w:t>
      </w:r>
      <w:r>
        <w:rPr>
          <w:rStyle w:val="64"/>
          <w:rFonts w:hint="eastAsia" w:asciiTheme="minorEastAsia" w:hAnsiTheme="minorEastAsia" w:eastAsiaTheme="minorEastAsia"/>
          <w:color w:val="auto"/>
          <w:sz w:val="24"/>
          <w:szCs w:val="24"/>
        </w:rPr>
        <w:fldChar w:fldCharType="end"/>
      </w:r>
      <w:r>
        <w:rPr>
          <w:rFonts w:hint="eastAsia" w:asciiTheme="minorEastAsia" w:hAnsiTheme="minorEastAsia" w:eastAsiaTheme="minorEastAsia"/>
          <w:color w:val="auto"/>
          <w:sz w:val="24"/>
          <w:szCs w:val="24"/>
        </w:rPr>
        <w:tab/>
      </w:r>
      <w:r>
        <w:rPr>
          <w:rFonts w:asciiTheme="minorEastAsia" w:hAnsiTheme="minorEastAsia" w:eastAsiaTheme="minorEastAsia"/>
          <w:color w:val="auto"/>
          <w:sz w:val="24"/>
          <w:szCs w:val="24"/>
        </w:rPr>
        <w:t>32</w:t>
      </w:r>
    </w:p>
    <w:p>
      <w:pPr>
        <w:pStyle w:val="39"/>
        <w:tabs>
          <w:tab w:val="right" w:leader="middleDot" w:pos="8400"/>
        </w:tabs>
        <w:spacing w:line="360" w:lineRule="auto"/>
        <w:ind w:firstLine="210" w:firstLineChars="100"/>
        <w:rPr>
          <w:rFonts w:asciiTheme="minorEastAsia" w:hAnsiTheme="minorEastAsia" w:eastAsiaTheme="minorEastAsia"/>
          <w:color w:val="auto"/>
          <w:sz w:val="24"/>
          <w:szCs w:val="24"/>
        </w:rPr>
      </w:pPr>
      <w:r>
        <w:rPr>
          <w:color w:val="auto"/>
        </w:rPr>
        <w:fldChar w:fldCharType="begin"/>
      </w:r>
      <w:r>
        <w:rPr>
          <w:color w:val="auto"/>
        </w:rPr>
        <w:instrText xml:space="preserve"> HYPERLINK \l "_Toc351203626" </w:instrText>
      </w:r>
      <w:r>
        <w:rPr>
          <w:color w:val="auto"/>
        </w:rPr>
        <w:fldChar w:fldCharType="separate"/>
      </w:r>
      <w:r>
        <w:rPr>
          <w:rStyle w:val="64"/>
          <w:rFonts w:hint="eastAsia" w:asciiTheme="minorEastAsia" w:hAnsiTheme="minorEastAsia" w:eastAsiaTheme="minorEastAsia"/>
          <w:color w:val="auto"/>
          <w:sz w:val="24"/>
          <w:szCs w:val="24"/>
        </w:rPr>
        <w:t>17. 争议解决</w:t>
      </w:r>
      <w:r>
        <w:rPr>
          <w:rStyle w:val="64"/>
          <w:rFonts w:hint="eastAsia" w:asciiTheme="minorEastAsia" w:hAnsiTheme="minorEastAsia" w:eastAsiaTheme="minorEastAsia"/>
          <w:color w:val="auto"/>
          <w:sz w:val="24"/>
          <w:szCs w:val="24"/>
        </w:rPr>
        <w:fldChar w:fldCharType="end"/>
      </w:r>
      <w:r>
        <w:rPr>
          <w:rFonts w:hint="eastAsia" w:asciiTheme="minorEastAsia" w:hAnsiTheme="minorEastAsia" w:eastAsiaTheme="minorEastAsia"/>
          <w:color w:val="auto"/>
          <w:sz w:val="24"/>
          <w:szCs w:val="24"/>
        </w:rPr>
        <w:tab/>
      </w:r>
      <w:r>
        <w:rPr>
          <w:rFonts w:asciiTheme="minorEastAsia" w:hAnsiTheme="minorEastAsia" w:eastAsiaTheme="minorEastAsia"/>
          <w:color w:val="auto"/>
          <w:sz w:val="24"/>
          <w:szCs w:val="24"/>
        </w:rPr>
        <w:t>32</w:t>
      </w:r>
    </w:p>
    <w:p>
      <w:pPr>
        <w:pStyle w:val="28"/>
        <w:tabs>
          <w:tab w:val="right" w:leader="middleDot" w:pos="8400"/>
        </w:tabs>
        <w:spacing w:line="360" w:lineRule="auto"/>
        <w:ind w:firstLine="210" w:firstLineChars="100"/>
        <w:rPr>
          <w:rFonts w:asciiTheme="minorEastAsia" w:hAnsiTheme="minorEastAsia" w:eastAsiaTheme="minorEastAsia"/>
          <w:color w:val="auto"/>
          <w:sz w:val="24"/>
          <w:szCs w:val="24"/>
        </w:rPr>
      </w:pPr>
      <w:r>
        <w:rPr>
          <w:color w:val="auto"/>
        </w:rPr>
        <w:fldChar w:fldCharType="begin"/>
      </w:r>
      <w:r>
        <w:rPr>
          <w:color w:val="auto"/>
        </w:rPr>
        <w:instrText xml:space="preserve"> HYPERLINK \l "_Toc351203627" </w:instrText>
      </w:r>
      <w:r>
        <w:rPr>
          <w:color w:val="auto"/>
        </w:rPr>
        <w:fldChar w:fldCharType="separate"/>
      </w:r>
      <w:r>
        <w:rPr>
          <w:rStyle w:val="64"/>
          <w:rFonts w:hint="eastAsia" w:asciiTheme="minorEastAsia" w:hAnsiTheme="minorEastAsia" w:eastAsiaTheme="minorEastAsia"/>
          <w:color w:val="auto"/>
          <w:sz w:val="24"/>
          <w:szCs w:val="24"/>
        </w:rPr>
        <w:t>17.1 和解</w:t>
      </w:r>
      <w:r>
        <w:rPr>
          <w:rStyle w:val="64"/>
          <w:rFonts w:hint="eastAsia" w:asciiTheme="minorEastAsia" w:hAnsiTheme="minorEastAsia" w:eastAsiaTheme="minorEastAsia"/>
          <w:color w:val="auto"/>
          <w:sz w:val="24"/>
          <w:szCs w:val="24"/>
        </w:rPr>
        <w:fldChar w:fldCharType="end"/>
      </w:r>
    </w:p>
    <w:p>
      <w:pPr>
        <w:pStyle w:val="28"/>
        <w:tabs>
          <w:tab w:val="right" w:leader="middleDot" w:pos="8400"/>
        </w:tabs>
        <w:spacing w:line="360" w:lineRule="auto"/>
        <w:ind w:firstLine="240" w:firstLineChars="1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1</w:t>
      </w:r>
      <w:r>
        <w:rPr>
          <w:color w:val="auto"/>
        </w:rPr>
        <w:fldChar w:fldCharType="begin"/>
      </w:r>
      <w:r>
        <w:rPr>
          <w:color w:val="auto"/>
        </w:rPr>
        <w:instrText xml:space="preserve"> HYPERLINK \l "_Toc351203628" </w:instrText>
      </w:r>
      <w:r>
        <w:rPr>
          <w:color w:val="auto"/>
        </w:rPr>
        <w:fldChar w:fldCharType="separate"/>
      </w:r>
      <w:r>
        <w:rPr>
          <w:rStyle w:val="64"/>
          <w:rFonts w:hint="eastAsia" w:asciiTheme="minorEastAsia" w:hAnsiTheme="minorEastAsia" w:eastAsiaTheme="minorEastAsia"/>
          <w:color w:val="auto"/>
          <w:sz w:val="24"/>
          <w:szCs w:val="24"/>
        </w:rPr>
        <w:t>7.2 调解</w:t>
      </w:r>
      <w:r>
        <w:rPr>
          <w:rStyle w:val="64"/>
          <w:rFonts w:hint="eastAsia" w:asciiTheme="minorEastAsia" w:hAnsiTheme="minorEastAsia" w:eastAsiaTheme="minorEastAsia"/>
          <w:color w:val="auto"/>
          <w:sz w:val="24"/>
          <w:szCs w:val="24"/>
        </w:rPr>
        <w:fldChar w:fldCharType="end"/>
      </w:r>
    </w:p>
    <w:p>
      <w:pPr>
        <w:pStyle w:val="28"/>
        <w:tabs>
          <w:tab w:val="right" w:leader="middleDot" w:pos="8400"/>
        </w:tabs>
        <w:spacing w:line="360" w:lineRule="auto"/>
        <w:ind w:firstLine="210" w:firstLineChars="100"/>
        <w:rPr>
          <w:rFonts w:asciiTheme="minorEastAsia" w:hAnsiTheme="minorEastAsia" w:eastAsiaTheme="minorEastAsia"/>
          <w:color w:val="auto"/>
          <w:sz w:val="24"/>
          <w:szCs w:val="24"/>
        </w:rPr>
      </w:pPr>
      <w:r>
        <w:rPr>
          <w:color w:val="auto"/>
        </w:rPr>
        <w:fldChar w:fldCharType="begin"/>
      </w:r>
      <w:r>
        <w:rPr>
          <w:color w:val="auto"/>
        </w:rPr>
        <w:instrText xml:space="preserve"> HYPERLINK \l "_Toc351203629" </w:instrText>
      </w:r>
      <w:r>
        <w:rPr>
          <w:color w:val="auto"/>
        </w:rPr>
        <w:fldChar w:fldCharType="separate"/>
      </w:r>
      <w:r>
        <w:rPr>
          <w:rStyle w:val="64"/>
          <w:rFonts w:hint="eastAsia" w:asciiTheme="minorEastAsia" w:hAnsiTheme="minorEastAsia" w:eastAsiaTheme="minorEastAsia"/>
          <w:color w:val="auto"/>
          <w:sz w:val="24"/>
          <w:szCs w:val="24"/>
        </w:rPr>
        <w:t>17.3 争议评审</w:t>
      </w:r>
      <w:r>
        <w:rPr>
          <w:rStyle w:val="64"/>
          <w:rFonts w:hint="eastAsia" w:asciiTheme="minorEastAsia" w:hAnsiTheme="minorEastAsia" w:eastAsiaTheme="minorEastAsia"/>
          <w:color w:val="auto"/>
          <w:sz w:val="24"/>
          <w:szCs w:val="24"/>
        </w:rPr>
        <w:fldChar w:fldCharType="end"/>
      </w:r>
    </w:p>
    <w:p>
      <w:pPr>
        <w:pStyle w:val="28"/>
        <w:tabs>
          <w:tab w:val="right" w:leader="middleDot" w:pos="8400"/>
        </w:tabs>
        <w:spacing w:line="360" w:lineRule="auto"/>
        <w:ind w:firstLine="210" w:firstLineChars="100"/>
        <w:rPr>
          <w:rFonts w:asciiTheme="minorEastAsia" w:hAnsiTheme="minorEastAsia" w:eastAsiaTheme="minorEastAsia"/>
          <w:color w:val="auto"/>
          <w:sz w:val="24"/>
          <w:szCs w:val="24"/>
        </w:rPr>
      </w:pPr>
      <w:r>
        <w:rPr>
          <w:color w:val="auto"/>
        </w:rPr>
        <w:fldChar w:fldCharType="begin"/>
      </w:r>
      <w:r>
        <w:rPr>
          <w:color w:val="auto"/>
        </w:rPr>
        <w:instrText xml:space="preserve"> HYPERLINK \l "_Toc351203630" </w:instrText>
      </w:r>
      <w:r>
        <w:rPr>
          <w:color w:val="auto"/>
        </w:rPr>
        <w:fldChar w:fldCharType="separate"/>
      </w:r>
      <w:r>
        <w:rPr>
          <w:rStyle w:val="64"/>
          <w:rFonts w:hint="eastAsia" w:asciiTheme="minorEastAsia" w:hAnsiTheme="minorEastAsia" w:eastAsiaTheme="minorEastAsia"/>
          <w:color w:val="auto"/>
          <w:sz w:val="24"/>
          <w:szCs w:val="24"/>
        </w:rPr>
        <w:t>17.4 仲裁或诉讼</w:t>
      </w:r>
      <w:r>
        <w:rPr>
          <w:rStyle w:val="64"/>
          <w:rFonts w:hint="eastAsia" w:asciiTheme="minorEastAsia" w:hAnsiTheme="minorEastAsia" w:eastAsiaTheme="minorEastAsia"/>
          <w:color w:val="auto"/>
          <w:sz w:val="24"/>
          <w:szCs w:val="24"/>
        </w:rPr>
        <w:fldChar w:fldCharType="end"/>
      </w:r>
    </w:p>
    <w:p>
      <w:pPr>
        <w:pStyle w:val="28"/>
        <w:tabs>
          <w:tab w:val="right" w:leader="middleDot" w:pos="8400"/>
        </w:tabs>
        <w:spacing w:line="360" w:lineRule="auto"/>
        <w:ind w:firstLine="210" w:firstLineChars="100"/>
        <w:rPr>
          <w:rFonts w:asciiTheme="minorEastAsia" w:hAnsiTheme="minorEastAsia" w:eastAsiaTheme="minorEastAsia"/>
          <w:color w:val="auto"/>
          <w:sz w:val="24"/>
          <w:szCs w:val="24"/>
        </w:rPr>
      </w:pPr>
      <w:r>
        <w:rPr>
          <w:color w:val="auto"/>
        </w:rPr>
        <w:fldChar w:fldCharType="begin"/>
      </w:r>
      <w:r>
        <w:rPr>
          <w:color w:val="auto"/>
        </w:rPr>
        <w:instrText xml:space="preserve"> HYPERLINK \l "_Toc351203631" </w:instrText>
      </w:r>
      <w:r>
        <w:rPr>
          <w:color w:val="auto"/>
        </w:rPr>
        <w:fldChar w:fldCharType="separate"/>
      </w:r>
      <w:r>
        <w:rPr>
          <w:rStyle w:val="64"/>
          <w:rFonts w:hint="eastAsia" w:asciiTheme="minorEastAsia" w:hAnsiTheme="minorEastAsia" w:eastAsiaTheme="minorEastAsia"/>
          <w:color w:val="auto"/>
          <w:sz w:val="24"/>
          <w:szCs w:val="24"/>
        </w:rPr>
        <w:t>17.5 争议解决条款效力</w:t>
      </w:r>
      <w:r>
        <w:rPr>
          <w:rStyle w:val="64"/>
          <w:rFonts w:hint="eastAsia" w:asciiTheme="minorEastAsia" w:hAnsiTheme="minorEastAsia" w:eastAsiaTheme="minorEastAsia"/>
          <w:color w:val="auto"/>
          <w:sz w:val="24"/>
          <w:szCs w:val="24"/>
        </w:rPr>
        <w:fldChar w:fldCharType="end"/>
      </w:r>
    </w:p>
    <w:p>
      <w:pPr>
        <w:pStyle w:val="29"/>
        <w:tabs>
          <w:tab w:val="right" w:leader="middleDot" w:pos="8400"/>
        </w:tabs>
        <w:spacing w:line="360" w:lineRule="auto"/>
        <w:ind w:left="0" w:leftChars="0" w:firstLine="200" w:firstLineChars="100"/>
        <w:rPr>
          <w:rFonts w:asciiTheme="minorEastAsia" w:hAnsiTheme="minorEastAsia" w:eastAsiaTheme="minorEastAsia"/>
          <w:color w:val="auto"/>
          <w:sz w:val="24"/>
          <w:szCs w:val="24"/>
        </w:rPr>
      </w:pPr>
      <w:r>
        <w:rPr>
          <w:color w:val="auto"/>
        </w:rPr>
        <w:fldChar w:fldCharType="begin"/>
      </w:r>
      <w:r>
        <w:rPr>
          <w:color w:val="auto"/>
        </w:rPr>
        <w:instrText xml:space="preserve"> HYPERLINK \l "_Toc351203632" </w:instrText>
      </w:r>
      <w:r>
        <w:rPr>
          <w:color w:val="auto"/>
        </w:rPr>
        <w:fldChar w:fldCharType="separate"/>
      </w:r>
      <w:r>
        <w:rPr>
          <w:rStyle w:val="64"/>
          <w:rFonts w:hint="eastAsia" w:asciiTheme="minorEastAsia" w:hAnsiTheme="minorEastAsia" w:eastAsiaTheme="minorEastAsia"/>
          <w:b/>
          <w:color w:val="auto"/>
          <w:sz w:val="24"/>
          <w:szCs w:val="24"/>
        </w:rPr>
        <w:t>第三部分 专用合同条款</w:t>
      </w:r>
      <w:r>
        <w:rPr>
          <w:rStyle w:val="64"/>
          <w:rFonts w:hint="eastAsia" w:asciiTheme="minorEastAsia" w:hAnsiTheme="minorEastAsia" w:eastAsiaTheme="minorEastAsia"/>
          <w:b/>
          <w:color w:val="auto"/>
          <w:sz w:val="24"/>
          <w:szCs w:val="24"/>
        </w:rPr>
        <w:fldChar w:fldCharType="end"/>
      </w:r>
      <w:r>
        <w:rPr>
          <w:rFonts w:hint="eastAsia" w:asciiTheme="minorEastAsia" w:hAnsiTheme="minorEastAsia" w:eastAsiaTheme="minorEastAsia"/>
          <w:color w:val="auto"/>
          <w:sz w:val="24"/>
          <w:szCs w:val="24"/>
        </w:rPr>
        <w:tab/>
      </w:r>
      <w:r>
        <w:rPr>
          <w:rFonts w:asciiTheme="minorEastAsia" w:hAnsiTheme="minorEastAsia" w:eastAsiaTheme="minorEastAsia"/>
          <w:color w:val="auto"/>
          <w:sz w:val="24"/>
          <w:szCs w:val="24"/>
        </w:rPr>
        <w:t>35</w:t>
      </w:r>
    </w:p>
    <w:p>
      <w:pPr>
        <w:pStyle w:val="39"/>
        <w:tabs>
          <w:tab w:val="right" w:leader="middleDot" w:pos="8400"/>
        </w:tabs>
        <w:spacing w:line="360" w:lineRule="auto"/>
        <w:ind w:firstLine="210" w:firstLineChars="100"/>
        <w:rPr>
          <w:rFonts w:asciiTheme="minorEastAsia" w:hAnsiTheme="minorEastAsia" w:eastAsiaTheme="minorEastAsia"/>
          <w:color w:val="auto"/>
          <w:sz w:val="24"/>
          <w:szCs w:val="24"/>
        </w:rPr>
      </w:pPr>
      <w:r>
        <w:rPr>
          <w:color w:val="auto"/>
        </w:rPr>
        <w:fldChar w:fldCharType="begin"/>
      </w:r>
      <w:r>
        <w:rPr>
          <w:color w:val="auto"/>
        </w:rPr>
        <w:instrText xml:space="preserve"> HYPERLINK \l "_Toc351203633" </w:instrText>
      </w:r>
      <w:r>
        <w:rPr>
          <w:color w:val="auto"/>
        </w:rPr>
        <w:fldChar w:fldCharType="separate"/>
      </w:r>
      <w:r>
        <w:rPr>
          <w:rStyle w:val="64"/>
          <w:rFonts w:hint="eastAsia" w:asciiTheme="minorEastAsia" w:hAnsiTheme="minorEastAsia" w:eastAsiaTheme="minorEastAsia"/>
          <w:color w:val="auto"/>
          <w:sz w:val="24"/>
          <w:szCs w:val="24"/>
        </w:rPr>
        <w:t>1. 一般约定</w:t>
      </w:r>
      <w:r>
        <w:rPr>
          <w:rStyle w:val="64"/>
          <w:rFonts w:hint="eastAsia" w:asciiTheme="minorEastAsia" w:hAnsiTheme="minorEastAsia" w:eastAsiaTheme="minorEastAsia"/>
          <w:color w:val="auto"/>
          <w:sz w:val="24"/>
          <w:szCs w:val="24"/>
        </w:rPr>
        <w:fldChar w:fldCharType="end"/>
      </w:r>
      <w:r>
        <w:rPr>
          <w:rFonts w:hint="eastAsia" w:asciiTheme="minorEastAsia" w:hAnsiTheme="minorEastAsia" w:eastAsiaTheme="minorEastAsia"/>
          <w:color w:val="auto"/>
          <w:sz w:val="24"/>
          <w:szCs w:val="24"/>
        </w:rPr>
        <w:tab/>
      </w:r>
      <w:r>
        <w:rPr>
          <w:rFonts w:asciiTheme="minorEastAsia" w:hAnsiTheme="minorEastAsia" w:eastAsiaTheme="minorEastAsia"/>
          <w:color w:val="auto"/>
          <w:sz w:val="24"/>
          <w:szCs w:val="24"/>
        </w:rPr>
        <w:t>35</w:t>
      </w:r>
    </w:p>
    <w:p>
      <w:pPr>
        <w:pStyle w:val="39"/>
        <w:tabs>
          <w:tab w:val="right" w:leader="middleDot" w:pos="8400"/>
        </w:tabs>
        <w:spacing w:line="360" w:lineRule="auto"/>
        <w:ind w:firstLine="210" w:firstLineChars="100"/>
        <w:rPr>
          <w:rFonts w:asciiTheme="minorEastAsia" w:hAnsiTheme="minorEastAsia" w:eastAsiaTheme="minorEastAsia"/>
          <w:color w:val="auto"/>
          <w:sz w:val="24"/>
          <w:szCs w:val="24"/>
        </w:rPr>
      </w:pPr>
      <w:r>
        <w:rPr>
          <w:color w:val="auto"/>
        </w:rPr>
        <w:fldChar w:fldCharType="begin"/>
      </w:r>
      <w:r>
        <w:rPr>
          <w:color w:val="auto"/>
        </w:rPr>
        <w:instrText xml:space="preserve"> HYPERLINK \l "_Toc351203634" </w:instrText>
      </w:r>
      <w:r>
        <w:rPr>
          <w:color w:val="auto"/>
        </w:rPr>
        <w:fldChar w:fldCharType="separate"/>
      </w:r>
      <w:r>
        <w:rPr>
          <w:rStyle w:val="64"/>
          <w:rFonts w:hint="eastAsia" w:asciiTheme="minorEastAsia" w:hAnsiTheme="minorEastAsia" w:eastAsiaTheme="minorEastAsia"/>
          <w:color w:val="auto"/>
          <w:sz w:val="24"/>
          <w:szCs w:val="24"/>
        </w:rPr>
        <w:t>2. 发包人</w:t>
      </w:r>
      <w:r>
        <w:rPr>
          <w:rStyle w:val="64"/>
          <w:rFonts w:hint="eastAsia" w:asciiTheme="minorEastAsia" w:hAnsiTheme="minorEastAsia" w:eastAsiaTheme="minorEastAsia"/>
          <w:color w:val="auto"/>
          <w:sz w:val="24"/>
          <w:szCs w:val="24"/>
        </w:rPr>
        <w:fldChar w:fldCharType="end"/>
      </w:r>
      <w:r>
        <w:rPr>
          <w:rFonts w:hint="eastAsia" w:asciiTheme="minorEastAsia" w:hAnsiTheme="minorEastAsia" w:eastAsiaTheme="minorEastAsia"/>
          <w:color w:val="auto"/>
          <w:sz w:val="24"/>
          <w:szCs w:val="24"/>
        </w:rPr>
        <w:tab/>
      </w:r>
      <w:r>
        <w:rPr>
          <w:rFonts w:asciiTheme="minorEastAsia" w:hAnsiTheme="minorEastAsia" w:eastAsiaTheme="minorEastAsia"/>
          <w:color w:val="auto"/>
          <w:sz w:val="24"/>
          <w:szCs w:val="24"/>
        </w:rPr>
        <w:t>37</w:t>
      </w:r>
    </w:p>
    <w:p>
      <w:pPr>
        <w:pStyle w:val="39"/>
        <w:tabs>
          <w:tab w:val="right" w:leader="middleDot" w:pos="8400"/>
        </w:tabs>
        <w:spacing w:line="360" w:lineRule="auto"/>
        <w:ind w:firstLine="210" w:firstLineChars="100"/>
        <w:rPr>
          <w:rFonts w:asciiTheme="minorEastAsia" w:hAnsiTheme="minorEastAsia" w:eastAsiaTheme="minorEastAsia"/>
          <w:color w:val="auto"/>
          <w:sz w:val="24"/>
          <w:szCs w:val="24"/>
        </w:rPr>
      </w:pPr>
      <w:r>
        <w:rPr>
          <w:color w:val="auto"/>
        </w:rPr>
        <w:fldChar w:fldCharType="begin"/>
      </w:r>
      <w:r>
        <w:rPr>
          <w:color w:val="auto"/>
        </w:rPr>
        <w:instrText xml:space="preserve"> HYPERLINK \l "_Toc351203635" </w:instrText>
      </w:r>
      <w:r>
        <w:rPr>
          <w:color w:val="auto"/>
        </w:rPr>
        <w:fldChar w:fldCharType="separate"/>
      </w:r>
      <w:r>
        <w:rPr>
          <w:rStyle w:val="64"/>
          <w:rFonts w:hint="eastAsia" w:asciiTheme="minorEastAsia" w:hAnsiTheme="minorEastAsia" w:eastAsiaTheme="minorEastAsia"/>
          <w:color w:val="auto"/>
          <w:sz w:val="24"/>
          <w:szCs w:val="24"/>
        </w:rPr>
        <w:t>3. 设计人</w:t>
      </w:r>
      <w:r>
        <w:rPr>
          <w:rStyle w:val="64"/>
          <w:rFonts w:hint="eastAsia" w:asciiTheme="minorEastAsia" w:hAnsiTheme="minorEastAsia" w:eastAsiaTheme="minorEastAsia"/>
          <w:color w:val="auto"/>
          <w:sz w:val="24"/>
          <w:szCs w:val="24"/>
        </w:rPr>
        <w:fldChar w:fldCharType="end"/>
      </w:r>
      <w:r>
        <w:rPr>
          <w:rFonts w:hint="eastAsia" w:asciiTheme="minorEastAsia" w:hAnsiTheme="minorEastAsia" w:eastAsiaTheme="minorEastAsia"/>
          <w:color w:val="auto"/>
          <w:sz w:val="24"/>
          <w:szCs w:val="24"/>
        </w:rPr>
        <w:tab/>
      </w:r>
      <w:r>
        <w:rPr>
          <w:rFonts w:asciiTheme="minorEastAsia" w:hAnsiTheme="minorEastAsia" w:eastAsiaTheme="minorEastAsia"/>
          <w:color w:val="auto"/>
          <w:sz w:val="24"/>
          <w:szCs w:val="24"/>
        </w:rPr>
        <w:t>38</w:t>
      </w:r>
    </w:p>
    <w:p>
      <w:pPr>
        <w:pStyle w:val="39"/>
        <w:tabs>
          <w:tab w:val="right" w:leader="middleDot" w:pos="8400"/>
        </w:tabs>
        <w:spacing w:line="360" w:lineRule="auto"/>
        <w:ind w:firstLine="210" w:firstLineChars="100"/>
        <w:rPr>
          <w:rFonts w:asciiTheme="minorEastAsia" w:hAnsiTheme="minorEastAsia" w:eastAsiaTheme="minorEastAsia"/>
          <w:color w:val="auto"/>
          <w:sz w:val="24"/>
          <w:szCs w:val="24"/>
        </w:rPr>
      </w:pPr>
      <w:r>
        <w:rPr>
          <w:color w:val="auto"/>
        </w:rPr>
        <w:fldChar w:fldCharType="begin"/>
      </w:r>
      <w:r>
        <w:rPr>
          <w:color w:val="auto"/>
        </w:rPr>
        <w:instrText xml:space="preserve"> HYPERLINK \l "_Toc351203637" </w:instrText>
      </w:r>
      <w:r>
        <w:rPr>
          <w:color w:val="auto"/>
        </w:rPr>
        <w:fldChar w:fldCharType="separate"/>
      </w:r>
      <w:r>
        <w:rPr>
          <w:rStyle w:val="64"/>
          <w:rFonts w:hint="eastAsia" w:asciiTheme="minorEastAsia" w:hAnsiTheme="minorEastAsia" w:eastAsiaTheme="minorEastAsia"/>
          <w:color w:val="auto"/>
          <w:sz w:val="24"/>
          <w:szCs w:val="24"/>
        </w:rPr>
        <w:t>5. 工程设计要求</w:t>
      </w:r>
      <w:r>
        <w:rPr>
          <w:rStyle w:val="64"/>
          <w:rFonts w:hint="eastAsia" w:asciiTheme="minorEastAsia" w:hAnsiTheme="minorEastAsia" w:eastAsiaTheme="minorEastAsia"/>
          <w:color w:val="auto"/>
          <w:sz w:val="24"/>
          <w:szCs w:val="24"/>
        </w:rPr>
        <w:fldChar w:fldCharType="end"/>
      </w:r>
      <w:r>
        <w:rPr>
          <w:rFonts w:hint="eastAsia" w:asciiTheme="minorEastAsia" w:hAnsiTheme="minorEastAsia" w:eastAsiaTheme="minorEastAsia"/>
          <w:color w:val="auto"/>
          <w:sz w:val="24"/>
          <w:szCs w:val="24"/>
        </w:rPr>
        <w:tab/>
      </w:r>
      <w:r>
        <w:rPr>
          <w:rFonts w:asciiTheme="minorEastAsia" w:hAnsiTheme="minorEastAsia" w:eastAsiaTheme="minorEastAsia"/>
          <w:color w:val="auto"/>
          <w:sz w:val="24"/>
          <w:szCs w:val="24"/>
        </w:rPr>
        <w:t>44</w:t>
      </w:r>
    </w:p>
    <w:p>
      <w:pPr>
        <w:pStyle w:val="39"/>
        <w:tabs>
          <w:tab w:val="right" w:leader="middleDot" w:pos="8400"/>
        </w:tabs>
        <w:spacing w:line="360" w:lineRule="auto"/>
        <w:ind w:firstLine="210" w:firstLineChars="100"/>
        <w:rPr>
          <w:rFonts w:asciiTheme="minorEastAsia" w:hAnsiTheme="minorEastAsia" w:eastAsiaTheme="minorEastAsia"/>
          <w:color w:val="auto"/>
          <w:sz w:val="24"/>
          <w:szCs w:val="24"/>
        </w:rPr>
      </w:pPr>
      <w:r>
        <w:rPr>
          <w:color w:val="auto"/>
        </w:rPr>
        <w:fldChar w:fldCharType="begin"/>
      </w:r>
      <w:r>
        <w:rPr>
          <w:color w:val="auto"/>
        </w:rPr>
        <w:instrText xml:space="preserve"> HYPERLINK \l "_Toc351203639" </w:instrText>
      </w:r>
      <w:r>
        <w:rPr>
          <w:color w:val="auto"/>
        </w:rPr>
        <w:fldChar w:fldCharType="separate"/>
      </w:r>
      <w:r>
        <w:rPr>
          <w:rStyle w:val="64"/>
          <w:rFonts w:hint="eastAsia" w:asciiTheme="minorEastAsia" w:hAnsiTheme="minorEastAsia" w:eastAsiaTheme="minorEastAsia"/>
          <w:color w:val="auto"/>
          <w:sz w:val="24"/>
          <w:szCs w:val="24"/>
        </w:rPr>
        <w:t>6. 工程设计进度与周期</w:t>
      </w:r>
      <w:r>
        <w:rPr>
          <w:rStyle w:val="64"/>
          <w:rFonts w:hint="eastAsia" w:asciiTheme="minorEastAsia" w:hAnsiTheme="minorEastAsia" w:eastAsiaTheme="minorEastAsia"/>
          <w:color w:val="auto"/>
          <w:sz w:val="24"/>
          <w:szCs w:val="24"/>
        </w:rPr>
        <w:fldChar w:fldCharType="end"/>
      </w:r>
      <w:r>
        <w:rPr>
          <w:rFonts w:hint="eastAsia" w:asciiTheme="minorEastAsia" w:hAnsiTheme="minorEastAsia" w:eastAsiaTheme="minorEastAsia"/>
          <w:color w:val="auto"/>
          <w:sz w:val="24"/>
          <w:szCs w:val="24"/>
        </w:rPr>
        <w:tab/>
      </w:r>
      <w:r>
        <w:rPr>
          <w:rFonts w:asciiTheme="minorEastAsia" w:hAnsiTheme="minorEastAsia" w:eastAsiaTheme="minorEastAsia"/>
          <w:color w:val="auto"/>
          <w:sz w:val="24"/>
          <w:szCs w:val="24"/>
        </w:rPr>
        <w:t>45</w:t>
      </w:r>
    </w:p>
    <w:p>
      <w:pPr>
        <w:pStyle w:val="39"/>
        <w:tabs>
          <w:tab w:val="right" w:leader="middleDot" w:pos="8400"/>
        </w:tabs>
        <w:spacing w:line="360" w:lineRule="auto"/>
        <w:ind w:firstLine="210" w:firstLineChars="100"/>
        <w:rPr>
          <w:rFonts w:asciiTheme="minorEastAsia" w:hAnsiTheme="minorEastAsia" w:eastAsiaTheme="minorEastAsia"/>
          <w:color w:val="auto"/>
          <w:sz w:val="24"/>
          <w:szCs w:val="24"/>
        </w:rPr>
      </w:pPr>
      <w:r>
        <w:rPr>
          <w:color w:val="auto"/>
        </w:rPr>
        <w:fldChar w:fldCharType="begin"/>
      </w:r>
      <w:r>
        <w:rPr>
          <w:color w:val="auto"/>
        </w:rPr>
        <w:instrText xml:space="preserve"> HYPERLINK \l "_Toc351203639" </w:instrText>
      </w:r>
      <w:r>
        <w:rPr>
          <w:color w:val="auto"/>
        </w:rPr>
        <w:fldChar w:fldCharType="separate"/>
      </w:r>
      <w:r>
        <w:rPr>
          <w:rStyle w:val="64"/>
          <w:rFonts w:hint="eastAsia" w:asciiTheme="minorEastAsia" w:hAnsiTheme="minorEastAsia" w:eastAsiaTheme="minorEastAsia"/>
          <w:color w:val="auto"/>
          <w:sz w:val="24"/>
          <w:szCs w:val="24"/>
        </w:rPr>
        <w:t>7. 工程设计文件交付</w:t>
      </w:r>
      <w:r>
        <w:rPr>
          <w:rStyle w:val="64"/>
          <w:rFonts w:hint="eastAsia" w:asciiTheme="minorEastAsia" w:hAnsiTheme="minorEastAsia" w:eastAsiaTheme="minorEastAsia"/>
          <w:color w:val="auto"/>
          <w:sz w:val="24"/>
          <w:szCs w:val="24"/>
        </w:rPr>
        <w:fldChar w:fldCharType="end"/>
      </w:r>
      <w:r>
        <w:rPr>
          <w:rFonts w:hint="eastAsia" w:asciiTheme="minorEastAsia" w:hAnsiTheme="minorEastAsia" w:eastAsiaTheme="minorEastAsia"/>
          <w:color w:val="auto"/>
          <w:sz w:val="24"/>
          <w:szCs w:val="24"/>
        </w:rPr>
        <w:tab/>
      </w:r>
      <w:r>
        <w:rPr>
          <w:rFonts w:asciiTheme="minorEastAsia" w:hAnsiTheme="minorEastAsia" w:eastAsiaTheme="minorEastAsia"/>
          <w:color w:val="auto"/>
          <w:sz w:val="24"/>
          <w:szCs w:val="24"/>
        </w:rPr>
        <w:t>47</w:t>
      </w:r>
    </w:p>
    <w:p>
      <w:pPr>
        <w:pStyle w:val="39"/>
        <w:tabs>
          <w:tab w:val="right" w:leader="middleDot" w:pos="8400"/>
        </w:tabs>
        <w:spacing w:line="360" w:lineRule="auto"/>
        <w:ind w:firstLine="210" w:firstLineChars="100"/>
        <w:rPr>
          <w:rFonts w:asciiTheme="minorEastAsia" w:hAnsiTheme="minorEastAsia" w:eastAsiaTheme="minorEastAsia"/>
          <w:color w:val="auto"/>
          <w:sz w:val="24"/>
          <w:szCs w:val="24"/>
        </w:rPr>
      </w:pPr>
      <w:r>
        <w:rPr>
          <w:color w:val="auto"/>
        </w:rPr>
        <w:fldChar w:fldCharType="begin"/>
      </w:r>
      <w:r>
        <w:rPr>
          <w:color w:val="auto"/>
        </w:rPr>
        <w:instrText xml:space="preserve"> HYPERLINK \l "_Toc351203642" </w:instrText>
      </w:r>
      <w:r>
        <w:rPr>
          <w:color w:val="auto"/>
        </w:rPr>
        <w:fldChar w:fldCharType="separate"/>
      </w:r>
      <w:r>
        <w:rPr>
          <w:rStyle w:val="64"/>
          <w:rFonts w:hint="eastAsia" w:asciiTheme="minorEastAsia" w:hAnsiTheme="minorEastAsia" w:eastAsiaTheme="minorEastAsia"/>
          <w:color w:val="auto"/>
          <w:sz w:val="24"/>
          <w:szCs w:val="24"/>
        </w:rPr>
        <w:t>8. 工程设计文件审查</w:t>
      </w:r>
      <w:r>
        <w:rPr>
          <w:rStyle w:val="64"/>
          <w:rFonts w:hint="eastAsia" w:asciiTheme="minorEastAsia" w:hAnsiTheme="minorEastAsia" w:eastAsiaTheme="minorEastAsia"/>
          <w:color w:val="auto"/>
          <w:sz w:val="24"/>
          <w:szCs w:val="24"/>
        </w:rPr>
        <w:fldChar w:fldCharType="end"/>
      </w:r>
      <w:r>
        <w:rPr>
          <w:rFonts w:hint="eastAsia" w:asciiTheme="minorEastAsia" w:hAnsiTheme="minorEastAsia" w:eastAsiaTheme="minorEastAsia"/>
          <w:color w:val="auto"/>
          <w:sz w:val="24"/>
          <w:szCs w:val="24"/>
        </w:rPr>
        <w:tab/>
      </w:r>
      <w:r>
        <w:rPr>
          <w:rFonts w:asciiTheme="minorEastAsia" w:hAnsiTheme="minorEastAsia" w:eastAsiaTheme="minorEastAsia"/>
          <w:color w:val="auto"/>
          <w:sz w:val="24"/>
          <w:szCs w:val="24"/>
        </w:rPr>
        <w:t>47</w:t>
      </w:r>
    </w:p>
    <w:p>
      <w:pPr>
        <w:pStyle w:val="39"/>
        <w:tabs>
          <w:tab w:val="right" w:leader="middleDot" w:pos="8400"/>
        </w:tabs>
        <w:spacing w:line="360" w:lineRule="auto"/>
        <w:ind w:firstLine="210" w:firstLineChars="100"/>
        <w:rPr>
          <w:rFonts w:asciiTheme="minorEastAsia" w:hAnsiTheme="minorEastAsia" w:eastAsiaTheme="minorEastAsia"/>
          <w:color w:val="auto"/>
          <w:sz w:val="24"/>
          <w:szCs w:val="24"/>
        </w:rPr>
      </w:pPr>
      <w:r>
        <w:rPr>
          <w:color w:val="auto"/>
        </w:rPr>
        <w:fldChar w:fldCharType="begin"/>
      </w:r>
      <w:r>
        <w:rPr>
          <w:color w:val="auto"/>
        </w:rPr>
        <w:instrText xml:space="preserve"> HYPERLINK \l "_Toc351203642" </w:instrText>
      </w:r>
      <w:r>
        <w:rPr>
          <w:color w:val="auto"/>
        </w:rPr>
        <w:fldChar w:fldCharType="separate"/>
      </w:r>
      <w:r>
        <w:rPr>
          <w:rStyle w:val="64"/>
          <w:rFonts w:hint="eastAsia" w:asciiTheme="minorEastAsia" w:hAnsiTheme="minorEastAsia" w:eastAsiaTheme="minorEastAsia"/>
          <w:color w:val="auto"/>
          <w:sz w:val="24"/>
          <w:szCs w:val="24"/>
        </w:rPr>
        <w:t>9. 施工现场配合服务</w:t>
      </w:r>
      <w:r>
        <w:rPr>
          <w:rStyle w:val="64"/>
          <w:rFonts w:hint="eastAsia" w:asciiTheme="minorEastAsia" w:hAnsiTheme="minorEastAsia" w:eastAsiaTheme="minorEastAsia"/>
          <w:color w:val="auto"/>
          <w:sz w:val="24"/>
          <w:szCs w:val="24"/>
        </w:rPr>
        <w:fldChar w:fldCharType="end"/>
      </w:r>
      <w:r>
        <w:rPr>
          <w:rFonts w:hint="eastAsia" w:asciiTheme="minorEastAsia" w:hAnsiTheme="minorEastAsia" w:eastAsiaTheme="minorEastAsia"/>
          <w:color w:val="auto"/>
          <w:sz w:val="24"/>
          <w:szCs w:val="24"/>
        </w:rPr>
        <w:tab/>
      </w:r>
      <w:r>
        <w:rPr>
          <w:rFonts w:asciiTheme="minorEastAsia" w:hAnsiTheme="minorEastAsia" w:eastAsiaTheme="minorEastAsia"/>
          <w:color w:val="auto"/>
          <w:sz w:val="24"/>
          <w:szCs w:val="24"/>
        </w:rPr>
        <w:t>47</w:t>
      </w:r>
    </w:p>
    <w:p>
      <w:pPr>
        <w:pStyle w:val="39"/>
        <w:tabs>
          <w:tab w:val="right" w:leader="middleDot" w:pos="8400"/>
        </w:tabs>
        <w:spacing w:line="360" w:lineRule="auto"/>
        <w:ind w:firstLine="210" w:firstLineChars="100"/>
        <w:rPr>
          <w:rFonts w:asciiTheme="minorEastAsia" w:hAnsiTheme="minorEastAsia" w:eastAsiaTheme="minorEastAsia"/>
          <w:color w:val="auto"/>
          <w:sz w:val="24"/>
          <w:szCs w:val="24"/>
        </w:rPr>
      </w:pPr>
      <w:r>
        <w:rPr>
          <w:color w:val="auto"/>
        </w:rPr>
        <w:fldChar w:fldCharType="begin"/>
      </w:r>
      <w:r>
        <w:rPr>
          <w:color w:val="auto"/>
        </w:rPr>
        <w:instrText xml:space="preserve"> HYPERLINK \l "_Toc351203643" </w:instrText>
      </w:r>
      <w:r>
        <w:rPr>
          <w:color w:val="auto"/>
        </w:rPr>
        <w:fldChar w:fldCharType="separate"/>
      </w:r>
      <w:r>
        <w:rPr>
          <w:rStyle w:val="64"/>
          <w:rFonts w:hint="eastAsia" w:asciiTheme="minorEastAsia" w:hAnsiTheme="minorEastAsia" w:eastAsiaTheme="minorEastAsia"/>
          <w:color w:val="auto"/>
          <w:sz w:val="24"/>
          <w:szCs w:val="24"/>
        </w:rPr>
        <w:t>10. 合同价款与支付</w:t>
      </w:r>
      <w:r>
        <w:rPr>
          <w:rStyle w:val="64"/>
          <w:rFonts w:hint="eastAsia" w:asciiTheme="minorEastAsia" w:hAnsiTheme="minorEastAsia" w:eastAsiaTheme="minorEastAsia"/>
          <w:color w:val="auto"/>
          <w:sz w:val="24"/>
          <w:szCs w:val="24"/>
        </w:rPr>
        <w:fldChar w:fldCharType="end"/>
      </w:r>
      <w:r>
        <w:rPr>
          <w:rFonts w:hint="eastAsia" w:asciiTheme="minorEastAsia" w:hAnsiTheme="minorEastAsia" w:eastAsiaTheme="minorEastAsia"/>
          <w:color w:val="auto"/>
          <w:sz w:val="24"/>
          <w:szCs w:val="24"/>
        </w:rPr>
        <w:tab/>
      </w:r>
      <w:r>
        <w:rPr>
          <w:rFonts w:asciiTheme="minorEastAsia" w:hAnsiTheme="minorEastAsia" w:eastAsiaTheme="minorEastAsia"/>
          <w:color w:val="auto"/>
          <w:sz w:val="24"/>
          <w:szCs w:val="24"/>
        </w:rPr>
        <w:t>47</w:t>
      </w:r>
    </w:p>
    <w:p>
      <w:pPr>
        <w:pStyle w:val="39"/>
        <w:tabs>
          <w:tab w:val="right" w:leader="middleDot" w:pos="8400"/>
        </w:tabs>
        <w:spacing w:line="360" w:lineRule="auto"/>
        <w:ind w:firstLine="210" w:firstLineChars="100"/>
        <w:rPr>
          <w:rFonts w:asciiTheme="minorEastAsia" w:hAnsiTheme="minorEastAsia" w:eastAsiaTheme="minorEastAsia"/>
          <w:color w:val="auto"/>
          <w:sz w:val="24"/>
          <w:szCs w:val="24"/>
        </w:rPr>
      </w:pPr>
      <w:r>
        <w:rPr>
          <w:color w:val="auto"/>
        </w:rPr>
        <w:fldChar w:fldCharType="begin"/>
      </w:r>
      <w:r>
        <w:rPr>
          <w:color w:val="auto"/>
        </w:rPr>
        <w:instrText xml:space="preserve"> HYPERLINK \l "_Toc351203567" </w:instrText>
      </w:r>
      <w:r>
        <w:rPr>
          <w:color w:val="auto"/>
        </w:rPr>
        <w:fldChar w:fldCharType="separate"/>
      </w:r>
      <w:r>
        <w:rPr>
          <w:rStyle w:val="64"/>
          <w:rFonts w:hint="eastAsia" w:asciiTheme="minorEastAsia" w:hAnsiTheme="minorEastAsia" w:eastAsiaTheme="minorEastAsia"/>
          <w:color w:val="auto"/>
          <w:sz w:val="24"/>
          <w:szCs w:val="24"/>
        </w:rPr>
        <w:t>11. 工程设计变更与索赔</w:t>
      </w:r>
      <w:r>
        <w:rPr>
          <w:rStyle w:val="64"/>
          <w:rFonts w:hint="eastAsia" w:asciiTheme="minorEastAsia" w:hAnsiTheme="minorEastAsia" w:eastAsiaTheme="minorEastAsia"/>
          <w:color w:val="auto"/>
          <w:sz w:val="24"/>
          <w:szCs w:val="24"/>
        </w:rPr>
        <w:fldChar w:fldCharType="end"/>
      </w:r>
      <w:r>
        <w:rPr>
          <w:rFonts w:hint="eastAsia" w:asciiTheme="minorEastAsia" w:hAnsiTheme="minorEastAsia" w:eastAsiaTheme="minorEastAsia"/>
          <w:color w:val="auto"/>
          <w:sz w:val="24"/>
          <w:szCs w:val="24"/>
        </w:rPr>
        <w:tab/>
      </w:r>
      <w:r>
        <w:rPr>
          <w:rFonts w:asciiTheme="minorEastAsia" w:hAnsiTheme="minorEastAsia" w:eastAsiaTheme="minorEastAsia"/>
          <w:color w:val="auto"/>
          <w:sz w:val="24"/>
          <w:szCs w:val="24"/>
        </w:rPr>
        <w:t>50</w:t>
      </w:r>
    </w:p>
    <w:p>
      <w:pPr>
        <w:pStyle w:val="39"/>
        <w:tabs>
          <w:tab w:val="right" w:leader="middleDot" w:pos="8400"/>
        </w:tabs>
        <w:spacing w:line="360" w:lineRule="auto"/>
        <w:ind w:firstLine="210" w:firstLineChars="100"/>
        <w:rPr>
          <w:rFonts w:asciiTheme="minorEastAsia" w:hAnsiTheme="minorEastAsia" w:eastAsiaTheme="minorEastAsia"/>
          <w:color w:val="auto"/>
          <w:sz w:val="24"/>
          <w:szCs w:val="24"/>
        </w:rPr>
      </w:pPr>
      <w:r>
        <w:rPr>
          <w:color w:val="auto"/>
        </w:rPr>
        <w:fldChar w:fldCharType="begin"/>
      </w:r>
      <w:r>
        <w:rPr>
          <w:color w:val="auto"/>
        </w:rPr>
        <w:instrText xml:space="preserve"> HYPERLINK \l "_Toc351203643" </w:instrText>
      </w:r>
      <w:r>
        <w:rPr>
          <w:color w:val="auto"/>
        </w:rPr>
        <w:fldChar w:fldCharType="separate"/>
      </w:r>
      <w:r>
        <w:rPr>
          <w:rStyle w:val="64"/>
          <w:rFonts w:hint="eastAsia" w:asciiTheme="minorEastAsia" w:hAnsiTheme="minorEastAsia" w:eastAsiaTheme="minorEastAsia"/>
          <w:color w:val="auto"/>
          <w:sz w:val="24"/>
          <w:szCs w:val="24"/>
        </w:rPr>
        <w:t>12. 专业责任与保险</w:t>
      </w:r>
      <w:r>
        <w:rPr>
          <w:rStyle w:val="64"/>
          <w:rFonts w:hint="eastAsia" w:asciiTheme="minorEastAsia" w:hAnsiTheme="minorEastAsia" w:eastAsiaTheme="minorEastAsia"/>
          <w:color w:val="auto"/>
          <w:sz w:val="24"/>
          <w:szCs w:val="24"/>
        </w:rPr>
        <w:fldChar w:fldCharType="end"/>
      </w:r>
      <w:r>
        <w:rPr>
          <w:rFonts w:hint="eastAsia" w:asciiTheme="minorEastAsia" w:hAnsiTheme="minorEastAsia" w:eastAsiaTheme="minorEastAsia"/>
          <w:color w:val="auto"/>
          <w:sz w:val="24"/>
          <w:szCs w:val="24"/>
        </w:rPr>
        <w:tab/>
      </w:r>
      <w:r>
        <w:rPr>
          <w:rFonts w:asciiTheme="minorEastAsia" w:hAnsiTheme="minorEastAsia" w:eastAsiaTheme="minorEastAsia"/>
          <w:color w:val="auto"/>
          <w:sz w:val="24"/>
          <w:szCs w:val="24"/>
        </w:rPr>
        <w:t>51</w:t>
      </w:r>
    </w:p>
    <w:p>
      <w:pPr>
        <w:pStyle w:val="39"/>
        <w:tabs>
          <w:tab w:val="right" w:leader="middleDot" w:pos="8400"/>
        </w:tabs>
        <w:spacing w:line="360" w:lineRule="auto"/>
        <w:ind w:firstLine="210" w:firstLineChars="100"/>
        <w:rPr>
          <w:rFonts w:asciiTheme="minorEastAsia" w:hAnsiTheme="minorEastAsia" w:eastAsiaTheme="minorEastAsia"/>
          <w:color w:val="auto"/>
          <w:sz w:val="24"/>
          <w:szCs w:val="24"/>
        </w:rPr>
      </w:pPr>
      <w:r>
        <w:rPr>
          <w:color w:val="auto"/>
        </w:rPr>
        <w:fldChar w:fldCharType="begin"/>
      </w:r>
      <w:r>
        <w:rPr>
          <w:color w:val="auto"/>
        </w:rPr>
        <w:instrText xml:space="preserve"> HYPERLINK \l "_Toc351203645" </w:instrText>
      </w:r>
      <w:r>
        <w:rPr>
          <w:color w:val="auto"/>
        </w:rPr>
        <w:fldChar w:fldCharType="separate"/>
      </w:r>
      <w:r>
        <w:rPr>
          <w:rStyle w:val="64"/>
          <w:rFonts w:hint="eastAsia" w:asciiTheme="minorEastAsia" w:hAnsiTheme="minorEastAsia" w:eastAsiaTheme="minorEastAsia"/>
          <w:color w:val="auto"/>
          <w:sz w:val="24"/>
          <w:szCs w:val="24"/>
        </w:rPr>
        <w:t>13. 知识产权</w:t>
      </w:r>
      <w:r>
        <w:rPr>
          <w:rStyle w:val="64"/>
          <w:rFonts w:hint="eastAsia" w:asciiTheme="minorEastAsia" w:hAnsiTheme="minorEastAsia" w:eastAsiaTheme="minorEastAsia"/>
          <w:color w:val="auto"/>
          <w:sz w:val="24"/>
          <w:szCs w:val="24"/>
        </w:rPr>
        <w:fldChar w:fldCharType="end"/>
      </w:r>
      <w:r>
        <w:rPr>
          <w:rFonts w:hint="eastAsia" w:asciiTheme="minorEastAsia" w:hAnsiTheme="minorEastAsia" w:eastAsiaTheme="minorEastAsia"/>
          <w:color w:val="auto"/>
          <w:sz w:val="24"/>
          <w:szCs w:val="24"/>
        </w:rPr>
        <w:tab/>
      </w:r>
      <w:r>
        <w:rPr>
          <w:rFonts w:asciiTheme="minorEastAsia" w:hAnsiTheme="minorEastAsia" w:eastAsiaTheme="minorEastAsia"/>
          <w:color w:val="auto"/>
          <w:sz w:val="24"/>
          <w:szCs w:val="24"/>
        </w:rPr>
        <w:t>52</w:t>
      </w:r>
    </w:p>
    <w:p>
      <w:pPr>
        <w:pStyle w:val="39"/>
        <w:tabs>
          <w:tab w:val="right" w:leader="middleDot" w:pos="8400"/>
        </w:tabs>
        <w:spacing w:line="360" w:lineRule="auto"/>
        <w:ind w:firstLine="210" w:firstLineChars="100"/>
        <w:rPr>
          <w:rFonts w:asciiTheme="minorEastAsia" w:hAnsiTheme="minorEastAsia" w:eastAsiaTheme="minorEastAsia"/>
          <w:color w:val="auto"/>
          <w:sz w:val="24"/>
          <w:szCs w:val="24"/>
        </w:rPr>
      </w:pPr>
      <w:r>
        <w:rPr>
          <w:color w:val="auto"/>
        </w:rPr>
        <w:fldChar w:fldCharType="begin"/>
      </w:r>
      <w:r>
        <w:rPr>
          <w:color w:val="auto"/>
        </w:rPr>
        <w:instrText xml:space="preserve"> HYPERLINK \l "_Toc351203648" </w:instrText>
      </w:r>
      <w:r>
        <w:rPr>
          <w:color w:val="auto"/>
        </w:rPr>
        <w:fldChar w:fldCharType="separate"/>
      </w:r>
      <w:r>
        <w:rPr>
          <w:rStyle w:val="64"/>
          <w:rFonts w:hint="eastAsia" w:asciiTheme="minorEastAsia" w:hAnsiTheme="minorEastAsia" w:eastAsiaTheme="minorEastAsia"/>
          <w:color w:val="auto"/>
          <w:sz w:val="24"/>
          <w:szCs w:val="24"/>
        </w:rPr>
        <w:t>14. 违约责任</w:t>
      </w:r>
      <w:r>
        <w:rPr>
          <w:rStyle w:val="64"/>
          <w:rFonts w:hint="eastAsia" w:asciiTheme="minorEastAsia" w:hAnsiTheme="minorEastAsia" w:eastAsiaTheme="minorEastAsia"/>
          <w:color w:val="auto"/>
          <w:sz w:val="24"/>
          <w:szCs w:val="24"/>
        </w:rPr>
        <w:fldChar w:fldCharType="end"/>
      </w:r>
      <w:r>
        <w:rPr>
          <w:rFonts w:hint="eastAsia" w:asciiTheme="minorEastAsia" w:hAnsiTheme="minorEastAsia" w:eastAsiaTheme="minorEastAsia"/>
          <w:color w:val="auto"/>
          <w:sz w:val="24"/>
          <w:szCs w:val="24"/>
        </w:rPr>
        <w:tab/>
      </w:r>
      <w:r>
        <w:rPr>
          <w:rFonts w:asciiTheme="minorEastAsia" w:hAnsiTheme="minorEastAsia" w:eastAsiaTheme="minorEastAsia"/>
          <w:color w:val="auto"/>
          <w:sz w:val="24"/>
          <w:szCs w:val="24"/>
        </w:rPr>
        <w:t>53</w:t>
      </w:r>
    </w:p>
    <w:p>
      <w:pPr>
        <w:pStyle w:val="39"/>
        <w:tabs>
          <w:tab w:val="right" w:leader="middleDot" w:pos="8400"/>
        </w:tabs>
        <w:spacing w:line="360" w:lineRule="auto"/>
        <w:ind w:firstLine="210" w:firstLineChars="100"/>
        <w:rPr>
          <w:rFonts w:asciiTheme="minorEastAsia" w:hAnsiTheme="minorEastAsia" w:eastAsiaTheme="minorEastAsia"/>
          <w:color w:val="auto"/>
          <w:sz w:val="24"/>
          <w:szCs w:val="24"/>
        </w:rPr>
      </w:pPr>
      <w:r>
        <w:rPr>
          <w:color w:val="auto"/>
        </w:rPr>
        <w:fldChar w:fldCharType="begin"/>
      </w:r>
      <w:r>
        <w:rPr>
          <w:color w:val="auto"/>
        </w:rPr>
        <w:instrText xml:space="preserve"> HYPERLINK \l "_Toc351203649" </w:instrText>
      </w:r>
      <w:r>
        <w:rPr>
          <w:color w:val="auto"/>
        </w:rPr>
        <w:fldChar w:fldCharType="separate"/>
      </w:r>
      <w:r>
        <w:rPr>
          <w:rStyle w:val="64"/>
          <w:rFonts w:hint="eastAsia" w:asciiTheme="minorEastAsia" w:hAnsiTheme="minorEastAsia" w:eastAsiaTheme="minorEastAsia"/>
          <w:color w:val="auto"/>
          <w:sz w:val="24"/>
          <w:szCs w:val="24"/>
        </w:rPr>
        <w:t>15. 不可抗力</w:t>
      </w:r>
      <w:r>
        <w:rPr>
          <w:rStyle w:val="64"/>
          <w:rFonts w:hint="eastAsia" w:asciiTheme="minorEastAsia" w:hAnsiTheme="minorEastAsia" w:eastAsiaTheme="minorEastAsia"/>
          <w:color w:val="auto"/>
          <w:sz w:val="24"/>
          <w:szCs w:val="24"/>
        </w:rPr>
        <w:fldChar w:fldCharType="end"/>
      </w:r>
      <w:r>
        <w:rPr>
          <w:rFonts w:hint="eastAsia" w:asciiTheme="minorEastAsia" w:hAnsiTheme="minorEastAsia" w:eastAsiaTheme="minorEastAsia"/>
          <w:color w:val="auto"/>
          <w:sz w:val="24"/>
          <w:szCs w:val="24"/>
        </w:rPr>
        <w:tab/>
      </w:r>
      <w:r>
        <w:rPr>
          <w:rFonts w:hint="eastAsia" w:asciiTheme="minorEastAsia" w:hAnsiTheme="minorEastAsia" w:eastAsiaTheme="minorEastAsia"/>
          <w:color w:val="auto"/>
          <w:sz w:val="24"/>
          <w:szCs w:val="24"/>
        </w:rPr>
        <w:t>56</w:t>
      </w:r>
    </w:p>
    <w:p>
      <w:pPr>
        <w:pStyle w:val="39"/>
        <w:tabs>
          <w:tab w:val="right" w:leader="middleDot" w:pos="8400"/>
        </w:tabs>
        <w:spacing w:line="360" w:lineRule="auto"/>
        <w:ind w:firstLine="210" w:firstLineChars="100"/>
        <w:rPr>
          <w:rFonts w:asciiTheme="minorEastAsia" w:hAnsiTheme="minorEastAsia" w:eastAsiaTheme="minorEastAsia"/>
          <w:color w:val="auto"/>
          <w:sz w:val="24"/>
          <w:szCs w:val="24"/>
        </w:rPr>
      </w:pPr>
      <w:r>
        <w:rPr>
          <w:color w:val="auto"/>
        </w:rPr>
        <w:fldChar w:fldCharType="begin"/>
      </w:r>
      <w:r>
        <w:rPr>
          <w:color w:val="auto"/>
        </w:rPr>
        <w:instrText xml:space="preserve"> HYPERLINK \l "_Toc351203649" </w:instrText>
      </w:r>
      <w:r>
        <w:rPr>
          <w:color w:val="auto"/>
        </w:rPr>
        <w:fldChar w:fldCharType="separate"/>
      </w:r>
      <w:r>
        <w:rPr>
          <w:rStyle w:val="64"/>
          <w:rFonts w:hint="eastAsia" w:asciiTheme="minorEastAsia" w:hAnsiTheme="minorEastAsia" w:eastAsiaTheme="minorEastAsia"/>
          <w:color w:val="auto"/>
          <w:sz w:val="24"/>
          <w:szCs w:val="24"/>
        </w:rPr>
        <w:t>16. 合同解除</w:t>
      </w:r>
      <w:r>
        <w:rPr>
          <w:rStyle w:val="64"/>
          <w:rFonts w:hint="eastAsia" w:asciiTheme="minorEastAsia" w:hAnsiTheme="minorEastAsia" w:eastAsiaTheme="minorEastAsia"/>
          <w:color w:val="auto"/>
          <w:sz w:val="24"/>
          <w:szCs w:val="24"/>
        </w:rPr>
        <w:fldChar w:fldCharType="end"/>
      </w:r>
      <w:r>
        <w:rPr>
          <w:rFonts w:hint="eastAsia" w:asciiTheme="minorEastAsia" w:hAnsiTheme="minorEastAsia" w:eastAsiaTheme="minorEastAsia"/>
          <w:color w:val="auto"/>
          <w:sz w:val="24"/>
          <w:szCs w:val="24"/>
        </w:rPr>
        <w:tab/>
      </w:r>
      <w:r>
        <w:rPr>
          <w:rFonts w:hint="eastAsia" w:asciiTheme="minorEastAsia" w:hAnsiTheme="minorEastAsia" w:eastAsiaTheme="minorEastAsia"/>
          <w:color w:val="auto"/>
          <w:sz w:val="24"/>
          <w:szCs w:val="24"/>
        </w:rPr>
        <w:t>56</w:t>
      </w:r>
    </w:p>
    <w:p>
      <w:pPr>
        <w:tabs>
          <w:tab w:val="right" w:leader="middleDot" w:pos="8400"/>
        </w:tabs>
        <w:spacing w:line="360" w:lineRule="auto"/>
        <w:ind w:left="630" w:leftChars="300" w:firstLine="210" w:firstLineChars="100"/>
        <w:rPr>
          <w:rFonts w:asciiTheme="minorEastAsia" w:hAnsiTheme="minorEastAsia" w:eastAsiaTheme="minorEastAsia"/>
          <w:color w:val="auto"/>
          <w:sz w:val="24"/>
          <w:szCs w:val="24"/>
        </w:rPr>
      </w:pPr>
      <w:r>
        <w:rPr>
          <w:color w:val="auto"/>
        </w:rPr>
        <w:fldChar w:fldCharType="begin"/>
      </w:r>
      <w:r>
        <w:rPr>
          <w:color w:val="auto"/>
        </w:rPr>
        <w:instrText xml:space="preserve"> HYPERLINK \l "_Toc351203651" </w:instrText>
      </w:r>
      <w:r>
        <w:rPr>
          <w:color w:val="auto"/>
        </w:rPr>
        <w:fldChar w:fldCharType="separate"/>
      </w:r>
      <w:r>
        <w:rPr>
          <w:rStyle w:val="64"/>
          <w:rFonts w:hint="eastAsia" w:asciiTheme="minorEastAsia" w:hAnsiTheme="minorEastAsia" w:eastAsiaTheme="minorEastAsia"/>
          <w:color w:val="auto"/>
          <w:sz w:val="24"/>
          <w:szCs w:val="24"/>
        </w:rPr>
        <w:t>17. 争议解决</w:t>
      </w:r>
      <w:r>
        <w:rPr>
          <w:rStyle w:val="64"/>
          <w:rFonts w:hint="eastAsia" w:asciiTheme="minorEastAsia" w:hAnsiTheme="minorEastAsia" w:eastAsiaTheme="minorEastAsia"/>
          <w:color w:val="auto"/>
          <w:sz w:val="24"/>
          <w:szCs w:val="24"/>
        </w:rPr>
        <w:fldChar w:fldCharType="end"/>
      </w:r>
      <w:r>
        <w:rPr>
          <w:rFonts w:hint="eastAsia" w:asciiTheme="minorEastAsia" w:hAnsiTheme="minorEastAsia" w:eastAsiaTheme="minorEastAsia"/>
          <w:color w:val="auto"/>
          <w:sz w:val="24"/>
          <w:szCs w:val="24"/>
        </w:rPr>
        <w:tab/>
      </w:r>
      <w:r>
        <w:rPr>
          <w:rFonts w:hint="eastAsia" w:asciiTheme="minorEastAsia" w:hAnsiTheme="minorEastAsia" w:eastAsiaTheme="minorEastAsia"/>
          <w:color w:val="auto"/>
          <w:sz w:val="24"/>
          <w:szCs w:val="24"/>
        </w:rPr>
        <w:t>5</w:t>
      </w:r>
      <w:r>
        <w:rPr>
          <w:rFonts w:asciiTheme="minorEastAsia" w:hAnsiTheme="minorEastAsia" w:eastAsiaTheme="minorEastAsia"/>
          <w:color w:val="auto"/>
          <w:sz w:val="24"/>
          <w:szCs w:val="24"/>
        </w:rPr>
        <w:t>6</w:t>
      </w:r>
    </w:p>
    <w:p>
      <w:pPr>
        <w:tabs>
          <w:tab w:val="right" w:leader="middleDot" w:pos="8400"/>
        </w:tabs>
        <w:spacing w:line="360" w:lineRule="auto"/>
        <w:ind w:left="630" w:leftChars="300" w:firstLine="240" w:firstLineChars="1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18. 其他</w:t>
      </w:r>
      <w:r>
        <w:rPr>
          <w:rFonts w:hint="eastAsia" w:asciiTheme="minorEastAsia" w:hAnsiTheme="minorEastAsia" w:eastAsiaTheme="minorEastAsia"/>
          <w:color w:val="auto"/>
          <w:sz w:val="24"/>
          <w:szCs w:val="24"/>
        </w:rPr>
        <w:tab/>
      </w:r>
      <w:r>
        <w:rPr>
          <w:rFonts w:hint="eastAsia" w:asciiTheme="minorEastAsia" w:hAnsiTheme="minorEastAsia" w:eastAsiaTheme="minorEastAsia"/>
          <w:color w:val="auto"/>
          <w:sz w:val="24"/>
          <w:szCs w:val="24"/>
        </w:rPr>
        <w:t>5</w:t>
      </w:r>
      <w:r>
        <w:rPr>
          <w:rFonts w:asciiTheme="minorEastAsia" w:hAnsiTheme="minorEastAsia" w:eastAsiaTheme="minorEastAsia"/>
          <w:color w:val="auto"/>
          <w:sz w:val="24"/>
          <w:szCs w:val="24"/>
        </w:rPr>
        <w:t>6</w:t>
      </w:r>
    </w:p>
    <w:p>
      <w:pPr>
        <w:pStyle w:val="39"/>
        <w:tabs>
          <w:tab w:val="right" w:leader="middleDot" w:pos="8400"/>
        </w:tabs>
        <w:spacing w:line="360" w:lineRule="auto"/>
        <w:ind w:firstLine="210" w:firstLineChars="100"/>
        <w:rPr>
          <w:rFonts w:asciiTheme="minorEastAsia" w:hAnsiTheme="minorEastAsia" w:eastAsiaTheme="minorEastAsia"/>
          <w:color w:val="auto"/>
          <w:sz w:val="24"/>
          <w:szCs w:val="24"/>
        </w:rPr>
      </w:pPr>
      <w:r>
        <w:rPr>
          <w:color w:val="auto"/>
        </w:rPr>
        <w:fldChar w:fldCharType="begin"/>
      </w:r>
      <w:r>
        <w:rPr>
          <w:color w:val="auto"/>
        </w:rPr>
        <w:instrText xml:space="preserve"> HYPERLINK \l "_Toc351203652" </w:instrText>
      </w:r>
      <w:r>
        <w:rPr>
          <w:color w:val="auto"/>
        </w:rPr>
        <w:fldChar w:fldCharType="separate"/>
      </w:r>
      <w:r>
        <w:rPr>
          <w:rStyle w:val="64"/>
          <w:rFonts w:hint="eastAsia" w:asciiTheme="minorEastAsia" w:hAnsiTheme="minorEastAsia" w:eastAsiaTheme="minorEastAsia"/>
          <w:color w:val="auto"/>
          <w:sz w:val="24"/>
          <w:szCs w:val="24"/>
        </w:rPr>
        <w:t>附件</w:t>
      </w:r>
      <w:r>
        <w:rPr>
          <w:rStyle w:val="64"/>
          <w:rFonts w:hint="eastAsia" w:asciiTheme="minorEastAsia" w:hAnsiTheme="minorEastAsia" w:eastAsiaTheme="minorEastAsia"/>
          <w:color w:val="auto"/>
          <w:sz w:val="24"/>
          <w:szCs w:val="24"/>
        </w:rPr>
        <w:fldChar w:fldCharType="end"/>
      </w:r>
      <w:r>
        <w:rPr>
          <w:rFonts w:hint="eastAsia" w:asciiTheme="minorEastAsia" w:hAnsiTheme="minorEastAsia" w:eastAsiaTheme="minorEastAsia"/>
          <w:color w:val="auto"/>
          <w:sz w:val="24"/>
          <w:szCs w:val="24"/>
        </w:rPr>
        <w:tab/>
      </w:r>
      <w:r>
        <w:rPr>
          <w:rFonts w:hint="eastAsia" w:asciiTheme="minorEastAsia" w:hAnsiTheme="minorEastAsia" w:eastAsiaTheme="minorEastAsia"/>
          <w:color w:val="auto"/>
          <w:sz w:val="24"/>
          <w:szCs w:val="24"/>
        </w:rPr>
        <w:t>5</w:t>
      </w:r>
      <w:r>
        <w:rPr>
          <w:rFonts w:asciiTheme="minorEastAsia" w:hAnsiTheme="minorEastAsia" w:eastAsiaTheme="minorEastAsia"/>
          <w:color w:val="auto"/>
          <w:sz w:val="24"/>
          <w:szCs w:val="24"/>
        </w:rPr>
        <w:t>7</w:t>
      </w:r>
    </w:p>
    <w:p>
      <w:pPr>
        <w:tabs>
          <w:tab w:val="right" w:leader="middleDot" w:pos="8400"/>
        </w:tabs>
        <w:spacing w:line="360" w:lineRule="auto"/>
        <w:rPr>
          <w:rFonts w:asciiTheme="minorEastAsia" w:hAnsiTheme="minorEastAsia" w:eastAsiaTheme="minorEastAsia"/>
          <w:color w:val="auto"/>
          <w:sz w:val="28"/>
          <w:szCs w:val="28"/>
        </w:rPr>
      </w:pPr>
      <w:r>
        <w:rPr>
          <w:rFonts w:hint="eastAsia" w:asciiTheme="minorEastAsia" w:hAnsiTheme="minorEastAsia" w:eastAsiaTheme="minorEastAsia"/>
          <w:color w:val="auto"/>
          <w:sz w:val="24"/>
          <w:szCs w:val="24"/>
        </w:rPr>
        <w:fldChar w:fldCharType="end"/>
      </w:r>
    </w:p>
    <w:p>
      <w:pPr>
        <w:spacing w:line="360" w:lineRule="auto"/>
        <w:rPr>
          <w:rFonts w:asciiTheme="minorEastAsia" w:hAnsiTheme="minorEastAsia" w:eastAsiaTheme="minorEastAsia"/>
          <w:color w:val="auto"/>
          <w:sz w:val="28"/>
          <w:szCs w:val="28"/>
        </w:rPr>
      </w:pPr>
    </w:p>
    <w:p>
      <w:pPr>
        <w:widowControl/>
        <w:jc w:val="left"/>
        <w:rPr>
          <w:rFonts w:asciiTheme="minorEastAsia" w:hAnsiTheme="minorEastAsia" w:eastAsiaTheme="minorEastAsia"/>
          <w:color w:val="auto"/>
        </w:rPr>
      </w:pPr>
      <w:r>
        <w:rPr>
          <w:rFonts w:hint="eastAsia" w:asciiTheme="minorEastAsia" w:hAnsiTheme="minorEastAsia" w:eastAsiaTheme="minorEastAsia"/>
          <w:color w:val="auto"/>
        </w:rPr>
        <w:br w:type="page"/>
      </w:r>
    </w:p>
    <w:p>
      <w:pPr>
        <w:pStyle w:val="5"/>
        <w:spacing w:line="360" w:lineRule="auto"/>
        <w:jc w:val="center"/>
        <w:rPr>
          <w:rFonts w:asciiTheme="minorEastAsia" w:hAnsiTheme="minorEastAsia" w:eastAsiaTheme="minorEastAsia"/>
          <w:b w:val="0"/>
          <w:color w:val="auto"/>
          <w:sz w:val="44"/>
          <w:szCs w:val="44"/>
        </w:rPr>
      </w:pPr>
      <w:bookmarkStart w:id="5" w:name="_Toc351203480"/>
      <w:r>
        <w:rPr>
          <w:rFonts w:hint="eastAsia" w:asciiTheme="minorEastAsia" w:hAnsiTheme="minorEastAsia" w:eastAsiaTheme="minorEastAsia"/>
          <w:color w:val="auto"/>
          <w:sz w:val="44"/>
          <w:szCs w:val="44"/>
        </w:rPr>
        <w:t>第一部分 合同协议书</w:t>
      </w:r>
      <w:bookmarkEnd w:id="0"/>
      <w:bookmarkEnd w:id="1"/>
      <w:bookmarkEnd w:id="5"/>
    </w:p>
    <w:p>
      <w:pPr>
        <w:spacing w:line="360" w:lineRule="auto"/>
        <w:rPr>
          <w:rFonts w:asciiTheme="minorEastAsia" w:hAnsiTheme="minorEastAsia" w:eastAsiaTheme="minorEastAsia"/>
          <w:b/>
          <w:color w:val="auto"/>
          <w:sz w:val="24"/>
          <w:szCs w:val="24"/>
          <w:u w:val="single"/>
        </w:rPr>
      </w:pPr>
      <w:r>
        <w:rPr>
          <w:rFonts w:hint="eastAsia" w:asciiTheme="minorEastAsia" w:hAnsiTheme="minorEastAsia" w:eastAsiaTheme="minorEastAsia"/>
          <w:b/>
          <w:color w:val="auto"/>
          <w:sz w:val="24"/>
          <w:szCs w:val="24"/>
        </w:rPr>
        <w:t>发包人（全称）：</w:t>
      </w:r>
      <w:r>
        <w:rPr>
          <w:rFonts w:hint="eastAsia" w:asciiTheme="minorEastAsia" w:hAnsiTheme="minorEastAsia" w:eastAsiaTheme="minorEastAsia"/>
          <w:b/>
          <w:color w:val="auto"/>
          <w:sz w:val="24"/>
          <w:szCs w:val="24"/>
          <w:u w:val="single"/>
        </w:rPr>
        <w:t>广东省代建项目管理局       </w:t>
      </w:r>
    </w:p>
    <w:p>
      <w:pPr>
        <w:spacing w:line="360" w:lineRule="auto"/>
        <w:rPr>
          <w:rFonts w:asciiTheme="minorEastAsia" w:hAnsiTheme="minorEastAsia" w:eastAsiaTheme="minorEastAsia"/>
          <w:b/>
          <w:color w:val="auto"/>
          <w:sz w:val="24"/>
          <w:szCs w:val="24"/>
          <w:u w:val="single"/>
        </w:rPr>
      </w:pPr>
      <w:r>
        <w:rPr>
          <w:rFonts w:hint="eastAsia" w:asciiTheme="minorEastAsia" w:hAnsiTheme="minorEastAsia" w:eastAsiaTheme="minorEastAsia"/>
          <w:b/>
          <w:color w:val="auto"/>
          <w:sz w:val="24"/>
          <w:szCs w:val="24"/>
        </w:rPr>
        <w:t>设计人（全称）：</w:t>
      </w:r>
      <w:r>
        <w:rPr>
          <w:rFonts w:hint="eastAsia" w:asciiTheme="minorEastAsia" w:hAnsiTheme="minorEastAsia" w:eastAsiaTheme="minorEastAsia"/>
          <w:b/>
          <w:color w:val="auto"/>
          <w:sz w:val="24"/>
          <w:szCs w:val="24"/>
          <w:u w:val="single"/>
        </w:rPr>
        <w:t>                      </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根据《中华人民共和国民法典》、《中华人民共和国建筑法》及有关法律规定，遵循平等、自愿、公平和诚实信用的原则，双方就广东省岭南工商第一技师学院（国际学院）一期建设项目勘察设计（方案设计及初步设计）及有关事项协商一致，共同达成如下协议：</w:t>
      </w:r>
    </w:p>
    <w:p>
      <w:pPr>
        <w:pStyle w:val="6"/>
        <w:spacing w:before="120" w:after="120" w:line="360" w:lineRule="auto"/>
        <w:rPr>
          <w:rFonts w:asciiTheme="minorEastAsia" w:hAnsiTheme="minorEastAsia" w:eastAsiaTheme="minorEastAsia"/>
          <w:bCs w:val="0"/>
          <w:color w:val="auto"/>
          <w:sz w:val="24"/>
          <w:szCs w:val="24"/>
        </w:rPr>
      </w:pPr>
      <w:bookmarkStart w:id="6" w:name="_Toc351203481"/>
      <w:r>
        <w:rPr>
          <w:rFonts w:hint="eastAsia" w:asciiTheme="minorEastAsia" w:hAnsiTheme="minorEastAsia" w:eastAsiaTheme="minorEastAsia"/>
          <w:b w:val="0"/>
          <w:color w:val="auto"/>
          <w:sz w:val="24"/>
          <w:szCs w:val="24"/>
        </w:rPr>
        <w:t>一、工程概况</w:t>
      </w:r>
      <w:bookmarkEnd w:id="6"/>
    </w:p>
    <w:p>
      <w:pPr>
        <w:spacing w:line="360" w:lineRule="auto"/>
        <w:ind w:firstLine="470" w:firstLineChars="196"/>
        <w:rPr>
          <w:rFonts w:asciiTheme="minorEastAsia" w:hAnsiTheme="minorEastAsia" w:eastAsiaTheme="minorEastAsia"/>
          <w:color w:val="auto"/>
          <w:sz w:val="24"/>
          <w:szCs w:val="24"/>
          <w:u w:val="single"/>
        </w:rPr>
      </w:pPr>
      <w:r>
        <w:rPr>
          <w:rFonts w:hint="eastAsia" w:asciiTheme="minorEastAsia" w:hAnsiTheme="minorEastAsia" w:eastAsiaTheme="minorEastAsia"/>
          <w:bCs/>
          <w:color w:val="auto"/>
          <w:sz w:val="24"/>
          <w:szCs w:val="24"/>
        </w:rPr>
        <w:t>1.工程名称</w:t>
      </w:r>
      <w:r>
        <w:rPr>
          <w:rFonts w:hint="eastAsia" w:asciiTheme="minorEastAsia" w:hAnsiTheme="minorEastAsia" w:eastAsiaTheme="minorEastAsia"/>
          <w:color w:val="auto"/>
          <w:sz w:val="24"/>
          <w:szCs w:val="24"/>
        </w:rPr>
        <w:t>：广东省岭南工商第一技师学院（国际学院）一期建设项目勘察设计（方案设计及初步设计）。</w:t>
      </w:r>
    </w:p>
    <w:p>
      <w:pPr>
        <w:spacing w:line="360" w:lineRule="auto"/>
        <w:ind w:firstLine="470" w:firstLineChars="196"/>
        <w:rPr>
          <w:rFonts w:asciiTheme="minorEastAsia" w:hAnsiTheme="minorEastAsia" w:eastAsiaTheme="minorEastAsia"/>
          <w:color w:val="auto"/>
          <w:sz w:val="24"/>
          <w:szCs w:val="24"/>
        </w:rPr>
      </w:pPr>
      <w:r>
        <w:rPr>
          <w:rFonts w:hint="eastAsia" w:asciiTheme="minorEastAsia" w:hAnsiTheme="minorEastAsia" w:eastAsiaTheme="minorEastAsia"/>
          <w:bCs/>
          <w:color w:val="auto"/>
          <w:sz w:val="24"/>
          <w:szCs w:val="24"/>
        </w:rPr>
        <w:t>2.工程地点：广州市花都区花东镇华侨农场内</w:t>
      </w:r>
      <w:r>
        <w:rPr>
          <w:rFonts w:hint="eastAsia" w:asciiTheme="minorEastAsia" w:hAnsiTheme="minorEastAsia" w:eastAsiaTheme="minorEastAsia"/>
          <w:color w:val="auto"/>
          <w:sz w:val="24"/>
          <w:szCs w:val="24"/>
        </w:rPr>
        <w:t>。</w:t>
      </w:r>
    </w:p>
    <w:p>
      <w:pPr>
        <w:spacing w:line="360" w:lineRule="auto"/>
        <w:ind w:firstLine="470" w:firstLineChars="196"/>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rPr>
        <w:t>3.规划占地面积：</w:t>
      </w:r>
      <w:r>
        <w:rPr>
          <w:rFonts w:ascii="宋体" w:hAnsi="宋体"/>
          <w:color w:val="auto"/>
          <w:sz w:val="24"/>
        </w:rPr>
        <w:t>地块总面积</w:t>
      </w:r>
      <w:r>
        <w:rPr>
          <w:rFonts w:hint="eastAsia" w:ascii="宋体" w:hAnsi="宋体"/>
          <w:color w:val="auto"/>
          <w:sz w:val="24"/>
        </w:rPr>
        <w:t>261139平方米</w:t>
      </w:r>
      <w:r>
        <w:rPr>
          <w:rFonts w:ascii="宋体" w:hAnsi="宋体"/>
          <w:color w:val="auto"/>
          <w:sz w:val="24"/>
        </w:rPr>
        <w:t>，地块</w:t>
      </w:r>
      <w:r>
        <w:rPr>
          <w:rFonts w:hint="eastAsia" w:ascii="宋体" w:hAnsi="宋体"/>
          <w:color w:val="auto"/>
          <w:sz w:val="24"/>
        </w:rPr>
        <w:t>内含可建设用地面积209813平方米、道路用地面积30381平方米、城市</w:t>
      </w:r>
      <w:r>
        <w:rPr>
          <w:rFonts w:ascii="宋体" w:hAnsi="宋体"/>
          <w:color w:val="auto"/>
          <w:sz w:val="24"/>
        </w:rPr>
        <w:t>绿地</w:t>
      </w:r>
      <w:r>
        <w:rPr>
          <w:rFonts w:hint="eastAsia" w:ascii="宋体" w:hAnsi="宋体"/>
          <w:color w:val="auto"/>
          <w:sz w:val="24"/>
        </w:rPr>
        <w:t>面积19892</w:t>
      </w:r>
      <w:r>
        <w:rPr>
          <w:rFonts w:ascii="宋体" w:hAnsi="宋体"/>
          <w:color w:val="auto"/>
          <w:sz w:val="24"/>
        </w:rPr>
        <w:t>平方米</w:t>
      </w:r>
      <w:r>
        <w:rPr>
          <w:rFonts w:hint="eastAsia" w:ascii="宋体" w:hAnsi="宋体"/>
          <w:color w:val="auto"/>
          <w:sz w:val="24"/>
        </w:rPr>
        <w:t>、河涌用地面积1053平方米。</w:t>
      </w:r>
      <w:r>
        <w:rPr>
          <w:rFonts w:hint="eastAsia" w:ascii="宋体" w:hAnsi="宋体"/>
          <w:color w:val="auto"/>
          <w:sz w:val="24"/>
        </w:rPr>
        <w:t>项目总建筑面积259843平方米，其中地上建筑面积 237363 平方米，地下建筑面积 22480平方米。</w:t>
      </w:r>
    </w:p>
    <w:p>
      <w:pPr>
        <w:spacing w:line="360" w:lineRule="auto"/>
        <w:ind w:firstLine="470" w:firstLineChars="196"/>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4.建筑功能：</w:t>
      </w:r>
      <w:r>
        <w:rPr>
          <w:rFonts w:hint="eastAsia" w:ascii="宋体" w:hAnsi="宋体"/>
          <w:color w:val="auto"/>
          <w:sz w:val="24"/>
        </w:rPr>
        <w:t>主要建设内容包括教学实训用房、图书馆、室内体育用房、校级办公用房、大学生活动用房、学生宿舍（公寓）、单身教师宿舍（公寓）、食堂、后勤及附属用房、培训工作用房等以及室外体育设施、道路广场、绿化等室外公用工程等</w:t>
      </w:r>
      <w:r>
        <w:rPr>
          <w:rFonts w:hint="eastAsia" w:ascii="宋体" w:hAnsi="宋体"/>
          <w:color w:val="auto"/>
          <w:sz w:val="24"/>
        </w:rPr>
        <w:t>（各单体建筑详见《项目建议书》）</w:t>
      </w:r>
      <w:r>
        <w:rPr>
          <w:rFonts w:hint="eastAsia" w:asciiTheme="minorEastAsia" w:hAnsiTheme="minorEastAsia" w:eastAsiaTheme="minorEastAsia"/>
          <w:color w:val="auto"/>
          <w:sz w:val="24"/>
          <w:szCs w:val="24"/>
        </w:rPr>
        <w:t>。</w:t>
      </w:r>
    </w:p>
    <w:p>
      <w:pPr>
        <w:spacing w:line="360" w:lineRule="auto"/>
        <w:ind w:firstLine="470" w:firstLineChars="196"/>
        <w:rPr>
          <w:rFonts w:asciiTheme="minorEastAsia" w:hAnsiTheme="minorEastAsia" w:eastAsiaTheme="minorEastAsia"/>
          <w:bCs/>
          <w:color w:val="auto"/>
          <w:sz w:val="24"/>
          <w:szCs w:val="24"/>
          <w:u w:val="single"/>
        </w:rPr>
      </w:pPr>
      <w:r>
        <w:rPr>
          <w:rFonts w:hint="eastAsia" w:asciiTheme="minorEastAsia" w:hAnsiTheme="minorEastAsia" w:eastAsiaTheme="minorEastAsia"/>
          <w:color w:val="auto"/>
          <w:sz w:val="24"/>
          <w:szCs w:val="24"/>
        </w:rPr>
        <w:t>5.投资估算：项目估算总投资157325万元，其中：工程费用116862万元、工程建设其他费用13644万元、预备费6525万元、用地费用 20294万元。</w:t>
      </w:r>
    </w:p>
    <w:p>
      <w:pPr>
        <w:spacing w:before="120" w:after="120" w:line="360" w:lineRule="auto"/>
        <w:ind w:firstLine="470" w:firstLineChars="196"/>
        <w:rPr>
          <w:rFonts w:asciiTheme="minorEastAsia" w:hAnsiTheme="minorEastAsia" w:eastAsiaTheme="minorEastAsia"/>
          <w:bCs/>
          <w:color w:val="auto"/>
          <w:sz w:val="24"/>
          <w:szCs w:val="24"/>
        </w:rPr>
      </w:pPr>
      <w:r>
        <w:rPr>
          <w:rFonts w:hint="eastAsia" w:asciiTheme="minorEastAsia" w:hAnsiTheme="minorEastAsia" w:eastAsiaTheme="minorEastAsia"/>
          <w:bCs/>
          <w:color w:val="auto"/>
          <w:sz w:val="24"/>
          <w:szCs w:val="24"/>
        </w:rPr>
        <w:t>二、工程勘察设计范围、阶段与服务内容</w:t>
      </w:r>
    </w:p>
    <w:p>
      <w:pPr>
        <w:spacing w:line="360" w:lineRule="auto"/>
        <w:ind w:firstLine="470" w:firstLineChars="196"/>
        <w:rPr>
          <w:rFonts w:asciiTheme="minorEastAsia" w:hAnsiTheme="minorEastAsia" w:eastAsiaTheme="minorEastAsia"/>
          <w:bCs/>
          <w:color w:val="auto"/>
          <w:sz w:val="24"/>
          <w:szCs w:val="24"/>
        </w:rPr>
      </w:pPr>
      <w:r>
        <w:rPr>
          <w:rFonts w:hint="eastAsia" w:asciiTheme="minorEastAsia" w:hAnsiTheme="minorEastAsia" w:eastAsiaTheme="minorEastAsia"/>
          <w:bCs/>
          <w:color w:val="auto"/>
          <w:sz w:val="24"/>
          <w:szCs w:val="24"/>
        </w:rPr>
        <w:t>1.工程勘察设计范围：</w:t>
      </w:r>
      <w:r>
        <w:rPr>
          <w:rFonts w:hint="eastAsia" w:asciiTheme="minorEastAsia" w:hAnsiTheme="minorEastAsia" w:eastAsiaTheme="minorEastAsia"/>
          <w:color w:val="auto"/>
          <w:sz w:val="24"/>
          <w:szCs w:val="24"/>
          <w:u w:val="single"/>
        </w:rPr>
        <w:t xml:space="preserve">见招标公告 </w:t>
      </w:r>
      <w:r>
        <w:rPr>
          <w:rFonts w:hint="eastAsia" w:asciiTheme="minorEastAsia" w:hAnsiTheme="minorEastAsia" w:eastAsiaTheme="minorEastAsia"/>
          <w:bCs/>
          <w:color w:val="auto"/>
          <w:sz w:val="24"/>
          <w:szCs w:val="24"/>
        </w:rPr>
        <w:t>。</w:t>
      </w:r>
    </w:p>
    <w:p>
      <w:pPr>
        <w:spacing w:line="360" w:lineRule="auto"/>
        <w:ind w:firstLine="470" w:firstLineChars="196"/>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2.工程设计阶段：</w:t>
      </w:r>
    </w:p>
    <w:p>
      <w:pPr>
        <w:spacing w:line="360" w:lineRule="auto"/>
        <w:ind w:firstLine="470" w:firstLineChars="196"/>
        <w:rPr>
          <w:rFonts w:asciiTheme="minorEastAsia" w:hAnsiTheme="minorEastAsia" w:eastAsiaTheme="minorEastAsia"/>
          <w:color w:val="auto"/>
          <w:sz w:val="24"/>
          <w:szCs w:val="24"/>
        </w:rPr>
      </w:pPr>
    </w:p>
    <w:p>
      <w:pPr>
        <w:spacing w:line="360" w:lineRule="auto"/>
        <w:ind w:firstLine="470" w:firstLineChars="196"/>
        <w:rPr>
          <w:rFonts w:asciiTheme="minorEastAsia" w:hAnsiTheme="minorEastAsia" w:eastAsiaTheme="minorEastAsia"/>
          <w:color w:val="auto"/>
          <w:sz w:val="24"/>
          <w:szCs w:val="24"/>
        </w:rPr>
      </w:pPr>
    </w:p>
    <w:p>
      <w:pPr>
        <w:spacing w:line="360" w:lineRule="auto"/>
        <w:ind w:firstLine="470" w:firstLineChars="196"/>
        <w:rPr>
          <w:rFonts w:asciiTheme="minorEastAsia" w:hAnsiTheme="minorEastAsia" w:eastAsiaTheme="minorEastAsia"/>
          <w:color w:val="auto"/>
          <w:sz w:val="24"/>
          <w:szCs w:val="24"/>
        </w:rPr>
      </w:pPr>
    </w:p>
    <w:p>
      <w:pPr>
        <w:spacing w:line="360" w:lineRule="auto"/>
        <w:ind w:firstLine="470" w:firstLineChars="196"/>
        <w:rPr>
          <w:rFonts w:asciiTheme="minorEastAsia" w:hAnsiTheme="minorEastAsia" w:eastAsiaTheme="minorEastAsia"/>
          <w:color w:val="auto"/>
          <w:sz w:val="24"/>
          <w:szCs w:val="24"/>
        </w:rPr>
      </w:pPr>
    </w:p>
    <w:p>
      <w:pPr>
        <w:spacing w:line="360" w:lineRule="auto"/>
        <w:ind w:firstLine="470" w:firstLineChars="196"/>
        <w:rPr>
          <w:rFonts w:asciiTheme="minorEastAsia" w:hAnsiTheme="minorEastAsia" w:eastAsiaTheme="minorEastAsia"/>
          <w:color w:val="auto"/>
          <w:sz w:val="24"/>
          <w:szCs w:val="24"/>
        </w:rPr>
      </w:pPr>
    </w:p>
    <w:tbl>
      <w:tblPr>
        <w:tblStyle w:val="55"/>
        <w:tblW w:w="90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1"/>
        <w:gridCol w:w="797"/>
        <w:gridCol w:w="850"/>
        <w:gridCol w:w="888"/>
        <w:gridCol w:w="1149"/>
        <w:gridCol w:w="1190"/>
        <w:gridCol w:w="998"/>
        <w:gridCol w:w="1334"/>
        <w:gridCol w:w="10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 w:hRule="atLeast"/>
          <w:jc w:val="center"/>
        </w:trPr>
        <w:tc>
          <w:tcPr>
            <w:tcW w:w="1588" w:type="dxa"/>
            <w:gridSpan w:val="2"/>
            <w:vAlign w:val="center"/>
          </w:tcPr>
          <w:p>
            <w:pPr>
              <w:spacing w:line="360" w:lineRule="auto"/>
              <w:ind w:left="-53" w:leftChars="-25" w:right="-53" w:rightChars="-25"/>
              <w:jc w:val="center"/>
              <w:rPr>
                <w:rFonts w:asciiTheme="minorEastAsia" w:hAnsiTheme="minorEastAsia" w:eastAsiaTheme="minorEastAsia"/>
                <w:color w:val="auto"/>
                <w:szCs w:val="21"/>
              </w:rPr>
            </w:pPr>
            <w:r>
              <w:rPr>
                <w:rFonts w:hint="eastAsia" w:ascii="宋体" w:hAnsi="宋体"/>
                <w:color w:val="auto"/>
                <w:szCs w:val="21"/>
              </w:rPr>
              <w:t>项目名称</w:t>
            </w:r>
          </w:p>
        </w:tc>
        <w:tc>
          <w:tcPr>
            <w:tcW w:w="7441" w:type="dxa"/>
            <w:gridSpan w:val="7"/>
            <w:tcBorders>
              <w:right w:val="single" w:color="auto" w:sz="4" w:space="0"/>
            </w:tcBorders>
            <w:vAlign w:val="center"/>
          </w:tcPr>
          <w:p>
            <w:pPr>
              <w:spacing w:line="360" w:lineRule="auto"/>
              <w:ind w:left="-53" w:leftChars="-25" w:right="-53" w:rightChars="-25"/>
              <w:jc w:val="center"/>
              <w:rPr>
                <w:rFonts w:asciiTheme="minorEastAsia" w:hAnsiTheme="minorEastAsia" w:eastAsiaTheme="minorEastAsia"/>
                <w:color w:val="auto"/>
                <w:szCs w:val="21"/>
              </w:rPr>
            </w:pPr>
            <w:r>
              <w:rPr>
                <w:rFonts w:hint="eastAsia" w:ascii="宋体" w:hAnsi="宋体"/>
                <w:color w:val="auto"/>
                <w:sz w:val="24"/>
              </w:rPr>
              <w:t>广东省岭南工商第一技师学院（国际学院）一期建设项目勘察设计（方案设计及初步设计）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1588" w:type="dxa"/>
            <w:gridSpan w:val="2"/>
            <w:vAlign w:val="center"/>
          </w:tcPr>
          <w:p>
            <w:pPr>
              <w:spacing w:line="360" w:lineRule="auto"/>
              <w:ind w:left="-53" w:leftChars="-25" w:right="-53" w:rightChars="-25"/>
              <w:jc w:val="center"/>
              <w:rPr>
                <w:rFonts w:asciiTheme="minorEastAsia" w:hAnsiTheme="minorEastAsia" w:eastAsiaTheme="minorEastAsia"/>
                <w:color w:val="auto"/>
                <w:szCs w:val="21"/>
              </w:rPr>
            </w:pPr>
            <w:r>
              <w:rPr>
                <w:rFonts w:hint="eastAsia" w:ascii="宋体" w:hAnsi="宋体"/>
                <w:color w:val="auto"/>
                <w:szCs w:val="21"/>
              </w:rPr>
              <w:t>建设规模</w:t>
            </w:r>
          </w:p>
        </w:tc>
        <w:tc>
          <w:tcPr>
            <w:tcW w:w="4077" w:type="dxa"/>
            <w:gridSpan w:val="4"/>
            <w:vAlign w:val="center"/>
          </w:tcPr>
          <w:p>
            <w:pPr>
              <w:spacing w:line="360" w:lineRule="auto"/>
              <w:ind w:left="-53" w:leftChars="-25" w:right="-53" w:rightChars="-25"/>
              <w:jc w:val="center"/>
              <w:rPr>
                <w:rFonts w:asciiTheme="minorEastAsia" w:hAnsiTheme="minorEastAsia" w:eastAsiaTheme="minorEastAsia"/>
                <w:color w:val="auto"/>
                <w:szCs w:val="21"/>
              </w:rPr>
            </w:pPr>
            <w:r>
              <w:rPr>
                <w:rFonts w:hint="eastAsia" w:ascii="宋体" w:hAnsi="宋体"/>
                <w:color w:val="auto"/>
                <w:szCs w:val="21"/>
              </w:rPr>
              <w:t>设计阶段及内容</w:t>
            </w:r>
          </w:p>
        </w:tc>
        <w:tc>
          <w:tcPr>
            <w:tcW w:w="998" w:type="dxa"/>
            <w:vMerge w:val="restart"/>
            <w:textDirection w:val="tbRlV"/>
            <w:vAlign w:val="center"/>
          </w:tcPr>
          <w:p>
            <w:pPr>
              <w:spacing w:line="360" w:lineRule="auto"/>
              <w:ind w:left="-53" w:leftChars="-25" w:right="-53" w:rightChars="-25"/>
              <w:jc w:val="center"/>
              <w:rPr>
                <w:color w:val="auto"/>
              </w:rPr>
            </w:pPr>
            <w:r>
              <w:rPr>
                <w:rFonts w:hint="eastAsia" w:ascii="宋体" w:hAnsi="宋体"/>
                <w:color w:val="auto"/>
                <w:szCs w:val="21"/>
              </w:rPr>
              <w:t>总投资额（亿元人民币）</w:t>
            </w:r>
          </w:p>
        </w:tc>
        <w:tc>
          <w:tcPr>
            <w:tcW w:w="1334" w:type="dxa"/>
            <w:vMerge w:val="restart"/>
            <w:textDirection w:val="tbRlV"/>
            <w:vAlign w:val="center"/>
          </w:tcPr>
          <w:p>
            <w:pPr>
              <w:spacing w:line="360" w:lineRule="auto"/>
              <w:ind w:left="-53" w:leftChars="-25" w:right="-53" w:rightChars="-25"/>
              <w:jc w:val="center"/>
              <w:rPr>
                <w:rFonts w:asciiTheme="minorEastAsia" w:hAnsiTheme="minorEastAsia" w:eastAsiaTheme="minorEastAsia"/>
                <w:color w:val="auto"/>
                <w:szCs w:val="21"/>
              </w:rPr>
            </w:pPr>
            <w:r>
              <w:rPr>
                <w:rFonts w:hint="eastAsia" w:ascii="宋体" w:hAnsi="宋体"/>
                <w:color w:val="auto"/>
                <w:szCs w:val="21"/>
              </w:rPr>
              <w:t>费率（％）</w:t>
            </w:r>
          </w:p>
        </w:tc>
        <w:tc>
          <w:tcPr>
            <w:tcW w:w="1032" w:type="dxa"/>
            <w:vMerge w:val="restart"/>
            <w:textDirection w:val="tbRlV"/>
            <w:vAlign w:val="center"/>
          </w:tcPr>
          <w:p>
            <w:pPr>
              <w:spacing w:line="360" w:lineRule="auto"/>
              <w:ind w:left="-53" w:leftChars="-25" w:right="-53" w:rightChars="-25"/>
              <w:jc w:val="center"/>
              <w:rPr>
                <w:rFonts w:asciiTheme="minorEastAsia" w:hAnsiTheme="minorEastAsia" w:eastAsiaTheme="minorEastAsia"/>
                <w:color w:val="auto"/>
                <w:szCs w:val="21"/>
              </w:rPr>
            </w:pPr>
            <w:r>
              <w:rPr>
                <w:rFonts w:hint="eastAsia" w:ascii="宋体" w:hAnsi="宋体"/>
                <w:color w:val="auto"/>
                <w:szCs w:val="21"/>
              </w:rPr>
              <w:t>合同价款（万元人民币）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3" w:hRule="atLeast"/>
          <w:jc w:val="center"/>
        </w:trPr>
        <w:tc>
          <w:tcPr>
            <w:tcW w:w="791" w:type="dxa"/>
            <w:vMerge w:val="restart"/>
            <w:vAlign w:val="center"/>
          </w:tcPr>
          <w:p>
            <w:pPr>
              <w:spacing w:line="360" w:lineRule="auto"/>
              <w:ind w:left="-53" w:leftChars="-25" w:right="-53" w:rightChars="-25"/>
              <w:jc w:val="center"/>
              <w:rPr>
                <w:rFonts w:asciiTheme="minorEastAsia" w:hAnsiTheme="minorEastAsia" w:eastAsiaTheme="minorEastAsia"/>
                <w:color w:val="auto"/>
                <w:szCs w:val="21"/>
              </w:rPr>
            </w:pPr>
            <w:r>
              <w:rPr>
                <w:rFonts w:hint="eastAsia" w:ascii="宋体" w:hAnsi="宋体"/>
                <w:color w:val="auto"/>
                <w:szCs w:val="21"/>
              </w:rPr>
              <w:t>规划高度（m）</w:t>
            </w:r>
          </w:p>
        </w:tc>
        <w:tc>
          <w:tcPr>
            <w:tcW w:w="797" w:type="dxa"/>
            <w:vMerge w:val="restart"/>
            <w:vAlign w:val="center"/>
          </w:tcPr>
          <w:p>
            <w:pPr>
              <w:spacing w:line="360" w:lineRule="auto"/>
              <w:ind w:left="-53" w:leftChars="-25" w:right="-53" w:rightChars="-25"/>
              <w:jc w:val="center"/>
              <w:rPr>
                <w:rFonts w:ascii="宋体" w:hAnsi="宋体"/>
                <w:color w:val="auto"/>
                <w:szCs w:val="21"/>
              </w:rPr>
            </w:pPr>
            <w:r>
              <w:rPr>
                <w:rFonts w:hint="eastAsia" w:ascii="宋体" w:hAnsi="宋体"/>
                <w:color w:val="auto"/>
                <w:szCs w:val="21"/>
              </w:rPr>
              <w:t>建筑</w:t>
            </w:r>
          </w:p>
          <w:p>
            <w:pPr>
              <w:spacing w:line="360" w:lineRule="auto"/>
              <w:ind w:left="-53" w:leftChars="-25" w:right="-53" w:rightChars="-25"/>
              <w:jc w:val="center"/>
              <w:rPr>
                <w:rFonts w:asciiTheme="minorEastAsia" w:hAnsiTheme="minorEastAsia" w:eastAsiaTheme="minorEastAsia"/>
                <w:color w:val="auto"/>
                <w:szCs w:val="21"/>
              </w:rPr>
            </w:pPr>
            <w:r>
              <w:rPr>
                <w:rFonts w:hint="eastAsia" w:ascii="宋体" w:hAnsi="宋体"/>
                <w:color w:val="auto"/>
                <w:szCs w:val="21"/>
              </w:rPr>
              <w:t>面积（m</w:t>
            </w:r>
            <w:r>
              <w:rPr>
                <w:rFonts w:hint="eastAsia" w:ascii="宋体" w:hAnsi="宋体"/>
                <w:color w:val="auto"/>
                <w:szCs w:val="21"/>
                <w:vertAlign w:val="superscript"/>
              </w:rPr>
              <w:t>2</w:t>
            </w:r>
            <w:r>
              <w:rPr>
                <w:rFonts w:hint="eastAsia" w:ascii="宋体" w:hAnsi="宋体"/>
                <w:color w:val="auto"/>
                <w:szCs w:val="21"/>
              </w:rPr>
              <w:t>）</w:t>
            </w:r>
          </w:p>
        </w:tc>
        <w:tc>
          <w:tcPr>
            <w:tcW w:w="4077" w:type="dxa"/>
            <w:gridSpan w:val="4"/>
            <w:vAlign w:val="center"/>
          </w:tcPr>
          <w:p>
            <w:pPr>
              <w:spacing w:line="360" w:lineRule="auto"/>
              <w:ind w:left="-53" w:leftChars="-25" w:right="-53" w:rightChars="-25" w:firstLine="680"/>
              <w:jc w:val="center"/>
              <w:rPr>
                <w:rFonts w:asciiTheme="minorEastAsia" w:hAnsiTheme="minorEastAsia" w:eastAsiaTheme="minorEastAsia"/>
                <w:color w:val="auto"/>
                <w:szCs w:val="21"/>
              </w:rPr>
            </w:pPr>
            <w:r>
              <w:rPr>
                <w:rFonts w:hint="eastAsia" w:ascii="宋体" w:hAnsi="宋体"/>
                <w:color w:val="auto"/>
                <w:szCs w:val="21"/>
              </w:rPr>
              <w:t>各阶段提交设计成果文件版次</w:t>
            </w:r>
          </w:p>
        </w:tc>
        <w:tc>
          <w:tcPr>
            <w:tcW w:w="998" w:type="dxa"/>
            <w:vMerge w:val="continue"/>
          </w:tcPr>
          <w:p>
            <w:pPr>
              <w:spacing w:line="360" w:lineRule="auto"/>
              <w:ind w:left="-53" w:leftChars="-25" w:right="-53" w:rightChars="-25" w:firstLine="680"/>
              <w:rPr>
                <w:color w:val="auto"/>
              </w:rPr>
            </w:pPr>
          </w:p>
        </w:tc>
        <w:tc>
          <w:tcPr>
            <w:tcW w:w="1334" w:type="dxa"/>
            <w:vMerge w:val="continue"/>
          </w:tcPr>
          <w:p>
            <w:pPr>
              <w:spacing w:line="360" w:lineRule="auto"/>
              <w:ind w:left="-53" w:leftChars="-25" w:right="-53" w:rightChars="-25" w:firstLine="680"/>
              <w:rPr>
                <w:rFonts w:asciiTheme="minorEastAsia" w:hAnsiTheme="minorEastAsia" w:eastAsiaTheme="minorEastAsia"/>
                <w:color w:val="auto"/>
                <w:szCs w:val="21"/>
              </w:rPr>
            </w:pPr>
          </w:p>
        </w:tc>
        <w:tc>
          <w:tcPr>
            <w:tcW w:w="1032" w:type="dxa"/>
            <w:vMerge w:val="continue"/>
          </w:tcPr>
          <w:p>
            <w:pPr>
              <w:spacing w:line="360" w:lineRule="auto"/>
              <w:ind w:left="-53" w:leftChars="-25" w:right="-53" w:rightChars="-25" w:firstLine="680"/>
              <w:rPr>
                <w:rFonts w:asciiTheme="minorEastAsia" w:hAnsiTheme="minorEastAsia"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1" w:hRule="atLeast"/>
          <w:jc w:val="center"/>
        </w:trPr>
        <w:tc>
          <w:tcPr>
            <w:tcW w:w="791" w:type="dxa"/>
            <w:vMerge w:val="continue"/>
            <w:vAlign w:val="center"/>
          </w:tcPr>
          <w:p>
            <w:pPr>
              <w:spacing w:line="360" w:lineRule="auto"/>
              <w:ind w:left="-53" w:leftChars="-25" w:right="-53" w:rightChars="-25" w:firstLine="680"/>
              <w:rPr>
                <w:rFonts w:asciiTheme="minorEastAsia" w:hAnsiTheme="minorEastAsia" w:eastAsiaTheme="minorEastAsia"/>
                <w:color w:val="auto"/>
                <w:szCs w:val="21"/>
              </w:rPr>
            </w:pPr>
          </w:p>
        </w:tc>
        <w:tc>
          <w:tcPr>
            <w:tcW w:w="797" w:type="dxa"/>
            <w:vMerge w:val="continue"/>
            <w:vAlign w:val="center"/>
          </w:tcPr>
          <w:p>
            <w:pPr>
              <w:spacing w:line="360" w:lineRule="auto"/>
              <w:ind w:left="-53" w:leftChars="-25" w:right="-53" w:rightChars="-25" w:firstLine="680"/>
              <w:rPr>
                <w:rFonts w:asciiTheme="minorEastAsia" w:hAnsiTheme="minorEastAsia" w:eastAsiaTheme="minorEastAsia"/>
                <w:color w:val="auto"/>
                <w:szCs w:val="21"/>
              </w:rPr>
            </w:pPr>
          </w:p>
        </w:tc>
        <w:tc>
          <w:tcPr>
            <w:tcW w:w="2887" w:type="dxa"/>
            <w:gridSpan w:val="3"/>
            <w:vAlign w:val="center"/>
          </w:tcPr>
          <w:p>
            <w:pPr>
              <w:spacing w:line="360" w:lineRule="auto"/>
              <w:ind w:left="-53" w:leftChars="-25" w:right="-53" w:rightChars="-25"/>
              <w:jc w:val="center"/>
              <w:rPr>
                <w:rFonts w:ascii="宋体" w:hAnsi="宋体"/>
                <w:color w:val="auto"/>
                <w:szCs w:val="21"/>
              </w:rPr>
            </w:pPr>
            <w:r>
              <w:rPr>
                <w:rFonts w:hint="eastAsia" w:ascii="宋体" w:hAnsi="宋体" w:cs="宋体"/>
                <w:color w:val="auto"/>
                <w:szCs w:val="21"/>
              </w:rPr>
              <w:t>□</w:t>
            </w:r>
            <w:r>
              <w:rPr>
                <w:rFonts w:hint="eastAsia" w:ascii="宋体" w:hAnsi="宋体"/>
                <w:color w:val="auto"/>
                <w:szCs w:val="21"/>
              </w:rPr>
              <w:t>方案优化</w:t>
            </w:r>
          </w:p>
          <w:p>
            <w:pPr>
              <w:spacing w:line="360" w:lineRule="auto"/>
              <w:ind w:left="-53" w:leftChars="-25" w:right="-53" w:rightChars="-25"/>
              <w:jc w:val="center"/>
              <w:rPr>
                <w:rFonts w:asciiTheme="minorEastAsia" w:hAnsiTheme="minorEastAsia" w:eastAsiaTheme="minorEastAsia"/>
                <w:color w:val="auto"/>
                <w:szCs w:val="21"/>
              </w:rPr>
            </w:pPr>
            <w:r>
              <w:rPr>
                <w:rFonts w:hint="eastAsia" w:ascii="宋体" w:hAnsi="宋体"/>
                <w:color w:val="auto"/>
                <w:szCs w:val="21"/>
              </w:rPr>
              <w:t>设计</w:t>
            </w:r>
          </w:p>
        </w:tc>
        <w:tc>
          <w:tcPr>
            <w:tcW w:w="1190" w:type="dxa"/>
            <w:vAlign w:val="center"/>
          </w:tcPr>
          <w:p>
            <w:pPr>
              <w:spacing w:line="360" w:lineRule="auto"/>
              <w:ind w:left="-53" w:leftChars="-25" w:right="-53" w:rightChars="-25"/>
              <w:jc w:val="center"/>
              <w:rPr>
                <w:rFonts w:asciiTheme="minorEastAsia" w:hAnsiTheme="minorEastAsia" w:eastAsiaTheme="minorEastAsia"/>
                <w:strike/>
                <w:color w:val="auto"/>
                <w:szCs w:val="21"/>
              </w:rPr>
            </w:pPr>
            <w:r>
              <w:rPr>
                <w:rFonts w:hint="eastAsia" w:ascii="宋体" w:hAnsi="宋体" w:cs="宋体"/>
                <w:color w:val="auto"/>
                <w:szCs w:val="21"/>
              </w:rPr>
              <w:t>□</w:t>
            </w:r>
            <w:r>
              <w:rPr>
                <w:rFonts w:hint="eastAsia" w:ascii="宋体" w:hAnsi="宋体"/>
                <w:color w:val="auto"/>
                <w:szCs w:val="21"/>
              </w:rPr>
              <w:t>初步设计</w:t>
            </w:r>
          </w:p>
        </w:tc>
        <w:tc>
          <w:tcPr>
            <w:tcW w:w="998" w:type="dxa"/>
            <w:vMerge w:val="continue"/>
          </w:tcPr>
          <w:p>
            <w:pPr>
              <w:spacing w:line="360" w:lineRule="auto"/>
              <w:ind w:left="-53" w:leftChars="-25" w:right="-53" w:rightChars="-25" w:firstLine="680"/>
              <w:rPr>
                <w:color w:val="auto"/>
              </w:rPr>
            </w:pPr>
          </w:p>
        </w:tc>
        <w:tc>
          <w:tcPr>
            <w:tcW w:w="1334" w:type="dxa"/>
            <w:vMerge w:val="continue"/>
          </w:tcPr>
          <w:p>
            <w:pPr>
              <w:spacing w:line="360" w:lineRule="auto"/>
              <w:ind w:left="-53" w:leftChars="-25" w:right="-53" w:rightChars="-25" w:firstLine="680"/>
              <w:rPr>
                <w:rFonts w:asciiTheme="minorEastAsia" w:hAnsiTheme="minorEastAsia" w:eastAsiaTheme="minorEastAsia"/>
                <w:color w:val="auto"/>
                <w:szCs w:val="21"/>
              </w:rPr>
            </w:pPr>
          </w:p>
        </w:tc>
        <w:tc>
          <w:tcPr>
            <w:tcW w:w="1032" w:type="dxa"/>
            <w:vMerge w:val="continue"/>
          </w:tcPr>
          <w:p>
            <w:pPr>
              <w:spacing w:line="360" w:lineRule="auto"/>
              <w:ind w:left="-53" w:leftChars="-25" w:right="-53" w:rightChars="-25" w:firstLine="680"/>
              <w:rPr>
                <w:rFonts w:asciiTheme="minorEastAsia" w:hAnsiTheme="minorEastAsia"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8" w:hRule="atLeast"/>
          <w:jc w:val="center"/>
        </w:trPr>
        <w:tc>
          <w:tcPr>
            <w:tcW w:w="791" w:type="dxa"/>
            <w:vMerge w:val="continue"/>
            <w:vAlign w:val="center"/>
          </w:tcPr>
          <w:p>
            <w:pPr>
              <w:spacing w:line="360" w:lineRule="auto"/>
              <w:ind w:left="-53" w:leftChars="-25" w:right="-53" w:rightChars="-25" w:firstLine="680"/>
              <w:rPr>
                <w:rFonts w:asciiTheme="minorEastAsia" w:hAnsiTheme="minorEastAsia" w:eastAsiaTheme="minorEastAsia"/>
                <w:color w:val="auto"/>
                <w:szCs w:val="21"/>
              </w:rPr>
            </w:pPr>
          </w:p>
        </w:tc>
        <w:tc>
          <w:tcPr>
            <w:tcW w:w="797" w:type="dxa"/>
            <w:vMerge w:val="continue"/>
            <w:vAlign w:val="center"/>
          </w:tcPr>
          <w:p>
            <w:pPr>
              <w:spacing w:line="360" w:lineRule="auto"/>
              <w:ind w:left="-53" w:leftChars="-25" w:right="-53" w:rightChars="-25" w:firstLine="680"/>
              <w:rPr>
                <w:rFonts w:asciiTheme="minorEastAsia" w:hAnsiTheme="minorEastAsia" w:eastAsiaTheme="minorEastAsia"/>
                <w:color w:val="auto"/>
                <w:szCs w:val="21"/>
              </w:rPr>
            </w:pPr>
          </w:p>
        </w:tc>
        <w:tc>
          <w:tcPr>
            <w:tcW w:w="850" w:type="dxa"/>
            <w:vAlign w:val="center"/>
          </w:tcPr>
          <w:p>
            <w:pPr>
              <w:spacing w:line="360" w:lineRule="auto"/>
              <w:ind w:left="-53" w:leftChars="-25" w:right="-53" w:rightChars="-25"/>
              <w:jc w:val="center"/>
              <w:rPr>
                <w:rFonts w:ascii="宋体" w:hAnsi="宋体"/>
                <w:color w:val="auto"/>
                <w:szCs w:val="21"/>
              </w:rPr>
            </w:pPr>
            <w:r>
              <w:rPr>
                <w:rFonts w:hint="eastAsia" w:ascii="宋体" w:hAnsi="宋体"/>
                <w:color w:val="auto"/>
                <w:szCs w:val="21"/>
              </w:rPr>
              <w:t>版</w:t>
            </w:r>
          </w:p>
          <w:p>
            <w:pPr>
              <w:spacing w:line="360" w:lineRule="auto"/>
              <w:ind w:left="-53" w:leftChars="-25" w:right="-53" w:rightChars="-25"/>
              <w:jc w:val="center"/>
              <w:rPr>
                <w:rFonts w:ascii="宋体" w:hAnsi="宋体"/>
                <w:color w:val="auto"/>
                <w:szCs w:val="21"/>
              </w:rPr>
            </w:pPr>
            <w:r>
              <w:rPr>
                <w:rFonts w:hint="eastAsia" w:ascii="宋体" w:hAnsi="宋体"/>
                <w:color w:val="auto"/>
                <w:szCs w:val="21"/>
              </w:rPr>
              <w:t>次</w:t>
            </w:r>
          </w:p>
          <w:p>
            <w:pPr>
              <w:spacing w:line="360" w:lineRule="auto"/>
              <w:ind w:left="-53" w:leftChars="-25" w:right="-53" w:rightChars="-25"/>
              <w:jc w:val="center"/>
              <w:rPr>
                <w:rFonts w:asciiTheme="minorEastAsia" w:hAnsiTheme="minorEastAsia" w:eastAsiaTheme="minorEastAsia"/>
                <w:color w:val="auto"/>
                <w:szCs w:val="21"/>
              </w:rPr>
            </w:pPr>
            <w:r>
              <w:rPr>
                <w:rFonts w:hint="eastAsia" w:ascii="宋体" w:hAnsi="宋体"/>
                <w:color w:val="auto"/>
                <w:szCs w:val="21"/>
              </w:rPr>
              <w:t>1</w:t>
            </w:r>
          </w:p>
        </w:tc>
        <w:tc>
          <w:tcPr>
            <w:tcW w:w="888" w:type="dxa"/>
            <w:vAlign w:val="center"/>
          </w:tcPr>
          <w:p>
            <w:pPr>
              <w:spacing w:line="360" w:lineRule="auto"/>
              <w:ind w:left="-53" w:leftChars="-25" w:right="-53" w:rightChars="-25"/>
              <w:jc w:val="center"/>
              <w:rPr>
                <w:rFonts w:ascii="宋体" w:hAnsi="宋体"/>
                <w:color w:val="auto"/>
                <w:szCs w:val="21"/>
              </w:rPr>
            </w:pPr>
            <w:r>
              <w:rPr>
                <w:rFonts w:hint="eastAsia" w:ascii="宋体" w:hAnsi="宋体"/>
                <w:color w:val="auto"/>
                <w:szCs w:val="21"/>
              </w:rPr>
              <w:t>版次</w:t>
            </w:r>
          </w:p>
          <w:p>
            <w:pPr>
              <w:spacing w:line="360" w:lineRule="auto"/>
              <w:ind w:left="-53" w:leftChars="-25" w:right="-53" w:rightChars="-25"/>
              <w:jc w:val="center"/>
              <w:rPr>
                <w:rFonts w:asciiTheme="minorEastAsia" w:hAnsiTheme="minorEastAsia" w:eastAsiaTheme="minorEastAsia"/>
                <w:color w:val="auto"/>
                <w:szCs w:val="21"/>
              </w:rPr>
            </w:pPr>
            <w:r>
              <w:rPr>
                <w:rFonts w:hint="eastAsia" w:ascii="宋体" w:hAnsi="宋体"/>
                <w:color w:val="auto"/>
                <w:szCs w:val="21"/>
              </w:rPr>
              <w:t>2</w:t>
            </w:r>
          </w:p>
        </w:tc>
        <w:tc>
          <w:tcPr>
            <w:tcW w:w="1149" w:type="dxa"/>
            <w:vAlign w:val="center"/>
          </w:tcPr>
          <w:p>
            <w:pPr>
              <w:spacing w:line="360" w:lineRule="auto"/>
              <w:ind w:left="-53" w:leftChars="-25" w:right="-53" w:rightChars="-25"/>
              <w:jc w:val="center"/>
              <w:rPr>
                <w:rFonts w:ascii="宋体" w:hAnsi="宋体"/>
                <w:color w:val="auto"/>
                <w:szCs w:val="21"/>
              </w:rPr>
            </w:pPr>
            <w:r>
              <w:rPr>
                <w:rFonts w:hint="eastAsia" w:ascii="宋体" w:hAnsi="宋体"/>
                <w:color w:val="auto"/>
                <w:szCs w:val="21"/>
              </w:rPr>
              <w:t>版</w:t>
            </w:r>
          </w:p>
          <w:p>
            <w:pPr>
              <w:spacing w:line="360" w:lineRule="auto"/>
              <w:ind w:left="-53" w:leftChars="-25" w:right="-53" w:rightChars="-25"/>
              <w:jc w:val="center"/>
              <w:rPr>
                <w:rFonts w:ascii="宋体" w:hAnsi="宋体"/>
                <w:color w:val="auto"/>
                <w:szCs w:val="21"/>
              </w:rPr>
            </w:pPr>
            <w:r>
              <w:rPr>
                <w:rFonts w:hint="eastAsia" w:ascii="宋体" w:hAnsi="宋体"/>
                <w:color w:val="auto"/>
                <w:szCs w:val="21"/>
              </w:rPr>
              <w:t>次</w:t>
            </w:r>
          </w:p>
          <w:p>
            <w:pPr>
              <w:spacing w:line="360" w:lineRule="auto"/>
              <w:ind w:left="-53" w:leftChars="-25" w:right="-53" w:rightChars="-25"/>
              <w:jc w:val="center"/>
              <w:rPr>
                <w:rFonts w:asciiTheme="minorEastAsia" w:hAnsiTheme="minorEastAsia" w:eastAsiaTheme="minorEastAsia"/>
                <w:color w:val="auto"/>
                <w:szCs w:val="21"/>
              </w:rPr>
            </w:pPr>
            <w:r>
              <w:rPr>
                <w:rFonts w:hint="eastAsia" w:ascii="宋体" w:hAnsi="宋体"/>
                <w:color w:val="auto"/>
                <w:szCs w:val="21"/>
              </w:rPr>
              <w:t>3</w:t>
            </w:r>
          </w:p>
        </w:tc>
        <w:tc>
          <w:tcPr>
            <w:tcW w:w="1190" w:type="dxa"/>
            <w:vAlign w:val="center"/>
          </w:tcPr>
          <w:p>
            <w:pPr>
              <w:spacing w:line="360" w:lineRule="auto"/>
              <w:ind w:left="-53" w:leftChars="-25" w:right="-53" w:rightChars="-25"/>
              <w:jc w:val="center"/>
              <w:rPr>
                <w:rFonts w:ascii="宋体" w:hAnsi="宋体"/>
                <w:color w:val="auto"/>
                <w:szCs w:val="21"/>
              </w:rPr>
            </w:pPr>
            <w:r>
              <w:rPr>
                <w:rFonts w:hint="eastAsia" w:ascii="宋体" w:hAnsi="宋体"/>
                <w:color w:val="auto"/>
                <w:szCs w:val="21"/>
              </w:rPr>
              <w:t>版</w:t>
            </w:r>
          </w:p>
          <w:p>
            <w:pPr>
              <w:spacing w:line="360" w:lineRule="auto"/>
              <w:ind w:left="-53" w:leftChars="-25" w:right="-53" w:rightChars="-25"/>
              <w:jc w:val="center"/>
              <w:rPr>
                <w:rFonts w:ascii="宋体" w:hAnsi="宋体"/>
                <w:color w:val="auto"/>
                <w:szCs w:val="21"/>
              </w:rPr>
            </w:pPr>
            <w:r>
              <w:rPr>
                <w:rFonts w:hint="eastAsia" w:ascii="宋体" w:hAnsi="宋体"/>
                <w:color w:val="auto"/>
                <w:szCs w:val="21"/>
              </w:rPr>
              <w:t>次</w:t>
            </w:r>
          </w:p>
          <w:p>
            <w:pPr>
              <w:spacing w:line="360" w:lineRule="auto"/>
              <w:ind w:left="-53" w:leftChars="-25" w:right="-53" w:rightChars="-25"/>
              <w:jc w:val="center"/>
              <w:rPr>
                <w:rFonts w:asciiTheme="minorEastAsia" w:hAnsiTheme="minorEastAsia" w:eastAsiaTheme="minorEastAsia"/>
                <w:color w:val="auto"/>
                <w:szCs w:val="21"/>
              </w:rPr>
            </w:pPr>
            <w:r>
              <w:rPr>
                <w:rFonts w:hint="eastAsia" w:ascii="宋体" w:hAnsi="宋体"/>
                <w:color w:val="auto"/>
                <w:szCs w:val="21"/>
              </w:rPr>
              <w:t>4</w:t>
            </w:r>
          </w:p>
        </w:tc>
        <w:tc>
          <w:tcPr>
            <w:tcW w:w="998" w:type="dxa"/>
            <w:vMerge w:val="continue"/>
          </w:tcPr>
          <w:p>
            <w:pPr>
              <w:keepNext/>
              <w:keepLines/>
              <w:spacing w:before="340" w:after="330" w:line="360" w:lineRule="auto"/>
              <w:ind w:left="-53" w:leftChars="-25" w:right="-53" w:rightChars="-25" w:firstLine="680"/>
              <w:outlineLvl w:val="0"/>
              <w:rPr>
                <w:rFonts w:asciiTheme="minorEastAsia" w:hAnsiTheme="minorEastAsia" w:eastAsiaTheme="minorEastAsia"/>
                <w:color w:val="auto"/>
                <w:szCs w:val="21"/>
              </w:rPr>
            </w:pPr>
          </w:p>
        </w:tc>
        <w:tc>
          <w:tcPr>
            <w:tcW w:w="1334" w:type="dxa"/>
            <w:vMerge w:val="continue"/>
          </w:tcPr>
          <w:p>
            <w:pPr>
              <w:spacing w:line="360" w:lineRule="auto"/>
              <w:ind w:left="-53" w:leftChars="-25" w:right="-53" w:rightChars="-25" w:firstLine="680"/>
              <w:rPr>
                <w:rFonts w:asciiTheme="minorEastAsia" w:hAnsiTheme="minorEastAsia" w:eastAsiaTheme="minorEastAsia"/>
                <w:color w:val="auto"/>
                <w:szCs w:val="21"/>
              </w:rPr>
            </w:pPr>
          </w:p>
        </w:tc>
        <w:tc>
          <w:tcPr>
            <w:tcW w:w="1032" w:type="dxa"/>
            <w:vMerge w:val="continue"/>
          </w:tcPr>
          <w:p>
            <w:pPr>
              <w:spacing w:line="360" w:lineRule="auto"/>
              <w:ind w:left="-53" w:leftChars="-25" w:right="-53" w:rightChars="-25" w:firstLine="680"/>
              <w:rPr>
                <w:rFonts w:asciiTheme="minorEastAsia" w:hAnsiTheme="minorEastAsia"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8" w:hRule="atLeast"/>
          <w:jc w:val="center"/>
        </w:trPr>
        <w:tc>
          <w:tcPr>
            <w:tcW w:w="791" w:type="dxa"/>
            <w:vAlign w:val="center"/>
          </w:tcPr>
          <w:p>
            <w:pPr>
              <w:spacing w:line="360" w:lineRule="auto"/>
              <w:ind w:left="-53" w:leftChars="-25" w:right="-53" w:rightChars="-25"/>
              <w:jc w:val="center"/>
              <w:rPr>
                <w:rFonts w:asciiTheme="minorEastAsia" w:hAnsiTheme="minorEastAsia" w:eastAsiaTheme="minorEastAsia"/>
                <w:color w:val="auto"/>
                <w:szCs w:val="21"/>
              </w:rPr>
            </w:pPr>
            <w:r>
              <w:rPr>
                <w:rFonts w:hint="eastAsia" w:ascii="宋体" w:hAnsi="宋体"/>
                <w:color w:val="auto"/>
                <w:szCs w:val="21"/>
              </w:rPr>
              <w:t>详见项目建议书</w:t>
            </w:r>
          </w:p>
        </w:tc>
        <w:tc>
          <w:tcPr>
            <w:tcW w:w="797" w:type="dxa"/>
            <w:vAlign w:val="center"/>
          </w:tcPr>
          <w:p>
            <w:pPr>
              <w:spacing w:line="360" w:lineRule="auto"/>
              <w:ind w:left="-53" w:leftChars="-25" w:right="-53" w:rightChars="-25"/>
              <w:jc w:val="center"/>
              <w:rPr>
                <w:rFonts w:asciiTheme="minorEastAsia" w:hAnsiTheme="minorEastAsia" w:eastAsiaTheme="minorEastAsia"/>
                <w:color w:val="auto"/>
                <w:szCs w:val="21"/>
              </w:rPr>
            </w:pPr>
            <w:r>
              <w:rPr>
                <w:rFonts w:hint="eastAsia" w:ascii="宋体" w:hAnsi="宋体"/>
                <w:color w:val="auto"/>
                <w:szCs w:val="21"/>
              </w:rPr>
              <w:t>详见项目建议书</w:t>
            </w:r>
          </w:p>
        </w:tc>
        <w:tc>
          <w:tcPr>
            <w:tcW w:w="4077" w:type="dxa"/>
            <w:gridSpan w:val="4"/>
          </w:tcPr>
          <w:p>
            <w:pPr>
              <w:pStyle w:val="301"/>
              <w:spacing w:line="360" w:lineRule="auto"/>
              <w:ind w:left="-53" w:leftChars="-25" w:right="-53" w:rightChars="-25"/>
              <w:rPr>
                <w:rFonts w:asciiTheme="minorEastAsia" w:hAnsiTheme="minorEastAsia" w:eastAsiaTheme="minorEastAsia"/>
                <w:color w:val="auto"/>
                <w:kern w:val="2"/>
                <w:sz w:val="21"/>
                <w:szCs w:val="21"/>
              </w:rPr>
            </w:pPr>
            <w:r>
              <w:rPr>
                <w:rFonts w:hint="eastAsia" w:ascii="宋体" w:hAnsi="宋体"/>
                <w:color w:val="auto"/>
                <w:kern w:val="2"/>
                <w:sz w:val="21"/>
                <w:szCs w:val="21"/>
              </w:rPr>
              <w:t>提交设计成果文件版次说明、设计内容见下本合同条款及附件</w:t>
            </w:r>
          </w:p>
        </w:tc>
        <w:tc>
          <w:tcPr>
            <w:tcW w:w="998" w:type="dxa"/>
            <w:vAlign w:val="center"/>
          </w:tcPr>
          <w:p>
            <w:pPr>
              <w:snapToGrid w:val="0"/>
              <w:spacing w:line="360" w:lineRule="auto"/>
              <w:ind w:left="-53" w:leftChars="-25" w:right="-53" w:rightChars="-25"/>
              <w:rPr>
                <w:color w:val="auto"/>
              </w:rPr>
            </w:pPr>
            <w:r>
              <w:rPr>
                <w:rFonts w:hint="eastAsia" w:ascii="宋体" w:hAnsi="宋体"/>
                <w:color w:val="auto"/>
                <w:szCs w:val="21"/>
              </w:rPr>
              <w:t>以政府批准的概算为准</w:t>
            </w:r>
          </w:p>
        </w:tc>
        <w:tc>
          <w:tcPr>
            <w:tcW w:w="1334" w:type="dxa"/>
            <w:vAlign w:val="center"/>
          </w:tcPr>
          <w:p>
            <w:pPr>
              <w:spacing w:line="360" w:lineRule="auto"/>
              <w:ind w:left="-53" w:leftChars="-25" w:right="-53" w:rightChars="-25"/>
              <w:jc w:val="center"/>
              <w:rPr>
                <w:rFonts w:asciiTheme="minorEastAsia" w:hAnsiTheme="minorEastAsia" w:eastAsiaTheme="minorEastAsia"/>
                <w:color w:val="auto"/>
                <w:szCs w:val="21"/>
              </w:rPr>
            </w:pPr>
          </w:p>
        </w:tc>
        <w:tc>
          <w:tcPr>
            <w:tcW w:w="1032" w:type="dxa"/>
            <w:vAlign w:val="center"/>
          </w:tcPr>
          <w:p>
            <w:pPr>
              <w:snapToGrid w:val="0"/>
              <w:spacing w:line="360" w:lineRule="auto"/>
              <w:ind w:left="-53" w:leftChars="-25" w:right="-53" w:rightChars="-25"/>
              <w:rPr>
                <w:rFonts w:asciiTheme="minorEastAsia" w:hAnsiTheme="minorEastAsia" w:eastAsiaTheme="minorEastAsia"/>
                <w:color w:val="auto"/>
                <w:szCs w:val="21"/>
              </w:rPr>
            </w:pPr>
            <w:r>
              <w:rPr>
                <w:rFonts w:hint="eastAsia" w:ascii="宋体" w:hAnsi="宋体"/>
                <w:color w:val="auto"/>
                <w:szCs w:val="21"/>
              </w:rPr>
              <w:t xml:space="preserve"> (含设计费万、勘察费万）</w:t>
            </w:r>
          </w:p>
        </w:tc>
      </w:tr>
    </w:tbl>
    <w:p>
      <w:pPr>
        <w:spacing w:line="360" w:lineRule="auto"/>
        <w:ind w:firstLine="470" w:firstLineChars="196"/>
        <w:rPr>
          <w:rFonts w:asciiTheme="minorEastAsia" w:hAnsiTheme="minorEastAsia" w:eastAsiaTheme="minorEastAsia"/>
          <w:bCs/>
          <w:color w:val="auto"/>
          <w:sz w:val="24"/>
          <w:szCs w:val="24"/>
          <w:u w:val="single"/>
        </w:rPr>
      </w:pPr>
    </w:p>
    <w:p>
      <w:pPr>
        <w:spacing w:line="360" w:lineRule="auto"/>
        <w:ind w:firstLine="470" w:firstLineChars="196"/>
        <w:rPr>
          <w:rFonts w:asciiTheme="minorEastAsia" w:hAnsiTheme="minorEastAsia" w:eastAsiaTheme="minorEastAsia"/>
          <w:bCs/>
          <w:color w:val="auto"/>
          <w:sz w:val="24"/>
          <w:szCs w:val="24"/>
        </w:rPr>
      </w:pPr>
      <w:r>
        <w:rPr>
          <w:rFonts w:hint="eastAsia" w:asciiTheme="minorEastAsia" w:hAnsiTheme="minorEastAsia" w:eastAsiaTheme="minorEastAsia"/>
          <w:bCs/>
          <w:color w:val="auto"/>
          <w:sz w:val="24"/>
          <w:szCs w:val="24"/>
        </w:rPr>
        <w:t>3.工程勘察设计服务内容：</w:t>
      </w:r>
    </w:p>
    <w:p>
      <w:pPr>
        <w:numPr>
          <w:ilvl w:val="0"/>
          <w:numId w:val="6"/>
        </w:numPr>
        <w:spacing w:line="360" w:lineRule="auto"/>
        <w:ind w:firstLine="470" w:firstLineChars="196"/>
        <w:rPr>
          <w:rFonts w:ascii="宋体" w:hAnsi="宋体"/>
          <w:color w:val="auto"/>
          <w:sz w:val="24"/>
          <w:u w:val="single"/>
        </w:rPr>
      </w:pPr>
      <w:r>
        <w:rPr>
          <w:rFonts w:hint="eastAsia" w:ascii="宋体" w:hAnsi="宋体"/>
          <w:color w:val="auto"/>
          <w:sz w:val="24"/>
          <w:u w:val="single"/>
        </w:rPr>
        <w:t>勘察服务范围：包括但不限于初步勘察、详细勘察（包括岩土工程勘察、</w:t>
      </w:r>
      <w:r>
        <w:rPr>
          <w:rFonts w:hint="eastAsia" w:ascii="宋体" w:hAnsi="宋体"/>
          <w:color w:val="auto"/>
          <w:sz w:val="24"/>
          <w:u w:val="single"/>
          <w:lang w:val="zh-TW"/>
        </w:rPr>
        <w:t>基坑勘察</w:t>
      </w:r>
      <w:r>
        <w:rPr>
          <w:rFonts w:hint="eastAsia" w:ascii="宋体" w:hAnsi="宋体"/>
          <w:color w:val="auto"/>
          <w:sz w:val="24"/>
          <w:u w:val="single"/>
        </w:rPr>
        <w:t>、剪切波速试验、土抽水试验、土壤氡浓度检测、地下管线探测等），地下管线、建（构）筑物和障碍物工程物探、水文地质勘察等工作，以及对应方案设计（含深化设计）、规划设计、初步设计、施工图设计、施工等各阶段的勘察要求。</w:t>
      </w:r>
    </w:p>
    <w:p>
      <w:pPr>
        <w:spacing w:line="360" w:lineRule="auto"/>
        <w:ind w:firstLine="480" w:firstLineChars="200"/>
        <w:rPr>
          <w:rFonts w:ascii="宋体" w:hAnsi="宋体"/>
          <w:color w:val="auto"/>
          <w:sz w:val="24"/>
          <w:u w:val="single"/>
        </w:rPr>
      </w:pPr>
      <w:r>
        <w:rPr>
          <w:rFonts w:hint="eastAsia" w:ascii="宋体" w:hAnsi="宋体"/>
          <w:color w:val="auto"/>
          <w:sz w:val="24"/>
          <w:u w:val="single"/>
        </w:rPr>
        <w:t>（2）勘察设计单位中标后应及时开展地下管线探测工作，根据图纸和现场情况探明地下管线和地下建构筑物分布，为编制勘察大纲和地质详勘进场作业提供参考意见。地下管线探测工作内容包括：</w:t>
      </w:r>
    </w:p>
    <w:p>
      <w:pPr>
        <w:spacing w:line="360" w:lineRule="auto"/>
        <w:ind w:firstLine="480" w:firstLineChars="200"/>
        <w:rPr>
          <w:rFonts w:ascii="宋体" w:hAnsi="宋体"/>
          <w:color w:val="auto"/>
          <w:sz w:val="24"/>
          <w:u w:val="single"/>
        </w:rPr>
      </w:pPr>
      <w:r>
        <w:rPr>
          <w:rFonts w:hint="eastAsia" w:ascii="宋体" w:hAnsi="宋体"/>
          <w:color w:val="auto"/>
          <w:sz w:val="24"/>
          <w:u w:val="single"/>
        </w:rPr>
        <w:t>①包括但不限于查明项目用地范围内排水管、供水管、消防管道、电缆线、通信线、燃气等地下管线的分布情况，以及探明雨水和污水接入井的位置和标高，编制场地地下管线成果图等相关工作。</w:t>
      </w:r>
    </w:p>
    <w:p>
      <w:pPr>
        <w:spacing w:line="360" w:lineRule="auto"/>
        <w:ind w:firstLine="480" w:firstLineChars="200"/>
        <w:rPr>
          <w:rFonts w:ascii="宋体" w:hAnsi="宋体"/>
          <w:color w:val="auto"/>
          <w:sz w:val="24"/>
          <w:u w:val="single"/>
        </w:rPr>
      </w:pPr>
      <w:r>
        <w:rPr>
          <w:rFonts w:hint="eastAsia" w:ascii="宋体" w:hAnsi="宋体"/>
          <w:color w:val="auto"/>
          <w:sz w:val="24"/>
          <w:u w:val="single"/>
        </w:rPr>
        <w:t>②若项目用地范围内有市城规院地下管线记录，则需提供市城规院综合地下管线图纸质版和电子光盘各一套，且地下管线探测单位探测成果需叠加在市城规院综合地下管线图上，并予以区分。</w:t>
      </w:r>
    </w:p>
    <w:p>
      <w:pPr>
        <w:spacing w:line="360" w:lineRule="auto"/>
        <w:ind w:firstLine="480" w:firstLineChars="200"/>
        <w:rPr>
          <w:rFonts w:ascii="宋体" w:hAnsi="宋体"/>
          <w:color w:val="auto"/>
          <w:sz w:val="24"/>
          <w:u w:val="single"/>
        </w:rPr>
      </w:pPr>
      <w:r>
        <w:rPr>
          <w:rFonts w:hint="eastAsia" w:ascii="宋体" w:hAnsi="宋体"/>
          <w:color w:val="auto"/>
          <w:sz w:val="24"/>
          <w:u w:val="single"/>
        </w:rPr>
        <w:t>③根据修规方案，将建筑物平面转折点用界钉固定标注在现场场地内，并将建筑物平面叠加在探测成果平面图中。</w:t>
      </w:r>
    </w:p>
    <w:p>
      <w:pPr>
        <w:spacing w:line="360" w:lineRule="auto"/>
        <w:ind w:firstLine="480" w:firstLineChars="200"/>
        <w:rPr>
          <w:rFonts w:ascii="宋体" w:hAnsi="宋体"/>
          <w:color w:val="auto"/>
          <w:sz w:val="24"/>
          <w:u w:val="single"/>
        </w:rPr>
      </w:pPr>
      <w:r>
        <w:rPr>
          <w:rFonts w:hint="eastAsia" w:ascii="宋体" w:hAnsi="宋体"/>
          <w:color w:val="auto"/>
          <w:sz w:val="24"/>
          <w:u w:val="single"/>
        </w:rPr>
        <w:t>④地下管线探测面积包干工程量261139平方米，具体位置和范围由可研编制单位与勘察单位商定。</w:t>
      </w:r>
    </w:p>
    <w:p>
      <w:pPr>
        <w:spacing w:line="360" w:lineRule="auto"/>
        <w:ind w:firstLine="480" w:firstLineChars="200"/>
        <w:rPr>
          <w:rFonts w:ascii="宋体" w:hAnsi="宋体"/>
          <w:color w:val="auto"/>
          <w:sz w:val="24"/>
          <w:u w:val="single"/>
        </w:rPr>
      </w:pPr>
      <w:r>
        <w:rPr>
          <w:rFonts w:hint="eastAsia" w:ascii="宋体" w:hAnsi="宋体"/>
          <w:color w:val="auto"/>
          <w:sz w:val="24"/>
          <w:u w:val="single"/>
        </w:rPr>
        <w:t>⑤地下管线探测实施前，地下管线探测方案应经甲方和可研编制单位审核同意。</w:t>
      </w:r>
    </w:p>
    <w:p>
      <w:pPr>
        <w:spacing w:line="360" w:lineRule="auto"/>
        <w:ind w:firstLine="470" w:firstLineChars="196"/>
        <w:rPr>
          <w:rFonts w:asciiTheme="minorEastAsia" w:hAnsiTheme="minorEastAsia" w:eastAsiaTheme="minorEastAsia"/>
          <w:color w:val="auto"/>
          <w:sz w:val="24"/>
          <w:szCs w:val="24"/>
          <w:u w:val="single"/>
        </w:rPr>
      </w:pPr>
      <w:r>
        <w:rPr>
          <w:rFonts w:hint="eastAsia" w:ascii="宋体" w:hAnsi="宋体"/>
          <w:color w:val="auto"/>
          <w:sz w:val="24"/>
          <w:u w:val="single"/>
        </w:rPr>
        <w:t>⑥现状摸查及编制摸查报告：报告包含但不限于项目概况、项目现状、地下管线、周边市政条件、报批报建工作进展、勘察设计工作进展、建设工作界面、勘察设计工作计划、存在的问题及相关建议等内容，前期摸查报告需经招标人审核通过后视为完成</w:t>
      </w:r>
      <w:r>
        <w:rPr>
          <w:rFonts w:hint="eastAsia" w:asciiTheme="minorEastAsia" w:hAnsiTheme="minorEastAsia" w:eastAsiaTheme="minorEastAsia"/>
          <w:color w:val="auto"/>
          <w:sz w:val="24"/>
          <w:szCs w:val="24"/>
          <w:u w:val="single"/>
        </w:rPr>
        <w:t>。</w:t>
      </w:r>
    </w:p>
    <w:p>
      <w:pPr>
        <w:spacing w:line="360" w:lineRule="auto"/>
        <w:ind w:firstLine="470" w:firstLineChars="196"/>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w:t>
      </w:r>
      <w:r>
        <w:rPr>
          <w:rFonts w:asciiTheme="minorEastAsia" w:hAnsiTheme="minorEastAsia" w:eastAsiaTheme="minorEastAsia"/>
          <w:color w:val="auto"/>
          <w:sz w:val="24"/>
          <w:szCs w:val="24"/>
          <w:u w:val="single"/>
        </w:rPr>
        <w:t>3）</w:t>
      </w:r>
      <w:r>
        <w:rPr>
          <w:rFonts w:hint="eastAsia" w:ascii="宋体" w:hAnsi="宋体"/>
          <w:color w:val="auto"/>
          <w:sz w:val="24"/>
          <w:u w:val="single"/>
        </w:rPr>
        <w:t>设计方案报审工作(含设计方案审查（房屋建筑类）设计工作）(如有）：在编制设计方案过程中，根据使用单位需求及发包人要求对实际功能布局进行深化优化，在现行政策规定下完成设计方案审查并同步推进控制性详细规划修正。设计方案审查范围包括总平面及竖向规划设计、各栋单体平面图、管线综合设计、建筑布局、交通组织、景观绿化、建筑立面、环境节能保护等（具体以招标人要求为准）</w:t>
      </w:r>
      <w:r>
        <w:rPr>
          <w:rFonts w:hint="eastAsia" w:asciiTheme="minorEastAsia" w:hAnsiTheme="minorEastAsia" w:eastAsiaTheme="minorEastAsia"/>
          <w:color w:val="auto"/>
          <w:sz w:val="24"/>
          <w:szCs w:val="24"/>
          <w:u w:val="single"/>
        </w:rPr>
        <w:t>。</w:t>
      </w:r>
    </w:p>
    <w:p>
      <w:pPr>
        <w:spacing w:line="360" w:lineRule="auto"/>
        <w:ind w:firstLine="470" w:firstLineChars="196"/>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w:t>
      </w:r>
      <w:r>
        <w:rPr>
          <w:rFonts w:asciiTheme="minorEastAsia" w:hAnsiTheme="minorEastAsia" w:eastAsiaTheme="minorEastAsia"/>
          <w:color w:val="auto"/>
          <w:sz w:val="24"/>
          <w:szCs w:val="24"/>
          <w:u w:val="single"/>
        </w:rPr>
        <w:t>4）</w:t>
      </w:r>
      <w:r>
        <w:rPr>
          <w:rFonts w:hint="eastAsia" w:ascii="宋体" w:hAnsi="宋体"/>
          <w:color w:val="auto"/>
          <w:sz w:val="24"/>
          <w:u w:val="single"/>
        </w:rPr>
        <w:t>设计主要阶段：所有建设内容（含BIM设计）的方案设计、规划设计、初步设计和基坑设计。包括</w:t>
      </w:r>
      <w:r>
        <w:rPr>
          <w:rFonts w:ascii="宋体" w:hAnsi="宋体"/>
          <w:color w:val="auto"/>
          <w:sz w:val="24"/>
          <w:u w:val="single"/>
        </w:rPr>
        <w:t>:总平面规划、建筑、结构、人防、消防、给排水、</w:t>
      </w:r>
      <w:r>
        <w:rPr>
          <w:rFonts w:hint="eastAsia" w:ascii="宋体" w:hAnsi="宋体"/>
          <w:color w:val="auto"/>
          <w:sz w:val="24"/>
          <w:u w:val="single"/>
        </w:rPr>
        <w:t>电气、暖通、市政管网、暗渠改道、园林道路及绿化景观、室内精装修、楼内标示系统。</w:t>
      </w:r>
      <w:r>
        <w:rPr>
          <w:rFonts w:hint="eastAsia" w:asciiTheme="minorEastAsia" w:hAnsiTheme="minorEastAsia" w:eastAsiaTheme="minorEastAsia"/>
          <w:color w:val="auto"/>
          <w:sz w:val="24"/>
          <w:szCs w:val="24"/>
          <w:u w:val="single"/>
        </w:rPr>
        <w:t>。</w:t>
      </w:r>
    </w:p>
    <w:p>
      <w:pPr>
        <w:spacing w:line="360" w:lineRule="auto"/>
        <w:ind w:firstLine="470" w:firstLineChars="196"/>
        <w:rPr>
          <w:rFonts w:ascii="宋体" w:hAnsi="宋体" w:cs="宋体"/>
          <w:color w:val="auto"/>
          <w:sz w:val="24"/>
          <w:szCs w:val="24"/>
          <w:u w:val="single"/>
        </w:rPr>
      </w:pPr>
      <w:r>
        <w:rPr>
          <w:rFonts w:ascii="宋体" w:hAnsi="宋体" w:cs="宋体"/>
          <w:color w:val="auto"/>
          <w:sz w:val="24"/>
          <w:szCs w:val="24"/>
          <w:u w:val="single"/>
        </w:rPr>
        <w:t>1）方案设计阶段：</w:t>
      </w:r>
    </w:p>
    <w:p>
      <w:pPr>
        <w:spacing w:line="360" w:lineRule="auto"/>
        <w:ind w:firstLine="470" w:firstLineChars="196"/>
        <w:rPr>
          <w:rFonts w:ascii="宋体" w:hAnsi="宋体" w:cs="宋体"/>
          <w:color w:val="auto"/>
          <w:sz w:val="24"/>
          <w:szCs w:val="24"/>
          <w:u w:val="single"/>
        </w:rPr>
      </w:pPr>
      <w:r>
        <w:rPr>
          <w:rFonts w:ascii="宋体" w:hAnsi="宋体" w:cs="宋体"/>
          <w:color w:val="auto"/>
          <w:sz w:val="24"/>
          <w:szCs w:val="24"/>
          <w:u w:val="single"/>
        </w:rPr>
        <w:t>1.对中标方案进行调整和优化，提供完整的设计方案及效果图，直至取得甲方确认。</w:t>
      </w:r>
    </w:p>
    <w:p>
      <w:pPr>
        <w:spacing w:line="360" w:lineRule="auto"/>
        <w:ind w:firstLine="470" w:firstLineChars="196"/>
        <w:rPr>
          <w:rFonts w:ascii="宋体" w:hAnsi="宋体" w:cs="宋体"/>
          <w:color w:val="auto"/>
          <w:sz w:val="24"/>
          <w:szCs w:val="24"/>
          <w:u w:val="single"/>
        </w:rPr>
      </w:pPr>
      <w:r>
        <w:rPr>
          <w:rFonts w:ascii="宋体" w:hAnsi="宋体" w:cs="宋体"/>
          <w:color w:val="auto"/>
          <w:sz w:val="24"/>
          <w:szCs w:val="24"/>
          <w:u w:val="single"/>
        </w:rPr>
        <w:t>2.按照限额设计要求，完成本项目招标范围内工程投资控制在批复的项目建议书估算范围内，还包括各阶段方案比选、技术选型比选的投资分析等。</w:t>
      </w:r>
    </w:p>
    <w:p>
      <w:pPr>
        <w:spacing w:line="360" w:lineRule="auto"/>
        <w:ind w:firstLine="470" w:firstLineChars="196"/>
        <w:rPr>
          <w:rFonts w:ascii="宋体" w:hAnsi="宋体" w:cs="宋体"/>
          <w:color w:val="auto"/>
          <w:sz w:val="24"/>
          <w:szCs w:val="24"/>
          <w:u w:val="single"/>
        </w:rPr>
      </w:pPr>
      <w:r>
        <w:rPr>
          <w:rFonts w:ascii="宋体" w:hAnsi="宋体" w:cs="宋体"/>
          <w:color w:val="auto"/>
          <w:sz w:val="24"/>
          <w:szCs w:val="24"/>
          <w:u w:val="single"/>
        </w:rPr>
        <w:t>3.方案设计完成后，送甲方审查认可，并协助甲方按规定报政府主管部门审查。</w:t>
      </w:r>
    </w:p>
    <w:p>
      <w:pPr>
        <w:spacing w:line="360" w:lineRule="auto"/>
        <w:ind w:firstLine="470" w:firstLineChars="196"/>
        <w:rPr>
          <w:rFonts w:ascii="宋体" w:hAnsi="宋体" w:cs="宋体"/>
          <w:color w:val="auto"/>
          <w:sz w:val="24"/>
          <w:szCs w:val="24"/>
          <w:u w:val="single"/>
        </w:rPr>
      </w:pPr>
      <w:r>
        <w:rPr>
          <w:rFonts w:ascii="宋体" w:hAnsi="宋体" w:cs="宋体"/>
          <w:color w:val="auto"/>
          <w:sz w:val="24"/>
          <w:szCs w:val="24"/>
          <w:u w:val="single"/>
        </w:rPr>
        <w:t>4.建筑方案满足使用单位功能需求，符合项目建议书要求。</w:t>
      </w:r>
    </w:p>
    <w:p>
      <w:pPr>
        <w:spacing w:line="360" w:lineRule="auto"/>
        <w:ind w:firstLine="470" w:firstLineChars="196"/>
        <w:rPr>
          <w:rFonts w:ascii="宋体" w:hAnsi="宋体" w:cs="宋体"/>
          <w:color w:val="auto"/>
          <w:sz w:val="24"/>
          <w:szCs w:val="24"/>
          <w:u w:val="single"/>
        </w:rPr>
      </w:pPr>
      <w:r>
        <w:rPr>
          <w:rFonts w:ascii="宋体" w:hAnsi="宋体" w:cs="宋体"/>
          <w:color w:val="auto"/>
          <w:sz w:val="24"/>
          <w:szCs w:val="24"/>
          <w:u w:val="single"/>
        </w:rPr>
        <w:t>5）编制规划报建资料，为规划部门确定用地边界、容积率、绿地率、建筑密度、建筑高度等用地规划指标，并为批复工程设计方案、《建设工程规划许可证》等提供依据。</w:t>
      </w:r>
    </w:p>
    <w:p>
      <w:pPr>
        <w:spacing w:line="360" w:lineRule="auto"/>
        <w:ind w:firstLine="470" w:firstLineChars="196"/>
        <w:rPr>
          <w:rFonts w:ascii="宋体" w:hAnsi="宋体" w:cs="宋体"/>
          <w:color w:val="auto"/>
          <w:sz w:val="24"/>
          <w:szCs w:val="24"/>
          <w:u w:val="single"/>
        </w:rPr>
      </w:pPr>
      <w:r>
        <w:rPr>
          <w:rFonts w:ascii="宋体" w:hAnsi="宋体" w:cs="宋体"/>
          <w:color w:val="auto"/>
          <w:sz w:val="24"/>
          <w:szCs w:val="24"/>
          <w:u w:val="single"/>
        </w:rPr>
        <w:t>2）初步设计阶段</w:t>
      </w:r>
    </w:p>
    <w:p>
      <w:pPr>
        <w:spacing w:line="360" w:lineRule="auto"/>
        <w:ind w:firstLine="470" w:firstLineChars="196"/>
        <w:rPr>
          <w:rFonts w:ascii="宋体" w:hAnsi="宋体" w:cs="宋体"/>
          <w:color w:val="auto"/>
          <w:sz w:val="24"/>
          <w:szCs w:val="24"/>
          <w:u w:val="single"/>
        </w:rPr>
      </w:pPr>
      <w:r>
        <w:rPr>
          <w:rFonts w:ascii="宋体" w:hAnsi="宋体" w:cs="宋体"/>
          <w:color w:val="auto"/>
          <w:sz w:val="24"/>
          <w:szCs w:val="24"/>
          <w:u w:val="single"/>
        </w:rPr>
        <w:t>1.根据批准后的设计方案完成所有专业的初步设计文件。包括但不限于：规划</w:t>
      </w:r>
      <w:r>
        <w:rPr>
          <w:rFonts w:ascii="宋体" w:hAnsi="宋体" w:cs="宋体"/>
          <w:color w:val="auto"/>
          <w:sz w:val="24"/>
          <w:szCs w:val="24"/>
          <w:lang w:val="zh-TW"/>
        </w:rPr>
        <w:t>(含</w:t>
      </w:r>
      <w:r>
        <w:rPr>
          <w:rFonts w:hint="eastAsia" w:ascii="宋体" w:hAnsi="宋体" w:cs="宋体"/>
          <w:color w:val="auto"/>
          <w:sz w:val="24"/>
          <w:szCs w:val="24"/>
          <w:lang w:val="zh-TW" w:eastAsia="zh-TW"/>
        </w:rPr>
        <w:t>修建性详细规划</w:t>
      </w:r>
      <w:r>
        <w:rPr>
          <w:rFonts w:ascii="宋体" w:hAnsi="宋体" w:cs="宋体"/>
          <w:bCs/>
          <w:color w:val="auto"/>
          <w:sz w:val="24"/>
          <w:szCs w:val="24"/>
        </w:rPr>
        <w:t>)</w:t>
      </w:r>
      <w:r>
        <w:rPr>
          <w:rFonts w:ascii="宋体" w:hAnsi="宋体" w:cs="宋体"/>
          <w:color w:val="auto"/>
          <w:sz w:val="24"/>
          <w:szCs w:val="24"/>
          <w:u w:val="single"/>
        </w:rPr>
        <w:t>、总图、建筑、基坑开挖与支护、结构、电气、给排水、通风与空调、装饰装修（含室内外）、建筑智能化系统、消防、景观园林、绿色建筑、燃气、电梯(升降梯及自动扶梯)、钢结构、幕墙、室外道路、交通组织设计方案、民防工程、</w:t>
      </w:r>
      <w:r>
        <w:rPr>
          <w:rFonts w:hint="eastAsia" w:ascii="宋体" w:hAnsi="宋体" w:cs="宋体"/>
          <w:color w:val="auto"/>
          <w:sz w:val="24"/>
          <w:szCs w:val="24"/>
          <w:u w:val="single"/>
        </w:rPr>
        <w:t>永久水电气接入设计、</w:t>
      </w:r>
      <w:r>
        <w:rPr>
          <w:rFonts w:ascii="宋体" w:hAnsi="宋体" w:cs="宋体"/>
          <w:color w:val="auto"/>
          <w:sz w:val="24"/>
          <w:szCs w:val="24"/>
          <w:u w:val="single"/>
        </w:rPr>
        <w:t>BIM设计、装配式设计、海绵城市设计等；</w:t>
      </w:r>
    </w:p>
    <w:p>
      <w:pPr>
        <w:spacing w:line="360" w:lineRule="auto"/>
        <w:ind w:firstLine="470" w:firstLineChars="196"/>
        <w:rPr>
          <w:rFonts w:ascii="宋体" w:hAnsi="宋体" w:cs="宋体"/>
          <w:color w:val="auto"/>
          <w:sz w:val="24"/>
          <w:szCs w:val="24"/>
          <w:u w:val="single"/>
        </w:rPr>
      </w:pPr>
      <w:r>
        <w:rPr>
          <w:rFonts w:ascii="宋体" w:hAnsi="宋体" w:cs="宋体"/>
          <w:color w:val="auto"/>
          <w:sz w:val="24"/>
          <w:szCs w:val="24"/>
          <w:u w:val="single"/>
        </w:rPr>
        <w:t>2.初步设计文件完成后，送甲方审查认可，并协助甲方按规定报政府主管部门审查，并按审查意见修改初步设计文件，直至审查通过。</w:t>
      </w:r>
    </w:p>
    <w:p>
      <w:pPr>
        <w:spacing w:line="360" w:lineRule="auto"/>
        <w:ind w:firstLine="470" w:firstLineChars="196"/>
        <w:rPr>
          <w:rFonts w:ascii="宋体" w:hAnsi="宋体" w:cs="宋体"/>
          <w:color w:val="auto"/>
          <w:sz w:val="24"/>
          <w:szCs w:val="24"/>
          <w:u w:val="single"/>
        </w:rPr>
      </w:pPr>
      <w:r>
        <w:rPr>
          <w:rFonts w:ascii="宋体" w:hAnsi="宋体" w:cs="宋体"/>
          <w:color w:val="auto"/>
          <w:sz w:val="24"/>
          <w:szCs w:val="24"/>
          <w:u w:val="single"/>
        </w:rPr>
        <w:t>3.提供调整后的方案设计说明及图纸、效果图。</w:t>
      </w:r>
    </w:p>
    <w:p>
      <w:pPr>
        <w:spacing w:line="360" w:lineRule="auto"/>
        <w:ind w:firstLine="470" w:firstLineChars="196"/>
        <w:rPr>
          <w:rFonts w:ascii="宋体" w:hAnsi="宋体" w:cs="宋体"/>
          <w:color w:val="auto"/>
          <w:sz w:val="24"/>
          <w:szCs w:val="24"/>
        </w:rPr>
      </w:pPr>
      <w:r>
        <w:rPr>
          <w:rFonts w:ascii="宋体" w:hAnsi="宋体" w:cs="宋体"/>
          <w:color w:val="auto"/>
          <w:sz w:val="24"/>
          <w:szCs w:val="24"/>
          <w:u w:val="single"/>
        </w:rPr>
        <w:t>4.提交的初步设计文件取得政府主管部门同意批文，并按本合同条款规定提供初步设计成果后，完成本项目招标范围内初步设计概算等造价文件的编制并获得政府投资主管部门的批复。</w:t>
      </w:r>
    </w:p>
    <w:p>
      <w:pPr>
        <w:spacing w:line="360" w:lineRule="auto"/>
        <w:ind w:firstLine="470" w:firstLineChars="196"/>
        <w:rPr>
          <w:rFonts w:ascii="宋体" w:hAnsi="宋体" w:cs="宋体"/>
          <w:color w:val="auto"/>
          <w:sz w:val="24"/>
          <w:szCs w:val="24"/>
          <w:u w:val="single"/>
        </w:rPr>
      </w:pPr>
      <w:r>
        <w:rPr>
          <w:rFonts w:ascii="宋体" w:hAnsi="宋体" w:cs="宋体"/>
          <w:color w:val="auto"/>
          <w:sz w:val="24"/>
          <w:szCs w:val="24"/>
          <w:u w:val="single"/>
        </w:rPr>
        <w:t>5.负责编制基坑支护设计方案，达到施工图深度，要求在确保基坑安全可靠的前提下做到经济合理、施工便捷，并按照专家意见修改完善，作为基坑支护及开挖施工依据。</w:t>
      </w:r>
    </w:p>
    <w:p>
      <w:pPr>
        <w:widowControl/>
        <w:spacing w:line="360" w:lineRule="auto"/>
        <w:ind w:firstLine="480" w:firstLineChars="200"/>
        <w:jc w:val="left"/>
        <w:rPr>
          <w:rFonts w:hAnsi="宋体" w:cs="宋体"/>
          <w:color w:val="auto"/>
          <w:sz w:val="24"/>
          <w:szCs w:val="24"/>
        </w:rPr>
      </w:pPr>
      <w:r>
        <w:rPr>
          <w:rFonts w:ascii="宋体" w:hAnsi="宋体" w:cs="宋体"/>
          <w:color w:val="auto"/>
          <w:sz w:val="24"/>
          <w:szCs w:val="24"/>
          <w:u w:val="single"/>
        </w:rPr>
        <w:t>6.</w:t>
      </w:r>
      <w:r>
        <w:rPr>
          <w:rFonts w:ascii="宋体" w:hAnsi="宋体" w:cs="宋体"/>
          <w:color w:val="auto"/>
          <w:kern w:val="0"/>
          <w:sz w:val="24"/>
          <w:szCs w:val="24"/>
        </w:rPr>
        <w:t>本项目宿舍拟采用装配式建筑，根据文件要求，采用预制装配式的建筑体系，综合运用外墙、楼梯、内隔墙、叠合楼板、阳台板、部分柱体等预制构件，装配率达 50%</w:t>
      </w:r>
      <w:r>
        <w:rPr>
          <w:rFonts w:hint="eastAsia" w:ascii="宋体" w:hAnsi="宋体" w:cs="宋体"/>
          <w:color w:val="auto"/>
          <w:sz w:val="24"/>
          <w:szCs w:val="24"/>
          <w:u w:val="single"/>
        </w:rPr>
        <w:t>（以可行性研究报告为准）需根据现有资料综合考虑装配式建筑设计要求。</w:t>
      </w:r>
    </w:p>
    <w:p>
      <w:pPr>
        <w:spacing w:line="360" w:lineRule="auto"/>
        <w:ind w:firstLine="470" w:firstLineChars="196"/>
        <w:rPr>
          <w:rFonts w:ascii="宋体" w:hAnsi="宋体" w:cs="宋体"/>
          <w:color w:val="auto"/>
          <w:sz w:val="24"/>
          <w:szCs w:val="24"/>
        </w:rPr>
      </w:pPr>
      <w:r>
        <w:rPr>
          <w:rFonts w:ascii="宋体" w:hAnsi="宋体" w:cs="宋体"/>
          <w:color w:val="auto"/>
          <w:sz w:val="24"/>
          <w:szCs w:val="24"/>
          <w:u w:val="single"/>
        </w:rPr>
        <w:t>3</w:t>
      </w:r>
      <w:r>
        <w:rPr>
          <w:rFonts w:hint="eastAsia" w:ascii="宋体" w:hAnsi="宋体" w:cs="宋体"/>
          <w:color w:val="auto"/>
          <w:sz w:val="24"/>
          <w:szCs w:val="24"/>
          <w:u w:val="single"/>
        </w:rPr>
        <w:t>）施工服务阶段工作：提供后续工艺设计单位及施工图设计单位的配合工作，按招标人要求（如有）对已确认的方案设计、初步设计进行调整，并有对施工图设计成果评价和把控的责任。如施工服务阶段涉及重大设计方案变更，乙方须配合甲方及施工图设计单位做好相关工作。</w:t>
      </w:r>
    </w:p>
    <w:p>
      <w:pPr>
        <w:spacing w:line="360" w:lineRule="auto"/>
        <w:ind w:firstLine="470" w:firstLineChars="196"/>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（5）建筑节能与新技术的应用及设计：包括节能、环保、绿色建筑、海绵城市、BIM等专项工程设计，项目设计全过程须应用BIM技术。</w:t>
      </w:r>
    </w:p>
    <w:p>
      <w:pPr>
        <w:spacing w:line="360" w:lineRule="auto"/>
        <w:ind w:firstLine="470" w:firstLineChars="196"/>
        <w:rPr>
          <w:rFonts w:ascii="宋体" w:hAnsi="宋体" w:cs="宋体"/>
          <w:color w:val="auto"/>
          <w:sz w:val="24"/>
          <w:szCs w:val="24"/>
          <w:u w:val="single"/>
        </w:rPr>
      </w:pPr>
      <w:r>
        <w:rPr>
          <w:rFonts w:hint="eastAsia" w:ascii="宋体" w:hAnsi="宋体" w:cs="宋体"/>
          <w:color w:val="auto"/>
          <w:sz w:val="24"/>
          <w:szCs w:val="24"/>
          <w:u w:val="single"/>
        </w:rPr>
        <w:t>（6）本项目质量目标：本项目工程质量目标为获得广东省建设工程优质奖奖项，绿色建筑目标为绿色建筑二星标准设计。中标人各阶段设计工作及所提交的设计成果应满足上述目标的申报条件，同时中标人应配合上述目标的申报，为申报工作提供相关基础资料。相关费用已包含在投标报价中，招标人不再另行支付费用。</w:t>
      </w:r>
    </w:p>
    <w:p>
      <w:pPr>
        <w:spacing w:line="360" w:lineRule="auto"/>
        <w:ind w:firstLine="470" w:firstLineChars="196"/>
        <w:rPr>
          <w:color w:val="auto"/>
        </w:rPr>
      </w:pPr>
      <w:r>
        <w:rPr>
          <w:rFonts w:hint="eastAsia" w:asciiTheme="minorEastAsia" w:hAnsiTheme="minorEastAsia" w:eastAsiaTheme="minorEastAsia"/>
          <w:color w:val="auto"/>
          <w:sz w:val="24"/>
          <w:szCs w:val="24"/>
          <w:u w:val="single"/>
        </w:rPr>
        <w:t>（7）设计工作要求：本项目勘察设计须获得省级或以上相关勘察设计奖项，中标人须按投标承诺投入满足招标文件要求的相关勘察设计人员，确保本项目勘察设计获得省级或以上相关勘察设计奖项。若中标人在本项目竣工验收合格后两年内未获得任何省级或以上勘察设计奖项，则结算时按工程设计费结算额的10%扣减设计费；若中标人在本项目竣工验收合格后两年内获得省级勘察设计奖项但未获得国家级勘察设计奖项，则结算时按工程设计费结算额的5%扣减设计费。</w:t>
      </w:r>
    </w:p>
    <w:p>
      <w:pPr>
        <w:spacing w:line="360" w:lineRule="auto"/>
        <w:ind w:firstLine="470" w:firstLineChars="196"/>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8）BIM技术运用：整个设计过程运用BIM建筑信息模型，运用BIM检查初步设计、施工图设计中的错、漏、碰、缺，利用BIM技术进行管线综合平衡设计，出具基于BIM技术导出的施工图预算，要求实现项目参与各方在同一平台上项目信息数据共享，在BIM中插入、提取、更新和修改信息，确保各方协同作业，建立运营维护模型，指导实际运行、维护管理工作。BIM模型成果文件需上传到广东省代建项目管理局BIM协同管理平台上，且BIM技术要求必须达到《广东省代建项目管理局BIM实施管理标准及实施导则》的要求，BIM完成情况纳入合同履约诚信考核。</w:t>
      </w:r>
    </w:p>
    <w:p>
      <w:pPr>
        <w:spacing w:line="360" w:lineRule="auto"/>
        <w:ind w:firstLine="470" w:firstLineChars="196"/>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（9）其他工作：</w:t>
      </w:r>
    </w:p>
    <w:p>
      <w:pPr>
        <w:spacing w:line="360" w:lineRule="auto"/>
        <w:ind w:firstLine="470" w:firstLineChars="196"/>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1）造价文件编制工作：按照限额设计要求，完成本项目招标范围内工程投资方案设计估算、初步设计概算等造价文件的编制及相关配合报审工作，协助发包人取得发展改革部门的批复意见。还包括各阶段方案比选、技术选型比选的投资分析、协助施工阶段的设计变更造价变化分析、协助竣工图审核等。</w:t>
      </w:r>
    </w:p>
    <w:p>
      <w:pPr>
        <w:spacing w:line="360" w:lineRule="auto"/>
        <w:ind w:firstLine="470" w:firstLineChars="196"/>
        <w:rPr>
          <w:rFonts w:ascii="宋体" w:hAnsi="宋体" w:cs="宋体"/>
          <w:color w:val="auto"/>
          <w:sz w:val="24"/>
          <w:szCs w:val="24"/>
          <w:u w:val="single"/>
        </w:rPr>
      </w:pPr>
      <w:r>
        <w:rPr>
          <w:rFonts w:hint="eastAsia" w:asciiTheme="minorEastAsia" w:hAnsiTheme="minorEastAsia" w:eastAsiaTheme="minorEastAsia"/>
          <w:color w:val="auto"/>
          <w:sz w:val="24"/>
          <w:szCs w:val="24"/>
          <w:u w:val="single"/>
        </w:rPr>
        <w:t>2）技术配合工作：</w:t>
      </w:r>
      <w:r>
        <w:rPr>
          <w:rFonts w:hint="eastAsia" w:ascii="宋体" w:hAnsi="宋体"/>
          <w:color w:val="auto"/>
          <w:sz w:val="24"/>
          <w:u w:val="single"/>
        </w:rPr>
        <w:t>协助招标人办理用地规划、用地预审手续批复等工作，招标人后续各类招标工作配合、施工图设计配合、设计变更配合、施工配合、现场服务、竣工验收及概算清理、专题研究等；负责施工图设计文件和施工图深化设计文件审核（审核内容包括与使用需求的符合性、与方案设计和初步设计各专业的符合性及经济合理性、其他相关配套专业符合性等设计服务）；投资分解，以分部工程为单位，依据经批复的可研估算编制限额设计投资目标，作为方案设计和初步设计阶段限额设计的依据，负责施工图预算的审核，确保施工图预算控制在经批准的初步设计概算范围内</w:t>
      </w:r>
      <w:r>
        <w:rPr>
          <w:rFonts w:hint="eastAsia" w:ascii="宋体" w:hAnsi="宋体" w:cs="宋体"/>
          <w:color w:val="auto"/>
          <w:sz w:val="24"/>
          <w:szCs w:val="24"/>
          <w:u w:val="single"/>
        </w:rPr>
        <w:t>。</w:t>
      </w:r>
    </w:p>
    <w:p>
      <w:pPr>
        <w:spacing w:line="360" w:lineRule="auto"/>
        <w:ind w:firstLine="470" w:firstLineChars="196"/>
        <w:rPr>
          <w:rFonts w:asciiTheme="minorEastAsia" w:hAnsiTheme="minorEastAsia" w:eastAsiaTheme="minorEastAsia"/>
          <w:color w:val="auto"/>
          <w:sz w:val="24"/>
          <w:szCs w:val="24"/>
          <w:u w:val="single"/>
        </w:rPr>
      </w:pPr>
      <w:r>
        <w:rPr>
          <w:rFonts w:hint="eastAsia" w:ascii="宋体" w:hAnsi="宋体" w:cs="宋体"/>
          <w:color w:val="auto"/>
          <w:sz w:val="24"/>
          <w:szCs w:val="24"/>
          <w:u w:val="single"/>
        </w:rPr>
        <w:t>3）报建配合工作：①协助发包人向规划和自然资源部门办理《建设项目选址意见书》、《建设项目用地预审意见》、《建设用地规划许可证》、《建设用地批准书》、工程设计方案、管线综合规划、《建设工程规划许可证》等报建报批手续，负责上述证照所需的相关技术文件的编制，并协助发包人取得相应的批复意见。②上述国土规划报建手续所需的书面文件和电子文件、地形图、各类证照（含公示牌等）费用、各阶段测量及放线册等费用由承包单位负责，承包单位应根据规划和自然资源部门的意见对有关申报资料进行修改和补充，建设单位配合承包单位完善有关资料。</w:t>
      </w:r>
    </w:p>
    <w:p>
      <w:pPr>
        <w:spacing w:line="360" w:lineRule="auto"/>
        <w:ind w:firstLine="470" w:firstLineChars="196"/>
        <w:rPr>
          <w:rFonts w:ascii="宋体" w:hAnsi="宋体"/>
          <w:color w:val="auto"/>
          <w:sz w:val="24"/>
        </w:rPr>
      </w:pPr>
      <w:r>
        <w:rPr>
          <w:rFonts w:hint="eastAsia" w:ascii="宋体" w:hAnsi="宋体"/>
          <w:color w:val="auto"/>
          <w:sz w:val="24"/>
        </w:rPr>
        <w:t>（10）配合工作</w:t>
      </w:r>
    </w:p>
    <w:p>
      <w:pPr>
        <w:spacing w:line="360" w:lineRule="auto"/>
        <w:ind w:firstLine="470" w:firstLineChars="196"/>
        <w:rPr>
          <w:rFonts w:ascii="宋体" w:hAnsi="宋体" w:cs="宋体"/>
          <w:color w:val="auto"/>
          <w:sz w:val="24"/>
          <w:szCs w:val="24"/>
          <w:u w:val="single"/>
        </w:rPr>
      </w:pPr>
      <w:r>
        <w:rPr>
          <w:rFonts w:ascii="宋体" w:hAnsi="宋体" w:cs="宋体"/>
          <w:color w:val="auto"/>
          <w:sz w:val="24"/>
          <w:szCs w:val="24"/>
          <w:u w:val="single"/>
        </w:rPr>
        <w:t>1）若设计过程中有需要前往外地考察同类项目并借鉴其经验，承包单位应予以协助和配合，考察费用按设计费的5%列支，如有结余则归承包单位所有。</w:t>
      </w:r>
    </w:p>
    <w:p>
      <w:pPr>
        <w:spacing w:line="360" w:lineRule="auto"/>
        <w:ind w:firstLine="470" w:firstLineChars="196"/>
        <w:rPr>
          <w:rFonts w:ascii="宋体" w:hAnsi="宋体" w:cs="宋体"/>
          <w:color w:val="auto"/>
          <w:sz w:val="24"/>
          <w:szCs w:val="24"/>
          <w:u w:val="single"/>
        </w:rPr>
      </w:pPr>
      <w:r>
        <w:rPr>
          <w:rFonts w:ascii="宋体" w:hAnsi="宋体" w:cs="宋体"/>
          <w:color w:val="auto"/>
          <w:sz w:val="24"/>
          <w:szCs w:val="24"/>
          <w:u w:val="single"/>
        </w:rPr>
        <w:t>2）参加各类协调、论证、评审等会议，项目负责人及各专业负责人须到会，负责会议有关汇报文件、展示文件的制作和汇报。</w:t>
      </w:r>
    </w:p>
    <w:p>
      <w:pPr>
        <w:spacing w:line="360" w:lineRule="auto"/>
        <w:ind w:firstLine="470" w:firstLineChars="196"/>
        <w:rPr>
          <w:rFonts w:ascii="宋体" w:hAnsi="宋体" w:cs="宋体"/>
          <w:color w:val="auto"/>
          <w:sz w:val="24"/>
          <w:szCs w:val="24"/>
          <w:u w:val="single"/>
        </w:rPr>
      </w:pPr>
      <w:r>
        <w:rPr>
          <w:rFonts w:ascii="宋体" w:hAnsi="宋体" w:cs="宋体"/>
          <w:color w:val="auto"/>
          <w:sz w:val="24"/>
          <w:szCs w:val="24"/>
          <w:u w:val="single"/>
        </w:rPr>
        <w:t>3）参加由建设单位组织的专家评审，评审专家劳务费用由承包单位负责。</w:t>
      </w:r>
    </w:p>
    <w:p>
      <w:pPr>
        <w:spacing w:line="360" w:lineRule="auto"/>
        <w:ind w:firstLine="470" w:firstLineChars="196"/>
        <w:rPr>
          <w:rFonts w:ascii="宋体" w:hAnsi="宋体" w:cs="宋体"/>
          <w:color w:val="auto"/>
          <w:sz w:val="24"/>
          <w:szCs w:val="24"/>
          <w:u w:val="single"/>
        </w:rPr>
      </w:pPr>
      <w:r>
        <w:rPr>
          <w:rFonts w:ascii="宋体" w:hAnsi="宋体" w:cs="宋体"/>
          <w:color w:val="auto"/>
          <w:sz w:val="24"/>
          <w:szCs w:val="24"/>
          <w:u w:val="single"/>
        </w:rPr>
        <w:t>4）对材料、设备的选型提出合理化建议。</w:t>
      </w:r>
    </w:p>
    <w:p>
      <w:pPr>
        <w:spacing w:line="360" w:lineRule="auto"/>
        <w:ind w:firstLine="470" w:firstLineChars="196"/>
        <w:rPr>
          <w:rFonts w:asciiTheme="minorEastAsia" w:hAnsiTheme="minorEastAsia" w:eastAsiaTheme="minorEastAsia"/>
          <w:color w:val="auto"/>
          <w:sz w:val="24"/>
          <w:szCs w:val="24"/>
          <w:u w:val="single"/>
        </w:rPr>
      </w:pPr>
      <w:r>
        <w:rPr>
          <w:rFonts w:ascii="宋体" w:hAnsi="宋体" w:cs="宋体"/>
          <w:color w:val="auto"/>
          <w:sz w:val="24"/>
          <w:szCs w:val="24"/>
          <w:u w:val="single"/>
        </w:rPr>
        <w:t>5）对EPC单位的招标工作提出合理化建议，配合施工图设计单位的工作开展，配合有关资料的收集、整理和归档。</w:t>
      </w:r>
    </w:p>
    <w:p>
      <w:pPr>
        <w:spacing w:line="360" w:lineRule="auto"/>
        <w:ind w:firstLine="470" w:firstLineChars="196"/>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u w:val="single"/>
        </w:rPr>
        <w:t>各阶段设计文件深度要求必须满足《建筑工程设计文件编制深度规定》的要求，各专业还应该满足各专业工程设计文件编制深度规范或规定的要求。</w:t>
      </w:r>
    </w:p>
    <w:p>
      <w:pPr>
        <w:pStyle w:val="6"/>
        <w:spacing w:before="120" w:after="120" w:line="360" w:lineRule="auto"/>
        <w:rPr>
          <w:rFonts w:asciiTheme="minorEastAsia" w:hAnsiTheme="minorEastAsia" w:eastAsiaTheme="minorEastAsia"/>
          <w:b w:val="0"/>
          <w:color w:val="auto"/>
          <w:sz w:val="24"/>
          <w:szCs w:val="24"/>
        </w:rPr>
      </w:pPr>
      <w:bookmarkStart w:id="7" w:name="_Toc351203482"/>
      <w:r>
        <w:rPr>
          <w:rFonts w:hint="eastAsia" w:asciiTheme="minorEastAsia" w:hAnsiTheme="minorEastAsia" w:eastAsiaTheme="minorEastAsia"/>
          <w:b w:val="0"/>
          <w:color w:val="auto"/>
          <w:sz w:val="24"/>
          <w:szCs w:val="24"/>
        </w:rPr>
        <w:t>三、</w:t>
      </w:r>
      <w:bookmarkEnd w:id="7"/>
      <w:r>
        <w:rPr>
          <w:rFonts w:hint="eastAsia" w:asciiTheme="minorEastAsia" w:hAnsiTheme="minorEastAsia" w:eastAsiaTheme="minorEastAsia"/>
          <w:b w:val="0"/>
          <w:color w:val="auto"/>
          <w:sz w:val="24"/>
          <w:szCs w:val="24"/>
        </w:rPr>
        <w:t>工程勘察设计周期</w:t>
      </w:r>
    </w:p>
    <w:p>
      <w:pPr>
        <w:spacing w:line="360" w:lineRule="auto"/>
        <w:ind w:firstLine="459"/>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计划开始设计日期：</w:t>
      </w:r>
      <w:r>
        <w:rPr>
          <w:rFonts w:hint="eastAsia" w:asciiTheme="minorEastAsia" w:hAnsiTheme="minorEastAsia" w:eastAsiaTheme="minorEastAsia"/>
          <w:color w:val="auto"/>
          <w:sz w:val="24"/>
          <w:szCs w:val="24"/>
          <w:u w:val="single"/>
        </w:rPr>
        <w:t></w:t>
      </w:r>
      <w:r>
        <w:rPr>
          <w:rFonts w:hint="eastAsia" w:asciiTheme="minorEastAsia" w:hAnsiTheme="minorEastAsia" w:eastAsiaTheme="minorEastAsia"/>
          <w:color w:val="auto"/>
          <w:sz w:val="24"/>
          <w:szCs w:val="24"/>
        </w:rPr>
        <w:t>年</w:t>
      </w:r>
      <w:r>
        <w:rPr>
          <w:rFonts w:hint="eastAsia" w:asciiTheme="minorEastAsia" w:hAnsiTheme="minorEastAsia" w:eastAsiaTheme="minorEastAsia"/>
          <w:color w:val="auto"/>
          <w:sz w:val="24"/>
          <w:szCs w:val="24"/>
          <w:u w:val="single"/>
        </w:rPr>
        <w:t></w:t>
      </w:r>
      <w:r>
        <w:rPr>
          <w:rFonts w:hint="eastAsia" w:asciiTheme="minorEastAsia" w:hAnsiTheme="minorEastAsia" w:eastAsiaTheme="minorEastAsia"/>
          <w:color w:val="auto"/>
          <w:sz w:val="24"/>
          <w:szCs w:val="24"/>
        </w:rPr>
        <w:t>月</w:t>
      </w:r>
      <w:r>
        <w:rPr>
          <w:rFonts w:hint="eastAsia" w:asciiTheme="minorEastAsia" w:hAnsiTheme="minorEastAsia" w:eastAsiaTheme="minorEastAsia"/>
          <w:color w:val="auto"/>
          <w:sz w:val="24"/>
          <w:szCs w:val="24"/>
          <w:u w:val="single"/>
        </w:rPr>
        <w:t></w:t>
      </w:r>
      <w:r>
        <w:rPr>
          <w:rFonts w:hint="eastAsia" w:asciiTheme="minorEastAsia" w:hAnsiTheme="minorEastAsia" w:eastAsiaTheme="minorEastAsia"/>
          <w:color w:val="auto"/>
          <w:sz w:val="24"/>
          <w:szCs w:val="24"/>
        </w:rPr>
        <w:t>日。</w:t>
      </w:r>
    </w:p>
    <w:p>
      <w:pPr>
        <w:spacing w:line="360" w:lineRule="auto"/>
        <w:ind w:firstLine="459"/>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计划完成设计日期：</w:t>
      </w:r>
      <w:r>
        <w:rPr>
          <w:rFonts w:hint="eastAsia" w:asciiTheme="minorEastAsia" w:hAnsiTheme="minorEastAsia" w:eastAsiaTheme="minorEastAsia"/>
          <w:color w:val="auto"/>
          <w:sz w:val="24"/>
          <w:szCs w:val="24"/>
          <w:u w:val="single"/>
        </w:rPr>
        <w:t></w:t>
      </w:r>
      <w:r>
        <w:rPr>
          <w:rFonts w:hint="eastAsia" w:asciiTheme="minorEastAsia" w:hAnsiTheme="minorEastAsia" w:eastAsiaTheme="minorEastAsia"/>
          <w:color w:val="auto"/>
          <w:sz w:val="24"/>
          <w:szCs w:val="24"/>
        </w:rPr>
        <w:t>年</w:t>
      </w:r>
      <w:r>
        <w:rPr>
          <w:rFonts w:hint="eastAsia" w:asciiTheme="minorEastAsia" w:hAnsiTheme="minorEastAsia" w:eastAsiaTheme="minorEastAsia"/>
          <w:color w:val="auto"/>
          <w:sz w:val="24"/>
          <w:szCs w:val="24"/>
          <w:u w:val="single"/>
        </w:rPr>
        <w:t></w:t>
      </w:r>
      <w:r>
        <w:rPr>
          <w:rFonts w:hint="eastAsia" w:asciiTheme="minorEastAsia" w:hAnsiTheme="minorEastAsia" w:eastAsiaTheme="minorEastAsia"/>
          <w:color w:val="auto"/>
          <w:sz w:val="24"/>
          <w:szCs w:val="24"/>
        </w:rPr>
        <w:t>月</w:t>
      </w:r>
      <w:r>
        <w:rPr>
          <w:rFonts w:hint="eastAsia" w:asciiTheme="minorEastAsia" w:hAnsiTheme="minorEastAsia" w:eastAsiaTheme="minorEastAsia"/>
          <w:color w:val="auto"/>
          <w:sz w:val="24"/>
          <w:szCs w:val="24"/>
          <w:u w:val="single"/>
        </w:rPr>
        <w:t></w:t>
      </w:r>
      <w:r>
        <w:rPr>
          <w:rFonts w:hint="eastAsia" w:asciiTheme="minorEastAsia" w:hAnsiTheme="minorEastAsia" w:eastAsiaTheme="minorEastAsia"/>
          <w:color w:val="auto"/>
          <w:sz w:val="24"/>
          <w:szCs w:val="24"/>
        </w:rPr>
        <w:t>日。</w:t>
      </w:r>
    </w:p>
    <w:p>
      <w:pPr>
        <w:spacing w:line="360" w:lineRule="auto"/>
        <w:ind w:firstLine="459"/>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具体工程设计周期：</w:t>
      </w:r>
    </w:p>
    <w:p>
      <w:pPr>
        <w:spacing w:line="360" w:lineRule="auto"/>
        <w:ind w:firstLine="314" w:firstLineChars="131"/>
        <w:jc w:val="left"/>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rPr>
        <w:t>口1）</w:t>
      </w:r>
      <w:r>
        <w:rPr>
          <w:rFonts w:hint="eastAsia" w:asciiTheme="minorEastAsia" w:hAnsiTheme="minorEastAsia" w:eastAsiaTheme="minorEastAsia"/>
          <w:color w:val="auto"/>
          <w:sz w:val="24"/>
          <w:szCs w:val="24"/>
          <w:u w:val="single"/>
        </w:rPr>
        <w:t>设计工期：中标人应在设计合同签订后   工作日内完成方案修改，方案确定后    工作日内完成初步设计，初步设计审查发现问题后    工作日内完成补充、修改。如果延误工期，承包人向发包人支付的误期损害赔偿费每天为最终设计合同价格的0.3%；误期损害赔偿费的最高限额为最终设计合同价格的30%。</w:t>
      </w:r>
    </w:p>
    <w:p>
      <w:pPr>
        <w:spacing w:line="360" w:lineRule="auto"/>
        <w:ind w:firstLine="459"/>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口2）</w:t>
      </w:r>
      <w:r>
        <w:rPr>
          <w:rFonts w:hint="eastAsia" w:asciiTheme="minorEastAsia" w:hAnsiTheme="minorEastAsia" w:eastAsiaTheme="minorEastAsia"/>
          <w:color w:val="auto"/>
          <w:sz w:val="24"/>
          <w:szCs w:val="24"/>
          <w:u w:val="single"/>
        </w:rPr>
        <w:t>勘察工期：合同签订后，承包人收到发包人发出的进场通知起计   日内提交勘察成果文件。如果延误工期，承包人向发包人支付的误期损害赔偿费每天为最终勘察合同价格的0.5%；误期损害赔偿费的最高限额为最终勘察合同价格的30%。</w:t>
      </w:r>
    </w:p>
    <w:p>
      <w:pPr>
        <w:pStyle w:val="6"/>
        <w:spacing w:before="120" w:after="120" w:line="360" w:lineRule="auto"/>
        <w:rPr>
          <w:rFonts w:asciiTheme="minorEastAsia" w:hAnsiTheme="minorEastAsia" w:eastAsiaTheme="minorEastAsia"/>
          <w:bCs w:val="0"/>
          <w:color w:val="auto"/>
          <w:sz w:val="24"/>
          <w:szCs w:val="24"/>
        </w:rPr>
      </w:pPr>
      <w:bookmarkStart w:id="8" w:name="_Toc351203484"/>
      <w:r>
        <w:rPr>
          <w:rFonts w:hint="eastAsia" w:asciiTheme="minorEastAsia" w:hAnsiTheme="minorEastAsia" w:eastAsiaTheme="minorEastAsia"/>
          <w:b w:val="0"/>
          <w:color w:val="auto"/>
          <w:sz w:val="24"/>
          <w:szCs w:val="24"/>
        </w:rPr>
        <w:t>四、合同价格形式与签约合同价</w:t>
      </w:r>
      <w:bookmarkEnd w:id="8"/>
      <w:r>
        <w:rPr>
          <w:rFonts w:hint="eastAsia" w:asciiTheme="minorEastAsia" w:hAnsiTheme="minorEastAsia" w:eastAsiaTheme="minorEastAsia"/>
          <w:b w:val="0"/>
          <w:color w:val="auto"/>
          <w:sz w:val="24"/>
          <w:szCs w:val="24"/>
        </w:rPr>
        <w:tab/>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1.设计费计取的原则：</w:t>
      </w:r>
      <w:r>
        <w:rPr>
          <w:rFonts w:hint="eastAsia" w:asciiTheme="minorEastAsia" w:hAnsiTheme="minorEastAsia" w:eastAsiaTheme="minorEastAsia"/>
          <w:color w:val="auto"/>
          <w:sz w:val="24"/>
          <w:szCs w:val="24"/>
          <w:u w:val="single"/>
        </w:rPr>
        <w:t>本项目采用限额设计，项目设计费实行市场调节价，设计费总额暂以工程费用限额     万元人民币元为收费计费额计算</w:t>
      </w:r>
      <w:r>
        <w:rPr>
          <w:rFonts w:hint="eastAsia" w:asciiTheme="minorEastAsia" w:hAnsiTheme="minorEastAsia" w:eastAsiaTheme="minorEastAsia"/>
          <w:color w:val="auto"/>
          <w:sz w:val="24"/>
          <w:szCs w:val="24"/>
        </w:rPr>
        <w:t>；</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注：初步设计全部设计工作量比例为</w:t>
      </w:r>
      <w:r>
        <w:rPr>
          <w:rFonts w:hint="eastAsia" w:ascii="宋体" w:hAnsi="宋体"/>
          <w:color w:val="auto"/>
          <w:sz w:val="24"/>
          <w:szCs w:val="24"/>
        </w:rPr>
        <w:t>XX</w:t>
      </w:r>
      <w:r>
        <w:rPr>
          <w:rFonts w:hint="eastAsia" w:asciiTheme="minorEastAsia" w:hAnsiTheme="minorEastAsia" w:eastAsiaTheme="minorEastAsia"/>
          <w:color w:val="auto"/>
          <w:sz w:val="24"/>
          <w:szCs w:val="24"/>
        </w:rPr>
        <w:t>%，方案设计占全部设计工作量比例为</w:t>
      </w:r>
      <w:r>
        <w:rPr>
          <w:rFonts w:hint="eastAsia" w:ascii="宋体" w:hAnsi="宋体"/>
          <w:color w:val="auto"/>
          <w:sz w:val="24"/>
          <w:szCs w:val="24"/>
        </w:rPr>
        <w:t>XX</w:t>
      </w:r>
      <w:r>
        <w:rPr>
          <w:rFonts w:hint="eastAsia" w:asciiTheme="minorEastAsia" w:hAnsiTheme="minorEastAsia" w:eastAsiaTheme="minorEastAsia"/>
          <w:color w:val="auto"/>
          <w:sz w:val="24"/>
          <w:szCs w:val="24"/>
        </w:rPr>
        <w:t>%,合同实施期间设计费按建设规模和设计工作量调整，但费率浮动幅度不变。</w:t>
      </w:r>
    </w:p>
    <w:p>
      <w:pPr>
        <w:spacing w:line="360" w:lineRule="auto"/>
        <w:ind w:firstLine="480" w:firstLineChars="200"/>
        <w:rPr>
          <w:rFonts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工程设计费</w:t>
      </w:r>
      <w:r>
        <w:rPr>
          <w:rFonts w:hint="eastAsia" w:asciiTheme="minorEastAsia" w:hAnsiTheme="minorEastAsia" w:eastAsiaTheme="minorEastAsia"/>
          <w:color w:val="auto"/>
          <w:sz w:val="24"/>
        </w:rPr>
        <w:t>计费方式为总价包干</w:t>
      </w:r>
      <w:r>
        <w:rPr>
          <w:rFonts w:hint="eastAsia" w:cs="宋体" w:asciiTheme="minorEastAsia" w:hAnsiTheme="minorEastAsia" w:eastAsiaTheme="minorEastAsia"/>
          <w:color w:val="auto"/>
          <w:sz w:val="24"/>
          <w:szCs w:val="24"/>
        </w:rPr>
        <w:t>，设计费已包含了完成本项目设计工作内容的全部费用，包含并不限于后续项目变更的设计工作量，项目概算内产生的变更调整等均不再另行增加设计费</w:t>
      </w:r>
      <w:r>
        <w:rPr>
          <w:rFonts w:hint="eastAsia" w:asciiTheme="minorEastAsia" w:hAnsiTheme="minorEastAsia" w:eastAsiaTheme="minorEastAsia"/>
          <w:color w:val="auto"/>
          <w:sz w:val="24"/>
          <w:szCs w:val="24"/>
        </w:rPr>
        <w:t>。</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2.签约合同价为：</w:t>
      </w:r>
    </w:p>
    <w:p>
      <w:pPr>
        <w:spacing w:line="360" w:lineRule="auto"/>
        <w:ind w:firstLine="600" w:firstLineChars="25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人民币（大写）（¥元）。</w:t>
      </w:r>
    </w:p>
    <w:p>
      <w:pPr>
        <w:spacing w:line="360" w:lineRule="auto"/>
        <w:ind w:firstLine="6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其中：勘察费（大写）（¥元）；设计费</w:t>
      </w:r>
      <w:r>
        <w:rPr>
          <w:rFonts w:hint="eastAsia" w:ascii="宋体" w:hAnsi="宋体"/>
          <w:color w:val="auto"/>
          <w:sz w:val="24"/>
          <w:szCs w:val="24"/>
        </w:rPr>
        <w:t>（含设计费补偿）</w:t>
      </w:r>
      <w:r>
        <w:rPr>
          <w:rFonts w:hint="eastAsia" w:asciiTheme="minorEastAsia" w:hAnsiTheme="minorEastAsia" w:eastAsiaTheme="minorEastAsia"/>
          <w:color w:val="auto"/>
          <w:sz w:val="24"/>
          <w:szCs w:val="24"/>
        </w:rPr>
        <w:t>（大写）（¥元）；</w:t>
      </w:r>
    </w:p>
    <w:p>
      <w:pPr>
        <w:pStyle w:val="30"/>
        <w:ind w:firstLine="480" w:firstLineChars="200"/>
        <w:rPr>
          <w:rFonts w:eastAsiaTheme="minorEastAsia"/>
          <w:color w:val="auto"/>
        </w:rPr>
      </w:pPr>
      <w:r>
        <w:rPr>
          <w:rFonts w:asciiTheme="minorEastAsia" w:hAnsiTheme="minorEastAsia" w:eastAsiaTheme="minorEastAsia"/>
          <w:color w:val="auto"/>
          <w:kern w:val="2"/>
          <w:sz w:val="24"/>
          <w:szCs w:val="24"/>
        </w:rPr>
        <w:t>BIM服务费</w:t>
      </w:r>
      <w:r>
        <w:rPr>
          <w:rFonts w:hint="eastAsia" w:asciiTheme="minorEastAsia" w:hAnsiTheme="minorEastAsia" w:eastAsiaTheme="minorEastAsia"/>
          <w:color w:val="auto"/>
          <w:kern w:val="2"/>
          <w:sz w:val="24"/>
          <w:szCs w:val="24"/>
        </w:rPr>
        <w:t>（大写）</w:t>
      </w:r>
      <w:r>
        <w:rPr>
          <w:rFonts w:asciiTheme="minorEastAsia" w:hAnsiTheme="minorEastAsia" w:eastAsiaTheme="minorEastAsia"/>
          <w:color w:val="auto"/>
          <w:kern w:val="2"/>
          <w:sz w:val="24"/>
          <w:szCs w:val="24"/>
        </w:rPr>
        <w:t>（¥</w:t>
      </w:r>
      <w:r>
        <w:rPr>
          <w:rFonts w:hint="eastAsia" w:asciiTheme="minorEastAsia" w:hAnsiTheme="minorEastAsia" w:eastAsiaTheme="minorEastAsia"/>
          <w:color w:val="auto"/>
          <w:kern w:val="2"/>
          <w:sz w:val="24"/>
          <w:szCs w:val="24"/>
        </w:rPr>
        <w:t>元）。</w:t>
      </w:r>
    </w:p>
    <w:p>
      <w:pPr>
        <w:spacing w:line="360" w:lineRule="auto"/>
        <w:ind w:firstLine="600" w:firstLineChars="25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注：①工程勘察费限综合单价，</w:t>
      </w:r>
      <w:r>
        <w:rPr>
          <w:rFonts w:hint="eastAsia" w:asciiTheme="minorEastAsia" w:hAnsiTheme="minorEastAsia" w:eastAsiaTheme="minorEastAsia"/>
          <w:color w:val="auto"/>
          <w:sz w:val="24"/>
          <w:szCs w:val="24"/>
          <w:u w:val="single"/>
        </w:rPr>
        <w:t>按实物工作量乘以合同约定的综合单价计算，</w:t>
      </w:r>
      <w:r>
        <w:rPr>
          <w:rFonts w:hint="eastAsia" w:asciiTheme="minorEastAsia" w:hAnsiTheme="minorEastAsia" w:eastAsiaTheme="minorEastAsia"/>
          <w:color w:val="auto"/>
          <w:sz w:val="24"/>
          <w:szCs w:val="24"/>
        </w:rPr>
        <w:t>合同综合单价为全费用综合单价，</w:t>
      </w:r>
      <w:r>
        <w:rPr>
          <w:rFonts w:hint="eastAsia" w:asciiTheme="minorEastAsia" w:hAnsiTheme="minorEastAsia" w:eastAsiaTheme="minorEastAsia"/>
          <w:b/>
          <w:color w:val="auto"/>
          <w:sz w:val="24"/>
          <w:szCs w:val="24"/>
        </w:rPr>
        <w:t>本项目岩土工程勘察费中标综合单价为元/米，总价不超过</w:t>
      </w:r>
      <w:r>
        <w:rPr>
          <w:rFonts w:hint="eastAsia" w:asciiTheme="minorEastAsia" w:hAnsiTheme="minorEastAsia" w:eastAsiaTheme="minorEastAsia"/>
          <w:b/>
          <w:color w:val="auto"/>
          <w:sz w:val="24"/>
          <w:szCs w:val="24"/>
          <w:u w:val="single"/>
        </w:rPr>
        <w:t>  </w:t>
      </w:r>
      <w:r>
        <w:rPr>
          <w:rFonts w:hint="eastAsia" w:asciiTheme="minorEastAsia" w:hAnsiTheme="minorEastAsia" w:eastAsiaTheme="minorEastAsia"/>
          <w:b/>
          <w:color w:val="auto"/>
          <w:sz w:val="24"/>
          <w:szCs w:val="24"/>
        </w:rPr>
        <w:t>元。超前钻勘察费（如有），综合单价</w:t>
      </w:r>
      <w:r>
        <w:rPr>
          <w:rFonts w:hint="eastAsia" w:asciiTheme="minorEastAsia" w:hAnsiTheme="minorEastAsia" w:eastAsiaTheme="minorEastAsia"/>
          <w:b/>
          <w:color w:val="auto"/>
          <w:sz w:val="24"/>
          <w:szCs w:val="24"/>
          <w:u w:val="single"/>
        </w:rPr>
        <w:t> </w:t>
      </w:r>
      <w:r>
        <w:rPr>
          <w:rFonts w:hint="eastAsia" w:asciiTheme="minorEastAsia" w:hAnsiTheme="minorEastAsia" w:eastAsiaTheme="minorEastAsia"/>
          <w:b/>
          <w:color w:val="auto"/>
          <w:sz w:val="24"/>
          <w:szCs w:val="24"/>
        </w:rPr>
        <w:t>元/米，按实结算，不包含在岩土工程全费用综合单价中</w:t>
      </w:r>
      <w:r>
        <w:rPr>
          <w:rFonts w:hint="eastAsia" w:asciiTheme="minorEastAsia" w:hAnsiTheme="minorEastAsia" w:eastAsiaTheme="minorEastAsia"/>
          <w:color w:val="auto"/>
          <w:sz w:val="24"/>
          <w:szCs w:val="24"/>
        </w:rPr>
        <w:t>。勘察工作内容及双方权利义务详见附件6：《勘察协议条款》。本项目为配合完成合同范围内工作所需辅助测量等辅助性工作费用，已包含在勘察费中，不单独计费。岩土工程勘察费为全费用综合单价，综合单价包括但不限于剪切波速试验、抽水试验、工作和生活用水用电费、设备人员进退场、人员交通及食宿、安全文明环保等所有费用。</w:t>
      </w:r>
    </w:p>
    <w:p>
      <w:pPr>
        <w:spacing w:line="360" w:lineRule="auto"/>
        <w:ind w:firstLine="600" w:firstLineChars="25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②设计费计费方式为总价包干，合同价总价包含方案设计费、初步设计费</w:t>
      </w:r>
      <w:r>
        <w:rPr>
          <w:rFonts w:hint="eastAsia" w:asciiTheme="minorEastAsia" w:hAnsiTheme="minorEastAsia" w:eastAsiaTheme="minorEastAsia"/>
          <w:strike/>
          <w:color w:val="auto"/>
          <w:sz w:val="24"/>
          <w:szCs w:val="24"/>
        </w:rPr>
        <w:t>和施工图设计费</w:t>
      </w:r>
      <w:r>
        <w:rPr>
          <w:rFonts w:hint="eastAsia" w:asciiTheme="minorEastAsia" w:hAnsiTheme="minorEastAsia" w:eastAsiaTheme="minorEastAsia"/>
          <w:color w:val="auto"/>
          <w:sz w:val="24"/>
          <w:szCs w:val="24"/>
        </w:rPr>
        <w:t>以及：（1）办理《建设工程规划许可证》和《规划验收合格证》测量放线册和验线册的费用，以及办理《建设工程规划许可证》所需的安全评价等手续（若有）的费用；（2）绿建审查所需的各项检验检测费用；（3）用于项目</w:t>
      </w:r>
      <w:r>
        <w:rPr>
          <w:rFonts w:hint="eastAsia" w:ascii="宋体" w:hAnsi="宋体"/>
          <w:color w:val="auto"/>
          <w:sz w:val="24"/>
          <w:szCs w:val="24"/>
        </w:rPr>
        <w:t>前期与设计有关</w:t>
      </w:r>
      <w:r>
        <w:rPr>
          <w:rFonts w:hint="eastAsia" w:asciiTheme="minorEastAsia" w:hAnsiTheme="minorEastAsia" w:eastAsiaTheme="minorEastAsia"/>
          <w:color w:val="auto"/>
          <w:sz w:val="24"/>
          <w:szCs w:val="24"/>
        </w:rPr>
        <w:t>的各类专家评审费用；（4）各类证照工本费、测量控制点购买费、土壤氡浓度检测费等费用；（5）外出参观考察的调研费；（6）驻场人员服务费。</w:t>
      </w:r>
    </w:p>
    <w:p>
      <w:pPr>
        <w:pStyle w:val="6"/>
        <w:spacing w:before="120" w:after="120" w:line="360" w:lineRule="auto"/>
        <w:rPr>
          <w:rFonts w:asciiTheme="minorEastAsia" w:hAnsiTheme="minorEastAsia" w:eastAsiaTheme="minorEastAsia"/>
          <w:b w:val="0"/>
          <w:color w:val="auto"/>
          <w:sz w:val="24"/>
          <w:szCs w:val="24"/>
        </w:rPr>
      </w:pPr>
      <w:bookmarkStart w:id="9" w:name="_Toc351203485"/>
      <w:r>
        <w:rPr>
          <w:rFonts w:hint="eastAsia" w:asciiTheme="minorEastAsia" w:hAnsiTheme="minorEastAsia" w:eastAsiaTheme="minorEastAsia"/>
          <w:b w:val="0"/>
          <w:color w:val="auto"/>
          <w:sz w:val="24"/>
          <w:szCs w:val="24"/>
        </w:rPr>
        <w:t>五、</w:t>
      </w:r>
      <w:bookmarkEnd w:id="9"/>
      <w:r>
        <w:rPr>
          <w:rFonts w:hint="eastAsia" w:asciiTheme="minorEastAsia" w:hAnsiTheme="minorEastAsia" w:eastAsiaTheme="minorEastAsia"/>
          <w:b w:val="0"/>
          <w:color w:val="auto"/>
          <w:sz w:val="24"/>
          <w:szCs w:val="24"/>
        </w:rPr>
        <w:t>发包人代表与设计人项目负责人</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发包人代表： 。</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设计人项目负责人：</w:t>
      </w:r>
      <w:r>
        <w:rPr>
          <w:rFonts w:hint="eastAsia" w:asciiTheme="minorEastAsia" w:hAnsiTheme="minorEastAsia" w:eastAsiaTheme="minorEastAsia"/>
          <w:color w:val="auto"/>
          <w:sz w:val="24"/>
          <w:szCs w:val="24"/>
          <w:u w:val="single"/>
        </w:rPr>
        <w:t>                     </w:t>
      </w:r>
      <w:r>
        <w:rPr>
          <w:rFonts w:hint="eastAsia" w:asciiTheme="minorEastAsia" w:hAnsiTheme="minorEastAsia" w:eastAsiaTheme="minorEastAsia"/>
          <w:color w:val="auto"/>
          <w:sz w:val="24"/>
          <w:szCs w:val="24"/>
        </w:rPr>
        <w:t>。</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勘察项目负责人：</w:t>
      </w:r>
      <w:r>
        <w:rPr>
          <w:rFonts w:hint="eastAsia" w:asciiTheme="minorEastAsia" w:hAnsiTheme="minorEastAsia" w:eastAsiaTheme="minorEastAsia"/>
          <w:color w:val="auto"/>
          <w:sz w:val="24"/>
          <w:szCs w:val="24"/>
          <w:u w:val="single"/>
        </w:rPr>
        <w:t>                     </w:t>
      </w:r>
      <w:r>
        <w:rPr>
          <w:rFonts w:hint="eastAsia" w:asciiTheme="minorEastAsia" w:hAnsiTheme="minorEastAsia" w:eastAsiaTheme="minorEastAsia"/>
          <w:color w:val="auto"/>
          <w:sz w:val="24"/>
          <w:szCs w:val="24"/>
        </w:rPr>
        <w:t>。</w:t>
      </w:r>
    </w:p>
    <w:p>
      <w:pPr>
        <w:pStyle w:val="6"/>
        <w:spacing w:before="120" w:after="120" w:line="360" w:lineRule="auto"/>
        <w:rPr>
          <w:rFonts w:asciiTheme="minorEastAsia" w:hAnsiTheme="minorEastAsia" w:eastAsiaTheme="minorEastAsia"/>
          <w:bCs w:val="0"/>
          <w:color w:val="auto"/>
          <w:sz w:val="24"/>
          <w:szCs w:val="24"/>
        </w:rPr>
      </w:pPr>
      <w:bookmarkStart w:id="10" w:name="_Toc351203486"/>
      <w:r>
        <w:rPr>
          <w:rFonts w:hint="eastAsia" w:asciiTheme="minorEastAsia" w:hAnsiTheme="minorEastAsia" w:eastAsiaTheme="minorEastAsia"/>
          <w:b w:val="0"/>
          <w:color w:val="auto"/>
          <w:sz w:val="24"/>
          <w:szCs w:val="24"/>
        </w:rPr>
        <w:t>六、合同文件构成</w:t>
      </w:r>
      <w:bookmarkEnd w:id="10"/>
    </w:p>
    <w:p>
      <w:pPr>
        <w:spacing w:line="360" w:lineRule="auto"/>
        <w:ind w:firstLine="480" w:firstLineChars="200"/>
        <w:rPr>
          <w:rFonts w:asciiTheme="minorEastAsia" w:hAnsiTheme="minorEastAsia" w:eastAsiaTheme="minorEastAsia"/>
          <w:bCs/>
          <w:color w:val="auto"/>
          <w:sz w:val="24"/>
          <w:szCs w:val="24"/>
        </w:rPr>
      </w:pPr>
      <w:r>
        <w:rPr>
          <w:rFonts w:hint="eastAsia" w:asciiTheme="minorEastAsia" w:hAnsiTheme="minorEastAsia" w:eastAsiaTheme="minorEastAsia"/>
          <w:bCs/>
          <w:color w:val="auto"/>
          <w:sz w:val="24"/>
          <w:szCs w:val="24"/>
        </w:rPr>
        <w:t>本协议书与下列文件一起构成合同文件：</w:t>
      </w:r>
    </w:p>
    <w:p>
      <w:pPr>
        <w:autoSpaceDE w:val="0"/>
        <w:autoSpaceDN w:val="0"/>
        <w:adjustRightInd w:val="0"/>
        <w:spacing w:line="360" w:lineRule="auto"/>
        <w:ind w:firstLine="480" w:firstLineChars="200"/>
        <w:jc w:val="left"/>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 xml:space="preserve">（1）专用合同条款及其附件； </w:t>
      </w:r>
    </w:p>
    <w:p>
      <w:pPr>
        <w:autoSpaceDE w:val="0"/>
        <w:autoSpaceDN w:val="0"/>
        <w:adjustRightInd w:val="0"/>
        <w:spacing w:line="360" w:lineRule="auto"/>
        <w:ind w:firstLine="480" w:firstLineChars="200"/>
        <w:jc w:val="left"/>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 xml:space="preserve">（2）通用合同条款； </w:t>
      </w:r>
    </w:p>
    <w:p>
      <w:pPr>
        <w:autoSpaceDE w:val="0"/>
        <w:autoSpaceDN w:val="0"/>
        <w:adjustRightInd w:val="0"/>
        <w:spacing w:line="360" w:lineRule="auto"/>
        <w:ind w:firstLine="480" w:firstLineChars="200"/>
        <w:jc w:val="left"/>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（3）中标通知书（如果有）；</w:t>
      </w:r>
    </w:p>
    <w:p>
      <w:pPr>
        <w:autoSpaceDE w:val="0"/>
        <w:autoSpaceDN w:val="0"/>
        <w:adjustRightInd w:val="0"/>
        <w:spacing w:line="360" w:lineRule="auto"/>
        <w:ind w:firstLine="480" w:firstLineChars="200"/>
        <w:jc w:val="left"/>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（4）投标函及其附录（如果有）；</w:t>
      </w:r>
    </w:p>
    <w:p>
      <w:pPr>
        <w:autoSpaceDE w:val="0"/>
        <w:autoSpaceDN w:val="0"/>
        <w:adjustRightInd w:val="0"/>
        <w:spacing w:line="360" w:lineRule="auto"/>
        <w:ind w:firstLine="480" w:firstLineChars="200"/>
        <w:jc w:val="left"/>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（5）发包人要求；</w:t>
      </w:r>
    </w:p>
    <w:p>
      <w:pPr>
        <w:autoSpaceDE w:val="0"/>
        <w:autoSpaceDN w:val="0"/>
        <w:adjustRightInd w:val="0"/>
        <w:spacing w:line="360" w:lineRule="auto"/>
        <w:ind w:firstLine="480" w:firstLineChars="200"/>
        <w:jc w:val="left"/>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（6）技术标准；</w:t>
      </w:r>
    </w:p>
    <w:p>
      <w:pPr>
        <w:autoSpaceDE w:val="0"/>
        <w:autoSpaceDN w:val="0"/>
        <w:adjustRightInd w:val="0"/>
        <w:spacing w:line="360" w:lineRule="auto"/>
        <w:ind w:firstLine="480" w:firstLineChars="200"/>
        <w:jc w:val="left"/>
        <w:rPr>
          <w:rFonts w:asciiTheme="minorEastAsia" w:hAnsiTheme="minorEastAsia" w:eastAsiaTheme="minorEastAsia"/>
          <w:color w:val="auto"/>
          <w:sz w:val="24"/>
          <w:szCs w:val="24"/>
        </w:rPr>
      </w:pPr>
      <w:r>
        <w:rPr>
          <w:rFonts w:hint="eastAsia" w:asciiTheme="minorEastAsia" w:hAnsiTheme="minorEastAsia" w:eastAsiaTheme="minorEastAsia"/>
          <w:color w:val="auto"/>
          <w:kern w:val="0"/>
          <w:sz w:val="24"/>
          <w:szCs w:val="24"/>
        </w:rPr>
        <w:t>（7）发包人提供的上一阶段图纸（如果有）；</w:t>
      </w:r>
    </w:p>
    <w:p>
      <w:pPr>
        <w:autoSpaceDE w:val="0"/>
        <w:autoSpaceDN w:val="0"/>
        <w:adjustRightInd w:val="0"/>
        <w:spacing w:line="360" w:lineRule="auto"/>
        <w:ind w:firstLine="480" w:firstLineChars="200"/>
        <w:jc w:val="left"/>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（8）其他合同文件。</w:t>
      </w:r>
    </w:p>
    <w:p>
      <w:pPr>
        <w:autoSpaceDE w:val="0"/>
        <w:autoSpaceDN w:val="0"/>
        <w:adjustRightInd w:val="0"/>
        <w:spacing w:line="360" w:lineRule="auto"/>
        <w:ind w:firstLine="480" w:firstLineChars="200"/>
        <w:jc w:val="left"/>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在合同履行过程中形成的与合同有关的文件均构成合同文件组成部分。</w:t>
      </w:r>
    </w:p>
    <w:p>
      <w:pPr>
        <w:autoSpaceDE w:val="0"/>
        <w:autoSpaceDN w:val="0"/>
        <w:adjustRightInd w:val="0"/>
        <w:spacing w:line="360" w:lineRule="auto"/>
        <w:ind w:firstLine="480" w:firstLineChars="200"/>
        <w:jc w:val="left"/>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上述各项合同文件包括合同当事人就该项合同文件所作出的补充和修改，属于同一类内容的文件，应以最新签署的为准。</w:t>
      </w:r>
    </w:p>
    <w:p>
      <w:pPr>
        <w:pStyle w:val="6"/>
        <w:spacing w:before="120" w:after="120" w:line="360" w:lineRule="auto"/>
        <w:rPr>
          <w:rFonts w:asciiTheme="minorEastAsia" w:hAnsiTheme="minorEastAsia" w:eastAsiaTheme="minorEastAsia"/>
          <w:b w:val="0"/>
          <w:bCs w:val="0"/>
          <w:color w:val="auto"/>
          <w:sz w:val="24"/>
          <w:szCs w:val="24"/>
        </w:rPr>
      </w:pPr>
      <w:bookmarkStart w:id="11" w:name="_Toc351203487"/>
      <w:r>
        <w:rPr>
          <w:rFonts w:hint="eastAsia" w:asciiTheme="minorEastAsia" w:hAnsiTheme="minorEastAsia" w:eastAsiaTheme="minorEastAsia"/>
          <w:b w:val="0"/>
          <w:color w:val="auto"/>
          <w:sz w:val="24"/>
          <w:szCs w:val="24"/>
        </w:rPr>
        <w:t>七、承诺</w:t>
      </w:r>
      <w:bookmarkEnd w:id="11"/>
    </w:p>
    <w:p>
      <w:pPr>
        <w:spacing w:line="360" w:lineRule="auto"/>
        <w:ind w:firstLine="480" w:firstLineChars="200"/>
        <w:rPr>
          <w:rFonts w:asciiTheme="minorEastAsia" w:hAnsiTheme="minorEastAsia" w:eastAsiaTheme="minorEastAsia"/>
          <w:bCs/>
          <w:color w:val="auto"/>
          <w:sz w:val="24"/>
          <w:szCs w:val="24"/>
        </w:rPr>
      </w:pPr>
      <w:r>
        <w:rPr>
          <w:rFonts w:hint="eastAsia" w:asciiTheme="minorEastAsia" w:hAnsiTheme="minorEastAsia" w:eastAsiaTheme="minorEastAsia"/>
          <w:bCs/>
          <w:color w:val="auto"/>
          <w:sz w:val="24"/>
          <w:szCs w:val="24"/>
        </w:rPr>
        <w:t>1.发包人承诺按照法律规定履行项目审批手续，按照合同约定提供设计依据，并按合同约定的期限和方式支付合同价款。</w:t>
      </w:r>
    </w:p>
    <w:p>
      <w:pPr>
        <w:spacing w:line="360" w:lineRule="auto"/>
        <w:ind w:firstLine="480" w:firstLineChars="200"/>
        <w:rPr>
          <w:rFonts w:asciiTheme="minorEastAsia" w:hAnsiTheme="minorEastAsia" w:eastAsiaTheme="minorEastAsia"/>
          <w:bCs/>
          <w:color w:val="auto"/>
          <w:sz w:val="24"/>
          <w:szCs w:val="24"/>
        </w:rPr>
      </w:pPr>
      <w:r>
        <w:rPr>
          <w:rFonts w:hint="eastAsia" w:asciiTheme="minorEastAsia" w:hAnsiTheme="minorEastAsia" w:eastAsiaTheme="minorEastAsia"/>
          <w:bCs/>
          <w:color w:val="auto"/>
          <w:sz w:val="24"/>
          <w:szCs w:val="24"/>
        </w:rPr>
        <w:t>2.设计人承诺按照法律和技术标准规定及合同约定提供工程设计服务。</w:t>
      </w:r>
    </w:p>
    <w:p>
      <w:pPr>
        <w:spacing w:line="360" w:lineRule="auto"/>
        <w:ind w:firstLine="480" w:firstLineChars="200"/>
        <w:rPr>
          <w:rFonts w:asciiTheme="minorEastAsia" w:hAnsiTheme="minorEastAsia" w:eastAsiaTheme="minorEastAsia"/>
          <w:bCs/>
          <w:color w:val="auto"/>
          <w:sz w:val="24"/>
          <w:szCs w:val="24"/>
        </w:rPr>
      </w:pPr>
      <w:r>
        <w:rPr>
          <w:rFonts w:hint="eastAsia" w:asciiTheme="minorEastAsia" w:hAnsiTheme="minorEastAsia" w:eastAsiaTheme="minorEastAsia"/>
          <w:bCs/>
          <w:color w:val="auto"/>
          <w:sz w:val="24"/>
          <w:szCs w:val="24"/>
        </w:rPr>
        <w:t>3. 招标代理费和交易服务费由承包人</w:t>
      </w:r>
      <w:r>
        <w:rPr>
          <w:rFonts w:hint="eastAsia" w:ascii="宋体" w:hAnsi="宋体"/>
          <w:bCs/>
          <w:color w:val="auto"/>
          <w:sz w:val="24"/>
          <w:szCs w:val="24"/>
        </w:rPr>
        <w:t>（牵头单位）</w:t>
      </w:r>
      <w:r>
        <w:rPr>
          <w:rFonts w:hint="eastAsia" w:asciiTheme="minorEastAsia" w:hAnsiTheme="minorEastAsia" w:eastAsiaTheme="minorEastAsia"/>
          <w:bCs/>
          <w:color w:val="auto"/>
          <w:sz w:val="24"/>
          <w:szCs w:val="24"/>
        </w:rPr>
        <w:t>支付，包含在勘察设计费总报价中，发包人不再另行支付。</w:t>
      </w:r>
    </w:p>
    <w:p>
      <w:pPr>
        <w:spacing w:before="120" w:after="120" w:line="360" w:lineRule="auto"/>
        <w:rPr>
          <w:rFonts w:asciiTheme="minorEastAsia" w:hAnsiTheme="minorEastAsia" w:eastAsiaTheme="minorEastAsia"/>
          <w:bCs/>
          <w:color w:val="auto"/>
          <w:sz w:val="24"/>
          <w:szCs w:val="24"/>
        </w:rPr>
      </w:pPr>
      <w:bookmarkStart w:id="12" w:name="_Toc351203488"/>
      <w:r>
        <w:rPr>
          <w:rFonts w:hint="eastAsia" w:asciiTheme="minorEastAsia" w:hAnsiTheme="minorEastAsia" w:eastAsiaTheme="minorEastAsia"/>
          <w:color w:val="auto"/>
          <w:sz w:val="24"/>
          <w:szCs w:val="24"/>
        </w:rPr>
        <w:t xml:space="preserve"> 八、词语含义</w:t>
      </w:r>
      <w:bookmarkEnd w:id="12"/>
    </w:p>
    <w:p>
      <w:pPr>
        <w:spacing w:line="360" w:lineRule="auto"/>
        <w:ind w:firstLine="480" w:firstLineChars="200"/>
        <w:rPr>
          <w:rFonts w:asciiTheme="minorEastAsia" w:hAnsiTheme="minorEastAsia" w:eastAsiaTheme="minorEastAsia"/>
          <w:bCs/>
          <w:color w:val="auto"/>
          <w:sz w:val="24"/>
          <w:szCs w:val="24"/>
        </w:rPr>
      </w:pPr>
      <w:r>
        <w:rPr>
          <w:rFonts w:hint="eastAsia" w:asciiTheme="minorEastAsia" w:hAnsiTheme="minorEastAsia" w:eastAsiaTheme="minorEastAsia"/>
          <w:bCs/>
          <w:color w:val="auto"/>
          <w:sz w:val="24"/>
          <w:szCs w:val="24"/>
        </w:rPr>
        <w:t>本协议书中词语含义与第二部分通用合同条款中赋予的含义相同。</w:t>
      </w:r>
    </w:p>
    <w:p>
      <w:pPr>
        <w:pStyle w:val="6"/>
        <w:spacing w:before="120" w:after="120" w:line="360" w:lineRule="auto"/>
        <w:rPr>
          <w:rFonts w:asciiTheme="minorEastAsia" w:hAnsiTheme="minorEastAsia" w:eastAsiaTheme="minorEastAsia"/>
          <w:bCs w:val="0"/>
          <w:color w:val="auto"/>
          <w:sz w:val="24"/>
          <w:szCs w:val="24"/>
        </w:rPr>
      </w:pPr>
      <w:bookmarkStart w:id="13" w:name="_Toc351203490"/>
      <w:r>
        <w:rPr>
          <w:rFonts w:hint="eastAsia" w:asciiTheme="minorEastAsia" w:hAnsiTheme="minorEastAsia" w:eastAsiaTheme="minorEastAsia"/>
          <w:b w:val="0"/>
          <w:color w:val="auto"/>
          <w:sz w:val="24"/>
          <w:szCs w:val="24"/>
        </w:rPr>
        <w:t>九、签订地点</w:t>
      </w:r>
      <w:bookmarkEnd w:id="13"/>
    </w:p>
    <w:p>
      <w:pPr>
        <w:spacing w:line="360" w:lineRule="auto"/>
        <w:ind w:firstLine="480" w:firstLineChars="200"/>
        <w:rPr>
          <w:rFonts w:asciiTheme="minorEastAsia" w:hAnsiTheme="minorEastAsia" w:eastAsiaTheme="minorEastAsia"/>
          <w:bCs/>
          <w:color w:val="auto"/>
          <w:sz w:val="24"/>
          <w:szCs w:val="24"/>
        </w:rPr>
      </w:pPr>
      <w:r>
        <w:rPr>
          <w:rFonts w:hint="eastAsia" w:asciiTheme="minorEastAsia" w:hAnsiTheme="minorEastAsia" w:eastAsiaTheme="minorEastAsia"/>
          <w:bCs/>
          <w:color w:val="auto"/>
          <w:sz w:val="24"/>
          <w:szCs w:val="24"/>
        </w:rPr>
        <w:t>本合同在签订。</w:t>
      </w:r>
    </w:p>
    <w:p>
      <w:pPr>
        <w:pStyle w:val="6"/>
        <w:spacing w:before="120" w:after="120" w:line="360" w:lineRule="auto"/>
        <w:rPr>
          <w:rFonts w:asciiTheme="minorEastAsia" w:hAnsiTheme="minorEastAsia" w:eastAsiaTheme="minorEastAsia"/>
          <w:bCs w:val="0"/>
          <w:color w:val="auto"/>
          <w:sz w:val="24"/>
          <w:szCs w:val="24"/>
        </w:rPr>
      </w:pPr>
      <w:bookmarkStart w:id="14" w:name="_Toc351203491"/>
      <w:r>
        <w:rPr>
          <w:rFonts w:hint="eastAsia" w:asciiTheme="minorEastAsia" w:hAnsiTheme="minorEastAsia" w:eastAsiaTheme="minorEastAsia"/>
          <w:b w:val="0"/>
          <w:color w:val="auto"/>
          <w:sz w:val="24"/>
          <w:szCs w:val="24"/>
        </w:rPr>
        <w:t>十、补充协议</w:t>
      </w:r>
      <w:bookmarkEnd w:id="14"/>
    </w:p>
    <w:p>
      <w:pPr>
        <w:spacing w:line="360" w:lineRule="auto"/>
        <w:ind w:firstLine="480" w:firstLineChars="200"/>
        <w:rPr>
          <w:rFonts w:asciiTheme="minorEastAsia" w:hAnsiTheme="minorEastAsia" w:eastAsiaTheme="minorEastAsia"/>
          <w:b/>
          <w:bCs/>
          <w:color w:val="auto"/>
          <w:sz w:val="24"/>
          <w:szCs w:val="24"/>
        </w:rPr>
      </w:pPr>
      <w:r>
        <w:rPr>
          <w:rFonts w:hint="eastAsia" w:asciiTheme="minorEastAsia" w:hAnsiTheme="minorEastAsia" w:eastAsiaTheme="minorEastAsia"/>
          <w:bCs/>
          <w:color w:val="auto"/>
          <w:sz w:val="24"/>
          <w:szCs w:val="24"/>
        </w:rPr>
        <w:t>本合同未尽事宜，在不违背《中华人民共和国招标投标法》等法律规定及招投标文件的前提下，合同当事人另行签订补充协议，补充协议是合同的组成部分。</w:t>
      </w:r>
    </w:p>
    <w:p>
      <w:pPr>
        <w:pStyle w:val="6"/>
        <w:spacing w:before="120" w:after="120" w:line="360" w:lineRule="auto"/>
        <w:rPr>
          <w:rFonts w:asciiTheme="minorEastAsia" w:hAnsiTheme="minorEastAsia" w:eastAsiaTheme="minorEastAsia"/>
          <w:bCs w:val="0"/>
          <w:color w:val="auto"/>
          <w:sz w:val="24"/>
          <w:szCs w:val="24"/>
        </w:rPr>
      </w:pPr>
      <w:bookmarkStart w:id="15" w:name="_Toc351203492"/>
      <w:r>
        <w:rPr>
          <w:rFonts w:hint="eastAsia" w:asciiTheme="minorEastAsia" w:hAnsiTheme="minorEastAsia" w:eastAsiaTheme="minorEastAsia"/>
          <w:b w:val="0"/>
          <w:color w:val="auto"/>
          <w:sz w:val="24"/>
          <w:szCs w:val="24"/>
        </w:rPr>
        <w:t>十一、合同生效</w:t>
      </w:r>
      <w:bookmarkEnd w:id="15"/>
    </w:p>
    <w:p>
      <w:pPr>
        <w:spacing w:line="360" w:lineRule="auto"/>
        <w:ind w:firstLine="480" w:firstLineChars="200"/>
        <w:rPr>
          <w:rFonts w:asciiTheme="minorEastAsia" w:hAnsiTheme="minorEastAsia" w:eastAsiaTheme="minorEastAsia"/>
          <w:bCs/>
          <w:color w:val="auto"/>
          <w:sz w:val="24"/>
          <w:szCs w:val="24"/>
        </w:rPr>
      </w:pPr>
      <w:r>
        <w:rPr>
          <w:rFonts w:hint="eastAsia" w:asciiTheme="minorEastAsia" w:hAnsiTheme="minorEastAsia" w:eastAsiaTheme="minorEastAsia"/>
          <w:bCs/>
          <w:color w:val="auto"/>
          <w:sz w:val="24"/>
          <w:szCs w:val="24"/>
        </w:rPr>
        <w:t>本合同自</w:t>
      </w:r>
      <w:r>
        <w:rPr>
          <w:rFonts w:hint="eastAsia" w:asciiTheme="minorEastAsia" w:hAnsiTheme="minorEastAsia" w:eastAsiaTheme="minorEastAsia"/>
          <w:bCs/>
          <w:color w:val="auto"/>
          <w:sz w:val="24"/>
          <w:szCs w:val="24"/>
          <w:u w:val="single"/>
        </w:rPr>
        <w:t xml:space="preserve">  合同双方当事人签字盖章之日起   </w:t>
      </w:r>
      <w:r>
        <w:rPr>
          <w:rFonts w:hint="eastAsia" w:asciiTheme="minorEastAsia" w:hAnsiTheme="minorEastAsia" w:eastAsiaTheme="minorEastAsia"/>
          <w:bCs/>
          <w:color w:val="auto"/>
          <w:sz w:val="24"/>
          <w:szCs w:val="24"/>
        </w:rPr>
        <w:t>生效。</w:t>
      </w:r>
    </w:p>
    <w:p>
      <w:pPr>
        <w:pStyle w:val="6"/>
        <w:spacing w:before="120" w:after="120" w:line="360" w:lineRule="auto"/>
        <w:rPr>
          <w:rFonts w:asciiTheme="minorEastAsia" w:hAnsiTheme="minorEastAsia" w:eastAsiaTheme="minorEastAsia"/>
          <w:bCs w:val="0"/>
          <w:color w:val="auto"/>
          <w:sz w:val="24"/>
          <w:szCs w:val="24"/>
        </w:rPr>
      </w:pPr>
      <w:bookmarkStart w:id="16" w:name="_Toc351203493"/>
      <w:r>
        <w:rPr>
          <w:rFonts w:hint="eastAsia" w:asciiTheme="minorEastAsia" w:hAnsiTheme="minorEastAsia" w:eastAsiaTheme="minorEastAsia"/>
          <w:b w:val="0"/>
          <w:color w:val="auto"/>
          <w:sz w:val="24"/>
          <w:szCs w:val="24"/>
        </w:rPr>
        <w:t>十二、合同份数</w:t>
      </w:r>
      <w:bookmarkEnd w:id="16"/>
    </w:p>
    <w:p>
      <w:pPr>
        <w:spacing w:line="360" w:lineRule="auto"/>
        <w:ind w:firstLine="480" w:firstLineChars="200"/>
        <w:rPr>
          <w:rFonts w:asciiTheme="minorEastAsia" w:hAnsiTheme="minorEastAsia" w:eastAsiaTheme="minorEastAsia"/>
          <w:bCs/>
          <w:color w:val="auto"/>
          <w:sz w:val="24"/>
          <w:szCs w:val="24"/>
        </w:rPr>
      </w:pPr>
      <w:r>
        <w:rPr>
          <w:rFonts w:hint="eastAsia" w:asciiTheme="minorEastAsia" w:hAnsiTheme="minorEastAsia" w:eastAsiaTheme="minorEastAsia"/>
          <w:bCs/>
          <w:color w:val="auto"/>
          <w:sz w:val="24"/>
          <w:szCs w:val="24"/>
        </w:rPr>
        <w:t>本合同正本一式</w:t>
      </w:r>
      <w:r>
        <w:rPr>
          <w:rFonts w:hint="eastAsia" w:asciiTheme="minorEastAsia" w:hAnsiTheme="minorEastAsia" w:eastAsiaTheme="minorEastAsia"/>
          <w:bCs/>
          <w:color w:val="auto"/>
          <w:sz w:val="24"/>
          <w:szCs w:val="24"/>
          <w:u w:val="single"/>
        </w:rPr>
        <w:t xml:space="preserve">  贰  </w:t>
      </w:r>
      <w:r>
        <w:rPr>
          <w:rFonts w:hint="eastAsia" w:asciiTheme="minorEastAsia" w:hAnsiTheme="minorEastAsia" w:eastAsiaTheme="minorEastAsia"/>
          <w:bCs/>
          <w:color w:val="auto"/>
          <w:sz w:val="24"/>
          <w:szCs w:val="24"/>
        </w:rPr>
        <w:t>份、副本一式</w:t>
      </w:r>
      <w:r>
        <w:rPr>
          <w:rFonts w:hint="eastAsia" w:asciiTheme="minorEastAsia" w:hAnsiTheme="minorEastAsia" w:eastAsiaTheme="minorEastAsia"/>
          <w:bCs/>
          <w:color w:val="auto"/>
          <w:sz w:val="24"/>
          <w:szCs w:val="24"/>
          <w:u w:val="single"/>
        </w:rPr>
        <w:t xml:space="preserve"> 拾   </w:t>
      </w:r>
      <w:r>
        <w:rPr>
          <w:rFonts w:hint="eastAsia" w:asciiTheme="minorEastAsia" w:hAnsiTheme="minorEastAsia" w:eastAsiaTheme="minorEastAsia"/>
          <w:bCs/>
          <w:color w:val="auto"/>
          <w:sz w:val="24"/>
          <w:szCs w:val="24"/>
        </w:rPr>
        <w:t>份，均具有同等法律效力，发包人执正本</w:t>
      </w:r>
      <w:r>
        <w:rPr>
          <w:rFonts w:hint="eastAsia" w:asciiTheme="minorEastAsia" w:hAnsiTheme="minorEastAsia" w:eastAsiaTheme="minorEastAsia"/>
          <w:bCs/>
          <w:color w:val="auto"/>
          <w:sz w:val="24"/>
          <w:szCs w:val="24"/>
          <w:u w:val="single"/>
        </w:rPr>
        <w:t xml:space="preserve">  壹  </w:t>
      </w:r>
      <w:r>
        <w:rPr>
          <w:rFonts w:hint="eastAsia" w:asciiTheme="minorEastAsia" w:hAnsiTheme="minorEastAsia" w:eastAsiaTheme="minorEastAsia"/>
          <w:bCs/>
          <w:color w:val="auto"/>
          <w:sz w:val="24"/>
          <w:szCs w:val="24"/>
        </w:rPr>
        <w:t>份、副本</w:t>
      </w:r>
      <w:r>
        <w:rPr>
          <w:rFonts w:hint="eastAsia" w:asciiTheme="minorEastAsia" w:hAnsiTheme="minorEastAsia" w:eastAsiaTheme="minorEastAsia"/>
          <w:bCs/>
          <w:color w:val="auto"/>
          <w:sz w:val="24"/>
          <w:szCs w:val="24"/>
          <w:u w:val="single"/>
        </w:rPr>
        <w:t xml:space="preserve">  捌  </w:t>
      </w:r>
      <w:r>
        <w:rPr>
          <w:rFonts w:hint="eastAsia" w:asciiTheme="minorEastAsia" w:hAnsiTheme="minorEastAsia" w:eastAsiaTheme="minorEastAsia"/>
          <w:bCs/>
          <w:color w:val="auto"/>
          <w:sz w:val="24"/>
          <w:szCs w:val="24"/>
        </w:rPr>
        <w:t>份，设计人执正本</w:t>
      </w:r>
      <w:r>
        <w:rPr>
          <w:rFonts w:hint="eastAsia" w:asciiTheme="minorEastAsia" w:hAnsiTheme="minorEastAsia" w:eastAsiaTheme="minorEastAsia"/>
          <w:bCs/>
          <w:color w:val="auto"/>
          <w:sz w:val="24"/>
          <w:szCs w:val="24"/>
          <w:u w:val="single"/>
        </w:rPr>
        <w:t xml:space="preserve">  壹  </w:t>
      </w:r>
      <w:r>
        <w:rPr>
          <w:rFonts w:hint="eastAsia" w:asciiTheme="minorEastAsia" w:hAnsiTheme="minorEastAsia" w:eastAsiaTheme="minorEastAsia"/>
          <w:bCs/>
          <w:color w:val="auto"/>
          <w:sz w:val="24"/>
          <w:szCs w:val="24"/>
        </w:rPr>
        <w:t>份、副本</w:t>
      </w:r>
      <w:r>
        <w:rPr>
          <w:rFonts w:hint="eastAsia" w:asciiTheme="minorEastAsia" w:hAnsiTheme="minorEastAsia" w:eastAsiaTheme="minorEastAsia"/>
          <w:bCs/>
          <w:color w:val="auto"/>
          <w:sz w:val="24"/>
          <w:szCs w:val="24"/>
          <w:u w:val="single"/>
        </w:rPr>
        <w:t xml:space="preserve">  贰   </w:t>
      </w:r>
      <w:r>
        <w:rPr>
          <w:rFonts w:hint="eastAsia" w:asciiTheme="minorEastAsia" w:hAnsiTheme="minorEastAsia" w:eastAsiaTheme="minorEastAsia"/>
          <w:bCs/>
          <w:color w:val="auto"/>
          <w:sz w:val="24"/>
          <w:szCs w:val="24"/>
        </w:rPr>
        <w:t>份。</w:t>
      </w:r>
    </w:p>
    <w:p>
      <w:pPr>
        <w:spacing w:line="360" w:lineRule="auto"/>
        <w:rPr>
          <w:rFonts w:asciiTheme="minorEastAsia" w:hAnsiTheme="minorEastAsia" w:eastAsiaTheme="minorEastAsia"/>
          <w:color w:val="auto"/>
          <w:sz w:val="24"/>
          <w:szCs w:val="24"/>
        </w:rPr>
      </w:pPr>
    </w:p>
    <w:p>
      <w:pPr>
        <w:spacing w:line="360" w:lineRule="auto"/>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发包人：广东省代建项目管理局  设计人：  （盖章）</w:t>
      </w:r>
    </w:p>
    <w:p>
      <w:pPr>
        <w:spacing w:line="360" w:lineRule="auto"/>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rPr>
        <w:t xml:space="preserve">            （盖章）           </w:t>
      </w:r>
    </w:p>
    <w:p>
      <w:pPr>
        <w:spacing w:line="360" w:lineRule="auto"/>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法定代表人或其委托代理人：  法定代表人或其委托代理人：</w:t>
      </w:r>
    </w:p>
    <w:p>
      <w:pPr>
        <w:spacing w:line="360" w:lineRule="auto"/>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（签字）                    （签字）</w:t>
      </w:r>
    </w:p>
    <w:p>
      <w:pPr>
        <w:spacing w:line="360" w:lineRule="auto"/>
        <w:rPr>
          <w:rFonts w:asciiTheme="minorEastAsia" w:hAnsiTheme="minorEastAsia" w:eastAsiaTheme="minorEastAsia"/>
          <w:color w:val="auto"/>
          <w:sz w:val="24"/>
          <w:szCs w:val="24"/>
          <w:u w:val="single"/>
        </w:rPr>
      </w:pPr>
    </w:p>
    <w:p>
      <w:pPr>
        <w:tabs>
          <w:tab w:val="left" w:pos="4410"/>
        </w:tabs>
        <w:spacing w:line="360" w:lineRule="auto"/>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组织机构代码：</w:t>
      </w:r>
      <w:r>
        <w:rPr>
          <w:rFonts w:hint="eastAsia" w:asciiTheme="minorEastAsia" w:hAnsiTheme="minorEastAsia" w:eastAsiaTheme="minorEastAsia"/>
          <w:color w:val="auto"/>
          <w:sz w:val="24"/>
          <w:szCs w:val="24"/>
          <w:u w:val="single"/>
        </w:rPr>
        <w:t xml:space="preserve">       </w:t>
      </w:r>
      <w:r>
        <w:rPr>
          <w:rFonts w:hint="eastAsia" w:asciiTheme="minorEastAsia" w:hAnsiTheme="minorEastAsia" w:eastAsiaTheme="minorEastAsia"/>
          <w:color w:val="auto"/>
          <w:sz w:val="24"/>
          <w:szCs w:val="24"/>
        </w:rPr>
        <w:t xml:space="preserve">  组织机构代码：</w:t>
      </w:r>
      <w:r>
        <w:rPr>
          <w:rFonts w:hint="eastAsia" w:asciiTheme="minorEastAsia" w:hAnsiTheme="minorEastAsia" w:eastAsiaTheme="minorEastAsia"/>
          <w:color w:val="auto"/>
          <w:sz w:val="24"/>
          <w:szCs w:val="24"/>
          <w:u w:val="single"/>
        </w:rPr>
        <w:t xml:space="preserve">          </w:t>
      </w:r>
    </w:p>
    <w:p>
      <w:pPr>
        <w:tabs>
          <w:tab w:val="left" w:pos="4410"/>
        </w:tabs>
        <w:spacing w:line="360" w:lineRule="auto"/>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纳税人识别码：  纳税人识别码：</w:t>
      </w:r>
    </w:p>
    <w:p>
      <w:pPr>
        <w:spacing w:line="360" w:lineRule="auto"/>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rPr>
        <w:t>地  址：</w:t>
      </w:r>
      <w:r>
        <w:rPr>
          <w:rFonts w:hint="eastAsia" w:asciiTheme="minorEastAsia" w:hAnsiTheme="minorEastAsia" w:eastAsiaTheme="minorEastAsia"/>
          <w:color w:val="auto"/>
          <w:sz w:val="24"/>
          <w:szCs w:val="24"/>
          <w:u w:val="single"/>
        </w:rPr>
        <w:t xml:space="preserve">广州市黄埔大道西   </w:t>
      </w:r>
      <w:r>
        <w:rPr>
          <w:rFonts w:hint="eastAsia" w:asciiTheme="minorEastAsia" w:hAnsiTheme="minorEastAsia" w:eastAsiaTheme="minorEastAsia"/>
          <w:color w:val="auto"/>
          <w:sz w:val="24"/>
          <w:szCs w:val="24"/>
        </w:rPr>
        <w:t xml:space="preserve">  地  址：</w:t>
      </w:r>
      <w:r>
        <w:rPr>
          <w:rFonts w:hint="eastAsia" w:asciiTheme="minorEastAsia" w:hAnsiTheme="minorEastAsia" w:eastAsiaTheme="minorEastAsia"/>
          <w:color w:val="auto"/>
          <w:sz w:val="24"/>
          <w:szCs w:val="24"/>
          <w:u w:val="single"/>
        </w:rPr>
        <w:t xml:space="preserve">        </w:t>
      </w:r>
    </w:p>
    <w:p>
      <w:pPr>
        <w:spacing w:line="360" w:lineRule="auto"/>
        <w:ind w:firstLine="960" w:firstLineChars="4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u w:val="single"/>
        </w:rPr>
        <w:t xml:space="preserve">108号11楼 </w:t>
      </w:r>
    </w:p>
    <w:p>
      <w:pPr>
        <w:spacing w:line="360" w:lineRule="auto"/>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邮政编码：</w:t>
      </w:r>
      <w:r>
        <w:rPr>
          <w:rFonts w:hint="eastAsia" w:asciiTheme="minorEastAsia" w:hAnsiTheme="minorEastAsia" w:eastAsiaTheme="minorEastAsia"/>
          <w:color w:val="auto"/>
          <w:sz w:val="24"/>
          <w:szCs w:val="24"/>
          <w:u w:val="single"/>
        </w:rPr>
        <w:t xml:space="preserve"> 510060         </w:t>
      </w:r>
      <w:r>
        <w:rPr>
          <w:rFonts w:hint="eastAsia" w:asciiTheme="minorEastAsia" w:hAnsiTheme="minorEastAsia" w:eastAsiaTheme="minorEastAsia"/>
          <w:color w:val="auto"/>
          <w:sz w:val="24"/>
          <w:szCs w:val="24"/>
        </w:rPr>
        <w:t xml:space="preserve">  邮政编码：</w:t>
      </w:r>
      <w:r>
        <w:rPr>
          <w:rFonts w:hint="eastAsia" w:asciiTheme="minorEastAsia" w:hAnsiTheme="minorEastAsia" w:eastAsiaTheme="minorEastAsia"/>
          <w:color w:val="auto"/>
          <w:sz w:val="24"/>
          <w:szCs w:val="24"/>
          <w:u w:val="single"/>
        </w:rPr>
        <w:t xml:space="preserve">   </w:t>
      </w:r>
    </w:p>
    <w:p>
      <w:pPr>
        <w:spacing w:line="360" w:lineRule="auto"/>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法定代表人：</w:t>
      </w:r>
      <w:r>
        <w:rPr>
          <w:rFonts w:hint="eastAsia" w:asciiTheme="minorEastAsia" w:hAnsiTheme="minorEastAsia" w:eastAsiaTheme="minorEastAsia"/>
          <w:color w:val="auto"/>
          <w:sz w:val="24"/>
          <w:szCs w:val="24"/>
          <w:u w:val="single"/>
        </w:rPr>
        <w:t xml:space="preserve">           </w:t>
      </w:r>
      <w:r>
        <w:rPr>
          <w:rFonts w:hint="eastAsia" w:asciiTheme="minorEastAsia" w:hAnsiTheme="minorEastAsia" w:eastAsiaTheme="minorEastAsia"/>
          <w:color w:val="auto"/>
          <w:sz w:val="24"/>
          <w:szCs w:val="24"/>
        </w:rPr>
        <w:t xml:space="preserve">  法定代表人：</w:t>
      </w:r>
      <w:r>
        <w:rPr>
          <w:rFonts w:hint="eastAsia" w:asciiTheme="minorEastAsia" w:hAnsiTheme="minorEastAsia" w:eastAsiaTheme="minorEastAsia"/>
          <w:color w:val="auto"/>
          <w:sz w:val="24"/>
          <w:szCs w:val="24"/>
          <w:u w:val="single"/>
        </w:rPr>
        <w:t xml:space="preserve">             </w:t>
      </w:r>
    </w:p>
    <w:p>
      <w:pPr>
        <w:spacing w:line="360" w:lineRule="auto"/>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委托代理人：</w:t>
      </w:r>
      <w:r>
        <w:rPr>
          <w:rFonts w:hint="eastAsia" w:asciiTheme="minorEastAsia" w:hAnsiTheme="minorEastAsia" w:eastAsiaTheme="minorEastAsia"/>
          <w:color w:val="auto"/>
          <w:sz w:val="24"/>
          <w:szCs w:val="24"/>
          <w:u w:val="single"/>
        </w:rPr>
        <w:t xml:space="preserve">           </w:t>
      </w:r>
      <w:r>
        <w:rPr>
          <w:rFonts w:hint="eastAsia" w:asciiTheme="minorEastAsia" w:hAnsiTheme="minorEastAsia" w:eastAsiaTheme="minorEastAsia"/>
          <w:color w:val="auto"/>
          <w:sz w:val="24"/>
          <w:szCs w:val="24"/>
        </w:rPr>
        <w:t xml:space="preserve">  委托代理人：</w:t>
      </w:r>
      <w:r>
        <w:rPr>
          <w:rFonts w:hint="eastAsia" w:asciiTheme="minorEastAsia" w:hAnsiTheme="minorEastAsia" w:eastAsiaTheme="minorEastAsia"/>
          <w:color w:val="auto"/>
          <w:sz w:val="24"/>
          <w:szCs w:val="24"/>
          <w:u w:val="single"/>
        </w:rPr>
        <w:t xml:space="preserve">             </w:t>
      </w:r>
    </w:p>
    <w:p>
      <w:pPr>
        <w:spacing w:line="360" w:lineRule="auto"/>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电  话：</w:t>
      </w:r>
      <w:r>
        <w:rPr>
          <w:rFonts w:hint="eastAsia" w:asciiTheme="minorEastAsia" w:hAnsiTheme="minorEastAsia" w:eastAsiaTheme="minorEastAsia"/>
          <w:color w:val="auto"/>
          <w:sz w:val="24"/>
          <w:szCs w:val="24"/>
          <w:u w:val="single"/>
        </w:rPr>
        <w:t xml:space="preserve">020-8362082    </w:t>
      </w:r>
      <w:r>
        <w:rPr>
          <w:rFonts w:hint="eastAsia" w:asciiTheme="minorEastAsia" w:hAnsiTheme="minorEastAsia" w:eastAsiaTheme="minorEastAsia"/>
          <w:color w:val="auto"/>
          <w:sz w:val="24"/>
          <w:szCs w:val="24"/>
        </w:rPr>
        <w:t xml:space="preserve">  电  话：</w:t>
      </w:r>
      <w:r>
        <w:rPr>
          <w:rFonts w:hint="eastAsia" w:asciiTheme="minorEastAsia" w:hAnsiTheme="minorEastAsia" w:eastAsiaTheme="minorEastAsia"/>
          <w:color w:val="auto"/>
          <w:sz w:val="24"/>
          <w:szCs w:val="24"/>
          <w:u w:val="single"/>
        </w:rPr>
        <w:t xml:space="preserve">     </w:t>
      </w:r>
    </w:p>
    <w:p>
      <w:pPr>
        <w:spacing w:line="360" w:lineRule="auto"/>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传  真：</w:t>
      </w:r>
      <w:r>
        <w:rPr>
          <w:rFonts w:hint="eastAsia" w:asciiTheme="minorEastAsia" w:hAnsiTheme="minorEastAsia" w:eastAsiaTheme="minorEastAsia"/>
          <w:color w:val="auto"/>
          <w:sz w:val="24"/>
          <w:szCs w:val="24"/>
          <w:u w:val="single"/>
        </w:rPr>
        <w:t xml:space="preserve">020-83620823   </w:t>
      </w:r>
      <w:r>
        <w:rPr>
          <w:rFonts w:hint="eastAsia" w:asciiTheme="minorEastAsia" w:hAnsiTheme="minorEastAsia" w:eastAsiaTheme="minorEastAsia"/>
          <w:color w:val="auto"/>
          <w:sz w:val="24"/>
          <w:szCs w:val="24"/>
        </w:rPr>
        <w:t xml:space="preserve">  传  真：</w:t>
      </w:r>
      <w:r>
        <w:rPr>
          <w:rFonts w:hint="eastAsia" w:asciiTheme="minorEastAsia" w:hAnsiTheme="minorEastAsia" w:eastAsiaTheme="minorEastAsia"/>
          <w:color w:val="auto"/>
          <w:sz w:val="24"/>
          <w:szCs w:val="24"/>
          <w:u w:val="single"/>
        </w:rPr>
        <w:t xml:space="preserve">     </w:t>
      </w:r>
    </w:p>
    <w:p>
      <w:pPr>
        <w:spacing w:line="360" w:lineRule="auto"/>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电子信箱：  电子信箱：</w:t>
      </w:r>
      <w:r>
        <w:rPr>
          <w:rFonts w:hint="eastAsia" w:asciiTheme="minorEastAsia" w:hAnsiTheme="minorEastAsia" w:eastAsiaTheme="minorEastAsia"/>
          <w:color w:val="auto"/>
          <w:sz w:val="24"/>
          <w:szCs w:val="24"/>
          <w:u w:val="single"/>
        </w:rPr>
        <w:t xml:space="preserve">   </w:t>
      </w:r>
    </w:p>
    <w:p>
      <w:pPr>
        <w:spacing w:line="360" w:lineRule="auto"/>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开户银行：</w:t>
      </w:r>
      <w:r>
        <w:rPr>
          <w:rFonts w:hint="eastAsia" w:asciiTheme="minorEastAsia" w:hAnsiTheme="minorEastAsia" w:eastAsiaTheme="minorEastAsia"/>
          <w:color w:val="auto"/>
          <w:sz w:val="24"/>
          <w:szCs w:val="24"/>
          <w:u w:val="single"/>
        </w:rPr>
        <w:t xml:space="preserve">   </w:t>
      </w:r>
      <w:r>
        <w:rPr>
          <w:rFonts w:hint="eastAsia" w:asciiTheme="minorEastAsia" w:hAnsiTheme="minorEastAsia" w:eastAsiaTheme="minorEastAsia"/>
          <w:color w:val="auto"/>
          <w:sz w:val="24"/>
          <w:szCs w:val="24"/>
        </w:rPr>
        <w:t xml:space="preserve">  开户银行：</w:t>
      </w:r>
      <w:r>
        <w:rPr>
          <w:rFonts w:hint="eastAsia" w:asciiTheme="minorEastAsia" w:hAnsiTheme="minorEastAsia" w:eastAsiaTheme="minorEastAsia"/>
          <w:color w:val="auto"/>
          <w:sz w:val="24"/>
          <w:szCs w:val="24"/>
          <w:u w:val="single"/>
        </w:rPr>
        <w:t xml:space="preserve">   </w:t>
      </w:r>
    </w:p>
    <w:p>
      <w:pPr>
        <w:spacing w:line="360" w:lineRule="auto"/>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rPr>
        <w:t>账  号：</w:t>
      </w:r>
      <w:r>
        <w:rPr>
          <w:rFonts w:hint="eastAsia" w:asciiTheme="minorEastAsia" w:hAnsiTheme="minorEastAsia" w:eastAsiaTheme="minorEastAsia"/>
          <w:color w:val="auto"/>
          <w:sz w:val="24"/>
          <w:szCs w:val="24"/>
          <w:u w:val="single"/>
        </w:rPr>
        <w:t xml:space="preserve">       </w:t>
      </w:r>
      <w:r>
        <w:rPr>
          <w:rFonts w:hint="eastAsia" w:asciiTheme="minorEastAsia" w:hAnsiTheme="minorEastAsia" w:eastAsiaTheme="minorEastAsia"/>
          <w:color w:val="auto"/>
          <w:sz w:val="24"/>
          <w:szCs w:val="24"/>
        </w:rPr>
        <w:t xml:space="preserve">   账  号：</w:t>
      </w:r>
      <w:r>
        <w:rPr>
          <w:rFonts w:hint="eastAsia" w:asciiTheme="minorEastAsia" w:hAnsiTheme="minorEastAsia" w:eastAsiaTheme="minorEastAsia"/>
          <w:color w:val="auto"/>
          <w:sz w:val="24"/>
          <w:szCs w:val="24"/>
          <w:u w:val="single"/>
        </w:rPr>
        <w:t xml:space="preserve">     </w:t>
      </w:r>
    </w:p>
    <w:p>
      <w:pPr>
        <w:spacing w:line="360" w:lineRule="auto"/>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时  间：年月日     时  间：年月日</w:t>
      </w:r>
    </w:p>
    <w:p>
      <w:pPr>
        <w:spacing w:line="360" w:lineRule="auto"/>
        <w:rPr>
          <w:rFonts w:asciiTheme="minorEastAsia" w:hAnsiTheme="minorEastAsia" w:eastAsiaTheme="minorEastAsia"/>
          <w:color w:val="auto"/>
        </w:rPr>
      </w:pPr>
    </w:p>
    <w:p>
      <w:pPr>
        <w:pStyle w:val="5"/>
        <w:spacing w:line="360" w:lineRule="auto"/>
        <w:jc w:val="center"/>
        <w:rPr>
          <w:rFonts w:asciiTheme="minorEastAsia" w:hAnsiTheme="minorEastAsia" w:eastAsiaTheme="minorEastAsia"/>
          <w:color w:val="auto"/>
          <w:sz w:val="44"/>
          <w:szCs w:val="44"/>
        </w:rPr>
      </w:pPr>
      <w:bookmarkStart w:id="17" w:name="_Toc351203494"/>
      <w:r>
        <w:rPr>
          <w:rFonts w:hint="eastAsia" w:asciiTheme="minorEastAsia" w:hAnsiTheme="minorEastAsia" w:eastAsiaTheme="minorEastAsia"/>
          <w:color w:val="auto"/>
          <w:sz w:val="44"/>
          <w:szCs w:val="44"/>
        </w:rPr>
        <w:br w:type="page"/>
      </w:r>
      <w:r>
        <w:rPr>
          <w:rFonts w:hint="eastAsia" w:asciiTheme="minorEastAsia" w:hAnsiTheme="minorEastAsia" w:eastAsiaTheme="minorEastAsia"/>
          <w:color w:val="auto"/>
          <w:sz w:val="44"/>
          <w:szCs w:val="44"/>
        </w:rPr>
        <w:t>第二部分 通用合同条款</w:t>
      </w:r>
      <w:bookmarkEnd w:id="17"/>
      <w:bookmarkStart w:id="18" w:name="_Toc337558727"/>
    </w:p>
    <w:p>
      <w:pPr>
        <w:pStyle w:val="6"/>
        <w:spacing w:before="120" w:after="120" w:line="360" w:lineRule="auto"/>
        <w:rPr>
          <w:rFonts w:asciiTheme="minorEastAsia" w:hAnsiTheme="minorEastAsia" w:eastAsiaTheme="minorEastAsia"/>
          <w:b w:val="0"/>
          <w:color w:val="auto"/>
          <w:sz w:val="24"/>
          <w:szCs w:val="24"/>
        </w:rPr>
      </w:pPr>
      <w:bookmarkStart w:id="19" w:name="_Toc351203495"/>
      <w:r>
        <w:rPr>
          <w:rFonts w:hint="eastAsia" w:asciiTheme="minorEastAsia" w:hAnsiTheme="minorEastAsia" w:eastAsiaTheme="minorEastAsia"/>
          <w:b w:val="0"/>
          <w:color w:val="auto"/>
          <w:sz w:val="24"/>
          <w:szCs w:val="24"/>
        </w:rPr>
        <w:t>1.</w:t>
      </w:r>
      <w:bookmarkStart w:id="20" w:name="_Toc303538974"/>
      <w:bookmarkEnd w:id="20"/>
      <w:bookmarkStart w:id="21" w:name="_Toc303538975"/>
      <w:bookmarkEnd w:id="21"/>
      <w:bookmarkStart w:id="22" w:name="_Toc303538973"/>
      <w:bookmarkEnd w:id="22"/>
      <w:bookmarkStart w:id="23" w:name="_Toc303538976"/>
      <w:bookmarkEnd w:id="23"/>
      <w:bookmarkStart w:id="24" w:name="_Toc303538972"/>
      <w:bookmarkEnd w:id="24"/>
      <w:bookmarkStart w:id="25" w:name="_Toc296503027"/>
      <w:bookmarkStart w:id="26" w:name="_Toc296346528"/>
      <w:r>
        <w:rPr>
          <w:rFonts w:hint="eastAsia" w:asciiTheme="minorEastAsia" w:hAnsiTheme="minorEastAsia" w:eastAsiaTheme="minorEastAsia"/>
          <w:b w:val="0"/>
          <w:color w:val="auto"/>
          <w:sz w:val="24"/>
          <w:szCs w:val="24"/>
        </w:rPr>
        <w:t xml:space="preserve"> 一般约定</w:t>
      </w:r>
      <w:bookmarkEnd w:id="18"/>
      <w:bookmarkEnd w:id="19"/>
      <w:bookmarkEnd w:id="25"/>
      <w:bookmarkEnd w:id="26"/>
    </w:p>
    <w:p>
      <w:pPr>
        <w:pStyle w:val="7"/>
        <w:spacing w:before="120" w:after="120" w:line="360" w:lineRule="auto"/>
        <w:ind w:firstLine="480" w:firstLineChars="200"/>
        <w:rPr>
          <w:rFonts w:asciiTheme="minorEastAsia" w:hAnsiTheme="minorEastAsia" w:eastAsiaTheme="minorEastAsia"/>
          <w:b w:val="0"/>
          <w:color w:val="auto"/>
          <w:sz w:val="24"/>
          <w:szCs w:val="24"/>
        </w:rPr>
      </w:pPr>
      <w:bookmarkStart w:id="27" w:name="_Toc296503028"/>
      <w:bookmarkStart w:id="28" w:name="_Toc296346529"/>
      <w:bookmarkStart w:id="29" w:name="_Toc337558728"/>
      <w:bookmarkStart w:id="30" w:name="_Toc351203496"/>
      <w:r>
        <w:rPr>
          <w:rFonts w:hint="eastAsia" w:asciiTheme="minorEastAsia" w:hAnsiTheme="minorEastAsia" w:eastAsiaTheme="minorEastAsia"/>
          <w:b w:val="0"/>
          <w:color w:val="auto"/>
          <w:sz w:val="24"/>
          <w:szCs w:val="24"/>
        </w:rPr>
        <w:t>1.1 词语定义</w:t>
      </w:r>
      <w:bookmarkEnd w:id="27"/>
      <w:bookmarkEnd w:id="28"/>
      <w:bookmarkEnd w:id="29"/>
      <w:r>
        <w:rPr>
          <w:rFonts w:hint="eastAsia" w:asciiTheme="minorEastAsia" w:hAnsiTheme="minorEastAsia" w:eastAsiaTheme="minorEastAsia"/>
          <w:b w:val="0"/>
          <w:color w:val="auto"/>
          <w:sz w:val="24"/>
          <w:szCs w:val="24"/>
        </w:rPr>
        <w:t>与解释</w:t>
      </w:r>
      <w:bookmarkEnd w:id="30"/>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合同协议书、通用合同条款、专用合同条款中的下列词语具有本款所赋予的含义：</w:t>
      </w:r>
    </w:p>
    <w:p>
      <w:pPr>
        <w:autoSpaceDE w:val="0"/>
        <w:autoSpaceDN w:val="0"/>
        <w:adjustRightInd w:val="0"/>
        <w:spacing w:line="360" w:lineRule="auto"/>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 xml:space="preserve">    1.1.1 合同</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1.1.1.1 合同：是指根据法律规定和合同当事人约定具有约束力的文件，构成合同的文件包括合同协议书、专用合同条款</w:t>
      </w:r>
      <w:r>
        <w:rPr>
          <w:rFonts w:hint="eastAsia" w:asciiTheme="minorEastAsia" w:hAnsiTheme="minorEastAsia" w:eastAsiaTheme="minorEastAsia"/>
          <w:color w:val="auto"/>
          <w:sz w:val="24"/>
          <w:szCs w:val="24"/>
        </w:rPr>
        <w:t>及其附件</w:t>
      </w:r>
      <w:r>
        <w:rPr>
          <w:rFonts w:hint="eastAsia" w:asciiTheme="minorEastAsia" w:hAnsiTheme="minorEastAsia" w:eastAsiaTheme="minorEastAsia"/>
          <w:color w:val="auto"/>
          <w:kern w:val="0"/>
          <w:sz w:val="24"/>
          <w:szCs w:val="24"/>
        </w:rPr>
        <w:t>、通用合同条款、中标通知书（如果有）、投标函及其附录（如果有）、发包人要求、技术标准、发包人提供的上一阶段图纸（如果有）以及其他合同文件。</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1.1.1.2 合同协议书：是指构成合同的由发包人和设计人共同签署的称为“合同协议书”的书面文件。</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1.1.1.3 中标通知书：是指构成合同的由发包人通知设计人中标的书面文件。</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1.1.1.4 投标函：是指构成合同的由设计人填写并签署的用于投标的称为“投标函”的文件。</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1.1.1.5 投标函附录：是指构成合同的附在投标函后的称为“投标函附录”的文件。</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sz w:val="24"/>
          <w:szCs w:val="24"/>
        </w:rPr>
        <w:t>1.1.1.6 发包人要求：是指构成合同文件组成部分的，由发包人就工程项目的目的、范围、功能要求及工程设计文件审查的范围和内容等提出相应要求的书面文件，又称设计任务书。</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1.1.1.7 技术标准：是指构成合同的设计应当遵守的或指导设计的国家、行业或地方的技术标准和要求，以及合同约定的技术标准和要求。</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1.1.1.8 其他合同文件：是指经合同当事人约定的与工程设计有关的具有合同约束力的文件或书面协议。合同当事人可以在专用合同条款中进行约定。</w:t>
      </w:r>
    </w:p>
    <w:p>
      <w:pPr>
        <w:autoSpaceDE w:val="0"/>
        <w:autoSpaceDN w:val="0"/>
        <w:adjustRightInd w:val="0"/>
        <w:spacing w:line="360" w:lineRule="auto"/>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 xml:space="preserve">    1.1.2 合同当事人及其他相关方</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1.1.2.1 合同当事人：是指发包人和（或）设计人。</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1.1.2.2 发包人：是指与设计人签订合同协议书的当事人及取得该当事人资格的合法继承人。</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1.1.2.3 设计人：是指与发包人签订合同协议书的，具有相应工程设计资质的当事人及取得该当事人资格的合法继承人。</w:t>
      </w:r>
    </w:p>
    <w:p>
      <w:pPr>
        <w:spacing w:line="360" w:lineRule="auto"/>
        <w:ind w:firstLine="468" w:firstLineChars="195"/>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1.1.2.4 分包人：</w:t>
      </w:r>
      <w:bookmarkStart w:id="31" w:name="#go5"/>
      <w:bookmarkEnd w:id="31"/>
      <w:r>
        <w:rPr>
          <w:rFonts w:hint="eastAsia" w:asciiTheme="minorEastAsia" w:hAnsiTheme="minorEastAsia" w:eastAsiaTheme="minorEastAsia"/>
          <w:color w:val="auto"/>
          <w:kern w:val="0"/>
          <w:sz w:val="24"/>
          <w:szCs w:val="24"/>
        </w:rPr>
        <w:t>是指按照法律规定和合同约定，分包部分工程设计工作，并与设计人签订分包合同的具有相应资质的法人。</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1.1.2.5 发包人代表：是指由发包人指定负责工程设计方面在发包人授权范围内行使发包人权利的人。</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1.1.2.6 项目负责人：是指由设计人任命负责工程设计，在设计人授权范围内负责合同履行，且按照法律规定具有相应资格的项目主持人。</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1.1.2.7 联合体：是指两个以上设计人联合，以一个设计人身份为发包人提供工程设计服务的临时性组织。</w:t>
      </w:r>
    </w:p>
    <w:p>
      <w:pPr>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1.1.3 工程设计服务、资料与文件</w:t>
      </w:r>
    </w:p>
    <w:p>
      <w:pPr>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1.1.3.1 工程设计服务：是指设计人按照合同约定履行的服务，包括工程设计基本服务、工程设计其他服务。</w:t>
      </w:r>
    </w:p>
    <w:p>
      <w:pPr>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1.1.3.2 工程设计基本服务：是指设计人根据发包人的委托，提供编制房屋建筑工程方案设计文件、初步设计文件（含初步设计概算）、配合施工图设计文件</w:t>
      </w:r>
      <w:r>
        <w:rPr>
          <w:rFonts w:hint="eastAsia" w:ascii="宋体" w:hAnsi="宋体"/>
          <w:color w:val="auto"/>
          <w:kern w:val="0"/>
          <w:sz w:val="24"/>
          <w:szCs w:val="24"/>
        </w:rPr>
        <w:t>及施工阶段服务</w:t>
      </w:r>
      <w:r>
        <w:rPr>
          <w:rFonts w:hint="eastAsia" w:asciiTheme="minorEastAsia" w:hAnsiTheme="minorEastAsia" w:eastAsiaTheme="minorEastAsia"/>
          <w:color w:val="auto"/>
          <w:kern w:val="0"/>
          <w:sz w:val="24"/>
          <w:szCs w:val="24"/>
        </w:rPr>
        <w:t>服务，</w:t>
      </w:r>
      <w:r>
        <w:rPr>
          <w:rFonts w:hint="eastAsia" w:asciiTheme="minorEastAsia" w:hAnsiTheme="minorEastAsia" w:eastAsiaTheme="minorEastAsia"/>
          <w:strike/>
          <w:color w:val="auto"/>
          <w:kern w:val="0"/>
          <w:sz w:val="24"/>
          <w:szCs w:val="24"/>
        </w:rPr>
        <w:t>并相应提供设计技术交底、解决施工中的设计技术问题、参加竣工验收等服务</w:t>
      </w:r>
      <w:r>
        <w:rPr>
          <w:rFonts w:hint="eastAsia" w:asciiTheme="minorEastAsia" w:hAnsiTheme="minorEastAsia" w:eastAsiaTheme="minorEastAsia"/>
          <w:color w:val="auto"/>
          <w:kern w:val="0"/>
          <w:sz w:val="24"/>
          <w:szCs w:val="24"/>
        </w:rPr>
        <w:t>。基本服务费用包含在设计费中。</w:t>
      </w:r>
    </w:p>
    <w:p>
      <w:pPr>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1.1.3.3 工程设计其他服务：是指发包人根据工程设计实际需要，要求设计人另行提供且发包人应当单独支付费用的服务，包括总体设计服务、主体设计协调服务、采用标准设计和复用设计服务、非标准设备设计文件编制服务</w:t>
      </w:r>
      <w:r>
        <w:rPr>
          <w:rFonts w:hint="eastAsia" w:asciiTheme="minorEastAsia" w:hAnsiTheme="minorEastAsia" w:eastAsiaTheme="minorEastAsia"/>
          <w:strike/>
          <w:color w:val="auto"/>
          <w:kern w:val="0"/>
          <w:sz w:val="24"/>
          <w:szCs w:val="24"/>
        </w:rPr>
        <w:t>、竣工图编制服务</w:t>
      </w:r>
      <w:r>
        <w:rPr>
          <w:rFonts w:hint="eastAsia" w:asciiTheme="minorEastAsia" w:hAnsiTheme="minorEastAsia" w:eastAsiaTheme="minorEastAsia"/>
          <w:color w:val="auto"/>
          <w:kern w:val="0"/>
          <w:sz w:val="24"/>
          <w:szCs w:val="24"/>
        </w:rPr>
        <w:t>等。</w:t>
      </w:r>
    </w:p>
    <w:p>
      <w:pPr>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sz w:val="24"/>
          <w:szCs w:val="24"/>
        </w:rPr>
        <w:t>1.1.3.4 暂停设计：是指发生设计人不能按照合同约定履行全部或部分义务情形而暂时中断工程设计服务的行为。</w:t>
      </w:r>
    </w:p>
    <w:p>
      <w:pPr>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1.1.3.5 工程设计资料：是指</w:t>
      </w:r>
      <w:r>
        <w:rPr>
          <w:rFonts w:hint="eastAsia" w:cs="Courier New" w:asciiTheme="minorEastAsia" w:hAnsiTheme="minorEastAsia" w:eastAsiaTheme="minorEastAsia"/>
          <w:color w:val="auto"/>
          <w:sz w:val="24"/>
          <w:szCs w:val="24"/>
        </w:rPr>
        <w:t>根据合同约定，发包人向设计人提供的用于完成工程设计范围与内容所需要的资料。</w:t>
      </w:r>
    </w:p>
    <w:p>
      <w:pPr>
        <w:pStyle w:val="33"/>
        <w:spacing w:line="360" w:lineRule="auto"/>
        <w:ind w:left="0" w:leftChars="0" w:firstLine="456" w:firstLineChars="190"/>
        <w:rPr>
          <w:rFonts w:cs="Courier New"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1.1.3.6 工程</w:t>
      </w:r>
      <w:r>
        <w:rPr>
          <w:rFonts w:hint="eastAsia" w:cs="Courier New" w:asciiTheme="minorEastAsia" w:hAnsiTheme="minorEastAsia" w:eastAsiaTheme="minorEastAsia"/>
          <w:color w:val="auto"/>
          <w:sz w:val="24"/>
          <w:szCs w:val="24"/>
        </w:rPr>
        <w:t>设计文件：指按照合同约定和技术要求，由设计人向发包人提供的阶段性成果、最终工作成果等，且应当采用合同中双方约定的载体。</w:t>
      </w:r>
    </w:p>
    <w:p>
      <w:pPr>
        <w:pStyle w:val="33"/>
        <w:spacing w:after="0" w:line="360" w:lineRule="auto"/>
        <w:ind w:left="0" w:leftChars="0"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1.1.4 日期和期限</w:t>
      </w:r>
    </w:p>
    <w:p>
      <w:pPr>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1.1.4.1 开始设计日期：包括计划开始设计日期和实际开始设计日期。计划开始设计日期是指合同协议书约定的开始设计日期；实际开始设计日期是指发包人发出的开始设计通知中载明的开始设计日期。</w:t>
      </w:r>
    </w:p>
    <w:p>
      <w:pPr>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 xml:space="preserve">1.1.4.2 完成设计日期：包括计划完成设计日期和实际完成设计日期。计划完成设计日期是指合同协议书约定的完成设计及相关服务的日期；实际完成设计日期是指设计人交付全部或阶段性设计成果及提供相关服务日期。 </w:t>
      </w:r>
    </w:p>
    <w:p>
      <w:pPr>
        <w:spacing w:line="360" w:lineRule="auto"/>
        <w:ind w:firstLine="487" w:firstLineChars="203"/>
        <w:rPr>
          <w:rFonts w:asciiTheme="minorEastAsia" w:hAnsiTheme="minorEastAsia" w:eastAsiaTheme="minorEastAsia"/>
          <w:color w:val="auto"/>
          <w:sz w:val="24"/>
          <w:szCs w:val="24"/>
        </w:rPr>
      </w:pPr>
      <w:r>
        <w:rPr>
          <w:rFonts w:hint="eastAsia" w:asciiTheme="minorEastAsia" w:hAnsiTheme="minorEastAsia" w:eastAsiaTheme="minorEastAsia"/>
          <w:color w:val="auto"/>
          <w:kern w:val="0"/>
          <w:sz w:val="24"/>
          <w:szCs w:val="24"/>
        </w:rPr>
        <w:t>1.1.4.3 设计周期又称设计工期：是指在合同协议书约定的设计人完成工程设计及相关服务所需的期限，包括按照合同约定所作的期限变更。</w:t>
      </w:r>
    </w:p>
    <w:p>
      <w:pPr>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1.1.4.4 基准日期：招标发包的工程设计以投标截止日前28天的日期为基准日期，直接发包的工程设计以合同签订日前28天的日期为基准日期。</w:t>
      </w:r>
    </w:p>
    <w:p>
      <w:pPr>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1.1.4.5 天：除特别指明外，均指日历天。合同中按天计算时间的，开始当天不计入，从次日开始计算，期限最后一天的截止时间为当天24:00时。</w:t>
      </w:r>
    </w:p>
    <w:p>
      <w:pPr>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1.1.5 合同价格</w:t>
      </w:r>
    </w:p>
    <w:p>
      <w:pPr>
        <w:spacing w:line="360" w:lineRule="auto"/>
        <w:ind w:firstLine="480" w:firstLineChars="200"/>
        <w:jc w:val="left"/>
        <w:rPr>
          <w:rFonts w:asciiTheme="minorEastAsia" w:hAnsiTheme="minorEastAsia" w:eastAsiaTheme="minorEastAsia"/>
          <w:color w:val="auto"/>
          <w:sz w:val="24"/>
          <w:szCs w:val="24"/>
        </w:rPr>
      </w:pPr>
      <w:r>
        <w:rPr>
          <w:rFonts w:hint="eastAsia" w:asciiTheme="minorEastAsia" w:hAnsiTheme="minorEastAsia" w:eastAsiaTheme="minorEastAsia"/>
          <w:color w:val="auto"/>
          <w:kern w:val="0"/>
          <w:sz w:val="24"/>
          <w:szCs w:val="24"/>
        </w:rPr>
        <w:t>1.1.5.1 签约合同价：是指</w:t>
      </w:r>
      <w:r>
        <w:rPr>
          <w:rFonts w:hint="eastAsia" w:asciiTheme="minorEastAsia" w:hAnsiTheme="minorEastAsia" w:eastAsiaTheme="minorEastAsia"/>
          <w:color w:val="auto"/>
          <w:sz w:val="24"/>
          <w:szCs w:val="24"/>
        </w:rPr>
        <w:t>发包人和设计人在合同协议书中确定的总金额。</w:t>
      </w:r>
    </w:p>
    <w:p>
      <w:pPr>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1.1.5.2 合同价格又称设计费：是指发包人用于支付设计人按照合同约定完成工程设计范围内全部工作的金额，包括合同履行过程中按合同约定发生的价格变化。</w:t>
      </w:r>
    </w:p>
    <w:p>
      <w:pPr>
        <w:spacing w:line="360" w:lineRule="auto"/>
        <w:ind w:firstLine="480" w:firstLineChars="200"/>
        <w:jc w:val="left"/>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1.1.6 其他</w:t>
      </w:r>
    </w:p>
    <w:p>
      <w:pPr>
        <w:spacing w:line="360" w:lineRule="auto"/>
        <w:ind w:firstLine="480" w:firstLineChars="200"/>
        <w:jc w:val="left"/>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1.1.6.1 书面形式：是指合同书、信件和数据电文（包括电报、电传、传真、电子数据交换和电子邮件）等可以有形地表现所载内容的形式。</w:t>
      </w:r>
    </w:p>
    <w:p>
      <w:pPr>
        <w:pStyle w:val="7"/>
        <w:spacing w:before="120" w:after="120" w:line="360" w:lineRule="auto"/>
        <w:rPr>
          <w:rFonts w:asciiTheme="minorEastAsia" w:hAnsiTheme="minorEastAsia" w:eastAsiaTheme="minorEastAsia"/>
          <w:b w:val="0"/>
          <w:color w:val="auto"/>
          <w:sz w:val="24"/>
          <w:szCs w:val="24"/>
        </w:rPr>
      </w:pPr>
      <w:bookmarkStart w:id="32" w:name="_Toc296346530"/>
      <w:bookmarkStart w:id="33" w:name="_Toc351203497"/>
      <w:bookmarkStart w:id="34" w:name="_Toc337558729"/>
      <w:bookmarkStart w:id="35" w:name="_Toc296503029"/>
      <w:r>
        <w:rPr>
          <w:rFonts w:hint="eastAsia" w:asciiTheme="minorEastAsia" w:hAnsiTheme="minorEastAsia" w:eastAsiaTheme="minorEastAsia"/>
          <w:b w:val="0"/>
          <w:color w:val="auto"/>
          <w:sz w:val="24"/>
          <w:szCs w:val="24"/>
        </w:rPr>
        <w:t>1.2 语言文字</w:t>
      </w:r>
      <w:bookmarkEnd w:id="32"/>
      <w:bookmarkEnd w:id="33"/>
      <w:bookmarkEnd w:id="34"/>
      <w:bookmarkEnd w:id="35"/>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合同以中国的汉语简体文字编写、解释和说明。合同当事人在专用合同条款中约定使用两种以上语言时，汉语为优先解释和说明合同的语言。</w:t>
      </w:r>
    </w:p>
    <w:p>
      <w:pPr>
        <w:pStyle w:val="7"/>
        <w:spacing w:before="120" w:after="120" w:line="360" w:lineRule="auto"/>
        <w:ind w:firstLine="480" w:firstLineChars="200"/>
        <w:rPr>
          <w:rFonts w:asciiTheme="minorEastAsia" w:hAnsiTheme="minorEastAsia" w:eastAsiaTheme="minorEastAsia"/>
          <w:b w:val="0"/>
          <w:color w:val="auto"/>
          <w:sz w:val="24"/>
          <w:szCs w:val="24"/>
        </w:rPr>
      </w:pPr>
      <w:bookmarkStart w:id="36" w:name="_Toc351203498"/>
      <w:bookmarkStart w:id="37" w:name="_Toc337558730"/>
      <w:bookmarkStart w:id="38" w:name="_Toc296503030"/>
      <w:bookmarkStart w:id="39" w:name="_Toc296346531"/>
      <w:r>
        <w:rPr>
          <w:rFonts w:hint="eastAsia" w:asciiTheme="minorEastAsia" w:hAnsiTheme="minorEastAsia" w:eastAsiaTheme="minorEastAsia"/>
          <w:b w:val="0"/>
          <w:color w:val="auto"/>
          <w:sz w:val="24"/>
          <w:szCs w:val="24"/>
        </w:rPr>
        <w:t>1.3 法律</w:t>
      </w:r>
      <w:bookmarkEnd w:id="36"/>
      <w:bookmarkEnd w:id="37"/>
      <w:bookmarkEnd w:id="38"/>
      <w:bookmarkEnd w:id="39"/>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合同所称法律是指中华人民共和国法律、行政法规、部门规章，以及工程所在地的地方性法规、自治条例、单行条例和地方政府规章等。</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合同当事人可以在专用合同条款中约定合同适用的其他规范性文件。</w:t>
      </w:r>
    </w:p>
    <w:p>
      <w:pPr>
        <w:pStyle w:val="7"/>
        <w:spacing w:before="120" w:after="120" w:line="360" w:lineRule="auto"/>
        <w:ind w:firstLine="480" w:firstLineChars="200"/>
        <w:rPr>
          <w:rFonts w:asciiTheme="minorEastAsia" w:hAnsiTheme="minorEastAsia" w:eastAsiaTheme="minorEastAsia"/>
          <w:b w:val="0"/>
          <w:color w:val="auto"/>
          <w:sz w:val="24"/>
          <w:szCs w:val="24"/>
        </w:rPr>
      </w:pPr>
      <w:bookmarkStart w:id="40" w:name="_Toc351203499"/>
      <w:r>
        <w:rPr>
          <w:rFonts w:hint="eastAsia" w:asciiTheme="minorEastAsia" w:hAnsiTheme="minorEastAsia" w:eastAsiaTheme="minorEastAsia"/>
          <w:b w:val="0"/>
          <w:color w:val="auto"/>
          <w:sz w:val="24"/>
          <w:szCs w:val="24"/>
        </w:rPr>
        <w:t>1.4 技术标准</w:t>
      </w:r>
      <w:bookmarkEnd w:id="40"/>
    </w:p>
    <w:p>
      <w:pPr>
        <w:autoSpaceDE w:val="0"/>
        <w:autoSpaceDN w:val="0"/>
        <w:adjustRightInd w:val="0"/>
        <w:spacing w:line="360" w:lineRule="auto"/>
        <w:ind w:firstLine="64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1.4.1 适用于工程的现行有效的国家标准、行业标准、工程所在地的地方性标准，以及相应的规范、规程等，合同当事人有特别要求的，应在专用合同条款中约定。</w:t>
      </w:r>
    </w:p>
    <w:p>
      <w:pPr>
        <w:autoSpaceDE w:val="0"/>
        <w:autoSpaceDN w:val="0"/>
        <w:adjustRightInd w:val="0"/>
        <w:spacing w:line="360" w:lineRule="auto"/>
        <w:ind w:firstLine="64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1.4.2 发包人要求使用国外技术标准的，发包人与设计人在专用合同条款中约定原文版本和中文译本提供方及提供标准的名称、份数、时间及费用承担等事项。</w:t>
      </w:r>
    </w:p>
    <w:p>
      <w:pPr>
        <w:autoSpaceDE w:val="0"/>
        <w:autoSpaceDN w:val="0"/>
        <w:adjustRightInd w:val="0"/>
        <w:spacing w:line="360" w:lineRule="auto"/>
        <w:ind w:firstLine="64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1.4.3 发包人对工程的技术标准、功能要求高于或严于现行国家、行业或地方标准的，应当在专用合同条款中予以明确。除专用合同条款另有约定外，应视为设计人在签订合同前已充分预见前述技术标准和功能要求的复杂程度，签约合同价中已包含由此产生的设计费用。</w:t>
      </w:r>
    </w:p>
    <w:p>
      <w:pPr>
        <w:pStyle w:val="7"/>
        <w:spacing w:before="120" w:after="120" w:line="360" w:lineRule="auto"/>
        <w:ind w:firstLine="480" w:firstLineChars="200"/>
        <w:rPr>
          <w:rFonts w:asciiTheme="minorEastAsia" w:hAnsiTheme="minorEastAsia" w:eastAsiaTheme="minorEastAsia"/>
          <w:b w:val="0"/>
          <w:color w:val="auto"/>
          <w:sz w:val="24"/>
          <w:szCs w:val="24"/>
        </w:rPr>
      </w:pPr>
      <w:bookmarkStart w:id="41" w:name="_Toc351203500"/>
      <w:r>
        <w:rPr>
          <w:rFonts w:hint="eastAsia" w:asciiTheme="minorEastAsia" w:hAnsiTheme="minorEastAsia" w:eastAsiaTheme="minorEastAsia"/>
          <w:b w:val="0"/>
          <w:color w:val="auto"/>
          <w:sz w:val="24"/>
          <w:szCs w:val="24"/>
        </w:rPr>
        <w:t>1</w:t>
      </w:r>
      <w:bookmarkStart w:id="42" w:name="_Toc337558731"/>
      <w:bookmarkStart w:id="43" w:name="_Toc296346532"/>
      <w:bookmarkStart w:id="44" w:name="_Toc296503031"/>
      <w:r>
        <w:rPr>
          <w:rFonts w:hint="eastAsia" w:asciiTheme="minorEastAsia" w:hAnsiTheme="minorEastAsia" w:eastAsiaTheme="minorEastAsia"/>
          <w:b w:val="0"/>
          <w:color w:val="auto"/>
          <w:sz w:val="24"/>
          <w:szCs w:val="24"/>
        </w:rPr>
        <w:t>.5 合同文件的优先顺序</w:t>
      </w:r>
      <w:bookmarkEnd w:id="41"/>
    </w:p>
    <w:bookmarkEnd w:id="42"/>
    <w:bookmarkEnd w:id="43"/>
    <w:bookmarkEnd w:id="44"/>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组成合同的各项文件应互相解释，互为说明。除专用合同条款另有约定外，解释合同文件的优先顺序如下：</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（1）合同协议书；</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（2）专用合同条款</w:t>
      </w:r>
      <w:r>
        <w:rPr>
          <w:rFonts w:hint="eastAsia" w:asciiTheme="minorEastAsia" w:hAnsiTheme="minorEastAsia" w:eastAsiaTheme="minorEastAsia"/>
          <w:color w:val="auto"/>
          <w:sz w:val="24"/>
          <w:szCs w:val="24"/>
        </w:rPr>
        <w:t>及其附件</w:t>
      </w:r>
      <w:r>
        <w:rPr>
          <w:rFonts w:hint="eastAsia" w:asciiTheme="minorEastAsia" w:hAnsiTheme="minorEastAsia" w:eastAsiaTheme="minorEastAsia"/>
          <w:color w:val="auto"/>
          <w:kern w:val="0"/>
          <w:sz w:val="24"/>
          <w:szCs w:val="24"/>
        </w:rPr>
        <w:t xml:space="preserve">； </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 xml:space="preserve">（3）通用合同条款； </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（4）中标通知书（如果有）；</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（5）投标函及其附录（如果有）；</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（6）发包人要求；</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（7）技术标准；</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（8）发包人提供的上一阶段图纸（如果有）；</w:t>
      </w:r>
    </w:p>
    <w:p>
      <w:pPr>
        <w:autoSpaceDE w:val="0"/>
        <w:autoSpaceDN w:val="0"/>
        <w:adjustRightInd w:val="0"/>
        <w:spacing w:line="360" w:lineRule="auto"/>
        <w:ind w:firstLine="480" w:firstLineChars="200"/>
        <w:jc w:val="left"/>
        <w:rPr>
          <w:rFonts w:asciiTheme="minorEastAsia" w:hAnsiTheme="minorEastAsia" w:eastAsiaTheme="minorEastAsia"/>
          <w:color w:val="auto"/>
          <w:sz w:val="24"/>
          <w:szCs w:val="24"/>
        </w:rPr>
      </w:pPr>
      <w:r>
        <w:rPr>
          <w:rFonts w:hint="eastAsia" w:asciiTheme="minorEastAsia" w:hAnsiTheme="minorEastAsia" w:eastAsiaTheme="minorEastAsia"/>
          <w:color w:val="auto"/>
          <w:kern w:val="0"/>
          <w:sz w:val="24"/>
          <w:szCs w:val="24"/>
        </w:rPr>
        <w:t>（9）其他合同文件。</w:t>
      </w:r>
    </w:p>
    <w:p>
      <w:pPr>
        <w:spacing w:line="360" w:lineRule="auto"/>
        <w:ind w:firstLine="511" w:firstLineChars="213"/>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上述各项合同文件包括合同当事人就该项合同文件所作出的补充和修改，属于同一类内容的文件，应以最新签署的为准。</w:t>
      </w:r>
    </w:p>
    <w:p>
      <w:pPr>
        <w:spacing w:line="360" w:lineRule="auto"/>
        <w:ind w:firstLine="511" w:firstLineChars="213"/>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在合同履行过程中形成的与合同有关的文件均构成合同文件组成部分，并根据其性质确定优先解释顺序。</w:t>
      </w:r>
    </w:p>
    <w:p>
      <w:pPr>
        <w:pStyle w:val="7"/>
        <w:spacing w:before="120" w:after="120" w:line="360" w:lineRule="auto"/>
        <w:ind w:firstLine="480" w:firstLineChars="200"/>
        <w:rPr>
          <w:rFonts w:asciiTheme="minorEastAsia" w:hAnsiTheme="minorEastAsia" w:eastAsiaTheme="minorEastAsia"/>
          <w:b w:val="0"/>
          <w:color w:val="auto"/>
          <w:sz w:val="24"/>
          <w:szCs w:val="24"/>
        </w:rPr>
      </w:pPr>
      <w:bookmarkStart w:id="45" w:name="_Toc351203502"/>
      <w:r>
        <w:rPr>
          <w:rFonts w:hint="eastAsia" w:asciiTheme="minorEastAsia" w:hAnsiTheme="minorEastAsia" w:eastAsiaTheme="minorEastAsia"/>
          <w:b w:val="0"/>
          <w:color w:val="auto"/>
          <w:sz w:val="24"/>
          <w:szCs w:val="24"/>
        </w:rPr>
        <w:t>1</w:t>
      </w:r>
      <w:bookmarkStart w:id="46" w:name="_Toc337558733"/>
      <w:bookmarkStart w:id="47" w:name="_Toc296346534"/>
      <w:bookmarkStart w:id="48" w:name="_Toc296503033"/>
      <w:r>
        <w:rPr>
          <w:rFonts w:hint="eastAsia" w:asciiTheme="minorEastAsia" w:hAnsiTheme="minorEastAsia" w:eastAsiaTheme="minorEastAsia"/>
          <w:b w:val="0"/>
          <w:color w:val="auto"/>
          <w:sz w:val="24"/>
          <w:szCs w:val="24"/>
        </w:rPr>
        <w:t>.6 联络</w:t>
      </w:r>
      <w:bookmarkEnd w:id="45"/>
    </w:p>
    <w:bookmarkEnd w:id="46"/>
    <w:bookmarkEnd w:id="47"/>
    <w:bookmarkEnd w:id="48"/>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1.6.1 与合同有关的通知、批准、证明、证书、指示、指令、要求、请求、同意、确定和决定等，均应采用书面形式，并应在合同约定的期限内送达接收人和送达地点。</w:t>
      </w:r>
    </w:p>
    <w:p>
      <w:pPr>
        <w:adjustRightInd w:val="0"/>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1.6.2 发包人和设计人应在专用合同条款中约定各自的送达接收人、送达地点、电子邮箱。任何一方合同当事人指定的接收人或送达地点或电子邮箱发生变动的，应提前3天以书面形式通知对方，否则视为未发生变动。</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1.6.3 发包人和设计人应当及时签收另一方送达至送达地点和指定接收人的来往信函，如确有充分证据证明一方无正当理由拒不签收的，视为拒绝签收一方认可往来信函的内容。</w:t>
      </w:r>
    </w:p>
    <w:p>
      <w:pPr>
        <w:pStyle w:val="7"/>
        <w:spacing w:before="120" w:after="120" w:line="360" w:lineRule="auto"/>
        <w:ind w:firstLine="480" w:firstLineChars="200"/>
        <w:rPr>
          <w:rFonts w:asciiTheme="minorEastAsia" w:hAnsiTheme="minorEastAsia" w:eastAsiaTheme="minorEastAsia"/>
          <w:b w:val="0"/>
          <w:color w:val="auto"/>
          <w:sz w:val="24"/>
          <w:szCs w:val="24"/>
        </w:rPr>
      </w:pPr>
      <w:bookmarkStart w:id="49" w:name="_Toc351203503"/>
      <w:r>
        <w:rPr>
          <w:rFonts w:hint="eastAsia" w:asciiTheme="minorEastAsia" w:hAnsiTheme="minorEastAsia" w:eastAsiaTheme="minorEastAsia"/>
          <w:b w:val="0"/>
          <w:color w:val="auto"/>
          <w:sz w:val="24"/>
          <w:szCs w:val="24"/>
        </w:rPr>
        <w:t>1</w:t>
      </w:r>
      <w:bookmarkStart w:id="50" w:name="_Toc296346536"/>
      <w:bookmarkStart w:id="51" w:name="_Toc296503035"/>
      <w:bookmarkStart w:id="52" w:name="_Toc337558734"/>
      <w:r>
        <w:rPr>
          <w:rFonts w:hint="eastAsia" w:asciiTheme="minorEastAsia" w:hAnsiTheme="minorEastAsia" w:eastAsiaTheme="minorEastAsia"/>
          <w:b w:val="0"/>
          <w:color w:val="auto"/>
          <w:sz w:val="24"/>
          <w:szCs w:val="24"/>
        </w:rPr>
        <w:t>.7 严禁贿赂</w:t>
      </w:r>
      <w:bookmarkEnd w:id="49"/>
    </w:p>
    <w:bookmarkEnd w:id="50"/>
    <w:bookmarkEnd w:id="51"/>
    <w:bookmarkEnd w:id="52"/>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合同当事人不得以贿赂或变相贿赂的方式，谋取非法利益或损害对方权益。因一方合同当事人的贿赂造成对方损失的，应赔偿损失，并承担相应的法律责任。</w:t>
      </w:r>
    </w:p>
    <w:p>
      <w:pPr>
        <w:pStyle w:val="7"/>
        <w:spacing w:before="120" w:after="120" w:line="360" w:lineRule="auto"/>
        <w:ind w:firstLine="480" w:firstLineChars="200"/>
        <w:rPr>
          <w:rFonts w:asciiTheme="minorEastAsia" w:hAnsiTheme="minorEastAsia" w:eastAsiaTheme="minorEastAsia"/>
          <w:b w:val="0"/>
          <w:color w:val="auto"/>
          <w:sz w:val="24"/>
          <w:szCs w:val="24"/>
        </w:rPr>
      </w:pPr>
      <w:r>
        <w:rPr>
          <w:rFonts w:hint="eastAsia" w:asciiTheme="minorEastAsia" w:hAnsiTheme="minorEastAsia" w:eastAsiaTheme="minorEastAsia"/>
          <w:b w:val="0"/>
          <w:color w:val="auto"/>
          <w:sz w:val="24"/>
          <w:szCs w:val="24"/>
        </w:rPr>
        <w:t>1</w:t>
      </w:r>
      <w:bookmarkStart w:id="53" w:name="_Toc337558738"/>
      <w:r>
        <w:rPr>
          <w:rFonts w:hint="eastAsia" w:asciiTheme="minorEastAsia" w:hAnsiTheme="minorEastAsia" w:eastAsiaTheme="minorEastAsia"/>
          <w:b w:val="0"/>
          <w:color w:val="auto"/>
          <w:sz w:val="24"/>
          <w:szCs w:val="24"/>
        </w:rPr>
        <w:t>.8 保密</w:t>
      </w:r>
    </w:p>
    <w:bookmarkEnd w:id="53"/>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除法律规定或合同另有约定外，未经发包人同意，设计人不得将发包人提供的图纸、文件以及声明需要保密的资料信息等商业秘密泄露给第三方。</w:t>
      </w:r>
    </w:p>
    <w:p>
      <w:pPr>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除法律规定或合同另有约定外，未经设计人同意，发包人不得将设计人提供的技术文件、技术成果、技术秘密及声明需要保密的资料信息等商业秘密泄露给第三方。</w:t>
      </w:r>
    </w:p>
    <w:p>
      <w:pPr>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保密期限由发包人与设计人在专用合同条款中约定。</w:t>
      </w:r>
    </w:p>
    <w:p>
      <w:pPr>
        <w:pStyle w:val="6"/>
        <w:spacing w:before="120" w:after="120" w:line="360" w:lineRule="auto"/>
        <w:rPr>
          <w:rFonts w:asciiTheme="minorEastAsia" w:hAnsiTheme="minorEastAsia" w:eastAsiaTheme="minorEastAsia"/>
          <w:b w:val="0"/>
          <w:color w:val="auto"/>
          <w:sz w:val="24"/>
          <w:szCs w:val="24"/>
        </w:rPr>
      </w:pPr>
      <w:bookmarkStart w:id="54" w:name="_Toc351203509"/>
      <w:r>
        <w:rPr>
          <w:rFonts w:hint="eastAsia" w:asciiTheme="minorEastAsia" w:hAnsiTheme="minorEastAsia" w:eastAsiaTheme="minorEastAsia"/>
          <w:b w:val="0"/>
          <w:color w:val="auto"/>
          <w:sz w:val="24"/>
          <w:szCs w:val="24"/>
        </w:rPr>
        <w:t>2</w:t>
      </w:r>
      <w:bookmarkStart w:id="55" w:name="_Toc296346539"/>
      <w:bookmarkStart w:id="56" w:name="_Toc337558739"/>
      <w:bookmarkStart w:id="57" w:name="_Toc296503038"/>
      <w:bookmarkStart w:id="58" w:name="OLE_LINK1"/>
      <w:r>
        <w:rPr>
          <w:rFonts w:hint="eastAsia" w:asciiTheme="minorEastAsia" w:hAnsiTheme="minorEastAsia" w:eastAsiaTheme="minorEastAsia"/>
          <w:b w:val="0"/>
          <w:color w:val="auto"/>
          <w:sz w:val="24"/>
          <w:szCs w:val="24"/>
        </w:rPr>
        <w:t>. 发包人</w:t>
      </w:r>
      <w:bookmarkEnd w:id="54"/>
    </w:p>
    <w:bookmarkEnd w:id="55"/>
    <w:bookmarkEnd w:id="56"/>
    <w:bookmarkEnd w:id="57"/>
    <w:p>
      <w:pPr>
        <w:pStyle w:val="7"/>
        <w:spacing w:before="120" w:after="120" w:line="360" w:lineRule="auto"/>
        <w:ind w:firstLine="480" w:firstLineChars="200"/>
        <w:rPr>
          <w:rFonts w:asciiTheme="minorEastAsia" w:hAnsiTheme="minorEastAsia" w:eastAsiaTheme="minorEastAsia"/>
          <w:b w:val="0"/>
          <w:color w:val="auto"/>
          <w:sz w:val="24"/>
          <w:szCs w:val="24"/>
        </w:rPr>
      </w:pPr>
      <w:bookmarkStart w:id="59" w:name="_Toc351203510"/>
      <w:r>
        <w:rPr>
          <w:rFonts w:hint="eastAsia" w:asciiTheme="minorEastAsia" w:hAnsiTheme="minorEastAsia" w:eastAsiaTheme="minorEastAsia"/>
          <w:b w:val="0"/>
          <w:color w:val="auto"/>
          <w:sz w:val="24"/>
          <w:szCs w:val="24"/>
        </w:rPr>
        <w:t>2</w:t>
      </w:r>
      <w:bookmarkStart w:id="60" w:name="_Toc296503039"/>
      <w:bookmarkStart w:id="61" w:name="_Toc296346540"/>
      <w:bookmarkStart w:id="62" w:name="_Toc337558740"/>
      <w:r>
        <w:rPr>
          <w:rFonts w:hint="eastAsia" w:asciiTheme="minorEastAsia" w:hAnsiTheme="minorEastAsia" w:eastAsiaTheme="minorEastAsia"/>
          <w:b w:val="0"/>
          <w:color w:val="auto"/>
          <w:sz w:val="24"/>
          <w:szCs w:val="24"/>
        </w:rPr>
        <w:t xml:space="preserve">.1 </w:t>
      </w:r>
      <w:bookmarkEnd w:id="59"/>
      <w:r>
        <w:rPr>
          <w:rFonts w:hint="eastAsia" w:asciiTheme="minorEastAsia" w:hAnsiTheme="minorEastAsia" w:eastAsiaTheme="minorEastAsia"/>
          <w:b w:val="0"/>
          <w:color w:val="auto"/>
          <w:sz w:val="24"/>
          <w:szCs w:val="24"/>
        </w:rPr>
        <w:t>发包人一般义务</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2.1.1 发包人应遵守法律，并办理法律规定由其办理的许可、核准或备案，包括但不限于建设用地规划许可证、建设工程规划许可证、建设工程方案设计批准</w:t>
      </w:r>
      <w:r>
        <w:rPr>
          <w:rFonts w:hint="eastAsia" w:asciiTheme="minorEastAsia" w:hAnsiTheme="minorEastAsia" w:eastAsiaTheme="minorEastAsia"/>
          <w:strike/>
          <w:color w:val="auto"/>
          <w:kern w:val="0"/>
          <w:sz w:val="24"/>
          <w:szCs w:val="24"/>
        </w:rPr>
        <w:t>、施工图设计审查</w:t>
      </w:r>
      <w:r>
        <w:rPr>
          <w:rFonts w:hint="eastAsia" w:asciiTheme="minorEastAsia" w:hAnsiTheme="minorEastAsia" w:eastAsiaTheme="minorEastAsia"/>
          <w:color w:val="auto"/>
          <w:kern w:val="0"/>
          <w:sz w:val="24"/>
          <w:szCs w:val="24"/>
        </w:rPr>
        <w:t>等许可、核准或备案。</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rPr>
      </w:pPr>
      <w:r>
        <w:rPr>
          <w:rFonts w:hint="eastAsia" w:cs="Courier New" w:asciiTheme="minorEastAsia" w:hAnsiTheme="minorEastAsia" w:eastAsiaTheme="minorEastAsia"/>
          <w:color w:val="auto"/>
          <w:sz w:val="24"/>
          <w:szCs w:val="24"/>
        </w:rPr>
        <w:t>发包人负责本项目各阶段设计文件向规划设计管理部门的送审报批工作，并负责将报批结果书面通知设计人。</w:t>
      </w:r>
      <w:r>
        <w:rPr>
          <w:rFonts w:hint="eastAsia" w:asciiTheme="minorEastAsia" w:hAnsiTheme="minorEastAsia" w:eastAsiaTheme="minorEastAsia"/>
          <w:color w:val="auto"/>
          <w:kern w:val="0"/>
          <w:sz w:val="24"/>
          <w:szCs w:val="24"/>
        </w:rPr>
        <w:t>因发包人原因未能及时办理完毕前述许可、核准或备案手续，导致设计工作量增加和（或）设计周期延长时，由发包人承担由此增加的设计费用和（或）延长的设计周期。</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2.1.2 发包人应当负责工程设计的所有外部关系（包括但不限于当地政府主管部门等）的协调，为设计人履行合同提供必要的外部条件。</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2.1.3 专用合同条款约定的其他义务。</w:t>
      </w:r>
    </w:p>
    <w:p>
      <w:pPr>
        <w:pStyle w:val="7"/>
        <w:spacing w:before="120" w:after="120" w:line="360" w:lineRule="auto"/>
        <w:ind w:firstLine="480" w:firstLineChars="200"/>
        <w:rPr>
          <w:rFonts w:asciiTheme="minorEastAsia" w:hAnsiTheme="minorEastAsia" w:eastAsiaTheme="minorEastAsia"/>
          <w:b w:val="0"/>
          <w:color w:val="auto"/>
          <w:sz w:val="24"/>
          <w:szCs w:val="24"/>
        </w:rPr>
      </w:pPr>
      <w:bookmarkStart w:id="63" w:name="_Toc351203511"/>
      <w:r>
        <w:rPr>
          <w:rFonts w:hint="eastAsia" w:asciiTheme="minorEastAsia" w:hAnsiTheme="minorEastAsia" w:eastAsiaTheme="minorEastAsia"/>
          <w:b w:val="0"/>
          <w:color w:val="auto"/>
          <w:sz w:val="24"/>
          <w:szCs w:val="24"/>
        </w:rPr>
        <w:t>2.2 发包人代表</w:t>
      </w:r>
      <w:bookmarkEnd w:id="63"/>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发包人应在专用合同条款中明确其负责工程设计的发包人代表的姓名、职务、联系方式及授权范围等事项。发包人代表在发包人的授权范围内，负责处理合同履行过程中与发包人有关的具体事宜。发包人代表在授权范围内的行为由发包人承担法律责任。发包人更换发包人代表的，应在专用合同条款约定的期限内提前书面通知设计人。</w:t>
      </w:r>
    </w:p>
    <w:p>
      <w:pPr>
        <w:spacing w:line="360" w:lineRule="auto"/>
        <w:ind w:firstLine="480" w:firstLineChars="200"/>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发包人代表不能按照合同约定履行其职责及义务，并导致合同无法继续正常履行的，设计人可以要求发包人撤换发包人代表。</w:t>
      </w:r>
    </w:p>
    <w:p>
      <w:pPr>
        <w:pStyle w:val="7"/>
        <w:spacing w:before="120" w:after="120" w:line="360" w:lineRule="auto"/>
        <w:ind w:firstLine="480" w:firstLineChars="200"/>
        <w:rPr>
          <w:rFonts w:asciiTheme="minorEastAsia" w:hAnsiTheme="minorEastAsia" w:eastAsiaTheme="minorEastAsia"/>
          <w:b w:val="0"/>
          <w:color w:val="auto"/>
          <w:sz w:val="24"/>
          <w:szCs w:val="24"/>
        </w:rPr>
      </w:pPr>
      <w:r>
        <w:rPr>
          <w:rFonts w:hint="eastAsia" w:asciiTheme="minorEastAsia" w:hAnsiTheme="minorEastAsia" w:eastAsiaTheme="minorEastAsia"/>
          <w:b w:val="0"/>
          <w:color w:val="auto"/>
          <w:sz w:val="24"/>
          <w:szCs w:val="24"/>
        </w:rPr>
        <w:t>2.3 发包人决定</w:t>
      </w:r>
    </w:p>
    <w:p>
      <w:pPr>
        <w:spacing w:line="360" w:lineRule="auto"/>
        <w:ind w:firstLine="480" w:firstLineChars="200"/>
        <w:jc w:val="left"/>
        <w:rPr>
          <w:rFonts w:asciiTheme="minorEastAsia" w:hAnsiTheme="minorEastAsia" w:eastAsiaTheme="minorEastAsia"/>
          <w:color w:val="auto"/>
          <w:sz w:val="24"/>
          <w:szCs w:val="24"/>
        </w:rPr>
      </w:pPr>
      <w:r>
        <w:rPr>
          <w:rFonts w:hint="eastAsia" w:asciiTheme="minorEastAsia" w:hAnsiTheme="minorEastAsia" w:eastAsiaTheme="minorEastAsia"/>
          <w:color w:val="auto"/>
          <w:kern w:val="0"/>
          <w:sz w:val="24"/>
          <w:szCs w:val="24"/>
        </w:rPr>
        <w:t xml:space="preserve">2.3.1 </w:t>
      </w:r>
      <w:r>
        <w:rPr>
          <w:rFonts w:hint="eastAsia" w:asciiTheme="minorEastAsia" w:hAnsiTheme="minorEastAsia" w:eastAsiaTheme="minorEastAsia"/>
          <w:color w:val="auto"/>
          <w:sz w:val="24"/>
          <w:szCs w:val="24"/>
        </w:rPr>
        <w:t>发包人在法律允许的范围内有权对设计人的设计工作、设计项目和/或设计文件作出处理决定，设计人应按照发包人的决定执行，涉及设计周期和（或）设计费用等问题按本合同第11条〔工程设计变更与索赔〕的约定处理。</w:t>
      </w:r>
    </w:p>
    <w:p>
      <w:pPr>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sz w:val="24"/>
          <w:szCs w:val="24"/>
        </w:rPr>
        <w:t>2.3.2 发包人应在专用合同条款约定的期限内对设计人书面提出的事项作出书面决定，如发包人不在确定时间内作出书面决定，设计人的设计周期相应延长。</w:t>
      </w:r>
    </w:p>
    <w:bookmarkEnd w:id="58"/>
    <w:bookmarkEnd w:id="60"/>
    <w:bookmarkEnd w:id="61"/>
    <w:bookmarkEnd w:id="62"/>
    <w:p>
      <w:pPr>
        <w:pStyle w:val="7"/>
        <w:spacing w:before="120" w:after="120" w:line="360" w:lineRule="auto"/>
        <w:ind w:firstLine="480" w:firstLineChars="200"/>
        <w:rPr>
          <w:rFonts w:asciiTheme="minorEastAsia" w:hAnsiTheme="minorEastAsia" w:eastAsiaTheme="minorEastAsia"/>
          <w:b w:val="0"/>
          <w:color w:val="auto"/>
          <w:sz w:val="24"/>
          <w:szCs w:val="24"/>
        </w:rPr>
      </w:pPr>
      <w:r>
        <w:rPr>
          <w:rFonts w:hint="eastAsia" w:asciiTheme="minorEastAsia" w:hAnsiTheme="minorEastAsia" w:eastAsiaTheme="minorEastAsia"/>
          <w:b w:val="0"/>
          <w:color w:val="auto"/>
          <w:sz w:val="24"/>
          <w:szCs w:val="24"/>
        </w:rPr>
        <w:t>2</w:t>
      </w:r>
      <w:bookmarkStart w:id="64" w:name="_Toc296503042"/>
      <w:bookmarkStart w:id="65" w:name="_Toc337558745"/>
      <w:bookmarkStart w:id="66" w:name="_Toc296346543"/>
      <w:r>
        <w:rPr>
          <w:rFonts w:hint="eastAsia" w:asciiTheme="minorEastAsia" w:hAnsiTheme="minorEastAsia" w:eastAsiaTheme="minorEastAsia"/>
          <w:b w:val="0"/>
          <w:color w:val="auto"/>
          <w:sz w:val="24"/>
          <w:szCs w:val="24"/>
        </w:rPr>
        <w:t xml:space="preserve">.4 </w:t>
      </w:r>
      <w:bookmarkEnd w:id="64"/>
      <w:bookmarkEnd w:id="65"/>
      <w:bookmarkEnd w:id="66"/>
      <w:bookmarkStart w:id="67" w:name="_Toc351203515"/>
      <w:r>
        <w:rPr>
          <w:rFonts w:hint="eastAsia" w:asciiTheme="minorEastAsia" w:hAnsiTheme="minorEastAsia" w:eastAsiaTheme="minorEastAsia"/>
          <w:b w:val="0"/>
          <w:color w:val="auto"/>
          <w:sz w:val="24"/>
          <w:szCs w:val="24"/>
        </w:rPr>
        <w:t>支付合同价款</w:t>
      </w:r>
      <w:bookmarkEnd w:id="67"/>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发包人应按合同约定向设计人及时足额支付合同价款。</w:t>
      </w:r>
    </w:p>
    <w:p>
      <w:pPr>
        <w:pStyle w:val="7"/>
        <w:spacing w:before="120" w:after="120" w:line="360" w:lineRule="auto"/>
        <w:ind w:firstLine="480" w:firstLineChars="200"/>
        <w:rPr>
          <w:rFonts w:asciiTheme="minorEastAsia" w:hAnsiTheme="minorEastAsia" w:eastAsiaTheme="minorEastAsia"/>
          <w:b w:val="0"/>
          <w:color w:val="auto"/>
          <w:sz w:val="24"/>
          <w:szCs w:val="24"/>
        </w:rPr>
      </w:pPr>
      <w:bookmarkStart w:id="68" w:name="_Toc351203516"/>
      <w:r>
        <w:rPr>
          <w:rFonts w:hint="eastAsia" w:asciiTheme="minorEastAsia" w:hAnsiTheme="minorEastAsia" w:eastAsiaTheme="minorEastAsia"/>
          <w:b w:val="0"/>
          <w:color w:val="auto"/>
          <w:sz w:val="24"/>
          <w:szCs w:val="24"/>
        </w:rPr>
        <w:t xml:space="preserve">2.5 </w:t>
      </w:r>
      <w:bookmarkEnd w:id="68"/>
      <w:r>
        <w:rPr>
          <w:rFonts w:hint="eastAsia" w:asciiTheme="minorEastAsia" w:hAnsiTheme="minorEastAsia" w:eastAsiaTheme="minorEastAsia"/>
          <w:b w:val="0"/>
          <w:color w:val="auto"/>
          <w:sz w:val="24"/>
          <w:szCs w:val="24"/>
        </w:rPr>
        <w:t>设计文件接收</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发包人应按合同约定及时接收设计人提交的工程设计文件。</w:t>
      </w:r>
    </w:p>
    <w:p>
      <w:pPr>
        <w:pStyle w:val="6"/>
        <w:keepNext w:val="0"/>
        <w:keepLines w:val="0"/>
        <w:spacing w:before="120" w:after="120" w:line="360" w:lineRule="auto"/>
        <w:rPr>
          <w:rFonts w:asciiTheme="minorEastAsia" w:hAnsiTheme="minorEastAsia" w:eastAsiaTheme="minorEastAsia"/>
          <w:b w:val="0"/>
          <w:color w:val="auto"/>
          <w:sz w:val="24"/>
          <w:szCs w:val="24"/>
        </w:rPr>
      </w:pPr>
      <w:bookmarkStart w:id="69" w:name="_Toc351203518"/>
      <w:r>
        <w:rPr>
          <w:rFonts w:hint="eastAsia" w:asciiTheme="minorEastAsia" w:hAnsiTheme="minorEastAsia" w:eastAsiaTheme="minorEastAsia"/>
          <w:b w:val="0"/>
          <w:color w:val="auto"/>
          <w:sz w:val="24"/>
          <w:szCs w:val="24"/>
        </w:rPr>
        <w:t>3</w:t>
      </w:r>
      <w:bookmarkStart w:id="70" w:name="_Toc296346546"/>
      <w:bookmarkStart w:id="71" w:name="_Toc337558746"/>
      <w:bookmarkStart w:id="72" w:name="_Toc296503045"/>
      <w:r>
        <w:rPr>
          <w:rFonts w:hint="eastAsia" w:asciiTheme="minorEastAsia" w:hAnsiTheme="minorEastAsia" w:eastAsiaTheme="minorEastAsia"/>
          <w:b w:val="0"/>
          <w:color w:val="auto"/>
          <w:sz w:val="24"/>
          <w:szCs w:val="24"/>
        </w:rPr>
        <w:t>. 设计人</w:t>
      </w:r>
      <w:bookmarkEnd w:id="69"/>
    </w:p>
    <w:bookmarkEnd w:id="70"/>
    <w:bookmarkEnd w:id="71"/>
    <w:bookmarkEnd w:id="72"/>
    <w:p>
      <w:pPr>
        <w:pStyle w:val="7"/>
        <w:keepNext w:val="0"/>
        <w:keepLines w:val="0"/>
        <w:spacing w:before="120" w:after="120" w:line="360" w:lineRule="auto"/>
        <w:ind w:firstLine="480" w:firstLineChars="200"/>
        <w:rPr>
          <w:rFonts w:asciiTheme="minorEastAsia" w:hAnsiTheme="minorEastAsia" w:eastAsiaTheme="minorEastAsia"/>
          <w:b w:val="0"/>
          <w:color w:val="auto"/>
          <w:sz w:val="24"/>
          <w:szCs w:val="24"/>
        </w:rPr>
      </w:pPr>
      <w:bookmarkStart w:id="73" w:name="_Toc351203519"/>
      <w:r>
        <w:rPr>
          <w:rFonts w:hint="eastAsia" w:asciiTheme="minorEastAsia" w:hAnsiTheme="minorEastAsia" w:eastAsiaTheme="minorEastAsia"/>
          <w:b w:val="0"/>
          <w:color w:val="auto"/>
          <w:sz w:val="24"/>
          <w:szCs w:val="24"/>
        </w:rPr>
        <w:t>3</w:t>
      </w:r>
      <w:bookmarkStart w:id="74" w:name="_Toc337558747"/>
      <w:bookmarkStart w:id="75" w:name="_Toc296503046"/>
      <w:bookmarkStart w:id="76" w:name="_Toc296346547"/>
      <w:r>
        <w:rPr>
          <w:rFonts w:hint="eastAsia" w:asciiTheme="minorEastAsia" w:hAnsiTheme="minorEastAsia" w:eastAsiaTheme="minorEastAsia"/>
          <w:b w:val="0"/>
          <w:color w:val="auto"/>
          <w:sz w:val="24"/>
          <w:szCs w:val="24"/>
        </w:rPr>
        <w:t>.1 设计人一般义务</w:t>
      </w:r>
      <w:bookmarkEnd w:id="73"/>
    </w:p>
    <w:bookmarkEnd w:id="74"/>
    <w:bookmarkEnd w:id="75"/>
    <w:bookmarkEnd w:id="76"/>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3.1.1 设计人应遵守法律和有关技术标准的强制性规定，完成合同约定范围内的房屋建筑工程方案设计、初步设计</w:t>
      </w:r>
      <w:r>
        <w:rPr>
          <w:rFonts w:hint="eastAsia" w:asciiTheme="minorEastAsia" w:hAnsiTheme="minorEastAsia" w:eastAsiaTheme="minorEastAsia"/>
          <w:strike/>
          <w:color w:val="auto"/>
          <w:kern w:val="0"/>
          <w:sz w:val="24"/>
          <w:szCs w:val="24"/>
        </w:rPr>
        <w:t>、施工图设计</w:t>
      </w:r>
      <w:r>
        <w:rPr>
          <w:rFonts w:hint="eastAsia" w:asciiTheme="minorEastAsia" w:hAnsiTheme="minorEastAsia" w:eastAsiaTheme="minorEastAsia"/>
          <w:color w:val="auto"/>
          <w:kern w:val="0"/>
          <w:sz w:val="24"/>
          <w:szCs w:val="24"/>
        </w:rPr>
        <w:t>，提供符合技术标准及合同要求的工程设计文件，提供施工配合服务。</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设计人应当按照专用合同条款约定配合发包人办理有关许可、核准或备案手续的，因设计人原因造成发包人未能及时办理许可、核准或备案手续，导致设计工作量增加和（或）设计周期延长时，由设计人自行承担由此增加的设计费用和（或）设计周期延长的责任。</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3.1.2 设计人应当完成合同约定的工程设计其他服务。</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3.1.3 专用合同条款约定的其他义务。</w:t>
      </w:r>
    </w:p>
    <w:p>
      <w:pPr>
        <w:pStyle w:val="7"/>
        <w:spacing w:before="120" w:after="120" w:line="360" w:lineRule="auto"/>
        <w:ind w:firstLine="480" w:firstLineChars="200"/>
        <w:rPr>
          <w:rFonts w:asciiTheme="minorEastAsia" w:hAnsiTheme="minorEastAsia" w:eastAsiaTheme="minorEastAsia"/>
          <w:b w:val="0"/>
          <w:color w:val="auto"/>
          <w:sz w:val="24"/>
          <w:szCs w:val="24"/>
        </w:rPr>
      </w:pPr>
      <w:bookmarkStart w:id="77" w:name="_Toc351203520"/>
      <w:r>
        <w:rPr>
          <w:rFonts w:hint="eastAsia" w:asciiTheme="minorEastAsia" w:hAnsiTheme="minorEastAsia" w:eastAsiaTheme="minorEastAsia"/>
          <w:b w:val="0"/>
          <w:color w:val="auto"/>
          <w:sz w:val="24"/>
          <w:szCs w:val="24"/>
        </w:rPr>
        <w:t>3</w:t>
      </w:r>
      <w:bookmarkStart w:id="78" w:name="_Toc337558748"/>
      <w:bookmarkStart w:id="79" w:name="_Toc296503047"/>
      <w:bookmarkStart w:id="80" w:name="_Toc296346548"/>
      <w:r>
        <w:rPr>
          <w:rFonts w:hint="eastAsia" w:asciiTheme="minorEastAsia" w:hAnsiTheme="minorEastAsia" w:eastAsiaTheme="minorEastAsia"/>
          <w:b w:val="0"/>
          <w:color w:val="auto"/>
          <w:sz w:val="24"/>
          <w:szCs w:val="24"/>
        </w:rPr>
        <w:t xml:space="preserve">.2 </w:t>
      </w:r>
      <w:bookmarkEnd w:id="77"/>
      <w:r>
        <w:rPr>
          <w:rFonts w:hint="eastAsia" w:asciiTheme="minorEastAsia" w:hAnsiTheme="minorEastAsia" w:eastAsiaTheme="minorEastAsia"/>
          <w:b w:val="0"/>
          <w:color w:val="auto"/>
          <w:sz w:val="24"/>
          <w:szCs w:val="24"/>
        </w:rPr>
        <w:t>项目负责人</w:t>
      </w:r>
    </w:p>
    <w:bookmarkEnd w:id="78"/>
    <w:bookmarkEnd w:id="79"/>
    <w:bookmarkEnd w:id="80"/>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3.2.1 项目负责人应为合同当事人所确认的人选，并在专用合同条款中明确项目负责人的姓名、执业资格及等级、注册执业证书编号、联系方式及授权范围等事项，项目负责人经设计人授权后代表设计人负责履行合同。</w:t>
      </w:r>
    </w:p>
    <w:p>
      <w:pPr>
        <w:adjustRightInd w:val="0"/>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3.2.2 设计人需要更换项目负责人的，应在专用合同条款约定的期限内提前书面通知发包人，并征得发包人书面同意。通知中应当载明继任项目负责人的注册执业资格、管理经验等资料，继任项目负责人继续履行第3.2.1项约定的职责。未经发包人书面同意，设计人不得擅自更换项目负责人。设计人擅自更换项目负责人的，应按照专用合同条款的约定承担违约责任。对于设计人项目负责人确因患病、与设计人解除或终止劳动关系、工伤等原因更换项目负责人的，发包人无正当理由不得拒绝更换。</w:t>
      </w:r>
    </w:p>
    <w:p>
      <w:pPr>
        <w:adjustRightInd w:val="0"/>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3.2.3 发包人有权书面通知设计人更换其认为不称职的项目负责人，通知中应当载明要求更换的理由。对于发包人有理由的更换要求，设计人应在收到书面更换通知后在专用合同条款约定的期限内进行更换，并将新任命的项目负责人的注册执业资格、管理经验等资料书面通知发包人。继任项目负责人继续履行第3.2.1项约定的职责。设计人无正当理由拒绝更换项目负责人的，应按照专用合同条款的约定承担违约责任。</w:t>
      </w:r>
    </w:p>
    <w:p>
      <w:pPr>
        <w:pStyle w:val="7"/>
        <w:spacing w:before="120" w:after="120" w:line="360" w:lineRule="auto"/>
        <w:ind w:firstLine="480" w:firstLineChars="200"/>
        <w:rPr>
          <w:rFonts w:asciiTheme="minorEastAsia" w:hAnsiTheme="minorEastAsia" w:eastAsiaTheme="minorEastAsia"/>
          <w:b w:val="0"/>
          <w:color w:val="auto"/>
          <w:sz w:val="24"/>
          <w:szCs w:val="24"/>
        </w:rPr>
      </w:pPr>
      <w:bookmarkStart w:id="81" w:name="_Toc351203521"/>
      <w:r>
        <w:rPr>
          <w:rFonts w:hint="eastAsia" w:asciiTheme="minorEastAsia" w:hAnsiTheme="minorEastAsia" w:eastAsiaTheme="minorEastAsia"/>
          <w:b w:val="0"/>
          <w:color w:val="auto"/>
          <w:sz w:val="24"/>
          <w:szCs w:val="24"/>
        </w:rPr>
        <w:t>3</w:t>
      </w:r>
      <w:bookmarkStart w:id="82" w:name="_Toc296503048"/>
      <w:bookmarkStart w:id="83" w:name="_Toc296346549"/>
      <w:bookmarkStart w:id="84" w:name="_Toc337558749"/>
      <w:r>
        <w:rPr>
          <w:rFonts w:hint="eastAsia" w:asciiTheme="minorEastAsia" w:hAnsiTheme="minorEastAsia" w:eastAsiaTheme="minorEastAsia"/>
          <w:b w:val="0"/>
          <w:color w:val="auto"/>
          <w:sz w:val="24"/>
          <w:szCs w:val="24"/>
        </w:rPr>
        <w:t xml:space="preserve">.3 </w:t>
      </w:r>
      <w:bookmarkEnd w:id="82"/>
      <w:bookmarkEnd w:id="83"/>
      <w:r>
        <w:rPr>
          <w:rFonts w:hint="eastAsia" w:asciiTheme="minorEastAsia" w:hAnsiTheme="minorEastAsia" w:eastAsiaTheme="minorEastAsia"/>
          <w:b w:val="0"/>
          <w:color w:val="auto"/>
          <w:sz w:val="24"/>
          <w:szCs w:val="24"/>
        </w:rPr>
        <w:t>设计人人员</w:t>
      </w:r>
      <w:bookmarkEnd w:id="81"/>
    </w:p>
    <w:bookmarkEnd w:id="84"/>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3.3.1 除专用合同条款对期限另有约定外，设计人应在接到开始设计通知后7天内，向发包人提交设计人项目管理机构及人员安排的报告，其内容应包括建筑、结构、给排水、暖通、电气等专业负责人名单及其岗位、注册执业资格等。</w:t>
      </w:r>
    </w:p>
    <w:p>
      <w:pPr>
        <w:adjustRightInd w:val="0"/>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3.3.2 设计人委派到工程设计中的设计人员应相对稳定。设计过程中如有变动，设计人应及时向发包人提交工程设计人员变动情况的报告。设计人更换专业负责人时，应提前7天书面通知发包人，除专业负责人无法正常履职情形外，还应征得发包人书面同意。通知中应当载明继任人员的注册执业资格、执业经验等资料。</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3.3.3 发包人对于设计人主要设计人员的资格或能力有异议的，设计人应提供资料证明被质疑人员有能力完成其岗位工作或不存在发包人所质疑的情形。发包人要求撤换不能按照合同约定履行职责及义务的主要设计人员的，设计人认为发包人有理由的，应当撤换。设计人无正当理由拒绝撤换的，应按照专用合同条款的约定承担违约责任。</w:t>
      </w:r>
    </w:p>
    <w:p>
      <w:pPr>
        <w:pStyle w:val="7"/>
        <w:spacing w:before="120" w:after="120" w:line="360" w:lineRule="auto"/>
        <w:ind w:firstLine="480" w:firstLineChars="200"/>
        <w:rPr>
          <w:rFonts w:asciiTheme="minorEastAsia" w:hAnsiTheme="minorEastAsia" w:eastAsiaTheme="minorEastAsia"/>
          <w:b w:val="0"/>
          <w:color w:val="auto"/>
          <w:sz w:val="24"/>
          <w:szCs w:val="24"/>
        </w:rPr>
      </w:pPr>
      <w:bookmarkStart w:id="85" w:name="_Toc351203523"/>
      <w:r>
        <w:rPr>
          <w:rFonts w:hint="eastAsia" w:asciiTheme="minorEastAsia" w:hAnsiTheme="minorEastAsia" w:eastAsiaTheme="minorEastAsia"/>
          <w:b w:val="0"/>
          <w:color w:val="auto"/>
          <w:sz w:val="24"/>
          <w:szCs w:val="24"/>
        </w:rPr>
        <w:t>3</w:t>
      </w:r>
      <w:bookmarkStart w:id="86" w:name="_Toc296503051"/>
      <w:bookmarkStart w:id="87" w:name="_Toc337558751"/>
      <w:bookmarkStart w:id="88" w:name="_Toc296346552"/>
      <w:r>
        <w:rPr>
          <w:rFonts w:hint="eastAsia" w:asciiTheme="minorEastAsia" w:hAnsiTheme="minorEastAsia" w:eastAsiaTheme="minorEastAsia"/>
          <w:b w:val="0"/>
          <w:color w:val="auto"/>
          <w:sz w:val="24"/>
          <w:szCs w:val="24"/>
        </w:rPr>
        <w:t>.4 设计分包</w:t>
      </w:r>
      <w:bookmarkEnd w:id="85"/>
    </w:p>
    <w:bookmarkEnd w:id="86"/>
    <w:bookmarkEnd w:id="87"/>
    <w:bookmarkEnd w:id="88"/>
    <w:p>
      <w:pPr>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3.4.1 设计分包的一般约定</w:t>
      </w:r>
    </w:p>
    <w:p>
      <w:pPr>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设计人不得将其承包的全部工程设计转包给第三人，或将其承包的全部工程设计肢解后以分包的名义转包给第三人。设计人不得将工程主体结构、关键性工作及专用合同条款中禁止分包的工程设计分包给第三人，工程主体结构、关键性工作的范围由合同当事人按照法律规定在专用合同条款中予以明确。设计人不得进行违法分包。</w:t>
      </w:r>
    </w:p>
    <w:p>
      <w:pPr>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3.4.2 设计分包的确定</w:t>
      </w:r>
    </w:p>
    <w:p>
      <w:pPr>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设计人应按专用合同条款的约定或经过发包人书面同意后进行分包，确定分包人。按照合同约定或经过发包人书面同意后进行分包的，设计人应确保分包人具有相应的资质和能力。工程设计分包不减轻或免除设计人的责任和义务，设计人和分包人就分包工程设计向发包人承担连带责任。</w:t>
      </w:r>
    </w:p>
    <w:p>
      <w:pPr>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3.4.3 设计分包管理</w:t>
      </w:r>
    </w:p>
    <w:p>
      <w:pPr>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设计人应按照专用合同条款的约定向发包人提交分包人的主要工程设计人员名单、注册执业资格及执业经历等。</w:t>
      </w:r>
    </w:p>
    <w:p>
      <w:pPr>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3.4.4 分包工程设计费</w:t>
      </w:r>
    </w:p>
    <w:p>
      <w:pPr>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（1）除本项第（2）目约定的情况或专用合同条款另有约定外，分包工程设计费由设计人与分包人结算，未经设计人同意，发包人不得向分包人支付分包工程设计费；</w:t>
      </w:r>
    </w:p>
    <w:p>
      <w:pPr>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（2）生效的法院判决书或仲裁裁决书要求发包人向分包人支付分包工程设计费的，发包人有权从应付设计人合同价款中扣除该部分费用。</w:t>
      </w:r>
    </w:p>
    <w:p>
      <w:pPr>
        <w:pStyle w:val="7"/>
        <w:spacing w:before="120" w:after="120" w:line="360" w:lineRule="auto"/>
        <w:ind w:firstLine="480" w:firstLineChars="200"/>
        <w:rPr>
          <w:rFonts w:asciiTheme="minorEastAsia" w:hAnsiTheme="minorEastAsia" w:eastAsiaTheme="minorEastAsia"/>
          <w:b w:val="0"/>
          <w:color w:val="auto"/>
          <w:sz w:val="24"/>
          <w:szCs w:val="24"/>
        </w:rPr>
      </w:pPr>
      <w:bookmarkStart w:id="89" w:name="_Toc351203526"/>
      <w:r>
        <w:rPr>
          <w:rFonts w:hint="eastAsia" w:asciiTheme="minorEastAsia" w:hAnsiTheme="minorEastAsia" w:eastAsiaTheme="minorEastAsia"/>
          <w:b w:val="0"/>
          <w:color w:val="auto"/>
          <w:sz w:val="24"/>
          <w:szCs w:val="24"/>
        </w:rPr>
        <w:t>3.5 联合体</w:t>
      </w:r>
      <w:bookmarkEnd w:id="89"/>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3.5.1 联合体各方应共同与发包人签订合同协议书。联合体各方应为履行合同向发包人承担连带责任。</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3.5.2 联合体协议，应当约定联合体各成员工作分工，经发包人确认后作为合同附件。在履行合同过程中，未经发包人同意，不得修改联合体协议。</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3.5.3 联合体牵头人负责与发包人联系，并接受指示，负责组织联合体各成员全面履行合同。</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3.5.4 发包人向联合体支付设计费用的方式在专用合同条款中约定。</w:t>
      </w:r>
    </w:p>
    <w:p>
      <w:pPr>
        <w:pStyle w:val="6"/>
        <w:spacing w:before="120" w:after="120" w:line="360" w:lineRule="auto"/>
        <w:rPr>
          <w:rFonts w:asciiTheme="minorEastAsia" w:hAnsiTheme="minorEastAsia" w:eastAsiaTheme="minorEastAsia"/>
          <w:b w:val="0"/>
          <w:color w:val="auto"/>
          <w:sz w:val="24"/>
          <w:szCs w:val="24"/>
        </w:rPr>
      </w:pPr>
      <w:r>
        <w:rPr>
          <w:rFonts w:hint="eastAsia" w:asciiTheme="minorEastAsia" w:hAnsiTheme="minorEastAsia" w:eastAsiaTheme="minorEastAsia"/>
          <w:b w:val="0"/>
          <w:color w:val="auto"/>
          <w:sz w:val="24"/>
          <w:szCs w:val="24"/>
        </w:rPr>
        <w:t>4. 工程设计资料</w:t>
      </w:r>
    </w:p>
    <w:p>
      <w:pPr>
        <w:pStyle w:val="7"/>
        <w:spacing w:before="120" w:after="120" w:line="360" w:lineRule="auto"/>
        <w:ind w:firstLine="480" w:firstLineChars="200"/>
        <w:rPr>
          <w:rFonts w:asciiTheme="minorEastAsia" w:hAnsiTheme="minorEastAsia" w:eastAsiaTheme="minorEastAsia"/>
          <w:b w:val="0"/>
          <w:color w:val="auto"/>
          <w:sz w:val="24"/>
          <w:szCs w:val="24"/>
        </w:rPr>
      </w:pPr>
      <w:r>
        <w:rPr>
          <w:rFonts w:hint="eastAsia" w:asciiTheme="minorEastAsia" w:hAnsiTheme="minorEastAsia" w:eastAsiaTheme="minorEastAsia"/>
          <w:b w:val="0"/>
          <w:color w:val="auto"/>
          <w:sz w:val="24"/>
          <w:szCs w:val="24"/>
        </w:rPr>
        <w:t>4.1 提供工程设计资料</w:t>
      </w:r>
    </w:p>
    <w:p>
      <w:pPr>
        <w:adjustRightInd w:val="0"/>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发包人应当在工程设计前或专用合同条款附件2约定的时间向设计人提供工程设计所必需的工程设计资料，并对所提供资料的真实性、准确性和完整性负责。</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按照法律规定确需在工程设计开始后方能提供的设计资料，发包人应及时地在相应工程设计文件提交给发包人前的合理期限内提供，合理期限应以不影响设计人的正常设计为限。</w:t>
      </w:r>
    </w:p>
    <w:p>
      <w:pPr>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bCs/>
          <w:color w:val="auto"/>
          <w:sz w:val="24"/>
          <w:szCs w:val="24"/>
        </w:rPr>
        <w:t>4.2 逾期提供的责任</w:t>
      </w:r>
    </w:p>
    <w:p>
      <w:pPr>
        <w:spacing w:line="360" w:lineRule="auto"/>
        <w:ind w:firstLine="480" w:firstLineChars="200"/>
        <w:rPr>
          <w:rFonts w:asciiTheme="minorEastAsia" w:hAnsiTheme="minorEastAsia" w:eastAsiaTheme="minorEastAsia"/>
          <w:color w:val="auto"/>
          <w:kern w:val="0"/>
          <w:sz w:val="24"/>
          <w:szCs w:val="24"/>
        </w:rPr>
      </w:pPr>
      <w:r>
        <w:rPr>
          <w:rFonts w:hint="eastAsia" w:asciiTheme="minorEastAsia" w:hAnsiTheme="minorEastAsia" w:eastAsiaTheme="minorEastAsia"/>
          <w:color w:val="auto"/>
          <w:sz w:val="24"/>
          <w:szCs w:val="24"/>
        </w:rPr>
        <w:t>发包人提交上述文件和资料超过约定期限的，超过约定期限15天以内，设计人按本合同约定的交付工程设计文件时间相应顺延；超过约定期限15天以外时，设计人有权重新确定提交工程设计文件的时间。工程设计资料逾期提供导致增加了设计工作量的，设计人可以要求发包人另行支付相应设计费用，并相应延长设计周期。</w:t>
      </w:r>
    </w:p>
    <w:p>
      <w:pPr>
        <w:pStyle w:val="6"/>
        <w:spacing w:before="120" w:after="120" w:line="360" w:lineRule="auto"/>
        <w:rPr>
          <w:rFonts w:asciiTheme="minorEastAsia" w:hAnsiTheme="minorEastAsia" w:eastAsiaTheme="minorEastAsia"/>
          <w:b w:val="0"/>
          <w:color w:val="auto"/>
          <w:sz w:val="24"/>
          <w:szCs w:val="24"/>
        </w:rPr>
      </w:pPr>
      <w:bookmarkStart w:id="90" w:name="_Toc351203532"/>
      <w:bookmarkStart w:id="91" w:name="_Toc337558758"/>
      <w:r>
        <w:rPr>
          <w:rFonts w:hint="eastAsia" w:asciiTheme="minorEastAsia" w:hAnsiTheme="minorEastAsia" w:eastAsiaTheme="minorEastAsia"/>
          <w:b w:val="0"/>
          <w:color w:val="auto"/>
          <w:sz w:val="24"/>
          <w:szCs w:val="24"/>
        </w:rPr>
        <w:t>5. 工程设计</w:t>
      </w:r>
      <w:bookmarkEnd w:id="90"/>
      <w:r>
        <w:rPr>
          <w:rFonts w:hint="eastAsia" w:asciiTheme="minorEastAsia" w:hAnsiTheme="minorEastAsia" w:eastAsiaTheme="minorEastAsia"/>
          <w:b w:val="0"/>
          <w:color w:val="auto"/>
          <w:sz w:val="24"/>
          <w:szCs w:val="24"/>
        </w:rPr>
        <w:t>要求</w:t>
      </w:r>
    </w:p>
    <w:bookmarkEnd w:id="91"/>
    <w:p>
      <w:pPr>
        <w:pStyle w:val="7"/>
        <w:spacing w:before="120" w:after="120" w:line="360" w:lineRule="auto"/>
        <w:ind w:firstLine="480" w:firstLineChars="200"/>
        <w:rPr>
          <w:rFonts w:asciiTheme="minorEastAsia" w:hAnsiTheme="minorEastAsia" w:eastAsiaTheme="minorEastAsia"/>
          <w:b w:val="0"/>
          <w:bCs w:val="0"/>
          <w:color w:val="auto"/>
          <w:kern w:val="0"/>
          <w:sz w:val="24"/>
          <w:szCs w:val="24"/>
        </w:rPr>
      </w:pPr>
      <w:bookmarkStart w:id="92" w:name="_Toc351203533"/>
      <w:bookmarkStart w:id="93" w:name="_Toc337558759"/>
      <w:r>
        <w:rPr>
          <w:rFonts w:hint="eastAsia" w:asciiTheme="minorEastAsia" w:hAnsiTheme="minorEastAsia" w:eastAsiaTheme="minorEastAsia"/>
          <w:b w:val="0"/>
          <w:color w:val="auto"/>
          <w:sz w:val="24"/>
          <w:szCs w:val="24"/>
        </w:rPr>
        <w:t>5.1 工程设计一般要求</w:t>
      </w:r>
    </w:p>
    <w:p>
      <w:pPr>
        <w:pStyle w:val="7"/>
        <w:spacing w:before="0" w:after="0" w:line="360" w:lineRule="auto"/>
        <w:ind w:firstLine="480" w:firstLineChars="200"/>
        <w:rPr>
          <w:rFonts w:asciiTheme="minorEastAsia" w:hAnsiTheme="minorEastAsia" w:eastAsiaTheme="minorEastAsia"/>
          <w:b w:val="0"/>
          <w:bCs w:val="0"/>
          <w:color w:val="auto"/>
          <w:kern w:val="0"/>
          <w:sz w:val="24"/>
          <w:szCs w:val="24"/>
        </w:rPr>
      </w:pPr>
      <w:r>
        <w:rPr>
          <w:rFonts w:hint="eastAsia" w:asciiTheme="minorEastAsia" w:hAnsiTheme="minorEastAsia" w:eastAsiaTheme="minorEastAsia"/>
          <w:b w:val="0"/>
          <w:bCs w:val="0"/>
          <w:color w:val="auto"/>
          <w:kern w:val="0"/>
          <w:sz w:val="24"/>
          <w:szCs w:val="24"/>
        </w:rPr>
        <w:t>5.1.1 对发包人的要求</w:t>
      </w:r>
    </w:p>
    <w:p>
      <w:pPr>
        <w:pStyle w:val="7"/>
        <w:spacing w:before="120" w:after="120" w:line="360" w:lineRule="auto"/>
        <w:ind w:firstLine="480" w:firstLineChars="200"/>
        <w:rPr>
          <w:rFonts w:asciiTheme="minorEastAsia" w:hAnsiTheme="minorEastAsia" w:eastAsiaTheme="minorEastAsia"/>
          <w:b w:val="0"/>
          <w:bCs w:val="0"/>
          <w:color w:val="auto"/>
          <w:kern w:val="0"/>
          <w:sz w:val="24"/>
          <w:szCs w:val="24"/>
        </w:rPr>
      </w:pPr>
      <w:r>
        <w:rPr>
          <w:rFonts w:hint="eastAsia" w:asciiTheme="minorEastAsia" w:hAnsiTheme="minorEastAsia" w:eastAsiaTheme="minorEastAsia"/>
          <w:b w:val="0"/>
          <w:bCs w:val="0"/>
          <w:color w:val="auto"/>
          <w:kern w:val="0"/>
          <w:sz w:val="24"/>
          <w:szCs w:val="24"/>
        </w:rPr>
        <w:t>5.1.1.1 发包人应当遵守法律和技术标准，不得以任何理由要求设计人违反法律和工程质量、安全标准进行工程设计，降低工程质量。</w:t>
      </w:r>
    </w:p>
    <w:p>
      <w:pPr>
        <w:spacing w:line="360" w:lineRule="auto"/>
        <w:ind w:firstLine="480" w:firstLineChars="200"/>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5.1.1.2 发包人要求进行主要技术指标控制的，钢材用量、混凝土用量等主要技术指标控制值应当符合有关工程设计标准的要求，且应当在工程设计开始前书面向设计人提出，经发包人与设计人协商一致后以书面形式确定作为本合同附件。</w:t>
      </w:r>
    </w:p>
    <w:p>
      <w:pPr>
        <w:spacing w:line="360" w:lineRule="auto"/>
        <w:ind w:firstLine="562"/>
        <w:rPr>
          <w:rFonts w:asciiTheme="minorEastAsia" w:hAnsiTheme="minorEastAsia" w:eastAsiaTheme="minorEastAsia"/>
          <w:color w:val="auto"/>
          <w:sz w:val="24"/>
          <w:szCs w:val="24"/>
        </w:rPr>
      </w:pPr>
      <w:r>
        <w:rPr>
          <w:rFonts w:hint="eastAsia" w:asciiTheme="minorEastAsia" w:hAnsiTheme="minorEastAsia" w:eastAsiaTheme="minorEastAsia"/>
          <w:color w:val="auto"/>
          <w:kern w:val="0"/>
          <w:sz w:val="24"/>
          <w:szCs w:val="24"/>
        </w:rPr>
        <w:t>5.1.1.3 发包人应当严格遵守主要技术指标控制的前提条件，由于发包人的原因导致工程设计文件超出主要技术指标控制值的，发包人承担相应责任。</w:t>
      </w:r>
    </w:p>
    <w:p>
      <w:pPr>
        <w:pStyle w:val="7"/>
        <w:keepNext w:val="0"/>
        <w:keepLines w:val="0"/>
        <w:spacing w:before="0" w:after="0" w:line="360" w:lineRule="auto"/>
        <w:ind w:firstLine="480" w:firstLineChars="200"/>
        <w:rPr>
          <w:rFonts w:asciiTheme="minorEastAsia" w:hAnsiTheme="minorEastAsia" w:eastAsiaTheme="minorEastAsia"/>
          <w:b w:val="0"/>
          <w:bCs w:val="0"/>
          <w:color w:val="auto"/>
          <w:kern w:val="0"/>
          <w:sz w:val="24"/>
          <w:szCs w:val="24"/>
        </w:rPr>
      </w:pPr>
      <w:r>
        <w:rPr>
          <w:rFonts w:hint="eastAsia" w:asciiTheme="minorEastAsia" w:hAnsiTheme="minorEastAsia" w:eastAsiaTheme="minorEastAsia"/>
          <w:b w:val="0"/>
          <w:bCs w:val="0"/>
          <w:color w:val="auto"/>
          <w:kern w:val="0"/>
          <w:sz w:val="24"/>
          <w:szCs w:val="24"/>
        </w:rPr>
        <w:t>5.1.2 对设计人的要求</w:t>
      </w:r>
    </w:p>
    <w:p>
      <w:pPr>
        <w:pStyle w:val="7"/>
        <w:keepNext w:val="0"/>
        <w:keepLines w:val="0"/>
        <w:spacing w:before="0" w:after="0" w:line="360" w:lineRule="auto"/>
        <w:ind w:firstLine="480" w:firstLineChars="200"/>
        <w:rPr>
          <w:rFonts w:asciiTheme="minorEastAsia" w:hAnsiTheme="minorEastAsia" w:eastAsiaTheme="minorEastAsia"/>
          <w:b w:val="0"/>
          <w:bCs w:val="0"/>
          <w:color w:val="auto"/>
          <w:kern w:val="0"/>
          <w:sz w:val="24"/>
          <w:szCs w:val="24"/>
        </w:rPr>
      </w:pPr>
      <w:r>
        <w:rPr>
          <w:rFonts w:hint="eastAsia" w:asciiTheme="minorEastAsia" w:hAnsiTheme="minorEastAsia" w:eastAsiaTheme="minorEastAsia"/>
          <w:b w:val="0"/>
          <w:bCs w:val="0"/>
          <w:color w:val="auto"/>
          <w:kern w:val="0"/>
          <w:sz w:val="24"/>
          <w:szCs w:val="24"/>
        </w:rPr>
        <w:t>5.1.2.1 设计人应当按法律和技术标准的强制性规定及发包人要求进行工程设计。有关工程设计的特殊标准或要求由合同当事人在专用合同条款中约定。</w:t>
      </w:r>
      <w:bookmarkEnd w:id="92"/>
    </w:p>
    <w:p>
      <w:pPr>
        <w:spacing w:line="360" w:lineRule="auto"/>
        <w:ind w:firstLine="650"/>
        <w:rPr>
          <w:rFonts w:asciiTheme="minorEastAsia" w:hAnsiTheme="minorEastAsia" w:eastAsiaTheme="minorEastAsia"/>
          <w:color w:val="auto"/>
          <w:sz w:val="24"/>
          <w:szCs w:val="24"/>
        </w:rPr>
      </w:pPr>
      <w:r>
        <w:rPr>
          <w:rFonts w:hint="eastAsia" w:asciiTheme="minorEastAsia" w:hAnsiTheme="minorEastAsia" w:eastAsiaTheme="minorEastAsia"/>
          <w:bCs/>
          <w:color w:val="auto"/>
          <w:kern w:val="0"/>
          <w:sz w:val="24"/>
          <w:szCs w:val="24"/>
        </w:rPr>
        <w:t>设计人发现发包人提供的工程设计资料有问题的，设计人应当及时通知发包人并经发包人确认。</w:t>
      </w:r>
    </w:p>
    <w:bookmarkEnd w:id="93"/>
    <w:p>
      <w:pPr>
        <w:spacing w:line="360" w:lineRule="auto"/>
        <w:ind w:firstLine="480" w:firstLineChars="200"/>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5.1.2.2 除合同另有约定外，设计人完成设计工作所应遵守的法律以及技术标准，均应视为在基准日期适用的版本。基准日期之后，前述版本发生重大变化，或者有新的法律以及技术标准实施的，设计人应就推荐性标准向发包人提出遵守新标准的建议，对强制性的规定或标准应当遵照执行。因发包人采纳设计人的建议或遵守基准日期后新的强制性的规定或标准，导致增加设计费用和（或）设计周期延长的，由发包人承担。</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5.1.2.3 设计人应当根据建筑工程的使用功能和专业技术协调要求，合理确定基础类型、结构体系、结构布置、使用荷载及综合管线等。</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5.1.2.4 设计人应当严格执行其双方书面确认的主要技术指标控制值，由于设计人的原因导致工程设计文件超出在专用合同条款中约定的主要技术指标控制值比例的，设计人应当承担相应的违约责任。</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5.1.2.5 设计人在工程设计中选用的材料、设备，应当注明其规格、型号、性能等技术指标及适应性，满足质量、安全、节能、环保等要求。</w:t>
      </w:r>
    </w:p>
    <w:p>
      <w:pPr>
        <w:pStyle w:val="7"/>
        <w:keepNext w:val="0"/>
        <w:keepLines w:val="0"/>
        <w:spacing w:before="120" w:after="120" w:line="360" w:lineRule="auto"/>
        <w:ind w:firstLine="480" w:firstLineChars="200"/>
        <w:rPr>
          <w:rFonts w:asciiTheme="minorEastAsia" w:hAnsiTheme="minorEastAsia" w:eastAsiaTheme="minorEastAsia"/>
          <w:b w:val="0"/>
          <w:color w:val="auto"/>
          <w:sz w:val="24"/>
          <w:szCs w:val="24"/>
        </w:rPr>
      </w:pPr>
      <w:r>
        <w:rPr>
          <w:rFonts w:hint="eastAsia" w:asciiTheme="minorEastAsia" w:hAnsiTheme="minorEastAsia" w:eastAsiaTheme="minorEastAsia"/>
          <w:b w:val="0"/>
          <w:color w:val="auto"/>
          <w:sz w:val="24"/>
          <w:szCs w:val="24"/>
        </w:rPr>
        <w:t>5.2 工程设计保证措施</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5.2.1 发包人的保证措施</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发包人应按照法律规定及合同约定完成与工程设计有关的各项工作。</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5.2.2 设计人的保证措施</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设计人应做好工程设计的质量与技术管理工作，建立健全工程设计质量保证体系，加强工程设计全过程的质量控制，建立完整的设计文件的设计、复核、审核、会签和批准制度，明确各阶段的责任人。</w:t>
      </w:r>
    </w:p>
    <w:p>
      <w:pPr>
        <w:pStyle w:val="7"/>
        <w:spacing w:before="120" w:after="120" w:line="360" w:lineRule="auto"/>
        <w:ind w:firstLine="480" w:firstLineChars="200"/>
        <w:rPr>
          <w:rFonts w:asciiTheme="minorEastAsia" w:hAnsiTheme="minorEastAsia" w:eastAsiaTheme="minorEastAsia"/>
          <w:b w:val="0"/>
          <w:bCs w:val="0"/>
          <w:color w:val="auto"/>
          <w:kern w:val="0"/>
          <w:sz w:val="24"/>
          <w:szCs w:val="24"/>
        </w:rPr>
      </w:pPr>
      <w:r>
        <w:rPr>
          <w:rFonts w:hint="eastAsia" w:asciiTheme="minorEastAsia" w:hAnsiTheme="minorEastAsia" w:eastAsiaTheme="minorEastAsia"/>
          <w:b w:val="0"/>
          <w:color w:val="auto"/>
          <w:sz w:val="24"/>
          <w:szCs w:val="24"/>
        </w:rPr>
        <w:t>5.3 工程设计文件的要求</w:t>
      </w:r>
    </w:p>
    <w:p>
      <w:pPr>
        <w:spacing w:line="360" w:lineRule="auto"/>
        <w:ind w:firstLine="480" w:firstLineChars="200"/>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5.3.1 工程设计文件的编制应符合法律、技术标准的强制性规定及合同的要求。</w:t>
      </w:r>
    </w:p>
    <w:p>
      <w:pPr>
        <w:spacing w:line="360" w:lineRule="auto"/>
        <w:ind w:firstLine="480" w:firstLineChars="200"/>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5.3.2 工程设计依据应完整、准确、可靠，设计方案论证充分，计算成果可靠，并能够实施。</w:t>
      </w:r>
    </w:p>
    <w:p>
      <w:pPr>
        <w:spacing w:line="360" w:lineRule="auto"/>
        <w:ind w:firstLine="480" w:firstLineChars="200"/>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5.3.3 工程设计文件的深度应满足本合同相应设计阶段的规定要求，并符合国家和行业现行有效的相关规定。</w:t>
      </w:r>
    </w:p>
    <w:p>
      <w:pPr>
        <w:spacing w:line="360" w:lineRule="auto"/>
        <w:ind w:firstLine="480" w:firstLineChars="200"/>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5.3.4 工程设计文件必须保证工程质量和施工安全等方面的要求，按照有关法律法规规定在工程设计文件中提出保障施工作业人员安全和预防生产安全事故的措施建议。</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5.3.5 应根据法律、技术标准要求，保证房屋建筑工程的合理使用寿命年限，并应在工程设计文件中注明相应的合理使用寿命年限。</w:t>
      </w:r>
    </w:p>
    <w:p>
      <w:pPr>
        <w:pStyle w:val="7"/>
        <w:keepNext w:val="0"/>
        <w:keepLines w:val="0"/>
        <w:spacing w:before="120" w:after="120" w:line="360" w:lineRule="auto"/>
        <w:ind w:firstLine="480" w:firstLineChars="200"/>
        <w:rPr>
          <w:rFonts w:asciiTheme="minorEastAsia" w:hAnsiTheme="minorEastAsia" w:eastAsiaTheme="minorEastAsia"/>
          <w:b w:val="0"/>
          <w:bCs w:val="0"/>
          <w:color w:val="auto"/>
          <w:kern w:val="0"/>
          <w:sz w:val="24"/>
          <w:szCs w:val="24"/>
        </w:rPr>
      </w:pPr>
      <w:bookmarkStart w:id="94" w:name="_Toc351203536"/>
      <w:bookmarkStart w:id="95" w:name="_Toc337558762"/>
      <w:r>
        <w:rPr>
          <w:rFonts w:hint="eastAsia" w:asciiTheme="minorEastAsia" w:hAnsiTheme="minorEastAsia" w:eastAsiaTheme="minorEastAsia"/>
          <w:b w:val="0"/>
          <w:color w:val="auto"/>
          <w:sz w:val="24"/>
          <w:szCs w:val="24"/>
        </w:rPr>
        <w:t>5.4 不合格工程设计文件的处理</w:t>
      </w:r>
      <w:bookmarkEnd w:id="94"/>
    </w:p>
    <w:bookmarkEnd w:id="95"/>
    <w:p>
      <w:pPr>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 xml:space="preserve">5.4.1 因设计人原因造成工程设计文件不合格的，发包人有权要求设计人采取补救措施，直至达到合同要求的质量标准，并按第14.2款〔设计人违约责任〕的约定承担责任。 </w:t>
      </w:r>
    </w:p>
    <w:p>
      <w:pPr>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5.4.2 因发包人原因造成工程设计文件不合格的，设计人应当采取补救措施，直至达到合同要求的质量标准，由此增加的设计费用和（或）设计周期的延长由发包人承担。</w:t>
      </w:r>
    </w:p>
    <w:p>
      <w:pPr>
        <w:pStyle w:val="6"/>
        <w:spacing w:before="120" w:after="120" w:line="360" w:lineRule="auto"/>
        <w:rPr>
          <w:rFonts w:asciiTheme="minorEastAsia" w:hAnsiTheme="minorEastAsia" w:eastAsiaTheme="minorEastAsia"/>
          <w:b w:val="0"/>
          <w:color w:val="auto"/>
          <w:sz w:val="24"/>
          <w:szCs w:val="24"/>
        </w:rPr>
      </w:pPr>
      <w:bookmarkStart w:id="96" w:name="_Toc351203542"/>
      <w:bookmarkStart w:id="97" w:name="_Toc337558767"/>
      <w:r>
        <w:rPr>
          <w:rFonts w:hint="eastAsia" w:asciiTheme="minorEastAsia" w:hAnsiTheme="minorEastAsia" w:eastAsiaTheme="minorEastAsia"/>
          <w:b w:val="0"/>
          <w:color w:val="auto"/>
          <w:sz w:val="24"/>
          <w:szCs w:val="24"/>
        </w:rPr>
        <w:t>6. 工程设计进度</w:t>
      </w:r>
      <w:bookmarkEnd w:id="96"/>
      <w:r>
        <w:rPr>
          <w:rFonts w:hint="eastAsia" w:asciiTheme="minorEastAsia" w:hAnsiTheme="minorEastAsia" w:eastAsiaTheme="minorEastAsia"/>
          <w:b w:val="0"/>
          <w:color w:val="auto"/>
          <w:sz w:val="24"/>
          <w:szCs w:val="24"/>
        </w:rPr>
        <w:t>与周期</w:t>
      </w:r>
    </w:p>
    <w:bookmarkEnd w:id="97"/>
    <w:p>
      <w:pPr>
        <w:pStyle w:val="7"/>
        <w:spacing w:before="120" w:after="120" w:line="360" w:lineRule="auto"/>
        <w:ind w:firstLine="480" w:firstLineChars="200"/>
        <w:rPr>
          <w:rFonts w:asciiTheme="minorEastAsia" w:hAnsiTheme="minorEastAsia" w:eastAsiaTheme="minorEastAsia"/>
          <w:b w:val="0"/>
          <w:color w:val="auto"/>
          <w:sz w:val="24"/>
          <w:szCs w:val="24"/>
        </w:rPr>
      </w:pPr>
      <w:bookmarkStart w:id="98" w:name="_Toc351203544"/>
      <w:bookmarkStart w:id="99" w:name="_Toc337558769"/>
      <w:bookmarkStart w:id="100" w:name="_Toc296503066"/>
      <w:bookmarkStart w:id="101" w:name="_Toc296346567"/>
      <w:r>
        <w:rPr>
          <w:rFonts w:hint="eastAsia" w:asciiTheme="minorEastAsia" w:hAnsiTheme="minorEastAsia" w:eastAsiaTheme="minorEastAsia"/>
          <w:b w:val="0"/>
          <w:color w:val="auto"/>
          <w:sz w:val="24"/>
          <w:szCs w:val="24"/>
        </w:rPr>
        <w:t>6.1 工程设计进度计划</w:t>
      </w:r>
      <w:bookmarkEnd w:id="98"/>
    </w:p>
    <w:bookmarkEnd w:id="99"/>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6.1.1 工程设计进度计划的编制</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设计人应按照专用合同条款约定提交工程设计进度计划，工程设计进度计划的编制应当符合法律规定和一般工程设计实践惯例，工程设计进度计划经发包人批准后实施。工程设计进度计划是控制工程设计进度的依据，发包人有权按照工程设计进度计划中列明的关键性控制节点检查工程设计进度情况。</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工程设计进度计划中的设计周期应由发包人与设计人协商确定，明确约定各阶段设计任务的完成时间区间，</w:t>
      </w:r>
      <w:r>
        <w:rPr>
          <w:rFonts w:hint="eastAsia" w:asciiTheme="minorEastAsia" w:hAnsiTheme="minorEastAsia" w:eastAsiaTheme="minorEastAsia"/>
          <w:color w:val="auto"/>
          <w:sz w:val="24"/>
          <w:szCs w:val="24"/>
        </w:rPr>
        <w:t>包括各阶段设计过程中设计人与发包人的交流时间，但不包括相关政府部门对设计成果的审批时间及发包人的审查时间。</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sz w:val="24"/>
          <w:szCs w:val="24"/>
        </w:rPr>
        <w:t>6.1.2 工程设计进度计划的修订</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工程设计进度计划不符合合同要求或与工程设计的实际进度不一致的，设计人应向发包人提交修订的工程设计进度计划，并附具有关措施和相关资料。除专用合同条款对期限另有约定外，发包人应在收到修订的工程设计进度计划后5天内完成审核和批准或提出修改意见，否则视为发包人同意设计人提交的修订的工程设计进度计划。</w:t>
      </w:r>
    </w:p>
    <w:p>
      <w:pPr>
        <w:pStyle w:val="7"/>
        <w:spacing w:before="120" w:after="120" w:line="360" w:lineRule="auto"/>
        <w:ind w:firstLine="480" w:firstLineChars="200"/>
        <w:rPr>
          <w:rFonts w:asciiTheme="minorEastAsia" w:hAnsiTheme="minorEastAsia" w:eastAsiaTheme="minorEastAsia"/>
          <w:b w:val="0"/>
          <w:color w:val="auto"/>
          <w:sz w:val="24"/>
          <w:szCs w:val="24"/>
        </w:rPr>
      </w:pPr>
      <w:bookmarkStart w:id="102" w:name="_Toc351203545"/>
      <w:bookmarkStart w:id="103" w:name="_Toc337558770"/>
      <w:r>
        <w:rPr>
          <w:rFonts w:hint="eastAsia" w:asciiTheme="minorEastAsia" w:hAnsiTheme="minorEastAsia" w:eastAsiaTheme="minorEastAsia"/>
          <w:b w:val="0"/>
          <w:color w:val="auto"/>
          <w:sz w:val="24"/>
          <w:szCs w:val="24"/>
        </w:rPr>
        <w:t xml:space="preserve">6.2 </w:t>
      </w:r>
      <w:bookmarkEnd w:id="102"/>
      <w:r>
        <w:rPr>
          <w:rFonts w:hint="eastAsia" w:asciiTheme="minorEastAsia" w:hAnsiTheme="minorEastAsia" w:eastAsiaTheme="minorEastAsia"/>
          <w:b w:val="0"/>
          <w:color w:val="auto"/>
          <w:sz w:val="24"/>
          <w:szCs w:val="24"/>
        </w:rPr>
        <w:t>工程设计开始</w:t>
      </w:r>
    </w:p>
    <w:bookmarkEnd w:id="103"/>
    <w:p>
      <w:pPr>
        <w:adjustRightInd w:val="0"/>
        <w:spacing w:line="360" w:lineRule="auto"/>
        <w:ind w:firstLine="501" w:firstLineChars="209"/>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发包人应按照法律规定获得工程设计所需的许可。发包人发出的开始设计通知应符合法律规定，一般应在计划开始设计日期7天前向设计人发出开始工程设计工作通知，工程设计周期自开始设计通知中载明的开始设计的日期起算。</w:t>
      </w:r>
    </w:p>
    <w:p>
      <w:pPr>
        <w:autoSpaceDE w:val="0"/>
        <w:autoSpaceDN w:val="0"/>
        <w:adjustRightInd w:val="0"/>
        <w:spacing w:line="360" w:lineRule="auto"/>
        <w:ind w:firstLine="504" w:firstLineChars="21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设计人应当在收到发包人提供的工程设计资料及专用合同条款约定的定金或预付款后，开始工程设计工作。</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各设计阶段的开始时间均以设计人收到的发包人发出开始设计工作的书面通知书中载明的</w:t>
      </w:r>
      <w:r>
        <w:rPr>
          <w:rFonts w:hint="eastAsia" w:asciiTheme="minorEastAsia" w:hAnsiTheme="minorEastAsia" w:eastAsiaTheme="minorEastAsia"/>
          <w:color w:val="auto"/>
          <w:kern w:val="0"/>
          <w:sz w:val="24"/>
          <w:szCs w:val="24"/>
        </w:rPr>
        <w:t>开始设计的日期起算。</w:t>
      </w:r>
    </w:p>
    <w:bookmarkEnd w:id="100"/>
    <w:bookmarkEnd w:id="101"/>
    <w:p>
      <w:pPr>
        <w:pStyle w:val="7"/>
        <w:spacing w:before="120" w:after="120" w:line="360" w:lineRule="auto"/>
        <w:ind w:firstLine="480" w:firstLineChars="200"/>
        <w:rPr>
          <w:rFonts w:asciiTheme="minorEastAsia" w:hAnsiTheme="minorEastAsia" w:eastAsiaTheme="minorEastAsia"/>
          <w:b w:val="0"/>
          <w:color w:val="auto"/>
          <w:sz w:val="24"/>
          <w:szCs w:val="24"/>
        </w:rPr>
      </w:pPr>
      <w:bookmarkStart w:id="104" w:name="_Toc351203547"/>
      <w:bookmarkStart w:id="105" w:name="_Toc337558772"/>
      <w:bookmarkStart w:id="106" w:name="_Toc296503073"/>
      <w:bookmarkStart w:id="107" w:name="_Toc296346574"/>
      <w:r>
        <w:rPr>
          <w:rFonts w:hint="eastAsia" w:asciiTheme="minorEastAsia" w:hAnsiTheme="minorEastAsia" w:eastAsiaTheme="minorEastAsia"/>
          <w:b w:val="0"/>
          <w:color w:val="auto"/>
          <w:sz w:val="24"/>
          <w:szCs w:val="24"/>
        </w:rPr>
        <w:t>6.3 工程设计进度延误</w:t>
      </w:r>
      <w:bookmarkEnd w:id="104"/>
    </w:p>
    <w:bookmarkEnd w:id="105"/>
    <w:bookmarkEnd w:id="106"/>
    <w:bookmarkEnd w:id="107"/>
    <w:p>
      <w:pPr>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6.3.1 因发包人原因导致工程设计进度延误</w:t>
      </w:r>
    </w:p>
    <w:p>
      <w:pPr>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 xml:space="preserve">在合同履行过程中，发包人导致工程设计进度延误的情形主要有： </w:t>
      </w:r>
    </w:p>
    <w:p>
      <w:pPr>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（1）发包人未能按合同约定提供工程设计资料或所提供的工程设计资料不符合合同约定或存在错误或疏漏的；</w:t>
      </w:r>
    </w:p>
    <w:p>
      <w:pPr>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（2）发包人未能按合同约定日期足额支付定金或预付款、进度款的；</w:t>
      </w:r>
    </w:p>
    <w:p>
      <w:pPr>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（3）发包人提出影响设计周期的设计变更要求的；</w:t>
      </w:r>
    </w:p>
    <w:p>
      <w:pPr>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（4）专用合同条款中约定的其他情形。</w:t>
      </w:r>
    </w:p>
    <w:p>
      <w:pPr>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因发包人原因未按计划开始设计日期开始设计的，发包人应按实际开始设计日期顺延完成设计日期。</w:t>
      </w:r>
    </w:p>
    <w:p>
      <w:pPr>
        <w:spacing w:line="360" w:lineRule="auto"/>
        <w:ind w:firstLine="480" w:firstLineChars="200"/>
        <w:rPr>
          <w:rFonts w:cs="Courier New" w:asciiTheme="minorEastAsia" w:hAnsiTheme="minorEastAsia" w:eastAsiaTheme="minorEastAsia"/>
          <w:color w:val="auto"/>
          <w:sz w:val="24"/>
          <w:szCs w:val="24"/>
        </w:rPr>
      </w:pPr>
      <w:r>
        <w:rPr>
          <w:rFonts w:hint="eastAsia" w:asciiTheme="minorEastAsia" w:hAnsiTheme="minorEastAsia" w:eastAsiaTheme="minorEastAsia"/>
          <w:color w:val="auto"/>
          <w:kern w:val="0"/>
          <w:sz w:val="24"/>
          <w:szCs w:val="24"/>
        </w:rPr>
        <w:t>除专用合同条款对期限另有约定外，</w:t>
      </w:r>
      <w:r>
        <w:rPr>
          <w:rFonts w:hint="eastAsia" w:cs="Courier New" w:asciiTheme="minorEastAsia" w:hAnsiTheme="minorEastAsia" w:eastAsiaTheme="minorEastAsia"/>
          <w:color w:val="auto"/>
          <w:sz w:val="24"/>
          <w:szCs w:val="24"/>
        </w:rPr>
        <w:t>设计人应在发生上述情形后5天内向发包人发出要求延期的书面通知，在发生该情形后10天内提交要求延期的详细说明供发包人审查。</w:t>
      </w:r>
      <w:r>
        <w:rPr>
          <w:rFonts w:hint="eastAsia" w:asciiTheme="minorEastAsia" w:hAnsiTheme="minorEastAsia" w:eastAsiaTheme="minorEastAsia"/>
          <w:color w:val="auto"/>
          <w:kern w:val="0"/>
          <w:sz w:val="24"/>
          <w:szCs w:val="24"/>
        </w:rPr>
        <w:t>除专用合同条款对期限另有约定外，</w:t>
      </w:r>
      <w:r>
        <w:rPr>
          <w:rFonts w:hint="eastAsia" w:cs="Courier New" w:asciiTheme="minorEastAsia" w:hAnsiTheme="minorEastAsia" w:eastAsiaTheme="minorEastAsia"/>
          <w:color w:val="auto"/>
          <w:sz w:val="24"/>
          <w:szCs w:val="24"/>
        </w:rPr>
        <w:t>发包人收到设计人要求延期的详细说明后，应在5天内进行审查并就是否延长设计周期及延期天数向设计人进行书面答复。</w:t>
      </w:r>
    </w:p>
    <w:p>
      <w:pPr>
        <w:spacing w:line="360" w:lineRule="auto"/>
        <w:ind w:firstLine="480" w:firstLineChars="200"/>
        <w:jc w:val="left"/>
        <w:rPr>
          <w:rFonts w:cs="Courier New" w:asciiTheme="minorEastAsia" w:hAnsiTheme="minorEastAsia" w:eastAsiaTheme="minorEastAsia"/>
          <w:color w:val="auto"/>
          <w:sz w:val="24"/>
          <w:szCs w:val="24"/>
        </w:rPr>
      </w:pPr>
      <w:r>
        <w:rPr>
          <w:rFonts w:hint="eastAsia" w:cs="Courier New" w:asciiTheme="minorEastAsia" w:hAnsiTheme="minorEastAsia" w:eastAsiaTheme="minorEastAsia"/>
          <w:color w:val="auto"/>
          <w:sz w:val="24"/>
          <w:szCs w:val="24"/>
        </w:rPr>
        <w:t>如果发包人在收到设计人</w:t>
      </w:r>
      <w:r>
        <w:rPr>
          <w:rFonts w:hint="eastAsia" w:asciiTheme="minorEastAsia" w:hAnsiTheme="minorEastAsia" w:eastAsiaTheme="minorEastAsia"/>
          <w:color w:val="auto"/>
          <w:kern w:val="0"/>
          <w:sz w:val="24"/>
          <w:szCs w:val="24"/>
        </w:rPr>
        <w:t>提交要求</w:t>
      </w:r>
      <w:r>
        <w:rPr>
          <w:rFonts w:hint="eastAsia" w:cs="Courier New" w:asciiTheme="minorEastAsia" w:hAnsiTheme="minorEastAsia" w:eastAsiaTheme="minorEastAsia"/>
          <w:color w:val="auto"/>
          <w:sz w:val="24"/>
          <w:szCs w:val="24"/>
        </w:rPr>
        <w:t>延期的详细说明后，在约定的期限内未予答复，则视为设计人要求的延期已被发包人批准。如果设计人未能按本款约定的时间内发出要求延期的通知并提交详细资料，则发包人可拒绝作出任何延期的决定。</w:t>
      </w:r>
    </w:p>
    <w:p>
      <w:pPr>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发包人上述工程设计进度延误情形</w:t>
      </w:r>
      <w:r>
        <w:rPr>
          <w:rFonts w:hint="eastAsia" w:asciiTheme="minorEastAsia" w:hAnsiTheme="minorEastAsia" w:eastAsiaTheme="minorEastAsia"/>
          <w:color w:val="auto"/>
          <w:sz w:val="24"/>
          <w:szCs w:val="24"/>
        </w:rPr>
        <w:t>导致增加了设计工作量的，发包人应当另行支付相应设计费用。</w:t>
      </w:r>
    </w:p>
    <w:p>
      <w:pPr>
        <w:autoSpaceDE w:val="0"/>
        <w:autoSpaceDN w:val="0"/>
        <w:adjustRightInd w:val="0"/>
        <w:spacing w:line="360" w:lineRule="auto"/>
        <w:ind w:firstLine="480" w:firstLineChars="200"/>
        <w:jc w:val="left"/>
        <w:rPr>
          <w:rFonts w:asciiTheme="minorEastAsia" w:hAnsiTheme="minorEastAsia" w:eastAsiaTheme="minorEastAsia"/>
          <w:color w:val="auto"/>
          <w:sz w:val="24"/>
          <w:szCs w:val="24"/>
        </w:rPr>
      </w:pPr>
      <w:r>
        <w:rPr>
          <w:rFonts w:hint="eastAsia" w:asciiTheme="minorEastAsia" w:hAnsiTheme="minorEastAsia" w:eastAsiaTheme="minorEastAsia"/>
          <w:color w:val="auto"/>
          <w:kern w:val="0"/>
          <w:sz w:val="24"/>
          <w:szCs w:val="24"/>
        </w:rPr>
        <w:t>6.3.2 因设计人原因导致工程设计进度延误</w:t>
      </w:r>
    </w:p>
    <w:p>
      <w:pPr>
        <w:adjustRightInd w:val="0"/>
        <w:spacing w:line="360" w:lineRule="auto"/>
        <w:ind w:firstLine="480" w:firstLineChars="200"/>
        <w:jc w:val="left"/>
        <w:rPr>
          <w:rFonts w:asciiTheme="minorEastAsia" w:hAnsiTheme="minorEastAsia" w:eastAsiaTheme="minorEastAsia"/>
          <w:color w:val="auto"/>
          <w:kern w:val="0"/>
          <w:sz w:val="24"/>
          <w:szCs w:val="24"/>
        </w:rPr>
      </w:pPr>
      <w:bookmarkStart w:id="108" w:name="_Toc296346577"/>
      <w:bookmarkStart w:id="109" w:name="_Toc296503076"/>
      <w:r>
        <w:rPr>
          <w:rFonts w:hint="eastAsia" w:asciiTheme="minorEastAsia" w:hAnsiTheme="minorEastAsia" w:eastAsiaTheme="minorEastAsia"/>
          <w:color w:val="auto"/>
          <w:kern w:val="0"/>
          <w:sz w:val="24"/>
          <w:szCs w:val="24"/>
        </w:rPr>
        <w:t>因</w:t>
      </w:r>
      <w:bookmarkEnd w:id="108"/>
      <w:bookmarkEnd w:id="109"/>
      <w:r>
        <w:rPr>
          <w:rFonts w:hint="eastAsia" w:asciiTheme="minorEastAsia" w:hAnsiTheme="minorEastAsia" w:eastAsiaTheme="minorEastAsia"/>
          <w:color w:val="auto"/>
          <w:kern w:val="0"/>
          <w:sz w:val="24"/>
          <w:szCs w:val="24"/>
        </w:rPr>
        <w:t>设计人原因导致工程设计进度延误的，设计人应当按照第14.2款〔设计人违约责任〕承担责任。设计人支付逾期完成工程设计违约金后，不免除设计人继续完成工程设计的义务。</w:t>
      </w:r>
    </w:p>
    <w:p>
      <w:pPr>
        <w:pStyle w:val="7"/>
        <w:spacing w:before="120" w:after="120" w:line="360" w:lineRule="auto"/>
        <w:ind w:firstLine="480" w:firstLineChars="200"/>
        <w:rPr>
          <w:rFonts w:asciiTheme="minorEastAsia" w:hAnsiTheme="minorEastAsia" w:eastAsiaTheme="minorEastAsia"/>
          <w:b w:val="0"/>
          <w:color w:val="auto"/>
          <w:sz w:val="24"/>
          <w:szCs w:val="24"/>
        </w:rPr>
      </w:pPr>
      <w:bookmarkStart w:id="110" w:name="_Toc351203550"/>
      <w:bookmarkStart w:id="111" w:name="_Toc337558775"/>
      <w:bookmarkStart w:id="112" w:name="_Toc296346578"/>
      <w:bookmarkStart w:id="113" w:name="_Toc296503077"/>
      <w:r>
        <w:rPr>
          <w:rFonts w:hint="eastAsia" w:asciiTheme="minorEastAsia" w:hAnsiTheme="minorEastAsia" w:eastAsiaTheme="minorEastAsia"/>
          <w:b w:val="0"/>
          <w:color w:val="auto"/>
          <w:sz w:val="24"/>
          <w:szCs w:val="24"/>
        </w:rPr>
        <w:t>6.4 暂停</w:t>
      </w:r>
      <w:bookmarkEnd w:id="110"/>
      <w:r>
        <w:rPr>
          <w:rFonts w:hint="eastAsia" w:asciiTheme="minorEastAsia" w:hAnsiTheme="minorEastAsia" w:eastAsiaTheme="minorEastAsia"/>
          <w:b w:val="0"/>
          <w:color w:val="auto"/>
          <w:sz w:val="24"/>
          <w:szCs w:val="24"/>
        </w:rPr>
        <w:t>设计</w:t>
      </w:r>
    </w:p>
    <w:bookmarkEnd w:id="111"/>
    <w:bookmarkEnd w:id="112"/>
    <w:bookmarkEnd w:id="113"/>
    <w:p>
      <w:pPr>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6.4.1 发包人原因引起的暂停设计</w:t>
      </w:r>
    </w:p>
    <w:p>
      <w:pPr>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因发包人原因引起暂停设计的，发包人应及时下达暂停设计指示。</w:t>
      </w:r>
    </w:p>
    <w:p>
      <w:pPr>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因发包人原因引起的暂停设计，发包人应承担由此增加的设计费用和（或）延长的设计周期。</w:t>
      </w:r>
    </w:p>
    <w:p>
      <w:pPr>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6.4.2 设计人原因引起的暂停设计</w:t>
      </w:r>
    </w:p>
    <w:p>
      <w:pPr>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因设计人原因引起的暂停设计，设计人应当尽快向发包人发出书面通知并按第14.2款〔设计人违约责任〕承担责任，且设计人在收到发包人复工指示后15天内仍未复工的，视为设计人无法继续履行合同的情形，设计人应按第16条〔合同解除〕的约定承担责任。</w:t>
      </w:r>
    </w:p>
    <w:p>
      <w:pPr>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6.4.3 其他原因引起的暂停设计</w:t>
      </w:r>
    </w:p>
    <w:p>
      <w:pPr>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当出现非设计人原因造成的暂停设计，设计人应当尽快向发包人发出书面通知。</w:t>
      </w:r>
    </w:p>
    <w:p>
      <w:pPr>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在上述情形下设计人的设计服务暂停，设计人的设计周期应当相应延长，复工应有发包人与设计人共同确认的合理期限。</w:t>
      </w:r>
    </w:p>
    <w:p>
      <w:pPr>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当发生本项约定的情况，导致设计人增加设计工作量的，发包人应当另行支付相应设计费用。</w:t>
      </w:r>
    </w:p>
    <w:p>
      <w:pPr>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6.4.4 暂停设计后的复工</w:t>
      </w:r>
    </w:p>
    <w:p>
      <w:pPr>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暂停设计后，发包人和设计人应采取有效措施积极消除暂停设计的影响。当工程具备复工条件时，发包人向设计人发出复工通知，设计人应按照复工通知要求复工。</w:t>
      </w:r>
    </w:p>
    <w:p>
      <w:pPr>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除设计人原因导致暂停设计外，设计人暂停设计后复工所增加的设计工作量，发包人应当另行支付相应设计费用。</w:t>
      </w:r>
    </w:p>
    <w:p>
      <w:pPr>
        <w:pStyle w:val="7"/>
        <w:spacing w:before="120" w:after="120" w:line="360" w:lineRule="auto"/>
        <w:ind w:firstLine="480" w:firstLineChars="200"/>
        <w:rPr>
          <w:rFonts w:asciiTheme="minorEastAsia" w:hAnsiTheme="minorEastAsia" w:eastAsiaTheme="minorEastAsia"/>
          <w:b w:val="0"/>
          <w:color w:val="auto"/>
          <w:sz w:val="24"/>
          <w:szCs w:val="24"/>
        </w:rPr>
      </w:pPr>
      <w:bookmarkStart w:id="114" w:name="_Toc351203551"/>
      <w:r>
        <w:rPr>
          <w:rFonts w:hint="eastAsia" w:asciiTheme="minorEastAsia" w:hAnsiTheme="minorEastAsia" w:eastAsiaTheme="minorEastAsia"/>
          <w:b w:val="0"/>
          <w:color w:val="auto"/>
          <w:sz w:val="24"/>
          <w:szCs w:val="24"/>
        </w:rPr>
        <w:t>6.5 提前</w:t>
      </w:r>
      <w:bookmarkEnd w:id="114"/>
      <w:r>
        <w:rPr>
          <w:rFonts w:hint="eastAsia" w:asciiTheme="minorEastAsia" w:hAnsiTheme="minorEastAsia" w:eastAsiaTheme="minorEastAsia"/>
          <w:b w:val="0"/>
          <w:color w:val="auto"/>
          <w:sz w:val="24"/>
          <w:szCs w:val="24"/>
        </w:rPr>
        <w:t>交付工程设计文件</w:t>
      </w:r>
    </w:p>
    <w:p>
      <w:pPr>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6.5.1 发包人要求设计人提前交付工程设计文件的，发包人应向设计人下达提前交付工程设计文件指示，设计人应向发包人提交提前交付工程设计文件建议书，提前交付工程设计文件建议书应包括实施的方案、缩短的时间、增加的合同价格等内容。发包人接受该提前交付工程设计文件建议书的，发包人和设计人协商采取加快工程设计进度的措施，并修订工程设计进度计划，由此增加的设计费用由发包人承担。设计人认为提前交付工程设计文件的指示无法执行的，应向发包人提出书面异议，发包人应在收到异议后7天内予以答复。任何情况下，发包人不得压缩合理设计周期。</w:t>
      </w:r>
    </w:p>
    <w:p>
      <w:pPr>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6.5.2 发包人要求设计人提前交付工程设计文件，或设计人提出提前交付工程设计文件的建议能够给发包人带来效益的，合同当事人可以在专用合同条款中约定提前交付工程设计文件的奖励。</w:t>
      </w:r>
    </w:p>
    <w:p>
      <w:pPr>
        <w:pStyle w:val="6"/>
        <w:spacing w:before="120" w:after="120" w:line="360" w:lineRule="auto"/>
        <w:rPr>
          <w:rFonts w:asciiTheme="minorEastAsia" w:hAnsiTheme="minorEastAsia" w:eastAsiaTheme="minorEastAsia"/>
          <w:b w:val="0"/>
          <w:color w:val="auto"/>
          <w:sz w:val="24"/>
          <w:szCs w:val="24"/>
        </w:rPr>
      </w:pPr>
      <w:bookmarkStart w:id="115" w:name="_Toc296346584"/>
      <w:bookmarkStart w:id="116" w:name="_Toc296503083"/>
      <w:r>
        <w:rPr>
          <w:rFonts w:hint="eastAsia" w:asciiTheme="minorEastAsia" w:hAnsiTheme="minorEastAsia" w:eastAsiaTheme="minorEastAsia"/>
          <w:b w:val="0"/>
          <w:color w:val="auto"/>
          <w:sz w:val="24"/>
          <w:szCs w:val="24"/>
        </w:rPr>
        <w:t>7. 工程设计文件交付</w:t>
      </w:r>
    </w:p>
    <w:p>
      <w:pPr>
        <w:pStyle w:val="7"/>
        <w:spacing w:before="120" w:after="120" w:line="360" w:lineRule="auto"/>
        <w:ind w:firstLine="480" w:firstLineChars="200"/>
        <w:rPr>
          <w:rFonts w:asciiTheme="minorEastAsia" w:hAnsiTheme="minorEastAsia" w:eastAsiaTheme="minorEastAsia"/>
          <w:b w:val="0"/>
          <w:color w:val="auto"/>
          <w:sz w:val="24"/>
          <w:szCs w:val="24"/>
        </w:rPr>
      </w:pPr>
      <w:r>
        <w:rPr>
          <w:rFonts w:hint="eastAsia" w:asciiTheme="minorEastAsia" w:hAnsiTheme="minorEastAsia" w:eastAsiaTheme="minorEastAsia"/>
          <w:b w:val="0"/>
          <w:color w:val="auto"/>
          <w:sz w:val="24"/>
          <w:szCs w:val="24"/>
        </w:rPr>
        <w:t>7.1 工程设计文件交付的内容</w:t>
      </w:r>
    </w:p>
    <w:p>
      <w:pPr>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7.1.1 工程设计图纸及设计说明。</w:t>
      </w:r>
    </w:p>
    <w:p>
      <w:pPr>
        <w:spacing w:line="360" w:lineRule="auto"/>
        <w:ind w:firstLine="480" w:firstLineChars="200"/>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7.1.2 发包人可以要求设计人提交专用合同条款约定的具体形式的</w:t>
      </w:r>
      <w:r>
        <w:rPr>
          <w:rFonts w:hint="eastAsia" w:cs="Courier New" w:asciiTheme="minorEastAsia" w:hAnsiTheme="minorEastAsia" w:eastAsiaTheme="minorEastAsia"/>
          <w:color w:val="auto"/>
          <w:sz w:val="24"/>
          <w:szCs w:val="24"/>
        </w:rPr>
        <w:t>电子版设计文件</w:t>
      </w:r>
      <w:r>
        <w:rPr>
          <w:rFonts w:hint="eastAsia" w:asciiTheme="minorEastAsia" w:hAnsiTheme="minorEastAsia" w:eastAsiaTheme="minorEastAsia"/>
          <w:color w:val="auto"/>
          <w:kern w:val="0"/>
          <w:sz w:val="24"/>
          <w:szCs w:val="24"/>
        </w:rPr>
        <w:t>。</w:t>
      </w:r>
    </w:p>
    <w:p>
      <w:pPr>
        <w:pStyle w:val="7"/>
        <w:spacing w:before="120" w:after="120" w:line="360" w:lineRule="auto"/>
        <w:ind w:firstLine="480" w:firstLineChars="200"/>
        <w:rPr>
          <w:rFonts w:asciiTheme="minorEastAsia" w:hAnsiTheme="minorEastAsia" w:eastAsiaTheme="minorEastAsia"/>
          <w:b w:val="0"/>
          <w:color w:val="auto"/>
          <w:sz w:val="24"/>
          <w:szCs w:val="24"/>
        </w:rPr>
      </w:pPr>
      <w:r>
        <w:rPr>
          <w:rFonts w:hint="eastAsia" w:asciiTheme="minorEastAsia" w:hAnsiTheme="minorEastAsia" w:eastAsiaTheme="minorEastAsia"/>
          <w:b w:val="0"/>
          <w:color w:val="auto"/>
          <w:sz w:val="24"/>
          <w:szCs w:val="24"/>
        </w:rPr>
        <w:t>7.2 工程设计文件的交付方式</w:t>
      </w:r>
    </w:p>
    <w:p>
      <w:pPr>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设计人交付工程设计文件给发包人，发包人应当出具书面签收单，内容包括图纸名称、图纸内容、图纸形式、份数、提交和签收日期、提交人与接收人的亲笔签名。</w:t>
      </w:r>
    </w:p>
    <w:p>
      <w:pPr>
        <w:pStyle w:val="7"/>
        <w:keepNext w:val="0"/>
        <w:keepLines w:val="0"/>
        <w:spacing w:before="120" w:after="120" w:line="360" w:lineRule="auto"/>
        <w:ind w:firstLine="480" w:firstLineChars="200"/>
        <w:rPr>
          <w:rFonts w:asciiTheme="minorEastAsia" w:hAnsiTheme="minorEastAsia" w:eastAsiaTheme="minorEastAsia"/>
          <w:b w:val="0"/>
          <w:color w:val="auto"/>
          <w:sz w:val="24"/>
          <w:szCs w:val="24"/>
        </w:rPr>
      </w:pPr>
      <w:r>
        <w:rPr>
          <w:rFonts w:hint="eastAsia" w:asciiTheme="minorEastAsia" w:hAnsiTheme="minorEastAsia" w:eastAsiaTheme="minorEastAsia"/>
          <w:b w:val="0"/>
          <w:color w:val="auto"/>
          <w:sz w:val="24"/>
          <w:szCs w:val="24"/>
        </w:rPr>
        <w:t>7.3 工程设计文件交付的时间和份数</w:t>
      </w:r>
    </w:p>
    <w:p>
      <w:pPr>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工程设计文件交付的名称、时间和份数在专用合同条款附件3中约定。</w:t>
      </w:r>
    </w:p>
    <w:p>
      <w:pPr>
        <w:pStyle w:val="6"/>
        <w:spacing w:before="120" w:after="120" w:line="360" w:lineRule="auto"/>
        <w:rPr>
          <w:rFonts w:asciiTheme="minorEastAsia" w:hAnsiTheme="minorEastAsia" w:eastAsiaTheme="minorEastAsia"/>
          <w:b w:val="0"/>
          <w:color w:val="auto"/>
          <w:sz w:val="24"/>
          <w:szCs w:val="24"/>
        </w:rPr>
      </w:pPr>
      <w:r>
        <w:rPr>
          <w:rFonts w:hint="eastAsia" w:asciiTheme="minorEastAsia" w:hAnsiTheme="minorEastAsia" w:eastAsiaTheme="minorEastAsia"/>
          <w:b w:val="0"/>
          <w:color w:val="auto"/>
          <w:sz w:val="24"/>
          <w:szCs w:val="24"/>
        </w:rPr>
        <w:t>8. 工程设计文件审查</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8.1 设计人的工程设计文件应报发包人审查同意。审查的范围和内容在发包人要求中约定。审查的具体标准应符合法律规定、技术标准要求和本合同约定。</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除专用合同条款对期限另有约定外，自发包人收到设计人的工程设计文件以及设计人的通知之日起，发包人对设计人的工程设计文件审查期不超过15天。</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发包人不同意工程设计文件的，应以书面形式通知设计人，并说明不符合合同要求的具体内容。设计人应根据发包人的书面说明，对工程设计文件进行修改后重新报送发包人审查，审查期重新起算。</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合同约定的审查期满，发包人没有做出审查结论也没有提出异议的，视为设计人的工程设计文件已获发包人同意。</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8.2 设计人的工程设计文件不需要政府有关部门审查或批准的，设计人应当严格按照经发包人审查同意的工程设计文件进行修改，如果发包人的修改意见超出或更改了发包人要求，发包人应当根据第11条〔工程设计变更与索赔〕的约定，向设计人另行支付费用。</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8.3 工程</w:t>
      </w:r>
      <w:r>
        <w:rPr>
          <w:rStyle w:val="66"/>
          <w:rFonts w:hint="eastAsia" w:asciiTheme="minorEastAsia" w:hAnsiTheme="minorEastAsia" w:eastAsiaTheme="minorEastAsia"/>
          <w:vanish/>
          <w:color w:val="auto"/>
          <w:sz w:val="24"/>
          <w:szCs w:val="24"/>
        </w:rPr>
        <w:t>（</w:t>
      </w:r>
      <w:r>
        <w:rPr>
          <w:rFonts w:hint="eastAsia" w:asciiTheme="minorEastAsia" w:hAnsiTheme="minorEastAsia" w:eastAsiaTheme="minorEastAsia"/>
          <w:color w:val="auto"/>
          <w:sz w:val="24"/>
          <w:szCs w:val="24"/>
        </w:rPr>
        <w:t>设计文件需政府有关部门审查或批准的，发包人应在审查同意设计人的工程设计文件后在专用合同条款约定的期限内，向政府有关部门报送工程设计文件，设计人应予以协助。</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对于政府有关部门的审查意见，不需要修改发包人要求的，设计人需按该审查意见修改设计人的工程设计文件；需要修改发包人要求的，发包人应重新提出发包人要求，设计人应根据新提出的发包人要求修改设计人的工程设计文件，发包人应当根据第11条〔工程设计变更与索赔〕的约定，向设计人另行支付费用。</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8.4 发包人需要组织审查会议对工程设计文件进行审查的，审查会议的审查形式和时间安排，在专用合同条款中约定。发包人负责组织工程设计文件审查会议，并承担会议费用及发包人的上级单位、政府有关部门参加的审查会议的费用。</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设计人按第7条〔工程设计文件交付〕的约定向发包人提交工程设计文件，有义务参加发包人组织的设计审查会议，向审查者介绍、解答、解释其工程设计文件，并提供有关补充资料。</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发包人有义务向设计人提供设计审查会议的批准文件和纪要。设计人有义务按照相关设计审查会议批准的文件和纪要，并依据合同约定及相关技术标准，对工程设计文件进行修改、补充和完善。</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8.5 因设计人原因，未能按第7条〔工程设计文件交付〕约定的时间向发包人提交工程设计文件，致使工程设计文件审查无法进行或无法按期进行，造成设计周期延长、窝工损失及发包人增加费用的，设计人应</w:t>
      </w:r>
      <w:r>
        <w:rPr>
          <w:rFonts w:hint="eastAsia" w:asciiTheme="minorEastAsia" w:hAnsiTheme="minorEastAsia" w:eastAsiaTheme="minorEastAsia"/>
          <w:color w:val="auto"/>
          <w:kern w:val="0"/>
          <w:sz w:val="24"/>
          <w:szCs w:val="24"/>
        </w:rPr>
        <w:t>按第14.2款〔设计人违约责任〕的约定承担责任</w:t>
      </w:r>
      <w:r>
        <w:rPr>
          <w:rFonts w:hint="eastAsia" w:asciiTheme="minorEastAsia" w:hAnsiTheme="minorEastAsia" w:eastAsiaTheme="minorEastAsia"/>
          <w:color w:val="auto"/>
          <w:sz w:val="24"/>
          <w:szCs w:val="24"/>
        </w:rPr>
        <w:t>。</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因发包人原因，致使工程设计文件审查无法进行或无法按期进行，造成设计周期延长、窝工损失及设计人增加的费用，由发包人承担。</w:t>
      </w:r>
    </w:p>
    <w:p>
      <w:pPr>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sz w:val="24"/>
          <w:szCs w:val="24"/>
        </w:rPr>
        <w:t xml:space="preserve">8.6 </w:t>
      </w:r>
      <w:r>
        <w:rPr>
          <w:rFonts w:hint="eastAsia" w:asciiTheme="minorEastAsia" w:hAnsiTheme="minorEastAsia" w:eastAsiaTheme="minorEastAsia"/>
          <w:color w:val="auto"/>
          <w:kern w:val="0"/>
          <w:sz w:val="24"/>
          <w:szCs w:val="24"/>
        </w:rPr>
        <w:t xml:space="preserve">因设计人原因造成工程设计文件不合格致使工程设计文件审查无法通过的，发包人有权要求设计人采取补救措施，直至达到合同要求的质量标准，并按第14.2款〔设计人违约责任〕的约定承担责任。 </w:t>
      </w:r>
    </w:p>
    <w:p>
      <w:pPr>
        <w:spacing w:line="360" w:lineRule="auto"/>
        <w:ind w:firstLine="480" w:firstLineChars="200"/>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因发包人原因造成工程设计文件不合格致使工程设计文件审查无法通过的，由此增加的设计费用和（或）延长的设计周期由发包人承担。</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kern w:val="0"/>
          <w:sz w:val="24"/>
          <w:szCs w:val="24"/>
        </w:rPr>
        <w:t>8.7 工程设计文件的审查，不减轻或免除设计人依据法律应当承担的责任。</w:t>
      </w:r>
    </w:p>
    <w:p>
      <w:pPr>
        <w:pStyle w:val="6"/>
        <w:spacing w:before="120" w:after="120" w:line="360" w:lineRule="auto"/>
        <w:rPr>
          <w:rFonts w:asciiTheme="minorEastAsia" w:hAnsiTheme="minorEastAsia" w:eastAsiaTheme="minorEastAsia"/>
          <w:b w:val="0"/>
          <w:color w:val="auto"/>
          <w:sz w:val="24"/>
          <w:szCs w:val="24"/>
        </w:rPr>
      </w:pPr>
      <w:r>
        <w:rPr>
          <w:rFonts w:hint="eastAsia" w:asciiTheme="minorEastAsia" w:hAnsiTheme="minorEastAsia" w:eastAsiaTheme="minorEastAsia"/>
          <w:b w:val="0"/>
          <w:color w:val="auto"/>
          <w:sz w:val="24"/>
          <w:szCs w:val="24"/>
        </w:rPr>
        <w:t>9. 施工现场配合服务</w:t>
      </w:r>
    </w:p>
    <w:p>
      <w:pPr>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9.1 除专用合同条款另有约定外，发包人应为设计人派赴现场的工作人员提供工作、生活等方面的便利条件。</w:t>
      </w:r>
    </w:p>
    <w:p>
      <w:pPr>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9.2 设计人应当提供设计技术交底、解决施工中设计技术问题和竣工验收服务。如果发包人在专用合同条款约定的施工现场服务时限外仍要求设计人负责上述工作的，发包人应按所需工作量向设计人另行支付服务费用。</w:t>
      </w:r>
    </w:p>
    <w:p>
      <w:pPr>
        <w:pStyle w:val="6"/>
        <w:keepNext w:val="0"/>
        <w:keepLines w:val="0"/>
        <w:autoSpaceDE w:val="0"/>
        <w:autoSpaceDN w:val="0"/>
        <w:spacing w:before="120" w:after="120" w:line="360" w:lineRule="auto"/>
        <w:rPr>
          <w:rFonts w:asciiTheme="minorEastAsia" w:hAnsiTheme="minorEastAsia" w:eastAsiaTheme="minorEastAsia"/>
          <w:b w:val="0"/>
          <w:color w:val="auto"/>
          <w:sz w:val="24"/>
          <w:szCs w:val="24"/>
        </w:rPr>
      </w:pPr>
      <w:bookmarkStart w:id="117" w:name="_Toc351203567"/>
      <w:r>
        <w:rPr>
          <w:rFonts w:hint="eastAsia" w:asciiTheme="minorEastAsia" w:hAnsiTheme="minorEastAsia" w:eastAsiaTheme="minorEastAsia"/>
          <w:b w:val="0"/>
          <w:color w:val="auto"/>
          <w:sz w:val="24"/>
          <w:szCs w:val="24"/>
        </w:rPr>
        <w:t>10. 合同价款与支付</w:t>
      </w:r>
    </w:p>
    <w:p>
      <w:pPr>
        <w:pStyle w:val="7"/>
        <w:keepNext w:val="0"/>
        <w:keepLines w:val="0"/>
        <w:autoSpaceDE w:val="0"/>
        <w:autoSpaceDN w:val="0"/>
        <w:spacing w:before="120" w:after="120" w:line="360" w:lineRule="auto"/>
        <w:ind w:firstLine="480" w:firstLineChars="200"/>
        <w:rPr>
          <w:rFonts w:asciiTheme="minorEastAsia" w:hAnsiTheme="minorEastAsia" w:eastAsiaTheme="minorEastAsia"/>
          <w:b w:val="0"/>
          <w:bCs w:val="0"/>
          <w:color w:val="auto"/>
          <w:kern w:val="0"/>
          <w:sz w:val="24"/>
          <w:szCs w:val="24"/>
        </w:rPr>
      </w:pPr>
      <w:r>
        <w:rPr>
          <w:rFonts w:hint="eastAsia" w:asciiTheme="minorEastAsia" w:hAnsiTheme="minorEastAsia" w:eastAsiaTheme="minorEastAsia"/>
          <w:b w:val="0"/>
          <w:color w:val="auto"/>
          <w:sz w:val="24"/>
          <w:szCs w:val="24"/>
        </w:rPr>
        <w:t>10.1 合同价款组成</w:t>
      </w:r>
    </w:p>
    <w:p>
      <w:pPr>
        <w:pStyle w:val="7"/>
        <w:keepNext w:val="0"/>
        <w:keepLines w:val="0"/>
        <w:spacing w:before="120" w:after="120" w:line="360" w:lineRule="auto"/>
        <w:ind w:firstLine="480" w:firstLineChars="200"/>
        <w:rPr>
          <w:rFonts w:asciiTheme="minorEastAsia" w:hAnsiTheme="minorEastAsia" w:eastAsiaTheme="minorEastAsia"/>
          <w:b w:val="0"/>
          <w:bCs w:val="0"/>
          <w:color w:val="auto"/>
          <w:kern w:val="0"/>
          <w:sz w:val="24"/>
          <w:szCs w:val="24"/>
        </w:rPr>
      </w:pPr>
      <w:r>
        <w:rPr>
          <w:rFonts w:hint="eastAsia" w:asciiTheme="minorEastAsia" w:hAnsiTheme="minorEastAsia" w:eastAsiaTheme="minorEastAsia"/>
          <w:b w:val="0"/>
          <w:bCs w:val="0"/>
          <w:color w:val="auto"/>
          <w:kern w:val="0"/>
          <w:sz w:val="24"/>
          <w:szCs w:val="24"/>
        </w:rPr>
        <w:t>发包人和设计人应当在专用合同条款中明确约定合同价款各组成部分的具体数额，主要包括：</w:t>
      </w:r>
    </w:p>
    <w:p>
      <w:pPr>
        <w:pStyle w:val="7"/>
        <w:keepNext w:val="0"/>
        <w:keepLines w:val="0"/>
        <w:autoSpaceDE w:val="0"/>
        <w:autoSpaceDN w:val="0"/>
        <w:spacing w:before="120" w:after="120" w:line="360" w:lineRule="auto"/>
        <w:ind w:firstLine="480" w:firstLineChars="200"/>
        <w:rPr>
          <w:rFonts w:asciiTheme="minorEastAsia" w:hAnsiTheme="minorEastAsia" w:eastAsiaTheme="minorEastAsia"/>
          <w:b w:val="0"/>
          <w:bCs w:val="0"/>
          <w:color w:val="auto"/>
          <w:kern w:val="0"/>
          <w:sz w:val="24"/>
          <w:szCs w:val="24"/>
        </w:rPr>
      </w:pPr>
      <w:r>
        <w:rPr>
          <w:rFonts w:hint="eastAsia" w:asciiTheme="minorEastAsia" w:hAnsiTheme="minorEastAsia" w:eastAsiaTheme="minorEastAsia"/>
          <w:b w:val="0"/>
          <w:bCs w:val="0"/>
          <w:color w:val="auto"/>
          <w:kern w:val="0"/>
          <w:sz w:val="24"/>
          <w:szCs w:val="24"/>
        </w:rPr>
        <w:t>（1）工程设计基本服务费用；</w:t>
      </w:r>
    </w:p>
    <w:p>
      <w:pPr>
        <w:pStyle w:val="7"/>
        <w:keepNext w:val="0"/>
        <w:keepLines w:val="0"/>
        <w:autoSpaceDE w:val="0"/>
        <w:autoSpaceDN w:val="0"/>
        <w:spacing w:before="120" w:after="120" w:line="360" w:lineRule="auto"/>
        <w:ind w:firstLine="480" w:firstLineChars="200"/>
        <w:rPr>
          <w:rFonts w:asciiTheme="minorEastAsia" w:hAnsiTheme="minorEastAsia" w:eastAsiaTheme="minorEastAsia"/>
          <w:b w:val="0"/>
          <w:bCs w:val="0"/>
          <w:color w:val="auto"/>
          <w:kern w:val="0"/>
          <w:sz w:val="24"/>
          <w:szCs w:val="24"/>
        </w:rPr>
      </w:pPr>
      <w:r>
        <w:rPr>
          <w:rFonts w:hint="eastAsia" w:asciiTheme="minorEastAsia" w:hAnsiTheme="minorEastAsia" w:eastAsiaTheme="minorEastAsia"/>
          <w:b w:val="0"/>
          <w:bCs w:val="0"/>
          <w:color w:val="auto"/>
          <w:kern w:val="0"/>
          <w:sz w:val="24"/>
          <w:szCs w:val="24"/>
        </w:rPr>
        <w:t>（2）工程设计其他服务费用；</w:t>
      </w:r>
    </w:p>
    <w:p>
      <w:pPr>
        <w:autoSpaceDE w:val="0"/>
        <w:autoSpaceDN w:val="0"/>
        <w:spacing w:line="360" w:lineRule="auto"/>
        <w:ind w:firstLine="480" w:firstLineChars="200"/>
        <w:rPr>
          <w:rFonts w:asciiTheme="minorEastAsia" w:hAnsiTheme="minorEastAsia" w:eastAsiaTheme="minorEastAsia"/>
          <w:color w:val="auto"/>
          <w:kern w:val="0"/>
          <w:sz w:val="24"/>
          <w:szCs w:val="24"/>
        </w:rPr>
      </w:pPr>
      <w:r>
        <w:rPr>
          <w:rFonts w:hint="eastAsia" w:asciiTheme="minorEastAsia" w:hAnsiTheme="minorEastAsia" w:eastAsiaTheme="minorEastAsia"/>
          <w:bCs/>
          <w:color w:val="auto"/>
          <w:kern w:val="0"/>
          <w:sz w:val="24"/>
          <w:szCs w:val="24"/>
        </w:rPr>
        <w:t>（3）</w:t>
      </w:r>
      <w:r>
        <w:rPr>
          <w:rFonts w:hint="eastAsia" w:cs="Courier New" w:asciiTheme="minorEastAsia" w:hAnsiTheme="minorEastAsia" w:eastAsiaTheme="minorEastAsia"/>
          <w:color w:val="auto"/>
          <w:kern w:val="0"/>
          <w:sz w:val="24"/>
          <w:szCs w:val="24"/>
        </w:rPr>
        <w:t>在未签订合同前发包人已经同意或接受或已经使用的设计人为发包人所做的各项工作的相应费用等。</w:t>
      </w:r>
    </w:p>
    <w:p>
      <w:pPr>
        <w:pStyle w:val="7"/>
        <w:keepNext w:val="0"/>
        <w:keepLines w:val="0"/>
        <w:autoSpaceDE w:val="0"/>
        <w:autoSpaceDN w:val="0"/>
        <w:spacing w:before="120" w:after="120" w:line="360" w:lineRule="auto"/>
        <w:ind w:firstLine="480" w:firstLineChars="200"/>
        <w:rPr>
          <w:rFonts w:asciiTheme="minorEastAsia" w:hAnsiTheme="minorEastAsia" w:eastAsiaTheme="minorEastAsia"/>
          <w:b w:val="0"/>
          <w:color w:val="auto"/>
          <w:sz w:val="24"/>
          <w:szCs w:val="24"/>
        </w:rPr>
      </w:pPr>
      <w:r>
        <w:rPr>
          <w:rFonts w:hint="eastAsia" w:asciiTheme="minorEastAsia" w:hAnsiTheme="minorEastAsia" w:eastAsiaTheme="minorEastAsia"/>
          <w:b w:val="0"/>
          <w:color w:val="auto"/>
          <w:sz w:val="24"/>
          <w:szCs w:val="24"/>
        </w:rPr>
        <w:t>10.2 合同价格形式</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 xml:space="preserve">发包人和设计人应在合同协议书中选择下列一种合同价格形式： </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（1）单价合同</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单价合同是指合同当事人约定以建筑面积（包括地上建筑面积和地下建筑面积）每平方米单价或实际投资总额的一定比例等进行合同价格计算、调整和确认的建设工程设计合同，</w:t>
      </w:r>
      <w:r>
        <w:rPr>
          <w:rFonts w:hint="eastAsia" w:asciiTheme="minorEastAsia" w:hAnsiTheme="minorEastAsia" w:eastAsiaTheme="minorEastAsia"/>
          <w:color w:val="auto"/>
          <w:sz w:val="24"/>
          <w:szCs w:val="24"/>
        </w:rPr>
        <w:t>在约定的范围内合同单价不作调整</w:t>
      </w:r>
      <w:r>
        <w:rPr>
          <w:rFonts w:hint="eastAsia" w:asciiTheme="minorEastAsia" w:hAnsiTheme="minorEastAsia" w:eastAsiaTheme="minorEastAsia"/>
          <w:color w:val="auto"/>
          <w:kern w:val="0"/>
          <w:sz w:val="24"/>
          <w:szCs w:val="24"/>
        </w:rPr>
        <w:t>。合同当事人应在专用合同条款中约定单价包含的风险范围和风险费用的计算方法</w:t>
      </w:r>
      <w:r>
        <w:rPr>
          <w:rFonts w:hint="eastAsia" w:asciiTheme="minorEastAsia" w:hAnsiTheme="minorEastAsia" w:eastAsiaTheme="minorEastAsia"/>
          <w:color w:val="auto"/>
          <w:sz w:val="24"/>
          <w:szCs w:val="24"/>
        </w:rPr>
        <w:t>，</w:t>
      </w:r>
      <w:r>
        <w:rPr>
          <w:rFonts w:hint="eastAsia" w:asciiTheme="minorEastAsia" w:hAnsiTheme="minorEastAsia" w:eastAsiaTheme="minorEastAsia"/>
          <w:color w:val="auto"/>
          <w:kern w:val="0"/>
          <w:sz w:val="24"/>
          <w:szCs w:val="24"/>
        </w:rPr>
        <w:t>并约定风险范围以外的合同价格的调整方法。</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（2）总价合同</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总价合同是指合同当事人约定以发包人提供的上一阶段工程设计文件及有关条件进行合同价格计算、调整和确认的建设工程设计合同，</w:t>
      </w:r>
      <w:r>
        <w:rPr>
          <w:rFonts w:hint="eastAsia" w:asciiTheme="minorEastAsia" w:hAnsiTheme="minorEastAsia" w:eastAsiaTheme="minorEastAsia"/>
          <w:color w:val="auto"/>
          <w:sz w:val="24"/>
          <w:szCs w:val="24"/>
        </w:rPr>
        <w:t>在约定的范围内合同总价不作调整</w:t>
      </w:r>
      <w:r>
        <w:rPr>
          <w:rFonts w:hint="eastAsia" w:asciiTheme="minorEastAsia" w:hAnsiTheme="minorEastAsia" w:eastAsiaTheme="minorEastAsia"/>
          <w:color w:val="auto"/>
          <w:kern w:val="0"/>
          <w:sz w:val="24"/>
          <w:szCs w:val="24"/>
        </w:rPr>
        <w:t>。合同当事人应在专用合同条款中约定总价包含的风险范围和风险费用的计算方法，并约定风险范围以外的合同价格的调整方法。</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（3）其它价格形式</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合同当事人可在专用合同条款中约定其他合同价格形式。</w:t>
      </w:r>
    </w:p>
    <w:p>
      <w:pPr>
        <w:pStyle w:val="7"/>
        <w:keepNext w:val="0"/>
        <w:keepLines w:val="0"/>
        <w:spacing w:before="120" w:after="120" w:line="360" w:lineRule="auto"/>
        <w:ind w:firstLine="480" w:firstLineChars="200"/>
        <w:rPr>
          <w:rFonts w:asciiTheme="minorEastAsia" w:hAnsiTheme="minorEastAsia" w:eastAsiaTheme="minorEastAsia"/>
          <w:b w:val="0"/>
          <w:color w:val="auto"/>
          <w:sz w:val="24"/>
          <w:szCs w:val="24"/>
        </w:rPr>
      </w:pPr>
      <w:r>
        <w:rPr>
          <w:rFonts w:hint="eastAsia" w:asciiTheme="minorEastAsia" w:hAnsiTheme="minorEastAsia" w:eastAsiaTheme="minorEastAsia"/>
          <w:b w:val="0"/>
          <w:color w:val="auto"/>
          <w:sz w:val="24"/>
          <w:szCs w:val="24"/>
        </w:rPr>
        <w:t>10.3 定金或预付款</w:t>
      </w:r>
    </w:p>
    <w:p>
      <w:pPr>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sz w:val="24"/>
          <w:szCs w:val="24"/>
        </w:rPr>
        <w:t xml:space="preserve">10.3.1 </w:t>
      </w:r>
      <w:r>
        <w:rPr>
          <w:rFonts w:hint="eastAsia" w:asciiTheme="minorEastAsia" w:hAnsiTheme="minorEastAsia" w:eastAsiaTheme="minorEastAsia"/>
          <w:color w:val="auto"/>
          <w:kern w:val="0"/>
          <w:sz w:val="24"/>
          <w:szCs w:val="24"/>
        </w:rPr>
        <w:t>定金或预付款的比例</w:t>
      </w:r>
    </w:p>
    <w:p>
      <w:pPr>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定金或预付款的比例不应超过合同总价款的10%。预付款的比例由发包人与设计人协商确定，一般不低于合同总价款的10%。</w:t>
      </w:r>
    </w:p>
    <w:p>
      <w:pPr>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sz w:val="24"/>
          <w:szCs w:val="24"/>
        </w:rPr>
        <w:t>10.3.2 定金或预付款的支付</w:t>
      </w:r>
    </w:p>
    <w:p>
      <w:pPr>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定金或预付款的支付按照专用合同条款约定执行，但最迟应在开始设计通知载明的开始设计日期前专用合同条款约定的期限内支付。</w:t>
      </w:r>
    </w:p>
    <w:p>
      <w:pPr>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发包人逾期支付定金或预付款超过专用合同条款约定的期限的，设计人有权向发包人发出要求支付定金或预付款的催告通知，发包人收到通知后7天内仍未支付的，设计人有权不开始设计工作或暂停设计工作。</w:t>
      </w:r>
    </w:p>
    <w:p>
      <w:pPr>
        <w:pStyle w:val="7"/>
        <w:spacing w:before="120" w:after="120" w:line="360" w:lineRule="auto"/>
        <w:ind w:firstLine="480" w:firstLineChars="200"/>
        <w:rPr>
          <w:rFonts w:asciiTheme="minorEastAsia" w:hAnsiTheme="minorEastAsia" w:eastAsiaTheme="minorEastAsia"/>
          <w:b w:val="0"/>
          <w:color w:val="auto"/>
          <w:sz w:val="24"/>
          <w:szCs w:val="24"/>
        </w:rPr>
      </w:pPr>
      <w:r>
        <w:rPr>
          <w:rFonts w:hint="eastAsia" w:asciiTheme="minorEastAsia" w:hAnsiTheme="minorEastAsia" w:eastAsiaTheme="minorEastAsia"/>
          <w:b w:val="0"/>
          <w:color w:val="auto"/>
          <w:sz w:val="24"/>
          <w:szCs w:val="24"/>
        </w:rPr>
        <w:t>10.4 进度款支付</w:t>
      </w:r>
    </w:p>
    <w:p>
      <w:pPr>
        <w:adjustRightInd w:val="0"/>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sz w:val="24"/>
          <w:szCs w:val="24"/>
        </w:rPr>
        <w:t>10.4.1 发包人应当按照专用合同条款约定的付款条件及时向设计人支付进度款。</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10.4.2 进度付款的修正</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在对已付进度款进行汇总和复核中发现错误、遗漏或重复的，发包人和设计人均有权提出修正申请。经发包人和设计人同意的修正，应在下期进度付款中支付或扣除。</w:t>
      </w:r>
    </w:p>
    <w:p>
      <w:pPr>
        <w:pStyle w:val="7"/>
        <w:spacing w:before="120" w:after="120" w:line="360" w:lineRule="auto"/>
        <w:ind w:firstLine="480" w:firstLineChars="200"/>
        <w:rPr>
          <w:rFonts w:asciiTheme="minorEastAsia" w:hAnsiTheme="minorEastAsia" w:eastAsiaTheme="minorEastAsia"/>
          <w:b w:val="0"/>
          <w:color w:val="auto"/>
          <w:sz w:val="24"/>
          <w:szCs w:val="24"/>
        </w:rPr>
      </w:pPr>
      <w:r>
        <w:rPr>
          <w:rFonts w:hint="eastAsia" w:asciiTheme="minorEastAsia" w:hAnsiTheme="minorEastAsia" w:eastAsiaTheme="minorEastAsia"/>
          <w:b w:val="0"/>
          <w:color w:val="auto"/>
          <w:sz w:val="24"/>
          <w:szCs w:val="24"/>
        </w:rPr>
        <w:t>10.5 合同价款的结算与支付</w:t>
      </w:r>
    </w:p>
    <w:p>
      <w:pPr>
        <w:spacing w:line="360" w:lineRule="auto"/>
        <w:ind w:firstLine="480" w:firstLineChars="200"/>
        <w:rPr>
          <w:rFonts w:asciiTheme="minorEastAsia" w:hAnsiTheme="minorEastAsia" w:eastAsiaTheme="minorEastAsia"/>
          <w:bCs/>
          <w:color w:val="auto"/>
          <w:kern w:val="0"/>
          <w:sz w:val="24"/>
          <w:szCs w:val="24"/>
        </w:rPr>
      </w:pPr>
      <w:r>
        <w:rPr>
          <w:rFonts w:hint="eastAsia" w:asciiTheme="minorEastAsia" w:hAnsiTheme="minorEastAsia" w:eastAsiaTheme="minorEastAsia"/>
          <w:bCs/>
          <w:color w:val="auto"/>
          <w:kern w:val="0"/>
          <w:sz w:val="24"/>
          <w:szCs w:val="24"/>
        </w:rPr>
        <w:t>10.5.1 对于采取固定总价形式的合同，发包人应当按照专用合同条款约定及时支付尾款。</w:t>
      </w:r>
    </w:p>
    <w:p>
      <w:pPr>
        <w:spacing w:line="360" w:lineRule="auto"/>
        <w:ind w:firstLine="480" w:firstLineChars="200"/>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10.5.2 对于采取固定单价形式的合同，发包人与设计人应当按照专用合同条款约定的结算方式及时结清工程设计费，并将结清未支付的款项一次性支付给设计人。</w:t>
      </w:r>
    </w:p>
    <w:p>
      <w:pPr>
        <w:spacing w:line="360" w:lineRule="auto"/>
        <w:ind w:firstLine="480" w:firstLineChars="200"/>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10.5.3 对于采取其他价格形式的，也应按专用合同条款的约定及时结算和支付。</w:t>
      </w:r>
    </w:p>
    <w:p>
      <w:pPr>
        <w:pStyle w:val="7"/>
        <w:spacing w:before="120" w:after="120" w:line="360" w:lineRule="auto"/>
        <w:ind w:firstLine="480" w:firstLineChars="200"/>
        <w:rPr>
          <w:rFonts w:asciiTheme="minorEastAsia" w:hAnsiTheme="minorEastAsia" w:eastAsiaTheme="minorEastAsia"/>
          <w:b w:val="0"/>
          <w:color w:val="auto"/>
          <w:sz w:val="24"/>
          <w:szCs w:val="24"/>
        </w:rPr>
      </w:pPr>
      <w:r>
        <w:rPr>
          <w:rFonts w:hint="eastAsia" w:asciiTheme="minorEastAsia" w:hAnsiTheme="minorEastAsia" w:eastAsiaTheme="minorEastAsia"/>
          <w:b w:val="0"/>
          <w:color w:val="auto"/>
          <w:sz w:val="24"/>
          <w:szCs w:val="24"/>
        </w:rPr>
        <w:t>10.6 支付账户</w:t>
      </w:r>
    </w:p>
    <w:p>
      <w:pPr>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发包人应将合同价款支付至合同协议书中约定的设计人账户。</w:t>
      </w:r>
    </w:p>
    <w:p>
      <w:pPr>
        <w:pStyle w:val="6"/>
        <w:spacing w:before="120" w:after="120" w:line="360" w:lineRule="auto"/>
        <w:rPr>
          <w:rFonts w:asciiTheme="minorEastAsia" w:hAnsiTheme="minorEastAsia" w:eastAsiaTheme="minorEastAsia"/>
          <w:b w:val="0"/>
          <w:color w:val="auto"/>
          <w:sz w:val="24"/>
          <w:szCs w:val="24"/>
        </w:rPr>
      </w:pPr>
      <w:r>
        <w:rPr>
          <w:rFonts w:hint="eastAsia" w:asciiTheme="minorEastAsia" w:hAnsiTheme="minorEastAsia" w:eastAsiaTheme="minorEastAsia"/>
          <w:b w:val="0"/>
          <w:color w:val="auto"/>
          <w:sz w:val="24"/>
          <w:szCs w:val="24"/>
        </w:rPr>
        <w:t>11. 工程设计变更与索赔</w:t>
      </w:r>
    </w:p>
    <w:p>
      <w:pPr>
        <w:spacing w:line="360" w:lineRule="auto"/>
        <w:ind w:firstLine="480" w:firstLineChars="200"/>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11.1 发包人变更工程设计的内容、规模、功能、条件等，应当向设计人提供书面要求，设计人在不违反法律规定以及技术标准强制性规定的前提下应当按照发包人要求变更工程设计。</w:t>
      </w:r>
    </w:p>
    <w:p>
      <w:pPr>
        <w:spacing w:line="360" w:lineRule="auto"/>
        <w:ind w:firstLine="480" w:firstLineChars="200"/>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 xml:space="preserve">11.2 </w:t>
      </w:r>
      <w:r>
        <w:rPr>
          <w:rFonts w:hint="eastAsia" w:cs="宋体" w:asciiTheme="minorEastAsia" w:hAnsiTheme="minorEastAsia" w:eastAsiaTheme="minorEastAsia"/>
          <w:color w:val="auto"/>
          <w:kern w:val="0"/>
          <w:sz w:val="24"/>
          <w:szCs w:val="24"/>
        </w:rPr>
        <w:t>发包人变更工程设计的内容、规模、功能、条件或因提交的设计资料存在错误或作较大修改时，发包人应按设计人所耗工作量向设计人增付设计费，</w:t>
      </w:r>
      <w:r>
        <w:rPr>
          <w:rFonts w:hint="eastAsia" w:asciiTheme="minorEastAsia" w:hAnsiTheme="minorEastAsia" w:eastAsiaTheme="minorEastAsia"/>
          <w:color w:val="auto"/>
          <w:kern w:val="0"/>
          <w:sz w:val="24"/>
          <w:szCs w:val="24"/>
        </w:rPr>
        <w:t>设计人可按本条约定和专用合同条款的约定，与发包人协商对合同价格和/或完工时间做可共同接受的修改。</w:t>
      </w:r>
    </w:p>
    <w:p>
      <w:pPr>
        <w:spacing w:line="360" w:lineRule="auto"/>
        <w:ind w:firstLine="480" w:firstLineChars="200"/>
        <w:rPr>
          <w:rFonts w:cs="宋体"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 xml:space="preserve">11.3 </w:t>
      </w:r>
      <w:r>
        <w:rPr>
          <w:rFonts w:hint="eastAsia" w:asciiTheme="minorEastAsia" w:hAnsiTheme="minorEastAsia" w:eastAsiaTheme="minorEastAsia"/>
          <w:color w:val="auto"/>
          <w:sz w:val="24"/>
          <w:szCs w:val="24"/>
        </w:rPr>
        <w:t>如果由于发包人要求更改而造成的项目复杂性的变更或性质的变更使得设计人的设计工作减少，发包人</w:t>
      </w:r>
      <w:r>
        <w:rPr>
          <w:rFonts w:hint="eastAsia" w:asciiTheme="minorEastAsia" w:hAnsiTheme="minorEastAsia" w:eastAsiaTheme="minorEastAsia"/>
          <w:color w:val="auto"/>
          <w:kern w:val="0"/>
          <w:sz w:val="24"/>
          <w:szCs w:val="24"/>
        </w:rPr>
        <w:t>可按本条约定和专用合同条款的约定，与设计人协商对合同价格和/或完工时间做可共同接受的修改。</w:t>
      </w:r>
    </w:p>
    <w:p>
      <w:pPr>
        <w:spacing w:line="360" w:lineRule="auto"/>
        <w:ind w:firstLine="480" w:firstLineChars="200"/>
        <w:rPr>
          <w:rFonts w:cs="宋体"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11.4 基准日期后，与工程设计服务有关的法律、技术标准的强制性规定的颁布及修改，由此增加的设计费用和（或）延长的设计周期由发包人承担。</w:t>
      </w:r>
    </w:p>
    <w:p>
      <w:pPr>
        <w:spacing w:line="360" w:lineRule="auto"/>
        <w:ind w:firstLine="480" w:firstLineChars="200"/>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11.5 如果发生设计人认为有理由提出增加合同价款或延长设计周期的要求事项，除专用合同条款对期限另有约定外，设计人应于该事项发生后5天内书面通知发包人。除专用合同条款对期限另有约定外，在该事项发生后10天内，设计人应向发包人提供证明设计人要求的书面声明，其中包括设计人关于因该事项引起的合同价款和设计周期的变化的详细计算。除专用合同条款对期限另有约定外，发包人应在接到设计人书面声明后的5天内，予以书面答复。逾期未答复的，视为发包人同意设计人关于增加合同价款或延长设计周期的要求。</w:t>
      </w:r>
    </w:p>
    <w:p>
      <w:pPr>
        <w:pStyle w:val="6"/>
        <w:spacing w:before="120" w:after="120" w:line="360" w:lineRule="auto"/>
        <w:rPr>
          <w:rFonts w:asciiTheme="minorEastAsia" w:hAnsiTheme="minorEastAsia" w:eastAsiaTheme="minorEastAsia"/>
          <w:b w:val="0"/>
          <w:color w:val="auto"/>
          <w:sz w:val="24"/>
          <w:szCs w:val="24"/>
        </w:rPr>
      </w:pPr>
      <w:r>
        <w:rPr>
          <w:rFonts w:hint="eastAsia" w:asciiTheme="minorEastAsia" w:hAnsiTheme="minorEastAsia" w:eastAsiaTheme="minorEastAsia"/>
          <w:b w:val="0"/>
          <w:color w:val="auto"/>
          <w:sz w:val="24"/>
          <w:szCs w:val="24"/>
        </w:rPr>
        <w:t>12. 专业责任与保险</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12.1 设计人应运用一切合理的专业技术和经验知识，按照公认的职业标准尽其全部职责和谨慎、勤勉地履行其在本合同项下的责任和义务。</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12.2 除专用合同条款另有约定外，设计人应具有发包人认可的、履行本合同所需要的工程设计责任保险并使其于合同责任期内保持有效。</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12.3 工程设计责任保险应承担由于设计人的疏忽或过失而引发的工程质量事故所造成的建设工程本身的物质损失以及第三者人身伤亡、财产损失或费用的赔偿责任。</w:t>
      </w:r>
    </w:p>
    <w:p>
      <w:pPr>
        <w:pStyle w:val="6"/>
        <w:spacing w:before="120" w:after="120" w:line="360" w:lineRule="auto"/>
        <w:rPr>
          <w:rFonts w:asciiTheme="minorEastAsia" w:hAnsiTheme="minorEastAsia" w:eastAsiaTheme="minorEastAsia"/>
          <w:b w:val="0"/>
          <w:color w:val="auto"/>
          <w:sz w:val="24"/>
          <w:szCs w:val="24"/>
        </w:rPr>
      </w:pPr>
      <w:r>
        <w:rPr>
          <w:rFonts w:hint="eastAsia" w:asciiTheme="minorEastAsia" w:hAnsiTheme="minorEastAsia" w:eastAsiaTheme="minorEastAsia"/>
          <w:b w:val="0"/>
          <w:color w:val="auto"/>
          <w:sz w:val="24"/>
          <w:szCs w:val="24"/>
        </w:rPr>
        <w:t>13. 知识产权</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13.1 除专用合同条款另有约定外，发包人提供给设计人的图纸、发包人为实施工程自行编制或委托编制的技术规格书以及反映发包人要求的或其他类似性质的文件的著作权属于发包人，设计人可以为实现合同目的而复制、使用此类文件，但不能用于与合同无关的其他事项。未经发包人书面同意，设计人不得为了合同以外的目的而复制、使用上述文件或将之提供给任何第三方。</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13.2 除专用合同条款另有约定外，设计人为实施工程所编制的文件的著作权属于设计人，发包人可因实施工程的运行、调试、维修、改造等目的而复制、使用此类文件，但不能擅自修改或用于与合同无关的其他事项。未经设计人书面同意，发包人不得为了合同以外的目的而复制、使用上述文件或将之提供给任何第三方。</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13.3 合同当事人保证在履行合同过程中不侵犯对方及第三方的知识产权。设计人在工程设计时，因侵犯他人的专利权或其他知识产权所引起的责任，由设计人承担；因发包人提供的工程设计资料导致侵权的，由发包人承担责任。</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13.4 合同当事人双方均有权在不损害对方利益和保密约定的前提下，在自己宣传用的印刷品或其他出版物上，或申报奖项时等情形下公布有关项目的文字和图片材料。</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13.5 除专用合同条款另有约定外，设计人在合同签订前和签订时已确定采用的专利、专有技术的使用费应包含在签约合同价中。</w:t>
      </w:r>
    </w:p>
    <w:bookmarkEnd w:id="115"/>
    <w:bookmarkEnd w:id="116"/>
    <w:bookmarkEnd w:id="117"/>
    <w:p>
      <w:pPr>
        <w:pStyle w:val="6"/>
        <w:spacing w:before="120" w:after="120" w:line="360" w:lineRule="auto"/>
        <w:rPr>
          <w:rFonts w:asciiTheme="minorEastAsia" w:hAnsiTheme="minorEastAsia" w:eastAsiaTheme="minorEastAsia"/>
          <w:b w:val="0"/>
          <w:color w:val="auto"/>
          <w:sz w:val="24"/>
          <w:szCs w:val="24"/>
        </w:rPr>
      </w:pPr>
      <w:bookmarkStart w:id="118" w:name="_Toc351203603"/>
      <w:bookmarkStart w:id="119" w:name="_Toc337558820"/>
      <w:r>
        <w:rPr>
          <w:rFonts w:hint="eastAsia" w:asciiTheme="minorEastAsia" w:hAnsiTheme="minorEastAsia" w:eastAsiaTheme="minorEastAsia"/>
          <w:b w:val="0"/>
          <w:color w:val="auto"/>
          <w:sz w:val="24"/>
          <w:szCs w:val="24"/>
        </w:rPr>
        <w:t>14. 违约</w:t>
      </w:r>
      <w:bookmarkEnd w:id="118"/>
      <w:r>
        <w:rPr>
          <w:rFonts w:hint="eastAsia" w:asciiTheme="minorEastAsia" w:hAnsiTheme="minorEastAsia" w:eastAsiaTheme="minorEastAsia"/>
          <w:b w:val="0"/>
          <w:color w:val="auto"/>
          <w:sz w:val="24"/>
          <w:szCs w:val="24"/>
        </w:rPr>
        <w:t>责任</w:t>
      </w:r>
    </w:p>
    <w:bookmarkEnd w:id="119"/>
    <w:p>
      <w:pPr>
        <w:pStyle w:val="7"/>
        <w:spacing w:before="120" w:after="120" w:line="360" w:lineRule="auto"/>
        <w:ind w:firstLine="480" w:firstLineChars="200"/>
        <w:rPr>
          <w:rFonts w:asciiTheme="minorEastAsia" w:hAnsiTheme="minorEastAsia" w:eastAsiaTheme="minorEastAsia"/>
          <w:b w:val="0"/>
          <w:color w:val="auto"/>
          <w:sz w:val="24"/>
          <w:szCs w:val="24"/>
        </w:rPr>
      </w:pPr>
      <w:bookmarkStart w:id="120" w:name="_Toc296346630"/>
      <w:bookmarkStart w:id="121" w:name="_Toc296503129"/>
      <w:bookmarkStart w:id="122" w:name="_Toc351203604"/>
      <w:bookmarkStart w:id="123" w:name="_Toc337558821"/>
      <w:r>
        <w:rPr>
          <w:rFonts w:hint="eastAsia" w:asciiTheme="minorEastAsia" w:hAnsiTheme="minorEastAsia" w:eastAsiaTheme="minorEastAsia"/>
          <w:b w:val="0"/>
          <w:color w:val="auto"/>
          <w:sz w:val="24"/>
          <w:szCs w:val="24"/>
        </w:rPr>
        <w:t>14.1 发</w:t>
      </w:r>
      <w:bookmarkEnd w:id="120"/>
      <w:bookmarkEnd w:id="121"/>
      <w:r>
        <w:rPr>
          <w:rFonts w:hint="eastAsia" w:asciiTheme="minorEastAsia" w:hAnsiTheme="minorEastAsia" w:eastAsiaTheme="minorEastAsia"/>
          <w:b w:val="0"/>
          <w:color w:val="auto"/>
          <w:sz w:val="24"/>
          <w:szCs w:val="24"/>
        </w:rPr>
        <w:t>包人违约</w:t>
      </w:r>
      <w:bookmarkEnd w:id="122"/>
      <w:r>
        <w:rPr>
          <w:rFonts w:hint="eastAsia" w:asciiTheme="minorEastAsia" w:hAnsiTheme="minorEastAsia" w:eastAsiaTheme="minorEastAsia"/>
          <w:b w:val="0"/>
          <w:color w:val="auto"/>
          <w:sz w:val="24"/>
          <w:szCs w:val="24"/>
        </w:rPr>
        <w:t>责任</w:t>
      </w:r>
    </w:p>
    <w:bookmarkEnd w:id="123"/>
    <w:p>
      <w:pPr>
        <w:spacing w:line="360" w:lineRule="auto"/>
        <w:ind w:firstLine="480" w:firstLineChars="200"/>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14.1.1 合同生效后，发包人因非设计人原因要求终止或解除合同，设计人未开始设计工作的，不退还发包人已付的定金或发包人按照专用合同条款的约定向设计人支付违约金；已开始设计工作的，发包人应按照设计人已完成的实际工作量计算设计费，完成工作量不足一半时，按该阶段设计费的一半支付设计费；超过一半时，按该阶段设计费的全部支付设计费。</w:t>
      </w:r>
    </w:p>
    <w:p>
      <w:pPr>
        <w:spacing w:line="360" w:lineRule="auto"/>
        <w:ind w:firstLine="480" w:firstLineChars="200"/>
        <w:rPr>
          <w:rFonts w:asciiTheme="minorEastAsia" w:hAnsiTheme="minorEastAsia" w:eastAsiaTheme="minorEastAsia"/>
          <w:color w:val="auto"/>
          <w:kern w:val="0"/>
          <w:sz w:val="24"/>
          <w:szCs w:val="24"/>
        </w:rPr>
      </w:pPr>
      <w:r>
        <w:rPr>
          <w:rFonts w:hint="eastAsia" w:cs="宋体" w:asciiTheme="minorEastAsia" w:hAnsiTheme="minorEastAsia" w:eastAsiaTheme="minorEastAsia"/>
          <w:color w:val="auto"/>
          <w:kern w:val="0"/>
          <w:sz w:val="24"/>
          <w:szCs w:val="24"/>
        </w:rPr>
        <w:t xml:space="preserve">14.1.2 </w:t>
      </w:r>
      <w:r>
        <w:rPr>
          <w:rFonts w:hint="eastAsia" w:asciiTheme="minorEastAsia" w:hAnsiTheme="minorEastAsia" w:eastAsiaTheme="minorEastAsia"/>
          <w:color w:val="auto"/>
          <w:kern w:val="0"/>
          <w:sz w:val="24"/>
          <w:szCs w:val="24"/>
        </w:rPr>
        <w:t>发包人未按专用合同条款约定的金额和期限向设计人支付设计费的，应按专用合同条款约定向设计人支付违约金。逾期超过15天时，设计人有权书面通知发包人中止设计工作。自中止设计工作之日起15天内发包人支付相应费用的，设计人应及时根据发包人要求恢复设计工作；自中止设计工作之日起超过15天后发包人支付相应费用的，设计人有权确定重新恢复设计工作的时间，且设计周期相应延长。</w:t>
      </w:r>
    </w:p>
    <w:p>
      <w:pPr>
        <w:spacing w:line="360" w:lineRule="auto"/>
        <w:ind w:firstLine="480" w:firstLineChars="200"/>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14.1.3 发包人的上级或设计审批部门对设计文件不进行审批或本合同工程停建、缓建，发包人应在事件发生之日起15天内按本合同第16条</w:t>
      </w:r>
      <w:r>
        <w:rPr>
          <w:rFonts w:hint="eastAsia" w:asciiTheme="minorEastAsia" w:hAnsiTheme="minorEastAsia" w:eastAsiaTheme="minorEastAsia"/>
          <w:color w:val="auto"/>
          <w:sz w:val="24"/>
          <w:szCs w:val="24"/>
        </w:rPr>
        <w:t>〔合同解除〕</w:t>
      </w:r>
      <w:r>
        <w:rPr>
          <w:rFonts w:hint="eastAsia" w:asciiTheme="minorEastAsia" w:hAnsiTheme="minorEastAsia" w:eastAsiaTheme="minorEastAsia"/>
          <w:color w:val="auto"/>
          <w:kern w:val="0"/>
          <w:sz w:val="24"/>
          <w:szCs w:val="24"/>
        </w:rPr>
        <w:t>的约定向设计人结算并支付设计费。</w:t>
      </w:r>
    </w:p>
    <w:p>
      <w:pPr>
        <w:spacing w:line="360" w:lineRule="auto"/>
        <w:ind w:firstLine="480" w:firstLineChars="200"/>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14.1.4 发包人擅自将设计人的设计文件用于本工程以外的工程或交第三方使用时，应承担相应法律责任，并应赔偿设计人因此遭受的损失。</w:t>
      </w:r>
    </w:p>
    <w:p>
      <w:pPr>
        <w:pStyle w:val="7"/>
        <w:keepNext w:val="0"/>
        <w:keepLines w:val="0"/>
        <w:spacing w:before="120" w:after="120" w:line="360" w:lineRule="auto"/>
        <w:ind w:firstLine="480" w:firstLineChars="200"/>
        <w:rPr>
          <w:rFonts w:asciiTheme="minorEastAsia" w:hAnsiTheme="minorEastAsia" w:eastAsiaTheme="minorEastAsia"/>
          <w:b w:val="0"/>
          <w:color w:val="auto"/>
          <w:sz w:val="24"/>
          <w:szCs w:val="24"/>
        </w:rPr>
      </w:pPr>
      <w:bookmarkStart w:id="124" w:name="_Toc351203605"/>
      <w:bookmarkStart w:id="125" w:name="_Toc296503131"/>
      <w:bookmarkStart w:id="126" w:name="_Toc337558822"/>
      <w:bookmarkStart w:id="127" w:name="_Toc296346632"/>
      <w:r>
        <w:rPr>
          <w:rFonts w:hint="eastAsia" w:asciiTheme="minorEastAsia" w:hAnsiTheme="minorEastAsia" w:eastAsiaTheme="minorEastAsia"/>
          <w:b w:val="0"/>
          <w:color w:val="auto"/>
          <w:sz w:val="24"/>
          <w:szCs w:val="24"/>
        </w:rPr>
        <w:t>14.2 设计人违约</w:t>
      </w:r>
      <w:bookmarkEnd w:id="124"/>
      <w:r>
        <w:rPr>
          <w:rFonts w:hint="eastAsia" w:asciiTheme="minorEastAsia" w:hAnsiTheme="minorEastAsia" w:eastAsiaTheme="minorEastAsia"/>
          <w:b w:val="0"/>
          <w:color w:val="auto"/>
          <w:sz w:val="24"/>
          <w:szCs w:val="24"/>
        </w:rPr>
        <w:t>责任</w:t>
      </w:r>
    </w:p>
    <w:bookmarkEnd w:id="125"/>
    <w:bookmarkEnd w:id="126"/>
    <w:bookmarkEnd w:id="127"/>
    <w:p>
      <w:pPr>
        <w:spacing w:line="360" w:lineRule="auto"/>
        <w:ind w:firstLine="480" w:firstLineChars="200"/>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14.2.1 合同生效后，设计人因自身原因要求终止或解除合同，设计人应按发包人已支付的定金金额双倍返还给发包人或设计人按照专用合同条款约定向发包人支付违约金。</w:t>
      </w:r>
    </w:p>
    <w:p>
      <w:pPr>
        <w:spacing w:line="360" w:lineRule="auto"/>
        <w:ind w:firstLine="480" w:firstLineChars="200"/>
        <w:rPr>
          <w:rFonts w:cs="宋体"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14.2.2 由于设计人原因，未按专用合同条款附件3约定的时间交付工程设计文件的，应按专用合同条款的约定向发包人支付违约金，前述违约金经双方确认后可在发包人应付设计费中扣减。</w:t>
      </w:r>
    </w:p>
    <w:p>
      <w:pPr>
        <w:spacing w:line="360" w:lineRule="auto"/>
        <w:ind w:firstLine="480" w:firstLineChars="200"/>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14.2.3 设计人对工程设计文件出现的遗漏或错误负责修改或补充。由于设计人原因产生的设计问题造成工程质量事故或其他事故时，设计人除负责采取补救措施外，应当通过所投建设工程设计责任保险向发包人承担赔偿责任或者根据直接经济损失程度按专用合同条款约定向发包人支付赔偿金。</w:t>
      </w:r>
    </w:p>
    <w:p>
      <w:pPr>
        <w:spacing w:line="360" w:lineRule="auto"/>
        <w:ind w:firstLine="480" w:firstLineChars="200"/>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14.2.4 由于设计人原因，工程设计文件超出发包人与设计人书面约定的主要技术指标控制值比例的，设计人应当按照专用合同条款的约定承担违约责任。</w:t>
      </w:r>
    </w:p>
    <w:p>
      <w:pPr>
        <w:spacing w:line="360" w:lineRule="auto"/>
        <w:ind w:firstLine="480" w:firstLineChars="200"/>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14.2.5 设计人未经发包人同意擅自对工程设计进行分包的，发包人有权要求设计人解除未经发包人同意的设计分包合同，设计人应当按照专用合同条款的约定承担违约责任。</w:t>
      </w:r>
    </w:p>
    <w:p>
      <w:pPr>
        <w:pStyle w:val="6"/>
        <w:keepNext w:val="0"/>
        <w:keepLines w:val="0"/>
        <w:spacing w:before="120" w:after="120" w:line="360" w:lineRule="auto"/>
        <w:rPr>
          <w:rFonts w:asciiTheme="minorEastAsia" w:hAnsiTheme="minorEastAsia" w:eastAsiaTheme="minorEastAsia"/>
          <w:b w:val="0"/>
          <w:color w:val="auto"/>
          <w:sz w:val="24"/>
          <w:szCs w:val="24"/>
        </w:rPr>
      </w:pPr>
      <w:bookmarkStart w:id="128" w:name="_Toc296503116"/>
      <w:bookmarkStart w:id="129" w:name="_Toc296346617"/>
      <w:bookmarkStart w:id="130" w:name="_Toc337558823"/>
      <w:bookmarkStart w:id="131" w:name="_Toc351203607"/>
      <w:r>
        <w:rPr>
          <w:rFonts w:hint="eastAsia" w:asciiTheme="minorEastAsia" w:hAnsiTheme="minorEastAsia" w:eastAsiaTheme="minorEastAsia"/>
          <w:b w:val="0"/>
          <w:color w:val="auto"/>
          <w:sz w:val="24"/>
          <w:szCs w:val="24"/>
        </w:rPr>
        <w:t>15. 不可抗力</w:t>
      </w:r>
      <w:bookmarkEnd w:id="128"/>
      <w:bookmarkEnd w:id="129"/>
      <w:bookmarkEnd w:id="130"/>
      <w:bookmarkEnd w:id="131"/>
    </w:p>
    <w:p>
      <w:pPr>
        <w:pStyle w:val="7"/>
        <w:keepNext w:val="0"/>
        <w:keepLines w:val="0"/>
        <w:spacing w:before="120" w:after="120" w:line="360" w:lineRule="auto"/>
        <w:ind w:firstLine="480" w:firstLineChars="200"/>
        <w:rPr>
          <w:rFonts w:asciiTheme="minorEastAsia" w:hAnsiTheme="minorEastAsia" w:eastAsiaTheme="minorEastAsia"/>
          <w:b w:val="0"/>
          <w:bCs w:val="0"/>
          <w:color w:val="auto"/>
          <w:kern w:val="0"/>
          <w:sz w:val="24"/>
          <w:szCs w:val="24"/>
        </w:rPr>
      </w:pPr>
      <w:bookmarkStart w:id="132" w:name="_Toc351203608"/>
      <w:bookmarkStart w:id="133" w:name="_Toc296346618"/>
      <w:bookmarkStart w:id="134" w:name="_Toc337558824"/>
      <w:bookmarkStart w:id="135" w:name="_Toc296503117"/>
      <w:r>
        <w:rPr>
          <w:rFonts w:hint="eastAsia" w:asciiTheme="minorEastAsia" w:hAnsiTheme="minorEastAsia" w:eastAsiaTheme="minorEastAsia"/>
          <w:b w:val="0"/>
          <w:color w:val="auto"/>
          <w:sz w:val="24"/>
          <w:szCs w:val="24"/>
        </w:rPr>
        <w:t>15.1 不可抗力的确认</w:t>
      </w:r>
      <w:bookmarkEnd w:id="132"/>
    </w:p>
    <w:bookmarkEnd w:id="133"/>
    <w:bookmarkEnd w:id="134"/>
    <w:bookmarkEnd w:id="135"/>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不可抗力是指合同当事人在签订合同时不可预见，在合同履行过程中不可避免且不能克服的自然灾害和社会性突发事件，如地震、海啸、瘟疫、骚乱、戒严、暴动、战争和专用合同条款中约定的其他情形。</w:t>
      </w:r>
    </w:p>
    <w:p>
      <w:pPr>
        <w:adjustRightInd w:val="0"/>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不可抗力发生后，发包人和设计人应收集证明不可抗力发生及不可抗力造成损失的证据，并及时认真统计所造成的损失。合同当事人对是否属于不可抗力或其损失发生争议时，按第17条〔争议解决〕的约定处理。</w:t>
      </w:r>
    </w:p>
    <w:p>
      <w:pPr>
        <w:pStyle w:val="7"/>
        <w:spacing w:before="120" w:after="120" w:line="360" w:lineRule="auto"/>
        <w:ind w:firstLine="480" w:firstLineChars="200"/>
        <w:rPr>
          <w:rFonts w:asciiTheme="minorEastAsia" w:hAnsiTheme="minorEastAsia" w:eastAsiaTheme="minorEastAsia"/>
          <w:b w:val="0"/>
          <w:bCs w:val="0"/>
          <w:color w:val="auto"/>
          <w:kern w:val="0"/>
          <w:sz w:val="24"/>
          <w:szCs w:val="24"/>
        </w:rPr>
      </w:pPr>
      <w:bookmarkStart w:id="136" w:name="_Toc351203609"/>
      <w:bookmarkStart w:id="137" w:name="_Toc296503118"/>
      <w:bookmarkStart w:id="138" w:name="_Toc296346619"/>
      <w:bookmarkStart w:id="139" w:name="_Toc337558825"/>
      <w:r>
        <w:rPr>
          <w:rFonts w:hint="eastAsia" w:asciiTheme="minorEastAsia" w:hAnsiTheme="minorEastAsia" w:eastAsiaTheme="minorEastAsia"/>
          <w:b w:val="0"/>
          <w:color w:val="auto"/>
          <w:sz w:val="24"/>
          <w:szCs w:val="24"/>
        </w:rPr>
        <w:t>15.2 不可抗力的通知</w:t>
      </w:r>
      <w:bookmarkEnd w:id="136"/>
    </w:p>
    <w:bookmarkEnd w:id="137"/>
    <w:bookmarkEnd w:id="138"/>
    <w:bookmarkEnd w:id="139"/>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合同一方当事人遇到不可抗力事件，使其履行合同义务受到阻碍时，应立即通知合同另一方当事人，书面说明不可抗力和受阻碍的详细情况，并在合理期限内提供必要的证明。</w:t>
      </w:r>
    </w:p>
    <w:p>
      <w:pPr>
        <w:adjustRightInd w:val="0"/>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不可抗力持续发生的，合同一方当事人应及时向合同另一方当事人提交中间报告，说明不可抗力和履行合同受阻的情况，并于不可抗力事件结束后28天内提交最终报告及有关资料。</w:t>
      </w:r>
    </w:p>
    <w:p>
      <w:pPr>
        <w:pStyle w:val="7"/>
        <w:spacing w:before="120" w:after="120" w:line="360" w:lineRule="auto"/>
        <w:ind w:firstLine="480" w:firstLineChars="200"/>
        <w:rPr>
          <w:rFonts w:asciiTheme="minorEastAsia" w:hAnsiTheme="minorEastAsia" w:eastAsiaTheme="minorEastAsia"/>
          <w:b w:val="0"/>
          <w:color w:val="auto"/>
          <w:sz w:val="24"/>
          <w:szCs w:val="24"/>
        </w:rPr>
      </w:pPr>
      <w:bookmarkStart w:id="140" w:name="_Toc351203610"/>
      <w:bookmarkStart w:id="141" w:name="_Toc296346620"/>
      <w:bookmarkStart w:id="142" w:name="_Toc296503119"/>
      <w:bookmarkStart w:id="143" w:name="_Toc337558826"/>
      <w:r>
        <w:rPr>
          <w:rFonts w:hint="eastAsia" w:asciiTheme="minorEastAsia" w:hAnsiTheme="minorEastAsia" w:eastAsiaTheme="minorEastAsia"/>
          <w:b w:val="0"/>
          <w:color w:val="auto"/>
          <w:sz w:val="24"/>
          <w:szCs w:val="24"/>
        </w:rPr>
        <w:t>15.3 不可抗力后果的承担</w:t>
      </w:r>
      <w:bookmarkEnd w:id="140"/>
    </w:p>
    <w:bookmarkEnd w:id="141"/>
    <w:bookmarkEnd w:id="142"/>
    <w:bookmarkEnd w:id="143"/>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不可抗力引起的后果及造成的损失由合同当事人按照法律规定及合同约定各自承担。不可抗力发生前已完成的工程设计应当按照合同约定进行支付。</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不可抗力发生后，合同当事人均应采取措施尽量避免和减少损失的扩大，任何一方当事人没有采取有效措施导致损失扩大的，应对扩大的损失承担责任。</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因合同一方迟延履行合同义务，在迟延履行期间遭遇不可抗力的，不免除其违约责任。</w:t>
      </w:r>
    </w:p>
    <w:p>
      <w:pPr>
        <w:pStyle w:val="6"/>
        <w:spacing w:before="120" w:after="120" w:line="360" w:lineRule="auto"/>
        <w:rPr>
          <w:rFonts w:asciiTheme="minorEastAsia" w:hAnsiTheme="minorEastAsia" w:eastAsiaTheme="minorEastAsia"/>
          <w:b w:val="0"/>
          <w:color w:val="auto"/>
          <w:sz w:val="24"/>
          <w:szCs w:val="24"/>
        </w:rPr>
      </w:pPr>
      <w:r>
        <w:rPr>
          <w:rFonts w:hint="eastAsia" w:asciiTheme="minorEastAsia" w:hAnsiTheme="minorEastAsia" w:eastAsiaTheme="minorEastAsia"/>
          <w:b w:val="0"/>
          <w:color w:val="auto"/>
          <w:sz w:val="24"/>
          <w:szCs w:val="24"/>
        </w:rPr>
        <w:t>16. 合同解除</w:t>
      </w:r>
    </w:p>
    <w:p>
      <w:pPr>
        <w:spacing w:line="360" w:lineRule="auto"/>
        <w:ind w:firstLine="480" w:firstLineChars="200"/>
        <w:rPr>
          <w:rFonts w:cs="Courier New" w:asciiTheme="minorEastAsia" w:hAnsiTheme="minorEastAsia" w:eastAsiaTheme="minorEastAsia"/>
          <w:color w:val="auto"/>
          <w:sz w:val="24"/>
          <w:szCs w:val="24"/>
        </w:rPr>
      </w:pPr>
      <w:r>
        <w:rPr>
          <w:rFonts w:hint="eastAsia" w:cs="Courier New" w:asciiTheme="minorEastAsia" w:hAnsiTheme="minorEastAsia" w:eastAsiaTheme="minorEastAsia"/>
          <w:color w:val="auto"/>
          <w:sz w:val="24"/>
          <w:szCs w:val="24"/>
        </w:rPr>
        <w:t>16.1 发包人与设计人协商一致，可以解除合同。</w:t>
      </w:r>
    </w:p>
    <w:p>
      <w:pPr>
        <w:spacing w:line="360" w:lineRule="auto"/>
        <w:ind w:firstLine="480" w:firstLineChars="200"/>
        <w:rPr>
          <w:rFonts w:cs="Courier New" w:asciiTheme="minorEastAsia" w:hAnsiTheme="minorEastAsia" w:eastAsiaTheme="minorEastAsia"/>
          <w:color w:val="auto"/>
          <w:sz w:val="24"/>
          <w:szCs w:val="24"/>
        </w:rPr>
      </w:pPr>
      <w:r>
        <w:rPr>
          <w:rFonts w:hint="eastAsia" w:cs="Courier New" w:asciiTheme="minorEastAsia" w:hAnsiTheme="minorEastAsia" w:eastAsiaTheme="minorEastAsia"/>
          <w:color w:val="auto"/>
          <w:sz w:val="24"/>
          <w:szCs w:val="24"/>
        </w:rPr>
        <w:t>16.2 有下列情形之一的，合同当事人一方或双方可以解除合同：</w:t>
      </w:r>
    </w:p>
    <w:p>
      <w:pPr>
        <w:spacing w:line="360" w:lineRule="auto"/>
        <w:ind w:firstLine="480" w:firstLineChars="200"/>
        <w:rPr>
          <w:rFonts w:cs="Courier New" w:asciiTheme="minorEastAsia" w:hAnsiTheme="minorEastAsia" w:eastAsiaTheme="minorEastAsia"/>
          <w:color w:val="auto"/>
          <w:sz w:val="24"/>
          <w:szCs w:val="24"/>
        </w:rPr>
      </w:pPr>
      <w:r>
        <w:rPr>
          <w:rFonts w:hint="eastAsia" w:cs="Courier New" w:asciiTheme="minorEastAsia" w:hAnsiTheme="minorEastAsia" w:eastAsiaTheme="minorEastAsia"/>
          <w:color w:val="auto"/>
          <w:sz w:val="24"/>
          <w:szCs w:val="24"/>
        </w:rPr>
        <w:t>（1）设计人工程设计文件存在重大质量问题，经发包人催告后,在合理期限内修改后仍不能满足国家现行深度要求或不能达到合同约定的设计质量要求的，发包人可以解除合同；</w:t>
      </w:r>
    </w:p>
    <w:p>
      <w:pPr>
        <w:spacing w:line="360" w:lineRule="auto"/>
        <w:ind w:firstLine="480" w:firstLineChars="200"/>
        <w:rPr>
          <w:rFonts w:cs="Courier New" w:asciiTheme="minorEastAsia" w:hAnsiTheme="minorEastAsia" w:eastAsiaTheme="minorEastAsia"/>
          <w:color w:val="auto"/>
          <w:sz w:val="24"/>
          <w:szCs w:val="24"/>
        </w:rPr>
      </w:pPr>
      <w:r>
        <w:rPr>
          <w:rFonts w:hint="eastAsia" w:cs="Courier New" w:asciiTheme="minorEastAsia" w:hAnsiTheme="minorEastAsia" w:eastAsiaTheme="minorEastAsia"/>
          <w:color w:val="auto"/>
          <w:sz w:val="24"/>
          <w:szCs w:val="24"/>
        </w:rPr>
        <w:t>（2）发包人未按合同约定支付设计费用，经设计人催告后，在30天内仍未支付的，设计人可以解除合同；</w:t>
      </w:r>
    </w:p>
    <w:p>
      <w:pPr>
        <w:spacing w:line="360" w:lineRule="auto"/>
        <w:ind w:firstLine="480" w:firstLineChars="200"/>
        <w:rPr>
          <w:rFonts w:cs="Courier New" w:asciiTheme="minorEastAsia" w:hAnsiTheme="minorEastAsia" w:eastAsiaTheme="minorEastAsia"/>
          <w:color w:val="auto"/>
          <w:sz w:val="24"/>
          <w:szCs w:val="24"/>
        </w:rPr>
      </w:pPr>
      <w:r>
        <w:rPr>
          <w:rFonts w:hint="eastAsia" w:cs="Courier New" w:asciiTheme="minorEastAsia" w:hAnsiTheme="minorEastAsia" w:eastAsiaTheme="minorEastAsia"/>
          <w:color w:val="auto"/>
          <w:sz w:val="24"/>
          <w:szCs w:val="24"/>
        </w:rPr>
        <w:t>（3）暂停设计期限已连续超过180天，专用合同条款另有约定的除外；</w:t>
      </w:r>
    </w:p>
    <w:p>
      <w:pPr>
        <w:spacing w:line="360" w:lineRule="auto"/>
        <w:ind w:firstLine="480" w:firstLineChars="200"/>
        <w:rPr>
          <w:rFonts w:cs="Courier New" w:asciiTheme="minorEastAsia" w:hAnsiTheme="minorEastAsia" w:eastAsiaTheme="minorEastAsia"/>
          <w:color w:val="auto"/>
          <w:sz w:val="24"/>
          <w:szCs w:val="24"/>
        </w:rPr>
      </w:pPr>
      <w:r>
        <w:rPr>
          <w:rFonts w:hint="eastAsia" w:cs="Courier New" w:asciiTheme="minorEastAsia" w:hAnsiTheme="minorEastAsia" w:eastAsiaTheme="minorEastAsia"/>
          <w:color w:val="auto"/>
          <w:sz w:val="24"/>
          <w:szCs w:val="24"/>
        </w:rPr>
        <w:t>（4）因不可抗力致使合同无法履行；</w:t>
      </w:r>
    </w:p>
    <w:p>
      <w:pPr>
        <w:spacing w:line="360" w:lineRule="auto"/>
        <w:ind w:firstLine="480" w:firstLineChars="200"/>
        <w:rPr>
          <w:rFonts w:cs="Courier New" w:asciiTheme="minorEastAsia" w:hAnsiTheme="minorEastAsia" w:eastAsiaTheme="minorEastAsia"/>
          <w:color w:val="auto"/>
          <w:sz w:val="24"/>
          <w:szCs w:val="24"/>
        </w:rPr>
      </w:pPr>
      <w:r>
        <w:rPr>
          <w:rFonts w:hint="eastAsia" w:cs="Courier New" w:asciiTheme="minorEastAsia" w:hAnsiTheme="minorEastAsia" w:eastAsiaTheme="minorEastAsia"/>
          <w:color w:val="auto"/>
          <w:sz w:val="24"/>
          <w:szCs w:val="24"/>
        </w:rPr>
        <w:t>（5）因一方违约致使合同无法实际履行或实际履行已无必要；</w:t>
      </w:r>
    </w:p>
    <w:p>
      <w:pPr>
        <w:spacing w:line="360" w:lineRule="auto"/>
        <w:ind w:firstLine="480" w:firstLineChars="200"/>
        <w:rPr>
          <w:rFonts w:cs="Courier New" w:asciiTheme="minorEastAsia" w:hAnsiTheme="minorEastAsia" w:eastAsiaTheme="minorEastAsia"/>
          <w:color w:val="auto"/>
          <w:sz w:val="24"/>
          <w:szCs w:val="24"/>
        </w:rPr>
      </w:pPr>
      <w:r>
        <w:rPr>
          <w:rFonts w:hint="eastAsia" w:cs="Courier New" w:asciiTheme="minorEastAsia" w:hAnsiTheme="minorEastAsia" w:eastAsiaTheme="minorEastAsia"/>
          <w:color w:val="auto"/>
          <w:sz w:val="24"/>
          <w:szCs w:val="24"/>
        </w:rPr>
        <w:t>（6）因本工程项目条件发生重大变化，使合同无法继续履行。</w:t>
      </w:r>
    </w:p>
    <w:p>
      <w:pPr>
        <w:spacing w:line="360" w:lineRule="auto"/>
        <w:ind w:firstLine="480" w:firstLineChars="200"/>
        <w:rPr>
          <w:rFonts w:cs="Courier New" w:asciiTheme="minorEastAsia" w:hAnsiTheme="minorEastAsia" w:eastAsiaTheme="minorEastAsia"/>
          <w:color w:val="auto"/>
          <w:sz w:val="24"/>
          <w:szCs w:val="24"/>
        </w:rPr>
      </w:pPr>
      <w:r>
        <w:rPr>
          <w:rFonts w:hint="eastAsia" w:cs="Courier New" w:asciiTheme="minorEastAsia" w:hAnsiTheme="minorEastAsia" w:eastAsiaTheme="minorEastAsia"/>
          <w:color w:val="auto"/>
          <w:sz w:val="24"/>
          <w:szCs w:val="24"/>
        </w:rPr>
        <w:t>16.3 任何一方因故需解除合同时，应提前30天书面通知对方，对合同中的遗留问题应取得一致意见并形成书面协议。</w:t>
      </w:r>
    </w:p>
    <w:p>
      <w:pPr>
        <w:spacing w:line="360" w:lineRule="auto"/>
        <w:ind w:firstLine="480" w:firstLineChars="200"/>
        <w:rPr>
          <w:rFonts w:cs="Courier New" w:asciiTheme="minorEastAsia" w:hAnsiTheme="minorEastAsia" w:eastAsiaTheme="minorEastAsia"/>
          <w:color w:val="auto"/>
          <w:sz w:val="24"/>
          <w:szCs w:val="24"/>
        </w:rPr>
      </w:pPr>
      <w:r>
        <w:rPr>
          <w:rFonts w:hint="eastAsia" w:cs="Courier New" w:asciiTheme="minorEastAsia" w:hAnsiTheme="minorEastAsia" w:eastAsiaTheme="minorEastAsia"/>
          <w:color w:val="auto"/>
          <w:sz w:val="24"/>
          <w:szCs w:val="24"/>
        </w:rPr>
        <w:t>16.4 合同解除后，发包人除应按第14.1.1项的约定及专用合同条款约定期限内向设计人支付已完工作的设计费外，应当向设计人支付由于非设计人原因合同解除导致设计人增加的设计费用，违约一方应当承担相应的违约责任。</w:t>
      </w:r>
    </w:p>
    <w:p>
      <w:pPr>
        <w:pStyle w:val="6"/>
        <w:keepNext w:val="0"/>
        <w:keepLines w:val="0"/>
        <w:spacing w:before="120" w:after="120" w:line="360" w:lineRule="auto"/>
        <w:rPr>
          <w:rFonts w:asciiTheme="minorEastAsia" w:hAnsiTheme="minorEastAsia" w:eastAsiaTheme="minorEastAsia"/>
          <w:b w:val="0"/>
          <w:color w:val="auto"/>
          <w:sz w:val="24"/>
          <w:szCs w:val="24"/>
        </w:rPr>
      </w:pPr>
      <w:bookmarkStart w:id="144" w:name="_Toc351203626"/>
      <w:bookmarkStart w:id="145" w:name="_Toc296503146"/>
      <w:bookmarkStart w:id="146" w:name="_Toc296346647"/>
      <w:bookmarkStart w:id="147" w:name="_Toc337558840"/>
      <w:r>
        <w:rPr>
          <w:rFonts w:hint="eastAsia" w:asciiTheme="minorEastAsia" w:hAnsiTheme="minorEastAsia" w:eastAsiaTheme="minorEastAsia"/>
          <w:b w:val="0"/>
          <w:color w:val="auto"/>
          <w:sz w:val="24"/>
          <w:szCs w:val="24"/>
        </w:rPr>
        <w:t>17. 争议解决</w:t>
      </w:r>
      <w:bookmarkEnd w:id="144"/>
    </w:p>
    <w:bookmarkEnd w:id="145"/>
    <w:bookmarkEnd w:id="146"/>
    <w:bookmarkEnd w:id="147"/>
    <w:p>
      <w:pPr>
        <w:pStyle w:val="7"/>
        <w:keepNext w:val="0"/>
        <w:keepLines w:val="0"/>
        <w:spacing w:before="120" w:after="120" w:line="360" w:lineRule="auto"/>
        <w:ind w:firstLine="480" w:firstLineChars="200"/>
        <w:rPr>
          <w:rFonts w:asciiTheme="minorEastAsia" w:hAnsiTheme="minorEastAsia" w:eastAsiaTheme="minorEastAsia"/>
          <w:b w:val="0"/>
          <w:color w:val="auto"/>
          <w:sz w:val="24"/>
          <w:szCs w:val="24"/>
        </w:rPr>
      </w:pPr>
      <w:bookmarkStart w:id="148" w:name="_Toc351203627"/>
      <w:bookmarkStart w:id="149" w:name="_Toc337558841"/>
      <w:bookmarkStart w:id="150" w:name="_Toc296503147"/>
      <w:bookmarkStart w:id="151" w:name="_Toc296346648"/>
      <w:r>
        <w:rPr>
          <w:rFonts w:hint="eastAsia" w:asciiTheme="minorEastAsia" w:hAnsiTheme="minorEastAsia" w:eastAsiaTheme="minorEastAsia"/>
          <w:b w:val="0"/>
          <w:color w:val="auto"/>
          <w:sz w:val="24"/>
          <w:szCs w:val="24"/>
        </w:rPr>
        <w:t>17.1 和解</w:t>
      </w:r>
      <w:bookmarkEnd w:id="148"/>
    </w:p>
    <w:bookmarkEnd w:id="149"/>
    <w:bookmarkEnd w:id="150"/>
    <w:bookmarkEnd w:id="151"/>
    <w:p>
      <w:pPr>
        <w:spacing w:line="360" w:lineRule="auto"/>
        <w:ind w:firstLine="480" w:firstLineChars="200"/>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合同当事人可以就争议自行和解，自行和解达成协议的经双方签字并盖章后作为合同补充文件，双方均应遵照执行。</w:t>
      </w:r>
    </w:p>
    <w:p>
      <w:pPr>
        <w:spacing w:line="360" w:lineRule="auto"/>
        <w:ind w:firstLine="480" w:firstLineChars="200"/>
        <w:rPr>
          <w:rFonts w:asciiTheme="minorEastAsia" w:hAnsiTheme="minorEastAsia" w:eastAsiaTheme="minorEastAsia"/>
          <w:color w:val="auto"/>
          <w:kern w:val="0"/>
          <w:sz w:val="24"/>
          <w:szCs w:val="24"/>
        </w:rPr>
      </w:pPr>
      <w:bookmarkStart w:id="152" w:name="_Toc351203628"/>
      <w:bookmarkStart w:id="153" w:name="_Toc337558842"/>
      <w:bookmarkStart w:id="154" w:name="_Toc296346649"/>
      <w:bookmarkStart w:id="155" w:name="_Toc296503148"/>
      <w:r>
        <w:rPr>
          <w:rFonts w:hint="eastAsia" w:asciiTheme="minorEastAsia" w:hAnsiTheme="minorEastAsia" w:eastAsiaTheme="minorEastAsia"/>
          <w:bCs/>
          <w:color w:val="auto"/>
          <w:sz w:val="24"/>
          <w:szCs w:val="24"/>
        </w:rPr>
        <w:t>17.2 调解</w:t>
      </w:r>
      <w:bookmarkEnd w:id="152"/>
    </w:p>
    <w:bookmarkEnd w:id="153"/>
    <w:bookmarkEnd w:id="154"/>
    <w:bookmarkEnd w:id="155"/>
    <w:p>
      <w:pPr>
        <w:spacing w:line="360" w:lineRule="auto"/>
        <w:ind w:firstLine="480" w:firstLineChars="200"/>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合同当事人可以就争议请求相关行政主管部门、行业协会或其他第三方进行调解，调解达成协议的，经双方签字并盖章后作为合同补充文件，双方均应遵照执行。</w:t>
      </w:r>
    </w:p>
    <w:p>
      <w:pPr>
        <w:spacing w:line="360" w:lineRule="auto"/>
        <w:ind w:firstLine="480" w:firstLineChars="200"/>
        <w:rPr>
          <w:rFonts w:asciiTheme="minorEastAsia" w:hAnsiTheme="minorEastAsia" w:eastAsiaTheme="minorEastAsia"/>
          <w:color w:val="auto"/>
          <w:kern w:val="0"/>
          <w:sz w:val="24"/>
          <w:szCs w:val="24"/>
        </w:rPr>
      </w:pPr>
      <w:bookmarkStart w:id="156" w:name="_Toc351203629"/>
      <w:bookmarkStart w:id="157" w:name="_Toc296503149"/>
      <w:bookmarkStart w:id="158" w:name="_Toc296346650"/>
      <w:bookmarkStart w:id="159" w:name="_Toc337558843"/>
      <w:r>
        <w:rPr>
          <w:rFonts w:hint="eastAsia" w:asciiTheme="minorEastAsia" w:hAnsiTheme="minorEastAsia" w:eastAsiaTheme="minorEastAsia"/>
          <w:bCs/>
          <w:color w:val="auto"/>
          <w:sz w:val="24"/>
          <w:szCs w:val="24"/>
        </w:rPr>
        <w:t>17.3 争议评审</w:t>
      </w:r>
      <w:bookmarkEnd w:id="156"/>
    </w:p>
    <w:bookmarkEnd w:id="157"/>
    <w:bookmarkEnd w:id="158"/>
    <w:bookmarkEnd w:id="159"/>
    <w:p>
      <w:pPr>
        <w:spacing w:line="360" w:lineRule="auto"/>
        <w:ind w:firstLine="480" w:firstLineChars="200"/>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 xml:space="preserve">合同当事人在专用合同条款中约定采取争议评审方式解决争议以及评审规则，并按下列约定执行： </w:t>
      </w:r>
    </w:p>
    <w:p>
      <w:pPr>
        <w:spacing w:line="360" w:lineRule="auto"/>
        <w:ind w:firstLine="480" w:firstLineChars="200"/>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17.3.1 争议评审小组的确定</w:t>
      </w:r>
    </w:p>
    <w:p>
      <w:pPr>
        <w:spacing w:line="360" w:lineRule="auto"/>
        <w:ind w:firstLine="480" w:firstLineChars="200"/>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合同当事人可以共同选择一名或三名争议评审员，组成争议评审小组。除专用合同条款另有约定外，合同当事人应当自合同签订后28天内，或者争议发生后14天内，选定争议评审员。</w:t>
      </w:r>
    </w:p>
    <w:p>
      <w:pPr>
        <w:spacing w:line="360" w:lineRule="auto"/>
        <w:ind w:firstLine="480" w:firstLineChars="200"/>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 xml:space="preserve">选择一名争议评审员的，由合同当事人共同确定；选择三名争议评审员的，各自选定一名，第三名成员为首席争议评审员，由合同当事人共同确定或由合同当事人委托已选定的争议评审员共同确定，或由专用合同条款约定的评审机构指定第三名首席争议评审员。 </w:t>
      </w:r>
    </w:p>
    <w:p>
      <w:pPr>
        <w:spacing w:line="360" w:lineRule="auto"/>
        <w:ind w:firstLine="480" w:firstLineChars="200"/>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除专用合同条款另有约定外，评审所发生的费用由发包人和设计人各承担一半。</w:t>
      </w:r>
    </w:p>
    <w:p>
      <w:pPr>
        <w:spacing w:line="360" w:lineRule="auto"/>
        <w:ind w:firstLine="480" w:firstLineChars="200"/>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17.3.2 争议评审小组的决定</w:t>
      </w:r>
    </w:p>
    <w:p>
      <w:pPr>
        <w:spacing w:line="360" w:lineRule="auto"/>
        <w:ind w:firstLine="480" w:firstLineChars="200"/>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合同当事人可在任何时间将与合同有关的任何争议共同提请争议评审小组进行评审。争议评审小组应秉持客观、公正原则，充分听取合同当事人的意见，依据相关法律、技术标准及行业惯例等，自收到争议评审申请报告后14天内作出书面决定，并说明理由。合同当事人可以在专用合同条款中对本事项另行约定。</w:t>
      </w:r>
    </w:p>
    <w:p>
      <w:pPr>
        <w:spacing w:line="360" w:lineRule="auto"/>
        <w:ind w:firstLine="480" w:firstLineChars="200"/>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17.3.3 争议评审小组决定的效力</w:t>
      </w:r>
    </w:p>
    <w:p>
      <w:pPr>
        <w:spacing w:line="360" w:lineRule="auto"/>
        <w:ind w:firstLine="480" w:firstLineChars="200"/>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争议评审小组作出的书面决定经合同当事人签字确认后，对双方具有约束力，双方应遵照执行。</w:t>
      </w:r>
    </w:p>
    <w:p>
      <w:pPr>
        <w:spacing w:line="360" w:lineRule="auto"/>
        <w:ind w:firstLine="480" w:firstLineChars="200"/>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任何一方当事人不接受争议评审小组决定或不履行争议评审小组决定的，双方可选择采用其他争议解决方式。</w:t>
      </w:r>
    </w:p>
    <w:p>
      <w:pPr>
        <w:spacing w:line="360" w:lineRule="auto"/>
        <w:ind w:firstLine="480" w:firstLineChars="200"/>
        <w:rPr>
          <w:rFonts w:asciiTheme="minorEastAsia" w:hAnsiTheme="minorEastAsia" w:eastAsiaTheme="minorEastAsia"/>
          <w:color w:val="auto"/>
          <w:kern w:val="0"/>
          <w:sz w:val="24"/>
          <w:szCs w:val="24"/>
        </w:rPr>
      </w:pPr>
      <w:bookmarkStart w:id="160" w:name="_Toc351203630"/>
      <w:bookmarkStart w:id="161" w:name="_Toc296346651"/>
      <w:bookmarkStart w:id="162" w:name="_Toc296503150"/>
      <w:bookmarkStart w:id="163" w:name="_Toc337558844"/>
      <w:r>
        <w:rPr>
          <w:rFonts w:hint="eastAsia" w:asciiTheme="minorEastAsia" w:hAnsiTheme="minorEastAsia" w:eastAsiaTheme="minorEastAsia"/>
          <w:bCs/>
          <w:color w:val="auto"/>
          <w:sz w:val="24"/>
          <w:szCs w:val="24"/>
        </w:rPr>
        <w:t>17.4 仲裁或诉讼</w:t>
      </w:r>
      <w:bookmarkEnd w:id="160"/>
    </w:p>
    <w:bookmarkEnd w:id="161"/>
    <w:bookmarkEnd w:id="162"/>
    <w:bookmarkEnd w:id="163"/>
    <w:p>
      <w:pPr>
        <w:spacing w:line="360" w:lineRule="auto"/>
        <w:ind w:firstLine="480" w:firstLineChars="200"/>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因合同及合同有关事项产生的争议，合同当事人可以在专用合同条款中约定以下一种方式解决争议：</w:t>
      </w:r>
    </w:p>
    <w:p>
      <w:pPr>
        <w:spacing w:line="360" w:lineRule="auto"/>
        <w:ind w:firstLine="480" w:firstLineChars="200"/>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（1）向约定的仲裁委员会申请仲裁；</w:t>
      </w:r>
    </w:p>
    <w:p>
      <w:pPr>
        <w:spacing w:line="360" w:lineRule="auto"/>
        <w:ind w:firstLine="480" w:firstLineChars="200"/>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（2）向有管辖权的人民法院起诉。</w:t>
      </w:r>
    </w:p>
    <w:p>
      <w:pPr>
        <w:pStyle w:val="7"/>
        <w:spacing w:before="120" w:after="120" w:line="360" w:lineRule="auto"/>
        <w:ind w:firstLine="480" w:firstLineChars="200"/>
        <w:rPr>
          <w:rFonts w:asciiTheme="minorEastAsia" w:hAnsiTheme="minorEastAsia" w:eastAsiaTheme="minorEastAsia"/>
          <w:b w:val="0"/>
          <w:color w:val="auto"/>
          <w:sz w:val="24"/>
          <w:szCs w:val="24"/>
        </w:rPr>
      </w:pPr>
      <w:bookmarkStart w:id="164" w:name="_Toc351203631"/>
      <w:bookmarkStart w:id="165" w:name="_Toc296346653"/>
      <w:bookmarkStart w:id="166" w:name="_Toc296503152"/>
      <w:bookmarkStart w:id="167" w:name="_Toc337558845"/>
      <w:r>
        <w:rPr>
          <w:rFonts w:hint="eastAsia" w:asciiTheme="minorEastAsia" w:hAnsiTheme="minorEastAsia" w:eastAsiaTheme="minorEastAsia"/>
          <w:b w:val="0"/>
          <w:color w:val="auto"/>
          <w:sz w:val="24"/>
          <w:szCs w:val="24"/>
        </w:rPr>
        <w:t>17.5争议解决条款效力</w:t>
      </w:r>
      <w:bookmarkEnd w:id="164"/>
    </w:p>
    <w:bookmarkEnd w:id="165"/>
    <w:bookmarkEnd w:id="166"/>
    <w:bookmarkEnd w:id="167"/>
    <w:p>
      <w:pPr>
        <w:spacing w:line="360" w:lineRule="auto"/>
        <w:ind w:firstLine="480" w:firstLineChars="200"/>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 xml:space="preserve">合同有关争议解决的条款独立存在，合同的变更、解除、终止、无效或者被撤销均不影响其效力。 </w:t>
      </w:r>
    </w:p>
    <w:p>
      <w:pPr>
        <w:pStyle w:val="5"/>
        <w:spacing w:line="360" w:lineRule="auto"/>
        <w:jc w:val="center"/>
        <w:rPr>
          <w:rFonts w:asciiTheme="minorEastAsia" w:hAnsiTheme="minorEastAsia" w:eastAsiaTheme="minorEastAsia"/>
          <w:color w:val="auto"/>
          <w:sz w:val="44"/>
          <w:szCs w:val="44"/>
        </w:rPr>
      </w:pPr>
      <w:bookmarkStart w:id="168" w:name="_Toc351203632"/>
      <w:r>
        <w:rPr>
          <w:rFonts w:hint="eastAsia" w:asciiTheme="minorEastAsia" w:hAnsiTheme="minorEastAsia" w:eastAsiaTheme="minorEastAsia"/>
          <w:color w:val="auto"/>
          <w:sz w:val="44"/>
          <w:szCs w:val="44"/>
        </w:rPr>
        <w:br w:type="page"/>
      </w:r>
      <w:r>
        <w:rPr>
          <w:rFonts w:hint="eastAsia" w:asciiTheme="minorEastAsia" w:hAnsiTheme="minorEastAsia" w:eastAsiaTheme="minorEastAsia"/>
          <w:color w:val="auto"/>
          <w:sz w:val="44"/>
          <w:szCs w:val="44"/>
        </w:rPr>
        <w:t>第三部分 专用合同条款</w:t>
      </w:r>
    </w:p>
    <w:p>
      <w:pPr>
        <w:pStyle w:val="6"/>
        <w:spacing w:before="120" w:after="120" w:line="360" w:lineRule="auto"/>
        <w:rPr>
          <w:rFonts w:asciiTheme="minorEastAsia" w:hAnsiTheme="minorEastAsia" w:eastAsiaTheme="minorEastAsia"/>
          <w:b w:val="0"/>
          <w:color w:val="auto"/>
          <w:sz w:val="24"/>
          <w:szCs w:val="24"/>
        </w:rPr>
      </w:pPr>
      <w:r>
        <w:rPr>
          <w:rFonts w:hint="eastAsia" w:asciiTheme="minorEastAsia" w:hAnsiTheme="minorEastAsia" w:eastAsiaTheme="minorEastAsia"/>
          <w:b w:val="0"/>
          <w:color w:val="auto"/>
          <w:sz w:val="24"/>
          <w:szCs w:val="24"/>
        </w:rPr>
        <w:t>1. 一般约定</w:t>
      </w:r>
    </w:p>
    <w:p>
      <w:pPr>
        <w:tabs>
          <w:tab w:val="center" w:pos="4710"/>
        </w:tabs>
        <w:spacing w:before="120" w:after="120"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1.1 词语定义与解释</w:t>
      </w:r>
    </w:p>
    <w:p>
      <w:pPr>
        <w:spacing w:line="360" w:lineRule="auto"/>
        <w:ind w:firstLine="480" w:firstLineChars="200"/>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1.1.1 合同</w:t>
      </w:r>
    </w:p>
    <w:p>
      <w:pPr>
        <w:spacing w:line="360" w:lineRule="auto"/>
        <w:ind w:firstLine="480" w:firstLineChars="200"/>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kern w:val="0"/>
          <w:sz w:val="24"/>
          <w:szCs w:val="24"/>
        </w:rPr>
        <w:t>1.1.1.8 其他合同文件包括：</w:t>
      </w:r>
      <w:r>
        <w:rPr>
          <w:rFonts w:hint="eastAsia" w:asciiTheme="minorEastAsia" w:hAnsiTheme="minorEastAsia" w:eastAsiaTheme="minorEastAsia"/>
          <w:color w:val="auto"/>
          <w:sz w:val="24"/>
          <w:szCs w:val="24"/>
          <w:u w:val="single"/>
        </w:rPr>
        <w:t xml:space="preserve">  发包人提供的该项目设计任务书、□规划部门出具有规划审批意见及修建性详规   </w:t>
      </w:r>
      <w:r>
        <w:rPr>
          <w:rFonts w:hint="eastAsia" w:asciiTheme="minorEastAsia" w:hAnsiTheme="minorEastAsia" w:eastAsiaTheme="minorEastAsia"/>
          <w:color w:val="auto"/>
          <w:sz w:val="24"/>
          <w:szCs w:val="24"/>
        </w:rPr>
        <w:t>。</w:t>
      </w:r>
    </w:p>
    <w:p>
      <w:pPr>
        <w:spacing w:before="120" w:after="120"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 xml:space="preserve">1.3 法律 </w:t>
      </w:r>
    </w:p>
    <w:p>
      <w:pPr>
        <w:autoSpaceDE w:val="0"/>
        <w:autoSpaceDN w:val="0"/>
        <w:adjustRightInd w:val="0"/>
        <w:spacing w:line="360" w:lineRule="auto"/>
        <w:ind w:firstLine="595" w:firstLineChars="248"/>
        <w:jc w:val="left"/>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适用于合同的其他规范性文件：</w:t>
      </w:r>
      <w:r>
        <w:rPr>
          <w:rFonts w:hint="eastAsia" w:asciiTheme="minorEastAsia" w:hAnsiTheme="minorEastAsia" w:eastAsiaTheme="minorEastAsia"/>
          <w:color w:val="auto"/>
          <w:sz w:val="24"/>
          <w:szCs w:val="24"/>
          <w:u w:val="single"/>
        </w:rPr>
        <w:t xml:space="preserve">《中华人民共和国招标投标法》、《中华人民共和国合同法》、《中华人民共和国建筑法》。国家、广东省及      市有关建设工程勘察设计管理法规和规章，包括但不限于《建设工程勘察设计管理条例》、《建设工程质量管理条例》、《建设工程设计文件编制深度的规定(2016年版)》等  </w:t>
      </w:r>
      <w:r>
        <w:rPr>
          <w:rFonts w:hint="eastAsia" w:asciiTheme="minorEastAsia" w:hAnsiTheme="minorEastAsia" w:eastAsiaTheme="minorEastAsia"/>
          <w:color w:val="auto"/>
          <w:sz w:val="24"/>
          <w:szCs w:val="24"/>
        </w:rPr>
        <w:t>。</w:t>
      </w:r>
    </w:p>
    <w:p>
      <w:pPr>
        <w:spacing w:before="120" w:after="120"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1.4 技术标准</w:t>
      </w:r>
    </w:p>
    <w:p>
      <w:pPr>
        <w:spacing w:line="360" w:lineRule="auto"/>
        <w:ind w:firstLine="595" w:firstLineChars="2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1.4.1 适用于工程的技术标准包括：</w:t>
      </w:r>
    </w:p>
    <w:p>
      <w:pPr>
        <w:spacing w:line="360" w:lineRule="auto"/>
        <w:ind w:firstLine="595" w:firstLineChars="2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1）工程勘察技术要求：</w:t>
      </w:r>
      <w:r>
        <w:rPr>
          <w:rFonts w:hint="eastAsia" w:asciiTheme="minorEastAsia" w:hAnsiTheme="minorEastAsia" w:eastAsiaTheme="minorEastAsia"/>
          <w:color w:val="auto"/>
          <w:sz w:val="24"/>
          <w:szCs w:val="24"/>
          <w:u w:val="single"/>
        </w:rPr>
        <w:t xml:space="preserve">按照《岩土工程勘察规范》（GB50021——2019）（2019版）、《高层建筑岩土工程勘察规程》JGJ72-2017中相关条文执行，查明拟建建筑物场地内各土岩层的分布范围及其工程特性，查明地下水埋藏条件及其对混凝土结构的腐蚀性，为工程设计、施工提供地质依据和合理建议  </w:t>
      </w:r>
      <w:r>
        <w:rPr>
          <w:rFonts w:hint="eastAsia" w:asciiTheme="minorEastAsia" w:hAnsiTheme="minorEastAsia" w:eastAsiaTheme="minorEastAsia"/>
          <w:color w:val="auto"/>
          <w:sz w:val="24"/>
          <w:szCs w:val="24"/>
        </w:rPr>
        <w:t>。</w:t>
      </w:r>
    </w:p>
    <w:p>
      <w:pPr>
        <w:spacing w:line="360" w:lineRule="auto"/>
        <w:ind w:firstLine="595" w:firstLineChars="2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2）工程设计标准：需满足</w:t>
      </w:r>
      <w:r>
        <w:rPr>
          <w:rFonts w:hint="eastAsia" w:asciiTheme="minorEastAsia" w:hAnsiTheme="minorEastAsia" w:eastAsiaTheme="minorEastAsia"/>
          <w:color w:val="auto"/>
          <w:sz w:val="24"/>
          <w:szCs w:val="24"/>
          <w:u w:val="single"/>
        </w:rPr>
        <w:t xml:space="preserve">《建设工程设计文件编制深度的规定(2016年版)》、《市政公用工程设计文件编制深度的规定(2013年版)》和相应设计阶段及其它国家现行规范要求  </w:t>
      </w:r>
      <w:r>
        <w:rPr>
          <w:rFonts w:hint="eastAsia" w:asciiTheme="minorEastAsia" w:hAnsiTheme="minorEastAsia" w:eastAsiaTheme="minorEastAsia"/>
          <w:color w:val="auto"/>
          <w:sz w:val="24"/>
          <w:szCs w:val="24"/>
        </w:rPr>
        <w:t>。</w:t>
      </w:r>
    </w:p>
    <w:p>
      <w:pPr>
        <w:spacing w:line="360" w:lineRule="auto"/>
        <w:ind w:left="596" w:leftChars="284"/>
        <w:rPr>
          <w:rFonts w:asciiTheme="minorEastAsia" w:hAnsiTheme="minorEastAsia" w:eastAsiaTheme="minorEastAsia"/>
          <w:color w:val="auto"/>
          <w:sz w:val="24"/>
          <w:szCs w:val="24"/>
        </w:rPr>
      </w:pPr>
    </w:p>
    <w:p>
      <w:pPr>
        <w:spacing w:line="360" w:lineRule="auto"/>
        <w:ind w:firstLine="566" w:firstLineChars="236"/>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1.4.2 国外技术标准原文版本和中文译本的提供方：</w:t>
      </w:r>
      <w:r>
        <w:rPr>
          <w:rFonts w:hint="eastAsia" w:asciiTheme="minorEastAsia" w:hAnsiTheme="minorEastAsia" w:eastAsiaTheme="minorEastAsia"/>
          <w:color w:val="auto"/>
          <w:kern w:val="0"/>
          <w:sz w:val="24"/>
          <w:szCs w:val="24"/>
          <w:u w:val="single"/>
        </w:rPr>
        <w:t xml:space="preserve">  由</w:t>
      </w:r>
      <w:r>
        <w:rPr>
          <w:rFonts w:hint="eastAsia" w:asciiTheme="minorEastAsia" w:hAnsiTheme="minorEastAsia" w:eastAsiaTheme="minorEastAsia"/>
          <w:color w:val="auto"/>
          <w:sz w:val="24"/>
          <w:szCs w:val="24"/>
          <w:u w:val="single"/>
        </w:rPr>
        <w:t xml:space="preserve">设计人提供  </w:t>
      </w:r>
      <w:r>
        <w:rPr>
          <w:rFonts w:hint="eastAsia" w:asciiTheme="minorEastAsia" w:hAnsiTheme="minorEastAsia" w:eastAsiaTheme="minorEastAsia"/>
          <w:color w:val="auto"/>
          <w:sz w:val="24"/>
          <w:szCs w:val="24"/>
        </w:rPr>
        <w:t>；</w:t>
      </w:r>
    </w:p>
    <w:p>
      <w:pPr>
        <w:spacing w:line="360" w:lineRule="auto"/>
        <w:ind w:firstLine="480" w:firstLineChars="200"/>
        <w:rPr>
          <w:rFonts w:asciiTheme="minorEastAsia" w:hAnsiTheme="minorEastAsia" w:eastAsiaTheme="minorEastAsia"/>
          <w:color w:val="auto"/>
          <w:kern w:val="0"/>
          <w:sz w:val="24"/>
          <w:szCs w:val="24"/>
          <w:u w:val="single"/>
        </w:rPr>
      </w:pPr>
      <w:r>
        <w:rPr>
          <w:rFonts w:hint="eastAsia" w:asciiTheme="minorEastAsia" w:hAnsiTheme="minorEastAsia" w:eastAsiaTheme="minorEastAsia"/>
          <w:color w:val="auto"/>
          <w:kern w:val="0"/>
          <w:sz w:val="24"/>
          <w:szCs w:val="24"/>
        </w:rPr>
        <w:t>提供国外技术标准的名称：;</w:t>
      </w:r>
    </w:p>
    <w:p>
      <w:pPr>
        <w:spacing w:line="360" w:lineRule="auto"/>
        <w:ind w:firstLine="480" w:firstLineChars="200"/>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提供国外技术标准的份数：；</w:t>
      </w:r>
    </w:p>
    <w:p>
      <w:pPr>
        <w:spacing w:line="360" w:lineRule="auto"/>
        <w:ind w:firstLine="480" w:firstLineChars="200"/>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提供国外技术标准的时间：；</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kern w:val="0"/>
          <w:sz w:val="24"/>
          <w:szCs w:val="24"/>
        </w:rPr>
        <w:t>提供国外技术标准的费用承担：</w:t>
      </w:r>
      <w:r>
        <w:rPr>
          <w:rFonts w:hint="eastAsia" w:asciiTheme="minorEastAsia" w:hAnsiTheme="minorEastAsia" w:eastAsiaTheme="minorEastAsia"/>
          <w:color w:val="auto"/>
          <w:kern w:val="0"/>
          <w:sz w:val="24"/>
          <w:szCs w:val="24"/>
          <w:u w:val="single"/>
        </w:rPr>
        <w:t xml:space="preserve">  由</w:t>
      </w:r>
      <w:r>
        <w:rPr>
          <w:rFonts w:hint="eastAsia" w:asciiTheme="minorEastAsia" w:hAnsiTheme="minorEastAsia" w:eastAsiaTheme="minorEastAsia"/>
          <w:color w:val="auto"/>
          <w:sz w:val="24"/>
          <w:szCs w:val="24"/>
          <w:u w:val="single"/>
        </w:rPr>
        <w:t xml:space="preserve">设计人承担  </w:t>
      </w:r>
      <w:r>
        <w:rPr>
          <w:rFonts w:hint="eastAsia" w:asciiTheme="minorEastAsia" w:hAnsiTheme="minorEastAsia" w:eastAsiaTheme="minorEastAsia"/>
          <w:color w:val="auto"/>
          <w:kern w:val="0"/>
          <w:sz w:val="24"/>
          <w:szCs w:val="24"/>
        </w:rPr>
        <w:t>。</w:t>
      </w:r>
    </w:p>
    <w:p>
      <w:pPr>
        <w:spacing w:line="360" w:lineRule="auto"/>
        <w:ind w:firstLine="566" w:firstLineChars="236"/>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1.4.3 发包人对工程的技术标准和功能要求的特殊要求：</w:t>
      </w:r>
      <w:r>
        <w:rPr>
          <w:rFonts w:hint="eastAsia" w:asciiTheme="minorEastAsia" w:hAnsiTheme="minorEastAsia" w:eastAsiaTheme="minorEastAsia"/>
          <w:color w:val="auto"/>
          <w:sz w:val="24"/>
          <w:szCs w:val="24"/>
          <w:u w:val="single"/>
        </w:rPr>
        <w:t>本项目需进行绿化设计设计（二星），需满足工程报建及</w:t>
      </w:r>
      <w:r>
        <w:rPr>
          <w:rFonts w:hint="eastAsia" w:ascii="宋体" w:hAnsi="宋体"/>
          <w:color w:val="auto"/>
          <w:sz w:val="24"/>
          <w:szCs w:val="24"/>
          <w:u w:val="single"/>
        </w:rPr>
        <w:t>装配式建筑、绿色建筑、</w:t>
      </w:r>
      <w:r>
        <w:rPr>
          <w:rFonts w:hint="eastAsia" w:asciiTheme="minorEastAsia" w:hAnsiTheme="minorEastAsia" w:eastAsiaTheme="minorEastAsia"/>
          <w:color w:val="auto"/>
          <w:sz w:val="24"/>
          <w:szCs w:val="24"/>
          <w:u w:val="single"/>
        </w:rPr>
        <w:t xml:space="preserve">海绵城市的相关要求    </w:t>
      </w:r>
      <w:r>
        <w:rPr>
          <w:rFonts w:hint="eastAsia" w:asciiTheme="minorEastAsia" w:hAnsiTheme="minorEastAsia" w:eastAsiaTheme="minorEastAsia"/>
          <w:color w:val="auto"/>
          <w:sz w:val="24"/>
          <w:szCs w:val="24"/>
        </w:rPr>
        <w:t>。</w:t>
      </w:r>
    </w:p>
    <w:p>
      <w:pPr>
        <w:spacing w:before="120" w:after="120"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1.5 合同文件的优先顺序</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合同文件组成及优先顺序为：</w:t>
      </w:r>
    </w:p>
    <w:p>
      <w:pPr>
        <w:spacing w:line="360" w:lineRule="auto"/>
        <w:ind w:firstLine="480" w:firstLineChars="200"/>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1、广东省、项目所在地政府及有关主管部门关于      工程的有关文件；</w:t>
      </w:r>
    </w:p>
    <w:p>
      <w:pPr>
        <w:spacing w:line="360" w:lineRule="auto"/>
        <w:ind w:firstLine="480" w:firstLineChars="200"/>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2、合同实施期间双方签订的合同补充协议或修正文件；</w:t>
      </w:r>
    </w:p>
    <w:p>
      <w:pPr>
        <w:spacing w:line="360" w:lineRule="auto"/>
        <w:ind w:firstLine="480" w:firstLineChars="200"/>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3、合同实施期间，发包人组织的专家研讨论证会的会议纪要或相关汇总文件；</w:t>
      </w:r>
    </w:p>
    <w:p>
      <w:pPr>
        <w:spacing w:line="360" w:lineRule="auto"/>
        <w:ind w:firstLine="480" w:firstLineChars="200"/>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4、合同书（含附件）</w:t>
      </w:r>
    </w:p>
    <w:p>
      <w:pPr>
        <w:spacing w:line="360" w:lineRule="auto"/>
        <w:ind w:firstLine="480" w:firstLineChars="200"/>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5、设计方案中标通知书；</w:t>
      </w:r>
    </w:p>
    <w:p>
      <w:pPr>
        <w:spacing w:line="360" w:lineRule="auto"/>
        <w:ind w:firstLine="480" w:firstLineChars="200"/>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6、设计招标文件及其附件；</w:t>
      </w:r>
    </w:p>
    <w:p>
      <w:pPr>
        <w:spacing w:line="360" w:lineRule="auto"/>
        <w:ind w:firstLine="480" w:firstLineChars="200"/>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7、设计方案投标文件及其附件；</w:t>
      </w:r>
    </w:p>
    <w:p>
      <w:pPr>
        <w:spacing w:line="360" w:lineRule="auto"/>
        <w:ind w:firstLine="480" w:firstLineChars="200"/>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8、发包人针对本项目工程建设而制订的各项管理制度；</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u w:val="single"/>
        </w:rPr>
        <w:t>9、组成合同的其他文件</w:t>
      </w:r>
      <w:r>
        <w:rPr>
          <w:rFonts w:hint="eastAsia" w:asciiTheme="minorEastAsia" w:hAnsiTheme="minorEastAsia" w:eastAsiaTheme="minorEastAsia"/>
          <w:color w:val="auto"/>
          <w:sz w:val="24"/>
          <w:szCs w:val="24"/>
        </w:rPr>
        <w:t>。</w:t>
      </w:r>
    </w:p>
    <w:p>
      <w:pPr>
        <w:spacing w:line="360" w:lineRule="auto"/>
        <w:ind w:firstLine="480" w:firstLineChars="200"/>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在合同履行过程中形成的与合同有关的文件均构成合同文件组成部份。</w:t>
      </w:r>
    </w:p>
    <w:p>
      <w:pPr>
        <w:spacing w:line="360" w:lineRule="auto"/>
        <w:ind w:firstLine="480" w:firstLineChars="200"/>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上述各项合同文件包括合同当事人就该项合同文件所作出的补充和修改，属于同一类内容的文件，应以最新签署的为准。</w:t>
      </w:r>
    </w:p>
    <w:p>
      <w:pPr>
        <w:spacing w:before="120" w:after="120"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1.6 联络</w:t>
      </w:r>
    </w:p>
    <w:p>
      <w:pPr>
        <w:spacing w:line="360" w:lineRule="auto"/>
        <w:ind w:firstLine="480" w:firstLineChars="200"/>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1.6.1 发包人和设计人应当在</w:t>
      </w:r>
      <w:r>
        <w:rPr>
          <w:rFonts w:hint="eastAsia" w:asciiTheme="minorEastAsia" w:hAnsiTheme="minorEastAsia" w:eastAsiaTheme="minorEastAsia"/>
          <w:color w:val="auto"/>
          <w:sz w:val="24"/>
          <w:szCs w:val="24"/>
          <w:u w:val="single"/>
        </w:rPr>
        <w:t> 5   个日历天</w:t>
      </w:r>
      <w:r>
        <w:rPr>
          <w:rFonts w:hint="eastAsia" w:asciiTheme="minorEastAsia" w:hAnsiTheme="minorEastAsia" w:eastAsiaTheme="minorEastAsia"/>
          <w:color w:val="auto"/>
          <w:kern w:val="0"/>
          <w:sz w:val="24"/>
          <w:szCs w:val="24"/>
        </w:rPr>
        <w:t>内将与合同有关的通知、批准、证明、证书、指示、指令、要求、请求、同意、确定和决定等书面函件送达对方当事人。</w:t>
      </w:r>
    </w:p>
    <w:p>
      <w:pPr>
        <w:spacing w:line="360" w:lineRule="auto"/>
        <w:ind w:firstLine="480" w:firstLineChars="200"/>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1.6.2 发包人与设计人联系信息</w:t>
      </w:r>
    </w:p>
    <w:p>
      <w:pPr>
        <w:spacing w:line="360" w:lineRule="auto"/>
        <w:ind w:firstLine="480" w:firstLineChars="200"/>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发包人接收文件的地点：</w:t>
      </w:r>
      <w:r>
        <w:rPr>
          <w:rFonts w:hint="eastAsia" w:asciiTheme="minorEastAsia" w:hAnsiTheme="minorEastAsia" w:eastAsiaTheme="minorEastAsia"/>
          <w:color w:val="auto"/>
          <w:sz w:val="24"/>
          <w:szCs w:val="24"/>
          <w:u w:val="single"/>
        </w:rPr>
        <w:t xml:space="preserve">              </w:t>
      </w:r>
      <w:r>
        <w:rPr>
          <w:rFonts w:hint="eastAsia" w:asciiTheme="minorEastAsia" w:hAnsiTheme="minorEastAsia" w:eastAsiaTheme="minorEastAsia"/>
          <w:color w:val="auto"/>
          <w:kern w:val="0"/>
          <w:sz w:val="24"/>
          <w:szCs w:val="24"/>
        </w:rPr>
        <w:t>；</w:t>
      </w:r>
    </w:p>
    <w:p>
      <w:pPr>
        <w:spacing w:line="360" w:lineRule="auto"/>
        <w:ind w:firstLine="480" w:firstLineChars="200"/>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kern w:val="0"/>
          <w:sz w:val="24"/>
          <w:szCs w:val="24"/>
        </w:rPr>
        <w:t>发包人指定的接收人为：</w:t>
      </w:r>
      <w:r>
        <w:rPr>
          <w:rFonts w:hint="eastAsia" w:asciiTheme="minorEastAsia" w:hAnsiTheme="minorEastAsia" w:eastAsiaTheme="minorEastAsia"/>
          <w:color w:val="auto"/>
          <w:sz w:val="24"/>
          <w:szCs w:val="24"/>
          <w:u w:val="single"/>
        </w:rPr>
        <w:t xml:space="preserve">                  </w:t>
      </w:r>
      <w:r>
        <w:rPr>
          <w:rFonts w:hint="eastAsia" w:asciiTheme="minorEastAsia" w:hAnsiTheme="minorEastAsia" w:eastAsiaTheme="minorEastAsia"/>
          <w:color w:val="auto"/>
          <w:sz w:val="24"/>
          <w:szCs w:val="24"/>
        </w:rPr>
        <w:t>；</w:t>
      </w:r>
    </w:p>
    <w:p>
      <w:pPr>
        <w:spacing w:line="360" w:lineRule="auto"/>
        <w:ind w:firstLine="480" w:firstLineChars="200"/>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rPr>
        <w:t>发包人指定的联系电话及传真号码：</w:t>
      </w:r>
      <w:r>
        <w:rPr>
          <w:rFonts w:hint="eastAsia" w:asciiTheme="minorEastAsia" w:hAnsiTheme="minorEastAsia" w:eastAsiaTheme="minorEastAsia"/>
          <w:color w:val="auto"/>
          <w:sz w:val="24"/>
          <w:szCs w:val="24"/>
          <w:u w:val="single"/>
        </w:rPr>
        <w:t xml:space="preserve">              </w:t>
      </w:r>
      <w:r>
        <w:rPr>
          <w:rFonts w:hint="eastAsia" w:asciiTheme="minorEastAsia" w:hAnsiTheme="minorEastAsia" w:eastAsiaTheme="minorEastAsia"/>
          <w:color w:val="auto"/>
          <w:sz w:val="24"/>
          <w:szCs w:val="24"/>
        </w:rPr>
        <w:t>；</w:t>
      </w:r>
    </w:p>
    <w:p>
      <w:pPr>
        <w:spacing w:line="360" w:lineRule="auto"/>
        <w:ind w:firstLine="480" w:firstLineChars="200"/>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发包人指定的电子邮箱：。</w:t>
      </w:r>
    </w:p>
    <w:p>
      <w:pPr>
        <w:spacing w:line="360" w:lineRule="auto"/>
        <w:ind w:firstLine="480" w:firstLineChars="200"/>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设计人接收文件的地点：</w:t>
      </w:r>
      <w:r>
        <w:rPr>
          <w:rFonts w:hint="eastAsia" w:asciiTheme="minorEastAsia" w:hAnsiTheme="minorEastAsia" w:eastAsiaTheme="minorEastAsia"/>
          <w:color w:val="auto"/>
          <w:sz w:val="24"/>
          <w:szCs w:val="24"/>
          <w:u w:val="single"/>
        </w:rPr>
        <w:t xml:space="preserve">                </w:t>
      </w:r>
      <w:r>
        <w:rPr>
          <w:rFonts w:hint="eastAsia" w:asciiTheme="minorEastAsia" w:hAnsiTheme="minorEastAsia" w:eastAsiaTheme="minorEastAsia"/>
          <w:color w:val="auto"/>
          <w:kern w:val="0"/>
          <w:sz w:val="24"/>
          <w:szCs w:val="24"/>
        </w:rPr>
        <w:t>；</w:t>
      </w:r>
    </w:p>
    <w:p>
      <w:pPr>
        <w:spacing w:line="360" w:lineRule="auto"/>
        <w:ind w:firstLine="480" w:firstLineChars="200"/>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kern w:val="0"/>
          <w:sz w:val="24"/>
          <w:szCs w:val="24"/>
        </w:rPr>
        <w:t>设计人指定的接收人为：</w:t>
      </w:r>
      <w:r>
        <w:rPr>
          <w:rFonts w:hint="eastAsia" w:asciiTheme="minorEastAsia" w:hAnsiTheme="minorEastAsia" w:eastAsiaTheme="minorEastAsia"/>
          <w:color w:val="auto"/>
          <w:sz w:val="24"/>
          <w:szCs w:val="24"/>
          <w:u w:val="single"/>
        </w:rPr>
        <w:t xml:space="preserve">                </w:t>
      </w:r>
      <w:r>
        <w:rPr>
          <w:rFonts w:hint="eastAsia" w:asciiTheme="minorEastAsia" w:hAnsiTheme="minorEastAsia" w:eastAsiaTheme="minorEastAsia"/>
          <w:color w:val="auto"/>
          <w:sz w:val="24"/>
          <w:szCs w:val="24"/>
        </w:rPr>
        <w:t>；</w:t>
      </w:r>
    </w:p>
    <w:p>
      <w:pPr>
        <w:spacing w:line="360" w:lineRule="auto"/>
        <w:ind w:firstLine="480" w:firstLineChars="200"/>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rPr>
        <w:t>设计人指定的联系电话及传真号码：</w:t>
      </w:r>
      <w:r>
        <w:rPr>
          <w:rFonts w:hint="eastAsia" w:asciiTheme="minorEastAsia" w:hAnsiTheme="minorEastAsia" w:eastAsiaTheme="minorEastAsia"/>
          <w:color w:val="auto"/>
          <w:sz w:val="24"/>
          <w:szCs w:val="24"/>
          <w:u w:val="single"/>
        </w:rPr>
        <w:t xml:space="preserve">              </w:t>
      </w:r>
      <w:r>
        <w:rPr>
          <w:rFonts w:hint="eastAsia" w:asciiTheme="minorEastAsia" w:hAnsiTheme="minorEastAsia" w:eastAsiaTheme="minorEastAsia"/>
          <w:color w:val="auto"/>
          <w:sz w:val="24"/>
          <w:szCs w:val="24"/>
        </w:rPr>
        <w:t>；</w:t>
      </w:r>
    </w:p>
    <w:p>
      <w:pPr>
        <w:spacing w:line="360" w:lineRule="auto"/>
        <w:ind w:firstLine="480" w:firstLineChars="200"/>
        <w:rPr>
          <w:rFonts w:asciiTheme="minorEastAsia" w:hAnsiTheme="minorEastAsia" w:eastAsiaTheme="minorEastAsia"/>
          <w:color w:val="auto"/>
          <w:kern w:val="0"/>
          <w:sz w:val="24"/>
          <w:szCs w:val="24"/>
        </w:rPr>
      </w:pPr>
      <w:r>
        <w:rPr>
          <w:rFonts w:hint="eastAsia" w:asciiTheme="minorEastAsia" w:hAnsiTheme="minorEastAsia" w:eastAsiaTheme="minorEastAsia"/>
          <w:color w:val="auto"/>
          <w:sz w:val="24"/>
          <w:szCs w:val="24"/>
        </w:rPr>
        <w:t>设计人</w:t>
      </w:r>
      <w:r>
        <w:rPr>
          <w:rFonts w:hint="eastAsia" w:asciiTheme="minorEastAsia" w:hAnsiTheme="minorEastAsia" w:eastAsiaTheme="minorEastAsia"/>
          <w:color w:val="auto"/>
          <w:kern w:val="0"/>
          <w:sz w:val="24"/>
          <w:szCs w:val="24"/>
        </w:rPr>
        <w:t>指定的电子邮箱：。</w:t>
      </w:r>
    </w:p>
    <w:p>
      <w:pPr>
        <w:spacing w:before="120" w:after="120"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1.7 严禁贿赂</w:t>
      </w:r>
    </w:p>
    <w:p>
      <w:pPr>
        <w:pStyle w:val="7"/>
        <w:spacing w:before="120" w:after="120" w:line="360" w:lineRule="auto"/>
        <w:ind w:firstLine="482" w:firstLineChars="200"/>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详见件4：省代建工作人员十不准</w:t>
      </w:r>
    </w:p>
    <w:p>
      <w:pPr>
        <w:pStyle w:val="7"/>
        <w:spacing w:before="120" w:after="120" w:line="360" w:lineRule="auto"/>
        <w:ind w:firstLine="480" w:firstLineChars="200"/>
        <w:rPr>
          <w:rFonts w:asciiTheme="minorEastAsia" w:hAnsiTheme="minorEastAsia" w:eastAsiaTheme="minorEastAsia"/>
          <w:b w:val="0"/>
          <w:color w:val="auto"/>
          <w:sz w:val="24"/>
          <w:szCs w:val="24"/>
        </w:rPr>
      </w:pPr>
      <w:r>
        <w:rPr>
          <w:rFonts w:hint="eastAsia" w:asciiTheme="minorEastAsia" w:hAnsiTheme="minorEastAsia" w:eastAsiaTheme="minorEastAsia"/>
          <w:b w:val="0"/>
          <w:color w:val="auto"/>
          <w:sz w:val="24"/>
          <w:szCs w:val="24"/>
        </w:rPr>
        <w:t>1.8 保密</w:t>
      </w:r>
    </w:p>
    <w:p>
      <w:pPr>
        <w:spacing w:line="360" w:lineRule="auto"/>
        <w:ind w:firstLine="480" w:firstLineChars="200"/>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保密期限：</w:t>
      </w:r>
      <w:r>
        <w:rPr>
          <w:rFonts w:hint="eastAsia" w:asciiTheme="minorEastAsia" w:hAnsiTheme="minorEastAsia" w:eastAsiaTheme="minorEastAsia"/>
          <w:color w:val="auto"/>
          <w:kern w:val="0"/>
          <w:sz w:val="24"/>
          <w:szCs w:val="24"/>
          <w:u w:val="single"/>
        </w:rPr>
        <w:t xml:space="preserve">长期，设计人的保密义务在本协议期满、解除或终止后仍然有效。   </w:t>
      </w:r>
      <w:r>
        <w:rPr>
          <w:rFonts w:hint="eastAsia" w:asciiTheme="minorEastAsia" w:hAnsiTheme="minorEastAsia" w:eastAsiaTheme="minorEastAsia"/>
          <w:color w:val="auto"/>
          <w:kern w:val="0"/>
          <w:sz w:val="24"/>
          <w:szCs w:val="24"/>
        </w:rPr>
        <w:t>。</w:t>
      </w:r>
    </w:p>
    <w:p>
      <w:pPr>
        <w:pStyle w:val="6"/>
        <w:spacing w:before="120" w:after="120" w:line="360" w:lineRule="auto"/>
        <w:rPr>
          <w:rFonts w:asciiTheme="minorEastAsia" w:hAnsiTheme="minorEastAsia" w:eastAsiaTheme="minorEastAsia"/>
          <w:b w:val="0"/>
          <w:color w:val="auto"/>
          <w:sz w:val="24"/>
          <w:szCs w:val="24"/>
        </w:rPr>
      </w:pPr>
      <w:r>
        <w:rPr>
          <w:rFonts w:hint="eastAsia" w:asciiTheme="minorEastAsia" w:hAnsiTheme="minorEastAsia" w:eastAsiaTheme="minorEastAsia"/>
          <w:b w:val="0"/>
          <w:color w:val="auto"/>
          <w:sz w:val="24"/>
          <w:szCs w:val="24"/>
        </w:rPr>
        <w:t>2. 发包人</w:t>
      </w:r>
    </w:p>
    <w:p>
      <w:pPr>
        <w:spacing w:before="120" w:after="120"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2.1 发包人一般义务</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2.1.3 发包人其他义务：</w:t>
      </w:r>
    </w:p>
    <w:p>
      <w:pPr>
        <w:spacing w:line="360" w:lineRule="auto"/>
        <w:ind w:firstLine="480" w:firstLineChars="200"/>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1）发包人按本合同规定的内容，在规定的时间内向设计人提交资料及文件，并对其完整性、正确性及时限负责，发包人不得要求设计人违反国家有关标准进行设计。</w:t>
      </w:r>
    </w:p>
    <w:p>
      <w:pPr>
        <w:spacing w:line="360" w:lineRule="auto"/>
        <w:ind w:firstLine="480" w:firstLineChars="200"/>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2）发包人对设计人提出的付款申请复核无误后进行支付，并按合同指定银行将合同价款分别汇至设计人的账户。</w:t>
      </w:r>
    </w:p>
    <w:p>
      <w:pPr>
        <w:spacing w:line="360" w:lineRule="auto"/>
        <w:ind w:firstLine="480" w:firstLineChars="200"/>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3）发包人负责组织按基本建设程序规定的外部评审及确认活动，并根据时间表的规定将必要的审批件交付设计人。</w:t>
      </w:r>
    </w:p>
    <w:p>
      <w:pPr>
        <w:spacing w:line="360" w:lineRule="auto"/>
        <w:ind w:firstLine="480" w:firstLineChars="200"/>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4）发包人负责组织设计人、监理单位、施工单位进行施工前的工程设计技术交底（应由监理单位负责组织的活动除外）。发包人应为设计人派驻施工现场的代表及其它赴现场处理有关设计问题的各方工作人员提供必要的现场办公场地。</w:t>
      </w:r>
    </w:p>
    <w:p>
      <w:pPr>
        <w:spacing w:line="360" w:lineRule="auto"/>
        <w:ind w:firstLine="480" w:firstLineChars="200"/>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5）发包人驻场代表在发包人授权范围内向设计人发出的任何书面形式的函件，与发包人发出的函件具有同等效力。发包人驻场代表的指令、通知应由其本人签字后，以书面形式交给设计负责人或设计人驻场代表，设计负责人或设计人驻场代表应立即在回执上签署姓名和收到时间，指令、通知同时生效。</w:t>
      </w:r>
    </w:p>
    <w:p>
      <w:pPr>
        <w:spacing w:line="360" w:lineRule="auto"/>
        <w:ind w:firstLine="480" w:firstLineChars="200"/>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6）发包人驻场代表是发包人的履约代表，设计人发出的任何书面形式的文件经发包人驻场代表签收后即视为已送达发包人。</w:t>
      </w:r>
    </w:p>
    <w:p>
      <w:pPr>
        <w:spacing w:line="360" w:lineRule="auto"/>
        <w:ind w:firstLine="480" w:firstLineChars="200"/>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7）发包人参与设计人要求进行的设计协调会议，协助解决设计中出现的商务与技术问题。</w:t>
      </w:r>
    </w:p>
    <w:p>
      <w:pPr>
        <w:spacing w:line="360" w:lineRule="auto"/>
        <w:ind w:firstLine="480" w:firstLineChars="200"/>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8）因发包人原因而造成项目建设内容、建设规模、建设标准发生变化，以致造成设计人设计返工时，发包人承担相应的义务。若发包人负责提供材料的，应根据设计人提出的工程用料计划，按时提供各种材料及其产品合格证明，派人与设计人员一起验收。</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u w:val="single"/>
        </w:rPr>
        <w:t xml:space="preserve">9）发包人及设计咨询（监理）单位在收到设计人有关设计问题及确认问题的函件后，应在5个工作日内给予书面答复 </w:t>
      </w:r>
      <w:r>
        <w:rPr>
          <w:rFonts w:hint="eastAsia" w:asciiTheme="minorEastAsia" w:hAnsiTheme="minorEastAsia" w:eastAsiaTheme="minorEastAsia"/>
          <w:color w:val="auto"/>
          <w:sz w:val="24"/>
          <w:szCs w:val="24"/>
        </w:rPr>
        <w:t>。</w:t>
      </w:r>
    </w:p>
    <w:p>
      <w:pPr>
        <w:spacing w:before="120" w:after="120"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2.2 发包人代表</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按专用条款中“一般约定”中第1.6条规定。</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发包人对项目负责人的授权范围如下：</w:t>
      </w:r>
      <w:r>
        <w:rPr>
          <w:rFonts w:hint="eastAsia" w:asciiTheme="minorEastAsia" w:hAnsiTheme="minorEastAsia" w:eastAsiaTheme="minorEastAsia"/>
          <w:color w:val="auto"/>
          <w:sz w:val="24"/>
          <w:szCs w:val="24"/>
          <w:u w:val="single"/>
        </w:rPr>
        <w:t xml:space="preserve">代表发包人行使发包人的权利、责任和义务，在合同范围内沟通与协调发包人与各参建单位的关系，负责对参建单位各类往来文件的签署与确认。    </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发包人更换发包人代表的，应当提前</w:t>
      </w:r>
      <w:r>
        <w:rPr>
          <w:rFonts w:hint="eastAsia" w:asciiTheme="minorEastAsia" w:hAnsiTheme="minorEastAsia" w:eastAsiaTheme="minorEastAsia"/>
          <w:color w:val="auto"/>
          <w:sz w:val="24"/>
          <w:szCs w:val="24"/>
          <w:u w:val="single"/>
        </w:rPr>
        <w:t xml:space="preserve">   5   </w:t>
      </w:r>
      <w:r>
        <w:rPr>
          <w:rFonts w:hint="eastAsia" w:asciiTheme="minorEastAsia" w:hAnsiTheme="minorEastAsia" w:eastAsiaTheme="minorEastAsia"/>
          <w:color w:val="auto"/>
          <w:sz w:val="24"/>
          <w:szCs w:val="24"/>
        </w:rPr>
        <w:t>个日历天书面通知设计人。</w:t>
      </w:r>
    </w:p>
    <w:p>
      <w:pPr>
        <w:spacing w:before="120" w:after="120"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2.3 发包人决定</w:t>
      </w:r>
    </w:p>
    <w:p>
      <w:pPr>
        <w:spacing w:line="360" w:lineRule="auto"/>
        <w:ind w:firstLine="480" w:firstLineChars="200"/>
        <w:jc w:val="left"/>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2.3.2 发包人应在</w:t>
      </w:r>
      <w:r>
        <w:rPr>
          <w:rFonts w:hint="eastAsia" w:asciiTheme="minorEastAsia" w:hAnsiTheme="minorEastAsia" w:eastAsiaTheme="minorEastAsia"/>
          <w:color w:val="auto"/>
          <w:sz w:val="24"/>
          <w:szCs w:val="24"/>
          <w:u w:val="single"/>
        </w:rPr>
        <w:t>5个日历天</w:t>
      </w:r>
      <w:r>
        <w:rPr>
          <w:rFonts w:hint="eastAsia" w:asciiTheme="minorEastAsia" w:hAnsiTheme="minorEastAsia" w:eastAsiaTheme="minorEastAsia"/>
          <w:color w:val="auto"/>
          <w:sz w:val="24"/>
          <w:szCs w:val="24"/>
        </w:rPr>
        <w:t>内对设计人书面提出的事项作出书面决定。</w:t>
      </w:r>
    </w:p>
    <w:p>
      <w:pPr>
        <w:spacing w:before="120" w:after="120"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2.4 合同支付价款</w:t>
      </w:r>
    </w:p>
    <w:p>
      <w:pPr>
        <w:spacing w:line="360" w:lineRule="auto"/>
        <w:ind w:firstLine="480" w:firstLineChars="200"/>
        <w:jc w:val="left"/>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按专用条款中“合同价款与支付”中第10.4条规定。</w:t>
      </w:r>
    </w:p>
    <w:p>
      <w:pPr>
        <w:pStyle w:val="6"/>
        <w:keepLines w:val="0"/>
        <w:spacing w:before="120" w:after="120" w:line="360" w:lineRule="auto"/>
        <w:rPr>
          <w:rFonts w:asciiTheme="minorEastAsia" w:hAnsiTheme="minorEastAsia" w:eastAsiaTheme="minorEastAsia"/>
          <w:b w:val="0"/>
          <w:color w:val="auto"/>
          <w:sz w:val="24"/>
          <w:szCs w:val="24"/>
        </w:rPr>
      </w:pPr>
      <w:r>
        <w:rPr>
          <w:rFonts w:hint="eastAsia" w:asciiTheme="minorEastAsia" w:hAnsiTheme="minorEastAsia" w:eastAsiaTheme="minorEastAsia"/>
          <w:b w:val="0"/>
          <w:color w:val="auto"/>
          <w:sz w:val="24"/>
          <w:szCs w:val="24"/>
        </w:rPr>
        <w:t>3. 设计人</w:t>
      </w:r>
    </w:p>
    <w:p>
      <w:pPr>
        <w:pStyle w:val="7"/>
        <w:keepLines w:val="0"/>
        <w:spacing w:before="120" w:after="120" w:line="360" w:lineRule="auto"/>
        <w:ind w:firstLine="480" w:firstLineChars="200"/>
        <w:rPr>
          <w:rFonts w:asciiTheme="minorEastAsia" w:hAnsiTheme="minorEastAsia" w:eastAsiaTheme="minorEastAsia"/>
          <w:b w:val="0"/>
          <w:color w:val="auto"/>
          <w:sz w:val="24"/>
          <w:szCs w:val="24"/>
        </w:rPr>
      </w:pPr>
      <w:r>
        <w:rPr>
          <w:rFonts w:hint="eastAsia" w:asciiTheme="minorEastAsia" w:hAnsiTheme="minorEastAsia" w:eastAsiaTheme="minorEastAsia"/>
          <w:b w:val="0"/>
          <w:color w:val="auto"/>
          <w:sz w:val="24"/>
          <w:szCs w:val="24"/>
        </w:rPr>
        <w:t>3.1 设计人一般义务</w:t>
      </w:r>
    </w:p>
    <w:p>
      <w:pPr>
        <w:keepNext/>
        <w:spacing w:after="120"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3.1.1 设计人</w:t>
      </w:r>
      <w:r>
        <w:rPr>
          <w:rFonts w:hint="eastAsia" w:asciiTheme="minorEastAsia" w:hAnsiTheme="minorEastAsia" w:eastAsiaTheme="minorEastAsia"/>
          <w:color w:val="auto"/>
          <w:sz w:val="24"/>
          <w:szCs w:val="24"/>
          <w:u w:val="single"/>
        </w:rPr>
        <w:t xml:space="preserve">   需    </w:t>
      </w:r>
      <w:r>
        <w:rPr>
          <w:rFonts w:hint="eastAsia" w:asciiTheme="minorEastAsia" w:hAnsiTheme="minorEastAsia" w:eastAsiaTheme="minorEastAsia"/>
          <w:color w:val="auto"/>
          <w:sz w:val="24"/>
          <w:szCs w:val="24"/>
        </w:rPr>
        <w:t>（需/不需）</w:t>
      </w:r>
      <w:r>
        <w:rPr>
          <w:rFonts w:hint="eastAsia" w:asciiTheme="minorEastAsia" w:hAnsiTheme="minorEastAsia" w:eastAsiaTheme="minorEastAsia"/>
          <w:color w:val="auto"/>
          <w:kern w:val="0"/>
          <w:sz w:val="24"/>
          <w:szCs w:val="24"/>
        </w:rPr>
        <w:t>配合发包人办理有关许可、批准或备案手续。</w:t>
      </w:r>
    </w:p>
    <w:p>
      <w:pPr>
        <w:spacing w:after="120" w:line="360" w:lineRule="auto"/>
        <w:ind w:firstLine="480" w:firstLineChars="200"/>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rPr>
        <w:t>3.1.3 设计人其他义务：</w:t>
      </w:r>
    </w:p>
    <w:p>
      <w:pPr>
        <w:spacing w:line="360" w:lineRule="auto"/>
        <w:ind w:firstLine="480" w:firstLineChars="200"/>
        <w:jc w:val="left"/>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1）设计人交付的成果必须符合本项目所在国家和地区颁发的法律法规、规范、规定、规程、标准、规划和要求，并符合立项文件及招标文件的规定，必须达到《建筑工程设计文件编制深度规定》（2016年版）的要求，设计人须按合同规定的内容、进度及份数向发包人交付质量合格的设计资料并对其负责。</w:t>
      </w:r>
    </w:p>
    <w:p>
      <w:pPr>
        <w:spacing w:line="360" w:lineRule="auto"/>
        <w:ind w:firstLine="480" w:firstLineChars="200"/>
        <w:jc w:val="left"/>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2）设计人交付的成果必须签署齐全，图文清楚，图面清晰，完整齐全。</w:t>
      </w:r>
    </w:p>
    <w:p>
      <w:pPr>
        <w:spacing w:line="360" w:lineRule="auto"/>
        <w:ind w:firstLine="480" w:firstLineChars="200"/>
        <w:jc w:val="left"/>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3）设计人提交给发包人的设计成果文件，必须经过有注册资格人员的验证和签名，加盖设计人出图专用章和注册章，必要时须在成果文件上标注专业负责人的身份号码，设计人必须对改造后的结构安全负全责。</w:t>
      </w:r>
    </w:p>
    <w:p>
      <w:pPr>
        <w:spacing w:line="360" w:lineRule="auto"/>
        <w:ind w:firstLine="480" w:firstLineChars="200"/>
        <w:jc w:val="left"/>
        <w:rPr>
          <w:rFonts w:asciiTheme="minorEastAsia" w:hAnsiTheme="minorEastAsia" w:eastAsiaTheme="minorEastAsia"/>
          <w:strike/>
          <w:color w:val="auto"/>
          <w:sz w:val="24"/>
          <w:szCs w:val="24"/>
          <w:u w:val="single"/>
        </w:rPr>
      </w:pPr>
      <w:r>
        <w:rPr>
          <w:rFonts w:asciiTheme="minorEastAsia" w:hAnsiTheme="minorEastAsia" w:eastAsiaTheme="minorEastAsia"/>
          <w:strike/>
          <w:color w:val="auto"/>
          <w:sz w:val="24"/>
          <w:szCs w:val="24"/>
          <w:u w:val="single"/>
        </w:rPr>
        <w:t>4）设计人应在各阶段施工开始前，按约定的设计分工，参与组织工程设计图纸技术交底活动，答复有关技术问题。</w:t>
      </w:r>
    </w:p>
    <w:p>
      <w:pPr>
        <w:spacing w:line="360" w:lineRule="auto"/>
        <w:ind w:firstLine="480" w:firstLineChars="200"/>
        <w:jc w:val="left"/>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5）设计人应向发包人提供本项目涉及到的详细的设计规范、规定及标准，所需的国家或地方标准图，由发包人进行备案。</w:t>
      </w:r>
    </w:p>
    <w:p>
      <w:pPr>
        <w:spacing w:line="360" w:lineRule="auto"/>
        <w:ind w:firstLine="480" w:firstLineChars="200"/>
        <w:jc w:val="left"/>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6）设计人应配合发包人组织各阶段相关专业（课题）的专家研讨论证，配合发包人开展施工招标和设备、材料采购预询价、技术谈判及招标等工作。</w:t>
      </w:r>
    </w:p>
    <w:p>
      <w:pPr>
        <w:spacing w:line="360" w:lineRule="auto"/>
        <w:ind w:firstLine="480" w:firstLineChars="200"/>
        <w:jc w:val="left"/>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7）设计人应积极配合设计咨询（监理）单位开展工作，提供必要的技术和经济资料。</w:t>
      </w:r>
    </w:p>
    <w:p>
      <w:pPr>
        <w:spacing w:line="360" w:lineRule="auto"/>
        <w:ind w:firstLine="480" w:firstLineChars="200"/>
        <w:jc w:val="left"/>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8）设计人交付设计文件后，按规定参加有关的设计审查，并根据审查结论负责作必要调整补充。</w:t>
      </w:r>
    </w:p>
    <w:p>
      <w:pPr>
        <w:spacing w:line="360" w:lineRule="auto"/>
        <w:ind w:firstLine="480" w:firstLineChars="200"/>
        <w:jc w:val="left"/>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9）按发包人的要求完成各项目的工程报批手续所需的设计文件数据。</w:t>
      </w:r>
    </w:p>
    <w:p>
      <w:pPr>
        <w:spacing w:line="360" w:lineRule="auto"/>
        <w:ind w:firstLine="480" w:firstLineChars="200"/>
        <w:jc w:val="left"/>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10）设计人对于发包人提出的书面意见，应在3个工作日内给予书面答复。</w:t>
      </w:r>
    </w:p>
    <w:p>
      <w:pPr>
        <w:spacing w:line="360" w:lineRule="auto"/>
        <w:ind w:firstLine="480" w:firstLineChars="200"/>
        <w:jc w:val="left"/>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11）在设计各阶段，设计人应根据发包人或政府主管部门的意见，5天内修改、完善设计，负责完成由于设计失误未获政府主管部门批准而出现的反复修改的工作。</w:t>
      </w:r>
    </w:p>
    <w:p>
      <w:pPr>
        <w:spacing w:line="360" w:lineRule="auto"/>
        <w:ind w:firstLine="480" w:firstLineChars="200"/>
        <w:jc w:val="left"/>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12）设计人应积极主动进行与项目有关的内、外协调工作，积极配合与规划、市政、交通等部门和单位的协调，保证设计文件通过主管部门的审查。</w:t>
      </w:r>
    </w:p>
    <w:p>
      <w:pPr>
        <w:spacing w:line="360" w:lineRule="auto"/>
        <w:ind w:firstLine="480" w:firstLineChars="200"/>
        <w:jc w:val="left"/>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13）设计人应接受发包人根据合同和进度计划进行的各种设计跟踪、工作检查和协调要求。</w:t>
      </w:r>
    </w:p>
    <w:p>
      <w:pPr>
        <w:spacing w:line="360" w:lineRule="auto"/>
        <w:ind w:firstLine="480" w:firstLineChars="200"/>
        <w:jc w:val="left"/>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14）设计人根据设计开展情况编制月工作汇报和下月进度计划，提供有关设计信息，协助发包人掌握设计工作的整体进展情况。发包人有权要求修改、调整进度计划并要求设计人执行。</w:t>
      </w:r>
    </w:p>
    <w:p>
      <w:pPr>
        <w:spacing w:line="360" w:lineRule="auto"/>
        <w:ind w:firstLine="480" w:firstLineChars="200"/>
        <w:jc w:val="left"/>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15）设计人应按照发包人、设计勘察评标委员会、设计咨询（监理）单位、</w:t>
      </w:r>
      <w:r>
        <w:rPr>
          <w:rFonts w:hint="eastAsia" w:asciiTheme="minorEastAsia" w:hAnsiTheme="minorEastAsia" w:eastAsiaTheme="minorEastAsia"/>
          <w:strike/>
          <w:color w:val="auto"/>
          <w:sz w:val="24"/>
          <w:szCs w:val="24"/>
          <w:u w:val="single"/>
        </w:rPr>
        <w:t>施工图审查机构</w:t>
      </w:r>
      <w:r>
        <w:rPr>
          <w:rFonts w:hint="eastAsia" w:asciiTheme="minorEastAsia" w:hAnsiTheme="minorEastAsia" w:eastAsiaTheme="minorEastAsia"/>
          <w:color w:val="auto"/>
          <w:sz w:val="24"/>
          <w:szCs w:val="24"/>
          <w:u w:val="single"/>
        </w:rPr>
        <w:t>及政府审查部门的评审意见修改工作或成果，进行设计深化、优化，不另行收费。</w:t>
      </w:r>
    </w:p>
    <w:p>
      <w:pPr>
        <w:spacing w:line="360" w:lineRule="auto"/>
        <w:ind w:firstLine="480" w:firstLineChars="200"/>
        <w:jc w:val="left"/>
        <w:rPr>
          <w:rFonts w:asciiTheme="minorEastAsia" w:hAnsiTheme="minorEastAsia" w:eastAsiaTheme="minorEastAsia"/>
          <w:color w:val="auto"/>
          <w:sz w:val="24"/>
          <w:szCs w:val="24"/>
          <w:u w:val="single"/>
        </w:rPr>
      </w:pPr>
      <w:r>
        <w:rPr>
          <w:rFonts w:asciiTheme="minorEastAsia" w:hAnsiTheme="minorEastAsia" w:eastAsiaTheme="minorEastAsia"/>
          <w:strike/>
          <w:color w:val="auto"/>
          <w:sz w:val="24"/>
          <w:szCs w:val="24"/>
          <w:u w:val="single"/>
        </w:rPr>
        <w:t>16）施工阶段，设计人应对项目组人员进行适当调整、驻场专业设计人员，及时为施工现场提供服务。</w:t>
      </w:r>
    </w:p>
    <w:p>
      <w:pPr>
        <w:spacing w:line="360" w:lineRule="auto"/>
        <w:ind w:firstLine="480" w:firstLineChars="200"/>
        <w:jc w:val="left"/>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17）设计人参加现场设计和服务管理的人员要求详见第九章《人员管理》。</w:t>
      </w:r>
    </w:p>
    <w:p>
      <w:pPr>
        <w:spacing w:line="360" w:lineRule="auto"/>
        <w:ind w:firstLine="480" w:firstLineChars="200"/>
        <w:jc w:val="left"/>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18）设计人应根据工程进展情况或发包人的要求，派出各专业人员向发包人及施工单位进行设计交底、处理有关设计问题、解决工程中涉及到的与设计有关问题和参加各类验收。设计人提供的现场服务，至工程竣工验收合格止。</w:t>
      </w:r>
    </w:p>
    <w:p>
      <w:pPr>
        <w:spacing w:line="360" w:lineRule="auto"/>
        <w:ind w:firstLine="480" w:firstLineChars="200"/>
        <w:jc w:val="left"/>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19）如果设计人由于自身原因未能在发包人规定的时间内完成，设计人支付误期赔偿费给发包人用于另行聘请设计人员。误期赔偿费按本合同违约责任相关约定处理。这些误期赔偿费不应解除设计人完成合同规定的其他责任、义务和职责。</w:t>
      </w:r>
    </w:p>
    <w:p>
      <w:pPr>
        <w:spacing w:line="360" w:lineRule="auto"/>
        <w:ind w:firstLine="480" w:firstLineChars="200"/>
        <w:jc w:val="left"/>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20）设计项目组必须在发包人指定的办公地点集中办公，服从发包人统一管理。设计项目组办公场所房租、办公设备、交通设备以及设计人员住宿、餐饮等后勤服务均由设计人自行解决。</w:t>
      </w:r>
    </w:p>
    <w:p>
      <w:pPr>
        <w:spacing w:line="360" w:lineRule="auto"/>
        <w:ind w:firstLine="480" w:firstLineChars="200"/>
        <w:jc w:val="left"/>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21） 考虑到该项目的重要性、特殊性、复杂性，发包人将设计人的人员落实、驻场人员的到位作为设计管理工作考核的重点。如设计人的人员投入、驻场工作的安排、落实，未能达到要求，设计人应当承担相应的违约责任。</w:t>
      </w:r>
    </w:p>
    <w:p>
      <w:pPr>
        <w:spacing w:line="360" w:lineRule="auto"/>
        <w:ind w:firstLine="480" w:firstLineChars="200"/>
        <w:jc w:val="left"/>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22）发包人可以随时指示设计人暂停合同项目的全部或某一部分，在暂停期间，设计人应保护、保管并保证该项目不致产生任何损失和损害。如果设计人因暂停和复工而遭受延误和招致增加费用，设计人应向发包人发出通知。如果暂停是为弥补设计人的缺陷，则设计人无权得到延长期或费用。</w:t>
      </w:r>
    </w:p>
    <w:p>
      <w:pPr>
        <w:spacing w:line="360" w:lineRule="auto"/>
        <w:ind w:firstLine="480" w:firstLineChars="200"/>
        <w:jc w:val="left"/>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23）设计项目的缺陷通知期限自工程竣工起计24个月。</w:t>
      </w:r>
    </w:p>
    <w:p>
      <w:pPr>
        <w:spacing w:line="360" w:lineRule="auto"/>
        <w:ind w:firstLine="480" w:firstLineChars="200"/>
        <w:jc w:val="left"/>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24）设计人所用工具、设备及车辆的安全问题，以及这些运输工具停泊在发包人处所、施工现场或沿着这些地方行驶时的安全事宜，概由设计人负责。其间若对上述发包人处所造成任何损失或损坏，设计人须向发包人作出赔偿。</w:t>
      </w:r>
    </w:p>
    <w:p>
      <w:pPr>
        <w:spacing w:line="360" w:lineRule="auto"/>
        <w:ind w:firstLine="480" w:firstLineChars="200"/>
        <w:jc w:val="left"/>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25）发包人及其雇员或代理人对设计人或其雇员的受伤或死亡，以及任何财物蒙受损失或损坏无须负上任何法律责任，除非该伤亡事件是由发包人责任所致。</w:t>
      </w:r>
    </w:p>
    <w:p>
      <w:pPr>
        <w:spacing w:line="360" w:lineRule="auto"/>
        <w:ind w:firstLine="480" w:firstLineChars="200"/>
        <w:jc w:val="left"/>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26）由于设计人或其任何雇员责任，以致第三者蒙受损失、受伤及死亡，概由设计人负赔偿责任（因发包人或其任何雇员责任而引致的受伤或死亡除外）。</w:t>
      </w:r>
    </w:p>
    <w:p>
      <w:pPr>
        <w:spacing w:line="360" w:lineRule="auto"/>
        <w:ind w:firstLine="480" w:firstLineChars="200"/>
        <w:jc w:val="left"/>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27）若因设计人或其任何雇员的责任，以致发包人或发包人的任何雇员受伤及死亡，以及财物蒙受损失或损坏，设计人必须对发包人作出赔偿。</w:t>
      </w:r>
    </w:p>
    <w:p>
      <w:pPr>
        <w:spacing w:line="360" w:lineRule="auto"/>
        <w:ind w:firstLine="480" w:firstLineChars="200"/>
        <w:jc w:val="left"/>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28）若发包人提出要求，设计人必须针对本合同规定索偿、诉求及责任，向一家发包人认可（即发包人不会无理拒绝认可）的保险公司投保。在合同期内，必须保持保单有效。设计人必须将保单连同已付保金的收据，在合同期内交由发包人代表保管。</w:t>
      </w:r>
    </w:p>
    <w:p>
      <w:pPr>
        <w:spacing w:line="360" w:lineRule="auto"/>
        <w:ind w:firstLine="480" w:firstLineChars="200"/>
        <w:jc w:val="left"/>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29）保险：为保障本合同的顺利履行，设计人应购买工程的建设工程勘察责任保险、建设工程设计责任保险，并按照法律法规的规定为其工作业人员购买工伤保险、人身意外伤害险和其他保险，确保咨询人员及工作人员在工作时间区域内如遭受意外伤害由商业保险进行理赔，不涉及至发包人；发包人不承担与此相关的任何费用及责任。合同签订后60日内，设计人须把购买的保险单报发包人备案，否则，发包人有权延期支付服务费。</w:t>
      </w:r>
    </w:p>
    <w:p>
      <w:pPr>
        <w:spacing w:line="360" w:lineRule="auto"/>
        <w:ind w:firstLine="480" w:firstLineChars="200"/>
        <w:jc w:val="left"/>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工程设计责任保险应承担由于设计人设计工作的疏忽或过失而引发的工程质量事故所造成的建设工程本身的物质损失以及第三者人身伤亡、财产损失或费用的赔偿责任。</w:t>
      </w:r>
    </w:p>
    <w:p>
      <w:pPr>
        <w:spacing w:line="360" w:lineRule="auto"/>
        <w:ind w:firstLine="480" w:firstLineChars="200"/>
        <w:jc w:val="left"/>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工程勘察责任保险应承担由于设计人勘察工作的疏忽或过失而引发的工程质量事故所造成的建设工程本身的物质损失以及第三者人身伤亡、财产损失或费用的赔偿责任。</w:t>
      </w:r>
    </w:p>
    <w:p>
      <w:pPr>
        <w:spacing w:line="360" w:lineRule="auto"/>
        <w:ind w:firstLine="480" w:firstLineChars="200"/>
        <w:jc w:val="left"/>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30）当设计人被判破产，发包人可以随时循简易程序，书面通知设计人终止合同，设计人无权获得任何补偿。</w:t>
      </w:r>
    </w:p>
    <w:p>
      <w:pPr>
        <w:spacing w:line="360" w:lineRule="auto"/>
        <w:ind w:firstLine="480" w:firstLineChars="200"/>
        <w:jc w:val="left"/>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31）本项目履约担保金额为中标价款的10%，中标人须在收到中标通知书后的20日内提交履约保函。履约保函应以由在中国注册的国有商业银行或股份制商业银行的支行及其以上级别的银行开具的银行保函的形式提供。为取得履约保函所需的费用，由中标人自行负责。履约保函的担保期限从提供履约担保之日起至工程竣工验收合格之日止。</w:t>
      </w:r>
    </w:p>
    <w:p>
      <w:pPr>
        <w:spacing w:line="360" w:lineRule="auto"/>
        <w:ind w:firstLine="480" w:firstLineChars="200"/>
        <w:jc w:val="left"/>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32）设计人应委托经发包人认可的具有造价咨询（管理）专业资质单位编制本项目的估算书、初步设计概算、设计变更预算等；</w:t>
      </w:r>
    </w:p>
    <w:p>
      <w:pPr>
        <w:spacing w:line="360" w:lineRule="auto"/>
        <w:ind w:firstLine="480" w:firstLineChars="200"/>
        <w:jc w:val="left"/>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33）设计人应提供初步设计与可行性研究报告、施工图与初步设计在建设规模、标准、内容等方面的符合性对比分析报告（含投资差异分析），确保施工图设计符合初步设计要求、初步设计符合可行性研究报告的要求。</w:t>
      </w:r>
    </w:p>
    <w:p>
      <w:pPr>
        <w:spacing w:line="360" w:lineRule="auto"/>
        <w:ind w:firstLine="480" w:firstLineChars="200"/>
        <w:jc w:val="left"/>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34）对发包人进行的审计或审计调查工作设计人应配合，并应根据意见和建议作出相应的调整。</w:t>
      </w:r>
    </w:p>
    <w:p>
      <w:pPr>
        <w:spacing w:line="360" w:lineRule="auto"/>
        <w:ind w:firstLine="480" w:firstLineChars="200"/>
        <w:jc w:val="left"/>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35）设计人同意遵守并执行发包人制订并颁布代建项目的相关管理办法。</w:t>
      </w:r>
    </w:p>
    <w:p>
      <w:pPr>
        <w:spacing w:line="360" w:lineRule="auto"/>
        <w:ind w:firstLine="480" w:firstLineChars="200"/>
        <w:jc w:val="left"/>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36）设计人须参与由发包人组织，使用单位、设计人、施工、监理单位组成固定资产交接小组，先进行项目实物移交，后进行档案资料移交。</w:t>
      </w:r>
    </w:p>
    <w:p>
      <w:pPr>
        <w:spacing w:line="360" w:lineRule="auto"/>
        <w:ind w:firstLine="480" w:firstLineChars="200"/>
        <w:jc w:val="left"/>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37）设计人应按照发包人要求，对发包人的人员以及其他联合体成员（如有）进行BIM模型操作的培训。</w:t>
      </w:r>
    </w:p>
    <w:p>
      <w:pPr>
        <w:spacing w:line="360" w:lineRule="auto"/>
        <w:ind w:firstLine="480" w:firstLineChars="200"/>
        <w:jc w:val="left"/>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38）提供BIM技术的应用服务，包含且不限于核查初步设计、检查管线平衡设计、检查错漏碰缺、检查工程量清单编制、检查设计变更，建立发包人与设计方协同工作模型，将此模型导入发包人委托的第三方平台“BIM协同管理平台”，建立运营维护模型，指导实际运行、维护管理工作。</w:t>
      </w:r>
    </w:p>
    <w:p>
      <w:pPr>
        <w:pStyle w:val="7"/>
        <w:spacing w:before="120" w:after="120" w:line="360" w:lineRule="auto"/>
        <w:ind w:firstLine="480" w:firstLineChars="200"/>
        <w:rPr>
          <w:rFonts w:asciiTheme="minorEastAsia" w:hAnsiTheme="minorEastAsia" w:eastAsiaTheme="minorEastAsia"/>
          <w:b w:val="0"/>
          <w:color w:val="auto"/>
          <w:sz w:val="24"/>
          <w:szCs w:val="24"/>
        </w:rPr>
      </w:pPr>
      <w:r>
        <w:rPr>
          <w:rFonts w:hint="eastAsia" w:asciiTheme="minorEastAsia" w:hAnsiTheme="minorEastAsia" w:eastAsiaTheme="minorEastAsia"/>
          <w:b w:val="0"/>
          <w:color w:val="auto"/>
          <w:sz w:val="24"/>
          <w:szCs w:val="24"/>
        </w:rPr>
        <w:t>3.2 项目负责人</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kern w:val="0"/>
          <w:sz w:val="24"/>
          <w:szCs w:val="24"/>
        </w:rPr>
        <w:t xml:space="preserve">3.2.1 </w:t>
      </w:r>
      <w:r>
        <w:rPr>
          <w:rFonts w:hint="eastAsia" w:asciiTheme="minorEastAsia" w:hAnsiTheme="minorEastAsia" w:eastAsiaTheme="minorEastAsia"/>
          <w:color w:val="auto"/>
          <w:sz w:val="24"/>
          <w:szCs w:val="24"/>
        </w:rPr>
        <w:t>项目负责人</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姓    名：</w:t>
      </w:r>
      <w:r>
        <w:rPr>
          <w:rFonts w:hint="eastAsia" w:asciiTheme="minorEastAsia" w:hAnsiTheme="minorEastAsia" w:eastAsiaTheme="minorEastAsia"/>
          <w:color w:val="auto"/>
          <w:sz w:val="24"/>
          <w:szCs w:val="24"/>
          <w:u w:val="single"/>
        </w:rPr>
        <w:t xml:space="preserve">                </w:t>
      </w:r>
      <w:r>
        <w:rPr>
          <w:rFonts w:hint="eastAsia" w:asciiTheme="minorEastAsia" w:hAnsiTheme="minorEastAsia" w:eastAsiaTheme="minorEastAsia"/>
          <w:color w:val="auto"/>
          <w:sz w:val="24"/>
          <w:szCs w:val="24"/>
        </w:rPr>
        <w:t>；</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执业资格及等级：</w:t>
      </w:r>
      <w:r>
        <w:rPr>
          <w:rFonts w:hint="eastAsia" w:asciiTheme="minorEastAsia" w:hAnsiTheme="minorEastAsia" w:eastAsiaTheme="minorEastAsia"/>
          <w:color w:val="auto"/>
          <w:sz w:val="24"/>
          <w:szCs w:val="24"/>
          <w:u w:val="single"/>
        </w:rPr>
        <w:t xml:space="preserve">              </w:t>
      </w:r>
      <w:r>
        <w:rPr>
          <w:rFonts w:hint="eastAsia" w:asciiTheme="minorEastAsia" w:hAnsiTheme="minorEastAsia" w:eastAsiaTheme="minorEastAsia"/>
          <w:color w:val="auto"/>
          <w:sz w:val="24"/>
          <w:szCs w:val="24"/>
        </w:rPr>
        <w:t>；</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注册证书号：</w:t>
      </w:r>
      <w:r>
        <w:rPr>
          <w:rFonts w:hint="eastAsia" w:asciiTheme="minorEastAsia" w:hAnsiTheme="minorEastAsia" w:eastAsiaTheme="minorEastAsia"/>
          <w:color w:val="auto"/>
          <w:sz w:val="24"/>
          <w:szCs w:val="24"/>
          <w:u w:val="single"/>
        </w:rPr>
        <w:t xml:space="preserve">               </w:t>
      </w:r>
      <w:r>
        <w:rPr>
          <w:rFonts w:hint="eastAsia" w:asciiTheme="minorEastAsia" w:hAnsiTheme="minorEastAsia" w:eastAsiaTheme="minorEastAsia"/>
          <w:color w:val="auto"/>
          <w:sz w:val="24"/>
          <w:szCs w:val="24"/>
        </w:rPr>
        <w:t>；</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联系电话：</w:t>
      </w:r>
      <w:r>
        <w:rPr>
          <w:rFonts w:hint="eastAsia" w:asciiTheme="minorEastAsia" w:hAnsiTheme="minorEastAsia" w:eastAsiaTheme="minorEastAsia"/>
          <w:color w:val="auto"/>
          <w:sz w:val="24"/>
          <w:szCs w:val="24"/>
          <w:u w:val="single"/>
        </w:rPr>
        <w:t xml:space="preserve">                 </w:t>
      </w:r>
      <w:r>
        <w:rPr>
          <w:rFonts w:hint="eastAsia" w:asciiTheme="minorEastAsia" w:hAnsiTheme="minorEastAsia" w:eastAsiaTheme="minorEastAsia"/>
          <w:color w:val="auto"/>
          <w:sz w:val="24"/>
          <w:szCs w:val="24"/>
        </w:rPr>
        <w:t>；</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电子信箱：</w:t>
      </w:r>
      <w:r>
        <w:rPr>
          <w:rFonts w:hint="eastAsia" w:asciiTheme="minorEastAsia" w:hAnsiTheme="minorEastAsia" w:eastAsiaTheme="minorEastAsia"/>
          <w:color w:val="auto"/>
          <w:sz w:val="24"/>
          <w:szCs w:val="24"/>
          <w:u w:val="single"/>
        </w:rPr>
        <w:t xml:space="preserve">                 </w:t>
      </w:r>
      <w:r>
        <w:rPr>
          <w:rFonts w:hint="eastAsia" w:asciiTheme="minorEastAsia" w:hAnsiTheme="minorEastAsia" w:eastAsiaTheme="minorEastAsia"/>
          <w:color w:val="auto"/>
          <w:sz w:val="24"/>
          <w:szCs w:val="24"/>
        </w:rPr>
        <w:t>；</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通信地址：</w:t>
      </w:r>
      <w:r>
        <w:rPr>
          <w:rFonts w:hint="eastAsia" w:asciiTheme="minorEastAsia" w:hAnsiTheme="minorEastAsia" w:eastAsiaTheme="minorEastAsia"/>
          <w:color w:val="auto"/>
          <w:sz w:val="24"/>
          <w:szCs w:val="24"/>
          <w:u w:val="single"/>
        </w:rPr>
        <w:t xml:space="preserve">                 </w:t>
      </w:r>
      <w:r>
        <w:rPr>
          <w:rFonts w:hint="eastAsia" w:asciiTheme="minorEastAsia" w:hAnsiTheme="minorEastAsia" w:eastAsiaTheme="minorEastAsia"/>
          <w:color w:val="auto"/>
          <w:sz w:val="24"/>
          <w:szCs w:val="24"/>
        </w:rPr>
        <w:t>；</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3.2.2 设计人更换项目负责人的，应提前</w:t>
      </w:r>
      <w:r>
        <w:rPr>
          <w:rFonts w:hint="eastAsia" w:asciiTheme="minorEastAsia" w:hAnsiTheme="minorEastAsia" w:eastAsiaTheme="minorEastAsia"/>
          <w:color w:val="auto"/>
          <w:sz w:val="24"/>
          <w:szCs w:val="24"/>
          <w:u w:val="single"/>
        </w:rPr>
        <w:t xml:space="preserve"> 15  个日历天</w:t>
      </w:r>
      <w:r>
        <w:rPr>
          <w:rFonts w:hint="eastAsia" w:asciiTheme="minorEastAsia" w:hAnsiTheme="minorEastAsia" w:eastAsiaTheme="minorEastAsia"/>
          <w:color w:val="auto"/>
          <w:sz w:val="24"/>
          <w:szCs w:val="24"/>
        </w:rPr>
        <w:t>书面通知发包人。</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设计人擅自更换项目负责人的违约责任：</w:t>
      </w:r>
      <w:r>
        <w:rPr>
          <w:rFonts w:hint="eastAsia" w:asciiTheme="minorEastAsia" w:hAnsiTheme="minorEastAsia" w:eastAsiaTheme="minorEastAsia"/>
          <w:color w:val="auto"/>
          <w:sz w:val="24"/>
          <w:szCs w:val="24"/>
          <w:u w:val="single"/>
        </w:rPr>
        <w:t xml:space="preserve">               </w:t>
      </w:r>
    </w:p>
    <w:p>
      <w:pPr>
        <w:spacing w:line="360" w:lineRule="auto"/>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u w:val="single"/>
        </w:rPr>
        <w:t xml:space="preserve">                                           </w:t>
      </w:r>
      <w:r>
        <w:rPr>
          <w:rFonts w:hint="eastAsia" w:asciiTheme="minorEastAsia" w:hAnsiTheme="minorEastAsia" w:eastAsiaTheme="minorEastAsia"/>
          <w:color w:val="auto"/>
          <w:sz w:val="24"/>
          <w:szCs w:val="24"/>
        </w:rPr>
        <w:t>。</w:t>
      </w:r>
    </w:p>
    <w:p>
      <w:pPr>
        <w:spacing w:line="360" w:lineRule="auto"/>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 xml:space="preserve">    3.2.3 设计人应在收到书面更换通知后</w:t>
      </w:r>
      <w:r>
        <w:rPr>
          <w:rFonts w:hint="eastAsia" w:asciiTheme="minorEastAsia" w:hAnsiTheme="minorEastAsia" w:eastAsiaTheme="minorEastAsia"/>
          <w:color w:val="auto"/>
          <w:sz w:val="24"/>
          <w:szCs w:val="24"/>
          <w:u w:val="single"/>
        </w:rPr>
        <w:t xml:space="preserve">   5   个日历</w:t>
      </w:r>
      <w:r>
        <w:rPr>
          <w:rFonts w:hint="eastAsia" w:asciiTheme="minorEastAsia" w:hAnsiTheme="minorEastAsia" w:eastAsiaTheme="minorEastAsia"/>
          <w:color w:val="auto"/>
          <w:sz w:val="24"/>
          <w:szCs w:val="24"/>
        </w:rPr>
        <w:t>天内更换项目负责人。</w:t>
      </w:r>
    </w:p>
    <w:p>
      <w:pPr>
        <w:spacing w:line="360" w:lineRule="auto"/>
        <w:ind w:firstLine="480" w:firstLineChars="200"/>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rPr>
        <w:t>设计人无正当理由拒绝更换项目负责人的违约责任：</w:t>
      </w:r>
    </w:p>
    <w:p>
      <w:pPr>
        <w:spacing w:line="360" w:lineRule="auto"/>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 xml:space="preserve">                                                         </w:t>
      </w:r>
    </w:p>
    <w:p>
      <w:pPr>
        <w:spacing w:line="360" w:lineRule="auto"/>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u w:val="single"/>
        </w:rPr>
        <w:t xml:space="preserve">                             </w:t>
      </w:r>
      <w:r>
        <w:rPr>
          <w:rFonts w:hint="eastAsia" w:asciiTheme="minorEastAsia" w:hAnsiTheme="minorEastAsia" w:eastAsiaTheme="minorEastAsia"/>
          <w:color w:val="auto"/>
          <w:sz w:val="24"/>
          <w:szCs w:val="24"/>
        </w:rPr>
        <w:t>。</w:t>
      </w:r>
    </w:p>
    <w:p>
      <w:pPr>
        <w:pStyle w:val="7"/>
        <w:spacing w:before="120" w:after="120" w:line="360" w:lineRule="auto"/>
        <w:ind w:firstLine="480" w:firstLineChars="200"/>
        <w:rPr>
          <w:rFonts w:asciiTheme="minorEastAsia" w:hAnsiTheme="minorEastAsia" w:eastAsiaTheme="minorEastAsia"/>
          <w:b w:val="0"/>
          <w:color w:val="auto"/>
          <w:sz w:val="24"/>
          <w:szCs w:val="24"/>
        </w:rPr>
      </w:pPr>
      <w:r>
        <w:rPr>
          <w:rFonts w:hint="eastAsia" w:asciiTheme="minorEastAsia" w:hAnsiTheme="minorEastAsia" w:eastAsiaTheme="minorEastAsia"/>
          <w:b w:val="0"/>
          <w:color w:val="auto"/>
          <w:sz w:val="24"/>
          <w:szCs w:val="24"/>
        </w:rPr>
        <w:t>3.3 设计人人员</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详见附件4：专业设计及驻场服务人员表</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3.3.1 设计人提交项目管理机构及人员安排报告的期限</w:t>
      </w:r>
      <w:r>
        <w:rPr>
          <w:rFonts w:hint="eastAsia" w:asciiTheme="minorEastAsia" w:hAnsiTheme="minorEastAsia" w:eastAsiaTheme="minorEastAsia"/>
          <w:color w:val="auto"/>
          <w:sz w:val="24"/>
          <w:szCs w:val="24"/>
          <w:u w:val="single"/>
        </w:rPr>
        <w:t xml:space="preserve">5个日历天 </w:t>
      </w:r>
      <w:r>
        <w:rPr>
          <w:rFonts w:hint="eastAsia" w:asciiTheme="minorEastAsia" w:hAnsiTheme="minorEastAsia" w:eastAsiaTheme="minorEastAsia"/>
          <w:color w:val="auto"/>
          <w:sz w:val="24"/>
          <w:szCs w:val="24"/>
        </w:rPr>
        <w:t>。</w:t>
      </w:r>
    </w:p>
    <w:p>
      <w:pPr>
        <w:spacing w:line="360" w:lineRule="auto"/>
        <w:ind w:left="300" w:leftChars="143" w:firstLine="240" w:firstLineChars="1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3.3.4 对设计人人员的其它要求：</w:t>
      </w:r>
    </w:p>
    <w:p>
      <w:pPr>
        <w:spacing w:line="360" w:lineRule="auto"/>
        <w:ind w:firstLine="480" w:firstLineChars="200"/>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1）专业设计人员和驻场服务人员必须根据本项目设计工作的进展情况，按照发包人的指令在发包人规定的时间和指定的场所集中设计和提供驻场服务，凡人员不到位或不完全到位的，设计单位应按本合同的约定承担违约责任。</w:t>
      </w:r>
    </w:p>
    <w:p>
      <w:pPr>
        <w:spacing w:line="360" w:lineRule="auto"/>
        <w:ind w:firstLine="420" w:firstLineChars="200"/>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rPr>
        <w:t>□</w:t>
      </w:r>
      <w:r>
        <w:rPr>
          <w:rFonts w:hint="eastAsia" w:asciiTheme="minorEastAsia" w:hAnsiTheme="minorEastAsia" w:eastAsiaTheme="minorEastAsia"/>
          <w:color w:val="auto"/>
          <w:sz w:val="24"/>
          <w:szCs w:val="24"/>
          <w:u w:val="single"/>
        </w:rPr>
        <w:t>2）在本合同履行期间，设计人在明确分工各负其责的基础上，设计人承诺为本合同约定项目指定的项目负责人为</w:t>
      </w:r>
      <w:r>
        <w:rPr>
          <w:rFonts w:hint="eastAsia" w:ascii="宋体" w:hAnsi="宋体"/>
          <w:color w:val="auto"/>
          <w:sz w:val="24"/>
          <w:szCs w:val="24"/>
          <w:u w:val="single"/>
        </w:rPr>
        <w:t>按招标文件及投标文件要求</w:t>
      </w:r>
      <w:r>
        <w:rPr>
          <w:rFonts w:hint="eastAsia" w:asciiTheme="minorEastAsia" w:hAnsiTheme="minorEastAsia" w:eastAsiaTheme="minorEastAsia"/>
          <w:color w:val="auto"/>
          <w:sz w:val="24"/>
          <w:szCs w:val="24"/>
          <w:u w:val="single"/>
        </w:rPr>
        <w:t>。设计人保证驻场设计代表能够全权代表设计人，并向发包人出具相应的授权文件。合同履行期间不得更换项目负责人，如更换项目负责人必须经发包人批准。</w:t>
      </w:r>
    </w:p>
    <w:p>
      <w:pPr>
        <w:spacing w:line="360" w:lineRule="auto"/>
        <w:ind w:firstLine="480" w:firstLineChars="200"/>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3）设计人承诺为本合同约定项目指定的各专业设计负责人为</w:t>
      </w:r>
      <w:r>
        <w:rPr>
          <w:rFonts w:hint="eastAsia" w:ascii="宋体" w:hAnsi="宋体"/>
          <w:color w:val="auto"/>
          <w:sz w:val="24"/>
          <w:szCs w:val="24"/>
          <w:u w:val="single"/>
        </w:rPr>
        <w:t>按招标文件及投标文件要求</w:t>
      </w:r>
      <w:r>
        <w:rPr>
          <w:rFonts w:hint="eastAsia" w:asciiTheme="minorEastAsia" w:hAnsiTheme="minorEastAsia" w:eastAsiaTheme="minorEastAsia"/>
          <w:color w:val="auto"/>
          <w:sz w:val="24"/>
          <w:szCs w:val="24"/>
          <w:u w:val="single"/>
        </w:rPr>
        <w:t>。</w:t>
      </w:r>
    </w:p>
    <w:p>
      <w:pPr>
        <w:spacing w:line="360" w:lineRule="auto"/>
        <w:ind w:firstLine="480" w:firstLineChars="200"/>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4）项目设计负责人、各专业设计负责人、驻场设计代表的经验、能力和健康状况应能胜任所承担任务的设计、组织、计划、协调工作。</w:t>
      </w:r>
    </w:p>
    <w:p>
      <w:pPr>
        <w:spacing w:line="360" w:lineRule="auto"/>
        <w:ind w:firstLine="480" w:firstLineChars="200"/>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5） 设计人必须保证参与本合同约定项目设计人员的稳定性，在本合同履行期内，设计人在合同附件中承诺投入的人员原则上不得更换，确须更换的应事先征得发包人同意后方可撤回，并按本合同得有关约定承担违约责任。</w:t>
      </w:r>
    </w:p>
    <w:p>
      <w:pPr>
        <w:spacing w:line="360" w:lineRule="auto"/>
        <w:ind w:firstLine="480" w:firstLineChars="200"/>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6）发包人认为项目设计负责人、各专业之间负责人、驻场设计代表不称职时，可向设计人发出书面更换人员通知，设计人应当在收到发包人的书面通知后5天内更换，更换人员的资历不得低于本合同相应条款对各类设计人员资历规定的要求，且更换人员须先经过发包人确认。若设计人对发包人要求更换人员有异议时，可申请复议一次，若经复议后发包人仍然要求更换，则设计人应无条件进行更换，否则视设计人该人员从发包人发出更换通知的时间开始擅自离岗。</w:t>
      </w:r>
    </w:p>
    <w:p>
      <w:pPr>
        <w:spacing w:line="360" w:lineRule="auto"/>
        <w:ind w:firstLine="480" w:firstLineChars="200"/>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7）设计人必须加强设计人员职业操守的教育，本合同约定项目设计人员需共同遵守设计人员职业道德守则，并严格遵守以下规定：</w:t>
      </w:r>
    </w:p>
    <w:p>
      <w:pPr>
        <w:spacing w:line="360" w:lineRule="auto"/>
        <w:ind w:firstLine="480" w:firstLineChars="200"/>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（1）严防重产值、轻质量倾向，确保公众人身及财产安全；</w:t>
      </w:r>
    </w:p>
    <w:p>
      <w:pPr>
        <w:spacing w:line="360" w:lineRule="auto"/>
        <w:ind w:firstLine="480" w:firstLineChars="200"/>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（2） 禁止向发包人及施工单位推销材料、设备，或以倾向性、排他性设计变相推销；</w:t>
      </w:r>
    </w:p>
    <w:p>
      <w:pPr>
        <w:spacing w:line="360" w:lineRule="auto"/>
        <w:ind w:firstLine="480" w:firstLineChars="200"/>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（3）禁止与材料、设备供应商串通，设计中选用价高质次的材料、设备；</w:t>
      </w:r>
    </w:p>
    <w:p>
      <w:pPr>
        <w:spacing w:line="360" w:lineRule="auto"/>
        <w:ind w:firstLine="480" w:firstLineChars="200"/>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（4）禁止与材料、设备供应商串通，在材料、设备的监造或调试过程中对不合格材料、设备产品进行包庇或以次充好，提高产品验收级别；</w:t>
      </w:r>
    </w:p>
    <w:p>
      <w:pPr>
        <w:spacing w:line="360" w:lineRule="auto"/>
        <w:ind w:firstLine="480" w:firstLineChars="200"/>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（5）禁止与施工单位串通，对不合格材料、设备、产品、工程进行包庇及验收；</w:t>
      </w:r>
    </w:p>
    <w:p>
      <w:pPr>
        <w:spacing w:line="360" w:lineRule="auto"/>
        <w:ind w:firstLine="480" w:firstLineChars="200"/>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（6）禁止与施工单位串通，对材料用量、工程量进行虚假签认；</w:t>
      </w:r>
    </w:p>
    <w:p>
      <w:pPr>
        <w:spacing w:line="360" w:lineRule="auto"/>
        <w:ind w:firstLine="480" w:firstLineChars="200"/>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（7）禁止与施工单位串通，不合理提高施工难度及增加材料用量，以增大施工费用，获取不正当收益。</w:t>
      </w:r>
    </w:p>
    <w:p>
      <w:pPr>
        <w:spacing w:line="360" w:lineRule="auto"/>
        <w:ind w:firstLine="480" w:firstLineChars="200"/>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8）凡违背以上规定者，一经查实，发包人有权向有关部门反映情况，追究设计人及有关责任人相关责任，要求赔偿相关损失。</w:t>
      </w:r>
    </w:p>
    <w:p>
      <w:pPr>
        <w:spacing w:line="360" w:lineRule="auto"/>
        <w:ind w:firstLine="480" w:firstLineChars="200"/>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9) 项目设计负责人的姓名、职务、职责应在设计人设计人员架构表内明确。</w:t>
      </w:r>
    </w:p>
    <w:p>
      <w:pPr>
        <w:spacing w:line="360" w:lineRule="auto"/>
        <w:ind w:firstLine="480" w:firstLineChars="200"/>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10)  设计人依据合同发出的通知，以书面形式由项目设计负责人和设计负责人签字后送交发包人驻场代表，发包人驻场代表在回执上签署姓名和收到时间，通知同时生效。</w:t>
      </w:r>
    </w:p>
    <w:p>
      <w:pPr>
        <w:spacing w:line="360" w:lineRule="auto"/>
        <w:ind w:firstLine="480" w:firstLineChars="200"/>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11) 项目设计负责人和驻场设计代表按发包人认可的设计详细进度计划和发包人依据合同付出的指令要求组织设计，并应保证设计信息的准确、安全。</w:t>
      </w:r>
    </w:p>
    <w:p>
      <w:pPr>
        <w:spacing w:line="360" w:lineRule="auto"/>
        <w:ind w:left="300" w:leftChars="143" w:firstLine="240" w:firstLineChars="100"/>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12) 每一项目设计负责人和驻场代表均是设计人的履约代表，发包人发出的任何书面形式的文件经任一项目设计负责人和驻场设计代表签收，即视为已送达设计人。</w:t>
      </w:r>
    </w:p>
    <w:p>
      <w:pPr>
        <w:pStyle w:val="7"/>
        <w:spacing w:before="120" w:after="120" w:line="360" w:lineRule="auto"/>
        <w:ind w:firstLine="480" w:firstLineChars="200"/>
        <w:rPr>
          <w:rFonts w:asciiTheme="minorEastAsia" w:hAnsiTheme="minorEastAsia" w:eastAsiaTheme="minorEastAsia"/>
          <w:b w:val="0"/>
          <w:color w:val="auto"/>
          <w:sz w:val="24"/>
          <w:szCs w:val="24"/>
        </w:rPr>
      </w:pPr>
      <w:r>
        <w:rPr>
          <w:rFonts w:hint="eastAsia" w:asciiTheme="minorEastAsia" w:hAnsiTheme="minorEastAsia" w:eastAsiaTheme="minorEastAsia"/>
          <w:b w:val="0"/>
          <w:color w:val="auto"/>
          <w:sz w:val="24"/>
          <w:szCs w:val="24"/>
        </w:rPr>
        <w:t>3.4 设计分包</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3.4.1 设计分包的一般约定</w:t>
      </w:r>
    </w:p>
    <w:p>
      <w:pPr>
        <w:spacing w:line="360" w:lineRule="auto"/>
        <w:ind w:firstLine="480" w:firstLineChars="200"/>
        <w:jc w:val="left"/>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禁止设计分包的工程包括：</w:t>
      </w:r>
      <w:r>
        <w:rPr>
          <w:rFonts w:hint="eastAsia" w:asciiTheme="minorEastAsia" w:hAnsiTheme="minorEastAsia" w:eastAsiaTheme="minorEastAsia"/>
          <w:color w:val="auto"/>
          <w:sz w:val="24"/>
          <w:szCs w:val="24"/>
          <w:u w:val="single"/>
        </w:rPr>
        <w:t xml:space="preserve">主体结构、关键性工作  </w:t>
      </w:r>
      <w:r>
        <w:rPr>
          <w:rFonts w:hint="eastAsia" w:asciiTheme="minorEastAsia" w:hAnsiTheme="minorEastAsia" w:eastAsiaTheme="minorEastAsia"/>
          <w:color w:val="auto"/>
          <w:sz w:val="24"/>
          <w:szCs w:val="24"/>
        </w:rPr>
        <w:t>。</w:t>
      </w:r>
    </w:p>
    <w:p>
      <w:pPr>
        <w:spacing w:line="360" w:lineRule="auto"/>
        <w:jc w:val="left"/>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rPr>
        <w:t>主体结构、关键性工作的范围：</w:t>
      </w:r>
      <w:r>
        <w:rPr>
          <w:rFonts w:hint="eastAsia" w:asciiTheme="minorEastAsia" w:hAnsiTheme="minorEastAsia" w:eastAsiaTheme="minorEastAsia"/>
          <w:color w:val="auto"/>
          <w:sz w:val="24"/>
          <w:szCs w:val="24"/>
          <w:u w:val="single"/>
        </w:rPr>
        <w:t xml:space="preserve">包含并不限于建筑、结构等符合设计人专业设计资质要求或设计能力的工作   </w:t>
      </w:r>
      <w:r>
        <w:rPr>
          <w:rFonts w:hint="eastAsia" w:asciiTheme="minorEastAsia" w:hAnsiTheme="minorEastAsia" w:eastAsiaTheme="minorEastAsia"/>
          <w:color w:val="auto"/>
          <w:sz w:val="24"/>
          <w:szCs w:val="24"/>
        </w:rPr>
        <w:t>。</w:t>
      </w:r>
    </w:p>
    <w:p>
      <w:pPr>
        <w:spacing w:line="360" w:lineRule="auto"/>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 xml:space="preserve">    3.4.2设计分包的确定</w:t>
      </w:r>
    </w:p>
    <w:p>
      <w:pPr>
        <w:spacing w:line="360" w:lineRule="auto"/>
        <w:ind w:firstLine="480" w:firstLineChars="200"/>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rPr>
        <w:t>允许分包的专业工程包括：</w:t>
      </w:r>
      <w:r>
        <w:rPr>
          <w:rFonts w:hint="eastAsia" w:asciiTheme="minorEastAsia" w:hAnsiTheme="minorEastAsia" w:eastAsiaTheme="minorEastAsia"/>
          <w:color w:val="auto"/>
          <w:sz w:val="24"/>
          <w:szCs w:val="24"/>
          <w:u w:val="single"/>
        </w:rPr>
        <w:t xml:space="preserve">设计人所承接的专项设计内容，由于设计人本身的资质及所属设计人员的限制，经发包人认可，由设计人直接将该项设计内容分包给专业设计单位     </w:t>
      </w:r>
      <w:r>
        <w:rPr>
          <w:rFonts w:hint="eastAsia" w:asciiTheme="minorEastAsia" w:hAnsiTheme="minorEastAsia" w:eastAsiaTheme="minorEastAsia"/>
          <w:color w:val="auto"/>
          <w:sz w:val="24"/>
          <w:szCs w:val="24"/>
        </w:rPr>
        <w:t>。</w:t>
      </w:r>
    </w:p>
    <w:p>
      <w:pPr>
        <w:spacing w:line="360" w:lineRule="auto"/>
        <w:ind w:firstLine="480" w:firstLineChars="200"/>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rPr>
        <w:t>其他关于分包的约定：</w:t>
      </w:r>
    </w:p>
    <w:p>
      <w:pPr>
        <w:spacing w:line="360" w:lineRule="auto"/>
        <w:ind w:firstLine="480" w:firstLineChars="200"/>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1）由设计人与专项设计分包单位签订设计分包合同，并报发包人备案 。</w:t>
      </w:r>
    </w:p>
    <w:p>
      <w:pPr>
        <w:spacing w:line="360" w:lineRule="auto"/>
        <w:ind w:firstLine="480" w:firstLineChars="200"/>
        <w:rPr>
          <w:rFonts w:asciiTheme="minorEastAsia" w:hAnsiTheme="minorEastAsia" w:eastAsiaTheme="minorEastAsia"/>
          <w:strike/>
          <w:color w:val="auto"/>
          <w:sz w:val="24"/>
          <w:szCs w:val="24"/>
          <w:u w:val="single"/>
        </w:rPr>
      </w:pPr>
      <w:r>
        <w:rPr>
          <w:rFonts w:asciiTheme="minorEastAsia" w:hAnsiTheme="minorEastAsia" w:eastAsiaTheme="minorEastAsia"/>
          <w:strike/>
          <w:color w:val="auto"/>
          <w:sz w:val="24"/>
          <w:szCs w:val="24"/>
          <w:u w:val="single"/>
        </w:rPr>
        <w:t>2）专项施工图设计阶段，实行专项设计分包方自身管理、设计人总协调管理、发包人管理的三级管理模式。在此管理阶段专项分包方为主设计方，承担主要的设计责任，设计人为协作设计方，承担次要的设计责任，设计人就该部分对总体设计方案设计思想及技术路线贯彻与总体设计的协调负责出具施工图的审核意见，并报发包人备案，设计人承担相应连带管理责任。在此设计阶段的违约及绩效考核方面相应地按此设计责任进行比例划分。</w:t>
      </w:r>
    </w:p>
    <w:p>
      <w:pPr>
        <w:spacing w:line="360" w:lineRule="auto"/>
        <w:ind w:firstLine="480" w:firstLineChars="200"/>
        <w:rPr>
          <w:rFonts w:asciiTheme="minorEastAsia" w:hAnsiTheme="minorEastAsia" w:eastAsiaTheme="minorEastAsia"/>
          <w:color w:val="auto"/>
          <w:sz w:val="24"/>
          <w:szCs w:val="24"/>
          <w:u w:val="single"/>
        </w:rPr>
      </w:pPr>
      <w:r>
        <w:rPr>
          <w:rFonts w:asciiTheme="minorEastAsia" w:hAnsiTheme="minorEastAsia" w:eastAsiaTheme="minorEastAsia"/>
          <w:strike/>
          <w:color w:val="auto"/>
          <w:sz w:val="24"/>
          <w:szCs w:val="24"/>
          <w:u w:val="single"/>
        </w:rPr>
        <w:t>3）在施工图设计阶段、施工招标及施工阶段，专项设计分包单位要接受发包人对其进行管理和协调。</w:t>
      </w:r>
    </w:p>
    <w:p>
      <w:pPr>
        <w:spacing w:line="360" w:lineRule="auto"/>
        <w:ind w:firstLine="480" w:firstLineChars="200"/>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4）本项目中，设计人应保证按规划及建筑功能要求、配套设施要求完成合同约定的专业专项设计。限于专业资质、业务范围问题不能设计人进行的专项设计，由设计人在本设计合同签订前报发包人同意后进行分包，专项分包设计费由设计人按设计合作协议承担。</w:t>
      </w:r>
    </w:p>
    <w:p>
      <w:pPr>
        <w:spacing w:line="360" w:lineRule="auto"/>
        <w:ind w:firstLine="480" w:firstLineChars="200"/>
        <w:rPr>
          <w:rFonts w:asciiTheme="minorEastAsia" w:hAnsiTheme="minorEastAsia" w:eastAsiaTheme="minorEastAsia"/>
          <w:color w:val="auto"/>
          <w:sz w:val="24"/>
          <w:szCs w:val="24"/>
          <w:u w:val="single"/>
        </w:rPr>
      </w:pPr>
      <w:r>
        <w:rPr>
          <w:rFonts w:asciiTheme="minorEastAsia" w:hAnsiTheme="minorEastAsia" w:eastAsiaTheme="minorEastAsia"/>
          <w:strike/>
          <w:color w:val="auto"/>
          <w:sz w:val="24"/>
          <w:szCs w:val="24"/>
          <w:u w:val="single"/>
        </w:rPr>
        <w:t>5）专项分包施工图设计文件中，需设计人校核确认的部分由设计人及专项分包人员进行会签并盖经授权的图纸审核专用章或公章。</w:t>
      </w:r>
    </w:p>
    <w:p>
      <w:pPr>
        <w:spacing w:line="360" w:lineRule="auto"/>
        <w:ind w:firstLine="480" w:firstLineChars="200"/>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6）设计人应在本合同生效后十日内将所有专业分包单位的基本情况、资质、分包内容、费用等列表报发包人审查及备案。</w:t>
      </w:r>
    </w:p>
    <w:p>
      <w:pPr>
        <w:spacing w:line="360" w:lineRule="auto"/>
        <w:ind w:firstLine="424" w:firstLineChars="177"/>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3.4.3 设计人向发包人提交有关分包人资料包括：</w:t>
      </w:r>
      <w:r>
        <w:rPr>
          <w:rFonts w:hint="eastAsia" w:asciiTheme="minorEastAsia" w:hAnsiTheme="minorEastAsia" w:eastAsiaTheme="minorEastAsia"/>
          <w:color w:val="auto"/>
          <w:sz w:val="24"/>
          <w:szCs w:val="24"/>
          <w:u w:val="single"/>
        </w:rPr>
        <w:t xml:space="preserve">  分包人的企业资质以及相关人员安排等  </w:t>
      </w:r>
      <w:r>
        <w:rPr>
          <w:rFonts w:hint="eastAsia" w:asciiTheme="minorEastAsia" w:hAnsiTheme="minorEastAsia" w:eastAsiaTheme="minorEastAsia"/>
          <w:color w:val="auto"/>
          <w:sz w:val="24"/>
          <w:szCs w:val="24"/>
        </w:rPr>
        <w:t>。</w:t>
      </w:r>
    </w:p>
    <w:p>
      <w:pPr>
        <w:spacing w:line="360" w:lineRule="auto"/>
        <w:ind w:firstLine="424" w:firstLineChars="177"/>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 xml:space="preserve">3.4.4 分包工程设计费支付方式： </w:t>
      </w:r>
      <w:r>
        <w:rPr>
          <w:rFonts w:hint="eastAsia" w:asciiTheme="minorEastAsia" w:hAnsiTheme="minorEastAsia" w:eastAsiaTheme="minorEastAsia"/>
          <w:color w:val="auto"/>
          <w:sz w:val="24"/>
          <w:szCs w:val="24"/>
          <w:u w:val="single"/>
        </w:rPr>
        <w:t xml:space="preserve">  分包工程费用包含在合同价中，由设计人支付给分包人，如设计人未按期支付，发包人有权停止下期设计费支付并有权对设计人进行处罚，并可从未支付的设计费中扣除费用支付给分包人</w:t>
      </w:r>
      <w:r>
        <w:rPr>
          <w:rFonts w:hint="eastAsia" w:asciiTheme="minorEastAsia" w:hAnsiTheme="minorEastAsia" w:eastAsiaTheme="minorEastAsia"/>
          <w:color w:val="auto"/>
          <w:sz w:val="24"/>
          <w:szCs w:val="24"/>
        </w:rPr>
        <w:t>。</w:t>
      </w:r>
    </w:p>
    <w:p>
      <w:pPr>
        <w:pStyle w:val="7"/>
        <w:keepNext w:val="0"/>
        <w:keepLines w:val="0"/>
        <w:spacing w:before="120" w:after="120" w:line="360" w:lineRule="auto"/>
        <w:ind w:firstLine="424" w:firstLineChars="177"/>
        <w:rPr>
          <w:rFonts w:asciiTheme="minorEastAsia" w:hAnsiTheme="minorEastAsia" w:eastAsiaTheme="minorEastAsia"/>
          <w:b w:val="0"/>
          <w:color w:val="auto"/>
          <w:sz w:val="24"/>
          <w:szCs w:val="24"/>
        </w:rPr>
      </w:pPr>
      <w:r>
        <w:rPr>
          <w:rFonts w:hint="eastAsia" w:asciiTheme="minorEastAsia" w:hAnsiTheme="minorEastAsia" w:eastAsiaTheme="minorEastAsia"/>
          <w:b w:val="0"/>
          <w:color w:val="auto"/>
          <w:sz w:val="24"/>
          <w:szCs w:val="24"/>
        </w:rPr>
        <w:t>3.5 联合体</w:t>
      </w:r>
    </w:p>
    <w:p>
      <w:pPr>
        <w:spacing w:line="360" w:lineRule="auto"/>
        <w:ind w:firstLine="424" w:firstLineChars="177"/>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3.5.4 发包人向联合体支付设计费用的方式：</w:t>
      </w:r>
      <w:r>
        <w:rPr>
          <w:rFonts w:hint="eastAsia" w:asciiTheme="minorEastAsia" w:hAnsiTheme="minorEastAsia" w:eastAsiaTheme="minorEastAsia"/>
          <w:color w:val="auto"/>
          <w:sz w:val="24"/>
          <w:szCs w:val="24"/>
          <w:u w:val="single"/>
        </w:rPr>
        <w:t xml:space="preserve">  按通用条款    </w:t>
      </w:r>
      <w:r>
        <w:rPr>
          <w:rFonts w:hint="eastAsia" w:asciiTheme="minorEastAsia" w:hAnsiTheme="minorEastAsia" w:eastAsiaTheme="minorEastAsia"/>
          <w:color w:val="auto"/>
          <w:sz w:val="24"/>
          <w:szCs w:val="24"/>
        </w:rPr>
        <w:t>。</w:t>
      </w:r>
    </w:p>
    <w:p>
      <w:pPr>
        <w:pStyle w:val="6"/>
        <w:spacing w:before="120" w:after="120" w:line="360" w:lineRule="auto"/>
        <w:ind w:firstLine="424" w:firstLineChars="177"/>
        <w:rPr>
          <w:rFonts w:asciiTheme="minorEastAsia" w:hAnsiTheme="minorEastAsia" w:eastAsiaTheme="minorEastAsia"/>
          <w:b w:val="0"/>
          <w:color w:val="auto"/>
          <w:sz w:val="24"/>
          <w:szCs w:val="24"/>
        </w:rPr>
      </w:pPr>
      <w:r>
        <w:rPr>
          <w:rFonts w:hint="eastAsia" w:asciiTheme="minorEastAsia" w:hAnsiTheme="minorEastAsia" w:eastAsiaTheme="minorEastAsia"/>
          <w:b w:val="0"/>
          <w:color w:val="auto"/>
          <w:sz w:val="24"/>
          <w:szCs w:val="24"/>
        </w:rPr>
        <w:t>5. 工程设计要求</w:t>
      </w:r>
    </w:p>
    <w:p>
      <w:pPr>
        <w:pStyle w:val="7"/>
        <w:spacing w:before="120" w:after="120" w:line="360" w:lineRule="auto"/>
        <w:ind w:firstLine="424" w:firstLineChars="177"/>
        <w:rPr>
          <w:rFonts w:asciiTheme="minorEastAsia" w:hAnsiTheme="minorEastAsia" w:eastAsiaTheme="minorEastAsia"/>
          <w:b w:val="0"/>
          <w:color w:val="auto"/>
          <w:sz w:val="24"/>
          <w:szCs w:val="24"/>
        </w:rPr>
      </w:pPr>
      <w:r>
        <w:rPr>
          <w:rFonts w:hint="eastAsia" w:asciiTheme="minorEastAsia" w:hAnsiTheme="minorEastAsia" w:eastAsiaTheme="minorEastAsia"/>
          <w:b w:val="0"/>
          <w:color w:val="auto"/>
          <w:sz w:val="24"/>
          <w:szCs w:val="24"/>
        </w:rPr>
        <w:t>5.1 工程设计一般要求</w:t>
      </w:r>
    </w:p>
    <w:p>
      <w:pPr>
        <w:spacing w:line="360" w:lineRule="auto"/>
        <w:ind w:firstLine="424" w:firstLineChars="177"/>
        <w:jc w:val="left"/>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5.1.2.1 工程设计的特殊标准或要求：。</w:t>
      </w:r>
    </w:p>
    <w:p>
      <w:pPr>
        <w:spacing w:line="360" w:lineRule="auto"/>
        <w:ind w:firstLine="424" w:firstLineChars="177"/>
        <w:jc w:val="left"/>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5.1.2.2 工程设计适用的技术标准：。</w:t>
      </w:r>
    </w:p>
    <w:p>
      <w:pPr>
        <w:spacing w:line="360" w:lineRule="auto"/>
        <w:ind w:firstLine="424" w:firstLineChars="177"/>
        <w:jc w:val="left"/>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rPr>
        <w:t>5.1.2.4 工程设计文件的</w:t>
      </w:r>
      <w:r>
        <w:rPr>
          <w:rFonts w:hint="eastAsia" w:asciiTheme="minorEastAsia" w:hAnsiTheme="minorEastAsia" w:eastAsiaTheme="minorEastAsia"/>
          <w:color w:val="auto"/>
          <w:kern w:val="0"/>
          <w:sz w:val="24"/>
          <w:szCs w:val="24"/>
        </w:rPr>
        <w:t>主要技术指标控制值</w:t>
      </w:r>
      <w:r>
        <w:rPr>
          <w:rFonts w:hint="eastAsia" w:asciiTheme="minorEastAsia" w:hAnsiTheme="minorEastAsia" w:eastAsiaTheme="minorEastAsia"/>
          <w:color w:val="auto"/>
          <w:sz w:val="24"/>
          <w:szCs w:val="24"/>
        </w:rPr>
        <w:t>及比例：</w:t>
      </w:r>
      <w:r>
        <w:rPr>
          <w:rFonts w:hint="eastAsia" w:asciiTheme="minorEastAsia" w:hAnsiTheme="minorEastAsia" w:eastAsiaTheme="minorEastAsia"/>
          <w:color w:val="auto"/>
          <w:sz w:val="24"/>
          <w:szCs w:val="24"/>
          <w:u w:val="single"/>
        </w:rPr>
        <w:t xml:space="preserve">在保证设计质量的前提下，全过程实行限额设计,在包含完整批复初步设计概算全部建设内容的前提下，必须按照政府主管部门确定的投资额度和要求严格控制，进行投资分解和分析，实行投资控制，严格控制方案设计阶段、初步设计阶段和施工图设计阶段及施工阶段等，确保工程概、预算不突破投资目标。 </w:t>
      </w:r>
    </w:p>
    <w:p>
      <w:pPr>
        <w:spacing w:line="360" w:lineRule="auto"/>
        <w:ind w:firstLine="480" w:firstLineChars="200"/>
        <w:jc w:val="left"/>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 xml:space="preserve">1）方案设计阶段：设计人依据设计方案成果编制造价估算文件，完成估算编制后，方案阶段成果应与可行性研究成果进行对比和分析，对超出限额的部分进行说明和分析，提出修改指引和意见并报送发包人。 </w:t>
      </w:r>
    </w:p>
    <w:p>
      <w:pPr>
        <w:spacing w:line="360" w:lineRule="auto"/>
        <w:ind w:firstLine="480" w:firstLineChars="200"/>
        <w:jc w:val="left"/>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2）初步设计阶段：初步设计过程中，设计人应对主要总规划、建筑方案、结构形式、工艺流程、主要设备指标等提出技术和经济方面的比选方案。用以制定专业设计原则进行方案设计及材料设备选型，以单位工程作为评价，做好专业内的平衡和调整，提出节约投资的措施。初步设计文件确定后，设计人对概算文件进行对比和分析，对超出限额的部分进行说明和分析，提出修改指引和意见供发包人参考。</w:t>
      </w:r>
    </w:p>
    <w:p>
      <w:pPr>
        <w:spacing w:line="360" w:lineRule="auto"/>
        <w:ind w:firstLine="480" w:firstLineChars="200"/>
        <w:jc w:val="left"/>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3）配合施工图阶段：</w:t>
      </w:r>
      <w:r>
        <w:rPr>
          <w:rFonts w:hint="eastAsia" w:ascii="宋体" w:hAnsi="宋体"/>
          <w:color w:val="auto"/>
          <w:sz w:val="24"/>
          <w:szCs w:val="24"/>
          <w:u w:val="single"/>
        </w:rPr>
        <w:t>配合</w:t>
      </w:r>
      <w:r>
        <w:rPr>
          <w:rFonts w:hint="eastAsia" w:asciiTheme="minorEastAsia" w:hAnsiTheme="minorEastAsia" w:eastAsiaTheme="minorEastAsia"/>
          <w:color w:val="auto"/>
          <w:sz w:val="24"/>
          <w:szCs w:val="24"/>
          <w:u w:val="single"/>
        </w:rPr>
        <w:t>施工图预算完成编制后，由造价咨询单位负责预算与初步设计概算进行对比和分析，设计人应对超出或需要调整的设计内容，在不影响工程功能水平、工程质量、工程运营维护成本、全寿命周期费用等情况下，配合进行设计优化，确保预算不超出设计限额和工程总投资额。</w:t>
      </w:r>
    </w:p>
    <w:p>
      <w:pPr>
        <w:spacing w:line="360" w:lineRule="auto"/>
        <w:ind w:firstLine="480" w:firstLineChars="200"/>
        <w:jc w:val="left"/>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u w:val="single"/>
        </w:rPr>
        <w:t>4）施工阶段</w:t>
      </w:r>
      <w:r>
        <w:rPr>
          <w:rFonts w:hint="eastAsia" w:ascii="宋体" w:hAnsi="宋体"/>
          <w:color w:val="auto"/>
          <w:sz w:val="24"/>
          <w:szCs w:val="24"/>
          <w:u w:val="single"/>
        </w:rPr>
        <w:t>配合</w:t>
      </w:r>
      <w:r>
        <w:rPr>
          <w:rFonts w:hint="eastAsia" w:asciiTheme="minorEastAsia" w:hAnsiTheme="minorEastAsia" w:eastAsiaTheme="minorEastAsia"/>
          <w:color w:val="auto"/>
          <w:sz w:val="24"/>
          <w:szCs w:val="24"/>
          <w:u w:val="single"/>
        </w:rPr>
        <w:t>：</w:t>
      </w:r>
      <w:r>
        <w:rPr>
          <w:rFonts w:hint="eastAsia" w:ascii="宋体" w:hAnsi="宋体"/>
          <w:color w:val="auto"/>
          <w:sz w:val="24"/>
          <w:szCs w:val="24"/>
          <w:u w:val="single"/>
        </w:rPr>
        <w:t>配合做好施工阶段设计变更管理</w:t>
      </w:r>
      <w:r>
        <w:rPr>
          <w:rFonts w:hint="eastAsia" w:ascii="宋体" w:hAnsi="宋体"/>
          <w:color w:val="auto"/>
          <w:sz w:val="24"/>
          <w:szCs w:val="24"/>
        </w:rPr>
        <w:t>。</w:t>
      </w:r>
      <w:r>
        <w:rPr>
          <w:rFonts w:hint="eastAsia" w:asciiTheme="minorEastAsia" w:hAnsiTheme="minorEastAsia" w:eastAsiaTheme="minorEastAsia"/>
          <w:color w:val="auto"/>
          <w:sz w:val="24"/>
          <w:szCs w:val="24"/>
        </w:rPr>
        <w:t xml:space="preserve">。 </w:t>
      </w:r>
    </w:p>
    <w:p>
      <w:pPr>
        <w:spacing w:line="360" w:lineRule="auto"/>
        <w:ind w:firstLine="480" w:firstLineChars="200"/>
        <w:jc w:val="left"/>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5.1.2.8其它要求：BIM应用技术要求</w:t>
      </w:r>
    </w:p>
    <w:p>
      <w:pPr>
        <w:spacing w:line="360" w:lineRule="auto"/>
        <w:ind w:firstLine="480" w:firstLineChars="200"/>
        <w:jc w:val="left"/>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（1）按《</w:t>
      </w:r>
      <w:r>
        <w:rPr>
          <w:rFonts w:hint="eastAsia" w:ascii="宋体" w:hAnsi="宋体"/>
          <w:color w:val="auto"/>
          <w:sz w:val="24"/>
          <w:szCs w:val="24"/>
          <w:u w:val="single"/>
        </w:rPr>
        <w:t>广东省代建项目管理局BIM实施管理标准及实施导则</w:t>
      </w:r>
      <w:r>
        <w:rPr>
          <w:rFonts w:hint="eastAsia" w:asciiTheme="minorEastAsia" w:hAnsiTheme="minorEastAsia" w:eastAsiaTheme="minorEastAsia"/>
          <w:color w:val="auto"/>
          <w:sz w:val="24"/>
          <w:szCs w:val="24"/>
          <w:u w:val="single"/>
        </w:rPr>
        <w:t>》要求，通过各专业施工图汇总来模拟建造实体，提前检查初步设计、施工图设计中存在的错、漏、碰、缺，减少返工、误工，实现工程多专业协同工作；</w:t>
      </w:r>
    </w:p>
    <w:p>
      <w:pPr>
        <w:spacing w:line="360" w:lineRule="auto"/>
        <w:ind w:firstLine="480" w:firstLineChars="200"/>
        <w:jc w:val="left"/>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（2）编制工程量清单，为工程招投标提供合理的参考依据；</w:t>
      </w:r>
    </w:p>
    <w:p>
      <w:pPr>
        <w:spacing w:line="360" w:lineRule="auto"/>
        <w:ind w:firstLine="480" w:firstLineChars="200"/>
        <w:jc w:val="left"/>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（3）施工阶段，通过模型与实际施工情况的对比，迅速了解项目进度及成本的偏差情况，评估变更可行性，实现对工程的精确管控；</w:t>
      </w:r>
    </w:p>
    <w:p>
      <w:pPr>
        <w:spacing w:line="360" w:lineRule="auto"/>
        <w:ind w:firstLine="480" w:firstLineChars="200"/>
        <w:jc w:val="left"/>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（4）用于运营维护管理工作。</w:t>
      </w:r>
    </w:p>
    <w:p>
      <w:pPr>
        <w:pStyle w:val="7"/>
        <w:spacing w:before="120" w:after="120" w:line="360" w:lineRule="auto"/>
        <w:ind w:firstLine="480" w:firstLineChars="200"/>
        <w:rPr>
          <w:rFonts w:asciiTheme="minorEastAsia" w:hAnsiTheme="minorEastAsia" w:eastAsiaTheme="minorEastAsia"/>
          <w:b w:val="0"/>
          <w:color w:val="auto"/>
          <w:sz w:val="24"/>
          <w:szCs w:val="24"/>
        </w:rPr>
      </w:pPr>
      <w:r>
        <w:rPr>
          <w:rFonts w:hint="eastAsia" w:asciiTheme="minorEastAsia" w:hAnsiTheme="minorEastAsia" w:eastAsiaTheme="minorEastAsia"/>
          <w:b w:val="0"/>
          <w:color w:val="auto"/>
          <w:sz w:val="24"/>
          <w:szCs w:val="24"/>
        </w:rPr>
        <w:t>5.3 工程设计文件的要求</w:t>
      </w:r>
    </w:p>
    <w:p>
      <w:pPr>
        <w:spacing w:line="360" w:lineRule="auto"/>
        <w:ind w:firstLine="480" w:firstLineChars="200"/>
        <w:jc w:val="left"/>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rPr>
        <w:t>5.3.3 工程设计文件深度规定：</w:t>
      </w:r>
      <w:r>
        <w:rPr>
          <w:rFonts w:hint="eastAsia" w:asciiTheme="minorEastAsia" w:hAnsiTheme="minorEastAsia" w:eastAsiaTheme="minorEastAsia"/>
          <w:color w:val="auto"/>
          <w:sz w:val="24"/>
          <w:szCs w:val="24"/>
          <w:u w:val="single"/>
        </w:rPr>
        <w:t xml:space="preserve">   需满足《建设工程设计文件编制深度的规定(2016年版)》、《市政公用工程设计文件编制深度的规定(2013年版)》，若设计期间国家执地新的标准，则按国家现行的相关规定执行    </w:t>
      </w:r>
      <w:r>
        <w:rPr>
          <w:rFonts w:hint="eastAsia" w:asciiTheme="minorEastAsia" w:hAnsiTheme="minorEastAsia" w:eastAsiaTheme="minorEastAsia"/>
          <w:color w:val="auto"/>
          <w:sz w:val="24"/>
          <w:szCs w:val="24"/>
        </w:rPr>
        <w:t xml:space="preserve">。 </w:t>
      </w:r>
    </w:p>
    <w:p>
      <w:pPr>
        <w:spacing w:line="360" w:lineRule="auto"/>
        <w:ind w:firstLine="480" w:firstLineChars="200"/>
        <w:jc w:val="left"/>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5.3.5 建筑物及其功能设施的合理使用寿命年限：</w:t>
      </w:r>
      <w:r>
        <w:rPr>
          <w:rFonts w:hint="eastAsia" w:asciiTheme="minorEastAsia" w:hAnsiTheme="minorEastAsia" w:eastAsiaTheme="minorEastAsia"/>
          <w:color w:val="auto"/>
          <w:sz w:val="24"/>
          <w:szCs w:val="24"/>
          <w:u w:val="single"/>
        </w:rPr>
        <w:t xml:space="preserve">  按国家现和行相关规定执行   </w:t>
      </w:r>
      <w:r>
        <w:rPr>
          <w:rFonts w:hint="eastAsia" w:asciiTheme="minorEastAsia" w:hAnsiTheme="minorEastAsia" w:eastAsiaTheme="minorEastAsia"/>
          <w:color w:val="auto"/>
          <w:sz w:val="24"/>
          <w:szCs w:val="24"/>
        </w:rPr>
        <w:t>。</w:t>
      </w:r>
    </w:p>
    <w:p>
      <w:pPr>
        <w:pStyle w:val="6"/>
        <w:spacing w:before="120" w:after="120" w:line="360" w:lineRule="auto"/>
        <w:ind w:firstLine="480" w:firstLineChars="200"/>
        <w:rPr>
          <w:rFonts w:asciiTheme="minorEastAsia" w:hAnsiTheme="minorEastAsia" w:eastAsiaTheme="minorEastAsia"/>
          <w:b w:val="0"/>
          <w:color w:val="auto"/>
          <w:sz w:val="24"/>
          <w:szCs w:val="24"/>
        </w:rPr>
      </w:pPr>
      <w:r>
        <w:rPr>
          <w:rFonts w:hint="eastAsia" w:asciiTheme="minorEastAsia" w:hAnsiTheme="minorEastAsia" w:eastAsiaTheme="minorEastAsia"/>
          <w:b w:val="0"/>
          <w:color w:val="auto"/>
          <w:sz w:val="24"/>
          <w:szCs w:val="24"/>
        </w:rPr>
        <w:t>6. 工程设计进度与周期</w:t>
      </w:r>
    </w:p>
    <w:p>
      <w:pPr>
        <w:pStyle w:val="7"/>
        <w:spacing w:before="120" w:after="120" w:line="360" w:lineRule="auto"/>
        <w:ind w:firstLine="480" w:firstLineChars="200"/>
        <w:rPr>
          <w:rFonts w:asciiTheme="minorEastAsia" w:hAnsiTheme="minorEastAsia" w:eastAsiaTheme="minorEastAsia"/>
          <w:b w:val="0"/>
          <w:color w:val="auto"/>
          <w:sz w:val="24"/>
          <w:szCs w:val="24"/>
        </w:rPr>
      </w:pPr>
      <w:r>
        <w:rPr>
          <w:rFonts w:hint="eastAsia" w:asciiTheme="minorEastAsia" w:hAnsiTheme="minorEastAsia" w:eastAsiaTheme="minorEastAsia"/>
          <w:b w:val="0"/>
          <w:color w:val="auto"/>
          <w:sz w:val="24"/>
          <w:szCs w:val="24"/>
        </w:rPr>
        <w:t>6.1 工程设计进度计划</w:t>
      </w:r>
    </w:p>
    <w:p>
      <w:pPr>
        <w:autoSpaceDE w:val="0"/>
        <w:autoSpaceDN w:val="0"/>
        <w:adjustRightInd w:val="0"/>
        <w:spacing w:line="360" w:lineRule="auto"/>
        <w:ind w:firstLine="480" w:firstLineChars="200"/>
        <w:jc w:val="left"/>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6.1.1 工程设计进度计划的编制</w:t>
      </w:r>
    </w:p>
    <w:p>
      <w:pPr>
        <w:pStyle w:val="30"/>
        <w:rPr>
          <w:rFonts w:asciiTheme="minorEastAsia" w:hAnsiTheme="minorEastAsia" w:eastAsiaTheme="minorEastAsia"/>
          <w:color w:val="auto"/>
          <w:sz w:val="24"/>
          <w:szCs w:val="24"/>
        </w:rPr>
      </w:pPr>
    </w:p>
    <w:p>
      <w:pPr>
        <w:pStyle w:val="5"/>
        <w:keepNext w:val="0"/>
        <w:keepLines w:val="0"/>
        <w:spacing w:before="0" w:after="0" w:line="360" w:lineRule="auto"/>
        <w:ind w:left="480" w:firstLine="480"/>
        <w:jc w:val="center"/>
        <w:rPr>
          <w:rFonts w:hAnsi="宋体"/>
          <w:color w:val="auto"/>
          <w:sz w:val="21"/>
          <w:szCs w:val="21"/>
        </w:rPr>
        <w:sectPr>
          <w:footerReference r:id="rId3" w:type="default"/>
          <w:pgSz w:w="11910" w:h="16840"/>
          <w:pgMar w:top="1140" w:right="1000" w:bottom="1160" w:left="1020" w:header="0" w:footer="973" w:gutter="0"/>
          <w:pgNumType w:start="1"/>
          <w:cols w:space="720" w:num="1"/>
        </w:sectPr>
      </w:pPr>
      <w:bookmarkStart w:id="169" w:name="_Toc30381"/>
      <w:bookmarkStart w:id="170" w:name="_Toc12047"/>
    </w:p>
    <w:p>
      <w:pPr>
        <w:pStyle w:val="5"/>
        <w:keepNext w:val="0"/>
        <w:keepLines w:val="0"/>
        <w:spacing w:before="0" w:after="0" w:line="360" w:lineRule="auto"/>
        <w:ind w:left="480" w:firstLine="480"/>
        <w:jc w:val="center"/>
        <w:rPr>
          <w:color w:val="auto"/>
          <w:sz w:val="21"/>
          <w:szCs w:val="21"/>
        </w:rPr>
      </w:pPr>
      <w:r>
        <w:rPr>
          <w:rFonts w:hint="eastAsia" w:hAnsi="宋体"/>
          <w:color w:val="auto"/>
          <w:sz w:val="21"/>
          <w:szCs w:val="21"/>
        </w:rPr>
        <w:t>设计成果文件提交进度要求：</w:t>
      </w:r>
      <w:bookmarkEnd w:id="169"/>
      <w:bookmarkEnd w:id="170"/>
    </w:p>
    <w:tbl>
      <w:tblPr>
        <w:tblStyle w:val="55"/>
        <w:tblW w:w="89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3824"/>
        <w:gridCol w:w="4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blHeader/>
          <w:jc w:val="center"/>
        </w:trPr>
        <w:tc>
          <w:tcPr>
            <w:tcW w:w="817" w:type="dxa"/>
            <w:noWrap/>
            <w:vAlign w:val="center"/>
          </w:tcPr>
          <w:p>
            <w:pPr>
              <w:spacing w:line="360" w:lineRule="auto"/>
              <w:jc w:val="center"/>
              <w:rPr>
                <w:rFonts w:ascii="宋体"/>
                <w:b/>
                <w:color w:val="auto"/>
                <w:szCs w:val="21"/>
              </w:rPr>
            </w:pPr>
            <w:r>
              <w:rPr>
                <w:rFonts w:hint="eastAsia" w:ascii="宋体"/>
                <w:b/>
                <w:color w:val="auto"/>
                <w:szCs w:val="21"/>
              </w:rPr>
              <w:t>序号</w:t>
            </w:r>
          </w:p>
        </w:tc>
        <w:tc>
          <w:tcPr>
            <w:tcW w:w="3824" w:type="dxa"/>
            <w:noWrap/>
            <w:vAlign w:val="center"/>
          </w:tcPr>
          <w:p>
            <w:pPr>
              <w:spacing w:line="360" w:lineRule="auto"/>
              <w:jc w:val="center"/>
              <w:rPr>
                <w:rFonts w:ascii="宋体"/>
                <w:b/>
                <w:color w:val="auto"/>
                <w:szCs w:val="21"/>
              </w:rPr>
            </w:pPr>
            <w:r>
              <w:rPr>
                <w:rFonts w:hint="eastAsia" w:ascii="宋体"/>
                <w:b/>
                <w:color w:val="auto"/>
                <w:szCs w:val="21"/>
              </w:rPr>
              <w:t>设计文件名称</w:t>
            </w:r>
          </w:p>
        </w:tc>
        <w:tc>
          <w:tcPr>
            <w:tcW w:w="4292" w:type="dxa"/>
            <w:noWrap/>
            <w:vAlign w:val="center"/>
          </w:tcPr>
          <w:p>
            <w:pPr>
              <w:spacing w:line="360" w:lineRule="auto"/>
              <w:jc w:val="center"/>
              <w:rPr>
                <w:rFonts w:ascii="宋体"/>
                <w:b/>
                <w:color w:val="auto"/>
                <w:szCs w:val="21"/>
              </w:rPr>
            </w:pPr>
            <w:r>
              <w:rPr>
                <w:rFonts w:hint="eastAsia" w:ascii="宋体"/>
                <w:b/>
                <w:color w:val="auto"/>
                <w:szCs w:val="21"/>
              </w:rPr>
              <w:t>提交日期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817" w:type="dxa"/>
            <w:noWrap/>
            <w:vAlign w:val="center"/>
          </w:tcPr>
          <w:p>
            <w:pPr>
              <w:spacing w:line="360" w:lineRule="auto"/>
              <w:jc w:val="center"/>
              <w:rPr>
                <w:rFonts w:ascii="宋体"/>
                <w:b/>
                <w:color w:val="auto"/>
                <w:szCs w:val="21"/>
              </w:rPr>
            </w:pPr>
            <w:r>
              <w:rPr>
                <w:rFonts w:hint="eastAsia" w:ascii="宋体"/>
                <w:b/>
                <w:color w:val="auto"/>
                <w:szCs w:val="21"/>
              </w:rPr>
              <w:t>一</w:t>
            </w:r>
          </w:p>
        </w:tc>
        <w:tc>
          <w:tcPr>
            <w:tcW w:w="3824" w:type="dxa"/>
            <w:noWrap/>
            <w:vAlign w:val="center"/>
          </w:tcPr>
          <w:p>
            <w:pPr>
              <w:spacing w:line="360" w:lineRule="auto"/>
              <w:jc w:val="left"/>
              <w:rPr>
                <w:rFonts w:ascii="宋体"/>
                <w:b/>
                <w:color w:val="auto"/>
                <w:szCs w:val="21"/>
              </w:rPr>
            </w:pPr>
            <w:r>
              <w:rPr>
                <w:rFonts w:hint="eastAsia" w:ascii="宋体" w:hAnsi="宋体"/>
                <w:b/>
                <w:color w:val="auto"/>
                <w:szCs w:val="21"/>
              </w:rPr>
              <w:t>方案优化阶段成果文件</w:t>
            </w:r>
          </w:p>
        </w:tc>
        <w:tc>
          <w:tcPr>
            <w:tcW w:w="4292" w:type="dxa"/>
            <w:noWrap/>
            <w:vAlign w:val="center"/>
          </w:tcPr>
          <w:p>
            <w:pPr>
              <w:spacing w:line="360" w:lineRule="auto"/>
              <w:jc w:val="center"/>
              <w:rPr>
                <w:rFonts w:ascii="宋体"/>
                <w:b/>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817" w:type="dxa"/>
            <w:noWrap/>
            <w:vAlign w:val="center"/>
          </w:tcPr>
          <w:p>
            <w:pPr>
              <w:spacing w:line="360" w:lineRule="auto"/>
              <w:jc w:val="center"/>
              <w:rPr>
                <w:rFonts w:ascii="宋体"/>
                <w:color w:val="auto"/>
                <w:szCs w:val="21"/>
              </w:rPr>
            </w:pPr>
            <w:r>
              <w:rPr>
                <w:rFonts w:hint="eastAsia" w:ascii="宋体"/>
                <w:color w:val="auto"/>
                <w:szCs w:val="21"/>
              </w:rPr>
              <w:t>1</w:t>
            </w:r>
          </w:p>
        </w:tc>
        <w:tc>
          <w:tcPr>
            <w:tcW w:w="3824" w:type="dxa"/>
            <w:noWrap/>
            <w:vAlign w:val="center"/>
          </w:tcPr>
          <w:p>
            <w:pPr>
              <w:spacing w:line="360" w:lineRule="auto"/>
              <w:jc w:val="left"/>
              <w:rPr>
                <w:rFonts w:ascii="宋体"/>
                <w:color w:val="auto"/>
                <w:szCs w:val="21"/>
              </w:rPr>
            </w:pPr>
            <w:r>
              <w:rPr>
                <w:rFonts w:hint="eastAsia" w:ascii="宋体" w:hAnsi="宋体"/>
                <w:color w:val="auto"/>
                <w:szCs w:val="21"/>
              </w:rPr>
              <w:t>深化设计方案文件</w:t>
            </w:r>
          </w:p>
        </w:tc>
        <w:tc>
          <w:tcPr>
            <w:tcW w:w="4292" w:type="dxa"/>
            <w:noWrap/>
            <w:vAlign w:val="center"/>
          </w:tcPr>
          <w:p>
            <w:pPr>
              <w:spacing w:line="360" w:lineRule="auto"/>
              <w:jc w:val="center"/>
              <w:rPr>
                <w:rFonts w:ascii="宋体" w:hAnsi="宋体"/>
                <w:color w:val="auto"/>
                <w:szCs w:val="21"/>
              </w:rPr>
            </w:pPr>
            <w:r>
              <w:rPr>
                <w:rFonts w:hint="eastAsia" w:ascii="宋体"/>
                <w:color w:val="auto"/>
                <w:szCs w:val="21"/>
              </w:rPr>
              <w:t>中标通知书发出后  日历天内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817" w:type="dxa"/>
            <w:noWrap/>
            <w:vAlign w:val="center"/>
          </w:tcPr>
          <w:p>
            <w:pPr>
              <w:spacing w:line="360" w:lineRule="auto"/>
              <w:jc w:val="center"/>
              <w:rPr>
                <w:rFonts w:ascii="宋体"/>
                <w:color w:val="auto"/>
                <w:szCs w:val="21"/>
              </w:rPr>
            </w:pPr>
            <w:r>
              <w:rPr>
                <w:rFonts w:hint="eastAsia" w:ascii="宋体"/>
                <w:color w:val="auto"/>
                <w:szCs w:val="21"/>
              </w:rPr>
              <w:t>2</w:t>
            </w:r>
          </w:p>
        </w:tc>
        <w:tc>
          <w:tcPr>
            <w:tcW w:w="3824" w:type="dxa"/>
            <w:noWrap/>
            <w:vAlign w:val="center"/>
          </w:tcPr>
          <w:p>
            <w:pPr>
              <w:pStyle w:val="5"/>
              <w:keepNext w:val="0"/>
              <w:keepLines w:val="0"/>
              <w:spacing w:before="0" w:after="0" w:line="360" w:lineRule="auto"/>
              <w:ind w:left="1" w:firstLine="29" w:firstLineChars="14"/>
              <w:jc w:val="left"/>
              <w:rPr>
                <w:b w:val="0"/>
                <w:color w:val="auto"/>
                <w:sz w:val="21"/>
                <w:szCs w:val="21"/>
              </w:rPr>
            </w:pPr>
            <w:bookmarkStart w:id="171" w:name="_Toc26598"/>
            <w:bookmarkStart w:id="172" w:name="_Toc14869"/>
            <w:r>
              <w:rPr>
                <w:rFonts w:hint="eastAsia" w:hAnsi="宋体"/>
                <w:b w:val="0"/>
                <w:color w:val="auto"/>
                <w:sz w:val="21"/>
                <w:szCs w:val="21"/>
              </w:rPr>
              <w:t>设计方案修改文件</w:t>
            </w:r>
            <w:bookmarkEnd w:id="171"/>
            <w:bookmarkEnd w:id="172"/>
          </w:p>
        </w:tc>
        <w:tc>
          <w:tcPr>
            <w:tcW w:w="4292" w:type="dxa"/>
            <w:noWrap/>
            <w:vAlign w:val="center"/>
          </w:tcPr>
          <w:p>
            <w:pPr>
              <w:spacing w:line="360" w:lineRule="auto"/>
              <w:jc w:val="center"/>
              <w:rPr>
                <w:rFonts w:ascii="宋体" w:hAnsi="宋体"/>
                <w:color w:val="auto"/>
                <w:szCs w:val="21"/>
              </w:rPr>
            </w:pPr>
            <w:r>
              <w:rPr>
                <w:rFonts w:hint="eastAsia" w:ascii="宋体"/>
                <w:color w:val="auto"/>
                <w:szCs w:val="21"/>
              </w:rPr>
              <w:t>甲方明确方案完善意见后 日历天内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17" w:type="dxa"/>
            <w:noWrap/>
            <w:vAlign w:val="center"/>
          </w:tcPr>
          <w:p>
            <w:pPr>
              <w:spacing w:line="360" w:lineRule="auto"/>
              <w:jc w:val="center"/>
              <w:rPr>
                <w:rFonts w:ascii="宋体"/>
                <w:b/>
                <w:color w:val="auto"/>
                <w:szCs w:val="21"/>
              </w:rPr>
            </w:pPr>
            <w:r>
              <w:rPr>
                <w:rFonts w:hint="eastAsia" w:ascii="宋体"/>
                <w:b/>
                <w:color w:val="auto"/>
                <w:szCs w:val="21"/>
              </w:rPr>
              <w:t>二</w:t>
            </w:r>
          </w:p>
        </w:tc>
        <w:tc>
          <w:tcPr>
            <w:tcW w:w="3824" w:type="dxa"/>
            <w:noWrap/>
            <w:vAlign w:val="center"/>
          </w:tcPr>
          <w:p>
            <w:pPr>
              <w:spacing w:line="360" w:lineRule="auto"/>
              <w:jc w:val="left"/>
              <w:rPr>
                <w:rFonts w:ascii="宋体"/>
                <w:b/>
                <w:color w:val="auto"/>
                <w:szCs w:val="21"/>
              </w:rPr>
            </w:pPr>
            <w:r>
              <w:rPr>
                <w:rFonts w:hint="eastAsia" w:ascii="宋体"/>
                <w:b/>
                <w:color w:val="auto"/>
                <w:szCs w:val="21"/>
              </w:rPr>
              <w:t>初步设计</w:t>
            </w:r>
            <w:r>
              <w:rPr>
                <w:rFonts w:hint="eastAsia" w:ascii="宋体" w:hAnsi="宋体"/>
                <w:b/>
                <w:color w:val="auto"/>
                <w:szCs w:val="21"/>
              </w:rPr>
              <w:t>阶段成果文件</w:t>
            </w:r>
          </w:p>
        </w:tc>
        <w:tc>
          <w:tcPr>
            <w:tcW w:w="4292" w:type="dxa"/>
            <w:noWrap/>
            <w:vAlign w:val="center"/>
          </w:tcPr>
          <w:p>
            <w:pPr>
              <w:spacing w:line="360" w:lineRule="auto"/>
              <w:jc w:val="center"/>
              <w:rPr>
                <w:rFonts w:ascii="宋体" w:hAnsi="宋体"/>
                <w:b/>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817" w:type="dxa"/>
            <w:noWrap/>
            <w:vAlign w:val="center"/>
          </w:tcPr>
          <w:p>
            <w:pPr>
              <w:spacing w:line="360" w:lineRule="auto"/>
              <w:jc w:val="center"/>
              <w:rPr>
                <w:rFonts w:ascii="宋体"/>
                <w:color w:val="auto"/>
                <w:szCs w:val="21"/>
              </w:rPr>
            </w:pPr>
            <w:r>
              <w:rPr>
                <w:rFonts w:hint="eastAsia" w:ascii="宋体"/>
                <w:color w:val="auto"/>
                <w:szCs w:val="21"/>
              </w:rPr>
              <w:t>1</w:t>
            </w:r>
          </w:p>
        </w:tc>
        <w:tc>
          <w:tcPr>
            <w:tcW w:w="3824" w:type="dxa"/>
            <w:noWrap/>
            <w:vAlign w:val="center"/>
          </w:tcPr>
          <w:p>
            <w:pPr>
              <w:spacing w:line="360" w:lineRule="auto"/>
              <w:jc w:val="left"/>
              <w:rPr>
                <w:rFonts w:ascii="宋体"/>
                <w:color w:val="auto"/>
                <w:szCs w:val="21"/>
              </w:rPr>
            </w:pPr>
            <w:r>
              <w:rPr>
                <w:rFonts w:hint="eastAsia" w:ascii="宋体"/>
                <w:color w:val="auto"/>
                <w:szCs w:val="21"/>
              </w:rPr>
              <w:t>建筑专业初步设计图纸（达到施工图深度）及配套文件、概算编制</w:t>
            </w:r>
          </w:p>
        </w:tc>
        <w:tc>
          <w:tcPr>
            <w:tcW w:w="4292" w:type="dxa"/>
            <w:noWrap/>
            <w:vAlign w:val="center"/>
          </w:tcPr>
          <w:p>
            <w:pPr>
              <w:spacing w:line="360" w:lineRule="auto"/>
              <w:jc w:val="center"/>
              <w:rPr>
                <w:rFonts w:ascii="宋体" w:hAnsi="宋体"/>
                <w:color w:val="auto"/>
                <w:szCs w:val="21"/>
              </w:rPr>
            </w:pPr>
            <w:r>
              <w:rPr>
                <w:rFonts w:hint="eastAsia" w:ascii="宋体" w:hAnsi="宋体"/>
                <w:color w:val="auto"/>
                <w:szCs w:val="21"/>
              </w:rPr>
              <w:t>设计方案经甲方确认后  日历天</w:t>
            </w:r>
            <w:r>
              <w:rPr>
                <w:rFonts w:hint="eastAsia" w:ascii="宋体"/>
                <w:color w:val="auto"/>
                <w:szCs w:val="21"/>
              </w:rPr>
              <w:t>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817" w:type="dxa"/>
            <w:noWrap/>
            <w:vAlign w:val="center"/>
          </w:tcPr>
          <w:p>
            <w:pPr>
              <w:spacing w:line="360" w:lineRule="auto"/>
              <w:jc w:val="center"/>
              <w:rPr>
                <w:rFonts w:ascii="宋体"/>
                <w:color w:val="auto"/>
                <w:szCs w:val="21"/>
              </w:rPr>
            </w:pPr>
            <w:r>
              <w:rPr>
                <w:rFonts w:hint="eastAsia" w:ascii="宋体"/>
                <w:color w:val="auto"/>
                <w:szCs w:val="21"/>
              </w:rPr>
              <w:t>2</w:t>
            </w:r>
          </w:p>
        </w:tc>
        <w:tc>
          <w:tcPr>
            <w:tcW w:w="3824" w:type="dxa"/>
            <w:noWrap/>
            <w:vAlign w:val="center"/>
          </w:tcPr>
          <w:p>
            <w:pPr>
              <w:spacing w:line="360" w:lineRule="auto"/>
              <w:jc w:val="left"/>
              <w:rPr>
                <w:rFonts w:ascii="宋体"/>
                <w:color w:val="auto"/>
                <w:szCs w:val="21"/>
              </w:rPr>
            </w:pPr>
            <w:r>
              <w:rPr>
                <w:rFonts w:hint="eastAsia" w:ascii="宋体"/>
                <w:color w:val="auto"/>
                <w:szCs w:val="21"/>
              </w:rPr>
              <w:t>其它专业初步设计图纸（达到施工图深度）及配套文件、概算编制</w:t>
            </w:r>
          </w:p>
        </w:tc>
        <w:tc>
          <w:tcPr>
            <w:tcW w:w="4292" w:type="dxa"/>
            <w:noWrap/>
            <w:vAlign w:val="center"/>
          </w:tcPr>
          <w:p>
            <w:pPr>
              <w:spacing w:line="360" w:lineRule="auto"/>
              <w:jc w:val="center"/>
              <w:rPr>
                <w:rFonts w:ascii="宋体"/>
                <w:color w:val="auto"/>
                <w:szCs w:val="21"/>
              </w:rPr>
            </w:pPr>
            <w:r>
              <w:rPr>
                <w:rFonts w:hint="eastAsia" w:ascii="宋体"/>
                <w:color w:val="auto"/>
                <w:szCs w:val="21"/>
              </w:rPr>
              <w:t>收到甲方通知后 日历天内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7" w:type="dxa"/>
            <w:noWrap/>
            <w:vAlign w:val="center"/>
          </w:tcPr>
          <w:p>
            <w:pPr>
              <w:spacing w:line="360" w:lineRule="auto"/>
              <w:jc w:val="center"/>
              <w:rPr>
                <w:rFonts w:ascii="宋体" w:hAnsi="宋体"/>
                <w:color w:val="auto"/>
                <w:szCs w:val="21"/>
              </w:rPr>
            </w:pPr>
            <w:r>
              <w:rPr>
                <w:rFonts w:hint="eastAsia" w:ascii="宋体" w:hAnsi="宋体"/>
                <w:color w:val="auto"/>
                <w:szCs w:val="21"/>
              </w:rPr>
              <w:t>3</w:t>
            </w:r>
          </w:p>
        </w:tc>
        <w:tc>
          <w:tcPr>
            <w:tcW w:w="3824" w:type="dxa"/>
            <w:noWrap/>
            <w:vAlign w:val="center"/>
          </w:tcPr>
          <w:p>
            <w:pPr>
              <w:spacing w:line="360" w:lineRule="auto"/>
              <w:jc w:val="left"/>
              <w:rPr>
                <w:rFonts w:ascii="宋体" w:hAnsi="宋体"/>
                <w:color w:val="auto"/>
                <w:szCs w:val="21"/>
              </w:rPr>
            </w:pPr>
            <w:r>
              <w:rPr>
                <w:rFonts w:hint="eastAsia" w:ascii="宋体" w:hAnsi="宋体"/>
                <w:color w:val="auto"/>
                <w:szCs w:val="21"/>
              </w:rPr>
              <w:t>初步设计修改文件</w:t>
            </w:r>
          </w:p>
        </w:tc>
        <w:tc>
          <w:tcPr>
            <w:tcW w:w="4292" w:type="dxa"/>
            <w:noWrap/>
            <w:vAlign w:val="center"/>
          </w:tcPr>
          <w:p>
            <w:pPr>
              <w:spacing w:line="360" w:lineRule="auto"/>
              <w:jc w:val="center"/>
              <w:rPr>
                <w:rFonts w:ascii="宋体" w:hAnsi="宋体"/>
                <w:color w:val="auto"/>
                <w:szCs w:val="21"/>
              </w:rPr>
            </w:pPr>
            <w:r>
              <w:rPr>
                <w:rFonts w:hint="eastAsia" w:ascii="宋体" w:hAnsi="宋体"/>
                <w:color w:val="auto"/>
                <w:szCs w:val="21"/>
              </w:rPr>
              <w:t>初步设计专家评审后  日历天内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7" w:type="dxa"/>
            <w:noWrap/>
            <w:vAlign w:val="center"/>
          </w:tcPr>
          <w:p>
            <w:pPr>
              <w:spacing w:line="360" w:lineRule="auto"/>
              <w:jc w:val="center"/>
              <w:rPr>
                <w:rFonts w:ascii="宋体" w:hAnsi="宋体"/>
                <w:color w:val="auto"/>
                <w:szCs w:val="21"/>
              </w:rPr>
            </w:pPr>
            <w:r>
              <w:rPr>
                <w:rFonts w:hint="eastAsia" w:ascii="宋体" w:hAnsi="宋体"/>
                <w:color w:val="auto"/>
                <w:szCs w:val="21"/>
              </w:rPr>
              <w:t>4</w:t>
            </w:r>
          </w:p>
        </w:tc>
        <w:tc>
          <w:tcPr>
            <w:tcW w:w="3824" w:type="dxa"/>
            <w:noWrap/>
            <w:vAlign w:val="center"/>
          </w:tcPr>
          <w:p>
            <w:pPr>
              <w:spacing w:line="360" w:lineRule="auto"/>
              <w:jc w:val="left"/>
              <w:rPr>
                <w:rFonts w:ascii="宋体" w:hAnsi="宋体"/>
                <w:color w:val="auto"/>
                <w:szCs w:val="21"/>
              </w:rPr>
            </w:pPr>
            <w:r>
              <w:rPr>
                <w:rFonts w:hint="eastAsia" w:ascii="宋体" w:hAnsi="宋体"/>
                <w:color w:val="auto"/>
                <w:szCs w:val="21"/>
              </w:rPr>
              <w:t>初步设计概算</w:t>
            </w:r>
          </w:p>
        </w:tc>
        <w:tc>
          <w:tcPr>
            <w:tcW w:w="4292" w:type="dxa"/>
            <w:noWrap/>
            <w:vAlign w:val="center"/>
          </w:tcPr>
          <w:p>
            <w:pPr>
              <w:spacing w:line="360" w:lineRule="auto"/>
              <w:jc w:val="center"/>
              <w:rPr>
                <w:rFonts w:ascii="宋体" w:hAnsi="宋体"/>
                <w:color w:val="auto"/>
                <w:szCs w:val="21"/>
              </w:rPr>
            </w:pPr>
            <w:r>
              <w:rPr>
                <w:rFonts w:hint="eastAsia" w:ascii="宋体" w:hAnsi="宋体"/>
                <w:color w:val="auto"/>
                <w:szCs w:val="21"/>
                <w:u w:val="single"/>
              </w:rPr>
              <w:t>初步设计文件修改完善后  个日历天内完成初步设计概算的修改完善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817" w:type="dxa"/>
            <w:noWrap/>
            <w:vAlign w:val="center"/>
          </w:tcPr>
          <w:p>
            <w:pPr>
              <w:spacing w:line="360" w:lineRule="auto"/>
              <w:jc w:val="center"/>
              <w:rPr>
                <w:rFonts w:ascii="宋体"/>
                <w:color w:val="auto"/>
                <w:szCs w:val="21"/>
              </w:rPr>
            </w:pPr>
            <w:r>
              <w:rPr>
                <w:rFonts w:hint="eastAsia" w:ascii="宋体"/>
                <w:color w:val="auto"/>
                <w:szCs w:val="21"/>
              </w:rPr>
              <w:t>5</w:t>
            </w:r>
          </w:p>
        </w:tc>
        <w:tc>
          <w:tcPr>
            <w:tcW w:w="3824" w:type="dxa"/>
            <w:noWrap/>
            <w:vAlign w:val="center"/>
          </w:tcPr>
          <w:p>
            <w:pPr>
              <w:spacing w:line="360" w:lineRule="auto"/>
              <w:jc w:val="left"/>
              <w:rPr>
                <w:rFonts w:ascii="宋体" w:hAnsi="宋体"/>
                <w:color w:val="auto"/>
                <w:szCs w:val="21"/>
              </w:rPr>
            </w:pPr>
            <w:r>
              <w:rPr>
                <w:rFonts w:hint="eastAsia" w:ascii="宋体" w:hAnsi="宋体"/>
                <w:color w:val="auto"/>
                <w:szCs w:val="21"/>
              </w:rPr>
              <w:t>规划报建文件</w:t>
            </w:r>
          </w:p>
        </w:tc>
        <w:tc>
          <w:tcPr>
            <w:tcW w:w="4292" w:type="dxa"/>
            <w:noWrap/>
            <w:vAlign w:val="center"/>
          </w:tcPr>
          <w:p>
            <w:pPr>
              <w:spacing w:line="360" w:lineRule="auto"/>
              <w:jc w:val="center"/>
              <w:rPr>
                <w:rFonts w:ascii="宋体" w:hAnsi="宋体"/>
                <w:color w:val="auto"/>
                <w:szCs w:val="21"/>
              </w:rPr>
            </w:pPr>
            <w:r>
              <w:rPr>
                <w:rFonts w:hint="eastAsia" w:ascii="宋体" w:hAnsi="宋体"/>
                <w:color w:val="auto"/>
                <w:szCs w:val="21"/>
              </w:rPr>
              <w:t>建筑方案确定后  日历天内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817" w:type="dxa"/>
            <w:noWrap/>
            <w:vAlign w:val="center"/>
          </w:tcPr>
          <w:p>
            <w:pPr>
              <w:spacing w:line="360" w:lineRule="auto"/>
              <w:jc w:val="center"/>
              <w:rPr>
                <w:rFonts w:ascii="宋体"/>
                <w:color w:val="auto"/>
                <w:szCs w:val="21"/>
              </w:rPr>
            </w:pPr>
            <w:r>
              <w:rPr>
                <w:rFonts w:hint="eastAsia" w:ascii="宋体"/>
                <w:color w:val="auto"/>
                <w:szCs w:val="21"/>
              </w:rPr>
              <w:t>6</w:t>
            </w:r>
          </w:p>
        </w:tc>
        <w:tc>
          <w:tcPr>
            <w:tcW w:w="3824" w:type="dxa"/>
            <w:noWrap/>
            <w:vAlign w:val="center"/>
          </w:tcPr>
          <w:p>
            <w:pPr>
              <w:spacing w:line="360" w:lineRule="auto"/>
              <w:jc w:val="left"/>
              <w:rPr>
                <w:rFonts w:ascii="宋体"/>
                <w:color w:val="auto"/>
                <w:szCs w:val="21"/>
              </w:rPr>
            </w:pPr>
            <w:r>
              <w:rPr>
                <w:rFonts w:hint="eastAsia" w:ascii="宋体" w:hAnsi="宋体"/>
                <w:color w:val="auto"/>
                <w:szCs w:val="21"/>
              </w:rPr>
              <w:t>基坑开挖及支护项目设计文件</w:t>
            </w:r>
          </w:p>
        </w:tc>
        <w:tc>
          <w:tcPr>
            <w:tcW w:w="4292" w:type="dxa"/>
            <w:noWrap/>
            <w:vAlign w:val="center"/>
          </w:tcPr>
          <w:p>
            <w:pPr>
              <w:jc w:val="left"/>
              <w:rPr>
                <w:rFonts w:ascii="宋体" w:hAnsi="宋体"/>
                <w:color w:val="auto"/>
                <w:szCs w:val="21"/>
              </w:rPr>
            </w:pPr>
            <w:r>
              <w:rPr>
                <w:rFonts w:hint="eastAsia" w:ascii="宋体" w:hAnsi="宋体"/>
                <w:color w:val="auto"/>
                <w:szCs w:val="21"/>
              </w:rPr>
              <w:t>初步设计经审查通过后 日历天内提交基坑支护设计文件，召开基坑支护设计专家评审会议后 20 日历天修改完善基坑开挖及支护施工设计文件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7" w:type="dxa"/>
            <w:noWrap/>
            <w:vAlign w:val="center"/>
          </w:tcPr>
          <w:p>
            <w:pPr>
              <w:spacing w:line="360" w:lineRule="auto"/>
              <w:jc w:val="center"/>
              <w:rPr>
                <w:rFonts w:ascii="宋体"/>
                <w:b/>
                <w:color w:val="auto"/>
                <w:szCs w:val="21"/>
              </w:rPr>
            </w:pPr>
            <w:r>
              <w:rPr>
                <w:rFonts w:hint="eastAsia" w:ascii="宋体"/>
                <w:b/>
                <w:color w:val="auto"/>
                <w:szCs w:val="21"/>
              </w:rPr>
              <w:t>三</w:t>
            </w:r>
          </w:p>
        </w:tc>
        <w:tc>
          <w:tcPr>
            <w:tcW w:w="3824" w:type="dxa"/>
            <w:noWrap/>
            <w:vAlign w:val="center"/>
          </w:tcPr>
          <w:p>
            <w:pPr>
              <w:spacing w:line="360" w:lineRule="auto"/>
              <w:jc w:val="left"/>
              <w:rPr>
                <w:rFonts w:ascii="宋体"/>
                <w:b/>
                <w:color w:val="auto"/>
                <w:szCs w:val="21"/>
              </w:rPr>
            </w:pPr>
            <w:r>
              <w:rPr>
                <w:rFonts w:hint="eastAsia" w:ascii="宋体"/>
                <w:b/>
                <w:color w:val="auto"/>
                <w:szCs w:val="21"/>
              </w:rPr>
              <w:t>施工图纸设计阶段</w:t>
            </w:r>
          </w:p>
        </w:tc>
        <w:tc>
          <w:tcPr>
            <w:tcW w:w="4292" w:type="dxa"/>
            <w:noWrap/>
            <w:vAlign w:val="center"/>
          </w:tcPr>
          <w:p>
            <w:pPr>
              <w:jc w:val="center"/>
              <w:rPr>
                <w:rFonts w:ascii="宋体"/>
                <w:b/>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17" w:type="dxa"/>
            <w:noWrap/>
            <w:vAlign w:val="center"/>
          </w:tcPr>
          <w:p>
            <w:pPr>
              <w:spacing w:line="360" w:lineRule="auto"/>
              <w:jc w:val="center"/>
              <w:rPr>
                <w:rFonts w:ascii="宋体"/>
                <w:b/>
                <w:color w:val="auto"/>
                <w:szCs w:val="21"/>
              </w:rPr>
            </w:pPr>
            <w:r>
              <w:rPr>
                <w:rFonts w:hint="eastAsia" w:ascii="宋体"/>
                <w:b/>
                <w:color w:val="auto"/>
                <w:szCs w:val="21"/>
              </w:rPr>
              <w:t>1</w:t>
            </w:r>
          </w:p>
        </w:tc>
        <w:tc>
          <w:tcPr>
            <w:tcW w:w="3824" w:type="dxa"/>
            <w:noWrap/>
            <w:vAlign w:val="center"/>
          </w:tcPr>
          <w:p>
            <w:pPr>
              <w:spacing w:line="360" w:lineRule="auto"/>
              <w:jc w:val="left"/>
              <w:rPr>
                <w:rFonts w:ascii="宋体"/>
                <w:color w:val="auto"/>
                <w:szCs w:val="21"/>
              </w:rPr>
            </w:pPr>
            <w:r>
              <w:rPr>
                <w:rFonts w:hint="eastAsia" w:ascii="宋体"/>
                <w:color w:val="auto"/>
                <w:szCs w:val="21"/>
              </w:rPr>
              <w:t>施工图纸复查意见</w:t>
            </w:r>
          </w:p>
        </w:tc>
        <w:tc>
          <w:tcPr>
            <w:tcW w:w="4292" w:type="dxa"/>
            <w:noWrap/>
            <w:vAlign w:val="center"/>
          </w:tcPr>
          <w:p>
            <w:pPr>
              <w:spacing w:line="360" w:lineRule="auto"/>
              <w:jc w:val="center"/>
              <w:rPr>
                <w:rFonts w:ascii="宋体"/>
                <w:color w:val="auto"/>
                <w:szCs w:val="21"/>
              </w:rPr>
            </w:pPr>
            <w:r>
              <w:rPr>
                <w:rFonts w:hint="eastAsia" w:ascii="宋体"/>
                <w:color w:val="auto"/>
                <w:szCs w:val="21"/>
              </w:rPr>
              <w:t>收到施工图纸后  日历天内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17" w:type="dxa"/>
            <w:noWrap/>
            <w:vAlign w:val="center"/>
          </w:tcPr>
          <w:p>
            <w:pPr>
              <w:spacing w:line="360" w:lineRule="auto"/>
              <w:jc w:val="center"/>
              <w:rPr>
                <w:rFonts w:ascii="宋体"/>
                <w:b/>
                <w:color w:val="auto"/>
                <w:szCs w:val="21"/>
              </w:rPr>
            </w:pPr>
            <w:r>
              <w:rPr>
                <w:rFonts w:hint="eastAsia" w:ascii="宋体"/>
                <w:b/>
                <w:color w:val="auto"/>
                <w:szCs w:val="21"/>
              </w:rPr>
              <w:t>四</w:t>
            </w:r>
          </w:p>
        </w:tc>
        <w:tc>
          <w:tcPr>
            <w:tcW w:w="3824" w:type="dxa"/>
            <w:noWrap/>
            <w:vAlign w:val="center"/>
          </w:tcPr>
          <w:p>
            <w:pPr>
              <w:spacing w:line="360" w:lineRule="auto"/>
              <w:jc w:val="left"/>
              <w:rPr>
                <w:rFonts w:ascii="宋体"/>
                <w:color w:val="auto"/>
                <w:szCs w:val="21"/>
              </w:rPr>
            </w:pPr>
            <w:r>
              <w:rPr>
                <w:rFonts w:hint="eastAsia" w:ascii="宋体"/>
                <w:color w:val="auto"/>
                <w:szCs w:val="21"/>
              </w:rPr>
              <w:t>BIM的应用成果</w:t>
            </w:r>
          </w:p>
        </w:tc>
        <w:tc>
          <w:tcPr>
            <w:tcW w:w="4292" w:type="dxa"/>
            <w:noWrap/>
            <w:vAlign w:val="center"/>
          </w:tcPr>
          <w:p>
            <w:pPr>
              <w:spacing w:line="360" w:lineRule="auto"/>
              <w:jc w:val="center"/>
              <w:rPr>
                <w:rFonts w:ascii="宋体"/>
                <w:color w:val="auto"/>
                <w:szCs w:val="21"/>
              </w:rPr>
            </w:pPr>
            <w:r>
              <w:rPr>
                <w:rFonts w:hint="eastAsia" w:ascii="宋体"/>
                <w:color w:val="auto"/>
                <w:szCs w:val="21"/>
              </w:rPr>
              <w:t>按发包人要求提供BIM的应用成果的电子版文件及相应的纸质报告</w:t>
            </w:r>
          </w:p>
        </w:tc>
      </w:tr>
    </w:tbl>
    <w:p>
      <w:pPr>
        <w:spacing w:line="360" w:lineRule="auto"/>
        <w:jc w:val="left"/>
        <w:rPr>
          <w:rFonts w:ascii="宋体" w:hAnsi="宋体"/>
          <w:bCs/>
          <w:color w:val="auto"/>
          <w:szCs w:val="21"/>
        </w:rPr>
      </w:pPr>
    </w:p>
    <w:p>
      <w:pPr>
        <w:rPr>
          <w:rFonts w:asciiTheme="minorEastAsia" w:hAnsiTheme="minorEastAsia" w:eastAsiaTheme="minorEastAsia"/>
          <w:color w:val="auto"/>
          <w:sz w:val="24"/>
          <w:szCs w:val="24"/>
        </w:rPr>
      </w:pPr>
    </w:p>
    <w:p>
      <w:pPr>
        <w:pStyle w:val="30"/>
        <w:rPr>
          <w:color w:val="auto"/>
        </w:rPr>
      </w:pP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sz w:val="24"/>
          <w:szCs w:val="24"/>
        </w:rPr>
        <w:t>合</w:t>
      </w:r>
      <w:r>
        <w:rPr>
          <w:rFonts w:hint="eastAsia" w:asciiTheme="minorEastAsia" w:hAnsiTheme="minorEastAsia" w:eastAsiaTheme="minorEastAsia"/>
          <w:color w:val="auto"/>
          <w:kern w:val="0"/>
          <w:sz w:val="24"/>
          <w:szCs w:val="24"/>
        </w:rPr>
        <w:t>同当事人约定的工程设计进度计划提交的时间：</w:t>
      </w:r>
      <w:r>
        <w:rPr>
          <w:rFonts w:hint="eastAsia" w:asciiTheme="minorEastAsia" w:hAnsiTheme="minorEastAsia" w:eastAsiaTheme="minorEastAsia"/>
          <w:color w:val="auto"/>
          <w:kern w:val="0"/>
          <w:sz w:val="24"/>
          <w:szCs w:val="24"/>
          <w:u w:val="single"/>
        </w:rPr>
        <w:t>设计人应在合同签订后7天内向发包人提交一份详细的进度计划。当进度计划与实际进度不符时，设计人还应提交一份修订的进度计划</w:t>
      </w:r>
      <w:r>
        <w:rPr>
          <w:rFonts w:hint="eastAsia" w:asciiTheme="minorEastAsia" w:hAnsiTheme="minorEastAsia" w:eastAsiaTheme="minorEastAsia"/>
          <w:color w:val="auto"/>
          <w:kern w:val="0"/>
          <w:sz w:val="24"/>
          <w:szCs w:val="24"/>
        </w:rPr>
        <w:t>。</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sz w:val="24"/>
          <w:szCs w:val="24"/>
        </w:rPr>
        <w:t>合</w:t>
      </w:r>
      <w:r>
        <w:rPr>
          <w:rFonts w:hint="eastAsia" w:asciiTheme="minorEastAsia" w:hAnsiTheme="minorEastAsia" w:eastAsiaTheme="minorEastAsia"/>
          <w:color w:val="auto"/>
          <w:kern w:val="0"/>
          <w:sz w:val="24"/>
          <w:szCs w:val="24"/>
        </w:rPr>
        <w:t>同当事人约定的工程设计进度计划应包括的内容：</w:t>
      </w:r>
    </w:p>
    <w:p>
      <w:pPr>
        <w:autoSpaceDE w:val="0"/>
        <w:autoSpaceDN w:val="0"/>
        <w:adjustRightInd w:val="0"/>
        <w:spacing w:line="360" w:lineRule="auto"/>
        <w:ind w:firstLine="480" w:firstLineChars="200"/>
        <w:jc w:val="left"/>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1）工作顺序和各个阶段的预期时间安排、出图计划；</w:t>
      </w:r>
    </w:p>
    <w:p>
      <w:pPr>
        <w:autoSpaceDE w:val="0"/>
        <w:autoSpaceDN w:val="0"/>
        <w:adjustRightInd w:val="0"/>
        <w:spacing w:line="360" w:lineRule="auto"/>
        <w:ind w:firstLine="480" w:firstLineChars="200"/>
        <w:jc w:val="left"/>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2）需要设计咨询（监理）单位、发包人、</w:t>
      </w:r>
      <w:r>
        <w:rPr>
          <w:rFonts w:hint="eastAsia" w:asciiTheme="minorEastAsia" w:hAnsiTheme="minorEastAsia" w:eastAsiaTheme="minorEastAsia"/>
          <w:strike/>
          <w:color w:val="auto"/>
          <w:sz w:val="24"/>
          <w:szCs w:val="24"/>
          <w:u w:val="single"/>
        </w:rPr>
        <w:t>施工图审查机构</w:t>
      </w:r>
      <w:r>
        <w:rPr>
          <w:rFonts w:hint="eastAsia" w:asciiTheme="minorEastAsia" w:hAnsiTheme="minorEastAsia" w:eastAsiaTheme="minorEastAsia"/>
          <w:color w:val="auto"/>
          <w:sz w:val="24"/>
          <w:szCs w:val="24"/>
          <w:u w:val="single"/>
        </w:rPr>
        <w:t>、政府审查部门进行审查、批准的期限；</w:t>
      </w:r>
    </w:p>
    <w:p>
      <w:pPr>
        <w:autoSpaceDE w:val="0"/>
        <w:autoSpaceDN w:val="0"/>
        <w:adjustRightInd w:val="0"/>
        <w:spacing w:line="360" w:lineRule="auto"/>
        <w:ind w:firstLine="480" w:firstLineChars="200"/>
        <w:jc w:val="left"/>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3）合同和技术规范中规定的各项检验和试验的顺序和时间安排</w:t>
      </w:r>
      <w:r>
        <w:rPr>
          <w:rFonts w:hint="eastAsia" w:asciiTheme="minorEastAsia" w:hAnsiTheme="minorEastAsia" w:eastAsiaTheme="minorEastAsia"/>
          <w:color w:val="auto"/>
          <w:sz w:val="24"/>
          <w:szCs w:val="24"/>
        </w:rPr>
        <w:t>。</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sz w:val="24"/>
          <w:szCs w:val="24"/>
        </w:rPr>
        <w:t xml:space="preserve">6.1.2 </w:t>
      </w:r>
      <w:r>
        <w:rPr>
          <w:rFonts w:hint="eastAsia" w:asciiTheme="minorEastAsia" w:hAnsiTheme="minorEastAsia" w:eastAsiaTheme="minorEastAsia"/>
          <w:color w:val="auto"/>
          <w:kern w:val="0"/>
          <w:sz w:val="24"/>
          <w:szCs w:val="24"/>
        </w:rPr>
        <w:t>工程设计进度计划的修订</w:t>
      </w:r>
    </w:p>
    <w:p>
      <w:pPr>
        <w:spacing w:line="360" w:lineRule="auto"/>
        <w:ind w:firstLine="480" w:firstLineChars="200"/>
        <w:jc w:val="left"/>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发包人在收到工程设计进度计划后确认或提出修改意见的期限：</w:t>
      </w:r>
      <w:r>
        <w:rPr>
          <w:rFonts w:hint="eastAsia" w:asciiTheme="minorEastAsia" w:hAnsiTheme="minorEastAsia" w:eastAsiaTheme="minorEastAsia"/>
          <w:color w:val="auto"/>
          <w:kern w:val="0"/>
          <w:sz w:val="24"/>
          <w:szCs w:val="24"/>
          <w:u w:val="single"/>
        </w:rPr>
        <w:t>5个日历天</w:t>
      </w:r>
      <w:r>
        <w:rPr>
          <w:rFonts w:hint="eastAsia" w:asciiTheme="minorEastAsia" w:hAnsiTheme="minorEastAsia" w:eastAsiaTheme="minorEastAsia"/>
          <w:color w:val="auto"/>
          <w:sz w:val="24"/>
          <w:szCs w:val="24"/>
        </w:rPr>
        <w:t>。</w:t>
      </w:r>
    </w:p>
    <w:p>
      <w:pPr>
        <w:pStyle w:val="7"/>
        <w:spacing w:before="120" w:after="120" w:line="360" w:lineRule="auto"/>
        <w:ind w:firstLine="480" w:firstLineChars="200"/>
        <w:rPr>
          <w:rFonts w:asciiTheme="minorEastAsia" w:hAnsiTheme="minorEastAsia" w:eastAsiaTheme="minorEastAsia"/>
          <w:b w:val="0"/>
          <w:color w:val="auto"/>
          <w:sz w:val="24"/>
          <w:szCs w:val="24"/>
        </w:rPr>
      </w:pPr>
      <w:r>
        <w:rPr>
          <w:rFonts w:hint="eastAsia" w:asciiTheme="minorEastAsia" w:hAnsiTheme="minorEastAsia" w:eastAsiaTheme="minorEastAsia"/>
          <w:b w:val="0"/>
          <w:color w:val="auto"/>
          <w:sz w:val="24"/>
          <w:szCs w:val="24"/>
        </w:rPr>
        <w:t>6.3 工程设计进度延误</w:t>
      </w:r>
    </w:p>
    <w:p>
      <w:pPr>
        <w:spacing w:line="360" w:lineRule="auto"/>
        <w:ind w:firstLine="480" w:firstLineChars="200"/>
        <w:jc w:val="left"/>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 xml:space="preserve">6.3.1 </w:t>
      </w:r>
      <w:r>
        <w:rPr>
          <w:rFonts w:hint="eastAsia" w:asciiTheme="minorEastAsia" w:hAnsiTheme="minorEastAsia" w:eastAsiaTheme="minorEastAsia"/>
          <w:color w:val="auto"/>
          <w:kern w:val="0"/>
          <w:sz w:val="24"/>
          <w:szCs w:val="24"/>
        </w:rPr>
        <w:t>因发包人原因导致工程设计进度延误</w:t>
      </w:r>
    </w:p>
    <w:p>
      <w:pPr>
        <w:spacing w:line="360" w:lineRule="auto"/>
        <w:ind w:firstLine="480" w:firstLineChars="200"/>
        <w:jc w:val="left"/>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（4）因发包人原因导致工程设计进度延误的其他情形：</w:t>
      </w:r>
      <w:r>
        <w:rPr>
          <w:rFonts w:hint="eastAsia" w:asciiTheme="minorEastAsia" w:hAnsiTheme="minorEastAsia" w:eastAsiaTheme="minorEastAsia"/>
          <w:color w:val="auto"/>
          <w:sz w:val="24"/>
          <w:szCs w:val="24"/>
          <w:u w:val="single"/>
        </w:rPr>
        <w:t xml:space="preserve"> / </w:t>
      </w:r>
      <w:r>
        <w:rPr>
          <w:rFonts w:hint="eastAsia" w:asciiTheme="minorEastAsia" w:hAnsiTheme="minorEastAsia" w:eastAsiaTheme="minorEastAsia"/>
          <w:color w:val="auto"/>
          <w:sz w:val="24"/>
          <w:szCs w:val="24"/>
        </w:rPr>
        <w:t>。</w:t>
      </w:r>
    </w:p>
    <w:p>
      <w:pPr>
        <w:spacing w:line="360" w:lineRule="auto"/>
        <w:ind w:firstLine="480" w:firstLineChars="200"/>
        <w:jc w:val="left"/>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设计人应在发生</w:t>
      </w:r>
      <w:r>
        <w:rPr>
          <w:rFonts w:hint="eastAsia" w:asciiTheme="minorEastAsia" w:hAnsiTheme="minorEastAsia" w:eastAsiaTheme="minorEastAsia"/>
          <w:color w:val="auto"/>
          <w:kern w:val="0"/>
          <w:sz w:val="24"/>
          <w:szCs w:val="24"/>
        </w:rPr>
        <w:t>进度延误的情形</w:t>
      </w:r>
      <w:r>
        <w:rPr>
          <w:rFonts w:hint="eastAsia" w:asciiTheme="minorEastAsia" w:hAnsiTheme="minorEastAsia" w:eastAsiaTheme="minorEastAsia"/>
          <w:color w:val="auto"/>
          <w:sz w:val="24"/>
          <w:szCs w:val="24"/>
        </w:rPr>
        <w:t>后</w:t>
      </w:r>
      <w:r>
        <w:rPr>
          <w:rFonts w:hint="eastAsia" w:asciiTheme="minorEastAsia" w:hAnsiTheme="minorEastAsia" w:eastAsiaTheme="minorEastAsia"/>
          <w:color w:val="auto"/>
          <w:sz w:val="24"/>
          <w:szCs w:val="24"/>
          <w:u w:val="single"/>
        </w:rPr>
        <w:t xml:space="preserve"> 2  </w:t>
      </w:r>
      <w:r>
        <w:rPr>
          <w:rFonts w:hint="eastAsia" w:asciiTheme="minorEastAsia" w:hAnsiTheme="minorEastAsia" w:eastAsiaTheme="minorEastAsia"/>
          <w:color w:val="auto"/>
          <w:sz w:val="24"/>
          <w:szCs w:val="24"/>
        </w:rPr>
        <w:t>个日历天内向发包人发出要求延期的书面通知，在发生该情形后</w:t>
      </w:r>
      <w:r>
        <w:rPr>
          <w:rFonts w:hint="eastAsia" w:asciiTheme="minorEastAsia" w:hAnsiTheme="minorEastAsia" w:eastAsiaTheme="minorEastAsia"/>
          <w:color w:val="auto"/>
          <w:sz w:val="24"/>
          <w:szCs w:val="24"/>
          <w:u w:val="single"/>
        </w:rPr>
        <w:t xml:space="preserve">  2  </w:t>
      </w:r>
      <w:r>
        <w:rPr>
          <w:rFonts w:hint="eastAsia" w:asciiTheme="minorEastAsia" w:hAnsiTheme="minorEastAsia" w:eastAsiaTheme="minorEastAsia"/>
          <w:color w:val="auto"/>
          <w:sz w:val="24"/>
          <w:szCs w:val="24"/>
        </w:rPr>
        <w:t>个日历天内提交要求延期的详细说明。</w:t>
      </w:r>
    </w:p>
    <w:p>
      <w:pPr>
        <w:spacing w:line="360" w:lineRule="auto"/>
        <w:ind w:firstLine="480" w:firstLineChars="200"/>
        <w:jc w:val="left"/>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发包人收到设计人要求延期的详细说明后，应在</w:t>
      </w:r>
      <w:r>
        <w:rPr>
          <w:rFonts w:hint="eastAsia" w:asciiTheme="minorEastAsia" w:hAnsiTheme="minorEastAsia" w:eastAsiaTheme="minorEastAsia"/>
          <w:color w:val="auto"/>
          <w:sz w:val="24"/>
          <w:szCs w:val="24"/>
          <w:u w:val="single"/>
        </w:rPr>
        <w:t xml:space="preserve">  5  </w:t>
      </w:r>
      <w:r>
        <w:rPr>
          <w:rFonts w:hint="eastAsia" w:asciiTheme="minorEastAsia" w:hAnsiTheme="minorEastAsia" w:eastAsiaTheme="minorEastAsia"/>
          <w:color w:val="auto"/>
          <w:sz w:val="24"/>
          <w:szCs w:val="24"/>
        </w:rPr>
        <w:t>个日历天内进行审查并书面答复。</w:t>
      </w:r>
    </w:p>
    <w:p>
      <w:pPr>
        <w:pStyle w:val="7"/>
        <w:spacing w:before="120" w:after="120" w:line="360" w:lineRule="auto"/>
        <w:ind w:firstLine="480" w:firstLineChars="200"/>
        <w:rPr>
          <w:rFonts w:asciiTheme="minorEastAsia" w:hAnsiTheme="minorEastAsia" w:eastAsiaTheme="minorEastAsia"/>
          <w:b w:val="0"/>
          <w:color w:val="auto"/>
          <w:sz w:val="24"/>
          <w:szCs w:val="24"/>
        </w:rPr>
      </w:pPr>
      <w:r>
        <w:rPr>
          <w:rFonts w:hint="eastAsia" w:asciiTheme="minorEastAsia" w:hAnsiTheme="minorEastAsia" w:eastAsiaTheme="minorEastAsia"/>
          <w:b w:val="0"/>
          <w:color w:val="auto"/>
          <w:sz w:val="24"/>
          <w:szCs w:val="24"/>
        </w:rPr>
        <w:t>6.5 提前交付工程设计文件</w:t>
      </w:r>
    </w:p>
    <w:p>
      <w:pPr>
        <w:spacing w:line="360" w:lineRule="auto"/>
        <w:ind w:firstLine="480" w:firstLineChars="200"/>
        <w:jc w:val="left"/>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6.5.2 提前交付工程设计文件的奖励：</w:t>
      </w:r>
      <w:r>
        <w:rPr>
          <w:rFonts w:hint="eastAsia" w:asciiTheme="minorEastAsia" w:hAnsiTheme="minorEastAsia" w:eastAsiaTheme="minorEastAsia"/>
          <w:color w:val="auto"/>
          <w:sz w:val="24"/>
          <w:szCs w:val="24"/>
          <w:u w:val="single"/>
        </w:rPr>
        <w:t xml:space="preserve">   /  </w:t>
      </w:r>
      <w:r>
        <w:rPr>
          <w:rFonts w:hint="eastAsia" w:asciiTheme="minorEastAsia" w:hAnsiTheme="minorEastAsia" w:eastAsiaTheme="minorEastAsia"/>
          <w:color w:val="auto"/>
          <w:sz w:val="24"/>
          <w:szCs w:val="24"/>
        </w:rPr>
        <w:t>。</w:t>
      </w:r>
    </w:p>
    <w:p>
      <w:pPr>
        <w:spacing w:before="120" w:after="120" w:line="360" w:lineRule="auto"/>
        <w:jc w:val="left"/>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7. 工程设计文件交付</w:t>
      </w:r>
    </w:p>
    <w:p>
      <w:pPr>
        <w:spacing w:before="120" w:after="120" w:line="360" w:lineRule="auto"/>
        <w:ind w:firstLine="480" w:firstLineChars="200"/>
        <w:jc w:val="left"/>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7.1 工程设计文件交付的内容</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7.1.2 发包人要求设计人提交电子版设计文件的具体形式为：</w:t>
      </w:r>
      <w:r>
        <w:rPr>
          <w:rFonts w:hint="eastAsia" w:asciiTheme="minorEastAsia" w:hAnsiTheme="minorEastAsia" w:eastAsiaTheme="minorEastAsia"/>
          <w:color w:val="auto"/>
          <w:sz w:val="24"/>
          <w:szCs w:val="24"/>
          <w:u w:val="single"/>
        </w:rPr>
        <w:t xml:space="preserve">   详见附件  ：《各阶段、各版次设计成果文件组成及要求》</w:t>
      </w:r>
      <w:r>
        <w:rPr>
          <w:rFonts w:hint="eastAsia" w:asciiTheme="minorEastAsia" w:hAnsiTheme="minorEastAsia" w:eastAsiaTheme="minorEastAsia"/>
          <w:color w:val="auto"/>
          <w:sz w:val="24"/>
          <w:szCs w:val="24"/>
        </w:rPr>
        <w:t xml:space="preserve">。 </w:t>
      </w:r>
    </w:p>
    <w:p>
      <w:pPr>
        <w:pStyle w:val="6"/>
        <w:spacing w:before="120" w:after="120" w:line="360" w:lineRule="auto"/>
        <w:ind w:firstLine="480" w:firstLineChars="200"/>
        <w:rPr>
          <w:rFonts w:asciiTheme="minorEastAsia" w:hAnsiTheme="minorEastAsia" w:eastAsiaTheme="minorEastAsia"/>
          <w:b w:val="0"/>
          <w:color w:val="auto"/>
          <w:sz w:val="24"/>
          <w:szCs w:val="24"/>
        </w:rPr>
      </w:pPr>
      <w:r>
        <w:rPr>
          <w:rFonts w:hint="eastAsia" w:asciiTheme="minorEastAsia" w:hAnsiTheme="minorEastAsia" w:eastAsiaTheme="minorEastAsia"/>
          <w:b w:val="0"/>
          <w:color w:val="auto"/>
          <w:sz w:val="24"/>
          <w:szCs w:val="24"/>
        </w:rPr>
        <w:t>8. 工程设计文件审查</w:t>
      </w:r>
    </w:p>
    <w:p>
      <w:pPr>
        <w:spacing w:line="360" w:lineRule="auto"/>
        <w:ind w:firstLine="480" w:firstLineChars="200"/>
        <w:jc w:val="left"/>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8.1 发包人对设计人的设计文件审查期限不超过</w:t>
      </w:r>
      <w:r>
        <w:rPr>
          <w:rFonts w:hint="eastAsia" w:asciiTheme="minorEastAsia" w:hAnsiTheme="minorEastAsia" w:eastAsiaTheme="minorEastAsia"/>
          <w:color w:val="auto"/>
          <w:sz w:val="24"/>
          <w:szCs w:val="24"/>
          <w:u w:val="single"/>
        </w:rPr>
        <w:t xml:space="preserve">  20  个日历天（因设计人原因导致审查不能通过审查的，设计人的设计周期不调整，且根据合同条款追究设计人的设计责任）</w:t>
      </w:r>
      <w:r>
        <w:rPr>
          <w:rFonts w:hint="eastAsia" w:asciiTheme="minorEastAsia" w:hAnsiTheme="minorEastAsia" w:eastAsiaTheme="minorEastAsia"/>
          <w:color w:val="auto"/>
          <w:sz w:val="24"/>
          <w:szCs w:val="24"/>
        </w:rPr>
        <w:t>。</w:t>
      </w:r>
    </w:p>
    <w:p>
      <w:pPr>
        <w:spacing w:line="360" w:lineRule="auto"/>
        <w:ind w:firstLine="480" w:firstLineChars="200"/>
        <w:jc w:val="left"/>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rPr>
        <w:t>8.4 工程设计审查形式及时间安排：</w:t>
      </w:r>
      <w:r>
        <w:rPr>
          <w:rFonts w:hint="eastAsia" w:asciiTheme="minorEastAsia" w:hAnsiTheme="minorEastAsia" w:eastAsiaTheme="minorEastAsia"/>
          <w:color w:val="auto"/>
          <w:sz w:val="24"/>
          <w:szCs w:val="24"/>
          <w:u w:val="single"/>
        </w:rPr>
        <w:t xml:space="preserve">  根据设计的不同阶段，由发包人提供资料委托查关专业的专家或专业的审图机构对设计人提交的设计文件进行审查，具体时间安排由发包人确定后通知设计人，设计人不得有异议  </w:t>
      </w:r>
      <w:r>
        <w:rPr>
          <w:rFonts w:hint="eastAsia" w:asciiTheme="minorEastAsia" w:hAnsiTheme="minorEastAsia" w:eastAsiaTheme="minorEastAsia"/>
          <w:color w:val="auto"/>
          <w:sz w:val="24"/>
          <w:szCs w:val="24"/>
        </w:rPr>
        <w:t>。</w:t>
      </w:r>
    </w:p>
    <w:p>
      <w:pPr>
        <w:spacing w:before="120" w:after="120" w:line="360" w:lineRule="auto"/>
        <w:ind w:firstLine="480" w:firstLineChars="200"/>
        <w:jc w:val="left"/>
        <w:rPr>
          <w:rFonts w:asciiTheme="minorEastAsia" w:hAnsiTheme="minorEastAsia" w:eastAsiaTheme="minorEastAsia"/>
          <w:strike/>
          <w:color w:val="auto"/>
          <w:sz w:val="24"/>
          <w:szCs w:val="24"/>
          <w:u w:val="single"/>
        </w:rPr>
      </w:pPr>
      <w:r>
        <w:rPr>
          <w:rFonts w:asciiTheme="minorEastAsia" w:hAnsiTheme="minorEastAsia" w:eastAsiaTheme="minorEastAsia"/>
          <w:strike/>
          <w:color w:val="auto"/>
          <w:sz w:val="24"/>
          <w:szCs w:val="24"/>
        </w:rPr>
        <w:t xml:space="preserve">9. </w:t>
      </w:r>
      <w:r>
        <w:rPr>
          <w:rFonts w:hint="eastAsia" w:asciiTheme="minorEastAsia" w:hAnsiTheme="minorEastAsia" w:eastAsiaTheme="minorEastAsia"/>
          <w:strike/>
          <w:color w:val="auto"/>
          <w:sz w:val="24"/>
          <w:szCs w:val="24"/>
        </w:rPr>
        <w:t>施工现场配合服务</w:t>
      </w:r>
    </w:p>
    <w:p>
      <w:pPr>
        <w:spacing w:line="360" w:lineRule="auto"/>
        <w:ind w:left="210" w:leftChars="100" w:firstLine="480" w:firstLineChars="200"/>
        <w:jc w:val="left"/>
        <w:rPr>
          <w:rFonts w:asciiTheme="minorEastAsia" w:hAnsiTheme="minorEastAsia" w:eastAsiaTheme="minorEastAsia"/>
          <w:strike/>
          <w:color w:val="auto"/>
          <w:sz w:val="24"/>
          <w:szCs w:val="24"/>
          <w:u w:val="single"/>
        </w:rPr>
      </w:pPr>
      <w:r>
        <w:rPr>
          <w:rFonts w:asciiTheme="minorEastAsia" w:hAnsiTheme="minorEastAsia" w:eastAsiaTheme="minorEastAsia"/>
          <w:strike/>
          <w:color w:val="auto"/>
          <w:sz w:val="24"/>
          <w:szCs w:val="24"/>
        </w:rPr>
        <w:t xml:space="preserve">9.1 </w:t>
      </w:r>
      <w:r>
        <w:rPr>
          <w:rFonts w:hint="eastAsia" w:asciiTheme="minorEastAsia" w:hAnsiTheme="minorEastAsia" w:eastAsiaTheme="minorEastAsia"/>
          <w:strike/>
          <w:color w:val="auto"/>
          <w:sz w:val="24"/>
          <w:szCs w:val="24"/>
        </w:rPr>
        <w:t>发包人为设计人派赴现场的工作人员提供便利条件的内包括：。</w:t>
      </w:r>
    </w:p>
    <w:p>
      <w:pPr>
        <w:spacing w:line="360" w:lineRule="auto"/>
        <w:ind w:firstLine="480" w:firstLineChars="200"/>
        <w:jc w:val="left"/>
        <w:rPr>
          <w:rFonts w:asciiTheme="minorEastAsia" w:hAnsiTheme="minorEastAsia" w:eastAsiaTheme="minorEastAsia"/>
          <w:color w:val="auto"/>
          <w:sz w:val="24"/>
          <w:szCs w:val="24"/>
          <w:u w:val="single"/>
        </w:rPr>
      </w:pPr>
      <w:r>
        <w:rPr>
          <w:rFonts w:asciiTheme="minorEastAsia" w:hAnsiTheme="minorEastAsia" w:eastAsiaTheme="minorEastAsia"/>
          <w:strike/>
          <w:color w:val="auto"/>
          <w:sz w:val="24"/>
          <w:szCs w:val="24"/>
        </w:rPr>
        <w:t xml:space="preserve">9.2 </w:t>
      </w:r>
      <w:r>
        <w:rPr>
          <w:rFonts w:hint="eastAsia" w:asciiTheme="minorEastAsia" w:hAnsiTheme="minorEastAsia" w:eastAsiaTheme="minorEastAsia"/>
          <w:strike/>
          <w:color w:val="auto"/>
          <w:sz w:val="24"/>
          <w:szCs w:val="24"/>
        </w:rPr>
        <w:t>设计人应当在交付施工图设计文件并经审查合格后</w:t>
      </w:r>
      <w:r>
        <w:rPr>
          <w:rFonts w:asciiTheme="minorEastAsia" w:hAnsiTheme="minorEastAsia" w:eastAsiaTheme="minorEastAsia"/>
          <w:strike/>
          <w:color w:val="auto"/>
          <w:sz w:val="24"/>
          <w:szCs w:val="24"/>
          <w:u w:val="single"/>
        </w:rPr>
        <w:t xml:space="preserve">  直至该项目竣工验收   </w:t>
      </w:r>
      <w:r>
        <w:rPr>
          <w:rFonts w:hint="eastAsia" w:asciiTheme="minorEastAsia" w:hAnsiTheme="minorEastAsia" w:eastAsiaTheme="minorEastAsia"/>
          <w:strike/>
          <w:color w:val="auto"/>
          <w:sz w:val="24"/>
          <w:szCs w:val="24"/>
        </w:rPr>
        <w:t>时间内提供施工现场配合服务。</w:t>
      </w:r>
    </w:p>
    <w:p>
      <w:pPr>
        <w:pStyle w:val="6"/>
        <w:spacing w:before="120" w:after="120" w:line="360" w:lineRule="auto"/>
        <w:ind w:firstLine="480" w:firstLineChars="200"/>
        <w:rPr>
          <w:rFonts w:asciiTheme="minorEastAsia" w:hAnsiTheme="minorEastAsia" w:eastAsiaTheme="minorEastAsia"/>
          <w:b w:val="0"/>
          <w:color w:val="auto"/>
          <w:sz w:val="24"/>
          <w:szCs w:val="24"/>
        </w:rPr>
      </w:pPr>
      <w:r>
        <w:rPr>
          <w:rFonts w:hint="eastAsia" w:asciiTheme="minorEastAsia" w:hAnsiTheme="minorEastAsia" w:eastAsiaTheme="minorEastAsia"/>
          <w:b w:val="0"/>
          <w:color w:val="auto"/>
          <w:sz w:val="24"/>
          <w:szCs w:val="24"/>
        </w:rPr>
        <w:t>10. 合同价款与支付</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10.1设计取费标准</w:t>
      </w:r>
    </w:p>
    <w:p>
      <w:pPr>
        <w:spacing w:line="360" w:lineRule="auto"/>
        <w:ind w:firstLine="480" w:firstLineChars="200"/>
        <w:jc w:val="left"/>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工程设计费计费方式为总价包干。合同设计费已包含本合同约定项目的全部设计费用，设计文件修改费用，招标配合费用，驻场服务费用，设计调研费，各类报建、报审、报验收的费用，</w:t>
      </w:r>
      <w:r>
        <w:rPr>
          <w:rFonts w:hint="eastAsia" w:asciiTheme="minorEastAsia" w:hAnsiTheme="minorEastAsia" w:eastAsiaTheme="minorEastAsia"/>
          <w:strike/>
          <w:color w:val="auto"/>
          <w:sz w:val="24"/>
          <w:szCs w:val="24"/>
          <w:u w:val="single"/>
        </w:rPr>
        <w:t>竣工图审查费用</w:t>
      </w:r>
      <w:r>
        <w:rPr>
          <w:rFonts w:hint="eastAsia" w:asciiTheme="minorEastAsia" w:hAnsiTheme="minorEastAsia" w:eastAsiaTheme="minorEastAsia"/>
          <w:color w:val="auto"/>
          <w:sz w:val="24"/>
          <w:szCs w:val="24"/>
          <w:u w:val="single"/>
        </w:rPr>
        <w:t>，设计变更费用以及设计人委托有工程造价咨询资质单位编制估算、初步设计概算的费用等。发包人不再支付合同中指明费用内的任何其他费用。如发包人要求设计人提供本合同外的服务，费用另行协商。</w:t>
      </w:r>
    </w:p>
    <w:p>
      <w:pPr>
        <w:spacing w:line="360" w:lineRule="auto"/>
        <w:ind w:firstLine="480" w:firstLineChars="200"/>
        <w:jc w:val="left"/>
        <w:rPr>
          <w:rFonts w:asciiTheme="minorEastAsia" w:hAnsiTheme="minorEastAsia" w:eastAsiaTheme="minorEastAsia"/>
          <w:bCs/>
          <w:color w:val="auto"/>
          <w:sz w:val="24"/>
          <w:szCs w:val="24"/>
        </w:rPr>
      </w:pPr>
      <w:r>
        <w:rPr>
          <w:rFonts w:hint="eastAsia" w:asciiTheme="minorEastAsia" w:hAnsiTheme="minorEastAsia" w:eastAsiaTheme="minorEastAsia"/>
          <w:bCs/>
          <w:color w:val="auto"/>
          <w:sz w:val="24"/>
          <w:szCs w:val="24"/>
        </w:rPr>
        <w:t>10.4</w:t>
      </w:r>
      <w:r>
        <w:rPr>
          <w:rFonts w:hint="eastAsia" w:asciiTheme="minorEastAsia" w:hAnsiTheme="minorEastAsia" w:eastAsiaTheme="minorEastAsia"/>
          <w:b/>
          <w:color w:val="auto"/>
          <w:sz w:val="24"/>
          <w:szCs w:val="24"/>
        </w:rPr>
        <w:t>进度款支付</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10.4.1方案设计</w:t>
      </w:r>
      <w:r>
        <w:rPr>
          <w:rFonts w:hint="eastAsia" w:cs="宋体" w:asciiTheme="minorEastAsia" w:hAnsiTheme="minorEastAsia" w:eastAsiaTheme="minorEastAsia"/>
          <w:color w:val="auto"/>
          <w:kern w:val="1"/>
          <w:sz w:val="24"/>
          <w:szCs w:val="24"/>
        </w:rPr>
        <w:t>投标经济补偿费</w:t>
      </w:r>
      <w:r>
        <w:rPr>
          <w:rFonts w:hint="eastAsia" w:asciiTheme="minorEastAsia" w:hAnsiTheme="minorEastAsia" w:eastAsiaTheme="minorEastAsia"/>
          <w:color w:val="auto"/>
          <w:sz w:val="24"/>
          <w:szCs w:val="24"/>
        </w:rPr>
        <w:t>合计人民币万元，其中：</w:t>
      </w:r>
    </w:p>
    <w:p>
      <w:pPr>
        <w:spacing w:line="360" w:lineRule="auto"/>
        <w:ind w:firstLine="480" w:firstLineChars="200"/>
        <w:rPr>
          <w:rFonts w:cs="宋体" w:asciiTheme="minorEastAsia" w:hAnsiTheme="minorEastAsia" w:eastAsiaTheme="minorEastAsia"/>
          <w:color w:val="auto"/>
          <w:kern w:val="1"/>
          <w:sz w:val="24"/>
          <w:szCs w:val="24"/>
        </w:rPr>
      </w:pPr>
      <w:r>
        <w:rPr>
          <w:rFonts w:hint="eastAsia" w:cs="宋体" w:asciiTheme="minorEastAsia" w:hAnsiTheme="minorEastAsia" w:eastAsiaTheme="minorEastAsia"/>
          <w:color w:val="auto"/>
          <w:kern w:val="1"/>
          <w:sz w:val="24"/>
          <w:szCs w:val="24"/>
        </w:rPr>
        <w:t>□本项目不设投标补偿。</w:t>
      </w:r>
    </w:p>
    <w:p>
      <w:pPr>
        <w:spacing w:line="360" w:lineRule="auto"/>
        <w:ind w:firstLine="480" w:firstLineChars="200"/>
        <w:rPr>
          <w:rFonts w:cs="宋体" w:asciiTheme="minorEastAsia" w:hAnsiTheme="minorEastAsia" w:eastAsiaTheme="minorEastAsia"/>
          <w:color w:val="auto"/>
          <w:kern w:val="1"/>
          <w:sz w:val="24"/>
          <w:szCs w:val="24"/>
        </w:rPr>
      </w:pPr>
      <w:r>
        <w:rPr>
          <w:rFonts w:hint="eastAsia" w:cs="宋体" w:asciiTheme="minorEastAsia" w:hAnsiTheme="minorEastAsia" w:eastAsiaTheme="minorEastAsia"/>
          <w:color w:val="auto"/>
          <w:kern w:val="1"/>
          <w:sz w:val="24"/>
          <w:szCs w:val="24"/>
        </w:rPr>
        <w:t>√适用于中标人支付经济补偿：</w:t>
      </w:r>
    </w:p>
    <w:p>
      <w:pPr>
        <w:spacing w:line="360" w:lineRule="auto"/>
        <w:ind w:firstLine="480" w:firstLineChars="200"/>
        <w:rPr>
          <w:rFonts w:cs="宋体" w:asciiTheme="minorEastAsia" w:hAnsiTheme="minorEastAsia" w:eastAsiaTheme="minorEastAsia"/>
          <w:color w:val="auto"/>
          <w:kern w:val="1"/>
          <w:sz w:val="24"/>
          <w:szCs w:val="24"/>
        </w:rPr>
      </w:pPr>
      <w:r>
        <w:rPr>
          <w:rFonts w:hint="eastAsia" w:cs="宋体" w:asciiTheme="minorEastAsia" w:hAnsiTheme="minorEastAsia" w:eastAsiaTheme="minorEastAsia"/>
          <w:color w:val="auto"/>
          <w:kern w:val="1"/>
          <w:sz w:val="24"/>
          <w:szCs w:val="24"/>
        </w:rPr>
        <w:t>(1) 全部的投标经济补偿费包含在本项目设计费中，承包人在签订合同后，由承包人向发包人申请，</w:t>
      </w:r>
      <w:r>
        <w:rPr>
          <w:rFonts w:hint="eastAsia" w:cs="宋体" w:asciiTheme="minorEastAsia" w:hAnsiTheme="minorEastAsia" w:eastAsiaTheme="minorEastAsia"/>
          <w:color w:val="auto"/>
          <w:kern w:val="1"/>
          <w:sz w:val="24"/>
          <w:szCs w:val="24"/>
          <w:u w:val="single"/>
        </w:rPr>
        <w:t>承包人</w:t>
      </w:r>
      <w:r>
        <w:rPr>
          <w:rFonts w:hint="eastAsia" w:asciiTheme="minorEastAsia" w:hAnsiTheme="minorEastAsia" w:eastAsiaTheme="minorEastAsia"/>
          <w:color w:val="auto"/>
          <w:sz w:val="24"/>
          <w:u w:val="single"/>
        </w:rPr>
        <w:t>在收到招标人的第一笔付款后</w:t>
      </w:r>
      <w:r>
        <w:rPr>
          <w:rFonts w:hint="eastAsia" w:cs="宋体" w:asciiTheme="minorEastAsia" w:hAnsiTheme="minorEastAsia" w:eastAsiaTheme="minorEastAsia"/>
          <w:color w:val="auto"/>
          <w:kern w:val="1"/>
          <w:sz w:val="24"/>
          <w:szCs w:val="24"/>
        </w:rPr>
        <w:t>，对2-5名未中标人的设计方案给予补偿。其余未中标人费用自理，发包人不再给予未中标人投标补偿。如果投标人不足 5 名或者前5名中有被废标的，所剩余的投标经济补偿费支付给中标人。</w:t>
      </w:r>
    </w:p>
    <w:p>
      <w:pPr>
        <w:spacing w:line="360" w:lineRule="auto"/>
        <w:ind w:firstLine="480" w:firstLineChars="200"/>
        <w:rPr>
          <w:rFonts w:cs="宋体" w:asciiTheme="minorEastAsia" w:hAnsiTheme="minorEastAsia" w:eastAsiaTheme="minorEastAsia"/>
          <w:color w:val="auto"/>
          <w:kern w:val="1"/>
          <w:sz w:val="24"/>
          <w:szCs w:val="24"/>
        </w:rPr>
      </w:pPr>
      <w:r>
        <w:rPr>
          <w:rFonts w:hint="eastAsia" w:cs="宋体" w:asciiTheme="minorEastAsia" w:hAnsiTheme="minorEastAsia" w:eastAsiaTheme="minorEastAsia"/>
          <w:color w:val="auto"/>
          <w:kern w:val="1"/>
          <w:sz w:val="24"/>
          <w:szCs w:val="24"/>
        </w:rPr>
        <w:t>(2)方案设计投标经济补偿费总额元，其补偿方式如下：</w:t>
      </w:r>
    </w:p>
    <w:tbl>
      <w:tblPr>
        <w:tblStyle w:val="55"/>
        <w:tblW w:w="85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3"/>
        <w:gridCol w:w="2813"/>
        <w:gridCol w:w="1581"/>
        <w:gridCol w:w="30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3" w:type="dxa"/>
          </w:tcPr>
          <w:p>
            <w:pPr>
              <w:spacing w:line="360" w:lineRule="auto"/>
              <w:jc w:val="center"/>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排列名次</w:t>
            </w:r>
          </w:p>
        </w:tc>
        <w:tc>
          <w:tcPr>
            <w:tcW w:w="2813" w:type="dxa"/>
          </w:tcPr>
          <w:p>
            <w:pPr>
              <w:spacing w:line="360" w:lineRule="auto"/>
              <w:jc w:val="center"/>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投标人名称</w:t>
            </w:r>
          </w:p>
        </w:tc>
        <w:tc>
          <w:tcPr>
            <w:tcW w:w="1581" w:type="dxa"/>
          </w:tcPr>
          <w:p>
            <w:pPr>
              <w:spacing w:line="360" w:lineRule="auto"/>
              <w:jc w:val="center"/>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补偿金额（元）</w:t>
            </w:r>
          </w:p>
        </w:tc>
        <w:tc>
          <w:tcPr>
            <w:tcW w:w="3037" w:type="dxa"/>
          </w:tcPr>
          <w:p>
            <w:pPr>
              <w:spacing w:line="360" w:lineRule="auto"/>
              <w:jc w:val="center"/>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63" w:type="dxa"/>
            <w:vAlign w:val="center"/>
          </w:tcPr>
          <w:p>
            <w:pPr>
              <w:spacing w:line="360" w:lineRule="auto"/>
              <w:jc w:val="center"/>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 xml:space="preserve">1                                                                                                                                                                                                                                                                                                                                                                                                                                                                                                                                                                                                                                                                                                                                                                                                                                                                                                                                                                                                                                                                                                                                                                                                                                                                                                                                                                                                                       </w:t>
            </w:r>
          </w:p>
        </w:tc>
        <w:tc>
          <w:tcPr>
            <w:tcW w:w="2813" w:type="dxa"/>
            <w:vAlign w:val="center"/>
          </w:tcPr>
          <w:p>
            <w:pPr>
              <w:spacing w:line="360" w:lineRule="auto"/>
              <w:jc w:val="center"/>
              <w:rPr>
                <w:rFonts w:asciiTheme="minorEastAsia" w:hAnsiTheme="minorEastAsia" w:eastAsiaTheme="minorEastAsia"/>
                <w:color w:val="auto"/>
                <w:sz w:val="24"/>
                <w:szCs w:val="24"/>
              </w:rPr>
            </w:pPr>
          </w:p>
        </w:tc>
        <w:tc>
          <w:tcPr>
            <w:tcW w:w="1581" w:type="dxa"/>
            <w:vAlign w:val="center"/>
          </w:tcPr>
          <w:p>
            <w:pPr>
              <w:spacing w:line="360" w:lineRule="auto"/>
              <w:jc w:val="center"/>
              <w:rPr>
                <w:rFonts w:asciiTheme="minorEastAsia" w:hAnsiTheme="minorEastAsia" w:eastAsiaTheme="minorEastAsia"/>
                <w:color w:val="auto"/>
                <w:sz w:val="24"/>
                <w:szCs w:val="24"/>
              </w:rPr>
            </w:pPr>
          </w:p>
        </w:tc>
        <w:tc>
          <w:tcPr>
            <w:tcW w:w="3037" w:type="dxa"/>
            <w:vAlign w:val="center"/>
          </w:tcPr>
          <w:p>
            <w:pPr>
              <w:spacing w:line="360" w:lineRule="auto"/>
              <w:jc w:val="center"/>
              <w:rPr>
                <w:rFonts w:asciiTheme="minorEastAsia" w:hAnsiTheme="minorEastAsia" w:eastAsiaTheme="minorEastAsia"/>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63" w:type="dxa"/>
            <w:vAlign w:val="center"/>
          </w:tcPr>
          <w:p>
            <w:pPr>
              <w:spacing w:line="360" w:lineRule="auto"/>
              <w:jc w:val="center"/>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2</w:t>
            </w:r>
          </w:p>
        </w:tc>
        <w:tc>
          <w:tcPr>
            <w:tcW w:w="2813" w:type="dxa"/>
            <w:vAlign w:val="center"/>
          </w:tcPr>
          <w:p>
            <w:pPr>
              <w:spacing w:line="360" w:lineRule="auto"/>
              <w:jc w:val="center"/>
              <w:rPr>
                <w:rFonts w:asciiTheme="minorEastAsia" w:hAnsiTheme="minorEastAsia" w:eastAsiaTheme="minorEastAsia"/>
                <w:color w:val="auto"/>
                <w:sz w:val="24"/>
                <w:szCs w:val="24"/>
              </w:rPr>
            </w:pPr>
          </w:p>
        </w:tc>
        <w:tc>
          <w:tcPr>
            <w:tcW w:w="1581" w:type="dxa"/>
            <w:vAlign w:val="center"/>
          </w:tcPr>
          <w:p>
            <w:pPr>
              <w:spacing w:line="360" w:lineRule="auto"/>
              <w:jc w:val="center"/>
              <w:rPr>
                <w:rFonts w:asciiTheme="minorEastAsia" w:hAnsiTheme="minorEastAsia" w:eastAsiaTheme="minorEastAsia"/>
                <w:color w:val="auto"/>
                <w:sz w:val="24"/>
                <w:szCs w:val="24"/>
              </w:rPr>
            </w:pPr>
          </w:p>
        </w:tc>
        <w:tc>
          <w:tcPr>
            <w:tcW w:w="3037" w:type="dxa"/>
            <w:vAlign w:val="center"/>
          </w:tcPr>
          <w:p>
            <w:pPr>
              <w:spacing w:line="360" w:lineRule="auto"/>
              <w:jc w:val="center"/>
              <w:rPr>
                <w:rFonts w:asciiTheme="minorEastAsia" w:hAnsiTheme="minorEastAsia" w:eastAsiaTheme="minorEastAsia"/>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63" w:type="dxa"/>
            <w:vAlign w:val="center"/>
          </w:tcPr>
          <w:p>
            <w:pPr>
              <w:spacing w:line="360" w:lineRule="auto"/>
              <w:jc w:val="center"/>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3</w:t>
            </w:r>
          </w:p>
        </w:tc>
        <w:tc>
          <w:tcPr>
            <w:tcW w:w="2813" w:type="dxa"/>
            <w:vAlign w:val="center"/>
          </w:tcPr>
          <w:p>
            <w:pPr>
              <w:spacing w:line="360" w:lineRule="auto"/>
              <w:jc w:val="center"/>
              <w:rPr>
                <w:rFonts w:asciiTheme="minorEastAsia" w:hAnsiTheme="minorEastAsia" w:eastAsiaTheme="minorEastAsia"/>
                <w:color w:val="auto"/>
                <w:sz w:val="24"/>
                <w:szCs w:val="24"/>
              </w:rPr>
            </w:pPr>
          </w:p>
        </w:tc>
        <w:tc>
          <w:tcPr>
            <w:tcW w:w="1581" w:type="dxa"/>
            <w:vAlign w:val="center"/>
          </w:tcPr>
          <w:p>
            <w:pPr>
              <w:spacing w:line="360" w:lineRule="auto"/>
              <w:jc w:val="center"/>
              <w:rPr>
                <w:rFonts w:asciiTheme="minorEastAsia" w:hAnsiTheme="minorEastAsia" w:eastAsiaTheme="minorEastAsia"/>
                <w:color w:val="auto"/>
                <w:sz w:val="24"/>
                <w:szCs w:val="24"/>
              </w:rPr>
            </w:pPr>
          </w:p>
        </w:tc>
        <w:tc>
          <w:tcPr>
            <w:tcW w:w="3037" w:type="dxa"/>
            <w:vAlign w:val="center"/>
          </w:tcPr>
          <w:p>
            <w:pPr>
              <w:spacing w:line="360" w:lineRule="auto"/>
              <w:jc w:val="center"/>
              <w:rPr>
                <w:rFonts w:asciiTheme="minorEastAsia" w:hAnsiTheme="minorEastAsia" w:eastAsiaTheme="minorEastAsia"/>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63" w:type="dxa"/>
            <w:vAlign w:val="center"/>
          </w:tcPr>
          <w:p>
            <w:pPr>
              <w:spacing w:line="360" w:lineRule="auto"/>
              <w:jc w:val="center"/>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4</w:t>
            </w:r>
          </w:p>
        </w:tc>
        <w:tc>
          <w:tcPr>
            <w:tcW w:w="2813" w:type="dxa"/>
            <w:vAlign w:val="center"/>
          </w:tcPr>
          <w:p>
            <w:pPr>
              <w:spacing w:line="360" w:lineRule="auto"/>
              <w:jc w:val="center"/>
              <w:rPr>
                <w:rFonts w:asciiTheme="minorEastAsia" w:hAnsiTheme="minorEastAsia" w:eastAsiaTheme="minorEastAsia"/>
                <w:color w:val="auto"/>
                <w:sz w:val="24"/>
                <w:szCs w:val="24"/>
              </w:rPr>
            </w:pPr>
          </w:p>
        </w:tc>
        <w:tc>
          <w:tcPr>
            <w:tcW w:w="1581" w:type="dxa"/>
            <w:vAlign w:val="center"/>
          </w:tcPr>
          <w:p>
            <w:pPr>
              <w:spacing w:line="360" w:lineRule="auto"/>
              <w:jc w:val="center"/>
              <w:rPr>
                <w:rFonts w:asciiTheme="minorEastAsia" w:hAnsiTheme="minorEastAsia" w:eastAsiaTheme="minorEastAsia"/>
                <w:color w:val="auto"/>
                <w:sz w:val="24"/>
                <w:szCs w:val="24"/>
              </w:rPr>
            </w:pPr>
          </w:p>
        </w:tc>
        <w:tc>
          <w:tcPr>
            <w:tcW w:w="3037" w:type="dxa"/>
            <w:vAlign w:val="center"/>
          </w:tcPr>
          <w:p>
            <w:pPr>
              <w:spacing w:line="360" w:lineRule="auto"/>
              <w:jc w:val="center"/>
              <w:rPr>
                <w:rFonts w:asciiTheme="minorEastAsia" w:hAnsiTheme="minorEastAsia" w:eastAsiaTheme="minorEastAsia"/>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63" w:type="dxa"/>
            <w:vAlign w:val="center"/>
          </w:tcPr>
          <w:p>
            <w:pPr>
              <w:spacing w:line="360" w:lineRule="auto"/>
              <w:jc w:val="center"/>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5</w:t>
            </w:r>
          </w:p>
        </w:tc>
        <w:tc>
          <w:tcPr>
            <w:tcW w:w="2813" w:type="dxa"/>
            <w:vAlign w:val="center"/>
          </w:tcPr>
          <w:p>
            <w:pPr>
              <w:spacing w:line="360" w:lineRule="auto"/>
              <w:jc w:val="center"/>
              <w:rPr>
                <w:rFonts w:asciiTheme="minorEastAsia" w:hAnsiTheme="minorEastAsia" w:eastAsiaTheme="minorEastAsia"/>
                <w:color w:val="auto"/>
                <w:sz w:val="24"/>
                <w:szCs w:val="24"/>
              </w:rPr>
            </w:pPr>
          </w:p>
        </w:tc>
        <w:tc>
          <w:tcPr>
            <w:tcW w:w="1581" w:type="dxa"/>
            <w:vAlign w:val="center"/>
          </w:tcPr>
          <w:p>
            <w:pPr>
              <w:spacing w:line="360" w:lineRule="auto"/>
              <w:jc w:val="center"/>
              <w:rPr>
                <w:rFonts w:asciiTheme="minorEastAsia" w:hAnsiTheme="minorEastAsia" w:eastAsiaTheme="minorEastAsia"/>
                <w:color w:val="auto"/>
                <w:sz w:val="24"/>
                <w:szCs w:val="24"/>
              </w:rPr>
            </w:pPr>
          </w:p>
        </w:tc>
        <w:tc>
          <w:tcPr>
            <w:tcW w:w="3037" w:type="dxa"/>
            <w:vAlign w:val="center"/>
          </w:tcPr>
          <w:p>
            <w:pPr>
              <w:spacing w:line="360" w:lineRule="auto"/>
              <w:jc w:val="center"/>
              <w:rPr>
                <w:rFonts w:asciiTheme="minorEastAsia" w:hAnsiTheme="minorEastAsia" w:eastAsiaTheme="minorEastAsia"/>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63" w:type="dxa"/>
            <w:vAlign w:val="center"/>
          </w:tcPr>
          <w:p>
            <w:pPr>
              <w:spacing w:line="360" w:lineRule="auto"/>
              <w:jc w:val="center"/>
              <w:rPr>
                <w:rFonts w:asciiTheme="minorEastAsia" w:hAnsiTheme="minorEastAsia" w:eastAsiaTheme="minorEastAsia"/>
                <w:color w:val="auto"/>
                <w:sz w:val="24"/>
                <w:szCs w:val="24"/>
              </w:rPr>
            </w:pPr>
          </w:p>
        </w:tc>
        <w:tc>
          <w:tcPr>
            <w:tcW w:w="2813" w:type="dxa"/>
            <w:vAlign w:val="center"/>
          </w:tcPr>
          <w:p>
            <w:pPr>
              <w:spacing w:line="360" w:lineRule="auto"/>
              <w:jc w:val="center"/>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合  计</w:t>
            </w:r>
          </w:p>
        </w:tc>
        <w:tc>
          <w:tcPr>
            <w:tcW w:w="1581" w:type="dxa"/>
            <w:vAlign w:val="center"/>
          </w:tcPr>
          <w:p>
            <w:pPr>
              <w:spacing w:line="360" w:lineRule="auto"/>
              <w:jc w:val="center"/>
              <w:rPr>
                <w:rFonts w:asciiTheme="minorEastAsia" w:hAnsiTheme="minorEastAsia" w:eastAsiaTheme="minorEastAsia"/>
                <w:color w:val="auto"/>
                <w:sz w:val="24"/>
                <w:szCs w:val="24"/>
              </w:rPr>
            </w:pPr>
          </w:p>
        </w:tc>
        <w:tc>
          <w:tcPr>
            <w:tcW w:w="3037" w:type="dxa"/>
            <w:vAlign w:val="center"/>
          </w:tcPr>
          <w:p>
            <w:pPr>
              <w:spacing w:line="360" w:lineRule="auto"/>
              <w:jc w:val="center"/>
              <w:rPr>
                <w:rFonts w:asciiTheme="minorEastAsia" w:hAnsiTheme="minorEastAsia" w:eastAsiaTheme="minorEastAsia"/>
                <w:color w:val="auto"/>
                <w:sz w:val="24"/>
                <w:szCs w:val="24"/>
              </w:rPr>
            </w:pPr>
          </w:p>
        </w:tc>
      </w:tr>
    </w:tbl>
    <w:p>
      <w:pPr>
        <w:spacing w:line="360" w:lineRule="auto"/>
        <w:ind w:left="480" w:hanging="480" w:hangingChars="200"/>
        <w:rPr>
          <w:rFonts w:cs="宋体" w:asciiTheme="minorEastAsia" w:hAnsiTheme="minorEastAsia" w:eastAsiaTheme="minorEastAsia"/>
          <w:color w:val="auto"/>
          <w:kern w:val="1"/>
          <w:sz w:val="24"/>
          <w:szCs w:val="24"/>
        </w:rPr>
      </w:pPr>
    </w:p>
    <w:p>
      <w:pPr>
        <w:pStyle w:val="360"/>
        <w:rPr>
          <w:color w:val="auto"/>
        </w:rPr>
      </w:pPr>
      <w:r>
        <w:rPr>
          <w:rFonts w:hint="eastAsia" w:asciiTheme="minorEastAsia" w:hAnsiTheme="minorEastAsia" w:eastAsiaTheme="minorEastAsia"/>
          <w:color w:val="auto"/>
        </w:rPr>
        <w:t>10.4.2</w:t>
      </w:r>
      <w:r>
        <w:rPr>
          <w:rFonts w:hint="eastAsia" w:ascii="宋体" w:hAnsi="宋体"/>
          <w:color w:val="auto"/>
        </w:rPr>
        <w:t>设计费（含投标经济补偿费部分）支付进度详见下表：</w:t>
      </w:r>
    </w:p>
    <w:tbl>
      <w:tblPr>
        <w:tblStyle w:val="55"/>
        <w:tblW w:w="9840" w:type="dxa"/>
        <w:tblInd w:w="93" w:type="dxa"/>
        <w:tblLayout w:type="autofit"/>
        <w:tblCellMar>
          <w:top w:w="0" w:type="dxa"/>
          <w:left w:w="108" w:type="dxa"/>
          <w:bottom w:w="0" w:type="dxa"/>
          <w:right w:w="108" w:type="dxa"/>
        </w:tblCellMar>
      </w:tblPr>
      <w:tblGrid>
        <w:gridCol w:w="1268"/>
        <w:gridCol w:w="1233"/>
        <w:gridCol w:w="3808"/>
        <w:gridCol w:w="1266"/>
        <w:gridCol w:w="2294"/>
      </w:tblGrid>
      <w:tr>
        <w:tblPrEx>
          <w:tblCellMar>
            <w:top w:w="0" w:type="dxa"/>
            <w:left w:w="108" w:type="dxa"/>
            <w:bottom w:w="0" w:type="dxa"/>
            <w:right w:w="108" w:type="dxa"/>
          </w:tblCellMar>
        </w:tblPrEx>
        <w:trPr>
          <w:trHeight w:val="625" w:hRule="atLeast"/>
        </w:trPr>
        <w:tc>
          <w:tcPr>
            <w:tcW w:w="1268"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auto"/>
                <w:kern w:val="0"/>
                <w:szCs w:val="21"/>
              </w:rPr>
            </w:pPr>
            <w:r>
              <w:rPr>
                <w:rFonts w:hint="eastAsia" w:ascii="宋体" w:hAnsi="宋体" w:cs="宋体"/>
                <w:color w:val="auto"/>
                <w:kern w:val="0"/>
                <w:szCs w:val="21"/>
              </w:rPr>
              <w:t>服务名称</w:t>
            </w:r>
          </w:p>
        </w:tc>
        <w:tc>
          <w:tcPr>
            <w:tcW w:w="1233"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auto"/>
                <w:kern w:val="0"/>
                <w:szCs w:val="21"/>
              </w:rPr>
            </w:pPr>
            <w:r>
              <w:rPr>
                <w:rFonts w:hint="eastAsia" w:ascii="宋体" w:hAnsi="宋体" w:cs="宋体"/>
                <w:color w:val="auto"/>
                <w:kern w:val="0"/>
                <w:szCs w:val="21"/>
              </w:rPr>
              <w:t>期次</w:t>
            </w:r>
          </w:p>
        </w:tc>
        <w:tc>
          <w:tcPr>
            <w:tcW w:w="3808"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auto"/>
                <w:kern w:val="0"/>
                <w:szCs w:val="21"/>
              </w:rPr>
            </w:pPr>
            <w:r>
              <w:rPr>
                <w:rFonts w:hint="eastAsia" w:ascii="宋体" w:hAnsi="宋体" w:cs="宋体"/>
                <w:color w:val="auto"/>
                <w:kern w:val="0"/>
                <w:szCs w:val="21"/>
              </w:rPr>
              <w:t>支付节点</w:t>
            </w:r>
          </w:p>
        </w:tc>
        <w:tc>
          <w:tcPr>
            <w:tcW w:w="1237"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auto"/>
                <w:kern w:val="0"/>
                <w:szCs w:val="21"/>
              </w:rPr>
            </w:pPr>
            <w:r>
              <w:rPr>
                <w:rFonts w:hint="eastAsia" w:ascii="宋体" w:hAnsi="宋体" w:cs="宋体"/>
                <w:color w:val="auto"/>
                <w:kern w:val="0"/>
                <w:szCs w:val="21"/>
              </w:rPr>
              <w:t>支付比例（</w:t>
            </w:r>
            <w:r>
              <w:rPr>
                <w:rFonts w:cs="宋体"/>
                <w:color w:val="auto"/>
                <w:kern w:val="0"/>
                <w:szCs w:val="21"/>
              </w:rPr>
              <w:t>%</w:t>
            </w:r>
            <w:r>
              <w:rPr>
                <w:rFonts w:hint="eastAsia" w:ascii="宋体" w:hAnsi="宋体" w:cs="宋体"/>
                <w:color w:val="auto"/>
                <w:kern w:val="0"/>
                <w:szCs w:val="21"/>
              </w:rPr>
              <w:t>）</w:t>
            </w:r>
          </w:p>
        </w:tc>
        <w:tc>
          <w:tcPr>
            <w:tcW w:w="2294"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auto"/>
                <w:kern w:val="0"/>
                <w:szCs w:val="21"/>
              </w:rPr>
            </w:pPr>
            <w:r>
              <w:rPr>
                <w:rFonts w:hint="eastAsia" w:ascii="宋体" w:hAnsi="宋体" w:cs="宋体"/>
                <w:color w:val="auto"/>
                <w:kern w:val="0"/>
                <w:szCs w:val="21"/>
              </w:rPr>
              <w:t>备注</w:t>
            </w:r>
          </w:p>
        </w:tc>
      </w:tr>
      <w:tr>
        <w:tblPrEx>
          <w:tblCellMar>
            <w:top w:w="0" w:type="dxa"/>
            <w:left w:w="108" w:type="dxa"/>
            <w:bottom w:w="0" w:type="dxa"/>
            <w:right w:w="108" w:type="dxa"/>
          </w:tblCellMar>
        </w:tblPrEx>
        <w:trPr>
          <w:trHeight w:val="612" w:hRule="atLeast"/>
        </w:trPr>
        <w:tc>
          <w:tcPr>
            <w:tcW w:w="1268" w:type="dxa"/>
            <w:vMerge w:val="restar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auto"/>
                <w:kern w:val="0"/>
                <w:szCs w:val="21"/>
              </w:rPr>
            </w:pPr>
            <w:r>
              <w:rPr>
                <w:rFonts w:hint="eastAsia" w:ascii="宋体" w:hAnsi="宋体" w:cs="宋体"/>
                <w:color w:val="auto"/>
                <w:kern w:val="0"/>
                <w:szCs w:val="21"/>
              </w:rPr>
              <w:t>基本设计费（</w:t>
            </w:r>
            <w:r>
              <w:rPr>
                <w:rFonts w:cs="宋体"/>
                <w:color w:val="auto"/>
                <w:kern w:val="0"/>
                <w:szCs w:val="21"/>
              </w:rPr>
              <w:t>100%</w:t>
            </w:r>
            <w:r>
              <w:rPr>
                <w:rFonts w:hint="eastAsia" w:ascii="宋体" w:hAnsi="宋体" w:cs="宋体"/>
                <w:color w:val="auto"/>
                <w:kern w:val="0"/>
                <w:szCs w:val="21"/>
              </w:rPr>
              <w:t>）</w:t>
            </w:r>
          </w:p>
        </w:tc>
        <w:tc>
          <w:tcPr>
            <w:tcW w:w="1233"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1"/>
              </w:rPr>
            </w:pPr>
            <w:r>
              <w:rPr>
                <w:rFonts w:hint="eastAsia" w:ascii="宋体" w:hAnsi="宋体" w:cs="宋体"/>
                <w:color w:val="auto"/>
                <w:kern w:val="0"/>
                <w:szCs w:val="21"/>
              </w:rPr>
              <w:t>第</w:t>
            </w:r>
            <w:r>
              <w:rPr>
                <w:rFonts w:cs="宋体"/>
                <w:color w:val="auto"/>
                <w:kern w:val="0"/>
                <w:szCs w:val="21"/>
              </w:rPr>
              <w:t>1</w:t>
            </w:r>
            <w:r>
              <w:rPr>
                <w:rFonts w:hint="eastAsia" w:ascii="宋体" w:hAnsi="宋体" w:cs="宋体"/>
                <w:color w:val="auto"/>
                <w:kern w:val="0"/>
                <w:szCs w:val="21"/>
              </w:rPr>
              <w:t>期</w:t>
            </w:r>
          </w:p>
        </w:tc>
        <w:tc>
          <w:tcPr>
            <w:tcW w:w="3808"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1"/>
              </w:rPr>
            </w:pPr>
            <w:r>
              <w:rPr>
                <w:rFonts w:hint="eastAsia" w:ascii="宋体" w:hAnsi="宋体" w:cs="宋体"/>
                <w:color w:val="auto"/>
                <w:kern w:val="0"/>
                <w:szCs w:val="21"/>
              </w:rPr>
              <w:t>签订合同并提交履约保函</w:t>
            </w:r>
          </w:p>
        </w:tc>
        <w:tc>
          <w:tcPr>
            <w:tcW w:w="1237"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1"/>
              </w:rPr>
            </w:pPr>
            <w:r>
              <w:rPr>
                <w:rFonts w:hint="eastAsia" w:ascii="宋体" w:hAnsi="宋体" w:cs="宋体"/>
                <w:color w:val="auto"/>
                <w:kern w:val="0"/>
                <w:szCs w:val="21"/>
              </w:rPr>
              <w:t>基数×</w:t>
            </w:r>
            <w:r>
              <w:rPr>
                <w:rFonts w:ascii="宋体" w:hAnsi="宋体" w:cs="宋体"/>
                <w:color w:val="auto"/>
                <w:kern w:val="0"/>
                <w:szCs w:val="21"/>
              </w:rPr>
              <w:t>10%</w:t>
            </w:r>
          </w:p>
        </w:tc>
        <w:tc>
          <w:tcPr>
            <w:tcW w:w="2294"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1"/>
              </w:rPr>
            </w:pPr>
            <w:r>
              <w:rPr>
                <w:rFonts w:hint="eastAsia" w:ascii="宋体" w:hAnsi="宋体" w:cs="宋体"/>
                <w:color w:val="auto"/>
                <w:kern w:val="0"/>
                <w:szCs w:val="21"/>
              </w:rPr>
              <w:t>首付款</w:t>
            </w:r>
          </w:p>
        </w:tc>
      </w:tr>
      <w:tr>
        <w:tblPrEx>
          <w:tblCellMar>
            <w:top w:w="0" w:type="dxa"/>
            <w:left w:w="108" w:type="dxa"/>
            <w:bottom w:w="0" w:type="dxa"/>
            <w:right w:w="108" w:type="dxa"/>
          </w:tblCellMar>
        </w:tblPrEx>
        <w:trPr>
          <w:trHeight w:val="653" w:hRule="atLeast"/>
        </w:trPr>
        <w:tc>
          <w:tcPr>
            <w:tcW w:w="1268" w:type="dxa"/>
            <w:vMerge w:val="continue"/>
            <w:tcBorders>
              <w:top w:val="nil"/>
              <w:left w:val="single" w:color="auto" w:sz="4" w:space="0"/>
              <w:bottom w:val="single" w:color="auto" w:sz="4" w:space="0"/>
              <w:right w:val="single" w:color="auto" w:sz="4" w:space="0"/>
            </w:tcBorders>
            <w:noWrap/>
            <w:vAlign w:val="center"/>
          </w:tcPr>
          <w:p>
            <w:pPr>
              <w:widowControl/>
              <w:jc w:val="left"/>
              <w:rPr>
                <w:rFonts w:ascii="宋体" w:hAnsi="宋体" w:cs="宋体"/>
                <w:color w:val="auto"/>
                <w:kern w:val="0"/>
                <w:szCs w:val="21"/>
              </w:rPr>
            </w:pPr>
          </w:p>
        </w:tc>
        <w:tc>
          <w:tcPr>
            <w:tcW w:w="1233"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1"/>
              </w:rPr>
            </w:pPr>
            <w:r>
              <w:rPr>
                <w:rFonts w:hint="eastAsia" w:ascii="宋体" w:hAnsi="宋体" w:cs="宋体"/>
                <w:color w:val="auto"/>
                <w:kern w:val="0"/>
                <w:szCs w:val="21"/>
              </w:rPr>
              <w:t>第</w:t>
            </w:r>
            <w:r>
              <w:rPr>
                <w:rFonts w:cs="宋体"/>
                <w:color w:val="auto"/>
                <w:kern w:val="0"/>
                <w:szCs w:val="21"/>
              </w:rPr>
              <w:t>2</w:t>
            </w:r>
            <w:r>
              <w:rPr>
                <w:rFonts w:hint="eastAsia" w:ascii="宋体" w:hAnsi="宋体" w:cs="宋体"/>
                <w:color w:val="auto"/>
                <w:kern w:val="0"/>
                <w:szCs w:val="21"/>
              </w:rPr>
              <w:t>期</w:t>
            </w:r>
          </w:p>
        </w:tc>
        <w:tc>
          <w:tcPr>
            <w:tcW w:w="3808"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1"/>
              </w:rPr>
            </w:pPr>
            <w:r>
              <w:rPr>
                <w:rFonts w:hint="eastAsia" w:ascii="宋体" w:hAnsi="宋体" w:cs="宋体"/>
                <w:color w:val="auto"/>
                <w:kern w:val="0"/>
                <w:szCs w:val="21"/>
              </w:rPr>
              <w:t>取得规划部门对工程方案或修规的批复</w:t>
            </w:r>
          </w:p>
        </w:tc>
        <w:tc>
          <w:tcPr>
            <w:tcW w:w="1237"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1"/>
              </w:rPr>
            </w:pPr>
            <w:r>
              <w:rPr>
                <w:rFonts w:hint="eastAsia" w:ascii="宋体" w:hAnsi="宋体" w:cs="宋体"/>
                <w:color w:val="auto"/>
                <w:kern w:val="0"/>
                <w:szCs w:val="21"/>
              </w:rPr>
              <w:t>基数×</w:t>
            </w:r>
            <w:r>
              <w:rPr>
                <w:rFonts w:ascii="宋体" w:hAnsi="宋体" w:cs="宋体"/>
                <w:color w:val="auto"/>
                <w:kern w:val="0"/>
                <w:szCs w:val="21"/>
              </w:rPr>
              <w:t>30%×A</w:t>
            </w:r>
          </w:p>
        </w:tc>
        <w:tc>
          <w:tcPr>
            <w:tcW w:w="2294"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1"/>
              </w:rPr>
            </w:pPr>
            <w:r>
              <w:rPr>
                <w:rFonts w:hint="eastAsia" w:ascii="宋体" w:hAnsi="宋体" w:cs="宋体"/>
                <w:color w:val="auto"/>
                <w:kern w:val="0"/>
                <w:szCs w:val="21"/>
              </w:rPr>
              <w:t>方案设计阶段</w:t>
            </w:r>
          </w:p>
        </w:tc>
      </w:tr>
      <w:tr>
        <w:tblPrEx>
          <w:tblCellMar>
            <w:top w:w="0" w:type="dxa"/>
            <w:left w:w="108" w:type="dxa"/>
            <w:bottom w:w="0" w:type="dxa"/>
            <w:right w:w="108" w:type="dxa"/>
          </w:tblCellMar>
        </w:tblPrEx>
        <w:trPr>
          <w:trHeight w:val="589" w:hRule="atLeast"/>
        </w:trPr>
        <w:tc>
          <w:tcPr>
            <w:tcW w:w="1268" w:type="dxa"/>
            <w:vMerge w:val="continue"/>
            <w:tcBorders>
              <w:top w:val="nil"/>
              <w:left w:val="single" w:color="auto" w:sz="4" w:space="0"/>
              <w:bottom w:val="single" w:color="auto" w:sz="4" w:space="0"/>
              <w:right w:val="single" w:color="auto" w:sz="4" w:space="0"/>
            </w:tcBorders>
            <w:noWrap/>
            <w:vAlign w:val="center"/>
          </w:tcPr>
          <w:p>
            <w:pPr>
              <w:widowControl/>
              <w:jc w:val="left"/>
              <w:rPr>
                <w:rFonts w:ascii="宋体" w:hAnsi="宋体" w:cs="宋体"/>
                <w:color w:val="auto"/>
                <w:kern w:val="0"/>
                <w:szCs w:val="21"/>
              </w:rPr>
            </w:pPr>
          </w:p>
        </w:tc>
        <w:tc>
          <w:tcPr>
            <w:tcW w:w="1233"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1"/>
              </w:rPr>
            </w:pPr>
            <w:r>
              <w:rPr>
                <w:rFonts w:hint="eastAsia" w:ascii="宋体" w:hAnsi="宋体" w:cs="宋体"/>
                <w:color w:val="auto"/>
                <w:kern w:val="0"/>
                <w:szCs w:val="21"/>
              </w:rPr>
              <w:t>第</w:t>
            </w:r>
            <w:r>
              <w:rPr>
                <w:rFonts w:cs="宋体"/>
                <w:color w:val="auto"/>
                <w:kern w:val="0"/>
                <w:szCs w:val="21"/>
              </w:rPr>
              <w:t>3</w:t>
            </w:r>
            <w:r>
              <w:rPr>
                <w:rFonts w:hint="eastAsia" w:ascii="宋体" w:hAnsi="宋体" w:cs="宋体"/>
                <w:color w:val="auto"/>
                <w:kern w:val="0"/>
                <w:szCs w:val="21"/>
              </w:rPr>
              <w:t>期</w:t>
            </w:r>
          </w:p>
        </w:tc>
        <w:tc>
          <w:tcPr>
            <w:tcW w:w="3808"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1"/>
              </w:rPr>
            </w:pPr>
            <w:r>
              <w:rPr>
                <w:rFonts w:hint="eastAsia" w:ascii="宋体" w:hAnsi="宋体" w:cs="宋体"/>
                <w:color w:val="auto"/>
                <w:kern w:val="0"/>
                <w:szCs w:val="21"/>
              </w:rPr>
              <w:t>取得发改部门对初步设计概算的批复</w:t>
            </w:r>
          </w:p>
        </w:tc>
        <w:tc>
          <w:tcPr>
            <w:tcW w:w="1237"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1"/>
              </w:rPr>
            </w:pPr>
            <w:r>
              <w:rPr>
                <w:rFonts w:hint="eastAsia" w:ascii="宋体" w:hAnsi="宋体" w:cs="宋体"/>
                <w:color w:val="auto"/>
                <w:kern w:val="0"/>
                <w:szCs w:val="21"/>
              </w:rPr>
              <w:t>基数×</w:t>
            </w:r>
            <w:r>
              <w:rPr>
                <w:rFonts w:ascii="宋体" w:hAnsi="宋体" w:cs="宋体"/>
                <w:color w:val="auto"/>
                <w:kern w:val="0"/>
                <w:szCs w:val="21"/>
              </w:rPr>
              <w:t>40%×A+F</w:t>
            </w:r>
          </w:p>
        </w:tc>
        <w:tc>
          <w:tcPr>
            <w:tcW w:w="2294"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1"/>
              </w:rPr>
            </w:pPr>
            <w:r>
              <w:rPr>
                <w:rFonts w:hint="eastAsia" w:ascii="宋体" w:hAnsi="宋体" w:cs="宋体"/>
                <w:color w:val="auto"/>
                <w:kern w:val="0"/>
                <w:szCs w:val="21"/>
              </w:rPr>
              <w:t>初步设计阶段</w:t>
            </w:r>
          </w:p>
        </w:tc>
      </w:tr>
      <w:tr>
        <w:tblPrEx>
          <w:tblCellMar>
            <w:top w:w="0" w:type="dxa"/>
            <w:left w:w="108" w:type="dxa"/>
            <w:bottom w:w="0" w:type="dxa"/>
            <w:right w:w="108" w:type="dxa"/>
          </w:tblCellMar>
        </w:tblPrEx>
        <w:trPr>
          <w:trHeight w:val="885" w:hRule="atLeast"/>
        </w:trPr>
        <w:tc>
          <w:tcPr>
            <w:tcW w:w="1268" w:type="dxa"/>
            <w:vMerge w:val="continue"/>
            <w:tcBorders>
              <w:top w:val="nil"/>
              <w:left w:val="single" w:color="auto" w:sz="4" w:space="0"/>
              <w:bottom w:val="single" w:color="auto" w:sz="4" w:space="0"/>
              <w:right w:val="single" w:color="auto" w:sz="4" w:space="0"/>
            </w:tcBorders>
            <w:noWrap/>
            <w:vAlign w:val="center"/>
          </w:tcPr>
          <w:p>
            <w:pPr>
              <w:widowControl/>
              <w:jc w:val="left"/>
              <w:rPr>
                <w:rFonts w:ascii="宋体" w:hAnsi="宋体" w:cs="宋体"/>
                <w:color w:val="auto"/>
                <w:kern w:val="0"/>
                <w:szCs w:val="21"/>
              </w:rPr>
            </w:pPr>
          </w:p>
        </w:tc>
        <w:tc>
          <w:tcPr>
            <w:tcW w:w="1233"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1"/>
              </w:rPr>
            </w:pPr>
            <w:r>
              <w:rPr>
                <w:rFonts w:hint="eastAsia" w:ascii="宋体" w:hAnsi="宋体" w:cs="宋体"/>
                <w:color w:val="auto"/>
                <w:kern w:val="0"/>
                <w:szCs w:val="21"/>
              </w:rPr>
              <w:t>第</w:t>
            </w:r>
            <w:r>
              <w:rPr>
                <w:rFonts w:cs="宋体"/>
                <w:color w:val="auto"/>
                <w:kern w:val="0"/>
                <w:szCs w:val="21"/>
              </w:rPr>
              <w:t>4</w:t>
            </w:r>
            <w:r>
              <w:rPr>
                <w:rFonts w:hint="eastAsia" w:ascii="宋体" w:hAnsi="宋体" w:cs="宋体"/>
                <w:color w:val="auto"/>
                <w:kern w:val="0"/>
                <w:szCs w:val="21"/>
              </w:rPr>
              <w:t>期</w:t>
            </w:r>
          </w:p>
        </w:tc>
        <w:tc>
          <w:tcPr>
            <w:tcW w:w="3808"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1"/>
              </w:rPr>
            </w:pPr>
            <w:r>
              <w:rPr>
                <w:rFonts w:hint="eastAsia" w:ascii="宋体" w:hAnsi="宋体" w:cs="宋体"/>
                <w:color w:val="auto"/>
                <w:kern w:val="0"/>
                <w:szCs w:val="21"/>
              </w:rPr>
              <w:t>完成对施工图设计单位的成果审核，取得施工图审查合格报告</w:t>
            </w:r>
          </w:p>
        </w:tc>
        <w:tc>
          <w:tcPr>
            <w:tcW w:w="1237"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1"/>
              </w:rPr>
            </w:pPr>
            <w:r>
              <w:rPr>
                <w:rFonts w:hint="eastAsia" w:ascii="宋体" w:hAnsi="宋体" w:cs="宋体"/>
                <w:color w:val="auto"/>
                <w:kern w:val="0"/>
                <w:szCs w:val="21"/>
              </w:rPr>
              <w:t>基数×</w:t>
            </w:r>
            <w:r>
              <w:rPr>
                <w:rFonts w:ascii="宋体" w:hAnsi="宋体" w:cs="宋体"/>
                <w:color w:val="auto"/>
                <w:kern w:val="0"/>
                <w:szCs w:val="21"/>
              </w:rPr>
              <w:t>10%×A</w:t>
            </w:r>
          </w:p>
        </w:tc>
        <w:tc>
          <w:tcPr>
            <w:tcW w:w="2294"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1"/>
              </w:rPr>
            </w:pPr>
            <w:r>
              <w:rPr>
                <w:rFonts w:hint="eastAsia" w:ascii="宋体" w:hAnsi="宋体" w:cs="宋体"/>
                <w:color w:val="auto"/>
                <w:kern w:val="0"/>
                <w:szCs w:val="21"/>
              </w:rPr>
              <w:t>施工图配合阶段</w:t>
            </w:r>
          </w:p>
        </w:tc>
      </w:tr>
      <w:tr>
        <w:tblPrEx>
          <w:tblCellMar>
            <w:top w:w="0" w:type="dxa"/>
            <w:left w:w="108" w:type="dxa"/>
            <w:bottom w:w="0" w:type="dxa"/>
            <w:right w:w="108" w:type="dxa"/>
          </w:tblCellMar>
        </w:tblPrEx>
        <w:trPr>
          <w:trHeight w:val="608" w:hRule="atLeast"/>
        </w:trPr>
        <w:tc>
          <w:tcPr>
            <w:tcW w:w="1268" w:type="dxa"/>
            <w:vMerge w:val="continue"/>
            <w:tcBorders>
              <w:top w:val="nil"/>
              <w:left w:val="single" w:color="auto" w:sz="4" w:space="0"/>
              <w:bottom w:val="single" w:color="auto" w:sz="4" w:space="0"/>
              <w:right w:val="single" w:color="auto" w:sz="4" w:space="0"/>
            </w:tcBorders>
            <w:noWrap/>
            <w:vAlign w:val="center"/>
          </w:tcPr>
          <w:p>
            <w:pPr>
              <w:widowControl/>
              <w:jc w:val="left"/>
              <w:rPr>
                <w:rFonts w:ascii="宋体" w:hAnsi="宋体" w:cs="宋体"/>
                <w:color w:val="auto"/>
                <w:kern w:val="0"/>
                <w:szCs w:val="21"/>
              </w:rPr>
            </w:pPr>
          </w:p>
        </w:tc>
        <w:tc>
          <w:tcPr>
            <w:tcW w:w="1233"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1"/>
              </w:rPr>
            </w:pPr>
            <w:r>
              <w:rPr>
                <w:rFonts w:hint="eastAsia" w:ascii="宋体" w:hAnsi="宋体" w:cs="宋体"/>
                <w:color w:val="auto"/>
                <w:kern w:val="0"/>
                <w:szCs w:val="21"/>
              </w:rPr>
              <w:t>第</w:t>
            </w:r>
            <w:r>
              <w:rPr>
                <w:rFonts w:cs="宋体"/>
                <w:color w:val="auto"/>
                <w:kern w:val="0"/>
                <w:szCs w:val="21"/>
              </w:rPr>
              <w:t>5</w:t>
            </w:r>
            <w:r>
              <w:rPr>
                <w:rFonts w:hint="eastAsia" w:ascii="宋体" w:hAnsi="宋体" w:cs="宋体"/>
                <w:color w:val="auto"/>
                <w:kern w:val="0"/>
                <w:szCs w:val="21"/>
              </w:rPr>
              <w:t>期</w:t>
            </w:r>
          </w:p>
        </w:tc>
        <w:tc>
          <w:tcPr>
            <w:tcW w:w="3808"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1"/>
              </w:rPr>
            </w:pPr>
            <w:r>
              <w:rPr>
                <w:rFonts w:hint="eastAsia" w:ascii="宋体" w:hAnsi="宋体" w:cs="宋体"/>
                <w:color w:val="auto"/>
                <w:kern w:val="0"/>
                <w:szCs w:val="21"/>
              </w:rPr>
              <w:t>合同结算经省政府财政部门审定</w:t>
            </w:r>
          </w:p>
        </w:tc>
        <w:tc>
          <w:tcPr>
            <w:tcW w:w="1237"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1"/>
              </w:rPr>
            </w:pPr>
            <w:r>
              <w:rPr>
                <w:rFonts w:hint="eastAsia" w:ascii="宋体" w:hAnsi="宋体" w:cs="宋体"/>
                <w:color w:val="auto"/>
                <w:kern w:val="0"/>
                <w:szCs w:val="21"/>
              </w:rPr>
              <w:t>基数×</w:t>
            </w:r>
            <w:r>
              <w:rPr>
                <w:rFonts w:ascii="宋体" w:hAnsi="宋体" w:cs="宋体"/>
                <w:color w:val="auto"/>
                <w:kern w:val="0"/>
                <w:szCs w:val="21"/>
              </w:rPr>
              <w:t>10%或按省政府财政部门审定应付金额</w:t>
            </w:r>
          </w:p>
        </w:tc>
        <w:tc>
          <w:tcPr>
            <w:tcW w:w="2294"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1"/>
              </w:rPr>
            </w:pPr>
            <w:r>
              <w:rPr>
                <w:rFonts w:hint="eastAsia" w:ascii="宋体" w:hAnsi="宋体" w:cs="宋体"/>
                <w:color w:val="auto"/>
                <w:kern w:val="0"/>
                <w:szCs w:val="21"/>
              </w:rPr>
              <w:t>结算款</w:t>
            </w:r>
          </w:p>
        </w:tc>
      </w:tr>
      <w:tr>
        <w:tblPrEx>
          <w:tblCellMar>
            <w:top w:w="0" w:type="dxa"/>
            <w:left w:w="108" w:type="dxa"/>
            <w:bottom w:w="0" w:type="dxa"/>
            <w:right w:w="108" w:type="dxa"/>
          </w:tblCellMar>
        </w:tblPrEx>
        <w:trPr>
          <w:trHeight w:val="620" w:hRule="atLeast"/>
        </w:trPr>
        <w:tc>
          <w:tcPr>
            <w:tcW w:w="1268" w:type="dxa"/>
            <w:vMerge w:val="continue"/>
            <w:tcBorders>
              <w:top w:val="nil"/>
              <w:left w:val="single" w:color="auto" w:sz="4" w:space="0"/>
              <w:bottom w:val="single" w:color="auto" w:sz="4" w:space="0"/>
              <w:right w:val="single" w:color="auto" w:sz="4" w:space="0"/>
            </w:tcBorders>
            <w:noWrap/>
            <w:vAlign w:val="center"/>
          </w:tcPr>
          <w:p>
            <w:pPr>
              <w:widowControl/>
              <w:jc w:val="left"/>
              <w:rPr>
                <w:rFonts w:ascii="宋体" w:hAnsi="宋体" w:cs="宋体"/>
                <w:color w:val="auto"/>
                <w:kern w:val="0"/>
                <w:szCs w:val="21"/>
              </w:rPr>
            </w:pPr>
          </w:p>
        </w:tc>
        <w:tc>
          <w:tcPr>
            <w:tcW w:w="1233"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1"/>
              </w:rPr>
            </w:pPr>
            <w:r>
              <w:rPr>
                <w:rFonts w:hint="eastAsia" w:ascii="宋体" w:hAnsi="宋体" w:cs="宋体"/>
                <w:color w:val="auto"/>
                <w:kern w:val="0"/>
                <w:szCs w:val="21"/>
              </w:rPr>
              <w:t>总计</w:t>
            </w:r>
          </w:p>
        </w:tc>
        <w:tc>
          <w:tcPr>
            <w:tcW w:w="3808" w:type="dxa"/>
            <w:tcBorders>
              <w:top w:val="nil"/>
              <w:left w:val="nil"/>
              <w:bottom w:val="single" w:color="auto" w:sz="4" w:space="0"/>
              <w:right w:val="single" w:color="auto" w:sz="4" w:space="0"/>
            </w:tcBorders>
            <w:noWrap/>
            <w:vAlign w:val="center"/>
          </w:tcPr>
          <w:p>
            <w:pPr>
              <w:widowControl/>
              <w:jc w:val="center"/>
              <w:rPr>
                <w:rFonts w:cs="宋体"/>
                <w:color w:val="auto"/>
                <w:kern w:val="0"/>
                <w:szCs w:val="21"/>
              </w:rPr>
            </w:pPr>
            <w:r>
              <w:rPr>
                <w:rFonts w:cs="宋体"/>
                <w:color w:val="auto"/>
                <w:kern w:val="0"/>
                <w:szCs w:val="21"/>
              </w:rPr>
              <w:t>　</w:t>
            </w:r>
          </w:p>
        </w:tc>
        <w:tc>
          <w:tcPr>
            <w:tcW w:w="1237" w:type="dxa"/>
            <w:tcBorders>
              <w:top w:val="nil"/>
              <w:left w:val="nil"/>
              <w:bottom w:val="single" w:color="auto" w:sz="4" w:space="0"/>
              <w:right w:val="single" w:color="auto" w:sz="4" w:space="0"/>
            </w:tcBorders>
            <w:noWrap/>
            <w:vAlign w:val="center"/>
          </w:tcPr>
          <w:p>
            <w:pPr>
              <w:widowControl/>
              <w:jc w:val="center"/>
              <w:rPr>
                <w:rFonts w:cs="宋体"/>
                <w:color w:val="auto"/>
                <w:kern w:val="0"/>
                <w:szCs w:val="21"/>
              </w:rPr>
            </w:pPr>
            <w:r>
              <w:rPr>
                <w:rFonts w:cs="宋体"/>
                <w:color w:val="auto"/>
                <w:kern w:val="0"/>
                <w:szCs w:val="21"/>
              </w:rPr>
              <w:t>100</w:t>
            </w:r>
          </w:p>
        </w:tc>
        <w:tc>
          <w:tcPr>
            <w:tcW w:w="2294"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24"/>
                <w:szCs w:val="24"/>
              </w:rPr>
            </w:pPr>
            <w:r>
              <w:rPr>
                <w:rFonts w:hint="eastAsia" w:ascii="宋体" w:hAnsi="宋体" w:cs="宋体"/>
                <w:color w:val="auto"/>
                <w:kern w:val="0"/>
                <w:sz w:val="24"/>
                <w:szCs w:val="24"/>
              </w:rPr>
              <w:t>　</w:t>
            </w:r>
          </w:p>
        </w:tc>
      </w:tr>
    </w:tbl>
    <w:p>
      <w:pPr>
        <w:pStyle w:val="360"/>
        <w:rPr>
          <w:color w:val="auto"/>
        </w:rPr>
      </w:pPr>
      <w:r>
        <w:rPr>
          <w:rFonts w:hint="eastAsia"/>
          <w:color w:val="auto"/>
        </w:rPr>
        <w:t>注:A为设计阶段合同履约评价得分对应的暂付设计费支付比例。F为设计阶段合同履约评价综合得分对应的暂付设计费余额应返还金额。暂付设计费余额为设计阶段全额设计费与该阶段暂付设计费的差额。具体详见</w:t>
      </w:r>
      <w:r>
        <w:rPr>
          <w:color w:val="auto"/>
        </w:rPr>
        <w:t>《</w:t>
      </w:r>
      <w:r>
        <w:rPr>
          <w:rFonts w:hint="eastAsia" w:ascii="宋体" w:hAnsi="宋体" w:eastAsiaTheme="minorEastAsia"/>
          <w:color w:val="auto"/>
        </w:rPr>
        <w:t>附件</w:t>
      </w:r>
      <w:r>
        <w:rPr>
          <w:rFonts w:ascii="宋体" w:hAnsi="宋体" w:eastAsiaTheme="minorEastAsia"/>
          <w:color w:val="auto"/>
        </w:rPr>
        <w:t>10</w:t>
      </w:r>
      <w:r>
        <w:rPr>
          <w:rFonts w:hint="eastAsia" w:asciiTheme="minorEastAsia" w:hAnsiTheme="minorEastAsia" w:eastAsiaTheme="minorEastAsia"/>
          <w:color w:val="auto"/>
        </w:rPr>
        <w:t>: 省代建局直接管理项目设计单位履约评价实施细则</w:t>
      </w:r>
      <w:r>
        <w:rPr>
          <w:color w:val="auto"/>
        </w:rPr>
        <w:t>》</w:t>
      </w:r>
    </w:p>
    <w:p>
      <w:pPr>
        <w:spacing w:line="360" w:lineRule="auto"/>
        <w:ind w:left="479" w:leftChars="202" w:hanging="55" w:hangingChars="23"/>
        <w:rPr>
          <w:rFonts w:ascii="宋体" w:hAnsi="宋体"/>
          <w:b/>
          <w:color w:val="auto"/>
          <w:sz w:val="24"/>
          <w:szCs w:val="24"/>
        </w:rPr>
      </w:pPr>
      <w:r>
        <w:rPr>
          <w:rFonts w:hint="eastAsia" w:ascii="宋体" w:hAnsi="宋体"/>
          <w:b/>
          <w:color w:val="auto"/>
          <w:sz w:val="24"/>
          <w:szCs w:val="24"/>
        </w:rPr>
        <w:t>10.4.3  BIM费用支付进度详见下表：</w:t>
      </w:r>
    </w:p>
    <w:tbl>
      <w:tblPr>
        <w:tblStyle w:val="55"/>
        <w:tblW w:w="488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8"/>
        <w:gridCol w:w="581"/>
        <w:gridCol w:w="6294"/>
        <w:gridCol w:w="1006"/>
        <w:gridCol w:w="1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641" w:type="pct"/>
            <w:tcBorders>
              <w:top w:val="single" w:color="auto" w:sz="4" w:space="0"/>
              <w:left w:val="single" w:color="auto" w:sz="4" w:space="0"/>
              <w:bottom w:val="single" w:color="auto" w:sz="4" w:space="0"/>
              <w:right w:val="single" w:color="auto" w:sz="4" w:space="0"/>
            </w:tcBorders>
            <w:noWrap/>
            <w:vAlign w:val="center"/>
          </w:tcPr>
          <w:p>
            <w:pPr>
              <w:pStyle w:val="412"/>
              <w:spacing w:line="360" w:lineRule="auto"/>
              <w:rPr>
                <w:rFonts w:hAnsi="宋体"/>
                <w:color w:val="auto"/>
                <w:sz w:val="21"/>
                <w:szCs w:val="21"/>
              </w:rPr>
            </w:pPr>
            <w:r>
              <w:rPr>
                <w:rFonts w:hint="eastAsia" w:hAnsi="宋体"/>
                <w:color w:val="auto"/>
                <w:sz w:val="21"/>
                <w:szCs w:val="21"/>
              </w:rPr>
              <w:t>服务名称</w:t>
            </w:r>
          </w:p>
        </w:tc>
        <w:tc>
          <w:tcPr>
            <w:tcW w:w="589" w:type="pct"/>
            <w:tcBorders>
              <w:top w:val="single" w:color="auto" w:sz="4" w:space="0"/>
              <w:left w:val="single" w:color="auto" w:sz="4" w:space="0"/>
              <w:bottom w:val="single" w:color="auto" w:sz="4" w:space="0"/>
              <w:right w:val="single" w:color="auto" w:sz="4" w:space="0"/>
            </w:tcBorders>
            <w:noWrap/>
            <w:vAlign w:val="center"/>
          </w:tcPr>
          <w:p>
            <w:pPr>
              <w:pStyle w:val="412"/>
              <w:spacing w:line="360" w:lineRule="auto"/>
              <w:rPr>
                <w:rFonts w:hAnsi="宋体"/>
                <w:color w:val="auto"/>
                <w:sz w:val="21"/>
                <w:szCs w:val="21"/>
              </w:rPr>
            </w:pPr>
            <w:r>
              <w:rPr>
                <w:rFonts w:hint="eastAsia" w:hAnsi="宋体"/>
                <w:color w:val="auto"/>
                <w:sz w:val="21"/>
                <w:szCs w:val="21"/>
              </w:rPr>
              <w:t>期次</w:t>
            </w:r>
          </w:p>
        </w:tc>
        <w:tc>
          <w:tcPr>
            <w:tcW w:w="2265" w:type="pct"/>
            <w:tcBorders>
              <w:top w:val="single" w:color="auto" w:sz="4" w:space="0"/>
              <w:left w:val="single" w:color="auto" w:sz="4" w:space="0"/>
              <w:bottom w:val="single" w:color="auto" w:sz="4" w:space="0"/>
              <w:right w:val="single" w:color="auto" w:sz="4" w:space="0"/>
            </w:tcBorders>
            <w:noWrap/>
            <w:vAlign w:val="center"/>
          </w:tcPr>
          <w:p>
            <w:pPr>
              <w:pStyle w:val="412"/>
              <w:spacing w:line="360" w:lineRule="auto"/>
              <w:rPr>
                <w:rFonts w:hAnsi="宋体"/>
                <w:color w:val="auto"/>
                <w:sz w:val="21"/>
                <w:szCs w:val="21"/>
              </w:rPr>
            </w:pPr>
            <w:r>
              <w:rPr>
                <w:rFonts w:hint="eastAsia" w:hAnsi="宋体"/>
                <w:color w:val="auto"/>
                <w:sz w:val="21"/>
                <w:szCs w:val="21"/>
              </w:rPr>
              <w:t>支付节点</w:t>
            </w:r>
          </w:p>
        </w:tc>
        <w:tc>
          <w:tcPr>
            <w:tcW w:w="864" w:type="pct"/>
            <w:tcBorders>
              <w:top w:val="single" w:color="auto" w:sz="4" w:space="0"/>
              <w:left w:val="single" w:color="auto" w:sz="4" w:space="0"/>
              <w:bottom w:val="single" w:color="auto" w:sz="4" w:space="0"/>
              <w:right w:val="single" w:color="auto" w:sz="4" w:space="0"/>
            </w:tcBorders>
            <w:noWrap/>
            <w:vAlign w:val="center"/>
          </w:tcPr>
          <w:p>
            <w:pPr>
              <w:pStyle w:val="412"/>
              <w:spacing w:line="360" w:lineRule="auto"/>
              <w:rPr>
                <w:rFonts w:hAnsi="宋体"/>
                <w:color w:val="auto"/>
                <w:sz w:val="21"/>
                <w:szCs w:val="21"/>
              </w:rPr>
            </w:pPr>
            <w:r>
              <w:rPr>
                <w:rFonts w:hint="eastAsia" w:hAnsi="宋体"/>
                <w:color w:val="auto"/>
                <w:sz w:val="21"/>
                <w:szCs w:val="21"/>
              </w:rPr>
              <w:t>支付比例（</w:t>
            </w:r>
            <w:r>
              <w:rPr>
                <w:rFonts w:hAnsi="宋体"/>
                <w:color w:val="auto"/>
                <w:sz w:val="21"/>
                <w:szCs w:val="21"/>
              </w:rPr>
              <w:t>%</w:t>
            </w:r>
            <w:r>
              <w:rPr>
                <w:rFonts w:hint="eastAsia" w:hAnsi="宋体"/>
                <w:color w:val="auto"/>
                <w:sz w:val="21"/>
                <w:szCs w:val="21"/>
              </w:rPr>
              <w:t>）</w:t>
            </w:r>
          </w:p>
        </w:tc>
        <w:tc>
          <w:tcPr>
            <w:tcW w:w="641" w:type="pct"/>
            <w:tcBorders>
              <w:top w:val="single" w:color="auto" w:sz="4" w:space="0"/>
              <w:left w:val="single" w:color="auto" w:sz="4" w:space="0"/>
              <w:bottom w:val="single" w:color="auto" w:sz="4" w:space="0"/>
              <w:right w:val="single" w:color="auto" w:sz="4" w:space="0"/>
            </w:tcBorders>
            <w:noWrap/>
            <w:vAlign w:val="center"/>
          </w:tcPr>
          <w:p>
            <w:pPr>
              <w:pStyle w:val="412"/>
              <w:spacing w:line="360" w:lineRule="auto"/>
              <w:rPr>
                <w:rFonts w:hAnsi="宋体"/>
                <w:color w:val="auto"/>
                <w:sz w:val="21"/>
                <w:szCs w:val="21"/>
              </w:rPr>
            </w:pPr>
            <w:r>
              <w:rPr>
                <w:rFonts w:hint="eastAsia" w:hAnsi="宋体"/>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641" w:type="pct"/>
            <w:vMerge w:val="restart"/>
            <w:tcBorders>
              <w:top w:val="single" w:color="auto" w:sz="4" w:space="0"/>
              <w:left w:val="single" w:color="auto" w:sz="4" w:space="0"/>
              <w:right w:val="single" w:color="auto" w:sz="4" w:space="0"/>
            </w:tcBorders>
            <w:noWrap/>
            <w:vAlign w:val="center"/>
          </w:tcPr>
          <w:p>
            <w:pPr>
              <w:pStyle w:val="412"/>
              <w:spacing w:line="360" w:lineRule="auto"/>
              <w:rPr>
                <w:rFonts w:hAnsi="宋体"/>
                <w:color w:val="auto"/>
                <w:sz w:val="21"/>
                <w:szCs w:val="21"/>
              </w:rPr>
            </w:pPr>
            <w:r>
              <w:rPr>
                <w:rFonts w:hint="eastAsia" w:hAnsi="宋体"/>
                <w:color w:val="auto"/>
                <w:sz w:val="21"/>
                <w:szCs w:val="21"/>
              </w:rPr>
              <w:t>BIM费用（</w:t>
            </w:r>
            <w:r>
              <w:rPr>
                <w:rFonts w:hAnsi="宋体"/>
                <w:color w:val="auto"/>
                <w:sz w:val="21"/>
                <w:szCs w:val="21"/>
              </w:rPr>
              <w:t>100%</w:t>
            </w:r>
            <w:r>
              <w:rPr>
                <w:rFonts w:hint="eastAsia" w:hAnsi="宋体"/>
                <w:color w:val="auto"/>
                <w:sz w:val="21"/>
                <w:szCs w:val="21"/>
              </w:rPr>
              <w:t>）</w:t>
            </w:r>
          </w:p>
        </w:tc>
        <w:tc>
          <w:tcPr>
            <w:tcW w:w="589" w:type="pct"/>
            <w:tcBorders>
              <w:top w:val="single" w:color="auto" w:sz="4" w:space="0"/>
              <w:left w:val="single" w:color="auto" w:sz="4" w:space="0"/>
              <w:bottom w:val="single" w:color="auto" w:sz="4" w:space="0"/>
              <w:right w:val="single" w:color="auto" w:sz="4" w:space="0"/>
            </w:tcBorders>
            <w:noWrap/>
            <w:vAlign w:val="center"/>
          </w:tcPr>
          <w:p>
            <w:pPr>
              <w:pStyle w:val="412"/>
              <w:spacing w:line="360" w:lineRule="auto"/>
              <w:rPr>
                <w:rFonts w:hAnsi="宋体"/>
                <w:color w:val="auto"/>
                <w:sz w:val="21"/>
                <w:szCs w:val="21"/>
              </w:rPr>
            </w:pPr>
            <w:r>
              <w:rPr>
                <w:rFonts w:hint="eastAsia" w:hAnsi="宋体"/>
                <w:color w:val="auto"/>
                <w:sz w:val="21"/>
                <w:szCs w:val="21"/>
              </w:rPr>
              <w:t>第</w:t>
            </w:r>
            <w:r>
              <w:rPr>
                <w:rFonts w:hAnsi="宋体"/>
                <w:color w:val="auto"/>
                <w:sz w:val="21"/>
                <w:szCs w:val="21"/>
              </w:rPr>
              <w:t>1</w:t>
            </w:r>
            <w:r>
              <w:rPr>
                <w:rFonts w:hint="eastAsia" w:hAnsi="宋体"/>
                <w:color w:val="auto"/>
                <w:sz w:val="21"/>
                <w:szCs w:val="21"/>
              </w:rPr>
              <w:t>期</w:t>
            </w:r>
          </w:p>
        </w:tc>
        <w:tc>
          <w:tcPr>
            <w:tcW w:w="2265" w:type="pct"/>
            <w:tcBorders>
              <w:top w:val="single" w:color="auto" w:sz="4" w:space="0"/>
              <w:left w:val="single" w:color="auto" w:sz="4" w:space="0"/>
              <w:bottom w:val="single" w:color="auto" w:sz="4" w:space="0"/>
              <w:right w:val="single" w:color="auto" w:sz="4" w:space="0"/>
            </w:tcBorders>
            <w:noWrap/>
            <w:vAlign w:val="center"/>
          </w:tcPr>
          <w:p>
            <w:pPr>
              <w:pStyle w:val="412"/>
              <w:spacing w:line="360" w:lineRule="auto"/>
              <w:rPr>
                <w:rFonts w:hAnsi="宋体"/>
                <w:color w:val="auto"/>
                <w:sz w:val="21"/>
                <w:szCs w:val="21"/>
              </w:rPr>
            </w:pPr>
            <w:r>
              <w:rPr>
                <w:rFonts w:hint="eastAsia" w:hAnsi="宋体"/>
                <w:color w:val="auto"/>
                <w:sz w:val="21"/>
                <w:szCs w:val="21"/>
              </w:rPr>
              <w:t>提交本项目《方案设计阶段与初步设计阶段BIM实施方案》，经甲方相关部门或甲方委托的第三方BIM顾问确认后</w:t>
            </w:r>
          </w:p>
        </w:tc>
        <w:tc>
          <w:tcPr>
            <w:tcW w:w="864" w:type="pct"/>
            <w:tcBorders>
              <w:top w:val="single" w:color="auto" w:sz="4" w:space="0"/>
              <w:left w:val="single" w:color="auto" w:sz="4" w:space="0"/>
              <w:bottom w:val="single" w:color="auto" w:sz="4" w:space="0"/>
              <w:right w:val="single" w:color="auto" w:sz="4" w:space="0"/>
            </w:tcBorders>
            <w:noWrap/>
            <w:vAlign w:val="center"/>
          </w:tcPr>
          <w:p>
            <w:pPr>
              <w:pStyle w:val="412"/>
              <w:spacing w:line="360" w:lineRule="auto"/>
              <w:rPr>
                <w:rFonts w:hAnsi="宋体"/>
                <w:color w:val="auto"/>
                <w:sz w:val="21"/>
                <w:szCs w:val="21"/>
              </w:rPr>
            </w:pPr>
            <w:r>
              <w:rPr>
                <w:rFonts w:hAnsi="宋体"/>
                <w:color w:val="auto"/>
                <w:sz w:val="21"/>
                <w:szCs w:val="21"/>
              </w:rPr>
              <w:t>15</w:t>
            </w:r>
          </w:p>
        </w:tc>
        <w:tc>
          <w:tcPr>
            <w:tcW w:w="641" w:type="pct"/>
            <w:tcBorders>
              <w:top w:val="single" w:color="auto" w:sz="4" w:space="0"/>
              <w:left w:val="single" w:color="auto" w:sz="4" w:space="0"/>
              <w:bottom w:val="single" w:color="auto" w:sz="4" w:space="0"/>
              <w:right w:val="single" w:color="auto" w:sz="4" w:space="0"/>
            </w:tcBorders>
            <w:noWrap/>
            <w:vAlign w:val="center"/>
          </w:tcPr>
          <w:p>
            <w:pPr>
              <w:pStyle w:val="412"/>
              <w:spacing w:line="360" w:lineRule="auto"/>
              <w:rPr>
                <w:rFonts w:hAnsi="宋体"/>
                <w:color w:val="auto"/>
                <w:sz w:val="21"/>
                <w:szCs w:val="21"/>
              </w:rPr>
            </w:pPr>
            <w:r>
              <w:rPr>
                <w:rFonts w:hint="eastAsia" w:hAnsi="宋体"/>
                <w:color w:val="auto"/>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641" w:type="pct"/>
            <w:vMerge w:val="continue"/>
            <w:tcBorders>
              <w:left w:val="single" w:color="auto" w:sz="4" w:space="0"/>
              <w:right w:val="single" w:color="auto" w:sz="4" w:space="0"/>
            </w:tcBorders>
            <w:noWrap/>
            <w:vAlign w:val="center"/>
          </w:tcPr>
          <w:p>
            <w:pPr>
              <w:pStyle w:val="412"/>
              <w:spacing w:line="360" w:lineRule="auto"/>
              <w:rPr>
                <w:rFonts w:hAnsi="宋体"/>
                <w:color w:val="auto"/>
                <w:sz w:val="21"/>
                <w:szCs w:val="21"/>
              </w:rPr>
            </w:pPr>
          </w:p>
        </w:tc>
        <w:tc>
          <w:tcPr>
            <w:tcW w:w="589" w:type="pct"/>
            <w:tcBorders>
              <w:top w:val="single" w:color="auto" w:sz="4" w:space="0"/>
              <w:left w:val="single" w:color="auto" w:sz="4" w:space="0"/>
              <w:bottom w:val="single" w:color="auto" w:sz="4" w:space="0"/>
              <w:right w:val="single" w:color="auto" w:sz="4" w:space="0"/>
            </w:tcBorders>
            <w:noWrap/>
            <w:vAlign w:val="center"/>
          </w:tcPr>
          <w:p>
            <w:pPr>
              <w:pStyle w:val="412"/>
              <w:spacing w:line="360" w:lineRule="auto"/>
              <w:rPr>
                <w:rFonts w:hAnsi="宋体"/>
                <w:color w:val="auto"/>
                <w:sz w:val="21"/>
                <w:szCs w:val="21"/>
              </w:rPr>
            </w:pPr>
            <w:r>
              <w:rPr>
                <w:rFonts w:hint="eastAsia" w:hAnsi="宋体"/>
                <w:color w:val="auto"/>
                <w:sz w:val="21"/>
                <w:szCs w:val="21"/>
              </w:rPr>
              <w:t>第</w:t>
            </w:r>
            <w:r>
              <w:rPr>
                <w:rFonts w:hAnsi="宋体"/>
                <w:color w:val="auto"/>
                <w:sz w:val="21"/>
                <w:szCs w:val="21"/>
              </w:rPr>
              <w:t>2</w:t>
            </w:r>
            <w:r>
              <w:rPr>
                <w:rFonts w:hint="eastAsia" w:hAnsi="宋体"/>
                <w:color w:val="auto"/>
                <w:sz w:val="21"/>
                <w:szCs w:val="21"/>
              </w:rPr>
              <w:t>期</w:t>
            </w:r>
          </w:p>
        </w:tc>
        <w:tc>
          <w:tcPr>
            <w:tcW w:w="2265" w:type="pct"/>
            <w:tcBorders>
              <w:top w:val="single" w:color="auto" w:sz="4" w:space="0"/>
              <w:left w:val="single" w:color="auto" w:sz="4" w:space="0"/>
              <w:bottom w:val="single" w:color="auto" w:sz="4" w:space="0"/>
              <w:right w:val="single" w:color="auto" w:sz="4" w:space="0"/>
            </w:tcBorders>
            <w:noWrap/>
            <w:vAlign w:val="center"/>
          </w:tcPr>
          <w:p>
            <w:pPr>
              <w:pStyle w:val="412"/>
              <w:spacing w:line="360" w:lineRule="auto"/>
              <w:rPr>
                <w:rFonts w:hAnsi="宋体"/>
                <w:color w:val="auto"/>
                <w:sz w:val="21"/>
                <w:szCs w:val="21"/>
              </w:rPr>
            </w:pPr>
            <w:r>
              <w:rPr>
                <w:rFonts w:hint="eastAsia" w:hAnsi="宋体"/>
                <w:color w:val="auto"/>
                <w:sz w:val="21"/>
                <w:szCs w:val="21"/>
              </w:rPr>
              <w:t>方案设计阶段BIM成果完成提交，经甲方相关部门或甲方委托的第三方BIM顾问确认后</w:t>
            </w:r>
          </w:p>
        </w:tc>
        <w:tc>
          <w:tcPr>
            <w:tcW w:w="864" w:type="pct"/>
            <w:tcBorders>
              <w:top w:val="single" w:color="auto" w:sz="4" w:space="0"/>
              <w:left w:val="single" w:color="auto" w:sz="4" w:space="0"/>
              <w:bottom w:val="single" w:color="auto" w:sz="4" w:space="0"/>
              <w:right w:val="single" w:color="auto" w:sz="4" w:space="0"/>
            </w:tcBorders>
            <w:noWrap/>
            <w:vAlign w:val="center"/>
          </w:tcPr>
          <w:p>
            <w:pPr>
              <w:pStyle w:val="412"/>
              <w:spacing w:line="360" w:lineRule="auto"/>
              <w:rPr>
                <w:rFonts w:hAnsi="宋体"/>
                <w:color w:val="auto"/>
                <w:sz w:val="21"/>
                <w:szCs w:val="21"/>
              </w:rPr>
            </w:pPr>
            <w:r>
              <w:rPr>
                <w:rFonts w:hint="eastAsia" w:hAnsi="宋体"/>
                <w:color w:val="auto"/>
                <w:sz w:val="21"/>
                <w:szCs w:val="21"/>
              </w:rPr>
              <w:t>30</w:t>
            </w:r>
          </w:p>
        </w:tc>
        <w:tc>
          <w:tcPr>
            <w:tcW w:w="641" w:type="pct"/>
            <w:tcBorders>
              <w:top w:val="single" w:color="auto" w:sz="4" w:space="0"/>
              <w:left w:val="single" w:color="auto" w:sz="4" w:space="0"/>
              <w:bottom w:val="single" w:color="auto" w:sz="4" w:space="0"/>
              <w:right w:val="single" w:color="auto" w:sz="4" w:space="0"/>
            </w:tcBorders>
            <w:noWrap/>
            <w:vAlign w:val="center"/>
          </w:tcPr>
          <w:p>
            <w:pPr>
              <w:pStyle w:val="412"/>
              <w:spacing w:line="360" w:lineRule="auto"/>
              <w:rPr>
                <w:rFonts w:hAnsi="宋体"/>
                <w:color w:val="auto"/>
                <w:sz w:val="21"/>
                <w:szCs w:val="21"/>
              </w:rPr>
            </w:pPr>
            <w:r>
              <w:rPr>
                <w:rFonts w:hint="eastAsia" w:hAnsi="宋体"/>
                <w:color w:val="auto"/>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641" w:type="pct"/>
            <w:vMerge w:val="continue"/>
            <w:tcBorders>
              <w:left w:val="single" w:color="auto" w:sz="4" w:space="0"/>
              <w:right w:val="single" w:color="auto" w:sz="4" w:space="0"/>
            </w:tcBorders>
            <w:noWrap/>
            <w:vAlign w:val="center"/>
          </w:tcPr>
          <w:p>
            <w:pPr>
              <w:pStyle w:val="412"/>
              <w:spacing w:line="360" w:lineRule="auto"/>
              <w:rPr>
                <w:rFonts w:hAnsi="宋体"/>
                <w:color w:val="auto"/>
                <w:sz w:val="21"/>
                <w:szCs w:val="21"/>
              </w:rPr>
            </w:pPr>
          </w:p>
        </w:tc>
        <w:tc>
          <w:tcPr>
            <w:tcW w:w="589" w:type="pct"/>
            <w:tcBorders>
              <w:top w:val="single" w:color="auto" w:sz="4" w:space="0"/>
              <w:left w:val="single" w:color="auto" w:sz="4" w:space="0"/>
              <w:bottom w:val="single" w:color="auto" w:sz="4" w:space="0"/>
              <w:right w:val="single" w:color="auto" w:sz="4" w:space="0"/>
            </w:tcBorders>
            <w:noWrap/>
            <w:vAlign w:val="center"/>
          </w:tcPr>
          <w:p>
            <w:pPr>
              <w:pStyle w:val="412"/>
              <w:spacing w:line="360" w:lineRule="auto"/>
              <w:rPr>
                <w:rFonts w:hAnsi="宋体"/>
                <w:color w:val="auto"/>
                <w:sz w:val="21"/>
                <w:szCs w:val="21"/>
              </w:rPr>
            </w:pPr>
            <w:r>
              <w:rPr>
                <w:rFonts w:hint="eastAsia" w:hAnsi="宋体"/>
                <w:color w:val="auto"/>
                <w:sz w:val="21"/>
                <w:szCs w:val="21"/>
              </w:rPr>
              <w:t>第</w:t>
            </w:r>
            <w:r>
              <w:rPr>
                <w:rFonts w:hAnsi="宋体"/>
                <w:color w:val="auto"/>
                <w:sz w:val="21"/>
                <w:szCs w:val="21"/>
              </w:rPr>
              <w:t>3</w:t>
            </w:r>
            <w:r>
              <w:rPr>
                <w:rFonts w:hint="eastAsia" w:hAnsi="宋体"/>
                <w:color w:val="auto"/>
                <w:sz w:val="21"/>
                <w:szCs w:val="21"/>
              </w:rPr>
              <w:t>期</w:t>
            </w:r>
          </w:p>
        </w:tc>
        <w:tc>
          <w:tcPr>
            <w:tcW w:w="2265" w:type="pct"/>
            <w:tcBorders>
              <w:top w:val="single" w:color="auto" w:sz="4" w:space="0"/>
              <w:left w:val="single" w:color="auto" w:sz="4" w:space="0"/>
              <w:bottom w:val="single" w:color="auto" w:sz="4" w:space="0"/>
              <w:right w:val="single" w:color="auto" w:sz="4" w:space="0"/>
            </w:tcBorders>
            <w:noWrap/>
            <w:vAlign w:val="center"/>
          </w:tcPr>
          <w:p>
            <w:pPr>
              <w:pStyle w:val="412"/>
              <w:spacing w:line="360" w:lineRule="auto"/>
              <w:rPr>
                <w:rFonts w:hAnsi="宋体"/>
                <w:color w:val="auto"/>
                <w:sz w:val="21"/>
                <w:szCs w:val="21"/>
              </w:rPr>
            </w:pPr>
            <w:r>
              <w:rPr>
                <w:rFonts w:hint="eastAsia" w:hAnsi="宋体"/>
                <w:color w:val="auto"/>
                <w:sz w:val="21"/>
                <w:szCs w:val="21"/>
              </w:rPr>
              <w:t>初步设计阶段BIM成果完成提交，经甲方相关部门或甲方委托的第三方BIM顾问确认后</w:t>
            </w:r>
          </w:p>
        </w:tc>
        <w:tc>
          <w:tcPr>
            <w:tcW w:w="864" w:type="pct"/>
            <w:tcBorders>
              <w:top w:val="single" w:color="auto" w:sz="4" w:space="0"/>
              <w:left w:val="single" w:color="auto" w:sz="4" w:space="0"/>
              <w:bottom w:val="single" w:color="auto" w:sz="4" w:space="0"/>
              <w:right w:val="single" w:color="auto" w:sz="4" w:space="0"/>
            </w:tcBorders>
            <w:noWrap/>
            <w:vAlign w:val="center"/>
          </w:tcPr>
          <w:p>
            <w:pPr>
              <w:pStyle w:val="412"/>
              <w:spacing w:line="360" w:lineRule="auto"/>
              <w:rPr>
                <w:rFonts w:hAnsi="宋体"/>
                <w:color w:val="auto"/>
                <w:sz w:val="21"/>
                <w:szCs w:val="21"/>
              </w:rPr>
            </w:pPr>
            <w:r>
              <w:rPr>
                <w:rFonts w:hint="eastAsia" w:hAnsi="宋体"/>
                <w:color w:val="auto"/>
                <w:sz w:val="21"/>
                <w:szCs w:val="21"/>
              </w:rPr>
              <w:t>30</w:t>
            </w:r>
          </w:p>
        </w:tc>
        <w:tc>
          <w:tcPr>
            <w:tcW w:w="641" w:type="pct"/>
            <w:tcBorders>
              <w:top w:val="single" w:color="auto" w:sz="4" w:space="0"/>
              <w:left w:val="single" w:color="auto" w:sz="4" w:space="0"/>
              <w:bottom w:val="single" w:color="auto" w:sz="4" w:space="0"/>
              <w:right w:val="single" w:color="auto" w:sz="4" w:space="0"/>
            </w:tcBorders>
            <w:noWrap/>
            <w:vAlign w:val="center"/>
          </w:tcPr>
          <w:p>
            <w:pPr>
              <w:pStyle w:val="412"/>
              <w:spacing w:line="360" w:lineRule="auto"/>
              <w:rPr>
                <w:rFonts w:hAnsi="宋体"/>
                <w:color w:val="auto"/>
                <w:sz w:val="21"/>
                <w:szCs w:val="21"/>
              </w:rPr>
            </w:pPr>
            <w:r>
              <w:rPr>
                <w:rFonts w:hint="eastAsia" w:hAnsi="宋体"/>
                <w:color w:val="auto"/>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641" w:type="pct"/>
            <w:vMerge w:val="continue"/>
            <w:tcBorders>
              <w:left w:val="single" w:color="auto" w:sz="4" w:space="0"/>
              <w:right w:val="single" w:color="auto" w:sz="4" w:space="0"/>
            </w:tcBorders>
            <w:noWrap/>
            <w:vAlign w:val="center"/>
          </w:tcPr>
          <w:p>
            <w:pPr>
              <w:pStyle w:val="412"/>
              <w:spacing w:line="360" w:lineRule="auto"/>
              <w:rPr>
                <w:rFonts w:hAnsi="宋体"/>
                <w:color w:val="auto"/>
                <w:sz w:val="21"/>
                <w:szCs w:val="21"/>
              </w:rPr>
            </w:pPr>
          </w:p>
        </w:tc>
        <w:tc>
          <w:tcPr>
            <w:tcW w:w="589" w:type="pct"/>
            <w:tcBorders>
              <w:top w:val="single" w:color="auto" w:sz="4" w:space="0"/>
              <w:left w:val="single" w:color="auto" w:sz="4" w:space="0"/>
              <w:bottom w:val="single" w:color="auto" w:sz="4" w:space="0"/>
              <w:right w:val="single" w:color="auto" w:sz="4" w:space="0"/>
            </w:tcBorders>
            <w:noWrap/>
            <w:vAlign w:val="center"/>
          </w:tcPr>
          <w:p>
            <w:pPr>
              <w:pStyle w:val="412"/>
              <w:spacing w:line="360" w:lineRule="auto"/>
              <w:rPr>
                <w:rFonts w:hAnsi="宋体"/>
                <w:color w:val="auto"/>
                <w:sz w:val="21"/>
                <w:szCs w:val="21"/>
              </w:rPr>
            </w:pPr>
            <w:r>
              <w:rPr>
                <w:rFonts w:hint="eastAsia" w:hAnsi="宋体"/>
                <w:color w:val="auto"/>
                <w:sz w:val="21"/>
                <w:szCs w:val="21"/>
              </w:rPr>
              <w:t>第</w:t>
            </w:r>
            <w:r>
              <w:rPr>
                <w:rFonts w:hAnsi="宋体"/>
                <w:color w:val="auto"/>
                <w:sz w:val="21"/>
                <w:szCs w:val="21"/>
              </w:rPr>
              <w:t>4</w:t>
            </w:r>
            <w:r>
              <w:rPr>
                <w:rFonts w:hint="eastAsia" w:hAnsi="宋体"/>
                <w:color w:val="auto"/>
                <w:sz w:val="21"/>
                <w:szCs w:val="21"/>
              </w:rPr>
              <w:t>期</w:t>
            </w:r>
          </w:p>
        </w:tc>
        <w:tc>
          <w:tcPr>
            <w:tcW w:w="2265" w:type="pct"/>
            <w:tcBorders>
              <w:top w:val="single" w:color="auto" w:sz="4" w:space="0"/>
              <w:left w:val="single" w:color="auto" w:sz="4" w:space="0"/>
              <w:bottom w:val="single" w:color="auto" w:sz="4" w:space="0"/>
              <w:right w:val="single" w:color="auto" w:sz="4" w:space="0"/>
            </w:tcBorders>
            <w:noWrap/>
            <w:vAlign w:val="center"/>
          </w:tcPr>
          <w:p>
            <w:pPr>
              <w:pStyle w:val="412"/>
              <w:spacing w:line="360" w:lineRule="auto"/>
              <w:rPr>
                <w:rFonts w:hAnsi="宋体"/>
                <w:color w:val="auto"/>
                <w:sz w:val="21"/>
                <w:szCs w:val="21"/>
              </w:rPr>
            </w:pPr>
            <w:r>
              <w:rPr>
                <w:rFonts w:hint="eastAsia" w:hAnsi="宋体"/>
                <w:color w:val="auto"/>
                <w:sz w:val="21"/>
                <w:szCs w:val="21"/>
              </w:rPr>
              <w:t>施工图设计阶段，配合施工阶段设计单位完成BIM成果提交，经甲方相关部门或甲方委托的第三方BIM顾问确认后</w:t>
            </w:r>
          </w:p>
        </w:tc>
        <w:tc>
          <w:tcPr>
            <w:tcW w:w="864" w:type="pct"/>
            <w:tcBorders>
              <w:top w:val="single" w:color="auto" w:sz="4" w:space="0"/>
              <w:left w:val="single" w:color="auto" w:sz="4" w:space="0"/>
              <w:bottom w:val="single" w:color="auto" w:sz="4" w:space="0"/>
              <w:right w:val="single" w:color="auto" w:sz="4" w:space="0"/>
            </w:tcBorders>
            <w:noWrap/>
            <w:vAlign w:val="center"/>
          </w:tcPr>
          <w:p>
            <w:pPr>
              <w:pStyle w:val="412"/>
              <w:spacing w:line="360" w:lineRule="auto"/>
              <w:rPr>
                <w:rFonts w:hAnsi="宋体"/>
                <w:color w:val="auto"/>
                <w:sz w:val="21"/>
                <w:szCs w:val="21"/>
              </w:rPr>
            </w:pPr>
            <w:r>
              <w:rPr>
                <w:rFonts w:hint="eastAsia" w:hAnsi="宋体"/>
                <w:color w:val="auto"/>
                <w:sz w:val="21"/>
                <w:szCs w:val="21"/>
              </w:rPr>
              <w:t>20</w:t>
            </w:r>
          </w:p>
        </w:tc>
        <w:tc>
          <w:tcPr>
            <w:tcW w:w="641" w:type="pct"/>
            <w:tcBorders>
              <w:top w:val="single" w:color="auto" w:sz="4" w:space="0"/>
              <w:left w:val="single" w:color="auto" w:sz="4" w:space="0"/>
              <w:bottom w:val="single" w:color="auto" w:sz="4" w:space="0"/>
              <w:right w:val="single" w:color="auto" w:sz="4" w:space="0"/>
            </w:tcBorders>
            <w:noWrap/>
            <w:vAlign w:val="center"/>
          </w:tcPr>
          <w:p>
            <w:pPr>
              <w:pStyle w:val="412"/>
              <w:spacing w:line="360" w:lineRule="auto"/>
              <w:rPr>
                <w:rFonts w:hAnsi="宋体"/>
                <w:color w:val="auto"/>
                <w:sz w:val="21"/>
                <w:szCs w:val="21"/>
              </w:rPr>
            </w:pPr>
            <w:r>
              <w:rPr>
                <w:rFonts w:hint="eastAsia" w:hAnsi="宋体"/>
                <w:color w:val="auto"/>
                <w:sz w:val="21"/>
                <w:szCs w:val="21"/>
              </w:rPr>
              <w:t>施工图配合阶段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641" w:type="pct"/>
            <w:vMerge w:val="continue"/>
            <w:tcBorders>
              <w:left w:val="single" w:color="auto" w:sz="4" w:space="0"/>
              <w:right w:val="single" w:color="auto" w:sz="4" w:space="0"/>
            </w:tcBorders>
            <w:noWrap/>
            <w:vAlign w:val="center"/>
          </w:tcPr>
          <w:p>
            <w:pPr>
              <w:pStyle w:val="412"/>
              <w:spacing w:line="360" w:lineRule="auto"/>
              <w:rPr>
                <w:rFonts w:hAnsi="宋体"/>
                <w:color w:val="auto"/>
                <w:sz w:val="21"/>
                <w:szCs w:val="21"/>
              </w:rPr>
            </w:pPr>
          </w:p>
        </w:tc>
        <w:tc>
          <w:tcPr>
            <w:tcW w:w="589" w:type="pct"/>
            <w:tcBorders>
              <w:top w:val="single" w:color="auto" w:sz="4" w:space="0"/>
              <w:left w:val="single" w:color="auto" w:sz="4" w:space="0"/>
              <w:bottom w:val="single" w:color="auto" w:sz="4" w:space="0"/>
              <w:right w:val="single" w:color="auto" w:sz="4" w:space="0"/>
            </w:tcBorders>
            <w:noWrap/>
            <w:vAlign w:val="center"/>
          </w:tcPr>
          <w:p>
            <w:pPr>
              <w:pStyle w:val="412"/>
              <w:spacing w:line="360" w:lineRule="auto"/>
              <w:rPr>
                <w:rFonts w:hAnsi="宋体"/>
                <w:color w:val="auto"/>
                <w:sz w:val="21"/>
                <w:szCs w:val="21"/>
              </w:rPr>
            </w:pPr>
            <w:r>
              <w:rPr>
                <w:rFonts w:hint="eastAsia" w:hAnsi="宋体"/>
                <w:color w:val="auto"/>
                <w:sz w:val="21"/>
                <w:szCs w:val="21"/>
              </w:rPr>
              <w:t>第五期</w:t>
            </w:r>
          </w:p>
        </w:tc>
        <w:tc>
          <w:tcPr>
            <w:tcW w:w="2265" w:type="pct"/>
            <w:tcBorders>
              <w:top w:val="single" w:color="auto" w:sz="4" w:space="0"/>
              <w:left w:val="single" w:color="auto" w:sz="4" w:space="0"/>
              <w:bottom w:val="single" w:color="auto" w:sz="4" w:space="0"/>
              <w:right w:val="single" w:color="auto" w:sz="4" w:space="0"/>
            </w:tcBorders>
            <w:noWrap/>
            <w:vAlign w:val="center"/>
          </w:tcPr>
          <w:p>
            <w:pPr>
              <w:pStyle w:val="412"/>
              <w:spacing w:line="360" w:lineRule="auto"/>
              <w:rPr>
                <w:rFonts w:hAnsi="宋体"/>
                <w:color w:val="auto"/>
                <w:sz w:val="21"/>
                <w:szCs w:val="21"/>
              </w:rPr>
            </w:pPr>
            <w:r>
              <w:rPr>
                <w:rFonts w:hint="eastAsia" w:hAnsi="宋体"/>
                <w:color w:val="auto"/>
                <w:sz w:val="21"/>
                <w:szCs w:val="21"/>
              </w:rPr>
              <w:t>累计支付至结算阶段审定的BIM服务费合同额的100%</w:t>
            </w:r>
          </w:p>
        </w:tc>
        <w:tc>
          <w:tcPr>
            <w:tcW w:w="864" w:type="pct"/>
            <w:tcBorders>
              <w:top w:val="single" w:color="auto" w:sz="4" w:space="0"/>
              <w:left w:val="single" w:color="auto" w:sz="4" w:space="0"/>
              <w:bottom w:val="single" w:color="auto" w:sz="4" w:space="0"/>
              <w:right w:val="single" w:color="auto" w:sz="4" w:space="0"/>
            </w:tcBorders>
            <w:noWrap/>
            <w:vAlign w:val="center"/>
          </w:tcPr>
          <w:p>
            <w:pPr>
              <w:pStyle w:val="412"/>
              <w:spacing w:line="360" w:lineRule="auto"/>
              <w:rPr>
                <w:rFonts w:hAnsi="宋体"/>
                <w:color w:val="auto"/>
                <w:sz w:val="21"/>
                <w:szCs w:val="21"/>
              </w:rPr>
            </w:pPr>
            <w:r>
              <w:rPr>
                <w:rFonts w:hAnsi="宋体"/>
                <w:color w:val="auto"/>
                <w:sz w:val="21"/>
                <w:szCs w:val="21"/>
              </w:rPr>
              <w:t>5</w:t>
            </w:r>
          </w:p>
        </w:tc>
        <w:tc>
          <w:tcPr>
            <w:tcW w:w="641" w:type="pct"/>
            <w:tcBorders>
              <w:top w:val="single" w:color="auto" w:sz="4" w:space="0"/>
              <w:left w:val="single" w:color="auto" w:sz="4" w:space="0"/>
              <w:bottom w:val="single" w:color="auto" w:sz="4" w:space="0"/>
              <w:right w:val="single" w:color="auto" w:sz="4" w:space="0"/>
            </w:tcBorders>
            <w:noWrap/>
            <w:vAlign w:val="center"/>
          </w:tcPr>
          <w:p>
            <w:pPr>
              <w:pStyle w:val="412"/>
              <w:spacing w:line="360" w:lineRule="auto"/>
              <w:rPr>
                <w:rFonts w:hAnsi="宋体"/>
                <w:color w:val="auto"/>
                <w:sz w:val="21"/>
                <w:szCs w:val="21"/>
              </w:rPr>
            </w:pPr>
            <w:r>
              <w:rPr>
                <w:rFonts w:hint="eastAsia" w:hAnsi="宋体"/>
                <w:color w:val="auto"/>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641" w:type="pct"/>
            <w:vMerge w:val="continue"/>
            <w:tcBorders>
              <w:left w:val="single" w:color="auto" w:sz="4" w:space="0"/>
              <w:bottom w:val="single" w:color="auto" w:sz="4" w:space="0"/>
              <w:right w:val="single" w:color="auto" w:sz="4" w:space="0"/>
            </w:tcBorders>
            <w:noWrap/>
            <w:vAlign w:val="center"/>
          </w:tcPr>
          <w:p>
            <w:pPr>
              <w:pStyle w:val="412"/>
              <w:spacing w:line="360" w:lineRule="auto"/>
              <w:rPr>
                <w:rFonts w:hAnsi="宋体"/>
                <w:color w:val="auto"/>
                <w:sz w:val="21"/>
                <w:szCs w:val="21"/>
              </w:rPr>
            </w:pPr>
          </w:p>
        </w:tc>
        <w:tc>
          <w:tcPr>
            <w:tcW w:w="589" w:type="pct"/>
            <w:tcBorders>
              <w:top w:val="single" w:color="auto" w:sz="4" w:space="0"/>
              <w:left w:val="single" w:color="auto" w:sz="4" w:space="0"/>
              <w:bottom w:val="single" w:color="auto" w:sz="4" w:space="0"/>
              <w:right w:val="single" w:color="auto" w:sz="4" w:space="0"/>
            </w:tcBorders>
            <w:noWrap/>
            <w:vAlign w:val="center"/>
          </w:tcPr>
          <w:p>
            <w:pPr>
              <w:pStyle w:val="412"/>
              <w:spacing w:line="360" w:lineRule="auto"/>
              <w:rPr>
                <w:rFonts w:hAnsi="宋体"/>
                <w:color w:val="auto"/>
                <w:sz w:val="21"/>
                <w:szCs w:val="21"/>
              </w:rPr>
            </w:pPr>
            <w:r>
              <w:rPr>
                <w:rFonts w:hint="eastAsia" w:hAnsi="宋体"/>
                <w:color w:val="auto"/>
                <w:sz w:val="21"/>
                <w:szCs w:val="21"/>
              </w:rPr>
              <w:t>总计</w:t>
            </w:r>
          </w:p>
        </w:tc>
        <w:tc>
          <w:tcPr>
            <w:tcW w:w="2265" w:type="pct"/>
            <w:tcBorders>
              <w:top w:val="single" w:color="auto" w:sz="4" w:space="0"/>
              <w:left w:val="single" w:color="auto" w:sz="4" w:space="0"/>
              <w:bottom w:val="single" w:color="auto" w:sz="4" w:space="0"/>
              <w:right w:val="single" w:color="auto" w:sz="4" w:space="0"/>
            </w:tcBorders>
            <w:noWrap/>
            <w:vAlign w:val="center"/>
          </w:tcPr>
          <w:p>
            <w:pPr>
              <w:pStyle w:val="412"/>
              <w:spacing w:line="360" w:lineRule="auto"/>
              <w:rPr>
                <w:rFonts w:hAnsi="宋体"/>
                <w:color w:val="auto"/>
                <w:sz w:val="21"/>
                <w:szCs w:val="21"/>
              </w:rPr>
            </w:pPr>
            <w:r>
              <w:rPr>
                <w:rFonts w:hAnsi="宋体"/>
                <w:color w:val="auto"/>
                <w:sz w:val="21"/>
                <w:szCs w:val="21"/>
              </w:rPr>
              <w:t>　</w:t>
            </w:r>
          </w:p>
        </w:tc>
        <w:tc>
          <w:tcPr>
            <w:tcW w:w="864" w:type="pct"/>
            <w:tcBorders>
              <w:top w:val="single" w:color="auto" w:sz="4" w:space="0"/>
              <w:left w:val="single" w:color="auto" w:sz="4" w:space="0"/>
              <w:bottom w:val="single" w:color="auto" w:sz="4" w:space="0"/>
              <w:right w:val="single" w:color="auto" w:sz="4" w:space="0"/>
            </w:tcBorders>
            <w:noWrap/>
            <w:vAlign w:val="center"/>
          </w:tcPr>
          <w:p>
            <w:pPr>
              <w:pStyle w:val="412"/>
              <w:spacing w:line="360" w:lineRule="auto"/>
              <w:rPr>
                <w:rFonts w:hAnsi="宋体"/>
                <w:color w:val="auto"/>
                <w:sz w:val="21"/>
                <w:szCs w:val="21"/>
              </w:rPr>
            </w:pPr>
            <w:r>
              <w:rPr>
                <w:rFonts w:hAnsi="宋体"/>
                <w:color w:val="auto"/>
                <w:sz w:val="21"/>
                <w:szCs w:val="21"/>
              </w:rPr>
              <w:t>100</w:t>
            </w:r>
          </w:p>
        </w:tc>
        <w:tc>
          <w:tcPr>
            <w:tcW w:w="641" w:type="pct"/>
            <w:tcBorders>
              <w:top w:val="single" w:color="auto" w:sz="4" w:space="0"/>
              <w:left w:val="single" w:color="auto" w:sz="4" w:space="0"/>
              <w:bottom w:val="single" w:color="auto" w:sz="4" w:space="0"/>
              <w:right w:val="single" w:color="auto" w:sz="4" w:space="0"/>
            </w:tcBorders>
            <w:noWrap/>
            <w:vAlign w:val="center"/>
          </w:tcPr>
          <w:p>
            <w:pPr>
              <w:pStyle w:val="412"/>
              <w:spacing w:line="360" w:lineRule="auto"/>
              <w:rPr>
                <w:rFonts w:hAnsi="宋体"/>
                <w:color w:val="auto"/>
                <w:sz w:val="21"/>
                <w:szCs w:val="21"/>
              </w:rPr>
            </w:pPr>
            <w:r>
              <w:rPr>
                <w:rFonts w:hint="eastAsia" w:hAnsi="宋体"/>
                <w:color w:val="auto"/>
                <w:sz w:val="21"/>
                <w:szCs w:val="21"/>
              </w:rPr>
              <w:t>　</w:t>
            </w:r>
          </w:p>
        </w:tc>
      </w:tr>
    </w:tbl>
    <w:p>
      <w:pPr>
        <w:pStyle w:val="360"/>
        <w:rPr>
          <w:rFonts w:asciiTheme="minorEastAsia" w:hAnsiTheme="minorEastAsia" w:eastAsiaTheme="minorEastAsia"/>
          <w:bCs/>
          <w:color w:val="auto"/>
        </w:rPr>
      </w:pPr>
    </w:p>
    <w:p>
      <w:pPr>
        <w:pStyle w:val="360"/>
        <w:rPr>
          <w:rFonts w:asciiTheme="minorEastAsia" w:hAnsiTheme="minorEastAsia" w:eastAsiaTheme="minorEastAsia"/>
          <w:bCs/>
          <w:color w:val="auto"/>
        </w:rPr>
      </w:pPr>
      <w:r>
        <w:rPr>
          <w:rFonts w:hint="eastAsia" w:asciiTheme="minorEastAsia" w:hAnsiTheme="minorEastAsia" w:eastAsiaTheme="minorEastAsia"/>
          <w:bCs/>
          <w:color w:val="auto"/>
        </w:rPr>
        <w:t>说明：</w:t>
      </w:r>
    </w:p>
    <w:p>
      <w:pPr>
        <w:spacing w:line="360" w:lineRule="auto"/>
        <w:ind w:firstLine="42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1本项目设计费总额中包括投标时对投标单位的投标补偿费用及最终选定未中标人设计方案的补偿费用，详见本项目的设计勘察招标文件。本条中所指最终设计费及其比例均包含中标单位的投标补偿费用及未中标人设计方案的补偿费用。</w:t>
      </w:r>
    </w:p>
    <w:p>
      <w:pPr>
        <w:spacing w:line="360" w:lineRule="auto"/>
        <w:ind w:firstLine="42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2发包人支付的设计费中包含了设计人履行合同所需的所有支出，设计人每次办理款项申请时须开据发票（税金由设计人自理），并按发包人的要求提供进度款申请资料。</w:t>
      </w:r>
    </w:p>
    <w:p>
      <w:pPr>
        <w:spacing w:line="360" w:lineRule="auto"/>
        <w:ind w:firstLine="42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3 设计费结算以广东省财政厅审定为准。</w:t>
      </w:r>
    </w:p>
    <w:p>
      <w:pPr>
        <w:spacing w:line="360" w:lineRule="auto"/>
        <w:ind w:firstLine="42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4发包人付给设计人的款项为设计人与本项目有关的唯一报酬，设计人在与本项目有关的活动中，或在履行合同义务时，不应为私利而接受佣金、回扣或类似费用，一经发现该部分款项从发包人支付给设计人的费用中扣减。</w:t>
      </w:r>
    </w:p>
    <w:p>
      <w:pPr>
        <w:spacing w:line="360" w:lineRule="auto"/>
        <w:ind w:firstLine="42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5上述所有的支付时间不包含政府部门审批时间，设计人已清楚明白本项目工程款的拨付程序，并理解因政府部门审核请款手续对时间等方面的影响与发包人无关，故非发包人原因造成的工程款支付拖延，不得向发包人要求计付拖延工程款期间的利息及因此导致的其他损失。设计人应委派专人负责跟进报酬支付呈批过程的相关事务。</w:t>
      </w:r>
    </w:p>
    <w:p>
      <w:pPr>
        <w:spacing w:line="360" w:lineRule="auto"/>
        <w:ind w:firstLine="424" w:firstLineChars="177"/>
        <w:jc w:val="left"/>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6本项目如发生因为规划或其他政策因素导致的部分内容不实施或延期实施，已实施部分按完成工作量计算；在服务期内需要延期的，不增加延期设计费及勘察费。</w:t>
      </w:r>
    </w:p>
    <w:p>
      <w:pPr>
        <w:spacing w:line="360" w:lineRule="auto"/>
        <w:ind w:firstLine="424" w:firstLineChars="177"/>
        <w:jc w:val="left"/>
        <w:rPr>
          <w:rFonts w:asciiTheme="minorEastAsia" w:hAnsiTheme="minorEastAsia" w:eastAsiaTheme="minorEastAsia"/>
          <w:b/>
          <w:color w:val="auto"/>
          <w:sz w:val="24"/>
          <w:szCs w:val="24"/>
        </w:rPr>
      </w:pPr>
      <w:r>
        <w:rPr>
          <w:rFonts w:hint="eastAsia" w:asciiTheme="minorEastAsia" w:hAnsiTheme="minorEastAsia" w:eastAsiaTheme="minorEastAsia"/>
          <w:color w:val="auto"/>
          <w:kern w:val="0"/>
          <w:sz w:val="24"/>
          <w:szCs w:val="24"/>
        </w:rPr>
        <w:t>10.5</w:t>
      </w:r>
      <w:r>
        <w:rPr>
          <w:rFonts w:hint="eastAsia" w:asciiTheme="minorEastAsia" w:hAnsiTheme="minorEastAsia" w:eastAsiaTheme="minorEastAsia"/>
          <w:b/>
          <w:color w:val="auto"/>
          <w:sz w:val="24"/>
          <w:szCs w:val="24"/>
        </w:rPr>
        <w:t>合同价款的结算与支付</w:t>
      </w:r>
    </w:p>
    <w:p>
      <w:pPr>
        <w:spacing w:line="360" w:lineRule="auto"/>
        <w:ind w:firstLine="424" w:firstLineChars="177"/>
        <w:jc w:val="left"/>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rPr>
        <w:t>10.5.1</w:t>
      </w:r>
      <w:r>
        <w:rPr>
          <w:rFonts w:hint="eastAsia" w:asciiTheme="minorEastAsia" w:hAnsiTheme="minorEastAsia" w:eastAsiaTheme="minorEastAsia"/>
          <w:color w:val="auto"/>
          <w:sz w:val="24"/>
          <w:szCs w:val="24"/>
          <w:u w:val="single"/>
        </w:rPr>
        <w:t>工程设计费计费方式为总价包干，设计费已包含了完成本项目设计工作内容的全部费用，包含并不限于后续项目变更的设计工作量，项目概算内产生的变更调整等均不再另行增加设计费。设计费最终结算价须经省政府财政部门审核。</w:t>
      </w:r>
    </w:p>
    <w:p>
      <w:pPr>
        <w:spacing w:before="120" w:after="120" w:line="360" w:lineRule="auto"/>
        <w:ind w:firstLine="426" w:firstLineChars="177"/>
        <w:jc w:val="left"/>
        <w:rPr>
          <w:rFonts w:asciiTheme="minorEastAsia" w:hAnsiTheme="minorEastAsia" w:eastAsiaTheme="minorEastAsia"/>
          <w:b/>
          <w:color w:val="auto"/>
          <w:sz w:val="24"/>
          <w:szCs w:val="24"/>
        </w:rPr>
      </w:pPr>
      <w:r>
        <w:rPr>
          <w:rFonts w:hint="eastAsia" w:asciiTheme="minorEastAsia" w:hAnsiTheme="minorEastAsia" w:eastAsiaTheme="minorEastAsia"/>
          <w:b/>
          <w:color w:val="auto"/>
          <w:sz w:val="24"/>
          <w:szCs w:val="24"/>
        </w:rPr>
        <w:t>11. 工程设计变更与索赔</w:t>
      </w:r>
    </w:p>
    <w:p>
      <w:pPr>
        <w:spacing w:line="360" w:lineRule="auto"/>
        <w:ind w:firstLine="424" w:firstLineChars="177"/>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11.5 设计人应于认为有理由提出增加合同价款或延长设计周期的要求事项发生后</w:t>
      </w:r>
      <w:r>
        <w:rPr>
          <w:rFonts w:hint="eastAsia" w:asciiTheme="minorEastAsia" w:hAnsiTheme="minorEastAsia" w:eastAsiaTheme="minorEastAsia"/>
          <w:color w:val="auto"/>
          <w:kern w:val="0"/>
          <w:sz w:val="24"/>
          <w:szCs w:val="24"/>
          <w:u w:val="single"/>
        </w:rPr>
        <w:t xml:space="preserve">  5  </w:t>
      </w:r>
      <w:r>
        <w:rPr>
          <w:rFonts w:hint="eastAsia" w:asciiTheme="minorEastAsia" w:hAnsiTheme="minorEastAsia" w:eastAsiaTheme="minorEastAsia"/>
          <w:color w:val="auto"/>
          <w:kern w:val="0"/>
          <w:sz w:val="24"/>
          <w:szCs w:val="24"/>
        </w:rPr>
        <w:t>个日历天内书面通知发包人。</w:t>
      </w:r>
    </w:p>
    <w:p>
      <w:pPr>
        <w:spacing w:line="360" w:lineRule="auto"/>
        <w:ind w:firstLine="424" w:firstLineChars="177"/>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设计人应在该事项发生后</w:t>
      </w:r>
      <w:r>
        <w:rPr>
          <w:rFonts w:hint="eastAsia" w:asciiTheme="minorEastAsia" w:hAnsiTheme="minorEastAsia" w:eastAsiaTheme="minorEastAsia"/>
          <w:color w:val="auto"/>
          <w:kern w:val="0"/>
          <w:sz w:val="24"/>
          <w:szCs w:val="24"/>
          <w:u w:val="single"/>
        </w:rPr>
        <w:t xml:space="preserve">  5  </w:t>
      </w:r>
      <w:r>
        <w:rPr>
          <w:rFonts w:hint="eastAsia" w:asciiTheme="minorEastAsia" w:hAnsiTheme="minorEastAsia" w:eastAsiaTheme="minorEastAsia"/>
          <w:color w:val="auto"/>
          <w:kern w:val="0"/>
          <w:sz w:val="24"/>
          <w:szCs w:val="24"/>
        </w:rPr>
        <w:t>个日历天内向发包人提供证明设计人要求的书面声明。</w:t>
      </w:r>
    </w:p>
    <w:p>
      <w:pPr>
        <w:spacing w:line="360" w:lineRule="auto"/>
        <w:ind w:firstLine="424" w:firstLineChars="177"/>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发包人应在接到设计人书面声明后的</w:t>
      </w:r>
      <w:r>
        <w:rPr>
          <w:rFonts w:hint="eastAsia" w:asciiTheme="minorEastAsia" w:hAnsiTheme="minorEastAsia" w:eastAsiaTheme="minorEastAsia"/>
          <w:color w:val="auto"/>
          <w:kern w:val="0"/>
          <w:sz w:val="24"/>
          <w:szCs w:val="24"/>
          <w:u w:val="single"/>
        </w:rPr>
        <w:t xml:space="preserve">  5  </w:t>
      </w:r>
      <w:r>
        <w:rPr>
          <w:rFonts w:hint="eastAsia" w:asciiTheme="minorEastAsia" w:hAnsiTheme="minorEastAsia" w:eastAsiaTheme="minorEastAsia"/>
          <w:color w:val="auto"/>
          <w:kern w:val="0"/>
          <w:sz w:val="24"/>
          <w:szCs w:val="24"/>
        </w:rPr>
        <w:t>个日历天内，予以书面答复。</w:t>
      </w:r>
    </w:p>
    <w:p>
      <w:pPr>
        <w:spacing w:line="360" w:lineRule="auto"/>
        <w:ind w:firstLine="424" w:firstLineChars="177"/>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11.6</w:t>
      </w:r>
      <w:r>
        <w:rPr>
          <w:rFonts w:hint="eastAsia" w:asciiTheme="minorEastAsia" w:hAnsiTheme="minorEastAsia" w:eastAsiaTheme="minorEastAsia"/>
          <w:color w:val="auto"/>
          <w:sz w:val="24"/>
          <w:szCs w:val="24"/>
          <w:u w:val="single"/>
        </w:rPr>
        <w:t>发包人</w:t>
      </w:r>
      <w:r>
        <w:rPr>
          <w:rFonts w:hint="eastAsia" w:asciiTheme="minorEastAsia" w:hAnsiTheme="minorEastAsia" w:eastAsiaTheme="minorEastAsia"/>
          <w:color w:val="auto"/>
          <w:kern w:val="0"/>
          <w:sz w:val="24"/>
          <w:szCs w:val="24"/>
        </w:rPr>
        <w:t>索赔</w:t>
      </w:r>
    </w:p>
    <w:p>
      <w:pPr>
        <w:spacing w:line="360" w:lineRule="auto"/>
        <w:ind w:firstLine="424" w:firstLineChars="177"/>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11.6.1设计未能按合同约定履行自己的各项义务或发生错误，发包人按如下约定向设计人索赔：</w:t>
      </w:r>
    </w:p>
    <w:p>
      <w:pPr>
        <w:spacing w:line="360" w:lineRule="auto"/>
        <w:ind w:firstLine="480" w:firstLineChars="200"/>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1）发包人将自己的索赔意向书面通知设计人，并要求设计人在限期内纠正自己的违约行为，否则，发包人将考虑启用履约保函。</w:t>
      </w:r>
    </w:p>
    <w:p>
      <w:pPr>
        <w:spacing w:line="360" w:lineRule="auto"/>
        <w:ind w:firstLine="480" w:firstLineChars="200"/>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2）限期届满，设计人没有采取纠正行为或者纠正行为不能使发包人满意的，发包人将索赔意向书面通知约定的保函出函银行。</w:t>
      </w:r>
    </w:p>
    <w:p>
      <w:pPr>
        <w:spacing w:line="360" w:lineRule="auto"/>
        <w:ind w:firstLine="480" w:firstLineChars="200"/>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3）发包人向银行发出书面索赔意向七天内，设计人依然没有用实际行动纠正自己的违约行为或者纠正行为不能使发包人满意或者纠正行为无法弥补发包人的损失，则发包人直接向银行发出正式书面索赔通知。</w:t>
      </w:r>
    </w:p>
    <w:p>
      <w:pPr>
        <w:spacing w:line="360" w:lineRule="auto"/>
        <w:ind w:firstLine="480" w:firstLineChars="200"/>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4）如果通过向银行索赔的方式依然不能完全弥补发包人的损失，则发包人有权在应支付给设计人的勘察、设计费中直接扣取。</w:t>
      </w:r>
    </w:p>
    <w:p>
      <w:pPr>
        <w:spacing w:line="360" w:lineRule="auto"/>
        <w:ind w:firstLine="480" w:firstLineChars="200"/>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5）如果通过向银行索赔以及直接扣取勘察、设计费等方式依然不能完全弥补发包人损失的，设计人必须在发包人规定的时间内以现金形式支付剩余索赔额。</w:t>
      </w:r>
    </w:p>
    <w:p>
      <w:pPr>
        <w:spacing w:line="360" w:lineRule="auto"/>
        <w:ind w:firstLine="480" w:firstLineChars="200"/>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11.6.2在任何索赔期间，不论索赔是否有据，均不能免除设计人按合同约定应履行的合同义务。设计人不得以此为借口，拒不履行或拖延合同的履行，否则发包人有权终止合同并要求设计人赔偿由此而给发包人造成的全部损失。</w:t>
      </w:r>
    </w:p>
    <w:p>
      <w:pPr>
        <w:spacing w:before="120" w:after="120" w:line="360" w:lineRule="auto"/>
        <w:ind w:firstLine="480" w:firstLineChars="200"/>
        <w:jc w:val="left"/>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12. 专业责任与保险</w:t>
      </w:r>
    </w:p>
    <w:p>
      <w:pPr>
        <w:spacing w:line="360" w:lineRule="auto"/>
        <w:ind w:firstLine="480" w:firstLineChars="200"/>
        <w:jc w:val="left"/>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12.2 设计人</w:t>
      </w:r>
      <w:r>
        <w:rPr>
          <w:rFonts w:hint="eastAsia" w:asciiTheme="minorEastAsia" w:hAnsiTheme="minorEastAsia" w:eastAsiaTheme="minorEastAsia"/>
          <w:color w:val="auto"/>
          <w:sz w:val="24"/>
          <w:szCs w:val="24"/>
          <w:u w:val="single"/>
        </w:rPr>
        <w:t xml:space="preserve"> 需   </w:t>
      </w:r>
      <w:r>
        <w:rPr>
          <w:rFonts w:hint="eastAsia" w:asciiTheme="minorEastAsia" w:hAnsiTheme="minorEastAsia" w:eastAsiaTheme="minorEastAsia"/>
          <w:color w:val="auto"/>
          <w:sz w:val="24"/>
          <w:szCs w:val="24"/>
        </w:rPr>
        <w:t>（需/不需）有发包人认可的工程设计责任保险。</w:t>
      </w:r>
    </w:p>
    <w:p>
      <w:pPr>
        <w:pStyle w:val="6"/>
        <w:spacing w:before="120" w:after="120" w:line="360" w:lineRule="auto"/>
        <w:ind w:firstLine="480" w:firstLineChars="200"/>
        <w:rPr>
          <w:rFonts w:asciiTheme="minorEastAsia" w:hAnsiTheme="minorEastAsia" w:eastAsiaTheme="minorEastAsia"/>
          <w:b w:val="0"/>
          <w:color w:val="auto"/>
          <w:sz w:val="24"/>
          <w:szCs w:val="24"/>
        </w:rPr>
      </w:pPr>
      <w:r>
        <w:rPr>
          <w:rFonts w:hint="eastAsia" w:asciiTheme="minorEastAsia" w:hAnsiTheme="minorEastAsia" w:eastAsiaTheme="minorEastAsia"/>
          <w:b w:val="0"/>
          <w:color w:val="auto"/>
          <w:sz w:val="24"/>
          <w:szCs w:val="24"/>
        </w:rPr>
        <w:t>13. 知识产权</w:t>
      </w:r>
    </w:p>
    <w:p>
      <w:pPr>
        <w:spacing w:line="360" w:lineRule="auto"/>
        <w:ind w:firstLine="480" w:firstLineChars="200"/>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rPr>
        <w:t>13.1 关于发包人提供给设计人的图纸、发包人为实施工程自行编制或委托编制的技术规格以及反映发包人关于合同要求或其他类似性质的文件的著作权的归属：</w:t>
      </w:r>
      <w:r>
        <w:rPr>
          <w:rFonts w:hint="eastAsia" w:asciiTheme="minorEastAsia" w:hAnsiTheme="minorEastAsia" w:eastAsiaTheme="minorEastAsia"/>
          <w:color w:val="auto"/>
          <w:sz w:val="24"/>
          <w:szCs w:val="24"/>
          <w:u w:val="single"/>
        </w:rPr>
        <w:t xml:space="preserve">归发包人所有    </w:t>
      </w:r>
      <w:r>
        <w:rPr>
          <w:rFonts w:hint="eastAsia" w:asciiTheme="minorEastAsia" w:hAnsiTheme="minorEastAsia" w:eastAsiaTheme="minorEastAsia"/>
          <w:color w:val="auto"/>
          <w:sz w:val="24"/>
          <w:szCs w:val="24"/>
        </w:rPr>
        <w:t>。</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关于发包人提供的上述文件的使用限制的要求：</w:t>
      </w:r>
      <w:r>
        <w:rPr>
          <w:rFonts w:hint="eastAsia" w:asciiTheme="minorEastAsia" w:hAnsiTheme="minorEastAsia" w:eastAsiaTheme="minorEastAsia"/>
          <w:color w:val="auto"/>
          <w:sz w:val="24"/>
          <w:szCs w:val="24"/>
          <w:u w:val="single"/>
        </w:rPr>
        <w:t xml:space="preserve"> 设计人仅可以在实施项目时使用，合同履行完成后，设计人不再拥有使用上述文件的权利   </w:t>
      </w:r>
      <w:r>
        <w:rPr>
          <w:rFonts w:hint="eastAsia" w:asciiTheme="minorEastAsia" w:hAnsiTheme="minorEastAsia" w:eastAsiaTheme="minorEastAsia"/>
          <w:color w:val="auto"/>
          <w:sz w:val="24"/>
          <w:szCs w:val="24"/>
        </w:rPr>
        <w:t>。</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13.2 关于设计人为实施工程所编制文件的著作权的归属：</w:t>
      </w:r>
      <w:r>
        <w:rPr>
          <w:rFonts w:hint="eastAsia" w:asciiTheme="minorEastAsia" w:hAnsiTheme="minorEastAsia" w:eastAsiaTheme="minorEastAsia"/>
          <w:color w:val="auto"/>
          <w:sz w:val="24"/>
          <w:szCs w:val="24"/>
          <w:u w:val="single"/>
        </w:rPr>
        <w:t>知识产权归发包人和设计人共有，其中设计署名权归设计人所有；设计人可在展览或书刊中进行展示、介绍及讨论其设计模型、外观图片、装饰效果图，但不得享有知识产权中的其他权利。设计人承诺自本合同签订之日起，为本项目所做的全部工作的成果，包括方案设计、初步设计</w:t>
      </w:r>
      <w:r>
        <w:rPr>
          <w:rFonts w:hint="eastAsia" w:asciiTheme="minorEastAsia" w:hAnsiTheme="minorEastAsia" w:eastAsiaTheme="minorEastAsia"/>
          <w:strike/>
          <w:color w:val="auto"/>
          <w:sz w:val="24"/>
          <w:szCs w:val="24"/>
          <w:u w:val="single"/>
        </w:rPr>
        <w:t>、施工图设计</w:t>
      </w:r>
      <w:r>
        <w:rPr>
          <w:rFonts w:hint="eastAsia" w:asciiTheme="minorEastAsia" w:hAnsiTheme="minorEastAsia" w:eastAsiaTheme="minorEastAsia"/>
          <w:color w:val="auto"/>
          <w:sz w:val="24"/>
          <w:szCs w:val="24"/>
          <w:u w:val="single"/>
        </w:rPr>
        <w:t>及其他设计文件、资料等不再用于其他任何项目的设计，否则发包人有权向设计人追究相关责任。发包人在出版作品的书刊或展览时，如有需要表明设计者，引用上述署名格式。发包人全部设计文件、资料等的完全使用权，并在本合同执行完毕后继续拥有合法使用以上设计文件、资料等的权利</w:t>
      </w:r>
      <w:r>
        <w:rPr>
          <w:rFonts w:hint="eastAsia" w:asciiTheme="minorEastAsia" w:hAnsiTheme="minorEastAsia" w:eastAsiaTheme="minorEastAsia"/>
          <w:color w:val="auto"/>
          <w:sz w:val="24"/>
          <w:szCs w:val="24"/>
        </w:rPr>
        <w:t>。</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关于设计人提供的上述文件的使用限制的要求：</w:t>
      </w:r>
      <w:r>
        <w:rPr>
          <w:rFonts w:hint="eastAsia" w:asciiTheme="minorEastAsia" w:hAnsiTheme="minorEastAsia" w:eastAsiaTheme="minorEastAsia"/>
          <w:color w:val="auto"/>
          <w:sz w:val="24"/>
          <w:szCs w:val="24"/>
          <w:u w:val="single"/>
        </w:rPr>
        <w:t xml:space="preserve">无  </w:t>
      </w:r>
      <w:r>
        <w:rPr>
          <w:rFonts w:hint="eastAsia" w:asciiTheme="minorEastAsia" w:hAnsiTheme="minorEastAsia" w:eastAsiaTheme="minorEastAsia"/>
          <w:color w:val="auto"/>
          <w:sz w:val="24"/>
          <w:szCs w:val="24"/>
        </w:rPr>
        <w:t>。</w:t>
      </w:r>
    </w:p>
    <w:p>
      <w:pPr>
        <w:spacing w:line="360" w:lineRule="auto"/>
        <w:ind w:firstLine="480" w:firstLineChars="200"/>
        <w:rPr>
          <w:rFonts w:asciiTheme="minorEastAsia" w:hAnsiTheme="minorEastAsia" w:eastAsiaTheme="minorEastAsia"/>
          <w:color w:val="auto"/>
          <w:kern w:val="0"/>
          <w:sz w:val="24"/>
          <w:szCs w:val="24"/>
        </w:rPr>
      </w:pPr>
      <w:r>
        <w:rPr>
          <w:rFonts w:hint="eastAsia" w:asciiTheme="minorEastAsia" w:hAnsiTheme="minorEastAsia" w:eastAsiaTheme="minorEastAsia"/>
          <w:color w:val="auto"/>
          <w:sz w:val="24"/>
          <w:szCs w:val="24"/>
        </w:rPr>
        <w:t>13.5 设计人在设计过程中所采用的专利、专有技术的使用费的承担方式：</w:t>
      </w:r>
      <w:r>
        <w:rPr>
          <w:rFonts w:hint="eastAsia" w:asciiTheme="minorEastAsia" w:hAnsiTheme="minorEastAsia" w:eastAsiaTheme="minorEastAsia"/>
          <w:color w:val="auto"/>
          <w:sz w:val="24"/>
          <w:szCs w:val="24"/>
          <w:u w:val="single"/>
        </w:rPr>
        <w:t xml:space="preserve">由设计人自行承担   </w:t>
      </w:r>
      <w:r>
        <w:rPr>
          <w:rFonts w:hint="eastAsia" w:asciiTheme="minorEastAsia" w:hAnsiTheme="minorEastAsia" w:eastAsiaTheme="minorEastAsia"/>
          <w:color w:val="auto"/>
          <w:kern w:val="0"/>
          <w:sz w:val="24"/>
          <w:szCs w:val="24"/>
        </w:rPr>
        <w:t>。</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 xml:space="preserve">13.6 </w:t>
      </w:r>
      <w:r>
        <w:rPr>
          <w:rFonts w:hint="eastAsia" w:asciiTheme="minorEastAsia" w:hAnsiTheme="minorEastAsia" w:eastAsiaTheme="minorEastAsia"/>
          <w:color w:val="auto"/>
          <w:sz w:val="24"/>
          <w:szCs w:val="24"/>
          <w:u w:val="single"/>
        </w:rPr>
        <w:t>设计人应保护发包人的知识产权，不得向第三人泄漏、转让发包人提交的产品图纸等技术经济资料。如发生以上情况并给发包人造成经济损失，设计人应负法律责任，发包人有权向设计人索赔。</w:t>
      </w:r>
    </w:p>
    <w:p>
      <w:pPr>
        <w:pStyle w:val="6"/>
        <w:spacing w:before="120" w:after="120" w:line="360" w:lineRule="auto"/>
        <w:ind w:firstLine="480" w:firstLineChars="200"/>
        <w:rPr>
          <w:rFonts w:asciiTheme="minorEastAsia" w:hAnsiTheme="minorEastAsia" w:eastAsiaTheme="minorEastAsia"/>
          <w:b w:val="0"/>
          <w:color w:val="auto"/>
          <w:sz w:val="24"/>
          <w:szCs w:val="24"/>
        </w:rPr>
      </w:pPr>
      <w:r>
        <w:rPr>
          <w:rFonts w:hint="eastAsia" w:asciiTheme="minorEastAsia" w:hAnsiTheme="minorEastAsia" w:eastAsiaTheme="minorEastAsia"/>
          <w:b w:val="0"/>
          <w:color w:val="auto"/>
          <w:sz w:val="24"/>
          <w:szCs w:val="24"/>
        </w:rPr>
        <w:t>14. 违约责任</w:t>
      </w:r>
    </w:p>
    <w:p>
      <w:pPr>
        <w:spacing w:before="120" w:after="120"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14.1 发包人违约责任</w:t>
      </w:r>
    </w:p>
    <w:p>
      <w:pPr>
        <w:spacing w:line="360" w:lineRule="auto"/>
        <w:ind w:firstLine="480" w:firstLineChars="200"/>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rPr>
        <w:t>14.1.1 发包人支付设计人的违约金：</w:t>
      </w:r>
    </w:p>
    <w:p>
      <w:pPr>
        <w:spacing w:line="360" w:lineRule="auto"/>
        <w:ind w:firstLine="480" w:firstLineChars="200"/>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1）发包人不按合同约定向政府部门办理进度款支付申请的，除应支付本合同约定的进度款外，还应按同期银行贷款利率给设计人利息（设计人未提供齐全进度款支付申请材料的情况除外）。</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u w:val="single"/>
        </w:rPr>
        <w:t xml:space="preserve">2）发包人无正当理由不向政府部门办理设计人竣工结算款支付申请的，除应支付设计人竣工结算款外，还应按同期银行贷款利率给设计人计付拖欠款项期间的利息   </w:t>
      </w:r>
      <w:r>
        <w:rPr>
          <w:rFonts w:hint="eastAsia" w:asciiTheme="minorEastAsia" w:hAnsiTheme="minorEastAsia" w:eastAsiaTheme="minorEastAsia"/>
          <w:color w:val="auto"/>
          <w:sz w:val="24"/>
          <w:szCs w:val="24"/>
        </w:rPr>
        <w:t>。</w:t>
      </w:r>
    </w:p>
    <w:p>
      <w:pPr>
        <w:spacing w:line="360" w:lineRule="auto"/>
        <w:ind w:firstLine="480" w:firstLineChars="200"/>
        <w:jc w:val="left"/>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14.2 设计人违约责任</w:t>
      </w:r>
    </w:p>
    <w:p>
      <w:pPr>
        <w:spacing w:line="360" w:lineRule="auto"/>
        <w:ind w:firstLine="480" w:firstLineChars="200"/>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rPr>
        <w:t>14.1.1</w:t>
      </w:r>
      <w:r>
        <w:rPr>
          <w:rFonts w:hint="eastAsia" w:asciiTheme="minorEastAsia" w:hAnsiTheme="minorEastAsia" w:eastAsiaTheme="minorEastAsia"/>
          <w:color w:val="auto"/>
          <w:sz w:val="24"/>
          <w:szCs w:val="24"/>
          <w:u w:val="single"/>
        </w:rPr>
        <w:t>设计人违反本合同的约定，应当按约定向发包人承担相应的违约责任。设计人承担违约责任的形式包括：</w:t>
      </w:r>
    </w:p>
    <w:p>
      <w:pPr>
        <w:spacing w:line="360" w:lineRule="auto"/>
        <w:ind w:firstLine="480" w:firstLineChars="200"/>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1）限期改正。设计人未履行或未按时履行或未按质履行义务时，必须在发包人限定的时间内履行义务。</w:t>
      </w:r>
    </w:p>
    <w:p>
      <w:pPr>
        <w:spacing w:line="360" w:lineRule="auto"/>
        <w:ind w:firstLine="480" w:firstLineChars="200"/>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2）一般违约责任。设计人被发包人要求按本合同约定承担一般违约责任时，必须向发包人交纳违约金人民币1万元/次。</w:t>
      </w:r>
    </w:p>
    <w:p>
      <w:pPr>
        <w:spacing w:line="360" w:lineRule="auto"/>
        <w:ind w:firstLine="480" w:firstLineChars="200"/>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3）严重违约责任。设计人被发包人要求按本合同约定承担严重违约责任时，必须向发包人交纳违约金人民币3万元/次。</w:t>
      </w:r>
    </w:p>
    <w:p>
      <w:pPr>
        <w:spacing w:line="360" w:lineRule="auto"/>
        <w:ind w:firstLine="480" w:firstLineChars="200"/>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4）部分解除合同。发包人向设计人发出部分解除合同的通知后，本合同部分解除即生效，设计人必须在三天内停止被解除部分合同的工作，五天内配合发包人完成现场工作和有关资料的交接，所交接资料必须完整。设计人无特殊原因未在规定期限内完成交接和离场，或交接资料不完整的，发包人有权视情况全部解除合同；因设计人拒交或延误交接现场工作和有关资料而引致发包人工期延误及其他方面的损失，发包人有权拒绝支付本合同价款并要求设计人赔偿实际损失。</w:t>
      </w:r>
    </w:p>
    <w:p>
      <w:pPr>
        <w:spacing w:line="360" w:lineRule="auto"/>
        <w:ind w:firstLine="480" w:firstLineChars="200"/>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5）解除合同。发包人向设计人发出解除合同的通知后，本合同即解除，设计人必须在三天内停止全部工作，五天内配合发包人完成现场工作和有关资料的交接，并于完成交接工作当天内离场。设计人应保证所移交的资料齐全完整，设计人无特殊原因未在规定期限内完成交接和离场或所移交的资料不完整的，引致发包人工期延误和其他方面的损失，发包人有权拒绝支付本合同价款并要求设计人赔偿损失。</w:t>
      </w:r>
    </w:p>
    <w:p>
      <w:pPr>
        <w:spacing w:line="360" w:lineRule="auto"/>
        <w:ind w:firstLine="480" w:firstLineChars="200"/>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6）赔偿损失。因设计人违约或工作失误给发包人造成损失的，由设计人向发包人赔偿与违约有直接或间接因果关系的所有损失，赔偿金为实际损失的100％。但不超过发包人支付给设计人费用的2倍。</w:t>
      </w:r>
    </w:p>
    <w:p>
      <w:pPr>
        <w:spacing w:line="360" w:lineRule="auto"/>
        <w:ind w:firstLine="480" w:firstLineChars="200"/>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rPr>
        <w:t>14.1.2</w:t>
      </w:r>
      <w:r>
        <w:rPr>
          <w:rFonts w:hint="eastAsia" w:asciiTheme="minorEastAsia" w:hAnsiTheme="minorEastAsia" w:eastAsiaTheme="minorEastAsia"/>
          <w:color w:val="auto"/>
          <w:sz w:val="24"/>
          <w:szCs w:val="24"/>
          <w:u w:val="single"/>
        </w:rPr>
        <w:t>累计出现三次限期纠正责任，发包人有权追加设计人一次一般违约责任；累计出现三次一般违约责任，发包人有权追加设计人一次严重违约责任；累计三次严重违约责任，发包人有权单方面部分或全部解除合同。</w:t>
      </w:r>
    </w:p>
    <w:p>
      <w:pPr>
        <w:spacing w:line="360" w:lineRule="auto"/>
        <w:ind w:firstLine="480" w:firstLineChars="200"/>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rPr>
        <w:t>14.1.3</w:t>
      </w:r>
      <w:r>
        <w:rPr>
          <w:rFonts w:hint="eastAsia" w:asciiTheme="minorEastAsia" w:hAnsiTheme="minorEastAsia" w:eastAsiaTheme="minorEastAsia"/>
          <w:color w:val="auto"/>
          <w:sz w:val="24"/>
          <w:szCs w:val="24"/>
          <w:u w:val="single"/>
        </w:rPr>
        <w:t>本合同解除后，设计人已经完成的设计成果在发包人支付于工作量对应的设计费后，全部归发包人享有，发包人有权于其他设计人签订设计协议，其他设计人可以取代设计人在本合同中的地位，承接设计人的一切权利义务，有权在设计人已经完成设计成果的基础上继续设计，设计人不得有异议，其他设计人不必支付设计人任何报酬。</w:t>
      </w:r>
    </w:p>
    <w:p>
      <w:pPr>
        <w:spacing w:line="360" w:lineRule="auto"/>
        <w:ind w:firstLine="480" w:firstLineChars="200"/>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rPr>
        <w:t>14.1.4</w:t>
      </w:r>
      <w:r>
        <w:rPr>
          <w:rFonts w:hint="eastAsia" w:asciiTheme="minorEastAsia" w:hAnsiTheme="minorEastAsia" w:eastAsiaTheme="minorEastAsia"/>
          <w:color w:val="auto"/>
          <w:sz w:val="24"/>
          <w:szCs w:val="24"/>
          <w:u w:val="single"/>
        </w:rPr>
        <w:t>当发包人认为设计人无正当理由而不履行或没有充分履行其相关义务时，发包人有权书面通知设计人，指明设计人无履行的内容并要求设计人按如下约定承担违约责任：</w:t>
      </w:r>
    </w:p>
    <w:p>
      <w:pPr>
        <w:spacing w:line="360" w:lineRule="auto"/>
        <w:ind w:firstLine="480" w:firstLineChars="200"/>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1）设计管理方面的违约责任：</w:t>
      </w:r>
    </w:p>
    <w:p>
      <w:pPr>
        <w:spacing w:line="360" w:lineRule="auto"/>
        <w:ind w:firstLine="480" w:firstLineChars="200"/>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①设计人无故要求终止或解除合同，按严重违约处理，赔偿相当于约定的设计费总额两倍的损失给发包人，并承担由此造成的拖延工期的损失。</w:t>
      </w:r>
    </w:p>
    <w:p>
      <w:pPr>
        <w:spacing w:line="360" w:lineRule="auto"/>
        <w:ind w:firstLine="480" w:firstLineChars="200"/>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②设计人转包和私自分包设计任务，按严重违约处理。情节严重的，发包人有权单方面解除合同，赔偿相当于约定的设计费总额两倍的损失给发包人，并承担由此造成的拖延工期的损失。同时，发包人将扣除转包（分包）部分的全额设计费用，设计人应承担由此造成的工期、技术及其他一切损失。</w:t>
      </w:r>
    </w:p>
    <w:p>
      <w:pPr>
        <w:spacing w:line="360" w:lineRule="auto"/>
        <w:ind w:firstLine="480" w:firstLineChars="200"/>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③设计人承诺主动支持发包人及设计咨询（监理）单位的工作，对发包人及设计咨询（监理）单位的指令和书面通知，若无正当理由又未提前报告、得到认可，而公开或变相拒不执行，第一次按一般违约处理；第二次以后，每违反一次按一次严重违约处理。同时，设计人还要承担由此造成的一切经济损失。</w:t>
      </w:r>
    </w:p>
    <w:p>
      <w:pPr>
        <w:spacing w:line="360" w:lineRule="auto"/>
        <w:ind w:firstLine="480" w:firstLineChars="200"/>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④设计人没有按照合同的约定做好设计协调工作，发包人有权根据实际情况决定其承担违约责任的形式并要求其承担比原来计划多开支的费用，设计人不得提出任何异议。</w:t>
      </w:r>
    </w:p>
    <w:p>
      <w:pPr>
        <w:spacing w:line="360" w:lineRule="auto"/>
        <w:ind w:firstLine="480" w:firstLineChars="200"/>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2）设计成果方面的违约责任：</w:t>
      </w:r>
    </w:p>
    <w:p>
      <w:pPr>
        <w:spacing w:line="360" w:lineRule="auto"/>
        <w:ind w:firstLine="480" w:firstLineChars="200"/>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①设计人由于自身原因造成逾期交付设计文件的处理：</w:t>
      </w:r>
    </w:p>
    <w:p>
      <w:pPr>
        <w:spacing w:line="360" w:lineRule="auto"/>
        <w:ind w:firstLine="480" w:firstLineChars="200"/>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A）一次性逾期2天以内的，给予书面通报批评并限期改正；一次性逾期3天以内（或累计达5天以内）的，记一次一般违约，并向发包人交纳违约金人民币1万元/次；一次性逾期5天以内（或累计达10天以内）的，记一次严重违约，并向发包人交纳违约金人民币3万元/次；一次性逾期10天以内（或累计达15天以内）的，发包人有权部分解除合同；一次性逾期超过10（或累计超过15天）的，发包人有权全部解除合同，设计人赔偿相当于约定的设计费总额两倍的损失给发包人，并赔偿由此造成发包人的一切损失。</w:t>
      </w:r>
    </w:p>
    <w:p>
      <w:pPr>
        <w:spacing w:line="360" w:lineRule="auto"/>
        <w:ind w:firstLine="480" w:firstLineChars="200"/>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B）设计人未能按合同约定及工作计划完成“五图一书”、建筑方案设计、初步设计、</w:t>
      </w:r>
      <w:r>
        <w:rPr>
          <w:rFonts w:hint="eastAsia" w:asciiTheme="minorEastAsia" w:hAnsiTheme="minorEastAsia" w:eastAsiaTheme="minorEastAsia"/>
          <w:strike/>
          <w:color w:val="auto"/>
          <w:sz w:val="24"/>
          <w:szCs w:val="24"/>
          <w:u w:val="single"/>
        </w:rPr>
        <w:t>施工图设计</w:t>
      </w:r>
      <w:r>
        <w:rPr>
          <w:rFonts w:hint="eastAsia" w:asciiTheme="minorEastAsia" w:hAnsiTheme="minorEastAsia" w:eastAsiaTheme="minorEastAsia"/>
          <w:color w:val="auto"/>
          <w:sz w:val="24"/>
          <w:szCs w:val="24"/>
          <w:u w:val="single"/>
        </w:rPr>
        <w:t>，每逾期一天，需向发包人交纳违约金人民币1万元/天。设计人必须根据实际情况调整工作计划，并报发包人审批，如在后续工作中，设计人能按调整的计划完成，已赔偿金额可作为奖金返还给设计人。逾期超过30天发包人有权全部解除合同，设计人赔偿相当于约定的设计费总额两倍的损失给发包人，并赔偿由此造成发包人的一切损失。</w:t>
      </w:r>
    </w:p>
    <w:p>
      <w:pPr>
        <w:spacing w:line="360" w:lineRule="auto"/>
        <w:ind w:firstLine="480" w:firstLineChars="200"/>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②因建设规划方案重大功能性调整造成逾期交付设计文件处理：</w:t>
      </w:r>
    </w:p>
    <w:p>
      <w:pPr>
        <w:spacing w:line="360" w:lineRule="auto"/>
        <w:ind w:firstLine="480" w:firstLineChars="200"/>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一次性逾期不超过20天（或累计达30天以内）的，发包人或设计咨询（监理）单位予以书面确认，但发包人不予支付赶工费，工期不得顺延；一次性逾期超过20天（或累计超过40天）的，设计人应优先采用追回工期的办法，赶工费用双方另行协商。</w:t>
      </w:r>
    </w:p>
    <w:p>
      <w:pPr>
        <w:spacing w:line="360" w:lineRule="auto"/>
        <w:ind w:firstLine="480" w:firstLineChars="200"/>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③设计人的设计质量不符合合同约定或设计文件出现遗漏或错误，按如下约定处理：</w:t>
      </w:r>
    </w:p>
    <w:p>
      <w:pPr>
        <w:spacing w:line="360" w:lineRule="auto"/>
        <w:ind w:firstLine="480" w:firstLineChars="200"/>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A)在设计过程中发现设计人的设计质量不符合合同约定或设计文件出现遗漏或错误的，给予限期改正，并按附件5《设计错误分类》中</w:t>
      </w:r>
      <w:r>
        <w:rPr>
          <w:rFonts w:hint="eastAsia" w:cs="宋体" w:asciiTheme="minorEastAsia" w:hAnsiTheme="minorEastAsia" w:eastAsiaTheme="minorEastAsia"/>
          <w:color w:val="auto"/>
          <w:spacing w:val="1"/>
          <w:sz w:val="24"/>
          <w:szCs w:val="24"/>
          <w:u w:val="single"/>
        </w:rPr>
        <w:t>Ⅰ类</w:t>
      </w:r>
      <w:r>
        <w:rPr>
          <w:rFonts w:hint="eastAsia" w:cs="宋体" w:asciiTheme="minorEastAsia" w:hAnsiTheme="minorEastAsia" w:eastAsiaTheme="minorEastAsia"/>
          <w:color w:val="auto"/>
          <w:sz w:val="24"/>
          <w:szCs w:val="24"/>
          <w:u w:val="single"/>
        </w:rPr>
        <w:t>错误对应2次</w:t>
      </w:r>
      <w:r>
        <w:rPr>
          <w:rFonts w:hint="eastAsia" w:asciiTheme="minorEastAsia" w:hAnsiTheme="minorEastAsia" w:eastAsiaTheme="minorEastAsia"/>
          <w:color w:val="auto"/>
          <w:sz w:val="24"/>
          <w:szCs w:val="24"/>
          <w:u w:val="single"/>
        </w:rPr>
        <w:t>严重违约责任，</w:t>
      </w:r>
      <w:r>
        <w:rPr>
          <w:rFonts w:hint="eastAsia" w:cs="宋体" w:asciiTheme="minorEastAsia" w:hAnsiTheme="minorEastAsia" w:eastAsiaTheme="minorEastAsia"/>
          <w:color w:val="auto"/>
          <w:spacing w:val="1"/>
          <w:sz w:val="24"/>
          <w:szCs w:val="24"/>
          <w:u w:val="single"/>
        </w:rPr>
        <w:t>Ⅱ</w:t>
      </w:r>
      <w:r>
        <w:rPr>
          <w:rFonts w:hint="eastAsia" w:cs="宋体" w:asciiTheme="minorEastAsia" w:hAnsiTheme="minorEastAsia" w:eastAsiaTheme="minorEastAsia"/>
          <w:color w:val="auto"/>
          <w:sz w:val="24"/>
          <w:szCs w:val="24"/>
          <w:u w:val="single"/>
        </w:rPr>
        <w:t>类错对应1次</w:t>
      </w:r>
      <w:r>
        <w:rPr>
          <w:rFonts w:hint="eastAsia" w:asciiTheme="minorEastAsia" w:hAnsiTheme="minorEastAsia" w:eastAsiaTheme="minorEastAsia"/>
          <w:color w:val="auto"/>
          <w:sz w:val="24"/>
          <w:szCs w:val="24"/>
          <w:u w:val="single"/>
        </w:rPr>
        <w:t>严重违约责任，</w:t>
      </w:r>
      <w:r>
        <w:rPr>
          <w:rFonts w:hint="eastAsia" w:cs="宋体" w:asciiTheme="minorEastAsia" w:hAnsiTheme="minorEastAsia" w:eastAsiaTheme="minorEastAsia"/>
          <w:color w:val="auto"/>
          <w:spacing w:val="1"/>
          <w:sz w:val="24"/>
          <w:szCs w:val="24"/>
          <w:u w:val="single"/>
        </w:rPr>
        <w:t>Ⅲ类</w:t>
      </w:r>
      <w:r>
        <w:rPr>
          <w:rFonts w:hint="eastAsia" w:cs="宋体" w:asciiTheme="minorEastAsia" w:hAnsiTheme="minorEastAsia" w:eastAsiaTheme="minorEastAsia"/>
          <w:color w:val="auto"/>
          <w:sz w:val="24"/>
          <w:szCs w:val="24"/>
          <w:u w:val="single"/>
        </w:rPr>
        <w:t>错误对应2次一般</w:t>
      </w:r>
      <w:r>
        <w:rPr>
          <w:rFonts w:hint="eastAsia" w:asciiTheme="minorEastAsia" w:hAnsiTheme="minorEastAsia" w:eastAsiaTheme="minorEastAsia"/>
          <w:color w:val="auto"/>
          <w:sz w:val="24"/>
          <w:szCs w:val="24"/>
          <w:u w:val="single"/>
        </w:rPr>
        <w:t>违约责任，</w:t>
      </w:r>
      <w:r>
        <w:rPr>
          <w:rFonts w:hint="eastAsia" w:cs="宋体" w:asciiTheme="minorEastAsia" w:hAnsiTheme="minorEastAsia" w:eastAsiaTheme="minorEastAsia"/>
          <w:color w:val="auto"/>
          <w:spacing w:val="1"/>
          <w:sz w:val="24"/>
          <w:szCs w:val="24"/>
          <w:u w:val="single"/>
        </w:rPr>
        <w:t>Ⅳ类</w:t>
      </w:r>
      <w:r>
        <w:rPr>
          <w:rFonts w:hint="eastAsia" w:cs="宋体" w:asciiTheme="minorEastAsia" w:hAnsiTheme="minorEastAsia" w:eastAsiaTheme="minorEastAsia"/>
          <w:color w:val="auto"/>
          <w:sz w:val="24"/>
          <w:szCs w:val="24"/>
          <w:u w:val="single"/>
        </w:rPr>
        <w:t>错误对应1次一般</w:t>
      </w:r>
      <w:r>
        <w:rPr>
          <w:rFonts w:hint="eastAsia" w:asciiTheme="minorEastAsia" w:hAnsiTheme="minorEastAsia" w:eastAsiaTheme="minorEastAsia"/>
          <w:color w:val="auto"/>
          <w:sz w:val="24"/>
          <w:szCs w:val="24"/>
          <w:u w:val="single"/>
        </w:rPr>
        <w:t>违约责任。由此造成设计文件逾期交付的，按本章5.2.1条的约定处理。</w:t>
      </w:r>
    </w:p>
    <w:p>
      <w:pPr>
        <w:spacing w:line="360" w:lineRule="auto"/>
        <w:ind w:firstLine="480" w:firstLineChars="200"/>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B）在对设计文件进行评审或审查时发现设计人的设计质量不符合合同约定或设计文件出现遗漏或错误的，并按附件5《设计错误分类》中</w:t>
      </w:r>
      <w:r>
        <w:rPr>
          <w:rFonts w:hint="eastAsia" w:cs="宋体" w:asciiTheme="minorEastAsia" w:hAnsiTheme="minorEastAsia" w:eastAsiaTheme="minorEastAsia"/>
          <w:color w:val="auto"/>
          <w:spacing w:val="1"/>
          <w:sz w:val="24"/>
          <w:szCs w:val="24"/>
          <w:u w:val="single"/>
        </w:rPr>
        <w:t>Ⅰ类</w:t>
      </w:r>
      <w:r>
        <w:rPr>
          <w:rFonts w:hint="eastAsia" w:cs="宋体" w:asciiTheme="minorEastAsia" w:hAnsiTheme="minorEastAsia" w:eastAsiaTheme="minorEastAsia"/>
          <w:color w:val="auto"/>
          <w:sz w:val="24"/>
          <w:szCs w:val="24"/>
          <w:u w:val="single"/>
        </w:rPr>
        <w:t>错误对应2次</w:t>
      </w:r>
      <w:r>
        <w:rPr>
          <w:rFonts w:hint="eastAsia" w:asciiTheme="minorEastAsia" w:hAnsiTheme="minorEastAsia" w:eastAsiaTheme="minorEastAsia"/>
          <w:color w:val="auto"/>
          <w:sz w:val="24"/>
          <w:szCs w:val="24"/>
          <w:u w:val="single"/>
        </w:rPr>
        <w:t>严重违约责任，</w:t>
      </w:r>
      <w:r>
        <w:rPr>
          <w:rFonts w:hint="eastAsia" w:cs="宋体" w:asciiTheme="minorEastAsia" w:hAnsiTheme="minorEastAsia" w:eastAsiaTheme="minorEastAsia"/>
          <w:color w:val="auto"/>
          <w:spacing w:val="1"/>
          <w:sz w:val="24"/>
          <w:szCs w:val="24"/>
          <w:u w:val="single"/>
        </w:rPr>
        <w:t>Ⅱ</w:t>
      </w:r>
      <w:r>
        <w:rPr>
          <w:rFonts w:hint="eastAsia" w:cs="宋体" w:asciiTheme="minorEastAsia" w:hAnsiTheme="minorEastAsia" w:eastAsiaTheme="minorEastAsia"/>
          <w:color w:val="auto"/>
          <w:sz w:val="24"/>
          <w:szCs w:val="24"/>
          <w:u w:val="single"/>
        </w:rPr>
        <w:t>类错对应1次</w:t>
      </w:r>
      <w:r>
        <w:rPr>
          <w:rFonts w:hint="eastAsia" w:asciiTheme="minorEastAsia" w:hAnsiTheme="minorEastAsia" w:eastAsiaTheme="minorEastAsia"/>
          <w:color w:val="auto"/>
          <w:sz w:val="24"/>
          <w:szCs w:val="24"/>
          <w:u w:val="single"/>
        </w:rPr>
        <w:t>严重违约责任，</w:t>
      </w:r>
      <w:r>
        <w:rPr>
          <w:rFonts w:hint="eastAsia" w:cs="宋体" w:asciiTheme="minorEastAsia" w:hAnsiTheme="minorEastAsia" w:eastAsiaTheme="minorEastAsia"/>
          <w:color w:val="auto"/>
          <w:spacing w:val="1"/>
          <w:sz w:val="24"/>
          <w:szCs w:val="24"/>
          <w:u w:val="single"/>
        </w:rPr>
        <w:t>Ⅲ类</w:t>
      </w:r>
      <w:r>
        <w:rPr>
          <w:rFonts w:hint="eastAsia" w:cs="宋体" w:asciiTheme="minorEastAsia" w:hAnsiTheme="minorEastAsia" w:eastAsiaTheme="minorEastAsia"/>
          <w:color w:val="auto"/>
          <w:sz w:val="24"/>
          <w:szCs w:val="24"/>
          <w:u w:val="single"/>
        </w:rPr>
        <w:t>错误对应2次一般</w:t>
      </w:r>
      <w:r>
        <w:rPr>
          <w:rFonts w:hint="eastAsia" w:asciiTheme="minorEastAsia" w:hAnsiTheme="minorEastAsia" w:eastAsiaTheme="minorEastAsia"/>
          <w:color w:val="auto"/>
          <w:sz w:val="24"/>
          <w:szCs w:val="24"/>
          <w:u w:val="single"/>
        </w:rPr>
        <w:t>违约责任，</w:t>
      </w:r>
      <w:r>
        <w:rPr>
          <w:rFonts w:hint="eastAsia" w:cs="宋体" w:asciiTheme="minorEastAsia" w:hAnsiTheme="minorEastAsia" w:eastAsiaTheme="minorEastAsia"/>
          <w:color w:val="auto"/>
          <w:spacing w:val="1"/>
          <w:sz w:val="24"/>
          <w:szCs w:val="24"/>
          <w:u w:val="single"/>
        </w:rPr>
        <w:t>Ⅳ类</w:t>
      </w:r>
      <w:r>
        <w:rPr>
          <w:rFonts w:hint="eastAsia" w:cs="宋体" w:asciiTheme="minorEastAsia" w:hAnsiTheme="minorEastAsia" w:eastAsiaTheme="minorEastAsia"/>
          <w:color w:val="auto"/>
          <w:sz w:val="24"/>
          <w:szCs w:val="24"/>
          <w:u w:val="single"/>
        </w:rPr>
        <w:t>错误对应1次一般</w:t>
      </w:r>
      <w:r>
        <w:rPr>
          <w:rFonts w:hint="eastAsia" w:asciiTheme="minorEastAsia" w:hAnsiTheme="minorEastAsia" w:eastAsiaTheme="minorEastAsia"/>
          <w:color w:val="auto"/>
          <w:sz w:val="24"/>
          <w:szCs w:val="24"/>
          <w:u w:val="single"/>
        </w:rPr>
        <w:t>违约责任；因此造成设计文件逾期交付的，按本章5.2.1条的约定处理。</w:t>
      </w:r>
    </w:p>
    <w:p>
      <w:pPr>
        <w:spacing w:line="360" w:lineRule="auto"/>
        <w:ind w:firstLine="480" w:firstLineChars="200"/>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C）在后续设计或施工时发现设计人的设计质量不符合合同约定或设计文件出现遗漏或错误的，发包人有权根据实际情况决定其承担违约责任的形式并要求设计人赔偿损失，并按附件5《设计错误分类》中</w:t>
      </w:r>
      <w:r>
        <w:rPr>
          <w:rFonts w:hint="eastAsia" w:cs="宋体" w:asciiTheme="minorEastAsia" w:hAnsiTheme="minorEastAsia" w:eastAsiaTheme="minorEastAsia"/>
          <w:color w:val="auto"/>
          <w:spacing w:val="1"/>
          <w:sz w:val="24"/>
          <w:szCs w:val="24"/>
          <w:u w:val="single"/>
        </w:rPr>
        <w:t>Ⅰ类</w:t>
      </w:r>
      <w:r>
        <w:rPr>
          <w:rFonts w:hint="eastAsia" w:cs="宋体" w:asciiTheme="minorEastAsia" w:hAnsiTheme="minorEastAsia" w:eastAsiaTheme="minorEastAsia"/>
          <w:color w:val="auto"/>
          <w:sz w:val="24"/>
          <w:szCs w:val="24"/>
          <w:u w:val="single"/>
        </w:rPr>
        <w:t>错误对应2次</w:t>
      </w:r>
      <w:r>
        <w:rPr>
          <w:rFonts w:hint="eastAsia" w:asciiTheme="minorEastAsia" w:hAnsiTheme="minorEastAsia" w:eastAsiaTheme="minorEastAsia"/>
          <w:color w:val="auto"/>
          <w:sz w:val="24"/>
          <w:szCs w:val="24"/>
          <w:u w:val="single"/>
        </w:rPr>
        <w:t>严重违约责任，</w:t>
      </w:r>
      <w:r>
        <w:rPr>
          <w:rFonts w:hint="eastAsia" w:cs="宋体" w:asciiTheme="minorEastAsia" w:hAnsiTheme="minorEastAsia" w:eastAsiaTheme="minorEastAsia"/>
          <w:color w:val="auto"/>
          <w:spacing w:val="1"/>
          <w:sz w:val="24"/>
          <w:szCs w:val="24"/>
          <w:u w:val="single"/>
        </w:rPr>
        <w:t>Ⅱ</w:t>
      </w:r>
      <w:r>
        <w:rPr>
          <w:rFonts w:hint="eastAsia" w:cs="宋体" w:asciiTheme="minorEastAsia" w:hAnsiTheme="minorEastAsia" w:eastAsiaTheme="minorEastAsia"/>
          <w:color w:val="auto"/>
          <w:sz w:val="24"/>
          <w:szCs w:val="24"/>
          <w:u w:val="single"/>
        </w:rPr>
        <w:t>类错对应1次</w:t>
      </w:r>
      <w:r>
        <w:rPr>
          <w:rFonts w:hint="eastAsia" w:asciiTheme="minorEastAsia" w:hAnsiTheme="minorEastAsia" w:eastAsiaTheme="minorEastAsia"/>
          <w:color w:val="auto"/>
          <w:sz w:val="24"/>
          <w:szCs w:val="24"/>
          <w:u w:val="single"/>
        </w:rPr>
        <w:t>严重违约责任，</w:t>
      </w:r>
      <w:r>
        <w:rPr>
          <w:rFonts w:hint="eastAsia" w:cs="宋体" w:asciiTheme="minorEastAsia" w:hAnsiTheme="minorEastAsia" w:eastAsiaTheme="minorEastAsia"/>
          <w:color w:val="auto"/>
          <w:spacing w:val="1"/>
          <w:sz w:val="24"/>
          <w:szCs w:val="24"/>
          <w:u w:val="single"/>
        </w:rPr>
        <w:t>Ⅲ类</w:t>
      </w:r>
      <w:r>
        <w:rPr>
          <w:rFonts w:hint="eastAsia" w:cs="宋体" w:asciiTheme="minorEastAsia" w:hAnsiTheme="minorEastAsia" w:eastAsiaTheme="minorEastAsia"/>
          <w:color w:val="auto"/>
          <w:sz w:val="24"/>
          <w:szCs w:val="24"/>
          <w:u w:val="single"/>
        </w:rPr>
        <w:t>错误对应2次一般</w:t>
      </w:r>
      <w:r>
        <w:rPr>
          <w:rFonts w:hint="eastAsia" w:asciiTheme="minorEastAsia" w:hAnsiTheme="minorEastAsia" w:eastAsiaTheme="minorEastAsia"/>
          <w:color w:val="auto"/>
          <w:sz w:val="24"/>
          <w:szCs w:val="24"/>
          <w:u w:val="single"/>
        </w:rPr>
        <w:t>违约责任，</w:t>
      </w:r>
      <w:r>
        <w:rPr>
          <w:rFonts w:hint="eastAsia" w:cs="宋体" w:asciiTheme="minorEastAsia" w:hAnsiTheme="minorEastAsia" w:eastAsiaTheme="minorEastAsia"/>
          <w:color w:val="auto"/>
          <w:spacing w:val="1"/>
          <w:sz w:val="24"/>
          <w:szCs w:val="24"/>
          <w:u w:val="single"/>
        </w:rPr>
        <w:t>Ⅳ类</w:t>
      </w:r>
      <w:r>
        <w:rPr>
          <w:rFonts w:hint="eastAsia" w:cs="宋体" w:asciiTheme="minorEastAsia" w:hAnsiTheme="minorEastAsia" w:eastAsiaTheme="minorEastAsia"/>
          <w:color w:val="auto"/>
          <w:sz w:val="24"/>
          <w:szCs w:val="24"/>
          <w:u w:val="single"/>
        </w:rPr>
        <w:t>错误对应1次一般</w:t>
      </w:r>
      <w:r>
        <w:rPr>
          <w:rFonts w:hint="eastAsia" w:asciiTheme="minorEastAsia" w:hAnsiTheme="minorEastAsia" w:eastAsiaTheme="minorEastAsia"/>
          <w:color w:val="auto"/>
          <w:sz w:val="24"/>
          <w:szCs w:val="24"/>
          <w:u w:val="single"/>
        </w:rPr>
        <w:t>违约责任。</w:t>
      </w:r>
    </w:p>
    <w:p>
      <w:pPr>
        <w:spacing w:line="360" w:lineRule="auto"/>
        <w:ind w:firstLine="480" w:firstLineChars="200"/>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D）因设计人的设计质量不符合合同约定或设计文件出现遗漏或错误造成一般质量事故或工期延误3天以上5天以内的，按一般违约处理，设计人应负责修改或补充设计文件并免收直接受影响工程部分的设计费。</w:t>
      </w:r>
    </w:p>
    <w:p>
      <w:pPr>
        <w:spacing w:line="360" w:lineRule="auto"/>
        <w:ind w:firstLine="480" w:firstLineChars="200"/>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E）由于设计人设计错误造成工程严重质量事故或工期延误超过5天的，按严重违约处理，设计人除负责采取补救措施外，应免收直接受影响工程部分的设计费，给发包人造成损失的，应全额向发包人支付赔偿金。</w:t>
      </w:r>
    </w:p>
    <w:p>
      <w:pPr>
        <w:spacing w:line="360" w:lineRule="auto"/>
        <w:ind w:firstLine="480" w:firstLineChars="200"/>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3）投资控制方面的违约责任：</w:t>
      </w:r>
    </w:p>
    <w:p>
      <w:pPr>
        <w:spacing w:line="360" w:lineRule="auto"/>
        <w:ind w:firstLine="480" w:firstLineChars="200"/>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①设计人未取得发包人同意超投资限额设计的，超过30万元须限期改正，超过50万元须承担一般违约责任，超过100万元须承担严重违约责任，超过200万元按部分解除合同处理，超过400万元按解除合同处理。此外，扣减等同超限额部分金额设计费，同时设计人还要承担由此造成的一切经济责任和法律责任。</w:t>
      </w:r>
    </w:p>
    <w:p>
      <w:pPr>
        <w:spacing w:line="360" w:lineRule="auto"/>
        <w:ind w:firstLine="480" w:firstLineChars="200"/>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4）人员投入方面的违约责任：</w:t>
      </w:r>
    </w:p>
    <w:p>
      <w:pPr>
        <w:spacing w:line="360" w:lineRule="auto"/>
        <w:ind w:firstLine="480" w:firstLineChars="200"/>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①设计人在合同附件中承诺投入的人员没有按发包人的指令按时到位的，必须在发包人规定的时间限期到位，如不在发包人规定的时间到位，发包人有权根据实际情况决定设计人承担违约责任的形式，设计人不得提出任何异议。</w:t>
      </w:r>
    </w:p>
    <w:p>
      <w:pPr>
        <w:spacing w:line="360" w:lineRule="auto"/>
        <w:ind w:firstLine="480" w:firstLineChars="200"/>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②在本合同履行期内设计人要求更换人员的，按以下约定处理：</w:t>
      </w:r>
    </w:p>
    <w:p>
      <w:pPr>
        <w:spacing w:line="360" w:lineRule="auto"/>
        <w:ind w:firstLine="480" w:firstLineChars="200"/>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A）未经发包人同意的，更换一般设计人员须向发包人支付违约金人民币3万元/人次；更换专业设计负责人须向发包人支付违约金人民币9万元/人次；更换项目总负责人（或设计负责人）须向发包人支付违约金人民币15万元/人次。</w:t>
      </w:r>
    </w:p>
    <w:p>
      <w:pPr>
        <w:spacing w:line="360" w:lineRule="auto"/>
        <w:ind w:firstLine="480" w:firstLineChars="200"/>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B）经发包人同意的，更换一般设计人员，发包人有权要求设计人支付违约金人民币1万元/人次；更换专业设计负责人，发包人有权要求设计人支付违约金人民币3万元/人次；更换驻场设计代表，发包人有权要求设计人支付违约金人民币5万元/人次。</w:t>
      </w:r>
    </w:p>
    <w:p>
      <w:pPr>
        <w:spacing w:line="360" w:lineRule="auto"/>
        <w:ind w:firstLine="480" w:firstLineChars="200"/>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C）因不可抗力事件（如重病、重伤、失踪、死亡等）造成设计人员岗位空缺的，设计人必须在出现空缺之日起五日内予以补充，但无须向发包人支付违约金。逾期未予以补充的，按照本章5.4.1条处理。</w:t>
      </w:r>
    </w:p>
    <w:p>
      <w:pPr>
        <w:spacing w:line="360" w:lineRule="auto"/>
        <w:ind w:firstLine="480" w:firstLineChars="200"/>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5）其他方面的违约责任：</w:t>
      </w:r>
    </w:p>
    <w:p>
      <w:pPr>
        <w:spacing w:line="360" w:lineRule="auto"/>
        <w:ind w:firstLine="480" w:firstLineChars="200"/>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设计人违反本合同其他条款的约定或者履约时与其承诺不符，发包人有权根据实际情况决定其承担违约责任的形式，设计人不得提出任何异议。</w:t>
      </w:r>
    </w:p>
    <w:p>
      <w:pPr>
        <w:spacing w:line="360" w:lineRule="auto"/>
        <w:ind w:firstLine="480" w:firstLineChars="200"/>
        <w:rPr>
          <w:rFonts w:cs="宋体" w:asciiTheme="minorEastAsia" w:hAnsiTheme="minorEastAsia" w:eastAsiaTheme="minorEastAsia"/>
          <w:snapToGrid w:val="0"/>
          <w:color w:val="auto"/>
          <w:sz w:val="24"/>
          <w:szCs w:val="24"/>
          <w:u w:val="single"/>
        </w:rPr>
      </w:pPr>
      <w:r>
        <w:rPr>
          <w:rFonts w:hint="eastAsia" w:asciiTheme="minorEastAsia" w:hAnsiTheme="minorEastAsia" w:eastAsiaTheme="minorEastAsia"/>
          <w:color w:val="auto"/>
          <w:sz w:val="24"/>
          <w:szCs w:val="24"/>
          <w:u w:val="single"/>
        </w:rPr>
        <w:t>①</w:t>
      </w:r>
      <w:r>
        <w:rPr>
          <w:rFonts w:hint="eastAsia" w:cs="宋体" w:asciiTheme="minorEastAsia" w:hAnsiTheme="minorEastAsia" w:eastAsiaTheme="minorEastAsia"/>
          <w:snapToGrid w:val="0"/>
          <w:color w:val="auto"/>
          <w:sz w:val="24"/>
          <w:szCs w:val="24"/>
          <w:u w:val="single"/>
        </w:rPr>
        <w:t>设计人应支持、服从发包人的管理工作，对发包人的指令和书面通知，若无正当理由又未提前报告、得到认可，而公开或变相拒不执行的，第一次承担一般违约责任1次；第三次以后，每发生一次承担严重违约1次，</w:t>
      </w:r>
      <w:r>
        <w:rPr>
          <w:rFonts w:hint="eastAsia" w:cs="宋体" w:asciiTheme="minorEastAsia" w:hAnsiTheme="minorEastAsia" w:eastAsiaTheme="minorEastAsia"/>
          <w:bCs/>
          <w:snapToGrid w:val="0"/>
          <w:color w:val="auto"/>
          <w:sz w:val="24"/>
          <w:szCs w:val="24"/>
          <w:u w:val="single"/>
        </w:rPr>
        <w:t>情节特别严重的，发包人有权部分解除合同或解除合同</w:t>
      </w:r>
      <w:r>
        <w:rPr>
          <w:rFonts w:hint="eastAsia" w:cs="宋体" w:asciiTheme="minorEastAsia" w:hAnsiTheme="minorEastAsia" w:eastAsiaTheme="minorEastAsia"/>
          <w:snapToGrid w:val="0"/>
          <w:color w:val="auto"/>
          <w:sz w:val="24"/>
          <w:szCs w:val="24"/>
          <w:u w:val="single"/>
        </w:rPr>
        <w:t>。</w:t>
      </w:r>
    </w:p>
    <w:p>
      <w:pPr>
        <w:spacing w:line="360" w:lineRule="auto"/>
        <w:ind w:firstLine="480" w:firstLineChars="200"/>
        <w:rPr>
          <w:rFonts w:cs="宋体" w:asciiTheme="minorEastAsia" w:hAnsiTheme="minorEastAsia" w:eastAsiaTheme="minorEastAsia"/>
          <w:snapToGrid w:val="0"/>
          <w:color w:val="auto"/>
          <w:sz w:val="24"/>
          <w:szCs w:val="24"/>
          <w:u w:val="single"/>
        </w:rPr>
      </w:pPr>
      <w:r>
        <w:rPr>
          <w:rFonts w:hint="eastAsia" w:cs="宋体" w:asciiTheme="minorEastAsia" w:hAnsiTheme="minorEastAsia" w:eastAsiaTheme="minorEastAsia"/>
          <w:snapToGrid w:val="0"/>
          <w:color w:val="auto"/>
          <w:sz w:val="24"/>
          <w:szCs w:val="24"/>
          <w:u w:val="single"/>
        </w:rPr>
        <w:t>②对于发包人通知设计人（包括设计人分包单位）参加的会议（包括但不限于进场会、现场问题处理会议、工程验收会议、结算问题处理会议、质保期工作的相关会议等），被通知人员（包括但不限于设计人法定代表人、经报发包人批准同意的设计人法定代表人授权人、项目负责人等）未经发包人书面同意自行缺席的，每缺席一人次设计人承担1次一般违约责任。</w:t>
      </w:r>
    </w:p>
    <w:p>
      <w:pPr>
        <w:spacing w:line="360" w:lineRule="auto"/>
        <w:ind w:firstLine="480" w:firstLineChars="200"/>
        <w:rPr>
          <w:rFonts w:cs="宋体" w:asciiTheme="minorEastAsia" w:hAnsiTheme="minorEastAsia" w:eastAsiaTheme="minorEastAsia"/>
          <w:snapToGrid w:val="0"/>
          <w:color w:val="auto"/>
          <w:sz w:val="24"/>
          <w:szCs w:val="24"/>
          <w:u w:val="single"/>
        </w:rPr>
      </w:pPr>
      <w:r>
        <w:rPr>
          <w:rFonts w:hint="eastAsia" w:cs="宋体" w:asciiTheme="minorEastAsia" w:hAnsiTheme="minorEastAsia" w:eastAsiaTheme="minorEastAsia"/>
          <w:snapToGrid w:val="0"/>
          <w:color w:val="auto"/>
          <w:sz w:val="24"/>
          <w:szCs w:val="24"/>
          <w:u w:val="single"/>
        </w:rPr>
        <w:t>③设计人未能按合同约定及时提供招标配合服务，或其招标配合服务未能达到合同约定的要求，导致发包人的招标工作不能按时顺利进行的，每确认1次，设计人承担一般违约责任1次。</w:t>
      </w:r>
    </w:p>
    <w:p>
      <w:pPr>
        <w:spacing w:line="360" w:lineRule="auto"/>
        <w:ind w:firstLine="480" w:firstLineChars="200"/>
        <w:rPr>
          <w:rFonts w:asciiTheme="minorEastAsia" w:hAnsiTheme="minorEastAsia" w:eastAsiaTheme="minorEastAsia"/>
          <w:color w:val="auto"/>
          <w:sz w:val="24"/>
          <w:szCs w:val="24"/>
          <w:u w:val="single"/>
        </w:rPr>
      </w:pPr>
      <w:r>
        <w:rPr>
          <w:rFonts w:hint="eastAsia" w:cs="宋体" w:asciiTheme="minorEastAsia" w:hAnsiTheme="minorEastAsia" w:eastAsiaTheme="minorEastAsia"/>
          <w:snapToGrid w:val="0"/>
          <w:color w:val="auto"/>
          <w:sz w:val="24"/>
          <w:szCs w:val="24"/>
          <w:u w:val="single"/>
        </w:rPr>
        <w:t>④设计人未能按合同约定投入人员或投入人员（含勘察人员）没有按时到位的人员为一般设计人员的，每出现1人次，设计人承担一般违约责任1次；如该没有投入或者没有按时到位的人员为设计专业负责人的，每出现1人次，设计人承担严重违约责任1次。设计人要求更换人员的，需征得发包人同意。设计人在发包人规定的宽限期内仍未将人员投入到位的，发包人有权另请他人接替其工作并书面通知设计人，另请他人的费用从应支付给设计人的勘察、设计费中扣减。</w:t>
      </w:r>
      <w:r>
        <w:rPr>
          <w:rFonts w:hint="eastAsia" w:cs="宋体" w:asciiTheme="minorEastAsia" w:hAnsiTheme="minorEastAsia" w:eastAsiaTheme="minorEastAsia"/>
          <w:color w:val="auto"/>
          <w:kern w:val="1"/>
          <w:sz w:val="24"/>
          <w:szCs w:val="24"/>
          <w:u w:val="single"/>
        </w:rPr>
        <w:t>因不可抗力事件（如重病、重伤、失踪、死亡等）造成设计人员岗位空缺的，设计人必须在出现空缺之日起五日内予以补充，但无须向发包人支付违约金。逾期未予以补充的，按照</w:t>
      </w:r>
      <w:r>
        <w:rPr>
          <w:rFonts w:hint="eastAsia" w:cs="宋体" w:asciiTheme="minorEastAsia" w:hAnsiTheme="minorEastAsia" w:eastAsiaTheme="minorEastAsia"/>
          <w:snapToGrid w:val="0"/>
          <w:color w:val="auto"/>
          <w:sz w:val="24"/>
          <w:szCs w:val="24"/>
          <w:u w:val="single"/>
        </w:rPr>
        <w:t>没有按时到位</w:t>
      </w:r>
      <w:r>
        <w:rPr>
          <w:rFonts w:hint="eastAsia" w:cs="宋体" w:asciiTheme="minorEastAsia" w:hAnsiTheme="minorEastAsia" w:eastAsiaTheme="minorEastAsia"/>
          <w:color w:val="auto"/>
          <w:kern w:val="1"/>
          <w:sz w:val="24"/>
          <w:szCs w:val="24"/>
          <w:u w:val="single"/>
        </w:rPr>
        <w:t>处理。</w:t>
      </w:r>
    </w:p>
    <w:p>
      <w:pPr>
        <w:numPr>
          <w:ilvl w:val="0"/>
          <w:numId w:val="7"/>
        </w:numPr>
        <w:spacing w:line="360" w:lineRule="auto"/>
        <w:ind w:firstLine="480" w:firstLineChars="200"/>
        <w:rPr>
          <w:color w:val="auto"/>
          <w:sz w:val="24"/>
          <w:szCs w:val="28"/>
        </w:rPr>
      </w:pPr>
      <w:r>
        <w:rPr>
          <w:rFonts w:hint="eastAsia" w:asciiTheme="minorEastAsia" w:hAnsiTheme="minorEastAsia" w:eastAsiaTheme="minorEastAsia"/>
          <w:color w:val="auto"/>
          <w:sz w:val="24"/>
          <w:szCs w:val="24"/>
          <w:u w:val="single"/>
        </w:rPr>
        <w:t>违约金从履约担保中扣除。履约担保不足的，相应扣减项目设计费。项目设计费不足的，发包人可继续向设计人提出索赔要求。</w:t>
      </w:r>
    </w:p>
    <w:p>
      <w:pPr>
        <w:numPr>
          <w:ilvl w:val="0"/>
          <w:numId w:val="7"/>
        </w:numPr>
        <w:spacing w:line="360" w:lineRule="auto"/>
        <w:ind w:firstLine="480" w:firstLineChars="200"/>
        <w:rPr>
          <w:color w:val="auto"/>
          <w:sz w:val="24"/>
          <w:szCs w:val="28"/>
        </w:rPr>
      </w:pPr>
      <w:r>
        <w:rPr>
          <w:rFonts w:hint="eastAsia"/>
          <w:color w:val="auto"/>
          <w:sz w:val="24"/>
          <w:szCs w:val="28"/>
        </w:rPr>
        <w:t>乙方出现下列情形之一的，甲方有权相应扣减乙方的设计服务费</w:t>
      </w:r>
    </w:p>
    <w:p>
      <w:pPr>
        <w:spacing w:line="360" w:lineRule="auto"/>
        <w:ind w:firstLine="424" w:firstLineChars="177"/>
        <w:rPr>
          <w:rFonts w:ascii="宋体" w:hAnsi="宋体"/>
          <w:color w:val="auto"/>
          <w:sz w:val="24"/>
          <w:szCs w:val="24"/>
        </w:rPr>
      </w:pPr>
      <w:r>
        <w:rPr>
          <w:rFonts w:hint="eastAsia" w:ascii="宋体" w:hAnsi="宋体"/>
          <w:color w:val="auto"/>
          <w:sz w:val="24"/>
          <w:szCs w:val="24"/>
        </w:rPr>
        <w:t>（1）由于设计图纸错、漏、碰、缺引起的施工返工、停工，对施工工期造成了较大的影响；</w:t>
      </w:r>
    </w:p>
    <w:p>
      <w:pPr>
        <w:spacing w:line="360" w:lineRule="auto"/>
        <w:ind w:firstLine="424" w:firstLineChars="177"/>
        <w:rPr>
          <w:rFonts w:ascii="宋体" w:hAnsi="宋体"/>
          <w:color w:val="auto"/>
          <w:sz w:val="24"/>
          <w:szCs w:val="24"/>
        </w:rPr>
      </w:pPr>
      <w:r>
        <w:rPr>
          <w:rFonts w:hint="eastAsia" w:ascii="宋体" w:hAnsi="宋体"/>
          <w:color w:val="auto"/>
          <w:sz w:val="24"/>
          <w:szCs w:val="24"/>
        </w:rPr>
        <w:t>（2）由于设计错误，对项目造成不良影响，扣除设计错误部分对应的设计服务费；</w:t>
      </w:r>
    </w:p>
    <w:p>
      <w:pPr>
        <w:spacing w:line="360" w:lineRule="auto"/>
        <w:ind w:firstLine="424" w:firstLineChars="177"/>
        <w:rPr>
          <w:rFonts w:ascii="宋体" w:hAnsi="宋体"/>
          <w:color w:val="auto"/>
          <w:sz w:val="24"/>
          <w:szCs w:val="24"/>
        </w:rPr>
      </w:pPr>
      <w:r>
        <w:rPr>
          <w:rFonts w:hint="eastAsia" w:ascii="宋体" w:hAnsi="宋体"/>
          <w:color w:val="auto"/>
          <w:sz w:val="24"/>
          <w:szCs w:val="24"/>
        </w:rPr>
        <w:t>（3）引起质量问题给甲方造成损失或不良影响的。</w:t>
      </w:r>
    </w:p>
    <w:p>
      <w:pPr>
        <w:spacing w:line="360" w:lineRule="auto"/>
        <w:ind w:firstLine="424" w:firstLineChars="177"/>
        <w:rPr>
          <w:rFonts w:ascii="宋体" w:hAnsi="宋体"/>
          <w:color w:val="auto"/>
          <w:sz w:val="24"/>
          <w:szCs w:val="24"/>
        </w:rPr>
      </w:pPr>
      <w:r>
        <w:rPr>
          <w:rFonts w:hint="eastAsia" w:ascii="宋体" w:hAnsi="宋体"/>
          <w:color w:val="auto"/>
          <w:sz w:val="24"/>
          <w:szCs w:val="24"/>
        </w:rPr>
        <w:t>（4）中标单位在BIM实施方面有如下行为，视为BIM违约。如模型深度未达到要求、未完成BIM工作内容清单、未按相关要求实施BIM等。</w:t>
      </w:r>
    </w:p>
    <w:p>
      <w:pPr>
        <w:pStyle w:val="30"/>
        <w:numPr>
          <w:ilvl w:val="255"/>
          <w:numId w:val="0"/>
        </w:numPr>
        <w:rPr>
          <w:color w:val="auto"/>
        </w:rPr>
      </w:pPr>
    </w:p>
    <w:p>
      <w:pPr>
        <w:pStyle w:val="6"/>
        <w:spacing w:before="120" w:after="120" w:line="360" w:lineRule="auto"/>
        <w:ind w:firstLine="480" w:firstLineChars="200"/>
        <w:rPr>
          <w:rFonts w:asciiTheme="minorEastAsia" w:hAnsiTheme="minorEastAsia" w:eastAsiaTheme="minorEastAsia"/>
          <w:b w:val="0"/>
          <w:color w:val="auto"/>
          <w:sz w:val="24"/>
          <w:szCs w:val="24"/>
        </w:rPr>
      </w:pPr>
      <w:r>
        <w:rPr>
          <w:rFonts w:hint="eastAsia" w:asciiTheme="minorEastAsia" w:hAnsiTheme="minorEastAsia" w:eastAsiaTheme="minorEastAsia"/>
          <w:b w:val="0"/>
          <w:color w:val="auto"/>
          <w:sz w:val="24"/>
          <w:szCs w:val="24"/>
        </w:rPr>
        <w:t xml:space="preserve">15. 不可抗力 </w:t>
      </w:r>
    </w:p>
    <w:p>
      <w:pPr>
        <w:spacing w:before="120" w:after="120"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15.1 不可抗力的确认</w:t>
      </w:r>
    </w:p>
    <w:p>
      <w:pPr>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sz w:val="24"/>
          <w:szCs w:val="24"/>
        </w:rPr>
        <w:t>除通用合同条款约定的不可抗力事件之外，视为不可抗力的其他情形：</w:t>
      </w:r>
      <w:r>
        <w:rPr>
          <w:rFonts w:hint="eastAsia" w:asciiTheme="minorEastAsia" w:hAnsiTheme="minorEastAsia" w:eastAsiaTheme="minorEastAsia"/>
          <w:color w:val="auto"/>
          <w:kern w:val="0"/>
          <w:sz w:val="24"/>
          <w:szCs w:val="24"/>
          <w:u w:val="single"/>
        </w:rPr>
        <w:t xml:space="preserve">  重病、重伤、失踪、死亡等       </w:t>
      </w:r>
      <w:r>
        <w:rPr>
          <w:rFonts w:hint="eastAsia" w:asciiTheme="minorEastAsia" w:hAnsiTheme="minorEastAsia" w:eastAsiaTheme="minorEastAsia"/>
          <w:color w:val="auto"/>
          <w:kern w:val="0"/>
          <w:sz w:val="24"/>
          <w:szCs w:val="24"/>
        </w:rPr>
        <w:t>。</w:t>
      </w:r>
    </w:p>
    <w:p>
      <w:pPr>
        <w:spacing w:before="120" w:after="120"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15.3不可抗力后果的承担</w:t>
      </w:r>
    </w:p>
    <w:p>
      <w:pPr>
        <w:spacing w:line="360" w:lineRule="auto"/>
        <w:ind w:firstLine="480" w:firstLineChars="200"/>
        <w:jc w:val="left"/>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因不可抗力事件导致的费用损失，由甲、乙双方各自承担自己的损失；对不可抗力事件导致的工期延误，除非一次影响工期延误大于30天，否则竣工日期不变，分段工期或者节点工期可以延误，但设计人应当在下一个节点或分段竣工日前赶回。</w:t>
      </w:r>
    </w:p>
    <w:p>
      <w:pPr>
        <w:spacing w:before="120" w:after="120"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sz w:val="24"/>
          <w:szCs w:val="24"/>
        </w:rPr>
        <w:t xml:space="preserve">16. 合同解除 </w:t>
      </w:r>
    </w:p>
    <w:p>
      <w:pPr>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 xml:space="preserve">16.2 </w:t>
      </w:r>
      <w:r>
        <w:rPr>
          <w:rFonts w:hint="eastAsia" w:cs="Courier New" w:asciiTheme="minorEastAsia" w:hAnsiTheme="minorEastAsia" w:eastAsiaTheme="minorEastAsia"/>
          <w:color w:val="auto"/>
          <w:sz w:val="24"/>
          <w:szCs w:val="24"/>
        </w:rPr>
        <w:t>有下列情形之一的，可以解除合同：</w:t>
      </w:r>
    </w:p>
    <w:p>
      <w:pPr>
        <w:spacing w:line="360" w:lineRule="auto"/>
        <w:ind w:firstLine="480" w:firstLineChars="200"/>
        <w:jc w:val="left"/>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（3）暂停设计期限已连续超过</w:t>
      </w:r>
      <w:r>
        <w:rPr>
          <w:rFonts w:hint="eastAsia" w:asciiTheme="minorEastAsia" w:hAnsiTheme="minorEastAsia" w:eastAsiaTheme="minorEastAsia"/>
          <w:color w:val="auto"/>
          <w:kern w:val="0"/>
          <w:sz w:val="24"/>
          <w:szCs w:val="24"/>
          <w:u w:val="single"/>
        </w:rPr>
        <w:t xml:space="preserve">  180  </w:t>
      </w:r>
      <w:r>
        <w:rPr>
          <w:rFonts w:hint="eastAsia" w:asciiTheme="minorEastAsia" w:hAnsiTheme="minorEastAsia" w:eastAsiaTheme="minorEastAsia"/>
          <w:color w:val="auto"/>
          <w:kern w:val="0"/>
          <w:sz w:val="24"/>
          <w:szCs w:val="24"/>
        </w:rPr>
        <w:t>个日历天。</w:t>
      </w:r>
    </w:p>
    <w:p>
      <w:pPr>
        <w:spacing w:line="360" w:lineRule="auto"/>
        <w:ind w:firstLine="480" w:firstLineChars="200"/>
        <w:jc w:val="left"/>
        <w:rPr>
          <w:rFonts w:asciiTheme="minorEastAsia" w:hAnsiTheme="minorEastAsia" w:eastAsiaTheme="minorEastAsia"/>
          <w:color w:val="auto"/>
          <w:kern w:val="0"/>
          <w:sz w:val="24"/>
          <w:szCs w:val="24"/>
          <w:u w:val="single"/>
        </w:rPr>
      </w:pPr>
      <w:r>
        <w:rPr>
          <w:rFonts w:hint="eastAsia" w:asciiTheme="minorEastAsia" w:hAnsiTheme="minorEastAsia" w:eastAsiaTheme="minorEastAsia"/>
          <w:color w:val="auto"/>
          <w:kern w:val="0"/>
          <w:sz w:val="24"/>
          <w:szCs w:val="24"/>
        </w:rPr>
        <w:t xml:space="preserve">16.4 </w:t>
      </w:r>
      <w:r>
        <w:rPr>
          <w:rFonts w:hint="eastAsia" w:cs="Courier New" w:asciiTheme="minorEastAsia" w:hAnsiTheme="minorEastAsia" w:eastAsiaTheme="minorEastAsia"/>
          <w:color w:val="auto"/>
          <w:sz w:val="24"/>
          <w:szCs w:val="24"/>
        </w:rPr>
        <w:t>发包人向设计人支付已完工作设计费的期限为</w:t>
      </w:r>
      <w:r>
        <w:rPr>
          <w:rFonts w:hint="eastAsia" w:cs="Courier New" w:asciiTheme="minorEastAsia" w:hAnsiTheme="minorEastAsia" w:eastAsiaTheme="minorEastAsia"/>
          <w:color w:val="auto"/>
          <w:sz w:val="24"/>
          <w:szCs w:val="24"/>
          <w:u w:val="single"/>
        </w:rPr>
        <w:t xml:space="preserve">  180  </w:t>
      </w:r>
      <w:r>
        <w:rPr>
          <w:rFonts w:hint="eastAsia" w:asciiTheme="minorEastAsia" w:hAnsiTheme="minorEastAsia" w:eastAsiaTheme="minorEastAsia"/>
          <w:color w:val="auto"/>
          <w:kern w:val="0"/>
          <w:sz w:val="24"/>
          <w:szCs w:val="24"/>
        </w:rPr>
        <w:t>个日历天</w:t>
      </w:r>
      <w:r>
        <w:rPr>
          <w:rFonts w:hint="eastAsia" w:cs="Courier New" w:asciiTheme="minorEastAsia" w:hAnsiTheme="minorEastAsia" w:eastAsiaTheme="minorEastAsia"/>
          <w:color w:val="auto"/>
          <w:sz w:val="24"/>
          <w:szCs w:val="24"/>
        </w:rPr>
        <w:t>内。</w:t>
      </w:r>
    </w:p>
    <w:p>
      <w:pPr>
        <w:pStyle w:val="6"/>
        <w:spacing w:before="120" w:after="120" w:line="360" w:lineRule="auto"/>
        <w:ind w:firstLine="480" w:firstLineChars="200"/>
        <w:rPr>
          <w:rFonts w:asciiTheme="minorEastAsia" w:hAnsiTheme="minorEastAsia" w:eastAsiaTheme="minorEastAsia"/>
          <w:b w:val="0"/>
          <w:color w:val="auto"/>
          <w:sz w:val="24"/>
          <w:szCs w:val="24"/>
        </w:rPr>
      </w:pPr>
      <w:r>
        <w:rPr>
          <w:rFonts w:hint="eastAsia" w:asciiTheme="minorEastAsia" w:hAnsiTheme="minorEastAsia" w:eastAsiaTheme="minorEastAsia"/>
          <w:b w:val="0"/>
          <w:color w:val="auto"/>
          <w:sz w:val="24"/>
          <w:szCs w:val="24"/>
        </w:rPr>
        <w:t>17. 争议解决</w:t>
      </w:r>
    </w:p>
    <w:p>
      <w:pPr>
        <w:spacing w:before="120" w:after="120"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17.4 仲裁或诉讼</w:t>
      </w:r>
    </w:p>
    <w:p>
      <w:pPr>
        <w:spacing w:after="120"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因合同及合同有关事项发生的争议，按下列第</w:t>
      </w:r>
      <w:r>
        <w:rPr>
          <w:rFonts w:hint="eastAsia" w:asciiTheme="minorEastAsia" w:hAnsiTheme="minorEastAsia" w:eastAsiaTheme="minorEastAsia"/>
          <w:color w:val="auto"/>
          <w:sz w:val="24"/>
          <w:szCs w:val="24"/>
          <w:u w:val="single"/>
        </w:rPr>
        <w:t xml:space="preserve">   （1）  </w:t>
      </w:r>
      <w:r>
        <w:rPr>
          <w:rFonts w:hint="eastAsia" w:asciiTheme="minorEastAsia" w:hAnsiTheme="minorEastAsia" w:eastAsiaTheme="minorEastAsia"/>
          <w:color w:val="auto"/>
          <w:sz w:val="24"/>
          <w:szCs w:val="24"/>
        </w:rPr>
        <w:t>种方式解决：</w:t>
      </w:r>
    </w:p>
    <w:p>
      <w:pPr>
        <w:spacing w:line="360" w:lineRule="auto"/>
        <w:ind w:firstLine="480" w:firstLineChars="200"/>
        <w:jc w:val="left"/>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（1）向</w:t>
      </w:r>
      <w:r>
        <w:rPr>
          <w:rFonts w:hint="eastAsia" w:asciiTheme="minorEastAsia" w:hAnsiTheme="minorEastAsia" w:eastAsiaTheme="minorEastAsia"/>
          <w:color w:val="auto"/>
          <w:sz w:val="24"/>
          <w:szCs w:val="24"/>
          <w:u w:val="single"/>
        </w:rPr>
        <w:t xml:space="preserve">    广州市   </w:t>
      </w:r>
      <w:r>
        <w:rPr>
          <w:rFonts w:hint="eastAsia" w:asciiTheme="minorEastAsia" w:hAnsiTheme="minorEastAsia" w:eastAsiaTheme="minorEastAsia"/>
          <w:color w:val="auto"/>
          <w:sz w:val="24"/>
          <w:szCs w:val="24"/>
        </w:rPr>
        <w:t>人民法院起诉；</w:t>
      </w:r>
    </w:p>
    <w:p>
      <w:pPr>
        <w:pStyle w:val="6"/>
        <w:spacing w:before="120" w:after="120" w:line="360" w:lineRule="auto"/>
        <w:ind w:firstLine="480" w:firstLineChars="200"/>
        <w:rPr>
          <w:rFonts w:asciiTheme="minorEastAsia" w:hAnsiTheme="minorEastAsia" w:eastAsiaTheme="minorEastAsia"/>
          <w:b w:val="0"/>
          <w:color w:val="auto"/>
          <w:sz w:val="24"/>
          <w:szCs w:val="24"/>
        </w:rPr>
      </w:pPr>
      <w:r>
        <w:rPr>
          <w:rFonts w:hint="eastAsia" w:asciiTheme="minorEastAsia" w:hAnsiTheme="minorEastAsia" w:eastAsiaTheme="minorEastAsia"/>
          <w:b w:val="0"/>
          <w:color w:val="auto"/>
          <w:sz w:val="24"/>
          <w:szCs w:val="24"/>
        </w:rPr>
        <w:t>18. 其他（如果没有，填“无”）</w:t>
      </w:r>
    </w:p>
    <w:p>
      <w:pPr>
        <w:spacing w:line="360" w:lineRule="auto"/>
        <w:jc w:val="left"/>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w:t>
      </w:r>
    </w:p>
    <w:p>
      <w:pPr>
        <w:spacing w:line="360" w:lineRule="auto"/>
        <w:jc w:val="left"/>
        <w:rPr>
          <w:rFonts w:asciiTheme="minorEastAsia" w:hAnsiTheme="minorEastAsia" w:eastAsiaTheme="minorEastAsia"/>
          <w:color w:val="auto"/>
          <w:sz w:val="24"/>
          <w:szCs w:val="24"/>
        </w:rPr>
      </w:pPr>
    </w:p>
    <w:bookmarkEnd w:id="168"/>
    <w:p>
      <w:pPr>
        <w:spacing w:line="360" w:lineRule="auto"/>
        <w:jc w:val="left"/>
        <w:rPr>
          <w:rFonts w:asciiTheme="minorEastAsia" w:hAnsiTheme="minorEastAsia" w:eastAsiaTheme="minorEastAsia"/>
          <w:b/>
          <w:color w:val="auto"/>
          <w:sz w:val="24"/>
          <w:szCs w:val="24"/>
        </w:rPr>
        <w:sectPr>
          <w:pgSz w:w="11910" w:h="16840"/>
          <w:pgMar w:top="1140" w:right="1000" w:bottom="1160" w:left="1020" w:header="0" w:footer="973" w:gutter="0"/>
          <w:pgNumType w:start="1"/>
          <w:cols w:space="720" w:num="1"/>
        </w:sectPr>
      </w:pPr>
      <w:bookmarkStart w:id="173" w:name="_Toc351203652"/>
    </w:p>
    <w:p>
      <w:pPr>
        <w:spacing w:line="360" w:lineRule="auto"/>
        <w:jc w:val="left"/>
        <w:rPr>
          <w:rFonts w:asciiTheme="minorEastAsia" w:hAnsiTheme="minorEastAsia" w:eastAsiaTheme="minorEastAsia"/>
          <w:b/>
          <w:color w:val="auto"/>
          <w:sz w:val="24"/>
          <w:szCs w:val="24"/>
        </w:rPr>
      </w:pPr>
      <w:r>
        <w:rPr>
          <w:rFonts w:hint="eastAsia" w:asciiTheme="minorEastAsia" w:hAnsiTheme="minorEastAsia" w:eastAsiaTheme="minorEastAsia"/>
          <w:b/>
          <w:color w:val="auto"/>
          <w:sz w:val="24"/>
          <w:szCs w:val="24"/>
        </w:rPr>
        <w:t>附件</w:t>
      </w:r>
      <w:bookmarkEnd w:id="173"/>
    </w:p>
    <w:p>
      <w:pPr>
        <w:spacing w:line="360" w:lineRule="auto"/>
        <w:jc w:val="left"/>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附件1：工程设计范围、阶段与服务内容</w:t>
      </w:r>
    </w:p>
    <w:p>
      <w:pPr>
        <w:spacing w:line="360" w:lineRule="auto"/>
        <w:jc w:val="left"/>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附件2：发包人向设计人提交的有关资料及文件一览表</w:t>
      </w:r>
    </w:p>
    <w:p>
      <w:pPr>
        <w:spacing w:line="360" w:lineRule="auto"/>
        <w:jc w:val="left"/>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附件3：设计人向发包人交付的工程设计文件目录</w:t>
      </w:r>
    </w:p>
    <w:p>
      <w:pPr>
        <w:spacing w:line="360" w:lineRule="auto"/>
        <w:jc w:val="left"/>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附件4：专业设计及驻场服务人员表</w:t>
      </w:r>
    </w:p>
    <w:p>
      <w:pPr>
        <w:spacing w:line="360" w:lineRule="auto"/>
        <w:jc w:val="left"/>
        <w:rPr>
          <w:rFonts w:asciiTheme="minorEastAsia" w:hAnsiTheme="minorEastAsia" w:eastAsiaTheme="minorEastAsia"/>
          <w:color w:val="auto"/>
          <w:sz w:val="24"/>
          <w:szCs w:val="24"/>
        </w:rPr>
      </w:pPr>
      <w:r>
        <w:rPr>
          <w:rFonts w:hint="eastAsia" w:asciiTheme="minorEastAsia" w:hAnsiTheme="minorEastAsia" w:eastAsiaTheme="minorEastAsia"/>
          <w:strike/>
          <w:color w:val="auto"/>
          <w:sz w:val="24"/>
          <w:szCs w:val="24"/>
        </w:rPr>
        <w:t>附件</w:t>
      </w:r>
      <w:r>
        <w:rPr>
          <w:rFonts w:asciiTheme="minorEastAsia" w:hAnsiTheme="minorEastAsia" w:eastAsiaTheme="minorEastAsia"/>
          <w:strike/>
          <w:color w:val="auto"/>
          <w:sz w:val="24"/>
          <w:szCs w:val="24"/>
        </w:rPr>
        <w:t xml:space="preserve">5: </w:t>
      </w:r>
      <w:r>
        <w:rPr>
          <w:rFonts w:hint="eastAsia" w:asciiTheme="minorEastAsia" w:hAnsiTheme="minorEastAsia" w:eastAsiaTheme="minorEastAsia"/>
          <w:strike/>
          <w:color w:val="auto"/>
          <w:sz w:val="24"/>
          <w:szCs w:val="24"/>
        </w:rPr>
        <w:t>设计错误分类</w:t>
      </w:r>
    </w:p>
    <w:p>
      <w:pPr>
        <w:spacing w:line="360" w:lineRule="auto"/>
        <w:jc w:val="left"/>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附件6: 勘察协议条款</w:t>
      </w:r>
    </w:p>
    <w:p>
      <w:pPr>
        <w:spacing w:line="360" w:lineRule="auto"/>
        <w:jc w:val="left"/>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附件7: 廉政合同</w:t>
      </w:r>
    </w:p>
    <w:p>
      <w:pPr>
        <w:spacing w:line="360" w:lineRule="auto"/>
        <w:jc w:val="left"/>
        <w:rPr>
          <w:rFonts w:ascii="宋体" w:hAnsi="宋体"/>
          <w:color w:val="auto"/>
          <w:sz w:val="24"/>
          <w:szCs w:val="24"/>
        </w:rPr>
      </w:pPr>
      <w:r>
        <w:rPr>
          <w:rFonts w:hint="eastAsia" w:asciiTheme="minorEastAsia" w:hAnsiTheme="minorEastAsia" w:eastAsiaTheme="minorEastAsia"/>
          <w:color w:val="auto"/>
          <w:sz w:val="24"/>
          <w:szCs w:val="24"/>
        </w:rPr>
        <w:t>附件</w:t>
      </w:r>
      <w:r>
        <w:rPr>
          <w:rFonts w:asciiTheme="minorEastAsia" w:hAnsiTheme="minorEastAsia" w:eastAsiaTheme="minorEastAsia"/>
          <w:color w:val="auto"/>
          <w:sz w:val="24"/>
          <w:szCs w:val="24"/>
        </w:rPr>
        <w:t xml:space="preserve">8: </w:t>
      </w:r>
      <w:r>
        <w:rPr>
          <w:rFonts w:hint="eastAsia" w:ascii="宋体" w:hAnsi="宋体"/>
          <w:color w:val="auto"/>
          <w:sz w:val="24"/>
          <w:szCs w:val="24"/>
        </w:rPr>
        <w:t>履约银行保函（格式）</w:t>
      </w:r>
    </w:p>
    <w:p>
      <w:pPr>
        <w:spacing w:line="360" w:lineRule="auto"/>
        <w:jc w:val="left"/>
        <w:rPr>
          <w:rFonts w:ascii="宋体" w:hAnsi="宋体"/>
          <w:color w:val="auto"/>
          <w:sz w:val="24"/>
          <w:szCs w:val="24"/>
        </w:rPr>
      </w:pPr>
      <w:r>
        <w:rPr>
          <w:rFonts w:hint="eastAsia" w:ascii="宋体" w:hAnsi="宋体"/>
          <w:color w:val="auto"/>
          <w:sz w:val="24"/>
          <w:szCs w:val="24"/>
        </w:rPr>
        <w:t>附件9: BIM实施管理标准及实施导则</w:t>
      </w:r>
    </w:p>
    <w:p>
      <w:pPr>
        <w:spacing w:line="360" w:lineRule="auto"/>
        <w:jc w:val="left"/>
        <w:rPr>
          <w:rFonts w:asciiTheme="minorEastAsia" w:hAnsiTheme="minorEastAsia" w:eastAsiaTheme="minorEastAsia"/>
          <w:color w:val="auto"/>
          <w:sz w:val="24"/>
          <w:szCs w:val="24"/>
        </w:rPr>
      </w:pPr>
      <w:r>
        <w:rPr>
          <w:rFonts w:hint="eastAsia" w:ascii="宋体" w:hAnsi="宋体" w:eastAsiaTheme="minorEastAsia"/>
          <w:color w:val="auto"/>
          <w:sz w:val="24"/>
          <w:szCs w:val="24"/>
        </w:rPr>
        <w:t>附件</w:t>
      </w:r>
      <w:r>
        <w:rPr>
          <w:rFonts w:ascii="宋体" w:hAnsi="宋体" w:eastAsiaTheme="minorEastAsia"/>
          <w:color w:val="auto"/>
          <w:sz w:val="24"/>
          <w:szCs w:val="24"/>
        </w:rPr>
        <w:t>10</w:t>
      </w:r>
      <w:r>
        <w:rPr>
          <w:rFonts w:hint="eastAsia" w:asciiTheme="minorEastAsia" w:hAnsiTheme="minorEastAsia" w:eastAsiaTheme="minorEastAsia"/>
          <w:color w:val="auto"/>
          <w:sz w:val="24"/>
          <w:szCs w:val="24"/>
        </w:rPr>
        <w:t>: 省代建局直接管理项目设计单位履约评价实施细则</w:t>
      </w:r>
    </w:p>
    <w:p>
      <w:pPr>
        <w:spacing w:line="360" w:lineRule="auto"/>
        <w:jc w:val="left"/>
        <w:rPr>
          <w:rFonts w:asciiTheme="minorEastAsia" w:hAnsiTheme="minorEastAsia" w:eastAsiaTheme="minorEastAsia"/>
          <w:color w:val="auto"/>
          <w:sz w:val="24"/>
          <w:szCs w:val="24"/>
        </w:rPr>
      </w:pPr>
      <w:r>
        <w:rPr>
          <w:rFonts w:hint="eastAsia" w:asciiTheme="minorEastAsia" w:hAnsiTheme="minorEastAsia" w:eastAsiaTheme="minorEastAsia"/>
          <w:strike/>
          <w:color w:val="auto"/>
          <w:sz w:val="24"/>
          <w:szCs w:val="24"/>
        </w:rPr>
        <w:t>附件</w:t>
      </w:r>
      <w:r>
        <w:rPr>
          <w:rFonts w:asciiTheme="minorEastAsia" w:hAnsiTheme="minorEastAsia" w:eastAsiaTheme="minorEastAsia"/>
          <w:strike/>
          <w:color w:val="auto"/>
          <w:sz w:val="24"/>
          <w:szCs w:val="24"/>
        </w:rPr>
        <w:t>9：担保公司保函格式</w:t>
      </w:r>
    </w:p>
    <w:p>
      <w:pPr>
        <w:spacing w:line="360" w:lineRule="auto"/>
        <w:jc w:val="left"/>
        <w:rPr>
          <w:rFonts w:asciiTheme="minorEastAsia" w:hAnsiTheme="minorEastAsia" w:eastAsiaTheme="minorEastAsia"/>
          <w:strike/>
          <w:color w:val="auto"/>
          <w:sz w:val="24"/>
          <w:szCs w:val="24"/>
        </w:rPr>
      </w:pPr>
      <w:r>
        <w:rPr>
          <w:rFonts w:hint="eastAsia" w:asciiTheme="minorEastAsia" w:hAnsiTheme="minorEastAsia" w:eastAsiaTheme="minorEastAsia"/>
          <w:strike/>
          <w:color w:val="auto"/>
          <w:sz w:val="24"/>
          <w:szCs w:val="24"/>
        </w:rPr>
        <w:t>附件</w:t>
      </w:r>
      <w:r>
        <w:rPr>
          <w:rFonts w:asciiTheme="minorEastAsia" w:hAnsiTheme="minorEastAsia" w:eastAsiaTheme="minorEastAsia"/>
          <w:strike/>
          <w:color w:val="auto"/>
          <w:sz w:val="24"/>
          <w:szCs w:val="24"/>
        </w:rPr>
        <w:t xml:space="preserve">10: </w:t>
      </w:r>
      <w:r>
        <w:rPr>
          <w:rFonts w:hint="eastAsia" w:asciiTheme="minorEastAsia" w:hAnsiTheme="minorEastAsia" w:eastAsiaTheme="minorEastAsia"/>
          <w:strike/>
          <w:color w:val="auto"/>
          <w:sz w:val="24"/>
          <w:szCs w:val="24"/>
        </w:rPr>
        <w:t>省属代建项目设计阶段</w:t>
      </w:r>
      <w:r>
        <w:rPr>
          <w:rFonts w:asciiTheme="minorEastAsia" w:hAnsiTheme="minorEastAsia" w:eastAsiaTheme="minorEastAsia"/>
          <w:strike/>
          <w:color w:val="auto"/>
          <w:sz w:val="24"/>
          <w:szCs w:val="24"/>
        </w:rPr>
        <w:t>BIM应用管理指引</w:t>
      </w:r>
    </w:p>
    <w:p>
      <w:pPr>
        <w:spacing w:line="360" w:lineRule="auto"/>
        <w:jc w:val="left"/>
        <w:rPr>
          <w:rFonts w:asciiTheme="minorEastAsia" w:hAnsiTheme="minorEastAsia" w:eastAsiaTheme="minorEastAsia"/>
          <w:color w:val="auto"/>
          <w:sz w:val="24"/>
          <w:szCs w:val="24"/>
        </w:rPr>
      </w:pPr>
      <w:r>
        <w:rPr>
          <w:rFonts w:hint="eastAsia" w:asciiTheme="minorEastAsia" w:hAnsiTheme="minorEastAsia" w:eastAsiaTheme="minorEastAsia"/>
          <w:strike/>
          <w:color w:val="auto"/>
          <w:sz w:val="24"/>
          <w:szCs w:val="24"/>
        </w:rPr>
        <w:t>附件</w:t>
      </w:r>
      <w:r>
        <w:rPr>
          <w:rFonts w:asciiTheme="minorEastAsia" w:hAnsiTheme="minorEastAsia" w:eastAsiaTheme="minorEastAsia"/>
          <w:strike/>
          <w:color w:val="auto"/>
          <w:sz w:val="24"/>
          <w:szCs w:val="24"/>
        </w:rPr>
        <w:t>11:广东省代建局项目BIM实施标准</w:t>
      </w:r>
    </w:p>
    <w:p>
      <w:pPr>
        <w:spacing w:line="360" w:lineRule="auto"/>
        <w:jc w:val="left"/>
        <w:rPr>
          <w:rFonts w:asciiTheme="minorEastAsia" w:hAnsiTheme="minorEastAsia" w:eastAsiaTheme="minorEastAsia"/>
          <w:color w:val="auto"/>
          <w:sz w:val="24"/>
          <w:szCs w:val="24"/>
        </w:rPr>
      </w:pPr>
    </w:p>
    <w:p>
      <w:pPr>
        <w:spacing w:line="360" w:lineRule="auto"/>
        <w:jc w:val="left"/>
        <w:rPr>
          <w:rFonts w:asciiTheme="minorEastAsia" w:hAnsiTheme="minorEastAsia" w:eastAsiaTheme="minorEastAsia"/>
          <w:color w:val="auto"/>
          <w:sz w:val="24"/>
          <w:szCs w:val="24"/>
        </w:rPr>
      </w:pPr>
    </w:p>
    <w:p>
      <w:pPr>
        <w:spacing w:line="360" w:lineRule="auto"/>
        <w:jc w:val="left"/>
        <w:rPr>
          <w:rFonts w:asciiTheme="minorEastAsia" w:hAnsiTheme="minorEastAsia" w:eastAsiaTheme="minorEastAsia"/>
          <w:color w:val="auto"/>
          <w:sz w:val="24"/>
          <w:szCs w:val="24"/>
        </w:rPr>
      </w:pPr>
    </w:p>
    <w:p>
      <w:pPr>
        <w:spacing w:line="360" w:lineRule="auto"/>
        <w:jc w:val="left"/>
        <w:rPr>
          <w:rFonts w:asciiTheme="minorEastAsia" w:hAnsiTheme="minorEastAsia" w:eastAsiaTheme="minorEastAsia"/>
          <w:b/>
          <w:color w:val="auto"/>
          <w:sz w:val="24"/>
          <w:szCs w:val="24"/>
        </w:rPr>
      </w:pPr>
      <w:r>
        <w:rPr>
          <w:rFonts w:hint="eastAsia" w:asciiTheme="minorEastAsia" w:hAnsiTheme="minorEastAsia" w:eastAsiaTheme="minorEastAsia"/>
          <w:color w:val="auto"/>
          <w:sz w:val="24"/>
          <w:szCs w:val="24"/>
        </w:rPr>
        <w:br w:type="page"/>
      </w:r>
      <w:bookmarkStart w:id="174" w:name="_Toc278231956"/>
      <w:bookmarkStart w:id="175" w:name="_Toc278309716"/>
      <w:r>
        <w:rPr>
          <w:rFonts w:hint="eastAsia" w:asciiTheme="minorEastAsia" w:hAnsiTheme="minorEastAsia" w:eastAsiaTheme="minorEastAsia"/>
          <w:b/>
          <w:color w:val="auto"/>
          <w:sz w:val="24"/>
          <w:szCs w:val="24"/>
        </w:rPr>
        <w:t>附件1：工程设计范围、阶段与服务内容</w:t>
      </w:r>
    </w:p>
    <w:p>
      <w:pPr>
        <w:spacing w:line="360" w:lineRule="auto"/>
        <w:jc w:val="center"/>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工程设计范围、阶段与服务内容</w:t>
      </w:r>
      <w:bookmarkEnd w:id="174"/>
      <w:bookmarkEnd w:id="175"/>
    </w:p>
    <w:p>
      <w:pPr>
        <w:spacing w:line="360" w:lineRule="auto"/>
        <w:ind w:firstLine="451" w:firstLineChars="187"/>
        <w:rPr>
          <w:rFonts w:asciiTheme="minorEastAsia" w:hAnsiTheme="minorEastAsia" w:eastAsiaTheme="minorEastAsia"/>
          <w:b/>
          <w:color w:val="auto"/>
          <w:sz w:val="24"/>
          <w:szCs w:val="24"/>
        </w:rPr>
      </w:pP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发包人与设计人可根据项目的具体情况，选择确定本附件内容。</w:t>
      </w:r>
    </w:p>
    <w:p>
      <w:pPr>
        <w:spacing w:line="360" w:lineRule="auto"/>
        <w:ind w:firstLine="482" w:firstLineChars="200"/>
        <w:rPr>
          <w:rFonts w:asciiTheme="minorEastAsia" w:hAnsiTheme="minorEastAsia" w:eastAsiaTheme="minorEastAsia"/>
          <w:color w:val="auto"/>
          <w:sz w:val="24"/>
          <w:szCs w:val="24"/>
        </w:rPr>
      </w:pPr>
      <w:r>
        <w:rPr>
          <w:rFonts w:hint="eastAsia" w:asciiTheme="minorEastAsia" w:hAnsiTheme="minorEastAsia" w:eastAsiaTheme="minorEastAsia"/>
          <w:b/>
          <w:color w:val="auto"/>
          <w:sz w:val="24"/>
          <w:szCs w:val="24"/>
        </w:rPr>
        <w:t>一、本工程设计范围</w:t>
      </w:r>
    </w:p>
    <w:p>
      <w:pPr>
        <w:adjustRightInd w:val="0"/>
        <w:snapToGrid w:val="0"/>
        <w:spacing w:line="360" w:lineRule="auto"/>
        <w:ind w:firstLine="480" w:firstLineChars="200"/>
        <w:rPr>
          <w:rFonts w:asciiTheme="minorEastAsia" w:hAnsiTheme="minorEastAsia" w:eastAsiaTheme="minorEastAsia"/>
          <w:snapToGrid w:val="0"/>
          <w:color w:val="auto"/>
          <w:kern w:val="0"/>
          <w:sz w:val="24"/>
          <w:szCs w:val="24"/>
        </w:rPr>
      </w:pPr>
      <w:r>
        <w:rPr>
          <w:rFonts w:hint="eastAsia" w:asciiTheme="minorEastAsia" w:hAnsiTheme="minorEastAsia" w:eastAsiaTheme="minorEastAsia"/>
          <w:snapToGrid w:val="0"/>
          <w:color w:val="auto"/>
          <w:kern w:val="0"/>
          <w:sz w:val="24"/>
          <w:szCs w:val="24"/>
        </w:rPr>
        <w:t>（1）方案修改及完善：根据现行《建筑工程设计文件编制深度规定》</w:t>
      </w:r>
      <w:r>
        <w:rPr>
          <w:rFonts w:hint="eastAsia" w:asciiTheme="minorEastAsia" w:hAnsiTheme="minorEastAsia" w:eastAsiaTheme="minorEastAsia"/>
          <w:snapToGrid w:val="0"/>
          <w:color w:val="auto"/>
          <w:kern w:val="0"/>
          <w:sz w:val="24"/>
          <w:szCs w:val="24"/>
          <w:u w:val="single"/>
        </w:rPr>
        <w:t>、《市政公用工程设计文件编制深度规定》</w:t>
      </w:r>
      <w:r>
        <w:rPr>
          <w:rFonts w:hint="eastAsia" w:asciiTheme="minorEastAsia" w:hAnsiTheme="minorEastAsia" w:eastAsiaTheme="minorEastAsia"/>
          <w:snapToGrid w:val="0"/>
          <w:color w:val="auto"/>
          <w:kern w:val="0"/>
          <w:sz w:val="24"/>
          <w:szCs w:val="24"/>
        </w:rPr>
        <w:t>中关于方案设计应达到的设计深度要求，同时根据专家评审意见及有关职能部门提出的修改意见，对发包人选定的设计方案进行修改和完善。</w:t>
      </w:r>
    </w:p>
    <w:p>
      <w:pPr>
        <w:adjustRightInd w:val="0"/>
        <w:snapToGrid w:val="0"/>
        <w:spacing w:line="360" w:lineRule="auto"/>
        <w:ind w:firstLine="480" w:firstLineChars="200"/>
        <w:rPr>
          <w:rFonts w:asciiTheme="minorEastAsia" w:hAnsiTheme="minorEastAsia" w:eastAsiaTheme="minorEastAsia"/>
          <w:snapToGrid w:val="0"/>
          <w:color w:val="auto"/>
          <w:kern w:val="0"/>
          <w:sz w:val="24"/>
          <w:szCs w:val="24"/>
        </w:rPr>
      </w:pPr>
      <w:r>
        <w:rPr>
          <w:rFonts w:hint="eastAsia" w:asciiTheme="minorEastAsia" w:hAnsiTheme="minorEastAsia" w:eastAsiaTheme="minorEastAsia"/>
          <w:snapToGrid w:val="0"/>
          <w:color w:val="auto"/>
          <w:kern w:val="0"/>
          <w:sz w:val="24"/>
          <w:szCs w:val="24"/>
        </w:rPr>
        <w:t>（2）规划方案审查：</w:t>
      </w:r>
      <w:r>
        <w:rPr>
          <w:rFonts w:hint="eastAsia" w:asciiTheme="minorEastAsia" w:hAnsiTheme="minorEastAsia" w:eastAsiaTheme="minorEastAsia"/>
          <w:snapToGrid w:val="0"/>
          <w:color w:val="auto"/>
          <w:kern w:val="0"/>
          <w:sz w:val="24"/>
          <w:szCs w:val="24"/>
          <w:u w:val="single"/>
        </w:rPr>
        <w:t xml:space="preserve">         红线 </w:t>
      </w:r>
      <w:r>
        <w:rPr>
          <w:rFonts w:hint="eastAsia" w:asciiTheme="minorEastAsia" w:hAnsiTheme="minorEastAsia" w:eastAsiaTheme="minorEastAsia"/>
          <w:snapToGrid w:val="0"/>
          <w:color w:val="auto"/>
          <w:kern w:val="0"/>
          <w:sz w:val="24"/>
          <w:szCs w:val="24"/>
        </w:rPr>
        <w:t>范围内</w:t>
      </w:r>
      <w:r>
        <w:rPr>
          <w:rFonts w:hint="eastAsia" w:asciiTheme="minorEastAsia" w:hAnsiTheme="minorEastAsia" w:eastAsiaTheme="minorEastAsia"/>
          <w:b/>
          <w:snapToGrid w:val="0"/>
          <w:color w:val="auto"/>
          <w:kern w:val="0"/>
          <w:sz w:val="24"/>
          <w:szCs w:val="24"/>
          <w:u w:val="single"/>
        </w:rPr>
        <w:t>（具体以发包人书面要求为准）</w:t>
      </w:r>
      <w:r>
        <w:rPr>
          <w:rFonts w:hint="eastAsia" w:asciiTheme="minorEastAsia" w:hAnsiTheme="minorEastAsia" w:eastAsiaTheme="minorEastAsia"/>
          <w:snapToGrid w:val="0"/>
          <w:color w:val="auto"/>
          <w:kern w:val="0"/>
          <w:sz w:val="24"/>
          <w:szCs w:val="24"/>
        </w:rPr>
        <w:t>总平面及竖向规划设计、管线综合设计、建筑布局、交通组织、景观绿化、建筑立面、环境节能保护等。</w:t>
      </w:r>
    </w:p>
    <w:p>
      <w:pPr>
        <w:adjustRightInd w:val="0"/>
        <w:snapToGrid w:val="0"/>
        <w:spacing w:line="360" w:lineRule="auto"/>
        <w:ind w:firstLine="480" w:firstLineChars="200"/>
        <w:rPr>
          <w:rFonts w:asciiTheme="minorEastAsia" w:hAnsiTheme="minorEastAsia" w:eastAsiaTheme="minorEastAsia"/>
          <w:snapToGrid w:val="0"/>
          <w:color w:val="auto"/>
          <w:kern w:val="0"/>
          <w:sz w:val="24"/>
          <w:szCs w:val="24"/>
        </w:rPr>
      </w:pPr>
      <w:r>
        <w:rPr>
          <w:rFonts w:hint="eastAsia" w:asciiTheme="minorEastAsia" w:hAnsiTheme="minorEastAsia" w:eastAsiaTheme="minorEastAsia"/>
          <w:snapToGrid w:val="0"/>
          <w:color w:val="auto"/>
          <w:kern w:val="0"/>
          <w:sz w:val="24"/>
          <w:szCs w:val="24"/>
        </w:rPr>
        <w:t>（3）室外市政、园林工程设计：</w:t>
      </w:r>
      <w:r>
        <w:rPr>
          <w:rFonts w:hint="eastAsia" w:asciiTheme="minorEastAsia" w:hAnsiTheme="minorEastAsia" w:eastAsiaTheme="minorEastAsia"/>
          <w:bCs/>
          <w:snapToGrid w:val="0"/>
          <w:color w:val="auto"/>
          <w:kern w:val="0"/>
          <w:sz w:val="24"/>
          <w:szCs w:val="24"/>
        </w:rPr>
        <w:t>本项目</w:t>
      </w:r>
      <w:r>
        <w:rPr>
          <w:rFonts w:hint="eastAsia" w:asciiTheme="minorEastAsia" w:hAnsiTheme="minorEastAsia" w:eastAsiaTheme="minorEastAsia"/>
          <w:snapToGrid w:val="0"/>
          <w:color w:val="auto"/>
          <w:kern w:val="0"/>
          <w:sz w:val="24"/>
          <w:szCs w:val="24"/>
        </w:rPr>
        <w:t>范围内的道路、园林景观绿化、停车场、供电系统、照明系统、广播音响系统、安全防范监视系统、大屏幕显示系统、标识系统、室外给排水系统、自动喷淋系统、消防系统等的设计，以及室外各种管线综合平衡设计。</w:t>
      </w:r>
    </w:p>
    <w:p>
      <w:pPr>
        <w:adjustRightInd w:val="0"/>
        <w:snapToGrid w:val="0"/>
        <w:spacing w:line="360" w:lineRule="auto"/>
        <w:ind w:firstLine="480" w:firstLineChars="200"/>
        <w:rPr>
          <w:rFonts w:asciiTheme="minorEastAsia" w:hAnsiTheme="minorEastAsia" w:eastAsiaTheme="minorEastAsia"/>
          <w:snapToGrid w:val="0"/>
          <w:color w:val="auto"/>
          <w:kern w:val="0"/>
          <w:sz w:val="24"/>
          <w:szCs w:val="24"/>
        </w:rPr>
      </w:pPr>
      <w:r>
        <w:rPr>
          <w:rFonts w:hint="eastAsia" w:asciiTheme="minorEastAsia" w:hAnsiTheme="minorEastAsia" w:eastAsiaTheme="minorEastAsia"/>
          <w:snapToGrid w:val="0"/>
          <w:color w:val="auto"/>
          <w:kern w:val="0"/>
          <w:sz w:val="24"/>
          <w:szCs w:val="24"/>
        </w:rPr>
        <w:t>（4）建筑设计：本项目范围内的建筑设计、室内装修设计（含标识系统）。</w:t>
      </w:r>
    </w:p>
    <w:p>
      <w:pPr>
        <w:adjustRightInd w:val="0"/>
        <w:snapToGrid w:val="0"/>
        <w:spacing w:line="360" w:lineRule="auto"/>
        <w:ind w:firstLine="480" w:firstLineChars="200"/>
        <w:rPr>
          <w:rFonts w:asciiTheme="minorEastAsia" w:hAnsiTheme="minorEastAsia" w:eastAsiaTheme="minorEastAsia"/>
          <w:snapToGrid w:val="0"/>
          <w:color w:val="auto"/>
          <w:kern w:val="0"/>
          <w:sz w:val="24"/>
          <w:szCs w:val="24"/>
        </w:rPr>
      </w:pPr>
      <w:r>
        <w:rPr>
          <w:rFonts w:hint="eastAsia" w:asciiTheme="minorEastAsia" w:hAnsiTheme="minorEastAsia" w:eastAsiaTheme="minorEastAsia"/>
          <w:snapToGrid w:val="0"/>
          <w:color w:val="auto"/>
          <w:kern w:val="0"/>
          <w:sz w:val="24"/>
          <w:szCs w:val="24"/>
        </w:rPr>
        <w:t>（5）结构设计：本项目范围内建筑体的结构设计、基坑支护设计、幕墙等装修工程的结构设计等。大、中型项目要做装配式建筑的方案比选。</w:t>
      </w:r>
    </w:p>
    <w:p>
      <w:pPr>
        <w:adjustRightInd w:val="0"/>
        <w:snapToGrid w:val="0"/>
        <w:spacing w:line="360" w:lineRule="auto"/>
        <w:ind w:firstLine="480" w:firstLineChars="200"/>
        <w:rPr>
          <w:rFonts w:asciiTheme="minorEastAsia" w:hAnsiTheme="minorEastAsia" w:eastAsiaTheme="minorEastAsia"/>
          <w:snapToGrid w:val="0"/>
          <w:color w:val="auto"/>
          <w:kern w:val="0"/>
          <w:sz w:val="24"/>
          <w:szCs w:val="24"/>
        </w:rPr>
      </w:pPr>
      <w:r>
        <w:rPr>
          <w:rFonts w:hint="eastAsia" w:asciiTheme="minorEastAsia" w:hAnsiTheme="minorEastAsia" w:eastAsiaTheme="minorEastAsia"/>
          <w:snapToGrid w:val="0"/>
          <w:color w:val="auto"/>
          <w:kern w:val="0"/>
          <w:sz w:val="24"/>
          <w:szCs w:val="24"/>
        </w:rPr>
        <w:t>（6）电气设计：建筑内部高低压变配电系统、动力、照明配电、消防应急照明和疏散指示系统采用智能消防应急照明疏散指示逃生系统、防雷及接地等，室外配套工程配电和照明工程（含泛光照明），红线内电力等管线平衡等。</w:t>
      </w:r>
    </w:p>
    <w:p>
      <w:pPr>
        <w:adjustRightInd w:val="0"/>
        <w:snapToGrid w:val="0"/>
        <w:spacing w:line="360" w:lineRule="auto"/>
        <w:ind w:firstLine="480" w:firstLineChars="200"/>
        <w:rPr>
          <w:rFonts w:asciiTheme="minorEastAsia" w:hAnsiTheme="minorEastAsia" w:eastAsiaTheme="minorEastAsia"/>
          <w:snapToGrid w:val="0"/>
          <w:color w:val="auto"/>
          <w:kern w:val="0"/>
          <w:sz w:val="24"/>
          <w:szCs w:val="24"/>
        </w:rPr>
      </w:pPr>
      <w:r>
        <w:rPr>
          <w:rFonts w:hint="eastAsia" w:asciiTheme="minorEastAsia" w:hAnsiTheme="minorEastAsia" w:eastAsiaTheme="minorEastAsia"/>
          <w:snapToGrid w:val="0"/>
          <w:color w:val="auto"/>
          <w:kern w:val="0"/>
          <w:sz w:val="24"/>
          <w:szCs w:val="24"/>
        </w:rPr>
        <w:t>（7）建筑智能化系统设计：</w:t>
      </w:r>
    </w:p>
    <w:p>
      <w:pPr>
        <w:adjustRightInd w:val="0"/>
        <w:snapToGrid w:val="0"/>
        <w:spacing w:line="360" w:lineRule="auto"/>
        <w:ind w:firstLine="480" w:firstLineChars="200"/>
        <w:rPr>
          <w:rFonts w:asciiTheme="minorEastAsia" w:hAnsiTheme="minorEastAsia" w:eastAsiaTheme="minorEastAsia"/>
          <w:snapToGrid w:val="0"/>
          <w:color w:val="auto"/>
          <w:kern w:val="0"/>
          <w:sz w:val="24"/>
          <w:szCs w:val="24"/>
        </w:rPr>
      </w:pPr>
      <w:r>
        <w:rPr>
          <w:rFonts w:hint="eastAsia" w:asciiTheme="minorEastAsia" w:hAnsiTheme="minorEastAsia" w:eastAsiaTheme="minorEastAsia"/>
          <w:snapToGrid w:val="0"/>
          <w:color w:val="auto"/>
          <w:kern w:val="0"/>
          <w:sz w:val="24"/>
          <w:szCs w:val="24"/>
        </w:rPr>
        <w:t xml:space="preserve">  1）通信网络系统：包括计算机网络系统、电话（语音）网络系统、综合布线系统、有线电视及卫星电视接收系统、公共广播及消防广播系统、信息发布（含大屏幕电子公告）、引导系统、手机信号覆盖系统、室内手机信号屏蔽系统、无线上网系统等；</w:t>
      </w:r>
    </w:p>
    <w:p>
      <w:pPr>
        <w:adjustRightInd w:val="0"/>
        <w:snapToGrid w:val="0"/>
        <w:spacing w:line="360" w:lineRule="auto"/>
        <w:ind w:firstLine="480" w:firstLineChars="200"/>
        <w:rPr>
          <w:rFonts w:asciiTheme="minorEastAsia" w:hAnsiTheme="minorEastAsia" w:eastAsiaTheme="minorEastAsia"/>
          <w:snapToGrid w:val="0"/>
          <w:color w:val="auto"/>
          <w:kern w:val="0"/>
          <w:sz w:val="24"/>
          <w:szCs w:val="24"/>
        </w:rPr>
      </w:pPr>
      <w:r>
        <w:rPr>
          <w:rFonts w:hint="eastAsia" w:asciiTheme="minorEastAsia" w:hAnsiTheme="minorEastAsia" w:eastAsiaTheme="minorEastAsia"/>
          <w:snapToGrid w:val="0"/>
          <w:color w:val="auto"/>
          <w:kern w:val="0"/>
          <w:sz w:val="24"/>
          <w:szCs w:val="24"/>
        </w:rPr>
        <w:t xml:space="preserve">  2）电子会议系统； </w:t>
      </w:r>
    </w:p>
    <w:p>
      <w:pPr>
        <w:adjustRightInd w:val="0"/>
        <w:snapToGrid w:val="0"/>
        <w:spacing w:line="360" w:lineRule="auto"/>
        <w:ind w:firstLine="480" w:firstLineChars="200"/>
        <w:rPr>
          <w:rFonts w:asciiTheme="minorEastAsia" w:hAnsiTheme="minorEastAsia" w:eastAsiaTheme="minorEastAsia"/>
          <w:snapToGrid w:val="0"/>
          <w:color w:val="auto"/>
          <w:kern w:val="0"/>
          <w:sz w:val="24"/>
          <w:szCs w:val="24"/>
        </w:rPr>
      </w:pPr>
      <w:r>
        <w:rPr>
          <w:rFonts w:hint="eastAsia" w:asciiTheme="minorEastAsia" w:hAnsiTheme="minorEastAsia" w:eastAsiaTheme="minorEastAsia"/>
          <w:snapToGrid w:val="0"/>
          <w:color w:val="auto"/>
          <w:kern w:val="0"/>
          <w:sz w:val="24"/>
          <w:szCs w:val="24"/>
        </w:rPr>
        <w:t xml:space="preserve">  3）新闻发布系统；</w:t>
      </w:r>
    </w:p>
    <w:p>
      <w:pPr>
        <w:adjustRightInd w:val="0"/>
        <w:snapToGrid w:val="0"/>
        <w:spacing w:line="360" w:lineRule="auto"/>
        <w:ind w:firstLine="480" w:firstLineChars="200"/>
        <w:rPr>
          <w:rFonts w:asciiTheme="minorEastAsia" w:hAnsiTheme="minorEastAsia" w:eastAsiaTheme="minorEastAsia"/>
          <w:snapToGrid w:val="0"/>
          <w:color w:val="auto"/>
          <w:kern w:val="0"/>
          <w:sz w:val="24"/>
          <w:szCs w:val="24"/>
        </w:rPr>
      </w:pPr>
      <w:r>
        <w:rPr>
          <w:rFonts w:hint="eastAsia" w:asciiTheme="minorEastAsia" w:hAnsiTheme="minorEastAsia" w:eastAsiaTheme="minorEastAsia"/>
          <w:snapToGrid w:val="0"/>
          <w:color w:val="auto"/>
          <w:kern w:val="0"/>
          <w:sz w:val="24"/>
          <w:szCs w:val="24"/>
        </w:rPr>
        <w:t xml:space="preserve">  4）建筑设备监控系统；</w:t>
      </w:r>
    </w:p>
    <w:p>
      <w:pPr>
        <w:adjustRightInd w:val="0"/>
        <w:snapToGrid w:val="0"/>
        <w:spacing w:line="360" w:lineRule="auto"/>
        <w:ind w:firstLine="480" w:firstLineChars="200"/>
        <w:rPr>
          <w:rFonts w:asciiTheme="minorEastAsia" w:hAnsiTheme="minorEastAsia" w:eastAsiaTheme="minorEastAsia"/>
          <w:snapToGrid w:val="0"/>
          <w:color w:val="auto"/>
          <w:kern w:val="0"/>
          <w:sz w:val="24"/>
          <w:szCs w:val="24"/>
        </w:rPr>
      </w:pPr>
      <w:r>
        <w:rPr>
          <w:rFonts w:hint="eastAsia" w:asciiTheme="minorEastAsia" w:hAnsiTheme="minorEastAsia" w:eastAsiaTheme="minorEastAsia"/>
          <w:snapToGrid w:val="0"/>
          <w:color w:val="auto"/>
          <w:kern w:val="0"/>
          <w:sz w:val="24"/>
          <w:szCs w:val="24"/>
        </w:rPr>
        <w:t xml:space="preserve"> 5）安全防范系统：包括入侵报警系统、视频监控系统、出入口控制系统、电子巡更系统、停车场管理系统、智能卡系统、安全防范系统集成（设计范围内的所有建筑、公众区域、停车场、出入口通道等区域的安保设计）等；</w:t>
      </w:r>
    </w:p>
    <w:p>
      <w:pPr>
        <w:adjustRightInd w:val="0"/>
        <w:snapToGrid w:val="0"/>
        <w:spacing w:line="360" w:lineRule="auto"/>
        <w:ind w:firstLine="480" w:firstLineChars="200"/>
        <w:rPr>
          <w:rFonts w:asciiTheme="minorEastAsia" w:hAnsiTheme="minorEastAsia" w:eastAsiaTheme="minorEastAsia"/>
          <w:snapToGrid w:val="0"/>
          <w:color w:val="auto"/>
          <w:kern w:val="0"/>
          <w:sz w:val="24"/>
          <w:szCs w:val="24"/>
        </w:rPr>
      </w:pPr>
      <w:r>
        <w:rPr>
          <w:rFonts w:hint="eastAsia" w:asciiTheme="minorEastAsia" w:hAnsiTheme="minorEastAsia" w:eastAsiaTheme="minorEastAsia"/>
          <w:snapToGrid w:val="0"/>
          <w:color w:val="auto"/>
          <w:kern w:val="0"/>
          <w:sz w:val="24"/>
          <w:szCs w:val="24"/>
        </w:rPr>
        <w:t xml:space="preserve">  6）智能化系统集成；</w:t>
      </w:r>
    </w:p>
    <w:p>
      <w:pPr>
        <w:adjustRightInd w:val="0"/>
        <w:snapToGrid w:val="0"/>
        <w:spacing w:line="360" w:lineRule="auto"/>
        <w:ind w:firstLine="480" w:firstLineChars="200"/>
        <w:rPr>
          <w:rFonts w:asciiTheme="minorEastAsia" w:hAnsiTheme="minorEastAsia" w:eastAsiaTheme="minorEastAsia"/>
          <w:snapToGrid w:val="0"/>
          <w:color w:val="auto"/>
          <w:kern w:val="0"/>
          <w:sz w:val="24"/>
          <w:szCs w:val="24"/>
        </w:rPr>
      </w:pPr>
      <w:r>
        <w:rPr>
          <w:rFonts w:hint="eastAsia" w:asciiTheme="minorEastAsia" w:hAnsiTheme="minorEastAsia" w:eastAsiaTheme="minorEastAsia"/>
          <w:snapToGrid w:val="0"/>
          <w:color w:val="auto"/>
          <w:kern w:val="0"/>
          <w:sz w:val="24"/>
          <w:szCs w:val="24"/>
        </w:rPr>
        <w:t xml:space="preserve">  7）弱电防雷系统；</w:t>
      </w:r>
    </w:p>
    <w:p>
      <w:pPr>
        <w:adjustRightInd w:val="0"/>
        <w:snapToGrid w:val="0"/>
        <w:spacing w:line="360" w:lineRule="auto"/>
        <w:ind w:firstLine="480" w:firstLineChars="200"/>
        <w:rPr>
          <w:rFonts w:asciiTheme="minorEastAsia" w:hAnsiTheme="minorEastAsia" w:eastAsiaTheme="minorEastAsia"/>
          <w:bCs/>
          <w:snapToGrid w:val="0"/>
          <w:color w:val="auto"/>
          <w:kern w:val="0"/>
          <w:sz w:val="24"/>
          <w:szCs w:val="24"/>
          <w:bdr w:val="single" w:color="auto" w:sz="4" w:space="0"/>
        </w:rPr>
      </w:pPr>
      <w:r>
        <w:rPr>
          <w:rFonts w:hint="eastAsia" w:asciiTheme="minorEastAsia" w:hAnsiTheme="minorEastAsia" w:eastAsiaTheme="minorEastAsia"/>
          <w:snapToGrid w:val="0"/>
          <w:color w:val="auto"/>
          <w:kern w:val="0"/>
          <w:sz w:val="24"/>
          <w:szCs w:val="24"/>
        </w:rPr>
        <w:t xml:space="preserve">  8）机房工程；</w:t>
      </w:r>
    </w:p>
    <w:p>
      <w:pPr>
        <w:adjustRightInd w:val="0"/>
        <w:snapToGrid w:val="0"/>
        <w:spacing w:line="360" w:lineRule="auto"/>
        <w:ind w:firstLine="480" w:firstLineChars="200"/>
        <w:rPr>
          <w:rFonts w:asciiTheme="minorEastAsia" w:hAnsiTheme="minorEastAsia" w:eastAsiaTheme="minorEastAsia"/>
          <w:bCs/>
          <w:snapToGrid w:val="0"/>
          <w:color w:val="auto"/>
          <w:kern w:val="0"/>
          <w:sz w:val="24"/>
          <w:szCs w:val="24"/>
          <w:bdr w:val="single" w:color="auto" w:sz="4" w:space="0"/>
        </w:rPr>
      </w:pPr>
      <w:r>
        <w:rPr>
          <w:rFonts w:hint="eastAsia" w:asciiTheme="minorEastAsia" w:hAnsiTheme="minorEastAsia" w:eastAsiaTheme="minorEastAsia"/>
          <w:snapToGrid w:val="0"/>
          <w:color w:val="auto"/>
          <w:kern w:val="0"/>
          <w:sz w:val="24"/>
          <w:szCs w:val="24"/>
        </w:rPr>
        <w:t xml:space="preserve">  9）监控中心。</w:t>
      </w:r>
    </w:p>
    <w:p>
      <w:pPr>
        <w:adjustRightInd w:val="0"/>
        <w:snapToGrid w:val="0"/>
        <w:spacing w:line="360" w:lineRule="auto"/>
        <w:ind w:firstLine="480" w:firstLineChars="200"/>
        <w:rPr>
          <w:rFonts w:asciiTheme="minorEastAsia" w:hAnsiTheme="minorEastAsia" w:eastAsiaTheme="minorEastAsia"/>
          <w:snapToGrid w:val="0"/>
          <w:color w:val="auto"/>
          <w:kern w:val="0"/>
          <w:sz w:val="24"/>
          <w:szCs w:val="24"/>
          <w:u w:val="single"/>
        </w:rPr>
      </w:pPr>
      <w:r>
        <w:rPr>
          <w:rFonts w:hint="eastAsia" w:asciiTheme="minorEastAsia" w:hAnsiTheme="minorEastAsia" w:eastAsiaTheme="minorEastAsia"/>
          <w:snapToGrid w:val="0"/>
          <w:color w:val="auto"/>
          <w:kern w:val="0"/>
          <w:sz w:val="24"/>
          <w:szCs w:val="24"/>
        </w:rPr>
        <w:t>（8）给排水设计</w:t>
      </w:r>
      <w:r>
        <w:rPr>
          <w:rFonts w:hint="eastAsia" w:asciiTheme="minorEastAsia" w:hAnsiTheme="minorEastAsia" w:eastAsiaTheme="minorEastAsia"/>
          <w:snapToGrid w:val="0"/>
          <w:color w:val="auto"/>
          <w:kern w:val="0"/>
          <w:sz w:val="24"/>
          <w:szCs w:val="24"/>
          <w:u w:val="single"/>
        </w:rPr>
        <w:t>（含外水接入、接出部分，需设计接至主管部门指定接口）</w:t>
      </w:r>
      <w:r>
        <w:rPr>
          <w:rFonts w:hint="eastAsia" w:asciiTheme="minorEastAsia" w:hAnsiTheme="minorEastAsia" w:eastAsiaTheme="minorEastAsia"/>
          <w:snapToGrid w:val="0"/>
          <w:color w:val="auto"/>
          <w:kern w:val="0"/>
          <w:sz w:val="24"/>
          <w:szCs w:val="24"/>
        </w:rPr>
        <w:t>：建筑给水、排水系统设计（包含直饮水供水系统）、</w:t>
      </w:r>
      <w:r>
        <w:rPr>
          <w:rFonts w:hint="eastAsia" w:asciiTheme="minorEastAsia" w:hAnsiTheme="minorEastAsia" w:eastAsiaTheme="minorEastAsia"/>
          <w:snapToGrid w:val="0"/>
          <w:color w:val="auto"/>
          <w:kern w:val="0"/>
          <w:sz w:val="24"/>
          <w:szCs w:val="24"/>
          <w:u w:val="single"/>
        </w:rPr>
        <w:t>集中热水供应系统、用地内外与市政管线接驳等设计</w:t>
      </w:r>
      <w:r>
        <w:rPr>
          <w:rFonts w:hint="eastAsia" w:asciiTheme="minorEastAsia" w:hAnsiTheme="minorEastAsia" w:eastAsiaTheme="minorEastAsia"/>
          <w:snapToGrid w:val="0"/>
          <w:color w:val="auto"/>
          <w:kern w:val="0"/>
          <w:sz w:val="24"/>
          <w:szCs w:val="24"/>
        </w:rPr>
        <w:t>。</w:t>
      </w:r>
    </w:p>
    <w:p>
      <w:pPr>
        <w:adjustRightInd w:val="0"/>
        <w:snapToGrid w:val="0"/>
        <w:spacing w:line="360" w:lineRule="auto"/>
        <w:ind w:firstLine="480" w:firstLineChars="200"/>
        <w:rPr>
          <w:rFonts w:asciiTheme="minorEastAsia" w:hAnsiTheme="minorEastAsia" w:eastAsiaTheme="minorEastAsia"/>
          <w:snapToGrid w:val="0"/>
          <w:color w:val="auto"/>
          <w:kern w:val="0"/>
          <w:sz w:val="24"/>
          <w:szCs w:val="24"/>
        </w:rPr>
      </w:pPr>
      <w:r>
        <w:rPr>
          <w:rFonts w:hint="eastAsia" w:asciiTheme="minorEastAsia" w:hAnsiTheme="minorEastAsia" w:eastAsiaTheme="minorEastAsia"/>
          <w:snapToGrid w:val="0"/>
          <w:color w:val="auto"/>
          <w:kern w:val="0"/>
          <w:sz w:val="24"/>
          <w:szCs w:val="24"/>
        </w:rPr>
        <w:t>（9）空调通风设计：包括不限于建筑物内部通风系统、建筑物内部空气调节系统、中央洗尘系统、集中供冷供热系统等的设计。</w:t>
      </w:r>
    </w:p>
    <w:p>
      <w:pPr>
        <w:adjustRightInd w:val="0"/>
        <w:snapToGrid w:val="0"/>
        <w:spacing w:line="360" w:lineRule="auto"/>
        <w:ind w:firstLine="480" w:firstLineChars="200"/>
        <w:rPr>
          <w:rFonts w:asciiTheme="minorEastAsia" w:hAnsiTheme="minorEastAsia" w:eastAsiaTheme="minorEastAsia"/>
          <w:snapToGrid w:val="0"/>
          <w:color w:val="auto"/>
          <w:kern w:val="0"/>
          <w:sz w:val="24"/>
          <w:szCs w:val="24"/>
        </w:rPr>
      </w:pPr>
      <w:r>
        <w:rPr>
          <w:rFonts w:hint="eastAsia" w:asciiTheme="minorEastAsia" w:hAnsiTheme="minorEastAsia" w:eastAsiaTheme="minorEastAsia"/>
          <w:snapToGrid w:val="0"/>
          <w:color w:val="auto"/>
          <w:kern w:val="0"/>
          <w:sz w:val="24"/>
          <w:szCs w:val="24"/>
        </w:rPr>
        <w:t>（10）消防设计：消火栓系统、自动喷淋系统、气体灭火系统、防排烟系统、火灾自动报警及联动控制系统。</w:t>
      </w:r>
    </w:p>
    <w:p>
      <w:pPr>
        <w:adjustRightInd w:val="0"/>
        <w:snapToGrid w:val="0"/>
        <w:spacing w:line="360" w:lineRule="auto"/>
        <w:ind w:firstLine="480" w:firstLineChars="200"/>
        <w:rPr>
          <w:rFonts w:asciiTheme="minorEastAsia" w:hAnsiTheme="minorEastAsia" w:eastAsiaTheme="minorEastAsia"/>
          <w:snapToGrid w:val="0"/>
          <w:color w:val="auto"/>
          <w:kern w:val="0"/>
          <w:sz w:val="24"/>
          <w:szCs w:val="24"/>
        </w:rPr>
      </w:pPr>
      <w:r>
        <w:rPr>
          <w:rFonts w:hint="eastAsia" w:asciiTheme="minorEastAsia" w:hAnsiTheme="minorEastAsia" w:eastAsiaTheme="minorEastAsia"/>
          <w:snapToGrid w:val="0"/>
          <w:color w:val="auto"/>
          <w:kern w:val="0"/>
          <w:sz w:val="24"/>
          <w:szCs w:val="24"/>
        </w:rPr>
        <w:t>（11）人防工程设计。</w:t>
      </w:r>
    </w:p>
    <w:p>
      <w:pPr>
        <w:adjustRightInd w:val="0"/>
        <w:snapToGrid w:val="0"/>
        <w:spacing w:line="360" w:lineRule="auto"/>
        <w:ind w:firstLine="480" w:firstLineChars="200"/>
        <w:rPr>
          <w:rFonts w:asciiTheme="minorEastAsia" w:hAnsiTheme="minorEastAsia" w:eastAsiaTheme="minorEastAsia"/>
          <w:snapToGrid w:val="0"/>
          <w:color w:val="auto"/>
          <w:kern w:val="0"/>
          <w:sz w:val="24"/>
          <w:szCs w:val="24"/>
        </w:rPr>
      </w:pPr>
      <w:r>
        <w:rPr>
          <w:rFonts w:hint="eastAsia" w:asciiTheme="minorEastAsia" w:hAnsiTheme="minorEastAsia" w:eastAsiaTheme="minorEastAsia"/>
          <w:snapToGrid w:val="0"/>
          <w:color w:val="auto"/>
          <w:kern w:val="0"/>
          <w:sz w:val="24"/>
          <w:szCs w:val="24"/>
        </w:rPr>
        <w:t>（12）电梯工程设计与相关配合。</w:t>
      </w:r>
    </w:p>
    <w:p>
      <w:pPr>
        <w:adjustRightInd w:val="0"/>
        <w:snapToGrid w:val="0"/>
        <w:spacing w:line="360" w:lineRule="auto"/>
        <w:ind w:firstLine="480" w:firstLineChars="200"/>
        <w:rPr>
          <w:rFonts w:asciiTheme="minorEastAsia" w:hAnsiTheme="minorEastAsia" w:eastAsiaTheme="minorEastAsia"/>
          <w:snapToGrid w:val="0"/>
          <w:color w:val="auto"/>
          <w:kern w:val="0"/>
          <w:sz w:val="24"/>
          <w:szCs w:val="24"/>
        </w:rPr>
      </w:pPr>
      <w:r>
        <w:rPr>
          <w:rFonts w:hint="eastAsia" w:asciiTheme="minorEastAsia" w:hAnsiTheme="minorEastAsia" w:eastAsiaTheme="minorEastAsia"/>
          <w:snapToGrid w:val="0"/>
          <w:color w:val="auto"/>
          <w:kern w:val="0"/>
          <w:sz w:val="24"/>
          <w:szCs w:val="24"/>
        </w:rPr>
        <w:t>（13）市政道路专业设计。</w:t>
      </w:r>
    </w:p>
    <w:p>
      <w:pPr>
        <w:adjustRightInd w:val="0"/>
        <w:snapToGrid w:val="0"/>
        <w:spacing w:line="360" w:lineRule="auto"/>
        <w:ind w:firstLine="480" w:firstLineChars="200"/>
        <w:rPr>
          <w:rFonts w:asciiTheme="minorEastAsia" w:hAnsiTheme="minorEastAsia" w:eastAsiaTheme="minorEastAsia"/>
          <w:snapToGrid w:val="0"/>
          <w:color w:val="auto"/>
          <w:kern w:val="0"/>
          <w:sz w:val="24"/>
          <w:szCs w:val="24"/>
        </w:rPr>
      </w:pPr>
      <w:r>
        <w:rPr>
          <w:rFonts w:hint="eastAsia" w:asciiTheme="minorEastAsia" w:hAnsiTheme="minorEastAsia" w:eastAsiaTheme="minorEastAsia"/>
          <w:snapToGrid w:val="0"/>
          <w:color w:val="auto"/>
          <w:kern w:val="0"/>
          <w:sz w:val="24"/>
          <w:szCs w:val="24"/>
        </w:rPr>
        <w:t>（14）市政管线专业设计。</w:t>
      </w:r>
    </w:p>
    <w:p>
      <w:pPr>
        <w:adjustRightInd w:val="0"/>
        <w:snapToGrid w:val="0"/>
        <w:spacing w:line="360" w:lineRule="auto"/>
        <w:ind w:firstLine="480" w:firstLineChars="200"/>
        <w:rPr>
          <w:rFonts w:asciiTheme="minorEastAsia" w:hAnsiTheme="minorEastAsia" w:eastAsiaTheme="minorEastAsia"/>
          <w:snapToGrid w:val="0"/>
          <w:color w:val="auto"/>
          <w:kern w:val="0"/>
          <w:sz w:val="24"/>
          <w:szCs w:val="24"/>
        </w:rPr>
      </w:pPr>
      <w:r>
        <w:rPr>
          <w:rFonts w:hint="eastAsia" w:asciiTheme="minorEastAsia" w:hAnsiTheme="minorEastAsia" w:eastAsiaTheme="minorEastAsia"/>
          <w:snapToGrid w:val="0"/>
          <w:color w:val="auto"/>
          <w:kern w:val="0"/>
          <w:sz w:val="24"/>
          <w:szCs w:val="24"/>
        </w:rPr>
        <w:t>（15）按照项目的灯光、声学等特殊工艺设计要求进行建筑、结构及其配套设备专业的设计与相关配合。</w:t>
      </w:r>
    </w:p>
    <w:p>
      <w:pPr>
        <w:adjustRightInd w:val="0"/>
        <w:snapToGrid w:val="0"/>
        <w:spacing w:line="360" w:lineRule="auto"/>
        <w:ind w:firstLine="480" w:firstLineChars="200"/>
        <w:rPr>
          <w:rFonts w:asciiTheme="minorEastAsia" w:hAnsiTheme="minorEastAsia" w:eastAsiaTheme="minorEastAsia"/>
          <w:snapToGrid w:val="0"/>
          <w:color w:val="auto"/>
          <w:kern w:val="0"/>
          <w:sz w:val="24"/>
          <w:szCs w:val="24"/>
        </w:rPr>
      </w:pPr>
      <w:r>
        <w:rPr>
          <w:rFonts w:hint="eastAsia" w:asciiTheme="minorEastAsia" w:hAnsiTheme="minorEastAsia" w:eastAsiaTheme="minorEastAsia"/>
          <w:snapToGrid w:val="0"/>
          <w:color w:val="auto"/>
          <w:kern w:val="0"/>
          <w:sz w:val="24"/>
          <w:szCs w:val="24"/>
        </w:rPr>
        <w:t>（16）管线综合平衡设计：各种专业设备、系统的管线在建筑物内、外的路由平衡设计。建筑物内、外的管线综合平衡设计以专篇形式提交。</w:t>
      </w:r>
    </w:p>
    <w:p>
      <w:pPr>
        <w:adjustRightInd w:val="0"/>
        <w:snapToGrid w:val="0"/>
        <w:spacing w:line="360" w:lineRule="auto"/>
        <w:ind w:firstLine="480" w:firstLineChars="200"/>
        <w:rPr>
          <w:rFonts w:asciiTheme="minorEastAsia" w:hAnsiTheme="minorEastAsia" w:eastAsiaTheme="minorEastAsia"/>
          <w:snapToGrid w:val="0"/>
          <w:color w:val="auto"/>
          <w:kern w:val="0"/>
          <w:sz w:val="24"/>
          <w:szCs w:val="24"/>
        </w:rPr>
      </w:pPr>
      <w:r>
        <w:rPr>
          <w:rFonts w:hint="eastAsia" w:asciiTheme="minorEastAsia" w:hAnsiTheme="minorEastAsia" w:eastAsiaTheme="minorEastAsia"/>
          <w:snapToGrid w:val="0"/>
          <w:color w:val="auto"/>
          <w:kern w:val="0"/>
          <w:sz w:val="24"/>
          <w:szCs w:val="24"/>
        </w:rPr>
        <w:t>（17）设备选型意见：就拟采用的专用机电设备、专用电子设备（如大屏幕显示系统、广播音响系统等）的选型于施工图设计开始前向发包人提出书面意见并提供相关设备的技术参数规格书，但不设计专用设备。</w:t>
      </w:r>
    </w:p>
    <w:p>
      <w:pPr>
        <w:adjustRightInd w:val="0"/>
        <w:snapToGrid w:val="0"/>
        <w:spacing w:line="360" w:lineRule="auto"/>
        <w:ind w:firstLine="480" w:firstLineChars="200"/>
        <w:rPr>
          <w:rFonts w:asciiTheme="minorEastAsia" w:hAnsiTheme="minorEastAsia" w:eastAsiaTheme="minorEastAsia"/>
          <w:snapToGrid w:val="0"/>
          <w:color w:val="auto"/>
          <w:kern w:val="0"/>
          <w:sz w:val="24"/>
          <w:szCs w:val="24"/>
        </w:rPr>
      </w:pPr>
      <w:r>
        <w:rPr>
          <w:rFonts w:hint="eastAsia" w:asciiTheme="minorEastAsia" w:hAnsiTheme="minorEastAsia" w:eastAsiaTheme="minorEastAsia"/>
          <w:snapToGrid w:val="0"/>
          <w:color w:val="auto"/>
          <w:kern w:val="0"/>
          <w:sz w:val="24"/>
          <w:szCs w:val="24"/>
        </w:rPr>
        <w:t>（18）建筑节能、绿色建筑设计和申报、验收，以及新技术应用的研究和设计。</w:t>
      </w:r>
    </w:p>
    <w:p>
      <w:pPr>
        <w:adjustRightInd w:val="0"/>
        <w:snapToGrid w:val="0"/>
        <w:spacing w:line="360" w:lineRule="auto"/>
        <w:ind w:firstLine="480" w:firstLineChars="200"/>
        <w:rPr>
          <w:rFonts w:asciiTheme="minorEastAsia" w:hAnsiTheme="minorEastAsia" w:eastAsiaTheme="minorEastAsia"/>
          <w:snapToGrid w:val="0"/>
          <w:color w:val="auto"/>
          <w:kern w:val="0"/>
          <w:sz w:val="24"/>
          <w:szCs w:val="24"/>
        </w:rPr>
      </w:pPr>
      <w:r>
        <w:rPr>
          <w:rFonts w:hint="eastAsia" w:asciiTheme="minorEastAsia" w:hAnsiTheme="minorEastAsia" w:eastAsiaTheme="minorEastAsia"/>
          <w:snapToGrid w:val="0"/>
          <w:color w:val="auto"/>
          <w:kern w:val="0"/>
          <w:sz w:val="24"/>
          <w:szCs w:val="24"/>
        </w:rPr>
        <w:t>（19）编制方案设计投资估算。</w:t>
      </w:r>
    </w:p>
    <w:p>
      <w:pPr>
        <w:adjustRightInd w:val="0"/>
        <w:snapToGrid w:val="0"/>
        <w:spacing w:line="360" w:lineRule="auto"/>
        <w:ind w:firstLine="480" w:firstLineChars="200"/>
        <w:rPr>
          <w:rFonts w:asciiTheme="minorEastAsia" w:hAnsiTheme="minorEastAsia" w:eastAsiaTheme="minorEastAsia"/>
          <w:snapToGrid w:val="0"/>
          <w:color w:val="auto"/>
          <w:kern w:val="0"/>
          <w:sz w:val="24"/>
          <w:szCs w:val="24"/>
        </w:rPr>
      </w:pPr>
      <w:r>
        <w:rPr>
          <w:rFonts w:hint="eastAsia" w:asciiTheme="minorEastAsia" w:hAnsiTheme="minorEastAsia" w:eastAsiaTheme="minorEastAsia"/>
          <w:snapToGrid w:val="0"/>
          <w:color w:val="auto"/>
          <w:kern w:val="0"/>
          <w:sz w:val="24"/>
          <w:szCs w:val="24"/>
        </w:rPr>
        <w:t>（20）编制初步设计概算。</w:t>
      </w:r>
    </w:p>
    <w:p>
      <w:pPr>
        <w:adjustRightInd w:val="0"/>
        <w:snapToGrid w:val="0"/>
        <w:spacing w:line="360" w:lineRule="auto"/>
        <w:ind w:firstLine="480" w:firstLineChars="200"/>
        <w:rPr>
          <w:rFonts w:asciiTheme="minorEastAsia" w:hAnsiTheme="minorEastAsia" w:eastAsiaTheme="minorEastAsia"/>
          <w:snapToGrid w:val="0"/>
          <w:color w:val="auto"/>
          <w:kern w:val="0"/>
          <w:sz w:val="24"/>
          <w:szCs w:val="24"/>
        </w:rPr>
      </w:pPr>
      <w:r>
        <w:rPr>
          <w:rFonts w:hint="eastAsia" w:asciiTheme="minorEastAsia" w:hAnsiTheme="minorEastAsia" w:eastAsiaTheme="minorEastAsia"/>
          <w:snapToGrid w:val="0"/>
          <w:color w:val="auto"/>
          <w:kern w:val="0"/>
          <w:sz w:val="24"/>
          <w:szCs w:val="24"/>
        </w:rPr>
        <w:t>（23）在规划红线范围内，设计人应保证按规划及建筑功能要求、配套设施要求完成本合同工程造价中包含的全部项目的专业专项勘察、设计。</w:t>
      </w:r>
    </w:p>
    <w:p>
      <w:pPr>
        <w:adjustRightInd w:val="0"/>
        <w:snapToGrid w:val="0"/>
        <w:spacing w:line="360" w:lineRule="auto"/>
        <w:ind w:firstLine="480" w:firstLineChars="200"/>
        <w:rPr>
          <w:rFonts w:asciiTheme="minorEastAsia" w:hAnsiTheme="minorEastAsia" w:eastAsiaTheme="minorEastAsia"/>
          <w:snapToGrid w:val="0"/>
          <w:color w:val="auto"/>
          <w:kern w:val="0"/>
          <w:sz w:val="24"/>
          <w:szCs w:val="24"/>
        </w:rPr>
      </w:pPr>
      <w:r>
        <w:rPr>
          <w:rFonts w:hint="eastAsia" w:asciiTheme="minorEastAsia" w:hAnsiTheme="minorEastAsia" w:eastAsiaTheme="minorEastAsia"/>
          <w:snapToGrid w:val="0"/>
          <w:color w:val="auto"/>
          <w:kern w:val="0"/>
          <w:sz w:val="24"/>
          <w:szCs w:val="24"/>
        </w:rPr>
        <w:t>（24）对于专项分包勘察、设计文件，须由设计人及专项分包单位人员校核并会签盖章确认。</w:t>
      </w:r>
    </w:p>
    <w:p>
      <w:pPr>
        <w:adjustRightInd w:val="0"/>
        <w:snapToGrid w:val="0"/>
        <w:spacing w:line="360" w:lineRule="auto"/>
        <w:ind w:firstLine="480" w:firstLineChars="200"/>
        <w:rPr>
          <w:rFonts w:asciiTheme="minorEastAsia" w:hAnsiTheme="minorEastAsia" w:eastAsiaTheme="minorEastAsia"/>
          <w:snapToGrid w:val="0"/>
          <w:color w:val="auto"/>
          <w:kern w:val="0"/>
          <w:sz w:val="24"/>
          <w:szCs w:val="24"/>
        </w:rPr>
      </w:pPr>
      <w:r>
        <w:rPr>
          <w:rFonts w:hint="eastAsia" w:asciiTheme="minorEastAsia" w:hAnsiTheme="minorEastAsia" w:eastAsiaTheme="minorEastAsia"/>
          <w:snapToGrid w:val="0"/>
          <w:color w:val="auto"/>
          <w:kern w:val="0"/>
          <w:sz w:val="24"/>
          <w:szCs w:val="24"/>
        </w:rPr>
        <w:t>（25）提供主要设备材料表及技术要求书，配合发包人的招标工作。</w:t>
      </w:r>
    </w:p>
    <w:p>
      <w:pPr>
        <w:adjustRightInd w:val="0"/>
        <w:snapToGrid w:val="0"/>
        <w:spacing w:line="360" w:lineRule="auto"/>
        <w:ind w:firstLine="480" w:firstLineChars="200"/>
        <w:rPr>
          <w:rFonts w:asciiTheme="minorEastAsia" w:hAnsiTheme="minorEastAsia" w:eastAsiaTheme="minorEastAsia"/>
          <w:snapToGrid w:val="0"/>
          <w:color w:val="auto"/>
          <w:kern w:val="0"/>
          <w:sz w:val="24"/>
          <w:szCs w:val="24"/>
        </w:rPr>
      </w:pPr>
      <w:r>
        <w:rPr>
          <w:rFonts w:hint="eastAsia" w:asciiTheme="minorEastAsia" w:hAnsiTheme="minorEastAsia" w:eastAsiaTheme="minorEastAsia"/>
          <w:snapToGrid w:val="0"/>
          <w:color w:val="auto"/>
          <w:kern w:val="0"/>
          <w:sz w:val="24"/>
          <w:szCs w:val="24"/>
        </w:rPr>
        <w:t>地震评估、环境评估、防雷评估、风洞试验、振动台试验、点试验、消防性能化分析及有关专项试验、研究与论证不在设计人设计范畴内，但设计人应配合发包人工作。</w:t>
      </w:r>
    </w:p>
    <w:p>
      <w:pPr>
        <w:adjustRightInd w:val="0"/>
        <w:snapToGrid w:val="0"/>
        <w:spacing w:line="360" w:lineRule="auto"/>
        <w:ind w:firstLine="480" w:firstLineChars="200"/>
        <w:rPr>
          <w:rFonts w:asciiTheme="minorEastAsia" w:hAnsiTheme="minorEastAsia" w:eastAsiaTheme="minorEastAsia"/>
          <w:snapToGrid w:val="0"/>
          <w:color w:val="auto"/>
          <w:kern w:val="0"/>
          <w:sz w:val="24"/>
          <w:szCs w:val="24"/>
          <w:u w:val="single"/>
        </w:rPr>
      </w:pPr>
      <w:r>
        <w:rPr>
          <w:rFonts w:hint="eastAsia" w:asciiTheme="minorEastAsia" w:hAnsiTheme="minorEastAsia" w:eastAsiaTheme="minorEastAsia"/>
          <w:snapToGrid w:val="0"/>
          <w:color w:val="auto"/>
          <w:kern w:val="0"/>
          <w:sz w:val="24"/>
          <w:szCs w:val="24"/>
        </w:rPr>
        <w:t>（26）幕墙工程</w:t>
      </w:r>
      <w:r>
        <w:rPr>
          <w:rFonts w:hint="eastAsia" w:asciiTheme="minorEastAsia" w:hAnsiTheme="minorEastAsia" w:eastAsiaTheme="minorEastAsia"/>
          <w:snapToGrid w:val="0"/>
          <w:color w:val="auto"/>
          <w:kern w:val="0"/>
          <w:sz w:val="24"/>
          <w:szCs w:val="24"/>
          <w:u w:val="single"/>
        </w:rPr>
        <w:t>（如有）。</w:t>
      </w:r>
    </w:p>
    <w:p>
      <w:pPr>
        <w:adjustRightInd w:val="0"/>
        <w:snapToGrid w:val="0"/>
        <w:spacing w:line="360" w:lineRule="auto"/>
        <w:ind w:firstLine="480" w:firstLineChars="200"/>
        <w:rPr>
          <w:rFonts w:asciiTheme="minorEastAsia" w:hAnsiTheme="minorEastAsia" w:eastAsiaTheme="minorEastAsia"/>
          <w:snapToGrid w:val="0"/>
          <w:color w:val="auto"/>
          <w:kern w:val="0"/>
          <w:sz w:val="24"/>
          <w:szCs w:val="24"/>
        </w:rPr>
      </w:pPr>
      <w:r>
        <w:rPr>
          <w:rFonts w:hint="eastAsia" w:asciiTheme="minorEastAsia" w:hAnsiTheme="minorEastAsia" w:eastAsiaTheme="minorEastAsia"/>
          <w:snapToGrid w:val="0"/>
          <w:color w:val="auto"/>
          <w:kern w:val="0"/>
          <w:sz w:val="24"/>
          <w:szCs w:val="24"/>
        </w:rPr>
        <w:t>（27）</w:t>
      </w:r>
      <w:r>
        <w:rPr>
          <w:rFonts w:hint="eastAsia" w:asciiTheme="minorEastAsia" w:hAnsiTheme="minorEastAsia" w:eastAsiaTheme="minorEastAsia"/>
          <w:color w:val="auto"/>
          <w:sz w:val="24"/>
          <w:szCs w:val="24"/>
        </w:rPr>
        <w:t>环保工程设计。</w:t>
      </w:r>
    </w:p>
    <w:p>
      <w:pPr>
        <w:adjustRightInd w:val="0"/>
        <w:snapToGrid w:val="0"/>
        <w:spacing w:line="360" w:lineRule="auto"/>
        <w:ind w:firstLine="480" w:firstLineChars="200"/>
        <w:rPr>
          <w:rFonts w:asciiTheme="minorEastAsia" w:hAnsiTheme="minorEastAsia" w:eastAsiaTheme="minorEastAsia"/>
          <w:snapToGrid w:val="0"/>
          <w:color w:val="auto"/>
          <w:kern w:val="0"/>
          <w:sz w:val="24"/>
          <w:szCs w:val="24"/>
        </w:rPr>
      </w:pPr>
      <w:r>
        <w:rPr>
          <w:rFonts w:hint="eastAsia" w:asciiTheme="minorEastAsia" w:hAnsiTheme="minorEastAsia" w:eastAsiaTheme="minorEastAsia"/>
          <w:snapToGrid w:val="0"/>
          <w:color w:val="auto"/>
          <w:kern w:val="0"/>
          <w:sz w:val="24"/>
          <w:szCs w:val="24"/>
        </w:rPr>
        <w:t>（28）防雷设计。</w:t>
      </w:r>
    </w:p>
    <w:p>
      <w:pPr>
        <w:adjustRightInd w:val="0"/>
        <w:snapToGrid w:val="0"/>
        <w:spacing w:line="360" w:lineRule="auto"/>
        <w:ind w:firstLine="480" w:firstLineChars="200"/>
        <w:rPr>
          <w:rFonts w:asciiTheme="minorEastAsia" w:hAnsiTheme="minorEastAsia" w:eastAsiaTheme="minorEastAsia"/>
          <w:snapToGrid w:val="0"/>
          <w:color w:val="auto"/>
          <w:kern w:val="0"/>
          <w:sz w:val="24"/>
          <w:szCs w:val="24"/>
        </w:rPr>
      </w:pPr>
      <w:r>
        <w:rPr>
          <w:rFonts w:hint="eastAsia" w:asciiTheme="minorEastAsia" w:hAnsiTheme="minorEastAsia" w:eastAsiaTheme="minorEastAsia"/>
          <w:snapToGrid w:val="0"/>
          <w:color w:val="auto"/>
          <w:kern w:val="0"/>
          <w:sz w:val="24"/>
          <w:szCs w:val="24"/>
        </w:rPr>
        <w:t>（29）</w:t>
      </w:r>
      <w:r>
        <w:rPr>
          <w:rFonts w:hint="eastAsia" w:asciiTheme="minorEastAsia" w:hAnsiTheme="minorEastAsia" w:eastAsiaTheme="minorEastAsia"/>
          <w:color w:val="auto"/>
          <w:sz w:val="24"/>
          <w:szCs w:val="24"/>
        </w:rPr>
        <w:t>标识导引系统设计</w:t>
      </w:r>
      <w:r>
        <w:rPr>
          <w:rFonts w:hint="eastAsia" w:asciiTheme="minorEastAsia" w:hAnsiTheme="minorEastAsia" w:eastAsiaTheme="minorEastAsia"/>
          <w:snapToGrid w:val="0"/>
          <w:color w:val="auto"/>
          <w:kern w:val="0"/>
          <w:sz w:val="24"/>
          <w:szCs w:val="24"/>
        </w:rPr>
        <w:t>。</w:t>
      </w:r>
    </w:p>
    <w:p>
      <w:pPr>
        <w:adjustRightInd w:val="0"/>
        <w:snapToGrid w:val="0"/>
        <w:spacing w:line="360" w:lineRule="auto"/>
        <w:ind w:firstLine="480" w:firstLineChars="200"/>
        <w:rPr>
          <w:rFonts w:asciiTheme="minorEastAsia" w:hAnsiTheme="minorEastAsia" w:eastAsiaTheme="minorEastAsia"/>
          <w:snapToGrid w:val="0"/>
          <w:color w:val="auto"/>
          <w:kern w:val="0"/>
          <w:sz w:val="24"/>
          <w:szCs w:val="24"/>
        </w:rPr>
      </w:pPr>
      <w:r>
        <w:rPr>
          <w:rFonts w:hint="eastAsia" w:asciiTheme="minorEastAsia" w:hAnsiTheme="minorEastAsia" w:eastAsiaTheme="minorEastAsia"/>
          <w:snapToGrid w:val="0"/>
          <w:color w:val="auto"/>
          <w:kern w:val="0"/>
          <w:sz w:val="24"/>
          <w:szCs w:val="24"/>
        </w:rPr>
        <w:t>（30）擦窗机设计。</w:t>
      </w:r>
    </w:p>
    <w:p>
      <w:pPr>
        <w:adjustRightInd w:val="0"/>
        <w:snapToGrid w:val="0"/>
        <w:spacing w:line="360" w:lineRule="auto"/>
        <w:ind w:firstLine="480" w:firstLineChars="200"/>
        <w:rPr>
          <w:rFonts w:asciiTheme="minorEastAsia" w:hAnsiTheme="minorEastAsia" w:eastAsiaTheme="minorEastAsia"/>
          <w:snapToGrid w:val="0"/>
          <w:color w:val="auto"/>
          <w:kern w:val="0"/>
          <w:sz w:val="24"/>
          <w:szCs w:val="24"/>
        </w:rPr>
      </w:pPr>
      <w:r>
        <w:rPr>
          <w:rFonts w:hint="eastAsia" w:asciiTheme="minorEastAsia" w:hAnsiTheme="minorEastAsia" w:eastAsiaTheme="minorEastAsia"/>
          <w:snapToGrid w:val="0"/>
          <w:color w:val="auto"/>
          <w:kern w:val="0"/>
          <w:sz w:val="24"/>
          <w:szCs w:val="24"/>
        </w:rPr>
        <w:t>（31）临水、临电、施工围墙、施工便道、施工总平面等工程设计。</w:t>
      </w:r>
    </w:p>
    <w:p>
      <w:pPr>
        <w:adjustRightInd w:val="0"/>
        <w:snapToGrid w:val="0"/>
        <w:spacing w:line="360" w:lineRule="auto"/>
        <w:ind w:firstLine="480" w:firstLineChars="200"/>
        <w:rPr>
          <w:rFonts w:asciiTheme="minorEastAsia" w:hAnsiTheme="minorEastAsia" w:eastAsiaTheme="minorEastAsia"/>
          <w:snapToGrid w:val="0"/>
          <w:color w:val="auto"/>
          <w:kern w:val="0"/>
          <w:sz w:val="24"/>
          <w:szCs w:val="24"/>
        </w:rPr>
      </w:pPr>
      <w:r>
        <w:rPr>
          <w:rFonts w:hint="eastAsia" w:asciiTheme="minorEastAsia" w:hAnsiTheme="minorEastAsia" w:eastAsiaTheme="minorEastAsia"/>
          <w:snapToGrid w:val="0"/>
          <w:color w:val="auto"/>
          <w:kern w:val="0"/>
          <w:sz w:val="24"/>
          <w:szCs w:val="24"/>
        </w:rPr>
        <w:t>（32）建设单位的驻地办公场所设计（临时板房、景观绿化、旗杆等）。</w:t>
      </w:r>
    </w:p>
    <w:p>
      <w:pPr>
        <w:adjustRightInd w:val="0"/>
        <w:snapToGrid w:val="0"/>
        <w:spacing w:line="360" w:lineRule="auto"/>
        <w:ind w:firstLine="480" w:firstLineChars="200"/>
        <w:rPr>
          <w:rFonts w:asciiTheme="minorEastAsia" w:hAnsiTheme="minorEastAsia" w:eastAsiaTheme="minorEastAsia"/>
          <w:snapToGrid w:val="0"/>
          <w:color w:val="auto"/>
          <w:kern w:val="0"/>
          <w:sz w:val="24"/>
          <w:szCs w:val="24"/>
        </w:rPr>
      </w:pPr>
      <w:r>
        <w:rPr>
          <w:rFonts w:hint="eastAsia" w:asciiTheme="minorEastAsia" w:hAnsiTheme="minorEastAsia" w:eastAsiaTheme="minorEastAsia"/>
          <w:snapToGrid w:val="0"/>
          <w:color w:val="auto"/>
          <w:kern w:val="0"/>
          <w:sz w:val="24"/>
          <w:szCs w:val="24"/>
        </w:rPr>
        <w:t>（33）本项目实施过程中所涉及的现有设施拆除、管线迁改等内容的设计。</w:t>
      </w:r>
    </w:p>
    <w:p>
      <w:pPr>
        <w:adjustRightInd w:val="0"/>
        <w:snapToGrid w:val="0"/>
        <w:spacing w:line="360" w:lineRule="auto"/>
        <w:ind w:firstLine="480" w:firstLineChars="200"/>
        <w:rPr>
          <w:rFonts w:asciiTheme="minorEastAsia" w:hAnsiTheme="minorEastAsia" w:eastAsiaTheme="minorEastAsia"/>
          <w:snapToGrid w:val="0"/>
          <w:color w:val="auto"/>
          <w:kern w:val="0"/>
          <w:sz w:val="24"/>
          <w:szCs w:val="24"/>
        </w:rPr>
      </w:pPr>
      <w:r>
        <w:rPr>
          <w:rFonts w:hint="eastAsia" w:asciiTheme="minorEastAsia" w:hAnsiTheme="minorEastAsia" w:eastAsiaTheme="minorEastAsia"/>
          <w:snapToGrid w:val="0"/>
          <w:color w:val="auto"/>
          <w:kern w:val="0"/>
          <w:sz w:val="24"/>
          <w:szCs w:val="24"/>
        </w:rPr>
        <w:t>（34）机械停车设计。</w:t>
      </w:r>
    </w:p>
    <w:p>
      <w:pPr>
        <w:adjustRightInd w:val="0"/>
        <w:snapToGrid w:val="0"/>
        <w:spacing w:line="360" w:lineRule="auto"/>
        <w:ind w:firstLine="480" w:firstLineChars="200"/>
        <w:rPr>
          <w:rFonts w:asciiTheme="minorEastAsia" w:hAnsiTheme="minorEastAsia" w:eastAsiaTheme="minorEastAsia"/>
          <w:snapToGrid w:val="0"/>
          <w:color w:val="auto"/>
          <w:kern w:val="0"/>
          <w:sz w:val="24"/>
          <w:szCs w:val="24"/>
        </w:rPr>
      </w:pPr>
      <w:r>
        <w:rPr>
          <w:rFonts w:hint="eastAsia" w:asciiTheme="minorEastAsia" w:hAnsiTheme="minorEastAsia" w:eastAsiaTheme="minorEastAsia"/>
          <w:snapToGrid w:val="0"/>
          <w:color w:val="auto"/>
          <w:kern w:val="0"/>
          <w:sz w:val="24"/>
          <w:szCs w:val="24"/>
        </w:rPr>
        <w:t>（35）厨房设计。</w:t>
      </w:r>
    </w:p>
    <w:p>
      <w:pPr>
        <w:adjustRightInd w:val="0"/>
        <w:snapToGrid w:val="0"/>
        <w:spacing w:line="360" w:lineRule="auto"/>
        <w:ind w:firstLine="480" w:firstLineChars="200"/>
        <w:rPr>
          <w:rFonts w:asciiTheme="minorEastAsia" w:hAnsiTheme="minorEastAsia" w:eastAsiaTheme="minorEastAsia"/>
          <w:snapToGrid w:val="0"/>
          <w:color w:val="auto"/>
          <w:kern w:val="0"/>
          <w:sz w:val="24"/>
          <w:szCs w:val="24"/>
        </w:rPr>
      </w:pPr>
      <w:r>
        <w:rPr>
          <w:rFonts w:hint="eastAsia" w:asciiTheme="minorEastAsia" w:hAnsiTheme="minorEastAsia" w:eastAsiaTheme="minorEastAsia"/>
          <w:snapToGrid w:val="0"/>
          <w:color w:val="auto"/>
          <w:kern w:val="0"/>
          <w:sz w:val="24"/>
          <w:szCs w:val="24"/>
        </w:rPr>
        <w:t>（36）项目前期摸查报告编制（</w:t>
      </w:r>
      <w:r>
        <w:rPr>
          <w:rFonts w:hint="eastAsia" w:asciiTheme="minorEastAsia" w:hAnsiTheme="minorEastAsia" w:eastAsiaTheme="minorEastAsia"/>
          <w:color w:val="auto"/>
          <w:sz w:val="24"/>
          <w:szCs w:val="24"/>
        </w:rPr>
        <w:t>项目建设范围内及周边管线、地上建（构）筑物、交通、市政配套、地形地貌等前期摸查</w:t>
      </w:r>
      <w:r>
        <w:rPr>
          <w:rFonts w:hint="eastAsia" w:asciiTheme="minorEastAsia" w:hAnsiTheme="minorEastAsia" w:eastAsiaTheme="minorEastAsia"/>
          <w:snapToGrid w:val="0"/>
          <w:color w:val="auto"/>
          <w:kern w:val="0"/>
          <w:sz w:val="24"/>
          <w:szCs w:val="24"/>
        </w:rPr>
        <w:t>），项目各阶段设计重点、难点分析报告。</w:t>
      </w:r>
    </w:p>
    <w:p>
      <w:pPr>
        <w:adjustRightInd w:val="0"/>
        <w:snapToGrid w:val="0"/>
        <w:spacing w:line="360" w:lineRule="auto"/>
        <w:ind w:firstLine="480" w:firstLineChars="200"/>
        <w:rPr>
          <w:rFonts w:asciiTheme="minorEastAsia" w:hAnsiTheme="minorEastAsia" w:eastAsiaTheme="minorEastAsia"/>
          <w:snapToGrid w:val="0"/>
          <w:color w:val="auto"/>
          <w:kern w:val="0"/>
          <w:sz w:val="24"/>
          <w:szCs w:val="24"/>
        </w:rPr>
      </w:pPr>
      <w:r>
        <w:rPr>
          <w:rFonts w:hint="eastAsia" w:asciiTheme="minorEastAsia" w:hAnsiTheme="minorEastAsia" w:eastAsiaTheme="minorEastAsia"/>
          <w:snapToGrid w:val="0"/>
          <w:color w:val="auto"/>
          <w:kern w:val="0"/>
          <w:sz w:val="24"/>
          <w:szCs w:val="24"/>
        </w:rPr>
        <w:t>（37）其他：</w:t>
      </w:r>
    </w:p>
    <w:p>
      <w:pPr>
        <w:adjustRightInd w:val="0"/>
        <w:snapToGrid w:val="0"/>
        <w:spacing w:line="360" w:lineRule="auto"/>
        <w:ind w:firstLine="480" w:firstLineChars="200"/>
        <w:rPr>
          <w:rFonts w:asciiTheme="minorEastAsia" w:hAnsiTheme="minorEastAsia" w:eastAsiaTheme="minorEastAsia"/>
          <w:snapToGrid w:val="0"/>
          <w:color w:val="auto"/>
          <w:kern w:val="0"/>
          <w:sz w:val="24"/>
          <w:szCs w:val="24"/>
        </w:rPr>
      </w:pPr>
      <w:r>
        <w:rPr>
          <w:rFonts w:hint="eastAsia" w:asciiTheme="minorEastAsia" w:hAnsiTheme="minorEastAsia" w:eastAsiaTheme="minorEastAsia"/>
          <w:snapToGrid w:val="0"/>
          <w:color w:val="auto"/>
          <w:kern w:val="0"/>
          <w:sz w:val="24"/>
          <w:szCs w:val="24"/>
        </w:rPr>
        <w:t>1）需进行装配式建筑设计，装配率需满足</w:t>
      </w:r>
      <w:r>
        <w:rPr>
          <w:rFonts w:hint="eastAsia" w:cs="Courier New" w:asciiTheme="minorEastAsia" w:hAnsiTheme="minorEastAsia" w:eastAsiaTheme="minorEastAsia"/>
          <w:color w:val="auto"/>
          <w:sz w:val="24"/>
          <w:szCs w:val="24"/>
        </w:rPr>
        <w:t>广州市住房和城乡建设局相关规定的要求；</w:t>
      </w:r>
    </w:p>
    <w:p>
      <w:pPr>
        <w:adjustRightInd w:val="0"/>
        <w:snapToGrid w:val="0"/>
        <w:spacing w:line="360" w:lineRule="auto"/>
        <w:ind w:firstLine="480" w:firstLineChars="200"/>
        <w:rPr>
          <w:rFonts w:asciiTheme="minorEastAsia" w:hAnsiTheme="minorEastAsia" w:eastAsiaTheme="minorEastAsia"/>
          <w:i/>
          <w:snapToGrid w:val="0"/>
          <w:color w:val="auto"/>
          <w:kern w:val="0"/>
          <w:sz w:val="24"/>
          <w:szCs w:val="24"/>
        </w:rPr>
      </w:pPr>
      <w:r>
        <w:rPr>
          <w:rFonts w:hint="eastAsia" w:asciiTheme="minorEastAsia" w:hAnsiTheme="minorEastAsia" w:eastAsiaTheme="minorEastAsia"/>
          <w:snapToGrid w:val="0"/>
          <w:color w:val="auto"/>
          <w:kern w:val="0"/>
          <w:sz w:val="24"/>
          <w:szCs w:val="24"/>
        </w:rPr>
        <w:t>2）需进行全过程BIM设计，并在BIM模型的基础上导出全部图纸，并需无偿向发包人提供相应格式的电子文件（BIM费用包含于设计费中，不另行支付）；</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snapToGrid w:val="0"/>
          <w:color w:val="auto"/>
          <w:kern w:val="0"/>
          <w:sz w:val="24"/>
          <w:szCs w:val="24"/>
        </w:rPr>
        <w:t>3）负责网上填报各阶段报建相关资料，并负责纸质报送材料的整理组卷盖章工作。</w:t>
      </w:r>
    </w:p>
    <w:p>
      <w:pPr>
        <w:spacing w:line="360" w:lineRule="auto"/>
        <w:ind w:firstLine="482" w:firstLineChars="200"/>
        <w:rPr>
          <w:rFonts w:asciiTheme="minorEastAsia" w:hAnsiTheme="minorEastAsia" w:eastAsiaTheme="minorEastAsia"/>
          <w:color w:val="auto"/>
          <w:sz w:val="24"/>
          <w:szCs w:val="24"/>
        </w:rPr>
      </w:pPr>
      <w:r>
        <w:rPr>
          <w:rFonts w:hint="eastAsia" w:asciiTheme="minorEastAsia" w:hAnsiTheme="minorEastAsia" w:eastAsiaTheme="minorEastAsia"/>
          <w:b/>
          <w:color w:val="auto"/>
          <w:sz w:val="24"/>
          <w:szCs w:val="24"/>
        </w:rPr>
        <w:t>二、本工程设计阶段划分</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□方案设计阶段、□初步设计、□</w:t>
      </w:r>
      <w:r>
        <w:rPr>
          <w:rFonts w:hint="eastAsia" w:ascii="宋体" w:hAnsi="宋体"/>
          <w:color w:val="auto"/>
          <w:sz w:val="24"/>
          <w:szCs w:val="24"/>
        </w:rPr>
        <w:t>后期配合EPC项目承包单位承担的</w:t>
      </w:r>
      <w:r>
        <w:rPr>
          <w:rFonts w:hint="eastAsia" w:asciiTheme="minorEastAsia" w:hAnsiTheme="minorEastAsia" w:eastAsiaTheme="minorEastAsia"/>
          <w:color w:val="auto"/>
          <w:sz w:val="24"/>
          <w:szCs w:val="24"/>
        </w:rPr>
        <w:t>施工图设计与施工服务阶段。</w:t>
      </w:r>
    </w:p>
    <w:p>
      <w:pPr>
        <w:spacing w:line="360" w:lineRule="auto"/>
        <w:ind w:firstLine="482" w:firstLineChars="200"/>
        <w:rPr>
          <w:rFonts w:asciiTheme="minorEastAsia" w:hAnsiTheme="minorEastAsia" w:eastAsiaTheme="minorEastAsia"/>
          <w:b/>
          <w:color w:val="auto"/>
          <w:sz w:val="24"/>
          <w:szCs w:val="24"/>
        </w:rPr>
      </w:pPr>
      <w:r>
        <w:rPr>
          <w:rFonts w:hint="eastAsia" w:asciiTheme="minorEastAsia" w:hAnsiTheme="minorEastAsia" w:eastAsiaTheme="minorEastAsia"/>
          <w:b/>
          <w:color w:val="auto"/>
          <w:sz w:val="24"/>
          <w:szCs w:val="24"/>
        </w:rPr>
        <w:t>三、各阶段服务内容</w:t>
      </w:r>
    </w:p>
    <w:p>
      <w:pPr>
        <w:spacing w:line="360" w:lineRule="auto"/>
        <w:ind w:firstLine="482" w:firstLineChars="200"/>
        <w:rPr>
          <w:rFonts w:asciiTheme="minorEastAsia" w:hAnsiTheme="minorEastAsia" w:eastAsiaTheme="minorEastAsia"/>
          <w:b/>
          <w:color w:val="auto"/>
          <w:sz w:val="24"/>
          <w:szCs w:val="24"/>
        </w:rPr>
      </w:pPr>
      <w:r>
        <w:rPr>
          <w:rFonts w:hint="eastAsia" w:asciiTheme="minorEastAsia" w:hAnsiTheme="minorEastAsia" w:eastAsiaTheme="minorEastAsia"/>
          <w:b/>
          <w:color w:val="auto"/>
          <w:sz w:val="24"/>
          <w:szCs w:val="24"/>
        </w:rPr>
        <w:t>1.方案设计阶段</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 xml:space="preserve">（1）与发包人及发包人聘用的顾问充分沟通，深入研究项目基础资料，协助发包人提出本项目的发展规划和市场潜力； </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 xml:space="preserve">（2）完成总体规划和方案设计，提供满足深度的方案设计图纸，并制作符合政府部门要求的规划意见书与设计方案报批文件，协助发包人进行报批工作； </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 xml:space="preserve">（3）根据政府部门的审批意见在本合同约定的范围内对设计方案进行修改和必要的调整，以通过政府部门审查批准； </w:t>
      </w:r>
    </w:p>
    <w:p>
      <w:pPr>
        <w:spacing w:line="360" w:lineRule="auto"/>
        <w:ind w:firstLine="482" w:firstLineChars="200"/>
        <w:rPr>
          <w:rFonts w:asciiTheme="minorEastAsia" w:hAnsiTheme="minorEastAsia" w:eastAsiaTheme="minorEastAsia"/>
          <w:b/>
          <w:color w:val="auto"/>
          <w:sz w:val="24"/>
          <w:szCs w:val="24"/>
        </w:rPr>
      </w:pPr>
      <w:r>
        <w:rPr>
          <w:rFonts w:hint="eastAsia" w:asciiTheme="minorEastAsia" w:hAnsiTheme="minorEastAsia" w:eastAsiaTheme="minorEastAsia"/>
          <w:b/>
          <w:color w:val="auto"/>
          <w:sz w:val="24"/>
          <w:szCs w:val="24"/>
        </w:rPr>
        <w:t>（</w:t>
      </w:r>
      <w:r>
        <w:rPr>
          <w:rFonts w:asciiTheme="minorEastAsia" w:hAnsiTheme="minorEastAsia" w:eastAsiaTheme="minorEastAsia"/>
          <w:b/>
          <w:color w:val="auto"/>
          <w:sz w:val="24"/>
          <w:szCs w:val="24"/>
        </w:rPr>
        <w:t>4）设计人依据设计方案成果编制造价估算文件，完成估算编制后，方案阶段成果应与可行性研究成果进行对比和分析，对超出限额的部分进行说明和分析，提出修改指引和意见并报送</w:t>
      </w:r>
      <w:r>
        <w:rPr>
          <w:rFonts w:hint="eastAsia" w:asciiTheme="minorEastAsia" w:hAnsiTheme="minorEastAsia" w:eastAsiaTheme="minorEastAsia"/>
          <w:b/>
          <w:color w:val="auto"/>
          <w:sz w:val="24"/>
          <w:szCs w:val="24"/>
        </w:rPr>
        <w:t>发包人</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 xml:space="preserve">（5）协调景观、交通、精装修等各专业顾问公司的工作，对其设计方案和技术经济指标进行审核，提供咨询意见。在保证与该项目总体方案设计相一致的情况下，接受经发包人确认的顾问公司的合理化建议并对方案进行调整； </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（6）配合发包人进行人防、消防、交通、绿化及市政管网等方面的咨询工作；</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（7）负责完成人防、消防等规划方案，协助发包人完成报批工作。</w:t>
      </w:r>
    </w:p>
    <w:p>
      <w:pPr>
        <w:spacing w:line="360" w:lineRule="auto"/>
        <w:ind w:firstLine="482" w:firstLineChars="200"/>
        <w:rPr>
          <w:rFonts w:asciiTheme="minorEastAsia" w:hAnsiTheme="minorEastAsia" w:eastAsiaTheme="minorEastAsia"/>
          <w:b/>
          <w:color w:val="auto"/>
          <w:sz w:val="24"/>
          <w:szCs w:val="24"/>
        </w:rPr>
      </w:pPr>
      <w:r>
        <w:rPr>
          <w:rFonts w:hint="eastAsia" w:asciiTheme="minorEastAsia" w:hAnsiTheme="minorEastAsia" w:eastAsiaTheme="minorEastAsia"/>
          <w:b/>
          <w:color w:val="auto"/>
          <w:sz w:val="24"/>
          <w:szCs w:val="24"/>
        </w:rPr>
        <w:t>2.初步设计阶段</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 xml:space="preserve">（1）负责完成并制作建筑、结构、给排水、暖通空调、电气、动力、室外管线综合等专业的初步设计文件，设计内容和深度应满足政府相关规定； </w:t>
      </w:r>
    </w:p>
    <w:p>
      <w:pPr>
        <w:spacing w:line="360" w:lineRule="auto"/>
        <w:ind w:firstLine="480" w:firstLineChars="200"/>
        <w:rPr>
          <w:rFonts w:asciiTheme="minorEastAsia" w:hAnsiTheme="minorEastAsia" w:eastAsiaTheme="minorEastAsia"/>
          <w:b/>
          <w:color w:val="auto"/>
          <w:sz w:val="24"/>
          <w:szCs w:val="24"/>
        </w:rPr>
      </w:pPr>
      <w:r>
        <w:rPr>
          <w:rFonts w:hint="eastAsia" w:asciiTheme="minorEastAsia" w:hAnsiTheme="minorEastAsia" w:eastAsiaTheme="minorEastAsia"/>
          <w:color w:val="auto"/>
          <w:sz w:val="24"/>
          <w:szCs w:val="24"/>
        </w:rPr>
        <w:t>（2）</w:t>
      </w:r>
      <w:r>
        <w:rPr>
          <w:rFonts w:hint="eastAsia" w:asciiTheme="minorEastAsia" w:hAnsiTheme="minorEastAsia" w:eastAsiaTheme="minorEastAsia"/>
          <w:b/>
          <w:color w:val="auto"/>
          <w:sz w:val="24"/>
          <w:szCs w:val="24"/>
        </w:rPr>
        <w:t>初步设计过程中，设计人应对主要总规划、建筑方案、结构形式、工艺流程、主要设备指标等提出技术和经济方面的比选方案。用以制定专业设计原则进行方案设计及材料设备选型，以单位工程作为评价，做好专业内的平衡和调整，提出节约投资的措施。初步设计文件确定后，设计人对概算文件进行对比和分析，对超出限额的部分进行说明和分析，提出修改指引和意见供发包人参考。</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（3）制作报政府相关部门进行初步设计审查的设计图纸，配合发包人进行交通、园林、人防、消防、供电、市政、气象等各部门的报审工作，提供相关的工程用量参数，并负责有关解释和修改。</w:t>
      </w:r>
    </w:p>
    <w:p>
      <w:pPr>
        <w:spacing w:line="360" w:lineRule="auto"/>
        <w:ind w:firstLine="482" w:firstLineChars="200"/>
        <w:rPr>
          <w:rFonts w:asciiTheme="minorEastAsia" w:hAnsiTheme="minorEastAsia" w:eastAsiaTheme="minorEastAsia"/>
          <w:b/>
          <w:color w:val="auto"/>
          <w:sz w:val="24"/>
          <w:szCs w:val="24"/>
        </w:rPr>
      </w:pPr>
      <w:r>
        <w:rPr>
          <w:rFonts w:hint="eastAsia" w:asciiTheme="minorEastAsia" w:hAnsiTheme="minorEastAsia" w:eastAsiaTheme="minorEastAsia"/>
          <w:b/>
          <w:color w:val="auto"/>
          <w:sz w:val="24"/>
          <w:szCs w:val="24"/>
        </w:rPr>
        <w:t>3.</w:t>
      </w:r>
      <w:r>
        <w:rPr>
          <w:rFonts w:hint="eastAsia" w:ascii="宋体" w:hAnsi="宋体"/>
          <w:b/>
          <w:color w:val="auto"/>
          <w:sz w:val="24"/>
        </w:rPr>
        <w:t>后期配合EPC项目承包单位承担的施工图设计与施工服务阶段</w:t>
      </w:r>
    </w:p>
    <w:p>
      <w:pPr>
        <w:spacing w:line="360" w:lineRule="auto"/>
        <w:ind w:left="420" w:leftChars="200"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①配合</w:t>
      </w:r>
      <w:r>
        <w:rPr>
          <w:rFonts w:asciiTheme="minorEastAsia" w:hAnsiTheme="minorEastAsia" w:eastAsiaTheme="minorEastAsia"/>
          <w:color w:val="auto"/>
          <w:sz w:val="24"/>
          <w:szCs w:val="24"/>
        </w:rPr>
        <w:t>EPC项目承包单位承担的施工图设计，对比EPC项目承包单位完成的设计成果文件同乙方成果文件差异，并提交书面意见；</w:t>
      </w:r>
    </w:p>
    <w:p>
      <w:pPr>
        <w:spacing w:line="360" w:lineRule="auto"/>
        <w:ind w:left="420" w:leftChars="200"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②配合施工图设计阶段如立面效果修改、增加功能用房、局部功能变换等方案性的修改；</w:t>
      </w:r>
    </w:p>
    <w:p>
      <w:pPr>
        <w:spacing w:line="360" w:lineRule="auto"/>
        <w:ind w:left="420" w:leftChars="200"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③配合幕墙、室内装修设计、景观、泛光照明等专项设计，审核专项设计图纸；</w:t>
      </w:r>
    </w:p>
    <w:p>
      <w:pPr>
        <w:spacing w:line="360" w:lineRule="auto"/>
        <w:ind w:left="420" w:leftChars="200"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④协助甲方组织设计交底，配合施工图设计单位应用</w:t>
      </w:r>
      <w:r>
        <w:rPr>
          <w:rFonts w:asciiTheme="minorEastAsia" w:hAnsiTheme="minorEastAsia" w:eastAsiaTheme="minorEastAsia"/>
          <w:color w:val="auto"/>
          <w:sz w:val="24"/>
          <w:szCs w:val="24"/>
        </w:rPr>
        <w:t>BIM技术和方法完成结构、机电设备专业设计及设计BIM模型的创建、优化及信息汇总工作，保证BIM实施成果的传递和使用；</w:t>
      </w:r>
    </w:p>
    <w:p>
      <w:pPr>
        <w:spacing w:line="360" w:lineRule="auto"/>
        <w:ind w:left="420" w:leftChars="200"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⑤设计单位应配合甲方委托的</w:t>
      </w:r>
      <w:r>
        <w:rPr>
          <w:rFonts w:asciiTheme="minorEastAsia" w:hAnsiTheme="minorEastAsia" w:eastAsiaTheme="minorEastAsia"/>
          <w:color w:val="auto"/>
          <w:sz w:val="24"/>
          <w:szCs w:val="24"/>
        </w:rPr>
        <w:t>BIM第三方开展本项目BIM实施成果的检查工作；</w:t>
      </w:r>
    </w:p>
    <w:p>
      <w:pPr>
        <w:spacing w:line="360" w:lineRule="auto"/>
        <w:ind w:left="420" w:leftChars="200"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⑥配合甲方对主要材料设备进行选材定样；</w:t>
      </w:r>
    </w:p>
    <w:p>
      <w:pPr>
        <w:spacing w:line="360" w:lineRule="auto"/>
        <w:ind w:firstLine="960" w:firstLineChars="4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⑦施工过程中根据甲方要求对现场进行配合，对整体效果进行把控。</w:t>
      </w:r>
    </w:p>
    <w:p>
      <w:pPr>
        <w:spacing w:line="360" w:lineRule="auto"/>
        <w:ind w:firstLine="960" w:firstLineChars="400"/>
        <w:jc w:val="left"/>
        <w:rPr>
          <w:rFonts w:asciiTheme="minorEastAsia" w:hAnsiTheme="minorEastAsia" w:eastAsiaTheme="minorEastAsia"/>
          <w:b/>
          <w:color w:val="auto"/>
          <w:sz w:val="24"/>
          <w:szCs w:val="24"/>
        </w:rPr>
      </w:pPr>
      <w:r>
        <w:rPr>
          <w:rFonts w:hint="eastAsia" w:asciiTheme="minorEastAsia" w:hAnsiTheme="minorEastAsia" w:eastAsiaTheme="minorEastAsia"/>
          <w:color w:val="auto"/>
          <w:sz w:val="24"/>
          <w:szCs w:val="24"/>
        </w:rPr>
        <w:t>⑧施工服务阶段工作：提供后续工艺设计单位及施工图设计单位的配合工作，按招标人要求（如有）对已确认的方案设计、初步设计进行调整，并有对施工图设计成果评价和把控的责任。如施工服务阶段涉及重大设计方案变更，乙方须配合甲方及施工图设计单位做好相关工作”，以及“负责施工图设计文件和施工图深化设计文件审核（与使用需求的符合性、与方案设计和初步设计各专业的符合性及经济合理性、其他相关配套专业符合性等设计服务）。</w:t>
      </w:r>
      <w:bookmarkStart w:id="176" w:name="_Toc278231958"/>
      <w:bookmarkStart w:id="177" w:name="_Toc278309718"/>
      <w:r>
        <w:rPr>
          <w:rFonts w:hint="eastAsia" w:asciiTheme="minorEastAsia" w:hAnsiTheme="minorEastAsia" w:eastAsiaTheme="minorEastAsia"/>
          <w:b/>
          <w:color w:val="auto"/>
          <w:sz w:val="24"/>
          <w:szCs w:val="24"/>
        </w:rPr>
        <w:br w:type="page"/>
      </w:r>
      <w:r>
        <w:rPr>
          <w:rFonts w:hint="eastAsia" w:asciiTheme="minorEastAsia" w:hAnsiTheme="minorEastAsia" w:eastAsiaTheme="minorEastAsia"/>
          <w:b/>
          <w:color w:val="auto"/>
          <w:sz w:val="24"/>
          <w:szCs w:val="24"/>
        </w:rPr>
        <w:t>附件2：发包人向设计人提交有关资料及文件一览表</w:t>
      </w:r>
    </w:p>
    <w:p>
      <w:pPr>
        <w:spacing w:line="360" w:lineRule="auto"/>
        <w:jc w:val="center"/>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发包人向设计人提交有关资料及文件</w:t>
      </w:r>
      <w:bookmarkEnd w:id="176"/>
      <w:bookmarkEnd w:id="177"/>
      <w:r>
        <w:rPr>
          <w:rFonts w:hint="eastAsia" w:asciiTheme="minorEastAsia" w:hAnsiTheme="minorEastAsia" w:eastAsiaTheme="minorEastAsia"/>
          <w:color w:val="auto"/>
          <w:sz w:val="24"/>
          <w:szCs w:val="24"/>
        </w:rPr>
        <w:t>一览表</w:t>
      </w:r>
    </w:p>
    <w:p>
      <w:pPr>
        <w:spacing w:afterLines="50" w:line="360" w:lineRule="auto"/>
        <w:rPr>
          <w:rFonts w:cs="Courier New" w:asciiTheme="minorEastAsia" w:hAnsiTheme="minorEastAsia" w:eastAsiaTheme="minorEastAsia"/>
          <w:color w:val="auto"/>
          <w:sz w:val="24"/>
          <w:szCs w:val="24"/>
        </w:rPr>
      </w:pPr>
    </w:p>
    <w:tbl>
      <w:tblPr>
        <w:tblStyle w:val="5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8"/>
        <w:gridCol w:w="3785"/>
        <w:gridCol w:w="720"/>
        <w:gridCol w:w="2885"/>
        <w:gridCol w:w="1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7" w:hRule="atLeast"/>
        </w:trPr>
        <w:tc>
          <w:tcPr>
            <w:tcW w:w="638" w:type="dxa"/>
            <w:vAlign w:val="center"/>
          </w:tcPr>
          <w:p>
            <w:pPr>
              <w:spacing w:line="360" w:lineRule="auto"/>
              <w:jc w:val="center"/>
              <w:rPr>
                <w:rFonts w:asciiTheme="minorEastAsia" w:hAnsiTheme="minorEastAsia" w:eastAsiaTheme="minorEastAsia"/>
                <w:b/>
                <w:bCs/>
                <w:color w:val="auto"/>
                <w:sz w:val="24"/>
                <w:szCs w:val="24"/>
              </w:rPr>
            </w:pPr>
            <w:r>
              <w:rPr>
                <w:rFonts w:hint="eastAsia" w:asciiTheme="minorEastAsia" w:hAnsiTheme="minorEastAsia" w:eastAsiaTheme="minorEastAsia"/>
                <w:b/>
                <w:bCs/>
                <w:color w:val="auto"/>
                <w:sz w:val="24"/>
                <w:szCs w:val="24"/>
              </w:rPr>
              <w:t>序号</w:t>
            </w:r>
          </w:p>
        </w:tc>
        <w:tc>
          <w:tcPr>
            <w:tcW w:w="3785" w:type="dxa"/>
            <w:vAlign w:val="center"/>
          </w:tcPr>
          <w:p>
            <w:pPr>
              <w:spacing w:line="360" w:lineRule="auto"/>
              <w:jc w:val="center"/>
              <w:rPr>
                <w:rFonts w:asciiTheme="minorEastAsia" w:hAnsiTheme="minorEastAsia" w:eastAsiaTheme="minorEastAsia"/>
                <w:b/>
                <w:bCs/>
                <w:color w:val="auto"/>
                <w:sz w:val="24"/>
                <w:szCs w:val="24"/>
              </w:rPr>
            </w:pPr>
            <w:r>
              <w:rPr>
                <w:rFonts w:hint="eastAsia" w:asciiTheme="minorEastAsia" w:hAnsiTheme="minorEastAsia" w:eastAsiaTheme="minorEastAsia"/>
                <w:b/>
                <w:bCs/>
                <w:color w:val="auto"/>
                <w:sz w:val="24"/>
                <w:szCs w:val="24"/>
              </w:rPr>
              <w:t>资料及文件名称</w:t>
            </w:r>
          </w:p>
        </w:tc>
        <w:tc>
          <w:tcPr>
            <w:tcW w:w="720" w:type="dxa"/>
            <w:vAlign w:val="center"/>
          </w:tcPr>
          <w:p>
            <w:pPr>
              <w:spacing w:line="360" w:lineRule="auto"/>
              <w:jc w:val="center"/>
              <w:rPr>
                <w:rFonts w:asciiTheme="minorEastAsia" w:hAnsiTheme="minorEastAsia" w:eastAsiaTheme="minorEastAsia"/>
                <w:b/>
                <w:bCs/>
                <w:color w:val="auto"/>
                <w:sz w:val="24"/>
                <w:szCs w:val="24"/>
              </w:rPr>
            </w:pPr>
            <w:r>
              <w:rPr>
                <w:rFonts w:hint="eastAsia" w:asciiTheme="minorEastAsia" w:hAnsiTheme="minorEastAsia" w:eastAsiaTheme="minorEastAsia"/>
                <w:b/>
                <w:bCs/>
                <w:color w:val="auto"/>
                <w:sz w:val="24"/>
                <w:szCs w:val="24"/>
              </w:rPr>
              <w:t>份数</w:t>
            </w:r>
          </w:p>
        </w:tc>
        <w:tc>
          <w:tcPr>
            <w:tcW w:w="2885" w:type="dxa"/>
            <w:vAlign w:val="center"/>
          </w:tcPr>
          <w:p>
            <w:pPr>
              <w:spacing w:line="360" w:lineRule="auto"/>
              <w:jc w:val="center"/>
              <w:rPr>
                <w:rFonts w:asciiTheme="minorEastAsia" w:hAnsiTheme="minorEastAsia" w:eastAsiaTheme="minorEastAsia"/>
                <w:b/>
                <w:bCs/>
                <w:color w:val="auto"/>
                <w:sz w:val="24"/>
                <w:szCs w:val="24"/>
              </w:rPr>
            </w:pPr>
            <w:r>
              <w:rPr>
                <w:rFonts w:hint="eastAsia" w:asciiTheme="minorEastAsia" w:hAnsiTheme="minorEastAsia" w:eastAsiaTheme="minorEastAsia"/>
                <w:b/>
                <w:bCs/>
                <w:color w:val="auto"/>
                <w:sz w:val="24"/>
                <w:szCs w:val="24"/>
              </w:rPr>
              <w:t>提交日期</w:t>
            </w:r>
          </w:p>
        </w:tc>
        <w:tc>
          <w:tcPr>
            <w:tcW w:w="1087" w:type="dxa"/>
            <w:vAlign w:val="center"/>
          </w:tcPr>
          <w:p>
            <w:pPr>
              <w:spacing w:line="360" w:lineRule="auto"/>
              <w:jc w:val="center"/>
              <w:rPr>
                <w:rFonts w:asciiTheme="minorEastAsia" w:hAnsiTheme="minorEastAsia" w:eastAsiaTheme="minorEastAsia"/>
                <w:b/>
                <w:bCs/>
                <w:color w:val="auto"/>
                <w:sz w:val="24"/>
                <w:szCs w:val="24"/>
              </w:rPr>
            </w:pPr>
            <w:r>
              <w:rPr>
                <w:rFonts w:hint="eastAsia" w:asciiTheme="minorEastAsia" w:hAnsiTheme="minorEastAsia" w:eastAsiaTheme="minorEastAsia"/>
                <w:b/>
                <w:bCs/>
                <w:color w:val="auto"/>
                <w:sz w:val="24"/>
                <w:szCs w:val="24"/>
              </w:rPr>
              <w:t>有关事宜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trPr>
        <w:tc>
          <w:tcPr>
            <w:tcW w:w="638" w:type="dxa"/>
            <w:vAlign w:val="center"/>
          </w:tcPr>
          <w:p>
            <w:pPr>
              <w:spacing w:line="360" w:lineRule="auto"/>
              <w:jc w:val="center"/>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1</w:t>
            </w:r>
          </w:p>
        </w:tc>
        <w:tc>
          <w:tcPr>
            <w:tcW w:w="3785" w:type="dxa"/>
            <w:vAlign w:val="center"/>
          </w:tcPr>
          <w:p>
            <w:pPr>
              <w:spacing w:line="360" w:lineRule="auto"/>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项目立项报告和审批文件</w:t>
            </w:r>
          </w:p>
        </w:tc>
        <w:tc>
          <w:tcPr>
            <w:tcW w:w="720" w:type="dxa"/>
            <w:vAlign w:val="center"/>
          </w:tcPr>
          <w:p>
            <w:pPr>
              <w:spacing w:line="360" w:lineRule="auto"/>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各1</w:t>
            </w:r>
          </w:p>
        </w:tc>
        <w:tc>
          <w:tcPr>
            <w:tcW w:w="2885" w:type="dxa"/>
            <w:vAlign w:val="center"/>
          </w:tcPr>
          <w:p>
            <w:pPr>
              <w:spacing w:line="360" w:lineRule="auto"/>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方案开始3天前</w:t>
            </w:r>
          </w:p>
        </w:tc>
        <w:tc>
          <w:tcPr>
            <w:tcW w:w="1087" w:type="dxa"/>
            <w:vMerge w:val="restart"/>
            <w:vAlign w:val="center"/>
          </w:tcPr>
          <w:p>
            <w:pPr>
              <w:spacing w:line="360" w:lineRule="auto"/>
              <w:jc w:val="center"/>
              <w:rPr>
                <w:rFonts w:asciiTheme="minorEastAsia" w:hAnsiTheme="minorEastAsia" w:eastAsiaTheme="minorEastAsia"/>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trPr>
        <w:tc>
          <w:tcPr>
            <w:tcW w:w="638" w:type="dxa"/>
            <w:vAlign w:val="center"/>
          </w:tcPr>
          <w:p>
            <w:pPr>
              <w:spacing w:line="360" w:lineRule="auto"/>
              <w:jc w:val="center"/>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2</w:t>
            </w:r>
          </w:p>
        </w:tc>
        <w:tc>
          <w:tcPr>
            <w:tcW w:w="3785" w:type="dxa"/>
            <w:vAlign w:val="center"/>
          </w:tcPr>
          <w:p>
            <w:pPr>
              <w:spacing w:line="360" w:lineRule="auto"/>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发包人要求即设计任务书（含对建筑、结构、给水排水、暖通空调、建筑电气、总图等专业的具体要求）</w:t>
            </w:r>
          </w:p>
        </w:tc>
        <w:tc>
          <w:tcPr>
            <w:tcW w:w="720" w:type="dxa"/>
            <w:vAlign w:val="center"/>
          </w:tcPr>
          <w:p>
            <w:pPr>
              <w:spacing w:line="360" w:lineRule="auto"/>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1</w:t>
            </w:r>
          </w:p>
        </w:tc>
        <w:tc>
          <w:tcPr>
            <w:tcW w:w="2885" w:type="dxa"/>
            <w:vAlign w:val="center"/>
          </w:tcPr>
          <w:p>
            <w:pPr>
              <w:spacing w:line="360" w:lineRule="auto"/>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方案开始3天前</w:t>
            </w:r>
          </w:p>
        </w:tc>
        <w:tc>
          <w:tcPr>
            <w:tcW w:w="1087" w:type="dxa"/>
            <w:vMerge w:val="continue"/>
            <w:vAlign w:val="center"/>
          </w:tcPr>
          <w:p>
            <w:pPr>
              <w:spacing w:line="360" w:lineRule="auto"/>
              <w:jc w:val="center"/>
              <w:rPr>
                <w:rFonts w:asciiTheme="minorEastAsia" w:hAnsiTheme="minorEastAsia" w:eastAsiaTheme="minorEastAsia"/>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trPr>
        <w:tc>
          <w:tcPr>
            <w:tcW w:w="638" w:type="dxa"/>
            <w:vAlign w:val="center"/>
          </w:tcPr>
          <w:p>
            <w:pPr>
              <w:spacing w:line="360" w:lineRule="auto"/>
              <w:jc w:val="center"/>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3</w:t>
            </w:r>
          </w:p>
        </w:tc>
        <w:tc>
          <w:tcPr>
            <w:tcW w:w="3785" w:type="dxa"/>
            <w:vAlign w:val="center"/>
          </w:tcPr>
          <w:p>
            <w:pPr>
              <w:spacing w:line="360" w:lineRule="auto"/>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建筑红线图，建筑钉桩图</w:t>
            </w:r>
          </w:p>
        </w:tc>
        <w:tc>
          <w:tcPr>
            <w:tcW w:w="720" w:type="dxa"/>
            <w:vAlign w:val="center"/>
          </w:tcPr>
          <w:p>
            <w:pPr>
              <w:spacing w:line="360" w:lineRule="auto"/>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各1</w:t>
            </w:r>
          </w:p>
        </w:tc>
        <w:tc>
          <w:tcPr>
            <w:tcW w:w="2885" w:type="dxa"/>
            <w:vAlign w:val="center"/>
          </w:tcPr>
          <w:p>
            <w:pPr>
              <w:spacing w:line="360" w:lineRule="auto"/>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方案开始3天前</w:t>
            </w:r>
          </w:p>
        </w:tc>
        <w:tc>
          <w:tcPr>
            <w:tcW w:w="1087" w:type="dxa"/>
            <w:vMerge w:val="continue"/>
            <w:vAlign w:val="center"/>
          </w:tcPr>
          <w:p>
            <w:pPr>
              <w:spacing w:line="360" w:lineRule="auto"/>
              <w:jc w:val="center"/>
              <w:rPr>
                <w:rFonts w:asciiTheme="minorEastAsia" w:hAnsiTheme="minorEastAsia" w:eastAsiaTheme="minorEastAsia"/>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trPr>
        <w:tc>
          <w:tcPr>
            <w:tcW w:w="638" w:type="dxa"/>
            <w:vAlign w:val="center"/>
          </w:tcPr>
          <w:p>
            <w:pPr>
              <w:spacing w:line="360" w:lineRule="auto"/>
              <w:jc w:val="center"/>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4</w:t>
            </w:r>
          </w:p>
        </w:tc>
        <w:tc>
          <w:tcPr>
            <w:tcW w:w="3785" w:type="dxa"/>
            <w:vAlign w:val="center"/>
          </w:tcPr>
          <w:p>
            <w:pPr>
              <w:spacing w:line="360" w:lineRule="auto"/>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当地规划部门的规划意见书</w:t>
            </w:r>
          </w:p>
        </w:tc>
        <w:tc>
          <w:tcPr>
            <w:tcW w:w="720" w:type="dxa"/>
            <w:vAlign w:val="center"/>
          </w:tcPr>
          <w:p>
            <w:pPr>
              <w:spacing w:line="360" w:lineRule="auto"/>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1</w:t>
            </w:r>
          </w:p>
        </w:tc>
        <w:tc>
          <w:tcPr>
            <w:tcW w:w="2885" w:type="dxa"/>
            <w:vAlign w:val="center"/>
          </w:tcPr>
          <w:p>
            <w:pPr>
              <w:spacing w:line="360" w:lineRule="auto"/>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方案开始3天前</w:t>
            </w:r>
          </w:p>
        </w:tc>
        <w:tc>
          <w:tcPr>
            <w:tcW w:w="1087" w:type="dxa"/>
            <w:vMerge w:val="continue"/>
            <w:vAlign w:val="center"/>
          </w:tcPr>
          <w:p>
            <w:pPr>
              <w:spacing w:line="360" w:lineRule="auto"/>
              <w:jc w:val="center"/>
              <w:rPr>
                <w:rFonts w:asciiTheme="minorEastAsia" w:hAnsiTheme="minorEastAsia" w:eastAsiaTheme="minorEastAsia"/>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trPr>
        <w:tc>
          <w:tcPr>
            <w:tcW w:w="638" w:type="dxa"/>
            <w:vAlign w:val="center"/>
          </w:tcPr>
          <w:p>
            <w:pPr>
              <w:spacing w:line="360" w:lineRule="auto"/>
              <w:jc w:val="center"/>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5</w:t>
            </w:r>
          </w:p>
        </w:tc>
        <w:tc>
          <w:tcPr>
            <w:tcW w:w="3785" w:type="dxa"/>
            <w:vAlign w:val="center"/>
          </w:tcPr>
          <w:p>
            <w:pPr>
              <w:spacing w:line="360" w:lineRule="auto"/>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工程勘察报告</w:t>
            </w:r>
          </w:p>
        </w:tc>
        <w:tc>
          <w:tcPr>
            <w:tcW w:w="720" w:type="dxa"/>
            <w:vAlign w:val="center"/>
          </w:tcPr>
          <w:p>
            <w:pPr>
              <w:spacing w:line="360" w:lineRule="auto"/>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2</w:t>
            </w:r>
          </w:p>
        </w:tc>
        <w:tc>
          <w:tcPr>
            <w:tcW w:w="2885" w:type="dxa"/>
            <w:vAlign w:val="center"/>
          </w:tcPr>
          <w:p>
            <w:pPr>
              <w:spacing w:line="360" w:lineRule="auto"/>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方案设计开始前3天提供初步勘察报告；初步设计开始3天前提供详细勘察报告</w:t>
            </w:r>
          </w:p>
        </w:tc>
        <w:tc>
          <w:tcPr>
            <w:tcW w:w="1087" w:type="dxa"/>
            <w:vMerge w:val="continue"/>
            <w:vAlign w:val="center"/>
          </w:tcPr>
          <w:p>
            <w:pPr>
              <w:spacing w:line="360" w:lineRule="auto"/>
              <w:jc w:val="center"/>
              <w:rPr>
                <w:rFonts w:asciiTheme="minorEastAsia" w:hAnsiTheme="minorEastAsia" w:eastAsiaTheme="minorEastAsia"/>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trPr>
        <w:tc>
          <w:tcPr>
            <w:tcW w:w="638" w:type="dxa"/>
            <w:vAlign w:val="center"/>
          </w:tcPr>
          <w:p>
            <w:pPr>
              <w:spacing w:line="360" w:lineRule="auto"/>
              <w:jc w:val="center"/>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6</w:t>
            </w:r>
          </w:p>
        </w:tc>
        <w:tc>
          <w:tcPr>
            <w:tcW w:w="3785" w:type="dxa"/>
            <w:vAlign w:val="center"/>
          </w:tcPr>
          <w:p>
            <w:pPr>
              <w:spacing w:line="360" w:lineRule="auto"/>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各阶段主管部门的审批意见</w:t>
            </w:r>
          </w:p>
        </w:tc>
        <w:tc>
          <w:tcPr>
            <w:tcW w:w="720" w:type="dxa"/>
            <w:vAlign w:val="center"/>
          </w:tcPr>
          <w:p>
            <w:pPr>
              <w:spacing w:line="360" w:lineRule="auto"/>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1</w:t>
            </w:r>
          </w:p>
        </w:tc>
        <w:tc>
          <w:tcPr>
            <w:tcW w:w="2885" w:type="dxa"/>
            <w:vAlign w:val="center"/>
          </w:tcPr>
          <w:p>
            <w:pPr>
              <w:spacing w:line="360" w:lineRule="auto"/>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下一个阶段设计开始3天前提供上一个阶段审批意见</w:t>
            </w:r>
          </w:p>
        </w:tc>
        <w:tc>
          <w:tcPr>
            <w:tcW w:w="1087" w:type="dxa"/>
            <w:vMerge w:val="continue"/>
            <w:vAlign w:val="center"/>
          </w:tcPr>
          <w:p>
            <w:pPr>
              <w:spacing w:line="360" w:lineRule="auto"/>
              <w:jc w:val="center"/>
              <w:rPr>
                <w:rFonts w:asciiTheme="minorEastAsia" w:hAnsiTheme="minorEastAsia" w:eastAsiaTheme="minorEastAsia"/>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trPr>
        <w:tc>
          <w:tcPr>
            <w:tcW w:w="638" w:type="dxa"/>
            <w:vAlign w:val="center"/>
          </w:tcPr>
          <w:p>
            <w:pPr>
              <w:spacing w:line="360" w:lineRule="auto"/>
              <w:jc w:val="center"/>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7</w:t>
            </w:r>
          </w:p>
        </w:tc>
        <w:tc>
          <w:tcPr>
            <w:tcW w:w="3785" w:type="dxa"/>
            <w:vAlign w:val="center"/>
          </w:tcPr>
          <w:p>
            <w:pPr>
              <w:spacing w:line="360" w:lineRule="auto"/>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方案设计确认单（含初设开工令）</w:t>
            </w:r>
          </w:p>
        </w:tc>
        <w:tc>
          <w:tcPr>
            <w:tcW w:w="720" w:type="dxa"/>
            <w:vAlign w:val="center"/>
          </w:tcPr>
          <w:p>
            <w:pPr>
              <w:spacing w:line="360" w:lineRule="auto"/>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1</w:t>
            </w:r>
          </w:p>
        </w:tc>
        <w:tc>
          <w:tcPr>
            <w:tcW w:w="2885" w:type="dxa"/>
            <w:vAlign w:val="center"/>
          </w:tcPr>
          <w:p>
            <w:pPr>
              <w:spacing w:line="360" w:lineRule="auto"/>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初步设计开始3天前</w:t>
            </w:r>
          </w:p>
        </w:tc>
        <w:tc>
          <w:tcPr>
            <w:tcW w:w="1087" w:type="dxa"/>
            <w:vMerge w:val="continue"/>
            <w:vAlign w:val="center"/>
          </w:tcPr>
          <w:p>
            <w:pPr>
              <w:spacing w:line="360" w:lineRule="auto"/>
              <w:jc w:val="center"/>
              <w:rPr>
                <w:rFonts w:asciiTheme="minorEastAsia" w:hAnsiTheme="minorEastAsia" w:eastAsiaTheme="minorEastAsia"/>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trPr>
        <w:tc>
          <w:tcPr>
            <w:tcW w:w="638" w:type="dxa"/>
            <w:vAlign w:val="center"/>
          </w:tcPr>
          <w:p>
            <w:pPr>
              <w:spacing w:line="360" w:lineRule="auto"/>
              <w:jc w:val="center"/>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8</w:t>
            </w:r>
          </w:p>
        </w:tc>
        <w:tc>
          <w:tcPr>
            <w:tcW w:w="3785" w:type="dxa"/>
            <w:vAlign w:val="center"/>
          </w:tcPr>
          <w:p>
            <w:pPr>
              <w:spacing w:line="360" w:lineRule="auto"/>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工程所在地地形图（1/500）电子版及区域位置图</w:t>
            </w:r>
          </w:p>
        </w:tc>
        <w:tc>
          <w:tcPr>
            <w:tcW w:w="720" w:type="dxa"/>
            <w:vAlign w:val="center"/>
          </w:tcPr>
          <w:p>
            <w:pPr>
              <w:spacing w:line="360" w:lineRule="auto"/>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1</w:t>
            </w:r>
          </w:p>
        </w:tc>
        <w:tc>
          <w:tcPr>
            <w:tcW w:w="2885" w:type="dxa"/>
            <w:vAlign w:val="center"/>
          </w:tcPr>
          <w:p>
            <w:pPr>
              <w:spacing w:line="360" w:lineRule="auto"/>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初步设计开始3天前</w:t>
            </w:r>
          </w:p>
        </w:tc>
        <w:tc>
          <w:tcPr>
            <w:tcW w:w="1087" w:type="dxa"/>
            <w:vMerge w:val="continue"/>
            <w:vAlign w:val="center"/>
          </w:tcPr>
          <w:p>
            <w:pPr>
              <w:spacing w:line="360" w:lineRule="auto"/>
              <w:jc w:val="center"/>
              <w:rPr>
                <w:rFonts w:asciiTheme="minorEastAsia" w:hAnsiTheme="minorEastAsia" w:eastAsiaTheme="minorEastAsia"/>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trPr>
        <w:tc>
          <w:tcPr>
            <w:tcW w:w="638" w:type="dxa"/>
            <w:vAlign w:val="center"/>
          </w:tcPr>
          <w:p>
            <w:pPr>
              <w:spacing w:line="360" w:lineRule="auto"/>
              <w:jc w:val="center"/>
              <w:rPr>
                <w:rFonts w:asciiTheme="minorEastAsia" w:hAnsiTheme="minorEastAsia" w:eastAsiaTheme="minorEastAsia"/>
                <w:strike/>
                <w:color w:val="auto"/>
                <w:sz w:val="24"/>
                <w:szCs w:val="24"/>
              </w:rPr>
            </w:pPr>
            <w:r>
              <w:rPr>
                <w:rFonts w:asciiTheme="minorEastAsia" w:hAnsiTheme="minorEastAsia" w:eastAsiaTheme="minorEastAsia"/>
                <w:strike/>
                <w:color w:val="auto"/>
                <w:sz w:val="24"/>
                <w:szCs w:val="24"/>
              </w:rPr>
              <w:t>9</w:t>
            </w:r>
          </w:p>
        </w:tc>
        <w:tc>
          <w:tcPr>
            <w:tcW w:w="3785" w:type="dxa"/>
            <w:vAlign w:val="center"/>
          </w:tcPr>
          <w:p>
            <w:pPr>
              <w:spacing w:line="360" w:lineRule="auto"/>
              <w:rPr>
                <w:rFonts w:asciiTheme="minorEastAsia" w:hAnsiTheme="minorEastAsia" w:eastAsiaTheme="minorEastAsia"/>
                <w:strike/>
                <w:color w:val="auto"/>
                <w:sz w:val="24"/>
                <w:szCs w:val="24"/>
              </w:rPr>
            </w:pPr>
            <w:r>
              <w:rPr>
                <w:rFonts w:hint="eastAsia" w:asciiTheme="minorEastAsia" w:hAnsiTheme="minorEastAsia" w:eastAsiaTheme="minorEastAsia"/>
                <w:strike/>
                <w:color w:val="auto"/>
                <w:sz w:val="24"/>
                <w:szCs w:val="24"/>
              </w:rPr>
              <w:t>初步设计确认单（含施工图开工令）</w:t>
            </w:r>
          </w:p>
        </w:tc>
        <w:tc>
          <w:tcPr>
            <w:tcW w:w="720" w:type="dxa"/>
            <w:vAlign w:val="center"/>
          </w:tcPr>
          <w:p>
            <w:pPr>
              <w:spacing w:line="360" w:lineRule="auto"/>
              <w:rPr>
                <w:rFonts w:asciiTheme="minorEastAsia" w:hAnsiTheme="minorEastAsia" w:eastAsiaTheme="minorEastAsia"/>
                <w:strike/>
                <w:color w:val="auto"/>
                <w:sz w:val="24"/>
                <w:szCs w:val="24"/>
              </w:rPr>
            </w:pPr>
            <w:r>
              <w:rPr>
                <w:rFonts w:asciiTheme="minorEastAsia" w:hAnsiTheme="minorEastAsia" w:eastAsiaTheme="minorEastAsia"/>
                <w:strike/>
                <w:color w:val="auto"/>
                <w:sz w:val="24"/>
                <w:szCs w:val="24"/>
              </w:rPr>
              <w:t>1</w:t>
            </w:r>
          </w:p>
        </w:tc>
        <w:tc>
          <w:tcPr>
            <w:tcW w:w="2885" w:type="dxa"/>
            <w:vAlign w:val="center"/>
          </w:tcPr>
          <w:p>
            <w:pPr>
              <w:spacing w:line="360" w:lineRule="auto"/>
              <w:rPr>
                <w:rFonts w:asciiTheme="minorEastAsia" w:hAnsiTheme="minorEastAsia" w:eastAsiaTheme="minorEastAsia"/>
                <w:strike/>
                <w:color w:val="auto"/>
                <w:sz w:val="24"/>
                <w:szCs w:val="24"/>
              </w:rPr>
            </w:pPr>
            <w:r>
              <w:rPr>
                <w:rFonts w:hint="eastAsia" w:asciiTheme="minorEastAsia" w:hAnsiTheme="minorEastAsia" w:eastAsiaTheme="minorEastAsia"/>
                <w:strike/>
                <w:color w:val="auto"/>
                <w:sz w:val="24"/>
                <w:szCs w:val="24"/>
              </w:rPr>
              <w:t>施工图设计开始</w:t>
            </w:r>
            <w:r>
              <w:rPr>
                <w:rFonts w:asciiTheme="minorEastAsia" w:hAnsiTheme="minorEastAsia" w:eastAsiaTheme="minorEastAsia"/>
                <w:strike/>
                <w:color w:val="auto"/>
                <w:sz w:val="24"/>
                <w:szCs w:val="24"/>
              </w:rPr>
              <w:t>3天前</w:t>
            </w:r>
          </w:p>
        </w:tc>
        <w:tc>
          <w:tcPr>
            <w:tcW w:w="1087" w:type="dxa"/>
            <w:vMerge w:val="continue"/>
            <w:vAlign w:val="center"/>
          </w:tcPr>
          <w:p>
            <w:pPr>
              <w:spacing w:line="360" w:lineRule="auto"/>
              <w:jc w:val="center"/>
              <w:rPr>
                <w:rFonts w:asciiTheme="minorEastAsia" w:hAnsiTheme="minorEastAsia" w:eastAsiaTheme="minorEastAsia"/>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trPr>
        <w:tc>
          <w:tcPr>
            <w:tcW w:w="638" w:type="dxa"/>
            <w:vAlign w:val="center"/>
          </w:tcPr>
          <w:p>
            <w:pPr>
              <w:spacing w:line="360" w:lineRule="auto"/>
              <w:jc w:val="center"/>
              <w:rPr>
                <w:rFonts w:asciiTheme="minorEastAsia" w:hAnsiTheme="minorEastAsia" w:eastAsiaTheme="minorEastAsia"/>
                <w:strike/>
                <w:color w:val="auto"/>
                <w:sz w:val="24"/>
                <w:szCs w:val="24"/>
              </w:rPr>
            </w:pPr>
            <w:r>
              <w:rPr>
                <w:rFonts w:asciiTheme="minorEastAsia" w:hAnsiTheme="minorEastAsia" w:eastAsiaTheme="minorEastAsia"/>
                <w:strike/>
                <w:color w:val="auto"/>
                <w:sz w:val="24"/>
                <w:szCs w:val="24"/>
              </w:rPr>
              <w:t>10</w:t>
            </w:r>
          </w:p>
        </w:tc>
        <w:tc>
          <w:tcPr>
            <w:tcW w:w="3785" w:type="dxa"/>
            <w:vAlign w:val="center"/>
          </w:tcPr>
          <w:p>
            <w:pPr>
              <w:spacing w:line="360" w:lineRule="auto"/>
              <w:rPr>
                <w:rFonts w:asciiTheme="minorEastAsia" w:hAnsiTheme="minorEastAsia" w:eastAsiaTheme="minorEastAsia"/>
                <w:strike/>
                <w:color w:val="auto"/>
                <w:sz w:val="24"/>
                <w:szCs w:val="24"/>
              </w:rPr>
            </w:pPr>
            <w:r>
              <w:rPr>
                <w:rFonts w:hint="eastAsia" w:asciiTheme="minorEastAsia" w:hAnsiTheme="minorEastAsia" w:eastAsiaTheme="minorEastAsia"/>
                <w:strike/>
                <w:color w:val="auto"/>
                <w:sz w:val="24"/>
                <w:szCs w:val="24"/>
              </w:rPr>
              <w:t>施工图审查合格意见书</w:t>
            </w:r>
          </w:p>
        </w:tc>
        <w:tc>
          <w:tcPr>
            <w:tcW w:w="720" w:type="dxa"/>
            <w:vAlign w:val="center"/>
          </w:tcPr>
          <w:p>
            <w:pPr>
              <w:spacing w:line="360" w:lineRule="auto"/>
              <w:rPr>
                <w:rFonts w:asciiTheme="minorEastAsia" w:hAnsiTheme="minorEastAsia" w:eastAsiaTheme="minorEastAsia"/>
                <w:strike/>
                <w:color w:val="auto"/>
                <w:sz w:val="24"/>
                <w:szCs w:val="24"/>
              </w:rPr>
            </w:pPr>
            <w:r>
              <w:rPr>
                <w:rFonts w:asciiTheme="minorEastAsia" w:hAnsiTheme="minorEastAsia" w:eastAsiaTheme="minorEastAsia"/>
                <w:strike/>
                <w:color w:val="auto"/>
                <w:sz w:val="24"/>
                <w:szCs w:val="24"/>
              </w:rPr>
              <w:t>1</w:t>
            </w:r>
          </w:p>
        </w:tc>
        <w:tc>
          <w:tcPr>
            <w:tcW w:w="2885" w:type="dxa"/>
            <w:vAlign w:val="center"/>
          </w:tcPr>
          <w:p>
            <w:pPr>
              <w:spacing w:line="360" w:lineRule="auto"/>
              <w:rPr>
                <w:rFonts w:asciiTheme="minorEastAsia" w:hAnsiTheme="minorEastAsia" w:eastAsiaTheme="minorEastAsia"/>
                <w:strike/>
                <w:color w:val="auto"/>
                <w:sz w:val="24"/>
                <w:szCs w:val="24"/>
              </w:rPr>
            </w:pPr>
            <w:r>
              <w:rPr>
                <w:rFonts w:hint="eastAsia" w:asciiTheme="minorEastAsia" w:hAnsiTheme="minorEastAsia" w:eastAsiaTheme="minorEastAsia"/>
                <w:strike/>
                <w:color w:val="auto"/>
                <w:sz w:val="24"/>
                <w:szCs w:val="24"/>
              </w:rPr>
              <w:t>施工图审查通过后</w:t>
            </w:r>
            <w:r>
              <w:rPr>
                <w:rFonts w:asciiTheme="minorEastAsia" w:hAnsiTheme="minorEastAsia" w:eastAsiaTheme="minorEastAsia"/>
                <w:strike/>
                <w:color w:val="auto"/>
                <w:sz w:val="24"/>
                <w:szCs w:val="24"/>
              </w:rPr>
              <w:t>5天内</w:t>
            </w:r>
          </w:p>
        </w:tc>
        <w:tc>
          <w:tcPr>
            <w:tcW w:w="1087" w:type="dxa"/>
            <w:vMerge w:val="continue"/>
            <w:vAlign w:val="center"/>
          </w:tcPr>
          <w:p>
            <w:pPr>
              <w:spacing w:line="360" w:lineRule="auto"/>
              <w:jc w:val="center"/>
              <w:rPr>
                <w:rFonts w:asciiTheme="minorEastAsia" w:hAnsiTheme="minorEastAsia" w:eastAsiaTheme="minorEastAsia"/>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trPr>
        <w:tc>
          <w:tcPr>
            <w:tcW w:w="638" w:type="dxa"/>
            <w:vAlign w:val="center"/>
          </w:tcPr>
          <w:p>
            <w:pPr>
              <w:spacing w:line="360" w:lineRule="auto"/>
              <w:jc w:val="center"/>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11</w:t>
            </w:r>
          </w:p>
        </w:tc>
        <w:tc>
          <w:tcPr>
            <w:tcW w:w="3785" w:type="dxa"/>
            <w:vAlign w:val="center"/>
          </w:tcPr>
          <w:p>
            <w:pPr>
              <w:spacing w:line="360" w:lineRule="auto"/>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市政条件（包括给排水、暖通、电力、道路、热力、通讯等）</w:t>
            </w:r>
          </w:p>
        </w:tc>
        <w:tc>
          <w:tcPr>
            <w:tcW w:w="720" w:type="dxa"/>
            <w:vAlign w:val="center"/>
          </w:tcPr>
          <w:p>
            <w:pPr>
              <w:spacing w:line="360" w:lineRule="auto"/>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1</w:t>
            </w:r>
          </w:p>
        </w:tc>
        <w:tc>
          <w:tcPr>
            <w:tcW w:w="2885" w:type="dxa"/>
            <w:vAlign w:val="center"/>
          </w:tcPr>
          <w:p>
            <w:pPr>
              <w:spacing w:line="360" w:lineRule="auto"/>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方案设计开始3天前</w:t>
            </w:r>
          </w:p>
        </w:tc>
        <w:tc>
          <w:tcPr>
            <w:tcW w:w="1087" w:type="dxa"/>
            <w:vMerge w:val="continue"/>
            <w:vAlign w:val="center"/>
          </w:tcPr>
          <w:p>
            <w:pPr>
              <w:spacing w:line="360" w:lineRule="auto"/>
              <w:jc w:val="center"/>
              <w:rPr>
                <w:rFonts w:asciiTheme="minorEastAsia" w:hAnsiTheme="minorEastAsia" w:eastAsiaTheme="minorEastAsia"/>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trPr>
        <w:tc>
          <w:tcPr>
            <w:tcW w:w="638" w:type="dxa"/>
            <w:vAlign w:val="center"/>
          </w:tcPr>
          <w:p>
            <w:pPr>
              <w:spacing w:line="360" w:lineRule="auto"/>
              <w:jc w:val="center"/>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12</w:t>
            </w:r>
          </w:p>
        </w:tc>
        <w:tc>
          <w:tcPr>
            <w:tcW w:w="3785" w:type="dxa"/>
            <w:vAlign w:val="center"/>
          </w:tcPr>
          <w:p>
            <w:pPr>
              <w:spacing w:line="360" w:lineRule="auto"/>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其它设计资料</w:t>
            </w:r>
          </w:p>
        </w:tc>
        <w:tc>
          <w:tcPr>
            <w:tcW w:w="720" w:type="dxa"/>
            <w:vAlign w:val="center"/>
          </w:tcPr>
          <w:p>
            <w:pPr>
              <w:spacing w:line="360" w:lineRule="auto"/>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1</w:t>
            </w:r>
          </w:p>
        </w:tc>
        <w:tc>
          <w:tcPr>
            <w:tcW w:w="2885" w:type="dxa"/>
            <w:vAlign w:val="center"/>
          </w:tcPr>
          <w:p>
            <w:pPr>
              <w:spacing w:line="360" w:lineRule="auto"/>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各设计阶段设计开始3天前</w:t>
            </w:r>
          </w:p>
        </w:tc>
        <w:tc>
          <w:tcPr>
            <w:tcW w:w="1087" w:type="dxa"/>
            <w:vMerge w:val="continue"/>
            <w:vAlign w:val="center"/>
          </w:tcPr>
          <w:p>
            <w:pPr>
              <w:spacing w:line="360" w:lineRule="auto"/>
              <w:jc w:val="center"/>
              <w:rPr>
                <w:rFonts w:asciiTheme="minorEastAsia" w:hAnsiTheme="minorEastAsia" w:eastAsiaTheme="minorEastAsia"/>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trPr>
        <w:tc>
          <w:tcPr>
            <w:tcW w:w="638" w:type="dxa"/>
            <w:vAlign w:val="center"/>
          </w:tcPr>
          <w:p>
            <w:pPr>
              <w:spacing w:line="360" w:lineRule="auto"/>
              <w:jc w:val="center"/>
              <w:rPr>
                <w:rFonts w:asciiTheme="minorEastAsia" w:hAnsiTheme="minorEastAsia" w:eastAsiaTheme="minorEastAsia"/>
                <w:strike/>
                <w:color w:val="auto"/>
                <w:sz w:val="24"/>
                <w:szCs w:val="24"/>
              </w:rPr>
            </w:pPr>
            <w:r>
              <w:rPr>
                <w:rFonts w:asciiTheme="minorEastAsia" w:hAnsiTheme="minorEastAsia" w:eastAsiaTheme="minorEastAsia"/>
                <w:strike/>
                <w:color w:val="auto"/>
                <w:sz w:val="24"/>
                <w:szCs w:val="24"/>
              </w:rPr>
              <w:t>13</w:t>
            </w:r>
          </w:p>
        </w:tc>
        <w:tc>
          <w:tcPr>
            <w:tcW w:w="3785" w:type="dxa"/>
            <w:vAlign w:val="center"/>
          </w:tcPr>
          <w:p>
            <w:pPr>
              <w:spacing w:line="360" w:lineRule="auto"/>
              <w:rPr>
                <w:rFonts w:asciiTheme="minorEastAsia" w:hAnsiTheme="minorEastAsia" w:eastAsiaTheme="minorEastAsia"/>
                <w:strike/>
                <w:color w:val="auto"/>
                <w:sz w:val="24"/>
                <w:szCs w:val="24"/>
              </w:rPr>
            </w:pPr>
            <w:r>
              <w:rPr>
                <w:rFonts w:hint="eastAsia" w:asciiTheme="minorEastAsia" w:hAnsiTheme="minorEastAsia" w:eastAsiaTheme="minorEastAsia"/>
                <w:strike/>
                <w:color w:val="auto"/>
                <w:sz w:val="24"/>
                <w:szCs w:val="24"/>
              </w:rPr>
              <w:t>竣工验收报告</w:t>
            </w:r>
          </w:p>
        </w:tc>
        <w:tc>
          <w:tcPr>
            <w:tcW w:w="720" w:type="dxa"/>
            <w:vAlign w:val="center"/>
          </w:tcPr>
          <w:p>
            <w:pPr>
              <w:spacing w:line="360" w:lineRule="auto"/>
              <w:rPr>
                <w:rFonts w:asciiTheme="minorEastAsia" w:hAnsiTheme="minorEastAsia" w:eastAsiaTheme="minorEastAsia"/>
                <w:strike/>
                <w:color w:val="auto"/>
                <w:sz w:val="24"/>
                <w:szCs w:val="24"/>
              </w:rPr>
            </w:pPr>
            <w:r>
              <w:rPr>
                <w:rFonts w:asciiTheme="minorEastAsia" w:hAnsiTheme="minorEastAsia" w:eastAsiaTheme="minorEastAsia"/>
                <w:strike/>
                <w:color w:val="auto"/>
                <w:sz w:val="24"/>
                <w:szCs w:val="24"/>
              </w:rPr>
              <w:t>1</w:t>
            </w:r>
          </w:p>
        </w:tc>
        <w:tc>
          <w:tcPr>
            <w:tcW w:w="2885" w:type="dxa"/>
            <w:vAlign w:val="center"/>
          </w:tcPr>
          <w:p>
            <w:pPr>
              <w:spacing w:line="360" w:lineRule="auto"/>
              <w:rPr>
                <w:rFonts w:asciiTheme="minorEastAsia" w:hAnsiTheme="minorEastAsia" w:eastAsiaTheme="minorEastAsia"/>
                <w:strike/>
                <w:color w:val="auto"/>
                <w:sz w:val="24"/>
                <w:szCs w:val="24"/>
              </w:rPr>
            </w:pPr>
            <w:r>
              <w:rPr>
                <w:rFonts w:hint="eastAsia" w:asciiTheme="minorEastAsia" w:hAnsiTheme="minorEastAsia" w:eastAsiaTheme="minorEastAsia"/>
                <w:strike/>
                <w:color w:val="auto"/>
                <w:sz w:val="24"/>
                <w:szCs w:val="24"/>
              </w:rPr>
              <w:t>工程竣工验收通过后</w:t>
            </w:r>
            <w:r>
              <w:rPr>
                <w:rFonts w:asciiTheme="minorEastAsia" w:hAnsiTheme="minorEastAsia" w:eastAsiaTheme="minorEastAsia"/>
                <w:strike/>
                <w:color w:val="auto"/>
                <w:sz w:val="24"/>
                <w:szCs w:val="24"/>
              </w:rPr>
              <w:t>5天内</w:t>
            </w:r>
          </w:p>
        </w:tc>
        <w:tc>
          <w:tcPr>
            <w:tcW w:w="1087" w:type="dxa"/>
            <w:vMerge w:val="continue"/>
            <w:vAlign w:val="center"/>
          </w:tcPr>
          <w:p>
            <w:pPr>
              <w:spacing w:line="360" w:lineRule="auto"/>
              <w:jc w:val="center"/>
              <w:rPr>
                <w:rFonts w:asciiTheme="minorEastAsia" w:hAnsiTheme="minorEastAsia" w:eastAsiaTheme="minorEastAsia"/>
                <w:color w:val="auto"/>
                <w:sz w:val="24"/>
                <w:szCs w:val="24"/>
              </w:rPr>
            </w:pPr>
          </w:p>
        </w:tc>
      </w:tr>
    </w:tbl>
    <w:p>
      <w:pPr>
        <w:spacing w:afterLines="50" w:line="360" w:lineRule="auto"/>
        <w:rPr>
          <w:rFonts w:asciiTheme="minorEastAsia" w:hAnsiTheme="minorEastAsia" w:eastAsiaTheme="minorEastAsia"/>
          <w:bCs/>
          <w:color w:val="auto"/>
          <w:kern w:val="0"/>
          <w:sz w:val="24"/>
          <w:szCs w:val="24"/>
        </w:rPr>
      </w:pPr>
      <w:bookmarkStart w:id="178" w:name="_Toc278309719"/>
      <w:bookmarkStart w:id="179" w:name="_Toc278231959"/>
      <w:r>
        <w:rPr>
          <w:rFonts w:hint="eastAsia" w:cs="Courier New" w:asciiTheme="minorEastAsia" w:hAnsiTheme="minorEastAsia" w:eastAsiaTheme="minorEastAsia"/>
          <w:color w:val="auto"/>
          <w:kern w:val="0"/>
          <w:sz w:val="24"/>
          <w:szCs w:val="24"/>
        </w:rPr>
        <w:t>（上表内容仅供参考，发包人和设计人应当根据项目具体情况详细列举）</w:t>
      </w:r>
    </w:p>
    <w:p>
      <w:pPr>
        <w:widowControl/>
        <w:jc w:val="left"/>
        <w:rPr>
          <w:rFonts w:asciiTheme="minorEastAsia" w:hAnsiTheme="minorEastAsia" w:eastAsiaTheme="minorEastAsia"/>
          <w:b/>
          <w:color w:val="auto"/>
          <w:sz w:val="24"/>
          <w:szCs w:val="24"/>
        </w:rPr>
      </w:pPr>
      <w:r>
        <w:rPr>
          <w:rFonts w:asciiTheme="minorEastAsia" w:hAnsiTheme="minorEastAsia" w:eastAsiaTheme="minorEastAsia"/>
          <w:b/>
          <w:color w:val="auto"/>
          <w:sz w:val="24"/>
          <w:szCs w:val="24"/>
        </w:rPr>
        <w:br w:type="page"/>
      </w:r>
    </w:p>
    <w:p>
      <w:pPr>
        <w:spacing w:line="360" w:lineRule="auto"/>
        <w:jc w:val="left"/>
        <w:rPr>
          <w:rFonts w:asciiTheme="minorEastAsia" w:hAnsiTheme="minorEastAsia" w:eastAsiaTheme="minorEastAsia"/>
          <w:b/>
          <w:color w:val="auto"/>
          <w:sz w:val="24"/>
          <w:szCs w:val="24"/>
        </w:rPr>
      </w:pPr>
      <w:r>
        <w:rPr>
          <w:rFonts w:hint="eastAsia" w:asciiTheme="minorEastAsia" w:hAnsiTheme="minorEastAsia" w:eastAsiaTheme="minorEastAsia"/>
          <w:b/>
          <w:color w:val="auto"/>
          <w:sz w:val="24"/>
          <w:szCs w:val="24"/>
        </w:rPr>
        <w:t>附件3 ：各阶段、各版次设计成果文件组成及要求</w:t>
      </w:r>
    </w:p>
    <w:p>
      <w:pPr>
        <w:spacing w:line="360" w:lineRule="auto"/>
        <w:jc w:val="center"/>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各阶段、各版次设计成果文件组成及要求</w:t>
      </w:r>
      <w:bookmarkEnd w:id="178"/>
      <w:bookmarkEnd w:id="179"/>
    </w:p>
    <w:p>
      <w:pPr>
        <w:spacing w:line="360" w:lineRule="auto"/>
        <w:ind w:firstLine="480" w:firstLineChars="200"/>
        <w:rPr>
          <w:rFonts w:asciiTheme="minorEastAsia" w:hAnsiTheme="minorEastAsia" w:eastAsiaTheme="minorEastAsia"/>
          <w:color w:val="auto"/>
          <w:sz w:val="24"/>
          <w:szCs w:val="24"/>
        </w:rPr>
      </w:pP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一、版次1设计成果文件</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版次1文件：方案的修改和完善（包括估算书），为根据中华人民共和国建设部颁布的《建筑工程设计文件编制深度规定》（2016年版）中关于方案设计应达到的设计深度要求，同时根据专家评审意见及政府职能部门提出的修改意见，对在设计招标阶段最终选定的设计方案进行修改和完善，最终完成的经发包人确认的方案设计成果文件。为发包人组织政府有关部门、各专业相关专家、设计人共同参与的论证后，经政府和发包方最终确定的方案设计文件，由设计说明书、设计图纸及其电子文件、透视图（效果图）及其电子文件、模型等五部分组成。文件（不限于此）按照下列次序编排：</w:t>
      </w:r>
    </w:p>
    <w:p>
      <w:pPr>
        <w:numPr>
          <w:ilvl w:val="0"/>
          <w:numId w:val="8"/>
        </w:numPr>
        <w:tabs>
          <w:tab w:val="left" w:pos="420"/>
          <w:tab w:val="clear" w:pos="644"/>
        </w:tabs>
        <w:spacing w:line="360" w:lineRule="auto"/>
        <w:ind w:left="17" w:leftChars="8" w:firstLine="456" w:firstLineChars="19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封面（写明方案的名称、方案编制单位、编制时间）。</w:t>
      </w:r>
    </w:p>
    <w:p>
      <w:pPr>
        <w:numPr>
          <w:ilvl w:val="0"/>
          <w:numId w:val="8"/>
        </w:numPr>
        <w:tabs>
          <w:tab w:val="left" w:pos="420"/>
          <w:tab w:val="clear" w:pos="644"/>
        </w:tabs>
        <w:spacing w:line="360" w:lineRule="auto"/>
        <w:ind w:left="17" w:leftChars="8" w:firstLine="456" w:firstLineChars="19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扉页（写明方案编制单位法定代表人、技术总负责人、项目总负责人（或设计负责人）的姓名，并经上述人员签署或授权盖章）。</w:t>
      </w:r>
    </w:p>
    <w:p>
      <w:pPr>
        <w:numPr>
          <w:ilvl w:val="0"/>
          <w:numId w:val="8"/>
        </w:numPr>
        <w:tabs>
          <w:tab w:val="left" w:pos="420"/>
          <w:tab w:val="clear" w:pos="644"/>
        </w:tabs>
        <w:spacing w:line="360" w:lineRule="auto"/>
        <w:ind w:left="17" w:leftChars="8" w:firstLine="456" w:firstLineChars="19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方案设计文件目录。</w:t>
      </w:r>
    </w:p>
    <w:p>
      <w:pPr>
        <w:numPr>
          <w:ilvl w:val="0"/>
          <w:numId w:val="8"/>
        </w:numPr>
        <w:tabs>
          <w:tab w:val="left" w:pos="420"/>
          <w:tab w:val="clear" w:pos="644"/>
        </w:tabs>
        <w:spacing w:line="360" w:lineRule="auto"/>
        <w:ind w:left="17" w:leftChars="8" w:firstLine="456" w:firstLineChars="19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方案设计说明书，内容包括工程规模和设计标准、建筑总平面设计说明、单体建筑方案设计构思说明、结构选型方案说明、消防安全系统说明、主要内外建筑与装饰材料说明和主要技术经济指标说明等。</w:t>
      </w:r>
    </w:p>
    <w:p>
      <w:pPr>
        <w:numPr>
          <w:ilvl w:val="0"/>
          <w:numId w:val="8"/>
        </w:numPr>
        <w:tabs>
          <w:tab w:val="left" w:pos="420"/>
          <w:tab w:val="clear" w:pos="644"/>
        </w:tabs>
        <w:spacing w:line="360" w:lineRule="auto"/>
        <w:ind w:left="17" w:leftChars="8" w:firstLine="456" w:firstLineChars="19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方案设计图纸，图纸内容为总平面规划图、</w:t>
      </w:r>
      <w:r>
        <w:rPr>
          <w:rFonts w:hint="eastAsia" w:asciiTheme="minorEastAsia" w:hAnsiTheme="minorEastAsia" w:eastAsiaTheme="minorEastAsia"/>
          <w:bCs/>
          <w:color w:val="auto"/>
          <w:sz w:val="24"/>
          <w:szCs w:val="24"/>
        </w:rPr>
        <w:t>项目</w:t>
      </w:r>
      <w:r>
        <w:rPr>
          <w:rFonts w:hint="eastAsia" w:asciiTheme="minorEastAsia" w:hAnsiTheme="minorEastAsia" w:eastAsiaTheme="minorEastAsia"/>
          <w:color w:val="auto"/>
          <w:sz w:val="24"/>
          <w:szCs w:val="24"/>
        </w:rPr>
        <w:t>总平面设计图、交通分析图、绿化及环境设计图；建筑各层平面图、建筑各主要立面图与剖面图，；室内外装修设计方案图；下述展板中的图纸缩印本；其他在方案论证过程中提出的需补充说明的图纸。</w:t>
      </w:r>
    </w:p>
    <w:p>
      <w:pPr>
        <w:numPr>
          <w:ilvl w:val="0"/>
          <w:numId w:val="8"/>
        </w:numPr>
        <w:tabs>
          <w:tab w:val="left" w:pos="420"/>
          <w:tab w:val="clear" w:pos="644"/>
        </w:tabs>
        <w:spacing w:line="360" w:lineRule="auto"/>
        <w:ind w:left="17" w:leftChars="8" w:firstLine="456" w:firstLineChars="19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方案投资估算（含非标设备、材料、构配件的报价）。</w:t>
      </w:r>
    </w:p>
    <w:p>
      <w:pPr>
        <w:spacing w:line="360" w:lineRule="auto"/>
        <w:ind w:left="17" w:leftChars="8" w:firstLine="456" w:firstLineChars="19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上述1～6部分装订成册（下称方案文本），方案文本规格为A2。</w:t>
      </w:r>
    </w:p>
    <w:p>
      <w:pPr>
        <w:numPr>
          <w:ilvl w:val="0"/>
          <w:numId w:val="8"/>
        </w:numPr>
        <w:tabs>
          <w:tab w:val="left" w:pos="420"/>
          <w:tab w:val="clear" w:pos="644"/>
        </w:tabs>
        <w:spacing w:line="360" w:lineRule="auto"/>
        <w:ind w:left="17" w:leftChars="8" w:firstLine="456" w:firstLineChars="19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展示图规格为A1(594mm×841mm)，展示图均应贴裱在1000mm×700mm的轻质板上。</w:t>
      </w:r>
      <w:r>
        <w:rPr>
          <w:rFonts w:hint="eastAsia" w:asciiTheme="minorEastAsia" w:hAnsiTheme="minorEastAsia" w:eastAsiaTheme="minorEastAsia"/>
          <w:color w:val="auto"/>
          <w:sz w:val="24"/>
          <w:szCs w:val="24"/>
          <w:u w:val="single"/>
        </w:rPr>
        <w:t>图纸内容为</w:t>
      </w:r>
      <w:r>
        <w:rPr>
          <w:rFonts w:hint="eastAsia" w:asciiTheme="minorEastAsia" w:hAnsiTheme="minorEastAsia" w:eastAsiaTheme="minorEastAsia"/>
          <w:bCs/>
          <w:color w:val="auto"/>
          <w:sz w:val="24"/>
          <w:szCs w:val="24"/>
          <w:u w:val="single"/>
        </w:rPr>
        <w:t>项目</w:t>
      </w:r>
      <w:r>
        <w:rPr>
          <w:rFonts w:hint="eastAsia" w:asciiTheme="minorEastAsia" w:hAnsiTheme="minorEastAsia" w:eastAsiaTheme="minorEastAsia"/>
          <w:color w:val="auto"/>
          <w:sz w:val="24"/>
          <w:szCs w:val="24"/>
          <w:u w:val="single"/>
        </w:rPr>
        <w:t>鸟瞰透视图</w:t>
      </w:r>
      <w:r>
        <w:rPr>
          <w:rFonts w:hint="eastAsia" w:asciiTheme="minorEastAsia" w:hAnsiTheme="minorEastAsia" w:eastAsiaTheme="minorEastAsia"/>
          <w:color w:val="auto"/>
          <w:sz w:val="24"/>
          <w:szCs w:val="24"/>
        </w:rPr>
        <w:t>、建筑透视图、夜景透视图、总平面规划图、总平面设计图、主要平面图（4张）、立面图（4张）和剖面图（4张），设计概念分析图（2张）等，以能清晰表达设计意图为原则。</w:t>
      </w:r>
    </w:p>
    <w:p>
      <w:pPr>
        <w:numPr>
          <w:ilvl w:val="0"/>
          <w:numId w:val="8"/>
        </w:numPr>
        <w:tabs>
          <w:tab w:val="left" w:pos="420"/>
          <w:tab w:val="clear" w:pos="644"/>
        </w:tabs>
        <w:spacing w:line="360" w:lineRule="auto"/>
        <w:ind w:left="17" w:leftChars="8" w:firstLine="456" w:firstLineChars="190"/>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u w:val="single"/>
        </w:rPr>
        <w:t>包括建筑总平面设计和单体建筑方案设计的实体模型，比例1：500为宜。</w:t>
      </w:r>
    </w:p>
    <w:p>
      <w:pPr>
        <w:numPr>
          <w:ilvl w:val="0"/>
          <w:numId w:val="8"/>
        </w:numPr>
        <w:tabs>
          <w:tab w:val="left" w:pos="420"/>
          <w:tab w:val="clear" w:pos="644"/>
        </w:tabs>
        <w:spacing w:line="360" w:lineRule="auto"/>
        <w:ind w:left="17" w:leftChars="8" w:firstLine="456" w:firstLineChars="190"/>
        <w:rPr>
          <w:rFonts w:asciiTheme="minorEastAsia" w:hAnsiTheme="minorEastAsia" w:eastAsiaTheme="minorEastAsia"/>
          <w:color w:val="auto"/>
          <w:sz w:val="24"/>
          <w:szCs w:val="24"/>
          <w:u w:val="single"/>
        </w:rPr>
      </w:pPr>
      <w:r>
        <w:rPr>
          <w:rFonts w:hint="eastAsia" w:cs="宋体" w:asciiTheme="minorEastAsia" w:hAnsiTheme="minorEastAsia" w:eastAsiaTheme="minorEastAsia"/>
          <w:snapToGrid w:val="0"/>
          <w:color w:val="auto"/>
          <w:kern w:val="0"/>
          <w:sz w:val="24"/>
          <w:szCs w:val="24"/>
        </w:rPr>
        <w:t>设计人应向发包人提交方案设计报建所需要的设计成果文件图纸及文本文件、电子文档光盘；文件均须加盖</w:t>
      </w:r>
      <w:r>
        <w:rPr>
          <w:rFonts w:hint="eastAsia" w:cs="宋体" w:asciiTheme="minorEastAsia" w:hAnsiTheme="minorEastAsia" w:eastAsiaTheme="minorEastAsia"/>
          <w:b/>
          <w:snapToGrid w:val="0"/>
          <w:color w:val="auto"/>
          <w:kern w:val="0"/>
          <w:sz w:val="24"/>
          <w:szCs w:val="24"/>
        </w:rPr>
        <w:t>设计单位出图章、注册建筑师章</w:t>
      </w:r>
      <w:r>
        <w:rPr>
          <w:rFonts w:hint="eastAsia" w:cs="宋体" w:asciiTheme="minorEastAsia" w:hAnsiTheme="minorEastAsia" w:eastAsiaTheme="minorEastAsia"/>
          <w:snapToGrid w:val="0"/>
          <w:color w:val="auto"/>
          <w:kern w:val="0"/>
          <w:sz w:val="24"/>
          <w:szCs w:val="24"/>
        </w:rPr>
        <w:t>。</w:t>
      </w:r>
    </w:p>
    <w:p>
      <w:pPr>
        <w:spacing w:line="360" w:lineRule="auto"/>
        <w:ind w:left="17" w:leftChars="8" w:firstLine="456" w:firstLineChars="19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版次1设计成果文件的份数要求：</w:t>
      </w:r>
    </w:p>
    <w:p>
      <w:pPr>
        <w:numPr>
          <w:ilvl w:val="0"/>
          <w:numId w:val="9"/>
        </w:numPr>
        <w:spacing w:line="360" w:lineRule="auto"/>
        <w:ind w:left="17" w:leftChars="8" w:firstLine="456" w:firstLineChars="19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方案论证过程中，设计人按每次专家的论证意见调整优化设计方案，按上述方案文本要求制作方案文本12份/次，电子文档光盘（含方案文本的全部内容）4份/次。</w:t>
      </w:r>
    </w:p>
    <w:p>
      <w:pPr>
        <w:numPr>
          <w:ilvl w:val="0"/>
          <w:numId w:val="9"/>
        </w:numPr>
        <w:spacing w:line="360" w:lineRule="auto"/>
        <w:ind w:left="17" w:leftChars="8" w:firstLine="456" w:firstLineChars="19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方案最终确认后，设计人最终制作方案文本12份，及过程文件（如有）电子文档光盘（含方案文本的全部内容）4份，第7项的展示图各4份，模型1个。</w:t>
      </w:r>
    </w:p>
    <w:p>
      <w:pPr>
        <w:numPr>
          <w:ilvl w:val="0"/>
          <w:numId w:val="9"/>
        </w:numPr>
        <w:spacing w:line="360" w:lineRule="auto"/>
        <w:ind w:left="17" w:leftChars="8" w:firstLine="456" w:firstLineChars="19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上述设计成果份数若不足使用，可根据发包人需求增加，最终份数以25份为限（相关费用包含在总费用中，不做增加）。</w:t>
      </w:r>
    </w:p>
    <w:p>
      <w:pPr>
        <w:numPr>
          <w:ilvl w:val="255"/>
          <w:numId w:val="0"/>
        </w:numPr>
        <w:spacing w:line="360" w:lineRule="auto"/>
        <w:ind w:firstLine="480" w:firstLineChars="200"/>
        <w:rPr>
          <w:rFonts w:asciiTheme="minorEastAsia" w:hAnsiTheme="minorEastAsia" w:eastAsiaTheme="minorEastAsia"/>
          <w:color w:val="auto"/>
          <w:sz w:val="24"/>
          <w:szCs w:val="24"/>
        </w:rPr>
      </w:pP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二、版次2设计成果文件</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版次2文件：为向项目所在地规划局进行规划报建的“五图一书”，以及专项设计/咨询专项分包人提交的前期咨询文件等设计成果文件。为向项目所在地规划局进行规划报建的文件，按照项目所在地规划局的规划报建要求和报审图纸深度要求进行编制，提供如下文件（不限于此）（文件需按项目所在地规划局的要求加盖相应的图章，如规划报建章、设计单位规划出图章等）：</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1、总平面规划图（包括基地区位图和各项技术经济指标等）。</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2、绿地系统规划图。</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3、道路交通系统规划图。</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4、竖向规划图。</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5、《规划方案说明书》（含估算书）。</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6、管线综合规划图。</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7、电子磁盘报批文件。</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版次2设计成果文件的份数要求：</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按“五图一书”的报建要求，提交第1～5项成果各8份/次（每次指报审过程中的换图或重报，下同），第7项成果4份/次，报审批出后制作本版次最终设计成果的电子文档光盘4份。</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按“管线综合规划报建”（如有）的要求，提交第6项成果各8份/次，第7项成果4份/次, 报审批出后制作本版次最终设计成果的电子文档光盘4份。</w:t>
      </w:r>
    </w:p>
    <w:p>
      <w:pPr>
        <w:spacing w:line="360" w:lineRule="auto"/>
        <w:ind w:firstLine="480" w:firstLineChars="200"/>
        <w:rPr>
          <w:rFonts w:asciiTheme="minorEastAsia" w:hAnsiTheme="minorEastAsia" w:eastAsiaTheme="minorEastAsia"/>
          <w:color w:val="auto"/>
          <w:sz w:val="24"/>
          <w:szCs w:val="24"/>
        </w:rPr>
      </w:pPr>
    </w:p>
    <w:p>
      <w:pPr>
        <w:spacing w:line="360" w:lineRule="auto"/>
        <w:ind w:firstLine="480" w:firstLineChars="200"/>
        <w:rPr>
          <w:rFonts w:asciiTheme="minorEastAsia" w:hAnsiTheme="minorEastAsia" w:eastAsiaTheme="minorEastAsia"/>
          <w:i/>
          <w:color w:val="auto"/>
          <w:sz w:val="24"/>
          <w:szCs w:val="24"/>
        </w:rPr>
      </w:pPr>
      <w:r>
        <w:rPr>
          <w:rFonts w:hint="eastAsia" w:asciiTheme="minorEastAsia" w:hAnsiTheme="minorEastAsia" w:eastAsiaTheme="minorEastAsia"/>
          <w:color w:val="auto"/>
          <w:sz w:val="24"/>
          <w:szCs w:val="24"/>
        </w:rPr>
        <w:t>三、版次3设计成果文件</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版次3文件：为向项目所在地规划局和相关政府主管部门进行单体方案报建（专业报建）的设计成果文件（包括估算书）。为向项目所在地规划局和相关政府主管部门进行单体方案报建（专业报建）所需要的文件，按照项目所在地规划局和相关政府主管部门的报建要求和报审图纸深度要求进行编制，提供如下文件（不限于此）（文件需按项目所在地规划局或相关政府主管部门的要求加盖相应的图章，如设计单位出图章、报建特许人章、注册建筑师章等）：</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1、现况地形图上绘制的总平面图。</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2、总平面（包括各项技术经济指标）。</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3、建筑平、立、剖面图。</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4、设计说明。</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5、电子磁盘报批文件。</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6、工程估算书。</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版次3设计成果文件的份数要求：</w:t>
      </w:r>
    </w:p>
    <w:p>
      <w:pPr>
        <w:numPr>
          <w:ilvl w:val="0"/>
          <w:numId w:val="10"/>
        </w:num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按“建筑方案报建”的要求，提交第1～4项成果各份8/次，第5项成果4份/次，报建批出后制作最终设计成果的电子文档光盘4份。</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专业报建（交通、市政、人防、消防、环保、卫生、绿化、防雷等）所需设计成果文件各专业部门4份/次。各专业部门报建批出后制作最终设计成果的电子文档光盘每专业报建部门成果各4份。</w:t>
      </w:r>
    </w:p>
    <w:p>
      <w:pPr>
        <w:spacing w:line="360" w:lineRule="auto"/>
        <w:ind w:firstLine="480" w:firstLineChars="200"/>
        <w:rPr>
          <w:rFonts w:asciiTheme="minorEastAsia" w:hAnsiTheme="minorEastAsia" w:eastAsiaTheme="minorEastAsia"/>
          <w:color w:val="auto"/>
          <w:sz w:val="24"/>
          <w:szCs w:val="24"/>
        </w:rPr>
      </w:pPr>
    </w:p>
    <w:p>
      <w:pPr>
        <w:spacing w:line="360" w:lineRule="auto"/>
        <w:ind w:firstLine="480" w:firstLineChars="200"/>
        <w:rPr>
          <w:rFonts w:asciiTheme="minorEastAsia" w:hAnsiTheme="minorEastAsia" w:eastAsiaTheme="minorEastAsia"/>
          <w:i/>
          <w:color w:val="auto"/>
          <w:sz w:val="24"/>
          <w:szCs w:val="24"/>
        </w:rPr>
      </w:pPr>
      <w:r>
        <w:rPr>
          <w:rFonts w:hint="eastAsia" w:asciiTheme="minorEastAsia" w:hAnsiTheme="minorEastAsia" w:eastAsiaTheme="minorEastAsia"/>
          <w:color w:val="auto"/>
          <w:sz w:val="24"/>
          <w:szCs w:val="24"/>
        </w:rPr>
        <w:t>四、版次4设计成果文件</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版次4文件：为初步设计成果文件（包括文本说明、图纸、工程造价控制所需的工程量分解文件及概算书），根据中华人民共和国建设部颁布的《建筑工程设计文件编制深度规定》（2016年版）中关于初步设计应达到的设计深度要求进行编制，且此文件符合初步设计审查的各项要求。初步设计文件按建设部批准的《建筑工程设计文件编制深度规定》和广东省住房和城乡建设厅行政主管部门对初步设计文件审查的要求进行编制，提供如下文件（不限于此）（文件需按广东省住房和城乡建设厅的要求装订和加盖相应的图章和签名，如设计单位出图章、注册建筑师章、注册结构工程师章等），为满足项目初步设计概算审批的政府部门要求，发包人有权要求设计人增加设计深度，设计人必须无条件配合。另包括发包方需要的招投标技术文件：</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1、设计说明书（由设计总说明、各专业的说明书组成）。</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2、设计图纸（由各专业设计图纸组成，且包含本项目室内外各工程初步设计、特殊专业初步设计图。</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3、设计概算、工程量清单。</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4、结构计算书。</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5、效果图（包括各主要部位室内外效果图）。</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版次4设计成果文件的份数要求：</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1、第1～3项成果按广东省住房和城乡建设厅的要求装订成册（下称初步设计文本）12份/次。</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2、第4项独立成册12份/次。</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3、效果图各一式3份/次。</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4、初步设计报审批出后制作本版次最终设计成果的电子文档光盘4份。</w:t>
      </w:r>
    </w:p>
    <w:p>
      <w:pPr>
        <w:spacing w:line="360" w:lineRule="auto"/>
        <w:ind w:firstLine="480" w:firstLineChars="200"/>
        <w:rPr>
          <w:rFonts w:asciiTheme="minorEastAsia" w:hAnsiTheme="minorEastAsia" w:eastAsiaTheme="minorEastAsia"/>
          <w:color w:val="auto"/>
          <w:sz w:val="24"/>
          <w:szCs w:val="24"/>
        </w:rPr>
      </w:pPr>
    </w:p>
    <w:p>
      <w:pPr>
        <w:spacing w:line="360" w:lineRule="auto"/>
        <w:ind w:firstLine="480" w:firstLineChars="200"/>
        <w:rPr>
          <w:rFonts w:asciiTheme="minorEastAsia" w:hAnsiTheme="minorEastAsia" w:eastAsiaTheme="minorEastAsia"/>
          <w:i/>
          <w:strike/>
          <w:color w:val="auto"/>
          <w:sz w:val="24"/>
          <w:szCs w:val="24"/>
        </w:rPr>
      </w:pPr>
      <w:r>
        <w:rPr>
          <w:rFonts w:hint="eastAsia" w:asciiTheme="minorEastAsia" w:hAnsiTheme="minorEastAsia" w:eastAsiaTheme="minorEastAsia"/>
          <w:strike/>
          <w:color w:val="auto"/>
          <w:sz w:val="24"/>
          <w:szCs w:val="24"/>
        </w:rPr>
        <w:t>五、版次</w:t>
      </w:r>
      <w:r>
        <w:rPr>
          <w:rFonts w:asciiTheme="minorEastAsia" w:hAnsiTheme="minorEastAsia" w:eastAsiaTheme="minorEastAsia"/>
          <w:strike/>
          <w:color w:val="auto"/>
          <w:sz w:val="24"/>
          <w:szCs w:val="24"/>
        </w:rPr>
        <w:t>5设计成果文件</w:t>
      </w:r>
    </w:p>
    <w:p>
      <w:pPr>
        <w:spacing w:line="360" w:lineRule="auto"/>
        <w:ind w:firstLine="480" w:firstLineChars="200"/>
        <w:rPr>
          <w:rFonts w:asciiTheme="minorEastAsia" w:hAnsiTheme="minorEastAsia" w:eastAsiaTheme="minorEastAsia"/>
          <w:strike/>
          <w:color w:val="auto"/>
          <w:sz w:val="24"/>
          <w:szCs w:val="24"/>
        </w:rPr>
      </w:pPr>
      <w:r>
        <w:rPr>
          <w:rFonts w:hint="eastAsia" w:asciiTheme="minorEastAsia" w:hAnsiTheme="minorEastAsia" w:eastAsiaTheme="minorEastAsia"/>
          <w:bCs/>
          <w:strike/>
          <w:color w:val="auto"/>
          <w:sz w:val="24"/>
          <w:szCs w:val="24"/>
        </w:rPr>
        <w:t>版次</w:t>
      </w:r>
      <w:r>
        <w:rPr>
          <w:rFonts w:asciiTheme="minorEastAsia" w:hAnsiTheme="minorEastAsia" w:eastAsiaTheme="minorEastAsia"/>
          <w:bCs/>
          <w:strike/>
          <w:color w:val="auto"/>
          <w:sz w:val="24"/>
          <w:szCs w:val="24"/>
        </w:rPr>
        <w:t>5文件：为初步设计修改文件（包括文本说明、图纸、工程造价控制所需的工程量分解文件及概算书）</w:t>
      </w:r>
      <w:r>
        <w:rPr>
          <w:rFonts w:hint="eastAsia" w:asciiTheme="minorEastAsia" w:hAnsiTheme="minorEastAsia" w:eastAsiaTheme="minorEastAsia"/>
          <w:strike/>
          <w:color w:val="auto"/>
          <w:sz w:val="24"/>
          <w:szCs w:val="24"/>
        </w:rPr>
        <w:t>，以及发包人需要的招标技术文件</w:t>
      </w:r>
      <w:r>
        <w:rPr>
          <w:rFonts w:hint="eastAsia" w:asciiTheme="minorEastAsia" w:hAnsiTheme="minorEastAsia" w:eastAsiaTheme="minorEastAsia"/>
          <w:bCs/>
          <w:strike/>
          <w:color w:val="auto"/>
          <w:sz w:val="24"/>
          <w:szCs w:val="24"/>
        </w:rPr>
        <w:t>。</w:t>
      </w:r>
      <w:r>
        <w:rPr>
          <w:rFonts w:hint="eastAsia" w:asciiTheme="minorEastAsia" w:hAnsiTheme="minorEastAsia" w:eastAsiaTheme="minorEastAsia"/>
          <w:strike/>
          <w:color w:val="auto"/>
          <w:sz w:val="24"/>
          <w:szCs w:val="24"/>
        </w:rPr>
        <w:t>该版次在版次</w:t>
      </w:r>
      <w:r>
        <w:rPr>
          <w:rFonts w:asciiTheme="minorEastAsia" w:hAnsiTheme="minorEastAsia" w:eastAsiaTheme="minorEastAsia"/>
          <w:strike/>
          <w:color w:val="auto"/>
          <w:sz w:val="24"/>
          <w:szCs w:val="24"/>
        </w:rPr>
        <w:t>4设计成果文件的基础上进行修改深化，以及对初步设计审批意见的修改、修正概算文件等（不限于此）。修正概算深度参照预算的格式执行。</w:t>
      </w:r>
    </w:p>
    <w:p>
      <w:pPr>
        <w:spacing w:line="360" w:lineRule="auto"/>
        <w:ind w:firstLine="480" w:firstLineChars="200"/>
        <w:rPr>
          <w:rFonts w:asciiTheme="minorEastAsia" w:hAnsiTheme="minorEastAsia" w:eastAsiaTheme="minorEastAsia"/>
          <w:strike/>
          <w:color w:val="auto"/>
          <w:sz w:val="24"/>
          <w:szCs w:val="24"/>
        </w:rPr>
      </w:pPr>
      <w:r>
        <w:rPr>
          <w:rFonts w:hint="eastAsia" w:asciiTheme="minorEastAsia" w:hAnsiTheme="minorEastAsia" w:eastAsiaTheme="minorEastAsia"/>
          <w:strike/>
          <w:color w:val="auto"/>
          <w:sz w:val="24"/>
          <w:szCs w:val="24"/>
        </w:rPr>
        <w:t>版次</w:t>
      </w:r>
      <w:r>
        <w:rPr>
          <w:rFonts w:asciiTheme="minorEastAsia" w:hAnsiTheme="minorEastAsia" w:eastAsiaTheme="minorEastAsia"/>
          <w:strike/>
          <w:color w:val="auto"/>
          <w:sz w:val="24"/>
          <w:szCs w:val="24"/>
        </w:rPr>
        <w:t>5设计成果文件的份数要求：</w:t>
      </w:r>
    </w:p>
    <w:p>
      <w:pPr>
        <w:spacing w:line="360" w:lineRule="auto"/>
        <w:ind w:firstLine="480" w:firstLineChars="200"/>
        <w:rPr>
          <w:rFonts w:asciiTheme="minorEastAsia" w:hAnsiTheme="minorEastAsia" w:eastAsiaTheme="minorEastAsia"/>
          <w:strike/>
          <w:color w:val="auto"/>
          <w:sz w:val="24"/>
          <w:szCs w:val="24"/>
        </w:rPr>
      </w:pPr>
      <w:r>
        <w:rPr>
          <w:rFonts w:asciiTheme="minorEastAsia" w:hAnsiTheme="minorEastAsia" w:eastAsiaTheme="minorEastAsia"/>
          <w:strike/>
          <w:color w:val="auto"/>
          <w:sz w:val="24"/>
          <w:szCs w:val="24"/>
        </w:rPr>
        <w:t>1、修正后的初步设计文本（发包人需要的招标技术文件）12份（内容及要求同版次4）。</w:t>
      </w:r>
    </w:p>
    <w:p>
      <w:pPr>
        <w:spacing w:line="360" w:lineRule="auto"/>
        <w:ind w:firstLine="480" w:firstLineChars="200"/>
        <w:rPr>
          <w:rFonts w:asciiTheme="minorEastAsia" w:hAnsiTheme="minorEastAsia" w:eastAsiaTheme="minorEastAsia"/>
          <w:color w:val="auto"/>
          <w:sz w:val="24"/>
          <w:szCs w:val="24"/>
        </w:rPr>
      </w:pPr>
      <w:r>
        <w:rPr>
          <w:rFonts w:asciiTheme="minorEastAsia" w:hAnsiTheme="minorEastAsia" w:eastAsiaTheme="minorEastAsia"/>
          <w:strike/>
          <w:color w:val="auto"/>
          <w:sz w:val="24"/>
          <w:szCs w:val="24"/>
        </w:rPr>
        <w:t>2、初步设计概算经局内定稿并征求使用单位意见后，需向省发展改革委报送纸质概算2份、电子光盘1套（光盘中含初步设计，初步设计概算，询价文件、合同扫描件等相关依据文件电子版）。报送省发展改革委审批后，前期工作部需留存初步设计及概算文本4套、概算审核报告文本2份、电子光盘各1套，其中2套初步设计及概算、1份概算审核报告及光盘移交局档案室存档，1套初步设计及概算文本移交计划财务部，1套初步设计及概算、概算审核报告文本由前期工作部统筹使用。</w:t>
      </w:r>
    </w:p>
    <w:p>
      <w:pPr>
        <w:spacing w:line="360" w:lineRule="auto"/>
        <w:ind w:firstLine="480" w:firstLineChars="200"/>
        <w:rPr>
          <w:rFonts w:asciiTheme="minorEastAsia" w:hAnsiTheme="minorEastAsia" w:eastAsiaTheme="minorEastAsia"/>
          <w:color w:val="auto"/>
          <w:sz w:val="24"/>
          <w:szCs w:val="24"/>
        </w:rPr>
      </w:pPr>
    </w:p>
    <w:p>
      <w:pPr>
        <w:spacing w:line="360" w:lineRule="auto"/>
        <w:ind w:firstLine="480" w:firstLineChars="200"/>
        <w:rPr>
          <w:rFonts w:asciiTheme="minorEastAsia" w:hAnsiTheme="minorEastAsia" w:eastAsiaTheme="minorEastAsia"/>
          <w:strike/>
          <w:color w:val="auto"/>
          <w:sz w:val="24"/>
          <w:szCs w:val="24"/>
        </w:rPr>
      </w:pPr>
      <w:r>
        <w:rPr>
          <w:rFonts w:hint="eastAsia" w:asciiTheme="minorEastAsia" w:hAnsiTheme="minorEastAsia" w:eastAsiaTheme="minorEastAsia"/>
          <w:strike/>
          <w:color w:val="auto"/>
          <w:sz w:val="24"/>
          <w:szCs w:val="24"/>
        </w:rPr>
        <w:t>六、版次</w:t>
      </w:r>
      <w:r>
        <w:rPr>
          <w:rFonts w:asciiTheme="minorEastAsia" w:hAnsiTheme="minorEastAsia" w:eastAsiaTheme="minorEastAsia"/>
          <w:strike/>
          <w:color w:val="auto"/>
          <w:sz w:val="24"/>
          <w:szCs w:val="24"/>
        </w:rPr>
        <w:t>6设计成果文件</w:t>
      </w:r>
    </w:p>
    <w:p>
      <w:pPr>
        <w:spacing w:line="360" w:lineRule="auto"/>
        <w:ind w:firstLine="480" w:firstLineChars="200"/>
        <w:rPr>
          <w:rFonts w:asciiTheme="minorEastAsia" w:hAnsiTheme="minorEastAsia" w:eastAsiaTheme="minorEastAsia"/>
          <w:strike/>
          <w:color w:val="auto"/>
          <w:sz w:val="24"/>
          <w:szCs w:val="24"/>
        </w:rPr>
      </w:pPr>
      <w:r>
        <w:rPr>
          <w:rFonts w:hint="eastAsia" w:asciiTheme="minorEastAsia" w:hAnsiTheme="minorEastAsia" w:eastAsiaTheme="minorEastAsia"/>
          <w:bCs/>
          <w:strike/>
          <w:color w:val="auto"/>
          <w:sz w:val="24"/>
          <w:szCs w:val="24"/>
        </w:rPr>
        <w:t>版次</w:t>
      </w:r>
      <w:r>
        <w:rPr>
          <w:rFonts w:asciiTheme="minorEastAsia" w:hAnsiTheme="minorEastAsia" w:eastAsiaTheme="minorEastAsia"/>
          <w:bCs/>
          <w:strike/>
          <w:color w:val="auto"/>
          <w:sz w:val="24"/>
          <w:szCs w:val="24"/>
        </w:rPr>
        <w:t>6文件：</w:t>
      </w:r>
      <w:r>
        <w:rPr>
          <w:rFonts w:hint="eastAsia" w:asciiTheme="minorEastAsia" w:hAnsiTheme="minorEastAsia" w:eastAsiaTheme="minorEastAsia"/>
          <w:strike/>
          <w:color w:val="auto"/>
          <w:sz w:val="24"/>
          <w:szCs w:val="24"/>
        </w:rPr>
        <w:t>为施工图设计文件（包括图纸、计算书、工程造价控制所需的工程量分解文件和工程量清单），根据中华人民共和国建设部颁布的《建筑工程设计文件编制深度规定》（</w:t>
      </w:r>
      <w:r>
        <w:rPr>
          <w:rFonts w:asciiTheme="minorEastAsia" w:hAnsiTheme="minorEastAsia" w:eastAsiaTheme="minorEastAsia"/>
          <w:strike/>
          <w:color w:val="auto"/>
          <w:sz w:val="24"/>
          <w:szCs w:val="24"/>
        </w:rPr>
        <w:t>2016年版）中关于施工图设计应达到的设计深度要求进行编制，且此文件符合</w:t>
      </w:r>
      <w:r>
        <w:rPr>
          <w:rFonts w:hint="eastAsia" w:asciiTheme="minorEastAsia" w:hAnsiTheme="minorEastAsia" w:eastAsiaTheme="minorEastAsia"/>
          <w:bCs/>
          <w:strike/>
          <w:color w:val="auto"/>
          <w:sz w:val="24"/>
          <w:szCs w:val="24"/>
        </w:rPr>
        <w:t>向</w:t>
      </w:r>
      <w:r>
        <w:rPr>
          <w:rFonts w:hint="eastAsia" w:asciiTheme="minorEastAsia" w:hAnsiTheme="minorEastAsia" w:eastAsiaTheme="minorEastAsia"/>
          <w:strike/>
          <w:color w:val="auto"/>
          <w:sz w:val="24"/>
          <w:szCs w:val="24"/>
        </w:rPr>
        <w:t>项目所在地规划局</w:t>
      </w:r>
      <w:r>
        <w:rPr>
          <w:rFonts w:hint="eastAsia" w:asciiTheme="minorEastAsia" w:hAnsiTheme="minorEastAsia" w:eastAsiaTheme="minorEastAsia"/>
          <w:bCs/>
          <w:strike/>
          <w:color w:val="auto"/>
          <w:sz w:val="24"/>
          <w:szCs w:val="24"/>
        </w:rPr>
        <w:t>和相关政府主管部门提交的施工图报建（专业报建）所需的设计成果文件及</w:t>
      </w:r>
      <w:r>
        <w:rPr>
          <w:rFonts w:hint="eastAsia" w:asciiTheme="minorEastAsia" w:hAnsiTheme="minorEastAsia" w:eastAsiaTheme="minorEastAsia"/>
          <w:strike/>
          <w:color w:val="auto"/>
          <w:sz w:val="24"/>
          <w:szCs w:val="24"/>
        </w:rPr>
        <w:t>施工图设计审查的各项要求。为向项目所在地规划局及相关政府主管部门进行单体施工图报建（专业报建）所需要的文件，按照项目所在地规划局和相关政府主管部门的报建要求和报审图纸深度要求进行编制，提供如下文件（不限于此）（文件需按项目所在地规划局和相关政府主管部门的要求加盖相应的图章，如设计单位出图章、报建特许人章、注册建筑师章等）：</w:t>
      </w:r>
    </w:p>
    <w:p>
      <w:pPr>
        <w:spacing w:line="360" w:lineRule="auto"/>
        <w:ind w:firstLine="480" w:firstLineChars="200"/>
        <w:rPr>
          <w:rFonts w:asciiTheme="minorEastAsia" w:hAnsiTheme="minorEastAsia" w:eastAsiaTheme="minorEastAsia"/>
          <w:strike/>
          <w:color w:val="auto"/>
          <w:sz w:val="24"/>
          <w:szCs w:val="24"/>
        </w:rPr>
      </w:pPr>
      <w:r>
        <w:rPr>
          <w:rFonts w:asciiTheme="minorEastAsia" w:hAnsiTheme="minorEastAsia" w:eastAsiaTheme="minorEastAsia"/>
          <w:strike/>
          <w:color w:val="auto"/>
          <w:sz w:val="24"/>
          <w:szCs w:val="24"/>
        </w:rPr>
        <w:t>1、总平面（包括各项技术经济指标）。</w:t>
      </w:r>
    </w:p>
    <w:p>
      <w:pPr>
        <w:spacing w:line="360" w:lineRule="auto"/>
        <w:ind w:firstLine="480" w:firstLineChars="200"/>
        <w:rPr>
          <w:rFonts w:asciiTheme="minorEastAsia" w:hAnsiTheme="minorEastAsia" w:eastAsiaTheme="minorEastAsia"/>
          <w:strike/>
          <w:color w:val="auto"/>
          <w:sz w:val="24"/>
          <w:szCs w:val="24"/>
        </w:rPr>
      </w:pPr>
      <w:r>
        <w:rPr>
          <w:rFonts w:asciiTheme="minorEastAsia" w:hAnsiTheme="minorEastAsia" w:eastAsiaTheme="minorEastAsia"/>
          <w:strike/>
          <w:color w:val="auto"/>
          <w:sz w:val="24"/>
          <w:szCs w:val="24"/>
        </w:rPr>
        <w:t>2、建筑构造说明。</w:t>
      </w:r>
    </w:p>
    <w:p>
      <w:pPr>
        <w:spacing w:line="360" w:lineRule="auto"/>
        <w:ind w:firstLine="480" w:firstLineChars="200"/>
        <w:rPr>
          <w:rFonts w:asciiTheme="minorEastAsia" w:hAnsiTheme="minorEastAsia" w:eastAsiaTheme="minorEastAsia"/>
          <w:strike/>
          <w:color w:val="auto"/>
          <w:sz w:val="24"/>
          <w:szCs w:val="24"/>
        </w:rPr>
      </w:pPr>
      <w:r>
        <w:rPr>
          <w:rFonts w:asciiTheme="minorEastAsia" w:hAnsiTheme="minorEastAsia" w:eastAsiaTheme="minorEastAsia"/>
          <w:strike/>
          <w:color w:val="auto"/>
          <w:sz w:val="24"/>
          <w:szCs w:val="24"/>
        </w:rPr>
        <w:t>3、建筑平、立、剖面图，</w:t>
      </w:r>
      <w:r>
        <w:rPr>
          <w:rFonts w:hint="eastAsia" w:asciiTheme="minorEastAsia" w:hAnsiTheme="minorEastAsia" w:eastAsiaTheme="minorEastAsia"/>
          <w:strike/>
          <w:color w:val="auto"/>
          <w:sz w:val="24"/>
          <w:szCs w:val="24"/>
          <w:u w:val="single"/>
        </w:rPr>
        <w:t>施工用地围蔽设计图</w:t>
      </w:r>
      <w:r>
        <w:rPr>
          <w:rFonts w:hint="eastAsia" w:asciiTheme="minorEastAsia" w:hAnsiTheme="minorEastAsia" w:eastAsiaTheme="minorEastAsia"/>
          <w:strike/>
          <w:color w:val="auto"/>
          <w:sz w:val="24"/>
          <w:szCs w:val="24"/>
        </w:rPr>
        <w:t>。</w:t>
      </w:r>
    </w:p>
    <w:p>
      <w:pPr>
        <w:spacing w:line="360" w:lineRule="auto"/>
        <w:ind w:firstLine="480" w:firstLineChars="200"/>
        <w:rPr>
          <w:rFonts w:asciiTheme="minorEastAsia" w:hAnsiTheme="minorEastAsia" w:eastAsiaTheme="minorEastAsia"/>
          <w:strike/>
          <w:color w:val="auto"/>
          <w:sz w:val="24"/>
          <w:szCs w:val="24"/>
        </w:rPr>
      </w:pPr>
      <w:r>
        <w:rPr>
          <w:rFonts w:asciiTheme="minorEastAsia" w:hAnsiTheme="minorEastAsia" w:eastAsiaTheme="minorEastAsia"/>
          <w:strike/>
          <w:color w:val="auto"/>
          <w:sz w:val="24"/>
          <w:szCs w:val="24"/>
        </w:rPr>
        <w:t>4、各专业报批设计文件。</w:t>
      </w:r>
    </w:p>
    <w:p>
      <w:pPr>
        <w:spacing w:line="360" w:lineRule="auto"/>
        <w:ind w:firstLine="480" w:firstLineChars="200"/>
        <w:rPr>
          <w:rFonts w:asciiTheme="minorEastAsia" w:hAnsiTheme="minorEastAsia" w:eastAsiaTheme="minorEastAsia"/>
          <w:strike/>
          <w:color w:val="auto"/>
          <w:sz w:val="24"/>
          <w:szCs w:val="24"/>
        </w:rPr>
      </w:pPr>
      <w:r>
        <w:rPr>
          <w:rFonts w:asciiTheme="minorEastAsia" w:hAnsiTheme="minorEastAsia" w:eastAsiaTheme="minorEastAsia"/>
          <w:strike/>
          <w:color w:val="auto"/>
          <w:sz w:val="24"/>
          <w:szCs w:val="24"/>
        </w:rPr>
        <w:t>5、电子磁盘报批文件。</w:t>
      </w:r>
    </w:p>
    <w:p>
      <w:pPr>
        <w:spacing w:line="360" w:lineRule="auto"/>
        <w:ind w:firstLine="480" w:firstLineChars="200"/>
        <w:rPr>
          <w:rFonts w:asciiTheme="minorEastAsia" w:hAnsiTheme="minorEastAsia" w:eastAsiaTheme="minorEastAsia"/>
          <w:strike/>
          <w:color w:val="auto"/>
          <w:sz w:val="24"/>
          <w:szCs w:val="24"/>
        </w:rPr>
      </w:pPr>
      <w:r>
        <w:rPr>
          <w:rFonts w:asciiTheme="minorEastAsia" w:hAnsiTheme="minorEastAsia" w:eastAsiaTheme="minorEastAsia"/>
          <w:strike/>
          <w:color w:val="auto"/>
          <w:sz w:val="24"/>
          <w:szCs w:val="24"/>
        </w:rPr>
        <w:t>6、基坑支护施工图（包含主管部门技术审查所需的说明书、计算书及其它必要文件）</w:t>
      </w:r>
    </w:p>
    <w:p>
      <w:pPr>
        <w:spacing w:line="360" w:lineRule="auto"/>
        <w:ind w:firstLine="480" w:firstLineChars="200"/>
        <w:rPr>
          <w:rFonts w:asciiTheme="minorEastAsia" w:hAnsiTheme="minorEastAsia" w:eastAsiaTheme="minorEastAsia"/>
          <w:strike/>
          <w:color w:val="auto"/>
          <w:sz w:val="24"/>
          <w:szCs w:val="24"/>
        </w:rPr>
      </w:pPr>
      <w:r>
        <w:rPr>
          <w:rFonts w:hint="eastAsia" w:asciiTheme="minorEastAsia" w:hAnsiTheme="minorEastAsia" w:eastAsiaTheme="minorEastAsia"/>
          <w:strike/>
          <w:color w:val="auto"/>
          <w:sz w:val="24"/>
          <w:szCs w:val="24"/>
        </w:rPr>
        <w:t>版次</w:t>
      </w:r>
      <w:r>
        <w:rPr>
          <w:rFonts w:asciiTheme="minorEastAsia" w:hAnsiTheme="minorEastAsia" w:eastAsiaTheme="minorEastAsia"/>
          <w:strike/>
          <w:color w:val="auto"/>
          <w:sz w:val="24"/>
          <w:szCs w:val="24"/>
        </w:rPr>
        <w:t>5设计成果文件的份数要求：</w:t>
      </w:r>
    </w:p>
    <w:p>
      <w:pPr>
        <w:numPr>
          <w:ilvl w:val="0"/>
          <w:numId w:val="11"/>
        </w:numPr>
        <w:spacing w:line="360" w:lineRule="auto"/>
        <w:ind w:firstLine="480" w:firstLineChars="200"/>
        <w:rPr>
          <w:rFonts w:asciiTheme="minorEastAsia" w:hAnsiTheme="minorEastAsia" w:eastAsiaTheme="minorEastAsia"/>
          <w:strike/>
          <w:color w:val="auto"/>
          <w:sz w:val="24"/>
          <w:szCs w:val="24"/>
        </w:rPr>
      </w:pPr>
      <w:r>
        <w:rPr>
          <w:rFonts w:hint="eastAsia" w:asciiTheme="minorEastAsia" w:hAnsiTheme="minorEastAsia" w:eastAsiaTheme="minorEastAsia"/>
          <w:strike/>
          <w:color w:val="auto"/>
          <w:sz w:val="24"/>
          <w:szCs w:val="24"/>
        </w:rPr>
        <w:t>按“建筑施工图报建”的要求，提交第</w:t>
      </w:r>
      <w:r>
        <w:rPr>
          <w:rFonts w:asciiTheme="minorEastAsia" w:hAnsiTheme="minorEastAsia" w:eastAsiaTheme="minorEastAsia"/>
          <w:strike/>
          <w:color w:val="auto"/>
          <w:sz w:val="24"/>
          <w:szCs w:val="24"/>
        </w:rPr>
        <w:t xml:space="preserve">1～4项成果各份8/次，第4项成果4份/次, </w:t>
      </w:r>
      <w:r>
        <w:rPr>
          <w:rFonts w:hint="eastAsia" w:asciiTheme="minorEastAsia" w:hAnsiTheme="minorEastAsia" w:eastAsiaTheme="minorEastAsia"/>
          <w:strike/>
          <w:color w:val="auto"/>
          <w:sz w:val="24"/>
          <w:szCs w:val="24"/>
        </w:rPr>
        <w:t>规划局报建批出后制作最终设计成果的电子文档光盘</w:t>
      </w:r>
      <w:r>
        <w:rPr>
          <w:rFonts w:asciiTheme="minorEastAsia" w:hAnsiTheme="minorEastAsia" w:eastAsiaTheme="minorEastAsia"/>
          <w:strike/>
          <w:color w:val="auto"/>
          <w:sz w:val="24"/>
          <w:szCs w:val="24"/>
        </w:rPr>
        <w:t>4份。</w:t>
      </w:r>
    </w:p>
    <w:p>
      <w:pPr>
        <w:numPr>
          <w:ilvl w:val="0"/>
          <w:numId w:val="11"/>
        </w:numPr>
        <w:spacing w:line="360" w:lineRule="auto"/>
        <w:ind w:firstLine="480" w:firstLineChars="200"/>
        <w:rPr>
          <w:rFonts w:asciiTheme="minorEastAsia" w:hAnsiTheme="minorEastAsia" w:eastAsiaTheme="minorEastAsia"/>
          <w:strike/>
          <w:color w:val="auto"/>
          <w:sz w:val="24"/>
          <w:szCs w:val="24"/>
        </w:rPr>
      </w:pPr>
      <w:r>
        <w:rPr>
          <w:rFonts w:hint="eastAsia" w:asciiTheme="minorEastAsia" w:hAnsiTheme="minorEastAsia" w:eastAsiaTheme="minorEastAsia"/>
          <w:strike/>
          <w:color w:val="auto"/>
          <w:sz w:val="24"/>
          <w:szCs w:val="24"/>
        </w:rPr>
        <w:t>专业报建（交通、市政、人防、消防、环保、卫生、绿化、防雷等）所需设计成果文件各专业部门</w:t>
      </w:r>
      <w:r>
        <w:rPr>
          <w:rFonts w:asciiTheme="minorEastAsia" w:hAnsiTheme="minorEastAsia" w:eastAsiaTheme="minorEastAsia"/>
          <w:strike/>
          <w:color w:val="auto"/>
          <w:sz w:val="24"/>
          <w:szCs w:val="24"/>
        </w:rPr>
        <w:t>4份/次。各专业部门报建批出后制作最终设计成果的电子文档光盘每专业报建部门成果各4份。</w:t>
      </w:r>
    </w:p>
    <w:p>
      <w:pPr>
        <w:numPr>
          <w:ilvl w:val="0"/>
          <w:numId w:val="11"/>
        </w:numPr>
        <w:spacing w:line="360" w:lineRule="auto"/>
        <w:ind w:firstLine="480" w:firstLineChars="200"/>
        <w:rPr>
          <w:rFonts w:asciiTheme="minorEastAsia" w:hAnsiTheme="minorEastAsia" w:eastAsiaTheme="minorEastAsia"/>
          <w:strike/>
          <w:color w:val="auto"/>
          <w:sz w:val="24"/>
          <w:szCs w:val="24"/>
        </w:rPr>
      </w:pPr>
      <w:r>
        <w:rPr>
          <w:rFonts w:hint="eastAsia" w:asciiTheme="minorEastAsia" w:hAnsiTheme="minorEastAsia" w:eastAsiaTheme="minorEastAsia"/>
          <w:strike/>
          <w:color w:val="auto"/>
          <w:sz w:val="24"/>
          <w:szCs w:val="24"/>
        </w:rPr>
        <w:t>按施工图深度标准设计的基坑支护施工图及相关技术文件用于论证及审查</w:t>
      </w:r>
      <w:r>
        <w:rPr>
          <w:rFonts w:asciiTheme="minorEastAsia" w:hAnsiTheme="minorEastAsia" w:eastAsiaTheme="minorEastAsia"/>
          <w:strike/>
          <w:color w:val="auto"/>
          <w:sz w:val="24"/>
          <w:szCs w:val="24"/>
        </w:rPr>
        <w:t>12份/次。</w:t>
      </w:r>
    </w:p>
    <w:p>
      <w:pPr>
        <w:spacing w:line="360" w:lineRule="auto"/>
        <w:ind w:firstLine="480" w:firstLineChars="200"/>
        <w:rPr>
          <w:rFonts w:asciiTheme="minorEastAsia" w:hAnsiTheme="minorEastAsia" w:eastAsiaTheme="minorEastAsia"/>
          <w:color w:val="auto"/>
          <w:sz w:val="24"/>
          <w:szCs w:val="24"/>
        </w:rPr>
      </w:pPr>
    </w:p>
    <w:p>
      <w:pPr>
        <w:spacing w:line="360" w:lineRule="auto"/>
        <w:ind w:firstLine="480" w:firstLineChars="200"/>
        <w:rPr>
          <w:rFonts w:asciiTheme="minorEastAsia" w:hAnsiTheme="minorEastAsia" w:eastAsiaTheme="minorEastAsia"/>
          <w:strike/>
          <w:color w:val="auto"/>
          <w:sz w:val="24"/>
          <w:szCs w:val="24"/>
        </w:rPr>
      </w:pPr>
      <w:r>
        <w:rPr>
          <w:rFonts w:hint="eastAsia" w:asciiTheme="minorEastAsia" w:hAnsiTheme="minorEastAsia" w:eastAsiaTheme="minorEastAsia"/>
          <w:strike/>
          <w:color w:val="auto"/>
          <w:sz w:val="24"/>
          <w:szCs w:val="24"/>
        </w:rPr>
        <w:t>七、版次</w:t>
      </w:r>
      <w:r>
        <w:rPr>
          <w:rFonts w:asciiTheme="minorEastAsia" w:hAnsiTheme="minorEastAsia" w:eastAsiaTheme="minorEastAsia"/>
          <w:strike/>
          <w:color w:val="auto"/>
          <w:sz w:val="24"/>
          <w:szCs w:val="24"/>
        </w:rPr>
        <w:t>7设计成果文件</w:t>
      </w:r>
    </w:p>
    <w:p>
      <w:pPr>
        <w:spacing w:line="360" w:lineRule="auto"/>
        <w:ind w:firstLine="480" w:firstLineChars="200"/>
        <w:rPr>
          <w:rFonts w:asciiTheme="minorEastAsia" w:hAnsiTheme="minorEastAsia" w:eastAsiaTheme="minorEastAsia"/>
          <w:strike/>
          <w:color w:val="auto"/>
          <w:sz w:val="24"/>
          <w:szCs w:val="24"/>
        </w:rPr>
      </w:pPr>
      <w:r>
        <w:rPr>
          <w:rFonts w:hint="eastAsia" w:asciiTheme="minorEastAsia" w:hAnsiTheme="minorEastAsia" w:eastAsiaTheme="minorEastAsia"/>
          <w:strike/>
          <w:color w:val="auto"/>
          <w:sz w:val="24"/>
          <w:szCs w:val="24"/>
        </w:rPr>
        <w:t>版次</w:t>
      </w:r>
      <w:r>
        <w:rPr>
          <w:rFonts w:asciiTheme="minorEastAsia" w:hAnsiTheme="minorEastAsia" w:eastAsiaTheme="minorEastAsia"/>
          <w:strike/>
          <w:color w:val="auto"/>
          <w:sz w:val="24"/>
          <w:szCs w:val="24"/>
        </w:rPr>
        <w:t>7文件：经政府主管部门审批备案和发包方确认，用于现场施工的施工图为施工图修改设计文件，按建设部批准的《建筑工程设计文件编制深度规定》和项目所在地建委对施工图审查的要求进行编制，提供如下文件（不限于此）（文件需按市建委的要求加盖相应的图章和签名，如设计单位出图章、注册建筑师章、注册结构工程师章等）：</w:t>
      </w:r>
    </w:p>
    <w:p>
      <w:pPr>
        <w:spacing w:line="360" w:lineRule="auto"/>
        <w:ind w:firstLine="480" w:firstLineChars="200"/>
        <w:rPr>
          <w:rFonts w:asciiTheme="minorEastAsia" w:hAnsiTheme="minorEastAsia" w:eastAsiaTheme="minorEastAsia"/>
          <w:strike/>
          <w:color w:val="auto"/>
          <w:sz w:val="24"/>
          <w:szCs w:val="24"/>
        </w:rPr>
      </w:pPr>
      <w:r>
        <w:rPr>
          <w:rFonts w:asciiTheme="minorEastAsia" w:hAnsiTheme="minorEastAsia" w:eastAsiaTheme="minorEastAsia"/>
          <w:strike/>
          <w:color w:val="auto"/>
          <w:sz w:val="24"/>
          <w:szCs w:val="24"/>
        </w:rPr>
        <w:t>1、总平面。</w:t>
      </w:r>
    </w:p>
    <w:p>
      <w:pPr>
        <w:spacing w:line="360" w:lineRule="auto"/>
        <w:ind w:firstLine="480" w:firstLineChars="200"/>
        <w:rPr>
          <w:rFonts w:asciiTheme="minorEastAsia" w:hAnsiTheme="minorEastAsia" w:eastAsiaTheme="minorEastAsia"/>
          <w:strike/>
          <w:color w:val="auto"/>
          <w:sz w:val="24"/>
          <w:szCs w:val="24"/>
        </w:rPr>
      </w:pPr>
      <w:r>
        <w:rPr>
          <w:rFonts w:asciiTheme="minorEastAsia" w:hAnsiTheme="minorEastAsia" w:eastAsiaTheme="minorEastAsia"/>
          <w:strike/>
          <w:color w:val="auto"/>
          <w:sz w:val="24"/>
          <w:szCs w:val="24"/>
        </w:rPr>
        <w:t>2、建筑、节能、结构、给排水、电气、空调等各专业设计图纸（含室内外各项工程设计、各专项专业设计施工图、施工深化图和室内外装修设计）及设计说明（设计内容按本合同相关条款的约定）。</w:t>
      </w:r>
    </w:p>
    <w:p>
      <w:pPr>
        <w:spacing w:line="360" w:lineRule="auto"/>
        <w:ind w:firstLine="480" w:firstLineChars="200"/>
        <w:rPr>
          <w:rFonts w:asciiTheme="minorEastAsia" w:hAnsiTheme="minorEastAsia" w:eastAsiaTheme="minorEastAsia"/>
          <w:strike/>
          <w:color w:val="auto"/>
          <w:sz w:val="24"/>
          <w:szCs w:val="24"/>
        </w:rPr>
      </w:pPr>
      <w:r>
        <w:rPr>
          <w:rFonts w:asciiTheme="minorEastAsia" w:hAnsiTheme="minorEastAsia" w:eastAsiaTheme="minorEastAsia"/>
          <w:strike/>
          <w:color w:val="auto"/>
          <w:sz w:val="24"/>
          <w:szCs w:val="24"/>
        </w:rPr>
        <w:t>3、结构、空调等各专业计算书及相关的设计计算、试验等设计文件资料。</w:t>
      </w:r>
    </w:p>
    <w:p>
      <w:pPr>
        <w:spacing w:line="360" w:lineRule="auto"/>
        <w:ind w:firstLine="480" w:firstLineChars="200"/>
        <w:rPr>
          <w:rFonts w:asciiTheme="minorEastAsia" w:hAnsiTheme="minorEastAsia" w:eastAsiaTheme="minorEastAsia"/>
          <w:strike/>
          <w:color w:val="auto"/>
          <w:sz w:val="24"/>
          <w:szCs w:val="24"/>
        </w:rPr>
      </w:pPr>
    </w:p>
    <w:p>
      <w:pPr>
        <w:spacing w:line="360" w:lineRule="auto"/>
        <w:ind w:firstLine="480" w:firstLineChars="200"/>
        <w:rPr>
          <w:rFonts w:asciiTheme="minorEastAsia" w:hAnsiTheme="minorEastAsia" w:eastAsiaTheme="minorEastAsia"/>
          <w:strike/>
          <w:color w:val="auto"/>
          <w:sz w:val="24"/>
          <w:szCs w:val="24"/>
        </w:rPr>
      </w:pPr>
      <w:r>
        <w:rPr>
          <w:rFonts w:hint="eastAsia" w:asciiTheme="minorEastAsia" w:hAnsiTheme="minorEastAsia" w:eastAsiaTheme="minorEastAsia"/>
          <w:strike/>
          <w:color w:val="auto"/>
          <w:sz w:val="24"/>
          <w:szCs w:val="24"/>
        </w:rPr>
        <w:t>版次</w:t>
      </w:r>
      <w:r>
        <w:rPr>
          <w:rFonts w:asciiTheme="minorEastAsia" w:hAnsiTheme="minorEastAsia" w:eastAsiaTheme="minorEastAsia"/>
          <w:strike/>
          <w:color w:val="auto"/>
          <w:sz w:val="24"/>
          <w:szCs w:val="24"/>
        </w:rPr>
        <w:t>7设计成果文件的份数要求：</w:t>
      </w:r>
    </w:p>
    <w:p>
      <w:pPr>
        <w:spacing w:line="360" w:lineRule="auto"/>
        <w:ind w:firstLine="480" w:firstLineChars="200"/>
        <w:rPr>
          <w:rFonts w:asciiTheme="minorEastAsia" w:hAnsiTheme="minorEastAsia" w:eastAsiaTheme="minorEastAsia"/>
          <w:strike/>
          <w:color w:val="auto"/>
          <w:sz w:val="24"/>
          <w:szCs w:val="24"/>
        </w:rPr>
      </w:pPr>
      <w:r>
        <w:rPr>
          <w:rFonts w:asciiTheme="minorEastAsia" w:hAnsiTheme="minorEastAsia" w:eastAsiaTheme="minorEastAsia"/>
          <w:strike/>
          <w:color w:val="auto"/>
          <w:sz w:val="24"/>
          <w:szCs w:val="24"/>
        </w:rPr>
        <w:t>1、在报送施工图审查时提供第1～3项成果10份/次，及过程文件（如有）电子文档光盘4份。</w:t>
      </w:r>
    </w:p>
    <w:p>
      <w:pPr>
        <w:spacing w:line="360" w:lineRule="auto"/>
        <w:ind w:firstLine="480" w:firstLineChars="200"/>
        <w:rPr>
          <w:rFonts w:asciiTheme="minorEastAsia" w:hAnsiTheme="minorEastAsia" w:eastAsiaTheme="minorEastAsia"/>
          <w:strike/>
          <w:color w:val="auto"/>
          <w:sz w:val="24"/>
          <w:szCs w:val="24"/>
        </w:rPr>
      </w:pPr>
      <w:r>
        <w:rPr>
          <w:rFonts w:asciiTheme="minorEastAsia" w:hAnsiTheme="minorEastAsia" w:eastAsiaTheme="minorEastAsia"/>
          <w:strike/>
          <w:color w:val="auto"/>
          <w:sz w:val="24"/>
          <w:szCs w:val="24"/>
        </w:rPr>
        <w:t>2、在施工图审查及备案通过后，提供用于现场施工的施工图，前期工作部原则上留存加盖施工图审查章的第1～2项成果14份/次，第3项成果4份/次，电子文档光盘4份（每次是指不同专业或同一专业不同阶段提交的不同部位的施工图）。其中对所提交的图纸提出以下的要求</w:t>
      </w:r>
    </w:p>
    <w:p>
      <w:pPr>
        <w:spacing w:line="360" w:lineRule="auto"/>
        <w:ind w:firstLine="480" w:firstLineChars="200"/>
        <w:rPr>
          <w:rFonts w:asciiTheme="minorEastAsia" w:hAnsiTheme="minorEastAsia" w:eastAsiaTheme="minorEastAsia"/>
          <w:strike/>
          <w:color w:val="auto"/>
          <w:sz w:val="24"/>
          <w:szCs w:val="24"/>
        </w:rPr>
      </w:pPr>
      <w:r>
        <w:rPr>
          <w:rFonts w:hint="eastAsia" w:asciiTheme="minorEastAsia" w:hAnsiTheme="minorEastAsia" w:eastAsiaTheme="minorEastAsia"/>
          <w:strike/>
          <w:color w:val="auto"/>
          <w:sz w:val="24"/>
          <w:szCs w:val="24"/>
        </w:rPr>
        <w:t>（</w:t>
      </w:r>
      <w:r>
        <w:rPr>
          <w:rFonts w:asciiTheme="minorEastAsia" w:hAnsiTheme="minorEastAsia" w:eastAsiaTheme="minorEastAsia"/>
          <w:strike/>
          <w:color w:val="auto"/>
          <w:sz w:val="24"/>
          <w:szCs w:val="24"/>
        </w:rPr>
        <w:t>1）1套图纸、光盘加盖省代建局设计专用章后移交局档案室存档，1套图纸加盖使用单位公章后报送住建部门进行消防设计审查，其余施工图根据项目建设管理模式开展移交工作。若使用单位根据自身工作需要提出图纸留存需求，总份数根据使用单位需求另行增加，总体不超18套。归档的必须按市城市建设档案馆有关《建设工程文件的整理及档案移交规定》的折叠方法及归档要求装订移交；</w:t>
      </w:r>
    </w:p>
    <w:p>
      <w:pPr>
        <w:spacing w:line="360" w:lineRule="auto"/>
        <w:ind w:firstLine="480" w:firstLineChars="200"/>
        <w:rPr>
          <w:rFonts w:asciiTheme="minorEastAsia" w:hAnsiTheme="minorEastAsia" w:eastAsiaTheme="minorEastAsia"/>
          <w:strike/>
          <w:color w:val="auto"/>
          <w:sz w:val="24"/>
          <w:szCs w:val="24"/>
        </w:rPr>
      </w:pPr>
      <w:r>
        <w:rPr>
          <w:rFonts w:hint="eastAsia" w:asciiTheme="minorEastAsia" w:hAnsiTheme="minorEastAsia" w:eastAsiaTheme="minorEastAsia"/>
          <w:strike/>
          <w:color w:val="auto"/>
          <w:sz w:val="24"/>
          <w:szCs w:val="24"/>
        </w:rPr>
        <w:t>（</w:t>
      </w:r>
      <w:r>
        <w:rPr>
          <w:rFonts w:asciiTheme="minorEastAsia" w:hAnsiTheme="minorEastAsia" w:eastAsiaTheme="minorEastAsia"/>
          <w:strike/>
          <w:color w:val="auto"/>
          <w:sz w:val="24"/>
          <w:szCs w:val="24"/>
        </w:rPr>
        <w:t>2）对于传统模式的直管项目，在取得施工图审查合格书后，先将2套图纸、2套光盘移交计划财务部编制工程量清单与招标控制价；施工总承包单位产生后，由项目建设管理部结合自身工作进度提出移交时间需求，前期工作部根据需求将剩余10套图纸、1套光盘一次性移交项目建设管理部。若需加晒图纸，由所需部室自行与设计单位协商解决</w:t>
      </w:r>
    </w:p>
    <w:p>
      <w:pPr>
        <w:spacing w:line="360" w:lineRule="auto"/>
        <w:ind w:firstLine="480" w:firstLineChars="200"/>
        <w:rPr>
          <w:rFonts w:asciiTheme="minorEastAsia" w:hAnsiTheme="minorEastAsia" w:eastAsiaTheme="minorEastAsia"/>
          <w:strike/>
          <w:color w:val="auto"/>
          <w:sz w:val="24"/>
          <w:szCs w:val="24"/>
        </w:rPr>
      </w:pPr>
      <w:r>
        <w:rPr>
          <w:rFonts w:hint="eastAsia" w:asciiTheme="minorEastAsia" w:hAnsiTheme="minorEastAsia" w:eastAsiaTheme="minorEastAsia"/>
          <w:strike/>
          <w:color w:val="auto"/>
          <w:sz w:val="24"/>
          <w:szCs w:val="24"/>
        </w:rPr>
        <w:t>（</w:t>
      </w:r>
      <w:r>
        <w:rPr>
          <w:rFonts w:asciiTheme="minorEastAsia" w:hAnsiTheme="minorEastAsia" w:eastAsiaTheme="minorEastAsia"/>
          <w:strike/>
          <w:color w:val="auto"/>
          <w:sz w:val="24"/>
          <w:szCs w:val="24"/>
        </w:rPr>
        <w:t>3）对于EPC模式的直管项目，在取得施工图审查合格书后，由前期工作部将施工图纸同步移交计划财务部与项目建设管理部，其中2套图纸、2套光盘移交计划财务部，10套图纸、1套光盘移交项目建设管理部。若需加晒图纸，由所需部室自行与设计单位协商解决。</w:t>
      </w:r>
    </w:p>
    <w:p>
      <w:pPr>
        <w:spacing w:line="360" w:lineRule="auto"/>
        <w:ind w:firstLine="480" w:firstLineChars="200"/>
        <w:rPr>
          <w:rFonts w:asciiTheme="minorEastAsia" w:hAnsiTheme="minorEastAsia" w:eastAsiaTheme="minorEastAsia"/>
          <w:strike/>
          <w:color w:val="auto"/>
          <w:sz w:val="24"/>
          <w:szCs w:val="24"/>
        </w:rPr>
      </w:pPr>
      <w:r>
        <w:rPr>
          <w:rFonts w:hint="eastAsia" w:asciiTheme="minorEastAsia" w:hAnsiTheme="minorEastAsia" w:eastAsiaTheme="minorEastAsia"/>
          <w:strike/>
          <w:color w:val="auto"/>
          <w:sz w:val="24"/>
          <w:szCs w:val="24"/>
        </w:rPr>
        <w:t>施工图设计全部完成后制作本版次设计成果（包括计算书和各项测试文件书面资料）及最终模型（如有）的电子文档光盘</w:t>
      </w:r>
      <w:r>
        <w:rPr>
          <w:rFonts w:asciiTheme="minorEastAsia" w:hAnsiTheme="minorEastAsia" w:eastAsiaTheme="minorEastAsia"/>
          <w:strike/>
          <w:color w:val="auto"/>
          <w:sz w:val="24"/>
          <w:szCs w:val="24"/>
        </w:rPr>
        <w:t>4份。</w:t>
      </w:r>
    </w:p>
    <w:p>
      <w:pPr>
        <w:spacing w:line="360" w:lineRule="auto"/>
        <w:ind w:firstLine="480" w:firstLineChars="200"/>
        <w:rPr>
          <w:rFonts w:asciiTheme="minorEastAsia" w:hAnsiTheme="minorEastAsia" w:eastAsiaTheme="minorEastAsia"/>
          <w:strike/>
          <w:color w:val="auto"/>
          <w:sz w:val="24"/>
          <w:szCs w:val="24"/>
        </w:rPr>
      </w:pPr>
    </w:p>
    <w:p>
      <w:pPr>
        <w:spacing w:line="360" w:lineRule="auto"/>
        <w:ind w:firstLine="480" w:firstLineChars="200"/>
        <w:rPr>
          <w:rFonts w:asciiTheme="minorEastAsia" w:hAnsiTheme="minorEastAsia" w:eastAsiaTheme="minorEastAsia"/>
          <w:strike/>
          <w:color w:val="auto"/>
          <w:sz w:val="24"/>
          <w:szCs w:val="24"/>
        </w:rPr>
      </w:pPr>
      <w:r>
        <w:rPr>
          <w:rFonts w:hint="eastAsia" w:asciiTheme="minorEastAsia" w:hAnsiTheme="minorEastAsia" w:eastAsiaTheme="minorEastAsia"/>
          <w:strike/>
          <w:color w:val="auto"/>
          <w:sz w:val="24"/>
          <w:szCs w:val="24"/>
        </w:rPr>
        <w:t>八、版次</w:t>
      </w:r>
      <w:r>
        <w:rPr>
          <w:rFonts w:asciiTheme="minorEastAsia" w:hAnsiTheme="minorEastAsia" w:eastAsiaTheme="minorEastAsia"/>
          <w:strike/>
          <w:color w:val="auto"/>
          <w:sz w:val="24"/>
          <w:szCs w:val="24"/>
        </w:rPr>
        <w:t>8设计成果文件</w:t>
      </w:r>
    </w:p>
    <w:p>
      <w:pPr>
        <w:spacing w:line="360" w:lineRule="auto"/>
        <w:ind w:firstLine="480" w:firstLineChars="200"/>
        <w:rPr>
          <w:rFonts w:asciiTheme="minorEastAsia" w:hAnsiTheme="minorEastAsia" w:eastAsiaTheme="minorEastAsia"/>
          <w:strike/>
          <w:color w:val="auto"/>
          <w:sz w:val="24"/>
          <w:szCs w:val="24"/>
        </w:rPr>
      </w:pPr>
      <w:r>
        <w:rPr>
          <w:rFonts w:hint="eastAsia" w:asciiTheme="minorEastAsia" w:hAnsiTheme="minorEastAsia" w:eastAsiaTheme="minorEastAsia"/>
          <w:bCs/>
          <w:strike/>
          <w:color w:val="auto"/>
          <w:sz w:val="24"/>
          <w:szCs w:val="24"/>
        </w:rPr>
        <w:t>版次</w:t>
      </w:r>
      <w:r>
        <w:rPr>
          <w:rFonts w:asciiTheme="minorEastAsia" w:hAnsiTheme="minorEastAsia" w:eastAsiaTheme="minorEastAsia"/>
          <w:bCs/>
          <w:strike/>
          <w:color w:val="auto"/>
          <w:sz w:val="24"/>
          <w:szCs w:val="24"/>
        </w:rPr>
        <w:t>8文件：设计人将编制竣工图所需的电子版图纸（包括报政府竣工备案的电子文件、设计变更电子文件等）提供给发包方及本项目的施工单位，并对施工单位编制的竣工图纸进行签字盖章确认。其中项目所有专项验收所需的设计文件（包括图纸、设计说明等）由设计人编制，具体数量按相关验收部门要求。</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strike/>
          <w:color w:val="auto"/>
          <w:sz w:val="24"/>
          <w:szCs w:val="24"/>
        </w:rPr>
        <w:t>注：报建报批所需设计文件由发包人根据工程进度和相关主管部门要求通知设计人提交，设计人需确保相关资料在</w:t>
      </w:r>
      <w:r>
        <w:rPr>
          <w:rFonts w:asciiTheme="minorEastAsia" w:hAnsiTheme="minorEastAsia" w:eastAsiaTheme="minorEastAsia"/>
          <w:strike/>
          <w:color w:val="auto"/>
          <w:sz w:val="24"/>
          <w:szCs w:val="24"/>
        </w:rPr>
        <w:t>2天内备齐。</w:t>
      </w:r>
    </w:p>
    <w:p>
      <w:pPr>
        <w:spacing w:line="360" w:lineRule="auto"/>
        <w:ind w:firstLine="480" w:firstLineChars="200"/>
        <w:rPr>
          <w:rFonts w:asciiTheme="minorEastAsia" w:hAnsiTheme="minorEastAsia" w:eastAsiaTheme="minorEastAsia"/>
          <w:color w:val="auto"/>
          <w:sz w:val="24"/>
          <w:szCs w:val="24"/>
        </w:rPr>
      </w:pPr>
    </w:p>
    <w:p>
      <w:pPr>
        <w:spacing w:beforeLines="50" w:afterLines="50" w:line="360" w:lineRule="auto"/>
        <w:ind w:firstLine="480" w:firstLineChars="200"/>
        <w:jc w:val="left"/>
        <w:rPr>
          <w:rFonts w:asciiTheme="minorEastAsia" w:hAnsiTheme="minorEastAsia" w:eastAsiaTheme="minorEastAsia"/>
          <w:color w:val="auto"/>
          <w:sz w:val="24"/>
          <w:szCs w:val="24"/>
        </w:rPr>
      </w:pPr>
      <w:r>
        <w:rPr>
          <w:rFonts w:hint="eastAsia" w:asciiTheme="minorEastAsia" w:hAnsiTheme="minorEastAsia" w:eastAsiaTheme="minorEastAsia"/>
          <w:strike/>
          <w:color w:val="auto"/>
          <w:sz w:val="24"/>
          <w:szCs w:val="24"/>
        </w:rPr>
        <w:t>九、上述设计成果份数若不足使用，可根据发包人需求增加，最终份数以</w:t>
      </w:r>
      <w:r>
        <w:rPr>
          <w:rFonts w:asciiTheme="minorEastAsia" w:hAnsiTheme="minorEastAsia" w:eastAsiaTheme="minorEastAsia"/>
          <w:strike/>
          <w:color w:val="auto"/>
          <w:sz w:val="24"/>
          <w:szCs w:val="24"/>
        </w:rPr>
        <w:t>20份为限（相关费用包含在总费用中，不做增加）</w:t>
      </w:r>
    </w:p>
    <w:p>
      <w:pPr>
        <w:spacing w:beforeLines="50" w:afterLines="50" w:line="360" w:lineRule="auto"/>
        <w:jc w:val="left"/>
        <w:rPr>
          <w:rFonts w:asciiTheme="minorEastAsia" w:hAnsiTheme="minorEastAsia" w:eastAsiaTheme="minorEastAsia"/>
          <w:color w:val="auto"/>
          <w:sz w:val="24"/>
          <w:szCs w:val="24"/>
        </w:rPr>
      </w:pPr>
    </w:p>
    <w:p>
      <w:pPr>
        <w:spacing w:beforeLines="50" w:afterLines="50" w:line="360" w:lineRule="auto"/>
        <w:jc w:val="left"/>
        <w:rPr>
          <w:rFonts w:asciiTheme="minorEastAsia" w:hAnsiTheme="minorEastAsia" w:eastAsiaTheme="minorEastAsia"/>
          <w:color w:val="auto"/>
          <w:sz w:val="24"/>
          <w:szCs w:val="24"/>
        </w:rPr>
      </w:pPr>
    </w:p>
    <w:p>
      <w:pPr>
        <w:spacing w:line="360" w:lineRule="auto"/>
        <w:rPr>
          <w:rFonts w:asciiTheme="minorEastAsia" w:hAnsiTheme="minorEastAsia" w:eastAsiaTheme="minorEastAsia"/>
          <w:b/>
          <w:color w:val="auto"/>
          <w:sz w:val="24"/>
          <w:szCs w:val="24"/>
        </w:rPr>
      </w:pPr>
      <w:r>
        <w:rPr>
          <w:rFonts w:hint="eastAsia" w:asciiTheme="minorEastAsia" w:hAnsiTheme="minorEastAsia" w:eastAsiaTheme="minorEastAsia"/>
          <w:b/>
          <w:color w:val="auto"/>
          <w:sz w:val="24"/>
          <w:szCs w:val="24"/>
        </w:rPr>
        <w:br w:type="page"/>
      </w:r>
      <w:r>
        <w:rPr>
          <w:rFonts w:hint="eastAsia" w:asciiTheme="minorEastAsia" w:hAnsiTheme="minorEastAsia" w:eastAsiaTheme="minorEastAsia"/>
          <w:b/>
          <w:color w:val="auto"/>
          <w:sz w:val="24"/>
          <w:szCs w:val="24"/>
        </w:rPr>
        <w:t xml:space="preserve">附件4 ：专业设计及驻场服务人员表              </w:t>
      </w:r>
    </w:p>
    <w:p>
      <w:pPr>
        <w:spacing w:line="360" w:lineRule="auto"/>
        <w:jc w:val="center"/>
        <w:rPr>
          <w:rFonts w:asciiTheme="minorEastAsia" w:hAnsiTheme="minorEastAsia" w:eastAsiaTheme="minorEastAsia"/>
          <w:b/>
          <w:color w:val="auto"/>
          <w:sz w:val="24"/>
          <w:szCs w:val="24"/>
        </w:rPr>
      </w:pPr>
      <w:r>
        <w:rPr>
          <w:rFonts w:hint="eastAsia" w:asciiTheme="minorEastAsia" w:hAnsiTheme="minorEastAsia" w:eastAsiaTheme="minorEastAsia"/>
          <w:b/>
          <w:color w:val="auto"/>
          <w:sz w:val="24"/>
          <w:szCs w:val="24"/>
        </w:rPr>
        <w:t>专业设计及驻场服务人员表</w:t>
      </w:r>
    </w:p>
    <w:p>
      <w:pPr>
        <w:spacing w:line="360" w:lineRule="auto"/>
        <w:rPr>
          <w:rFonts w:asciiTheme="minorEastAsia" w:hAnsiTheme="minorEastAsia" w:eastAsiaTheme="minorEastAsia"/>
          <w:color w:val="auto"/>
          <w:sz w:val="24"/>
          <w:szCs w:val="24"/>
        </w:rPr>
      </w:pP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1 设计人承诺投入的人员为专业设计人员或驻场服务人员。</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1）方案深化设计阶段需要委派主要驻场技术人员不少于名工程师。</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2）初步设计、</w:t>
      </w:r>
      <w:r>
        <w:rPr>
          <w:rFonts w:hint="eastAsia" w:asciiTheme="minorEastAsia" w:hAnsiTheme="minorEastAsia" w:eastAsiaTheme="minorEastAsia"/>
          <w:strike/>
          <w:color w:val="auto"/>
          <w:sz w:val="24"/>
          <w:szCs w:val="24"/>
        </w:rPr>
        <w:t>施工图纸设计</w:t>
      </w:r>
      <w:r>
        <w:rPr>
          <w:rFonts w:hint="eastAsia" w:asciiTheme="minorEastAsia" w:hAnsiTheme="minorEastAsia" w:eastAsiaTheme="minorEastAsia"/>
          <w:color w:val="auto"/>
          <w:sz w:val="24"/>
          <w:szCs w:val="24"/>
        </w:rPr>
        <w:t>阶段需要委派各专业主要驻场技术人员不少于名工程师。</w:t>
      </w:r>
    </w:p>
    <w:p>
      <w:pPr>
        <w:spacing w:line="360" w:lineRule="auto"/>
        <w:ind w:firstLine="480" w:firstLineChars="200"/>
        <w:rPr>
          <w:rFonts w:asciiTheme="minorEastAsia" w:hAnsiTheme="minorEastAsia" w:eastAsiaTheme="minorEastAsia"/>
          <w:color w:val="auto"/>
          <w:sz w:val="24"/>
          <w:szCs w:val="24"/>
        </w:rPr>
      </w:pPr>
      <w:r>
        <w:rPr>
          <w:rFonts w:asciiTheme="minorEastAsia" w:hAnsiTheme="minorEastAsia" w:eastAsiaTheme="minorEastAsia"/>
          <w:strike/>
          <w:color w:val="auto"/>
          <w:sz w:val="24"/>
          <w:szCs w:val="24"/>
        </w:rPr>
        <w:t>3）施工阶段需要委派各专业主要驻场技术人员不少于名。</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其中：</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建筑\结构工程专业工程师1名；</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机电工程专业工程师1名。</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各阶段拟委派本项目的主要驻场技术人员应在设计合同签订后7天内书面提供，同阶段派驻人员可以填写1～4人轮班替换，未经发包人同意，设计人不得随意变更驻场人员及数量。报送表格形式参照下表：</w:t>
      </w:r>
    </w:p>
    <w:tbl>
      <w:tblPr>
        <w:tblStyle w:val="55"/>
        <w:tblW w:w="91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850"/>
        <w:gridCol w:w="658"/>
        <w:gridCol w:w="735"/>
        <w:gridCol w:w="1868"/>
        <w:gridCol w:w="1597"/>
        <w:gridCol w:w="761"/>
        <w:gridCol w:w="1181"/>
        <w:gridCol w:w="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pPr>
              <w:spacing w:line="360" w:lineRule="auto"/>
              <w:ind w:left="-105" w:leftChars="-50" w:right="-105" w:rightChars="-5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序号</w:t>
            </w:r>
          </w:p>
        </w:tc>
        <w:tc>
          <w:tcPr>
            <w:tcW w:w="850" w:type="dxa"/>
            <w:tcBorders>
              <w:top w:val="single" w:color="auto" w:sz="4" w:space="0"/>
              <w:left w:val="single" w:color="auto" w:sz="4" w:space="0"/>
              <w:bottom w:val="single" w:color="auto" w:sz="4" w:space="0"/>
              <w:right w:val="single" w:color="auto" w:sz="4" w:space="0"/>
            </w:tcBorders>
            <w:vAlign w:val="center"/>
          </w:tcPr>
          <w:p>
            <w:pPr>
              <w:spacing w:line="360" w:lineRule="auto"/>
              <w:ind w:left="-105" w:leftChars="-50" w:right="-105" w:rightChars="-5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姓名</w:t>
            </w:r>
          </w:p>
        </w:tc>
        <w:tc>
          <w:tcPr>
            <w:tcW w:w="658" w:type="dxa"/>
            <w:tcBorders>
              <w:top w:val="single" w:color="auto" w:sz="4" w:space="0"/>
              <w:left w:val="single" w:color="auto" w:sz="4" w:space="0"/>
              <w:bottom w:val="single" w:color="auto" w:sz="4" w:space="0"/>
              <w:right w:val="single" w:color="auto" w:sz="4" w:space="0"/>
            </w:tcBorders>
            <w:vAlign w:val="center"/>
          </w:tcPr>
          <w:p>
            <w:pPr>
              <w:spacing w:line="360" w:lineRule="auto"/>
              <w:ind w:left="-105" w:leftChars="-50" w:right="-105" w:rightChars="-5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性别</w:t>
            </w:r>
          </w:p>
        </w:tc>
        <w:tc>
          <w:tcPr>
            <w:tcW w:w="735" w:type="dxa"/>
            <w:tcBorders>
              <w:top w:val="single" w:color="auto" w:sz="4" w:space="0"/>
              <w:left w:val="single" w:color="auto" w:sz="4" w:space="0"/>
              <w:bottom w:val="single" w:color="auto" w:sz="4" w:space="0"/>
              <w:right w:val="single" w:color="auto" w:sz="4" w:space="0"/>
            </w:tcBorders>
            <w:vAlign w:val="center"/>
          </w:tcPr>
          <w:p>
            <w:pPr>
              <w:spacing w:line="360" w:lineRule="auto"/>
              <w:ind w:left="-105" w:leftChars="-50" w:right="-105" w:rightChars="-5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年龄</w:t>
            </w:r>
          </w:p>
        </w:tc>
        <w:tc>
          <w:tcPr>
            <w:tcW w:w="1868" w:type="dxa"/>
            <w:tcBorders>
              <w:top w:val="single" w:color="auto" w:sz="4" w:space="0"/>
              <w:left w:val="single" w:color="auto" w:sz="4" w:space="0"/>
              <w:bottom w:val="single" w:color="auto" w:sz="4" w:space="0"/>
              <w:right w:val="single" w:color="auto" w:sz="4" w:space="0"/>
            </w:tcBorders>
            <w:vAlign w:val="center"/>
          </w:tcPr>
          <w:p>
            <w:pPr>
              <w:spacing w:line="360" w:lineRule="auto"/>
              <w:ind w:left="-105" w:leftChars="-50" w:right="-105" w:rightChars="-5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在本项目担任职务</w:t>
            </w:r>
          </w:p>
        </w:tc>
        <w:tc>
          <w:tcPr>
            <w:tcW w:w="1597" w:type="dxa"/>
            <w:tcBorders>
              <w:top w:val="single" w:color="auto" w:sz="4" w:space="0"/>
              <w:left w:val="single" w:color="auto" w:sz="4" w:space="0"/>
              <w:bottom w:val="single" w:color="auto" w:sz="4" w:space="0"/>
              <w:right w:val="single" w:color="auto" w:sz="4" w:space="0"/>
            </w:tcBorders>
            <w:vAlign w:val="center"/>
          </w:tcPr>
          <w:p>
            <w:pPr>
              <w:spacing w:line="360" w:lineRule="auto"/>
              <w:ind w:left="-105" w:leftChars="-50" w:right="-105" w:rightChars="-5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技术职称</w:t>
            </w:r>
          </w:p>
        </w:tc>
        <w:tc>
          <w:tcPr>
            <w:tcW w:w="761" w:type="dxa"/>
            <w:tcBorders>
              <w:top w:val="single" w:color="auto" w:sz="4" w:space="0"/>
              <w:left w:val="single" w:color="auto" w:sz="4" w:space="0"/>
              <w:bottom w:val="single" w:color="auto" w:sz="4" w:space="0"/>
              <w:right w:val="single" w:color="auto" w:sz="4" w:space="0"/>
            </w:tcBorders>
            <w:vAlign w:val="center"/>
          </w:tcPr>
          <w:p>
            <w:pPr>
              <w:spacing w:line="360" w:lineRule="auto"/>
              <w:ind w:left="-105" w:leftChars="-50" w:right="-105" w:rightChars="-5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专业</w:t>
            </w:r>
          </w:p>
        </w:tc>
        <w:tc>
          <w:tcPr>
            <w:tcW w:w="1181" w:type="dxa"/>
            <w:tcBorders>
              <w:top w:val="single" w:color="auto" w:sz="4" w:space="0"/>
              <w:left w:val="single" w:color="auto" w:sz="4" w:space="0"/>
              <w:bottom w:val="single" w:color="auto" w:sz="4" w:space="0"/>
              <w:right w:val="single" w:color="auto" w:sz="4" w:space="0"/>
            </w:tcBorders>
            <w:vAlign w:val="center"/>
          </w:tcPr>
          <w:p>
            <w:pPr>
              <w:spacing w:line="360" w:lineRule="auto"/>
              <w:ind w:left="-105" w:leftChars="-50" w:right="-105" w:rightChars="-5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驻场阶段</w:t>
            </w:r>
          </w:p>
        </w:tc>
        <w:tc>
          <w:tcPr>
            <w:tcW w:w="788" w:type="dxa"/>
            <w:tcBorders>
              <w:top w:val="single" w:color="auto" w:sz="4" w:space="0"/>
              <w:left w:val="single" w:color="auto" w:sz="4" w:space="0"/>
              <w:bottom w:val="single" w:color="auto" w:sz="4" w:space="0"/>
              <w:right w:val="single" w:color="auto" w:sz="4" w:space="0"/>
            </w:tcBorders>
            <w:vAlign w:val="center"/>
          </w:tcPr>
          <w:p>
            <w:pPr>
              <w:spacing w:line="360" w:lineRule="auto"/>
              <w:ind w:left="-105" w:leftChars="-50" w:right="-105" w:rightChars="-5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0" w:type="dxa"/>
            <w:tcBorders>
              <w:top w:val="single" w:color="auto" w:sz="4" w:space="0"/>
              <w:left w:val="single" w:color="auto" w:sz="4" w:space="0"/>
              <w:bottom w:val="single" w:color="auto" w:sz="4" w:space="0"/>
              <w:right w:val="single" w:color="auto" w:sz="4" w:space="0"/>
            </w:tcBorders>
          </w:tcPr>
          <w:p>
            <w:pPr>
              <w:spacing w:line="360" w:lineRule="auto"/>
              <w:ind w:left="-105" w:leftChars="-50" w:right="-105" w:rightChars="-5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1</w:t>
            </w:r>
          </w:p>
        </w:tc>
        <w:tc>
          <w:tcPr>
            <w:tcW w:w="850" w:type="dxa"/>
            <w:tcBorders>
              <w:top w:val="single" w:color="auto" w:sz="4" w:space="0"/>
              <w:left w:val="single" w:color="auto" w:sz="4" w:space="0"/>
              <w:bottom w:val="single" w:color="auto" w:sz="4" w:space="0"/>
              <w:right w:val="single" w:color="auto" w:sz="4" w:space="0"/>
            </w:tcBorders>
          </w:tcPr>
          <w:p>
            <w:pPr>
              <w:spacing w:line="360" w:lineRule="auto"/>
              <w:ind w:left="-105" w:leftChars="-50" w:right="-105" w:rightChars="-50"/>
              <w:rPr>
                <w:rFonts w:asciiTheme="minorEastAsia" w:hAnsiTheme="minorEastAsia" w:eastAsiaTheme="minorEastAsia"/>
                <w:color w:val="auto"/>
                <w:sz w:val="24"/>
                <w:szCs w:val="24"/>
              </w:rPr>
            </w:pPr>
          </w:p>
        </w:tc>
        <w:tc>
          <w:tcPr>
            <w:tcW w:w="658" w:type="dxa"/>
            <w:tcBorders>
              <w:top w:val="single" w:color="auto" w:sz="4" w:space="0"/>
              <w:left w:val="single" w:color="auto" w:sz="4" w:space="0"/>
              <w:bottom w:val="single" w:color="auto" w:sz="4" w:space="0"/>
              <w:right w:val="single" w:color="auto" w:sz="4" w:space="0"/>
            </w:tcBorders>
          </w:tcPr>
          <w:p>
            <w:pPr>
              <w:spacing w:line="360" w:lineRule="auto"/>
              <w:ind w:left="-105" w:leftChars="-50" w:right="-105" w:rightChars="-50"/>
              <w:rPr>
                <w:rFonts w:asciiTheme="minorEastAsia" w:hAnsiTheme="minorEastAsia" w:eastAsiaTheme="minorEastAsia"/>
                <w:color w:val="auto"/>
                <w:sz w:val="24"/>
                <w:szCs w:val="24"/>
              </w:rPr>
            </w:pPr>
          </w:p>
        </w:tc>
        <w:tc>
          <w:tcPr>
            <w:tcW w:w="735" w:type="dxa"/>
            <w:tcBorders>
              <w:top w:val="single" w:color="auto" w:sz="4" w:space="0"/>
              <w:left w:val="single" w:color="auto" w:sz="4" w:space="0"/>
              <w:bottom w:val="single" w:color="auto" w:sz="4" w:space="0"/>
              <w:right w:val="single" w:color="auto" w:sz="4" w:space="0"/>
            </w:tcBorders>
          </w:tcPr>
          <w:p>
            <w:pPr>
              <w:spacing w:line="360" w:lineRule="auto"/>
              <w:ind w:left="-105" w:leftChars="-50" w:right="-105" w:rightChars="-50"/>
              <w:rPr>
                <w:rFonts w:asciiTheme="minorEastAsia" w:hAnsiTheme="minorEastAsia" w:eastAsiaTheme="minorEastAsia"/>
                <w:color w:val="auto"/>
                <w:sz w:val="24"/>
                <w:szCs w:val="24"/>
              </w:rPr>
            </w:pPr>
          </w:p>
        </w:tc>
        <w:tc>
          <w:tcPr>
            <w:tcW w:w="1868" w:type="dxa"/>
            <w:tcBorders>
              <w:top w:val="single" w:color="auto" w:sz="4" w:space="0"/>
              <w:left w:val="single" w:color="auto" w:sz="4" w:space="0"/>
              <w:bottom w:val="single" w:color="auto" w:sz="4" w:space="0"/>
              <w:right w:val="single" w:color="auto" w:sz="4" w:space="0"/>
            </w:tcBorders>
          </w:tcPr>
          <w:p>
            <w:pPr>
              <w:spacing w:line="360" w:lineRule="auto"/>
              <w:ind w:left="-105" w:leftChars="-50" w:right="-105" w:rightChars="-50"/>
              <w:rPr>
                <w:rFonts w:asciiTheme="minorEastAsia" w:hAnsiTheme="minorEastAsia" w:eastAsiaTheme="minorEastAsia"/>
                <w:color w:val="auto"/>
                <w:sz w:val="24"/>
                <w:szCs w:val="24"/>
              </w:rPr>
            </w:pPr>
          </w:p>
        </w:tc>
        <w:tc>
          <w:tcPr>
            <w:tcW w:w="1597" w:type="dxa"/>
            <w:tcBorders>
              <w:top w:val="single" w:color="auto" w:sz="4" w:space="0"/>
              <w:left w:val="single" w:color="auto" w:sz="4" w:space="0"/>
              <w:bottom w:val="single" w:color="auto" w:sz="4" w:space="0"/>
              <w:right w:val="single" w:color="auto" w:sz="4" w:space="0"/>
            </w:tcBorders>
          </w:tcPr>
          <w:p>
            <w:pPr>
              <w:spacing w:line="360" w:lineRule="auto"/>
              <w:ind w:left="-105" w:leftChars="-50" w:right="-105" w:rightChars="-50"/>
              <w:rPr>
                <w:rFonts w:asciiTheme="minorEastAsia" w:hAnsiTheme="minorEastAsia" w:eastAsiaTheme="minorEastAsia"/>
                <w:color w:val="auto"/>
                <w:sz w:val="24"/>
                <w:szCs w:val="24"/>
              </w:rPr>
            </w:pPr>
          </w:p>
        </w:tc>
        <w:tc>
          <w:tcPr>
            <w:tcW w:w="761" w:type="dxa"/>
            <w:tcBorders>
              <w:top w:val="single" w:color="auto" w:sz="4" w:space="0"/>
              <w:left w:val="single" w:color="auto" w:sz="4" w:space="0"/>
              <w:bottom w:val="single" w:color="auto" w:sz="4" w:space="0"/>
              <w:right w:val="single" w:color="auto" w:sz="4" w:space="0"/>
            </w:tcBorders>
          </w:tcPr>
          <w:p>
            <w:pPr>
              <w:spacing w:line="360" w:lineRule="auto"/>
              <w:ind w:left="-105" w:leftChars="-50" w:right="-105" w:rightChars="-50"/>
              <w:rPr>
                <w:rFonts w:asciiTheme="minorEastAsia" w:hAnsiTheme="minorEastAsia" w:eastAsiaTheme="minorEastAsia"/>
                <w:color w:val="auto"/>
                <w:sz w:val="24"/>
                <w:szCs w:val="24"/>
              </w:rPr>
            </w:pPr>
          </w:p>
        </w:tc>
        <w:tc>
          <w:tcPr>
            <w:tcW w:w="1181" w:type="dxa"/>
            <w:tcBorders>
              <w:top w:val="single" w:color="auto" w:sz="4" w:space="0"/>
              <w:left w:val="single" w:color="auto" w:sz="4" w:space="0"/>
              <w:bottom w:val="single" w:color="auto" w:sz="4" w:space="0"/>
              <w:right w:val="single" w:color="auto" w:sz="4" w:space="0"/>
            </w:tcBorders>
          </w:tcPr>
          <w:p>
            <w:pPr>
              <w:spacing w:line="360" w:lineRule="auto"/>
              <w:ind w:left="-105" w:leftChars="-50" w:right="-105" w:rightChars="-50"/>
              <w:rPr>
                <w:rFonts w:asciiTheme="minorEastAsia" w:hAnsiTheme="minorEastAsia" w:eastAsiaTheme="minorEastAsia"/>
                <w:color w:val="auto"/>
                <w:sz w:val="24"/>
                <w:szCs w:val="24"/>
              </w:rPr>
            </w:pPr>
          </w:p>
        </w:tc>
        <w:tc>
          <w:tcPr>
            <w:tcW w:w="788" w:type="dxa"/>
            <w:tcBorders>
              <w:top w:val="single" w:color="auto" w:sz="4" w:space="0"/>
              <w:left w:val="single" w:color="auto" w:sz="4" w:space="0"/>
              <w:bottom w:val="single" w:color="auto" w:sz="4" w:space="0"/>
              <w:right w:val="single" w:color="auto" w:sz="4" w:space="0"/>
            </w:tcBorders>
          </w:tcPr>
          <w:p>
            <w:pPr>
              <w:spacing w:line="360" w:lineRule="auto"/>
              <w:ind w:left="-105" w:leftChars="-50" w:right="-105" w:rightChars="-50"/>
              <w:rPr>
                <w:rFonts w:asciiTheme="minorEastAsia" w:hAnsiTheme="minorEastAsia" w:eastAsiaTheme="minorEastAsia"/>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700" w:type="dxa"/>
            <w:tcBorders>
              <w:top w:val="single" w:color="auto" w:sz="4" w:space="0"/>
              <w:left w:val="single" w:color="auto" w:sz="4" w:space="0"/>
              <w:bottom w:val="single" w:color="auto" w:sz="4" w:space="0"/>
              <w:right w:val="single" w:color="auto" w:sz="4" w:space="0"/>
            </w:tcBorders>
          </w:tcPr>
          <w:p>
            <w:pPr>
              <w:spacing w:line="360" w:lineRule="auto"/>
              <w:ind w:left="-105" w:leftChars="-50" w:right="-105" w:rightChars="-50"/>
              <w:rPr>
                <w:rFonts w:asciiTheme="minorEastAsia" w:hAnsiTheme="minorEastAsia" w:eastAsiaTheme="minorEastAsia"/>
                <w:color w:val="auto"/>
                <w:sz w:val="24"/>
                <w:szCs w:val="24"/>
              </w:rPr>
            </w:pPr>
          </w:p>
        </w:tc>
        <w:tc>
          <w:tcPr>
            <w:tcW w:w="850" w:type="dxa"/>
            <w:tcBorders>
              <w:top w:val="single" w:color="auto" w:sz="4" w:space="0"/>
              <w:left w:val="single" w:color="auto" w:sz="4" w:space="0"/>
              <w:bottom w:val="single" w:color="auto" w:sz="4" w:space="0"/>
              <w:right w:val="single" w:color="auto" w:sz="4" w:space="0"/>
            </w:tcBorders>
          </w:tcPr>
          <w:p>
            <w:pPr>
              <w:spacing w:line="360" w:lineRule="auto"/>
              <w:ind w:left="-105" w:leftChars="-50" w:right="-105" w:rightChars="-50"/>
              <w:rPr>
                <w:rFonts w:asciiTheme="minorEastAsia" w:hAnsiTheme="minorEastAsia" w:eastAsiaTheme="minorEastAsia"/>
                <w:color w:val="auto"/>
                <w:sz w:val="24"/>
                <w:szCs w:val="24"/>
              </w:rPr>
            </w:pPr>
          </w:p>
        </w:tc>
        <w:tc>
          <w:tcPr>
            <w:tcW w:w="658" w:type="dxa"/>
            <w:tcBorders>
              <w:top w:val="single" w:color="auto" w:sz="4" w:space="0"/>
              <w:left w:val="single" w:color="auto" w:sz="4" w:space="0"/>
              <w:bottom w:val="single" w:color="auto" w:sz="4" w:space="0"/>
              <w:right w:val="single" w:color="auto" w:sz="4" w:space="0"/>
            </w:tcBorders>
          </w:tcPr>
          <w:p>
            <w:pPr>
              <w:spacing w:line="360" w:lineRule="auto"/>
              <w:ind w:left="-105" w:leftChars="-50" w:right="-105" w:rightChars="-50"/>
              <w:rPr>
                <w:rFonts w:asciiTheme="minorEastAsia" w:hAnsiTheme="minorEastAsia" w:eastAsiaTheme="minorEastAsia"/>
                <w:color w:val="auto"/>
                <w:sz w:val="24"/>
                <w:szCs w:val="24"/>
              </w:rPr>
            </w:pPr>
          </w:p>
        </w:tc>
        <w:tc>
          <w:tcPr>
            <w:tcW w:w="735" w:type="dxa"/>
            <w:tcBorders>
              <w:top w:val="single" w:color="auto" w:sz="4" w:space="0"/>
              <w:left w:val="single" w:color="auto" w:sz="4" w:space="0"/>
              <w:bottom w:val="single" w:color="auto" w:sz="4" w:space="0"/>
              <w:right w:val="single" w:color="auto" w:sz="4" w:space="0"/>
            </w:tcBorders>
          </w:tcPr>
          <w:p>
            <w:pPr>
              <w:spacing w:line="360" w:lineRule="auto"/>
              <w:ind w:left="-105" w:leftChars="-50" w:right="-105" w:rightChars="-50"/>
              <w:rPr>
                <w:rFonts w:asciiTheme="minorEastAsia" w:hAnsiTheme="minorEastAsia" w:eastAsiaTheme="minorEastAsia"/>
                <w:color w:val="auto"/>
                <w:sz w:val="24"/>
                <w:szCs w:val="24"/>
              </w:rPr>
            </w:pPr>
          </w:p>
        </w:tc>
        <w:tc>
          <w:tcPr>
            <w:tcW w:w="1868" w:type="dxa"/>
            <w:tcBorders>
              <w:top w:val="single" w:color="auto" w:sz="4" w:space="0"/>
              <w:left w:val="single" w:color="auto" w:sz="4" w:space="0"/>
              <w:bottom w:val="single" w:color="auto" w:sz="4" w:space="0"/>
              <w:right w:val="single" w:color="auto" w:sz="4" w:space="0"/>
            </w:tcBorders>
          </w:tcPr>
          <w:p>
            <w:pPr>
              <w:spacing w:line="360" w:lineRule="auto"/>
              <w:ind w:left="-105" w:leftChars="-50" w:right="-105" w:rightChars="-50"/>
              <w:rPr>
                <w:rFonts w:asciiTheme="minorEastAsia" w:hAnsiTheme="minorEastAsia" w:eastAsiaTheme="minorEastAsia"/>
                <w:color w:val="auto"/>
                <w:sz w:val="24"/>
                <w:szCs w:val="24"/>
              </w:rPr>
            </w:pPr>
          </w:p>
        </w:tc>
        <w:tc>
          <w:tcPr>
            <w:tcW w:w="1597" w:type="dxa"/>
            <w:tcBorders>
              <w:top w:val="single" w:color="auto" w:sz="4" w:space="0"/>
              <w:left w:val="single" w:color="auto" w:sz="4" w:space="0"/>
              <w:bottom w:val="single" w:color="auto" w:sz="4" w:space="0"/>
              <w:right w:val="single" w:color="auto" w:sz="4" w:space="0"/>
            </w:tcBorders>
          </w:tcPr>
          <w:p>
            <w:pPr>
              <w:spacing w:line="360" w:lineRule="auto"/>
              <w:ind w:left="-105" w:leftChars="-50" w:right="-105" w:rightChars="-50"/>
              <w:rPr>
                <w:rFonts w:asciiTheme="minorEastAsia" w:hAnsiTheme="minorEastAsia" w:eastAsiaTheme="minorEastAsia"/>
                <w:color w:val="auto"/>
                <w:sz w:val="24"/>
                <w:szCs w:val="24"/>
              </w:rPr>
            </w:pPr>
          </w:p>
        </w:tc>
        <w:tc>
          <w:tcPr>
            <w:tcW w:w="761" w:type="dxa"/>
            <w:tcBorders>
              <w:top w:val="single" w:color="auto" w:sz="4" w:space="0"/>
              <w:left w:val="single" w:color="auto" w:sz="4" w:space="0"/>
              <w:bottom w:val="single" w:color="auto" w:sz="4" w:space="0"/>
              <w:right w:val="single" w:color="auto" w:sz="4" w:space="0"/>
            </w:tcBorders>
          </w:tcPr>
          <w:p>
            <w:pPr>
              <w:spacing w:line="360" w:lineRule="auto"/>
              <w:ind w:left="-105" w:leftChars="-50" w:right="-105" w:rightChars="-50"/>
              <w:rPr>
                <w:rFonts w:asciiTheme="minorEastAsia" w:hAnsiTheme="minorEastAsia" w:eastAsiaTheme="minorEastAsia"/>
                <w:color w:val="auto"/>
                <w:sz w:val="24"/>
                <w:szCs w:val="24"/>
              </w:rPr>
            </w:pPr>
          </w:p>
        </w:tc>
        <w:tc>
          <w:tcPr>
            <w:tcW w:w="1181" w:type="dxa"/>
            <w:tcBorders>
              <w:top w:val="single" w:color="auto" w:sz="4" w:space="0"/>
              <w:left w:val="single" w:color="auto" w:sz="4" w:space="0"/>
              <w:bottom w:val="single" w:color="auto" w:sz="4" w:space="0"/>
              <w:right w:val="single" w:color="auto" w:sz="4" w:space="0"/>
            </w:tcBorders>
          </w:tcPr>
          <w:p>
            <w:pPr>
              <w:spacing w:line="360" w:lineRule="auto"/>
              <w:ind w:left="-105" w:leftChars="-50" w:right="-105" w:rightChars="-50"/>
              <w:rPr>
                <w:rFonts w:asciiTheme="minorEastAsia" w:hAnsiTheme="minorEastAsia" w:eastAsiaTheme="minorEastAsia"/>
                <w:color w:val="auto"/>
                <w:sz w:val="24"/>
                <w:szCs w:val="24"/>
              </w:rPr>
            </w:pPr>
          </w:p>
        </w:tc>
        <w:tc>
          <w:tcPr>
            <w:tcW w:w="788" w:type="dxa"/>
            <w:tcBorders>
              <w:top w:val="single" w:color="auto" w:sz="4" w:space="0"/>
              <w:left w:val="single" w:color="auto" w:sz="4" w:space="0"/>
              <w:bottom w:val="single" w:color="auto" w:sz="4" w:space="0"/>
              <w:right w:val="single" w:color="auto" w:sz="4" w:space="0"/>
            </w:tcBorders>
          </w:tcPr>
          <w:p>
            <w:pPr>
              <w:spacing w:line="360" w:lineRule="auto"/>
              <w:ind w:left="-105" w:leftChars="-50" w:right="-105" w:rightChars="-50"/>
              <w:rPr>
                <w:rFonts w:asciiTheme="minorEastAsia" w:hAnsiTheme="minorEastAsia" w:eastAsiaTheme="minorEastAsia"/>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700" w:type="dxa"/>
            <w:tcBorders>
              <w:top w:val="single" w:color="auto" w:sz="4" w:space="0"/>
              <w:left w:val="single" w:color="auto" w:sz="4" w:space="0"/>
              <w:bottom w:val="single" w:color="auto" w:sz="4" w:space="0"/>
              <w:right w:val="single" w:color="auto" w:sz="4" w:space="0"/>
            </w:tcBorders>
          </w:tcPr>
          <w:p>
            <w:pPr>
              <w:spacing w:line="360" w:lineRule="auto"/>
              <w:ind w:left="-105" w:leftChars="-50" w:right="-105" w:rightChars="-50"/>
              <w:rPr>
                <w:rFonts w:asciiTheme="minorEastAsia" w:hAnsiTheme="minorEastAsia" w:eastAsiaTheme="minorEastAsia"/>
                <w:color w:val="auto"/>
                <w:sz w:val="24"/>
                <w:szCs w:val="24"/>
              </w:rPr>
            </w:pPr>
          </w:p>
        </w:tc>
        <w:tc>
          <w:tcPr>
            <w:tcW w:w="850" w:type="dxa"/>
            <w:tcBorders>
              <w:top w:val="single" w:color="auto" w:sz="4" w:space="0"/>
              <w:left w:val="single" w:color="auto" w:sz="4" w:space="0"/>
              <w:bottom w:val="single" w:color="auto" w:sz="4" w:space="0"/>
              <w:right w:val="single" w:color="auto" w:sz="4" w:space="0"/>
            </w:tcBorders>
          </w:tcPr>
          <w:p>
            <w:pPr>
              <w:spacing w:line="360" w:lineRule="auto"/>
              <w:ind w:left="-105" w:leftChars="-50" w:right="-105" w:rightChars="-50"/>
              <w:rPr>
                <w:rFonts w:asciiTheme="minorEastAsia" w:hAnsiTheme="minorEastAsia" w:eastAsiaTheme="minorEastAsia"/>
                <w:color w:val="auto"/>
                <w:sz w:val="24"/>
                <w:szCs w:val="24"/>
              </w:rPr>
            </w:pPr>
          </w:p>
        </w:tc>
        <w:tc>
          <w:tcPr>
            <w:tcW w:w="658" w:type="dxa"/>
            <w:tcBorders>
              <w:top w:val="single" w:color="auto" w:sz="4" w:space="0"/>
              <w:left w:val="single" w:color="auto" w:sz="4" w:space="0"/>
              <w:bottom w:val="single" w:color="auto" w:sz="4" w:space="0"/>
              <w:right w:val="single" w:color="auto" w:sz="4" w:space="0"/>
            </w:tcBorders>
          </w:tcPr>
          <w:p>
            <w:pPr>
              <w:spacing w:line="360" w:lineRule="auto"/>
              <w:ind w:left="-105" w:leftChars="-50" w:right="-105" w:rightChars="-50"/>
              <w:rPr>
                <w:rFonts w:asciiTheme="minorEastAsia" w:hAnsiTheme="minorEastAsia" w:eastAsiaTheme="minorEastAsia"/>
                <w:color w:val="auto"/>
                <w:sz w:val="24"/>
                <w:szCs w:val="24"/>
              </w:rPr>
            </w:pPr>
          </w:p>
        </w:tc>
        <w:tc>
          <w:tcPr>
            <w:tcW w:w="735" w:type="dxa"/>
            <w:tcBorders>
              <w:top w:val="single" w:color="auto" w:sz="4" w:space="0"/>
              <w:left w:val="single" w:color="auto" w:sz="4" w:space="0"/>
              <w:bottom w:val="single" w:color="auto" w:sz="4" w:space="0"/>
              <w:right w:val="single" w:color="auto" w:sz="4" w:space="0"/>
            </w:tcBorders>
          </w:tcPr>
          <w:p>
            <w:pPr>
              <w:spacing w:line="360" w:lineRule="auto"/>
              <w:ind w:left="-105" w:leftChars="-50" w:right="-105" w:rightChars="-50"/>
              <w:rPr>
                <w:rFonts w:asciiTheme="minorEastAsia" w:hAnsiTheme="minorEastAsia" w:eastAsiaTheme="minorEastAsia"/>
                <w:color w:val="auto"/>
                <w:sz w:val="24"/>
                <w:szCs w:val="24"/>
              </w:rPr>
            </w:pPr>
          </w:p>
        </w:tc>
        <w:tc>
          <w:tcPr>
            <w:tcW w:w="1868" w:type="dxa"/>
            <w:tcBorders>
              <w:top w:val="single" w:color="auto" w:sz="4" w:space="0"/>
              <w:left w:val="single" w:color="auto" w:sz="4" w:space="0"/>
              <w:bottom w:val="single" w:color="auto" w:sz="4" w:space="0"/>
              <w:right w:val="single" w:color="auto" w:sz="4" w:space="0"/>
            </w:tcBorders>
          </w:tcPr>
          <w:p>
            <w:pPr>
              <w:spacing w:line="360" w:lineRule="auto"/>
              <w:ind w:left="-105" w:leftChars="-50" w:right="-105" w:rightChars="-50"/>
              <w:rPr>
                <w:rFonts w:asciiTheme="minorEastAsia" w:hAnsiTheme="minorEastAsia" w:eastAsiaTheme="minorEastAsia"/>
                <w:color w:val="auto"/>
                <w:sz w:val="24"/>
                <w:szCs w:val="24"/>
              </w:rPr>
            </w:pPr>
          </w:p>
        </w:tc>
        <w:tc>
          <w:tcPr>
            <w:tcW w:w="1597" w:type="dxa"/>
            <w:tcBorders>
              <w:top w:val="single" w:color="auto" w:sz="4" w:space="0"/>
              <w:left w:val="single" w:color="auto" w:sz="4" w:space="0"/>
              <w:bottom w:val="single" w:color="auto" w:sz="4" w:space="0"/>
              <w:right w:val="single" w:color="auto" w:sz="4" w:space="0"/>
            </w:tcBorders>
          </w:tcPr>
          <w:p>
            <w:pPr>
              <w:spacing w:line="360" w:lineRule="auto"/>
              <w:ind w:left="-105" w:leftChars="-50" w:right="-105" w:rightChars="-50"/>
              <w:rPr>
                <w:rFonts w:asciiTheme="minorEastAsia" w:hAnsiTheme="minorEastAsia" w:eastAsiaTheme="minorEastAsia"/>
                <w:color w:val="auto"/>
                <w:sz w:val="24"/>
                <w:szCs w:val="24"/>
              </w:rPr>
            </w:pPr>
          </w:p>
        </w:tc>
        <w:tc>
          <w:tcPr>
            <w:tcW w:w="761" w:type="dxa"/>
            <w:tcBorders>
              <w:top w:val="single" w:color="auto" w:sz="4" w:space="0"/>
              <w:left w:val="single" w:color="auto" w:sz="4" w:space="0"/>
              <w:bottom w:val="single" w:color="auto" w:sz="4" w:space="0"/>
              <w:right w:val="single" w:color="auto" w:sz="4" w:space="0"/>
            </w:tcBorders>
          </w:tcPr>
          <w:p>
            <w:pPr>
              <w:spacing w:line="360" w:lineRule="auto"/>
              <w:ind w:left="-105" w:leftChars="-50" w:right="-105" w:rightChars="-50"/>
              <w:rPr>
                <w:rFonts w:asciiTheme="minorEastAsia" w:hAnsiTheme="minorEastAsia" w:eastAsiaTheme="minorEastAsia"/>
                <w:color w:val="auto"/>
                <w:sz w:val="24"/>
                <w:szCs w:val="24"/>
              </w:rPr>
            </w:pPr>
          </w:p>
        </w:tc>
        <w:tc>
          <w:tcPr>
            <w:tcW w:w="1181" w:type="dxa"/>
            <w:tcBorders>
              <w:top w:val="single" w:color="auto" w:sz="4" w:space="0"/>
              <w:left w:val="single" w:color="auto" w:sz="4" w:space="0"/>
              <w:bottom w:val="single" w:color="auto" w:sz="4" w:space="0"/>
              <w:right w:val="single" w:color="auto" w:sz="4" w:space="0"/>
            </w:tcBorders>
          </w:tcPr>
          <w:p>
            <w:pPr>
              <w:spacing w:line="360" w:lineRule="auto"/>
              <w:ind w:left="-105" w:leftChars="-50" w:right="-105" w:rightChars="-50"/>
              <w:rPr>
                <w:rFonts w:asciiTheme="minorEastAsia" w:hAnsiTheme="minorEastAsia" w:eastAsiaTheme="minorEastAsia"/>
                <w:color w:val="auto"/>
                <w:sz w:val="24"/>
                <w:szCs w:val="24"/>
              </w:rPr>
            </w:pPr>
          </w:p>
        </w:tc>
        <w:tc>
          <w:tcPr>
            <w:tcW w:w="788" w:type="dxa"/>
            <w:tcBorders>
              <w:top w:val="single" w:color="auto" w:sz="4" w:space="0"/>
              <w:left w:val="single" w:color="auto" w:sz="4" w:space="0"/>
              <w:bottom w:val="single" w:color="auto" w:sz="4" w:space="0"/>
              <w:right w:val="single" w:color="auto" w:sz="4" w:space="0"/>
            </w:tcBorders>
          </w:tcPr>
          <w:p>
            <w:pPr>
              <w:spacing w:line="360" w:lineRule="auto"/>
              <w:ind w:left="-105" w:leftChars="-50" w:right="-105" w:rightChars="-50"/>
              <w:rPr>
                <w:rFonts w:asciiTheme="minorEastAsia" w:hAnsiTheme="minorEastAsia" w:eastAsiaTheme="minorEastAsia"/>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0" w:type="dxa"/>
            <w:tcBorders>
              <w:top w:val="single" w:color="auto" w:sz="4" w:space="0"/>
              <w:left w:val="single" w:color="auto" w:sz="4" w:space="0"/>
              <w:bottom w:val="single" w:color="auto" w:sz="4" w:space="0"/>
              <w:right w:val="single" w:color="auto" w:sz="4" w:space="0"/>
            </w:tcBorders>
          </w:tcPr>
          <w:p>
            <w:pPr>
              <w:spacing w:line="360" w:lineRule="auto"/>
              <w:ind w:left="-105" w:leftChars="-50" w:right="-105" w:rightChars="-50"/>
              <w:rPr>
                <w:rFonts w:asciiTheme="minorEastAsia" w:hAnsiTheme="minorEastAsia" w:eastAsiaTheme="minorEastAsia"/>
                <w:color w:val="auto"/>
                <w:sz w:val="24"/>
                <w:szCs w:val="24"/>
              </w:rPr>
            </w:pPr>
          </w:p>
        </w:tc>
        <w:tc>
          <w:tcPr>
            <w:tcW w:w="850" w:type="dxa"/>
            <w:tcBorders>
              <w:top w:val="single" w:color="auto" w:sz="4" w:space="0"/>
              <w:left w:val="single" w:color="auto" w:sz="4" w:space="0"/>
              <w:bottom w:val="single" w:color="auto" w:sz="4" w:space="0"/>
              <w:right w:val="single" w:color="auto" w:sz="4" w:space="0"/>
            </w:tcBorders>
          </w:tcPr>
          <w:p>
            <w:pPr>
              <w:spacing w:line="360" w:lineRule="auto"/>
              <w:ind w:left="-105" w:leftChars="-50" w:right="-105" w:rightChars="-50"/>
              <w:rPr>
                <w:rFonts w:asciiTheme="minorEastAsia" w:hAnsiTheme="minorEastAsia" w:eastAsiaTheme="minorEastAsia"/>
                <w:color w:val="auto"/>
                <w:sz w:val="24"/>
                <w:szCs w:val="24"/>
              </w:rPr>
            </w:pPr>
          </w:p>
        </w:tc>
        <w:tc>
          <w:tcPr>
            <w:tcW w:w="658" w:type="dxa"/>
            <w:tcBorders>
              <w:top w:val="single" w:color="auto" w:sz="4" w:space="0"/>
              <w:left w:val="single" w:color="auto" w:sz="4" w:space="0"/>
              <w:bottom w:val="single" w:color="auto" w:sz="4" w:space="0"/>
              <w:right w:val="single" w:color="auto" w:sz="4" w:space="0"/>
            </w:tcBorders>
          </w:tcPr>
          <w:p>
            <w:pPr>
              <w:spacing w:line="360" w:lineRule="auto"/>
              <w:ind w:left="-105" w:leftChars="-50" w:right="-105" w:rightChars="-50"/>
              <w:rPr>
                <w:rFonts w:asciiTheme="minorEastAsia" w:hAnsiTheme="minorEastAsia" w:eastAsiaTheme="minorEastAsia"/>
                <w:color w:val="auto"/>
                <w:sz w:val="24"/>
                <w:szCs w:val="24"/>
              </w:rPr>
            </w:pPr>
          </w:p>
        </w:tc>
        <w:tc>
          <w:tcPr>
            <w:tcW w:w="735" w:type="dxa"/>
            <w:tcBorders>
              <w:top w:val="single" w:color="auto" w:sz="4" w:space="0"/>
              <w:left w:val="single" w:color="auto" w:sz="4" w:space="0"/>
              <w:bottom w:val="single" w:color="auto" w:sz="4" w:space="0"/>
              <w:right w:val="single" w:color="auto" w:sz="4" w:space="0"/>
            </w:tcBorders>
          </w:tcPr>
          <w:p>
            <w:pPr>
              <w:spacing w:line="360" w:lineRule="auto"/>
              <w:ind w:left="-105" w:leftChars="-50" w:right="-105" w:rightChars="-50"/>
              <w:rPr>
                <w:rFonts w:asciiTheme="minorEastAsia" w:hAnsiTheme="minorEastAsia" w:eastAsiaTheme="minorEastAsia"/>
                <w:color w:val="auto"/>
                <w:sz w:val="24"/>
                <w:szCs w:val="24"/>
              </w:rPr>
            </w:pPr>
          </w:p>
        </w:tc>
        <w:tc>
          <w:tcPr>
            <w:tcW w:w="1868" w:type="dxa"/>
            <w:tcBorders>
              <w:top w:val="single" w:color="auto" w:sz="4" w:space="0"/>
              <w:left w:val="single" w:color="auto" w:sz="4" w:space="0"/>
              <w:bottom w:val="single" w:color="auto" w:sz="4" w:space="0"/>
              <w:right w:val="single" w:color="auto" w:sz="4" w:space="0"/>
            </w:tcBorders>
          </w:tcPr>
          <w:p>
            <w:pPr>
              <w:spacing w:line="360" w:lineRule="auto"/>
              <w:ind w:left="-105" w:leftChars="-50" w:right="-105" w:rightChars="-50"/>
              <w:rPr>
                <w:rFonts w:asciiTheme="minorEastAsia" w:hAnsiTheme="minorEastAsia" w:eastAsiaTheme="minorEastAsia"/>
                <w:color w:val="auto"/>
                <w:sz w:val="24"/>
                <w:szCs w:val="24"/>
              </w:rPr>
            </w:pPr>
          </w:p>
        </w:tc>
        <w:tc>
          <w:tcPr>
            <w:tcW w:w="1597" w:type="dxa"/>
            <w:tcBorders>
              <w:top w:val="single" w:color="auto" w:sz="4" w:space="0"/>
              <w:left w:val="single" w:color="auto" w:sz="4" w:space="0"/>
              <w:bottom w:val="single" w:color="auto" w:sz="4" w:space="0"/>
              <w:right w:val="single" w:color="auto" w:sz="4" w:space="0"/>
            </w:tcBorders>
          </w:tcPr>
          <w:p>
            <w:pPr>
              <w:spacing w:line="360" w:lineRule="auto"/>
              <w:ind w:left="-105" w:leftChars="-50" w:right="-105" w:rightChars="-50"/>
              <w:rPr>
                <w:rFonts w:asciiTheme="minorEastAsia" w:hAnsiTheme="minorEastAsia" w:eastAsiaTheme="minorEastAsia"/>
                <w:color w:val="auto"/>
                <w:sz w:val="24"/>
                <w:szCs w:val="24"/>
              </w:rPr>
            </w:pPr>
          </w:p>
        </w:tc>
        <w:tc>
          <w:tcPr>
            <w:tcW w:w="761" w:type="dxa"/>
            <w:tcBorders>
              <w:top w:val="single" w:color="auto" w:sz="4" w:space="0"/>
              <w:left w:val="single" w:color="auto" w:sz="4" w:space="0"/>
              <w:bottom w:val="single" w:color="auto" w:sz="4" w:space="0"/>
              <w:right w:val="single" w:color="auto" w:sz="4" w:space="0"/>
            </w:tcBorders>
          </w:tcPr>
          <w:p>
            <w:pPr>
              <w:spacing w:line="360" w:lineRule="auto"/>
              <w:ind w:left="-105" w:leftChars="-50" w:right="-105" w:rightChars="-50"/>
              <w:rPr>
                <w:rFonts w:asciiTheme="minorEastAsia" w:hAnsiTheme="minorEastAsia" w:eastAsiaTheme="minorEastAsia"/>
                <w:color w:val="auto"/>
                <w:sz w:val="24"/>
                <w:szCs w:val="24"/>
              </w:rPr>
            </w:pPr>
          </w:p>
        </w:tc>
        <w:tc>
          <w:tcPr>
            <w:tcW w:w="1181" w:type="dxa"/>
            <w:tcBorders>
              <w:top w:val="single" w:color="auto" w:sz="4" w:space="0"/>
              <w:left w:val="single" w:color="auto" w:sz="4" w:space="0"/>
              <w:bottom w:val="single" w:color="auto" w:sz="4" w:space="0"/>
              <w:right w:val="single" w:color="auto" w:sz="4" w:space="0"/>
            </w:tcBorders>
          </w:tcPr>
          <w:p>
            <w:pPr>
              <w:spacing w:line="360" w:lineRule="auto"/>
              <w:ind w:left="-105" w:leftChars="-50" w:right="-105" w:rightChars="-50"/>
              <w:rPr>
                <w:rFonts w:asciiTheme="minorEastAsia" w:hAnsiTheme="minorEastAsia" w:eastAsiaTheme="minorEastAsia"/>
                <w:color w:val="auto"/>
                <w:sz w:val="24"/>
                <w:szCs w:val="24"/>
              </w:rPr>
            </w:pPr>
          </w:p>
        </w:tc>
        <w:tc>
          <w:tcPr>
            <w:tcW w:w="788" w:type="dxa"/>
            <w:tcBorders>
              <w:top w:val="single" w:color="auto" w:sz="4" w:space="0"/>
              <w:left w:val="single" w:color="auto" w:sz="4" w:space="0"/>
              <w:bottom w:val="single" w:color="auto" w:sz="4" w:space="0"/>
              <w:right w:val="single" w:color="auto" w:sz="4" w:space="0"/>
            </w:tcBorders>
          </w:tcPr>
          <w:p>
            <w:pPr>
              <w:spacing w:line="360" w:lineRule="auto"/>
              <w:ind w:left="-105" w:leftChars="-50" w:right="-105" w:rightChars="-50"/>
              <w:rPr>
                <w:rFonts w:asciiTheme="minorEastAsia" w:hAnsiTheme="minorEastAsia" w:eastAsiaTheme="minorEastAsia"/>
                <w:color w:val="auto"/>
                <w:sz w:val="24"/>
                <w:szCs w:val="24"/>
              </w:rPr>
            </w:pPr>
          </w:p>
        </w:tc>
      </w:tr>
    </w:tbl>
    <w:p>
      <w:pPr>
        <w:spacing w:line="360" w:lineRule="auto"/>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各阶段拟委派本项目的主要技术人员及个人业绩、资历情况，按下列格式提供作为合同的附件二：拟委派本项目主要技术人员一览表</w:t>
      </w:r>
    </w:p>
    <w:tbl>
      <w:tblPr>
        <w:tblStyle w:val="55"/>
        <w:tblW w:w="91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4"/>
        <w:gridCol w:w="2619"/>
        <w:gridCol w:w="54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1084" w:type="dxa"/>
            <w:vAlign w:val="center"/>
          </w:tcPr>
          <w:p>
            <w:pPr>
              <w:spacing w:line="360" w:lineRule="auto"/>
              <w:ind w:left="-105" w:leftChars="-50" w:right="-105" w:rightChars="-50"/>
              <w:rPr>
                <w:rFonts w:asciiTheme="minorEastAsia" w:hAnsiTheme="minorEastAsia" w:eastAsiaTheme="minorEastAsia"/>
                <w:b/>
                <w:color w:val="auto"/>
                <w:sz w:val="24"/>
                <w:szCs w:val="24"/>
              </w:rPr>
            </w:pPr>
            <w:r>
              <w:rPr>
                <w:rFonts w:hint="eastAsia" w:asciiTheme="minorEastAsia" w:hAnsiTheme="minorEastAsia" w:eastAsiaTheme="minorEastAsia"/>
                <w:b/>
                <w:color w:val="auto"/>
                <w:sz w:val="24"/>
                <w:szCs w:val="24"/>
              </w:rPr>
              <w:t>姓名</w:t>
            </w:r>
          </w:p>
        </w:tc>
        <w:tc>
          <w:tcPr>
            <w:tcW w:w="2619" w:type="dxa"/>
            <w:vAlign w:val="center"/>
          </w:tcPr>
          <w:p>
            <w:pPr>
              <w:pStyle w:val="32"/>
              <w:spacing w:line="360" w:lineRule="auto"/>
              <w:ind w:left="-105" w:leftChars="-50" w:right="-105" w:rightChars="-50"/>
              <w:jc w:val="center"/>
              <w:rPr>
                <w:rFonts w:asciiTheme="minorEastAsia" w:hAnsiTheme="minorEastAsia" w:eastAsiaTheme="minorEastAsia"/>
                <w:b/>
                <w:color w:val="auto"/>
                <w:szCs w:val="24"/>
              </w:rPr>
            </w:pPr>
            <w:r>
              <w:rPr>
                <w:rFonts w:hint="eastAsia" w:asciiTheme="minorEastAsia" w:hAnsiTheme="minorEastAsia" w:eastAsiaTheme="minorEastAsia"/>
                <w:b/>
                <w:color w:val="auto"/>
                <w:szCs w:val="24"/>
              </w:rPr>
              <w:t>专业</w:t>
            </w:r>
          </w:p>
        </w:tc>
        <w:tc>
          <w:tcPr>
            <w:tcW w:w="5435" w:type="dxa"/>
            <w:vAlign w:val="center"/>
          </w:tcPr>
          <w:p>
            <w:pPr>
              <w:spacing w:line="360" w:lineRule="auto"/>
              <w:ind w:left="11" w:leftChars="-50" w:right="-105" w:rightChars="-50" w:hanging="116" w:hangingChars="48"/>
              <w:jc w:val="center"/>
              <w:rPr>
                <w:rFonts w:asciiTheme="minorEastAsia" w:hAnsiTheme="minorEastAsia" w:eastAsiaTheme="minorEastAsia"/>
                <w:b/>
                <w:color w:val="auto"/>
                <w:sz w:val="24"/>
                <w:szCs w:val="24"/>
              </w:rPr>
            </w:pPr>
            <w:r>
              <w:rPr>
                <w:rFonts w:hint="eastAsia" w:asciiTheme="minorEastAsia" w:hAnsiTheme="minorEastAsia" w:eastAsiaTheme="minorEastAsia"/>
                <w:b/>
                <w:color w:val="auto"/>
                <w:sz w:val="24"/>
                <w:szCs w:val="24"/>
              </w:rPr>
              <w:t>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084" w:type="dxa"/>
            <w:vAlign w:val="center"/>
          </w:tcPr>
          <w:p>
            <w:pPr>
              <w:spacing w:line="360" w:lineRule="auto"/>
              <w:ind w:left="-105" w:leftChars="-50" w:right="-105" w:rightChars="-50"/>
              <w:rPr>
                <w:rFonts w:asciiTheme="minorEastAsia" w:hAnsiTheme="minorEastAsia" w:eastAsiaTheme="minorEastAsia"/>
                <w:color w:val="auto"/>
                <w:sz w:val="24"/>
                <w:szCs w:val="24"/>
              </w:rPr>
            </w:pPr>
          </w:p>
        </w:tc>
        <w:tc>
          <w:tcPr>
            <w:tcW w:w="2619" w:type="dxa"/>
            <w:vAlign w:val="center"/>
          </w:tcPr>
          <w:p>
            <w:pPr>
              <w:spacing w:line="360" w:lineRule="auto"/>
              <w:ind w:left="-105" w:leftChars="-50" w:right="-105" w:rightChars="-5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项目负责人</w:t>
            </w:r>
          </w:p>
        </w:tc>
        <w:tc>
          <w:tcPr>
            <w:tcW w:w="5435" w:type="dxa"/>
            <w:vAlign w:val="center"/>
          </w:tcPr>
          <w:p>
            <w:pPr>
              <w:spacing w:line="360" w:lineRule="auto"/>
              <w:ind w:left="-105" w:leftChars="-50" w:right="-105" w:rightChars="-50"/>
              <w:rPr>
                <w:rFonts w:asciiTheme="minorEastAsia" w:hAnsiTheme="minorEastAsia" w:eastAsiaTheme="minorEastAsia"/>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1084" w:type="dxa"/>
            <w:vAlign w:val="center"/>
          </w:tcPr>
          <w:p>
            <w:pPr>
              <w:spacing w:line="360" w:lineRule="auto"/>
              <w:ind w:left="-105" w:leftChars="-50" w:right="-105" w:rightChars="-50"/>
              <w:rPr>
                <w:rFonts w:asciiTheme="minorEastAsia" w:hAnsiTheme="minorEastAsia" w:eastAsiaTheme="minorEastAsia"/>
                <w:color w:val="auto"/>
                <w:sz w:val="24"/>
                <w:szCs w:val="24"/>
              </w:rPr>
            </w:pPr>
          </w:p>
        </w:tc>
        <w:tc>
          <w:tcPr>
            <w:tcW w:w="2619" w:type="dxa"/>
            <w:vAlign w:val="center"/>
          </w:tcPr>
          <w:p>
            <w:pPr>
              <w:spacing w:line="360" w:lineRule="auto"/>
              <w:ind w:left="-105" w:leftChars="-50" w:right="-105" w:rightChars="-5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建筑专业负责人（可由项目负责人兼任）</w:t>
            </w:r>
          </w:p>
        </w:tc>
        <w:tc>
          <w:tcPr>
            <w:tcW w:w="5435" w:type="dxa"/>
            <w:vAlign w:val="center"/>
          </w:tcPr>
          <w:p>
            <w:pPr>
              <w:spacing w:line="360" w:lineRule="auto"/>
              <w:ind w:left="-105" w:leftChars="-50" w:right="-105" w:rightChars="-50"/>
              <w:rPr>
                <w:rFonts w:asciiTheme="minorEastAsia" w:hAnsiTheme="minorEastAsia" w:eastAsiaTheme="minorEastAsia"/>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084" w:type="dxa"/>
            <w:vAlign w:val="center"/>
          </w:tcPr>
          <w:p>
            <w:pPr>
              <w:spacing w:line="360" w:lineRule="auto"/>
              <w:ind w:left="-105" w:leftChars="-50" w:right="-105" w:rightChars="-50"/>
              <w:rPr>
                <w:rFonts w:asciiTheme="minorEastAsia" w:hAnsiTheme="minorEastAsia" w:eastAsiaTheme="minorEastAsia"/>
                <w:color w:val="auto"/>
                <w:sz w:val="24"/>
                <w:szCs w:val="24"/>
              </w:rPr>
            </w:pPr>
          </w:p>
        </w:tc>
        <w:tc>
          <w:tcPr>
            <w:tcW w:w="2619" w:type="dxa"/>
            <w:vAlign w:val="center"/>
          </w:tcPr>
          <w:p>
            <w:pPr>
              <w:spacing w:line="360" w:lineRule="auto"/>
              <w:ind w:left="-105" w:leftChars="-50" w:right="-105" w:rightChars="-5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结构专业负责人</w:t>
            </w:r>
          </w:p>
        </w:tc>
        <w:tc>
          <w:tcPr>
            <w:tcW w:w="5435" w:type="dxa"/>
            <w:vAlign w:val="center"/>
          </w:tcPr>
          <w:p>
            <w:pPr>
              <w:spacing w:line="360" w:lineRule="auto"/>
              <w:ind w:left="-105" w:leftChars="-50" w:right="-105" w:rightChars="-50"/>
              <w:rPr>
                <w:rFonts w:asciiTheme="minorEastAsia" w:hAnsiTheme="minorEastAsia" w:eastAsiaTheme="minorEastAsia"/>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084" w:type="dxa"/>
            <w:vAlign w:val="center"/>
          </w:tcPr>
          <w:p>
            <w:pPr>
              <w:spacing w:line="360" w:lineRule="auto"/>
              <w:ind w:left="-105" w:leftChars="-50" w:right="-105" w:rightChars="-50"/>
              <w:rPr>
                <w:rFonts w:asciiTheme="minorEastAsia" w:hAnsiTheme="minorEastAsia" w:eastAsiaTheme="minorEastAsia"/>
                <w:color w:val="auto"/>
                <w:sz w:val="24"/>
                <w:szCs w:val="24"/>
              </w:rPr>
            </w:pPr>
          </w:p>
        </w:tc>
        <w:tc>
          <w:tcPr>
            <w:tcW w:w="2619" w:type="dxa"/>
            <w:vAlign w:val="center"/>
          </w:tcPr>
          <w:p>
            <w:pPr>
              <w:spacing w:line="360" w:lineRule="auto"/>
              <w:ind w:left="-105" w:leftChars="-50" w:right="-105" w:rightChars="-5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基坑支护技术负责人</w:t>
            </w:r>
          </w:p>
        </w:tc>
        <w:tc>
          <w:tcPr>
            <w:tcW w:w="5435" w:type="dxa"/>
            <w:vAlign w:val="center"/>
          </w:tcPr>
          <w:p>
            <w:pPr>
              <w:spacing w:line="360" w:lineRule="auto"/>
              <w:ind w:left="-105" w:leftChars="-50" w:right="-105" w:rightChars="-50"/>
              <w:rPr>
                <w:rFonts w:asciiTheme="minorEastAsia" w:hAnsiTheme="minorEastAsia" w:eastAsiaTheme="minorEastAsia"/>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1084" w:type="dxa"/>
            <w:vAlign w:val="center"/>
          </w:tcPr>
          <w:p>
            <w:pPr>
              <w:spacing w:line="360" w:lineRule="auto"/>
              <w:ind w:left="-105" w:leftChars="-50" w:right="-105" w:rightChars="-50"/>
              <w:rPr>
                <w:rFonts w:asciiTheme="minorEastAsia" w:hAnsiTheme="minorEastAsia" w:eastAsiaTheme="minorEastAsia"/>
                <w:color w:val="auto"/>
                <w:sz w:val="24"/>
                <w:szCs w:val="24"/>
              </w:rPr>
            </w:pPr>
          </w:p>
        </w:tc>
        <w:tc>
          <w:tcPr>
            <w:tcW w:w="2619" w:type="dxa"/>
            <w:vAlign w:val="center"/>
          </w:tcPr>
          <w:p>
            <w:pPr>
              <w:spacing w:line="360" w:lineRule="auto"/>
              <w:ind w:left="-105" w:leftChars="-50" w:right="-105" w:rightChars="-5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给排水专业负责人</w:t>
            </w:r>
          </w:p>
        </w:tc>
        <w:tc>
          <w:tcPr>
            <w:tcW w:w="5435" w:type="dxa"/>
            <w:vAlign w:val="center"/>
          </w:tcPr>
          <w:p>
            <w:pPr>
              <w:spacing w:line="360" w:lineRule="auto"/>
              <w:ind w:left="-105" w:leftChars="-50" w:right="-105" w:rightChars="-50"/>
              <w:rPr>
                <w:rFonts w:asciiTheme="minorEastAsia" w:hAnsiTheme="minorEastAsia" w:eastAsiaTheme="minorEastAsia"/>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084" w:type="dxa"/>
            <w:vAlign w:val="center"/>
          </w:tcPr>
          <w:p>
            <w:pPr>
              <w:spacing w:line="360" w:lineRule="auto"/>
              <w:ind w:left="-105" w:leftChars="-50" w:right="-105" w:rightChars="-50"/>
              <w:rPr>
                <w:rFonts w:asciiTheme="minorEastAsia" w:hAnsiTheme="minorEastAsia" w:eastAsiaTheme="minorEastAsia"/>
                <w:color w:val="auto"/>
                <w:sz w:val="24"/>
                <w:szCs w:val="24"/>
              </w:rPr>
            </w:pPr>
          </w:p>
        </w:tc>
        <w:tc>
          <w:tcPr>
            <w:tcW w:w="2619" w:type="dxa"/>
            <w:vAlign w:val="center"/>
          </w:tcPr>
          <w:p>
            <w:pPr>
              <w:spacing w:line="360" w:lineRule="auto"/>
              <w:ind w:left="-105" w:leftChars="-50" w:right="-105" w:rightChars="-5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电气专业负责人</w:t>
            </w:r>
          </w:p>
        </w:tc>
        <w:tc>
          <w:tcPr>
            <w:tcW w:w="5435" w:type="dxa"/>
            <w:vAlign w:val="center"/>
          </w:tcPr>
          <w:p>
            <w:pPr>
              <w:spacing w:line="360" w:lineRule="auto"/>
              <w:ind w:left="-105" w:leftChars="-50" w:right="-105" w:rightChars="-50"/>
              <w:rPr>
                <w:rFonts w:asciiTheme="minorEastAsia" w:hAnsiTheme="minorEastAsia" w:eastAsiaTheme="minorEastAsia"/>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084" w:type="dxa"/>
            <w:vAlign w:val="center"/>
          </w:tcPr>
          <w:p>
            <w:pPr>
              <w:spacing w:line="360" w:lineRule="auto"/>
              <w:ind w:left="-105" w:leftChars="-50" w:right="-105" w:rightChars="-50"/>
              <w:rPr>
                <w:rFonts w:asciiTheme="minorEastAsia" w:hAnsiTheme="minorEastAsia" w:eastAsiaTheme="minorEastAsia"/>
                <w:color w:val="auto"/>
                <w:sz w:val="24"/>
                <w:szCs w:val="24"/>
              </w:rPr>
            </w:pPr>
          </w:p>
        </w:tc>
        <w:tc>
          <w:tcPr>
            <w:tcW w:w="2619" w:type="dxa"/>
            <w:vAlign w:val="center"/>
          </w:tcPr>
          <w:p>
            <w:pPr>
              <w:spacing w:line="360" w:lineRule="auto"/>
              <w:ind w:left="-105" w:leftChars="-50" w:right="-105" w:rightChars="-5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暖通空调专业负责人</w:t>
            </w:r>
          </w:p>
        </w:tc>
        <w:tc>
          <w:tcPr>
            <w:tcW w:w="5435" w:type="dxa"/>
            <w:vAlign w:val="center"/>
          </w:tcPr>
          <w:p>
            <w:pPr>
              <w:spacing w:line="360" w:lineRule="auto"/>
              <w:ind w:left="-105" w:leftChars="-50" w:right="-105" w:rightChars="-50"/>
              <w:rPr>
                <w:rFonts w:asciiTheme="minorEastAsia" w:hAnsiTheme="minorEastAsia" w:eastAsiaTheme="minorEastAsia"/>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084" w:type="dxa"/>
            <w:vAlign w:val="center"/>
          </w:tcPr>
          <w:p>
            <w:pPr>
              <w:spacing w:line="360" w:lineRule="auto"/>
              <w:ind w:left="-105" w:leftChars="-50" w:right="-105" w:rightChars="-50"/>
              <w:rPr>
                <w:rFonts w:asciiTheme="minorEastAsia" w:hAnsiTheme="minorEastAsia" w:eastAsiaTheme="minorEastAsia"/>
                <w:color w:val="auto"/>
                <w:sz w:val="24"/>
                <w:szCs w:val="24"/>
              </w:rPr>
            </w:pPr>
          </w:p>
        </w:tc>
        <w:tc>
          <w:tcPr>
            <w:tcW w:w="2619" w:type="dxa"/>
            <w:vAlign w:val="center"/>
          </w:tcPr>
          <w:p>
            <w:pPr>
              <w:spacing w:line="360" w:lineRule="auto"/>
              <w:ind w:left="-105" w:leftChars="-50" w:right="-105" w:rightChars="-5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概预算专业负责人</w:t>
            </w:r>
          </w:p>
        </w:tc>
        <w:tc>
          <w:tcPr>
            <w:tcW w:w="5435" w:type="dxa"/>
            <w:vAlign w:val="center"/>
          </w:tcPr>
          <w:p>
            <w:pPr>
              <w:spacing w:line="360" w:lineRule="auto"/>
              <w:ind w:left="-105" w:leftChars="-50" w:right="-105" w:rightChars="-50"/>
              <w:rPr>
                <w:rFonts w:asciiTheme="minorEastAsia" w:hAnsiTheme="minorEastAsia" w:eastAsiaTheme="minorEastAsia"/>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084" w:type="dxa"/>
            <w:vAlign w:val="center"/>
          </w:tcPr>
          <w:p>
            <w:pPr>
              <w:spacing w:line="360" w:lineRule="auto"/>
              <w:ind w:left="-105" w:leftChars="-50" w:right="-105" w:rightChars="-50"/>
              <w:rPr>
                <w:rFonts w:asciiTheme="minorEastAsia" w:hAnsiTheme="minorEastAsia" w:eastAsiaTheme="minorEastAsia"/>
                <w:color w:val="auto"/>
                <w:sz w:val="24"/>
                <w:szCs w:val="24"/>
              </w:rPr>
            </w:pPr>
          </w:p>
        </w:tc>
        <w:tc>
          <w:tcPr>
            <w:tcW w:w="2619" w:type="dxa"/>
            <w:vAlign w:val="center"/>
          </w:tcPr>
          <w:p>
            <w:pPr>
              <w:spacing w:line="360" w:lineRule="auto"/>
              <w:ind w:left="-105" w:leftChars="-50" w:right="-105" w:rightChars="-5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勘察负责人</w:t>
            </w:r>
          </w:p>
        </w:tc>
        <w:tc>
          <w:tcPr>
            <w:tcW w:w="5435" w:type="dxa"/>
            <w:vAlign w:val="center"/>
          </w:tcPr>
          <w:p>
            <w:pPr>
              <w:spacing w:line="360" w:lineRule="auto"/>
              <w:ind w:left="-105" w:leftChars="-50" w:right="-105" w:rightChars="-50"/>
              <w:rPr>
                <w:rFonts w:asciiTheme="minorEastAsia" w:hAnsiTheme="minorEastAsia" w:eastAsiaTheme="minorEastAsia"/>
                <w:color w:val="auto"/>
                <w:sz w:val="24"/>
                <w:szCs w:val="24"/>
              </w:rPr>
            </w:pPr>
          </w:p>
        </w:tc>
      </w:tr>
    </w:tbl>
    <w:p>
      <w:pPr>
        <w:spacing w:line="360" w:lineRule="auto"/>
        <w:rPr>
          <w:rFonts w:asciiTheme="minorEastAsia" w:hAnsiTheme="minorEastAsia" w:eastAsiaTheme="minorEastAsia"/>
          <w:color w:val="auto"/>
          <w:sz w:val="24"/>
          <w:szCs w:val="24"/>
        </w:rPr>
      </w:pPr>
    </w:p>
    <w:p>
      <w:pPr>
        <w:spacing w:line="360" w:lineRule="auto"/>
        <w:rPr>
          <w:rFonts w:asciiTheme="minorEastAsia" w:hAnsiTheme="minorEastAsia" w:eastAsiaTheme="minorEastAsia"/>
          <w:b/>
          <w:strike/>
          <w:color w:val="auto"/>
          <w:sz w:val="24"/>
          <w:szCs w:val="24"/>
        </w:rPr>
      </w:pPr>
      <w:r>
        <w:rPr>
          <w:rFonts w:hint="eastAsia" w:asciiTheme="minorEastAsia" w:hAnsiTheme="minorEastAsia" w:eastAsiaTheme="minorEastAsia"/>
          <w:b/>
          <w:color w:val="auto"/>
          <w:sz w:val="24"/>
          <w:szCs w:val="24"/>
        </w:rPr>
        <w:br w:type="page"/>
      </w:r>
      <w:r>
        <w:rPr>
          <w:rFonts w:hint="eastAsia" w:asciiTheme="minorEastAsia" w:hAnsiTheme="minorEastAsia" w:eastAsiaTheme="minorEastAsia"/>
          <w:b/>
          <w:strike/>
          <w:color w:val="auto"/>
          <w:sz w:val="24"/>
          <w:szCs w:val="24"/>
        </w:rPr>
        <w:t>附件</w:t>
      </w:r>
      <w:r>
        <w:rPr>
          <w:rFonts w:asciiTheme="minorEastAsia" w:hAnsiTheme="minorEastAsia" w:eastAsiaTheme="minorEastAsia"/>
          <w:b/>
          <w:strike/>
          <w:color w:val="auto"/>
          <w:sz w:val="24"/>
          <w:szCs w:val="24"/>
        </w:rPr>
        <w:t>5：设计错误分类</w:t>
      </w:r>
    </w:p>
    <w:p>
      <w:pPr>
        <w:spacing w:line="360" w:lineRule="auto"/>
        <w:jc w:val="center"/>
        <w:rPr>
          <w:rFonts w:asciiTheme="minorEastAsia" w:hAnsiTheme="minorEastAsia" w:eastAsiaTheme="minorEastAsia"/>
          <w:strike/>
          <w:color w:val="auto"/>
          <w:sz w:val="24"/>
          <w:szCs w:val="24"/>
        </w:rPr>
      </w:pPr>
      <w:r>
        <w:rPr>
          <w:rFonts w:hint="eastAsia" w:asciiTheme="minorEastAsia" w:hAnsiTheme="minorEastAsia" w:eastAsiaTheme="minorEastAsia"/>
          <w:strike/>
          <w:color w:val="auto"/>
          <w:sz w:val="24"/>
          <w:szCs w:val="24"/>
        </w:rPr>
        <w:t>设计错误分类</w:t>
      </w:r>
    </w:p>
    <w:p>
      <w:pPr>
        <w:spacing w:line="360" w:lineRule="auto"/>
        <w:jc w:val="center"/>
        <w:rPr>
          <w:rFonts w:asciiTheme="minorEastAsia" w:hAnsiTheme="minorEastAsia" w:eastAsiaTheme="minorEastAsia"/>
          <w:strike/>
          <w:color w:val="auto"/>
          <w:sz w:val="24"/>
          <w:szCs w:val="24"/>
        </w:rPr>
      </w:pPr>
    </w:p>
    <w:p>
      <w:pPr>
        <w:spacing w:line="360" w:lineRule="auto"/>
        <w:ind w:firstLine="488" w:firstLineChars="201"/>
        <w:rPr>
          <w:rFonts w:cs="宋体" w:asciiTheme="minorEastAsia" w:hAnsiTheme="minorEastAsia" w:eastAsiaTheme="minorEastAsia"/>
          <w:b/>
          <w:strike/>
          <w:color w:val="auto"/>
          <w:sz w:val="24"/>
          <w:szCs w:val="24"/>
        </w:rPr>
      </w:pPr>
      <w:r>
        <w:rPr>
          <w:rFonts w:hint="eastAsia" w:cs="宋体" w:asciiTheme="minorEastAsia" w:hAnsiTheme="minorEastAsia" w:eastAsiaTheme="minorEastAsia"/>
          <w:b/>
          <w:strike/>
          <w:color w:val="auto"/>
          <w:spacing w:val="1"/>
          <w:sz w:val="24"/>
          <w:szCs w:val="24"/>
        </w:rPr>
        <w:t>Ⅰ类</w:t>
      </w:r>
      <w:r>
        <w:rPr>
          <w:rFonts w:hint="eastAsia" w:cs="宋体" w:asciiTheme="minorEastAsia" w:hAnsiTheme="minorEastAsia" w:eastAsiaTheme="minorEastAsia"/>
          <w:b/>
          <w:strike/>
          <w:color w:val="auto"/>
          <w:sz w:val="24"/>
          <w:szCs w:val="24"/>
        </w:rPr>
        <w:t>错误</w:t>
      </w:r>
    </w:p>
    <w:p>
      <w:pPr>
        <w:spacing w:line="360" w:lineRule="auto"/>
        <w:ind w:firstLine="478" w:firstLineChars="201"/>
        <w:rPr>
          <w:rFonts w:cs="宋体" w:asciiTheme="minorEastAsia" w:hAnsiTheme="minorEastAsia" w:eastAsiaTheme="minorEastAsia"/>
          <w:strike/>
          <w:color w:val="auto"/>
          <w:sz w:val="24"/>
          <w:szCs w:val="24"/>
        </w:rPr>
      </w:pPr>
      <w:r>
        <w:rPr>
          <w:rFonts w:hint="eastAsia" w:cs="宋体" w:asciiTheme="minorEastAsia" w:hAnsiTheme="minorEastAsia" w:eastAsiaTheme="minorEastAsia"/>
          <w:strike/>
          <w:color w:val="auto"/>
          <w:spacing w:val="-1"/>
          <w:sz w:val="24"/>
          <w:szCs w:val="24"/>
        </w:rPr>
        <w:t>指设计文</w:t>
      </w:r>
      <w:r>
        <w:rPr>
          <w:rFonts w:hint="eastAsia" w:cs="宋体" w:asciiTheme="minorEastAsia" w:hAnsiTheme="minorEastAsia" w:eastAsiaTheme="minorEastAsia"/>
          <w:strike/>
          <w:color w:val="auto"/>
          <w:sz w:val="24"/>
          <w:szCs w:val="24"/>
        </w:rPr>
        <w:t>件中存在原则性或方案性的错误，并将导致工程决策错误，或造成不能正常使用、</w:t>
      </w:r>
      <w:r>
        <w:rPr>
          <w:rFonts w:hint="eastAsia" w:cs="宋体" w:asciiTheme="minorEastAsia" w:hAnsiTheme="minorEastAsia" w:eastAsiaTheme="minorEastAsia"/>
          <w:strike/>
          <w:color w:val="auto"/>
          <w:spacing w:val="-2"/>
          <w:sz w:val="24"/>
          <w:szCs w:val="24"/>
        </w:rPr>
        <w:t>返工，或造成重大经济损失，或造成安全事故，如：</w:t>
      </w:r>
      <w:r>
        <w:rPr>
          <w:rFonts w:cs="宋体" w:asciiTheme="minorEastAsia" w:hAnsiTheme="minorEastAsia" w:eastAsiaTheme="minorEastAsia"/>
          <w:strike/>
          <w:color w:val="auto"/>
          <w:spacing w:val="-9"/>
          <w:sz w:val="24"/>
          <w:szCs w:val="24"/>
        </w:rPr>
        <w:t>1</w:t>
      </w:r>
      <w:r>
        <w:rPr>
          <w:rFonts w:hint="eastAsia" w:cs="宋体" w:asciiTheme="minorEastAsia" w:hAnsiTheme="minorEastAsia" w:eastAsiaTheme="minorEastAsia"/>
          <w:strike/>
          <w:color w:val="auto"/>
          <w:spacing w:val="-3"/>
          <w:sz w:val="24"/>
          <w:szCs w:val="24"/>
        </w:rPr>
        <w:t>、违反国家有关</w:t>
      </w:r>
      <w:r>
        <w:rPr>
          <w:rFonts w:hint="eastAsia" w:cs="宋体" w:asciiTheme="minorEastAsia" w:hAnsiTheme="minorEastAsia" w:eastAsiaTheme="minorEastAsia"/>
          <w:strike/>
          <w:color w:val="auto"/>
          <w:spacing w:val="-2"/>
          <w:sz w:val="24"/>
          <w:szCs w:val="24"/>
        </w:rPr>
        <w:t>法律、法规及政策，或选用</w:t>
      </w:r>
      <w:r>
        <w:rPr>
          <w:rFonts w:hint="eastAsia" w:cs="宋体" w:asciiTheme="minorEastAsia" w:hAnsiTheme="minorEastAsia" w:eastAsiaTheme="minorEastAsia"/>
          <w:strike/>
          <w:color w:val="auto"/>
          <w:sz w:val="24"/>
          <w:szCs w:val="24"/>
        </w:rPr>
        <w:t>无效的标准规范；</w:t>
      </w:r>
      <w:r>
        <w:rPr>
          <w:rFonts w:cs="宋体" w:asciiTheme="minorEastAsia" w:hAnsiTheme="minorEastAsia" w:eastAsiaTheme="minorEastAsia"/>
          <w:strike/>
          <w:color w:val="auto"/>
          <w:spacing w:val="1"/>
          <w:sz w:val="24"/>
          <w:szCs w:val="24"/>
        </w:rPr>
        <w:t>2</w:t>
      </w:r>
      <w:r>
        <w:rPr>
          <w:rFonts w:hint="eastAsia" w:cs="宋体" w:asciiTheme="minorEastAsia" w:hAnsiTheme="minorEastAsia" w:eastAsiaTheme="minorEastAsia"/>
          <w:strike/>
          <w:color w:val="auto"/>
          <w:sz w:val="24"/>
          <w:szCs w:val="24"/>
        </w:rPr>
        <w:t>、不符合合同要求的用途或目的或规定的规模；</w:t>
      </w:r>
      <w:r>
        <w:rPr>
          <w:rFonts w:cs="宋体" w:asciiTheme="minorEastAsia" w:hAnsiTheme="minorEastAsia" w:eastAsiaTheme="minorEastAsia"/>
          <w:strike/>
          <w:color w:val="auto"/>
          <w:spacing w:val="3"/>
          <w:sz w:val="24"/>
          <w:szCs w:val="24"/>
        </w:rPr>
        <w:t>3</w:t>
      </w:r>
      <w:r>
        <w:rPr>
          <w:rFonts w:hint="eastAsia" w:cs="宋体" w:asciiTheme="minorEastAsia" w:hAnsiTheme="minorEastAsia" w:eastAsiaTheme="minorEastAsia"/>
          <w:strike/>
          <w:color w:val="auto"/>
          <w:spacing w:val="1"/>
          <w:sz w:val="24"/>
          <w:szCs w:val="24"/>
        </w:rPr>
        <w:t>、不</w:t>
      </w:r>
      <w:r>
        <w:rPr>
          <w:rFonts w:hint="eastAsia" w:cs="宋体" w:asciiTheme="minorEastAsia" w:hAnsiTheme="minorEastAsia" w:eastAsiaTheme="minorEastAsia"/>
          <w:strike/>
          <w:color w:val="auto"/>
          <w:sz w:val="24"/>
          <w:szCs w:val="24"/>
        </w:rPr>
        <w:t>满足城市规划对项目控制性指标的规定和要求；</w:t>
      </w:r>
      <w:r>
        <w:rPr>
          <w:rFonts w:cs="宋体" w:asciiTheme="minorEastAsia" w:hAnsiTheme="minorEastAsia" w:eastAsiaTheme="minorEastAsia"/>
          <w:strike/>
          <w:color w:val="auto"/>
          <w:spacing w:val="2"/>
          <w:sz w:val="24"/>
          <w:szCs w:val="24"/>
        </w:rPr>
        <w:t>4</w:t>
      </w:r>
      <w:r>
        <w:rPr>
          <w:rFonts w:hint="eastAsia" w:cs="宋体" w:asciiTheme="minorEastAsia" w:hAnsiTheme="minorEastAsia" w:eastAsiaTheme="minorEastAsia"/>
          <w:strike/>
          <w:color w:val="auto"/>
          <w:sz w:val="24"/>
          <w:szCs w:val="24"/>
        </w:rPr>
        <w:t>、违反国家现行技术规范、规定、标准的强制性条文；</w:t>
      </w:r>
      <w:r>
        <w:rPr>
          <w:rFonts w:cs="宋体" w:asciiTheme="minorEastAsia" w:hAnsiTheme="minorEastAsia" w:eastAsiaTheme="minorEastAsia"/>
          <w:strike/>
          <w:color w:val="auto"/>
          <w:spacing w:val="5"/>
          <w:sz w:val="24"/>
          <w:szCs w:val="24"/>
        </w:rPr>
        <w:t>5</w:t>
      </w:r>
      <w:r>
        <w:rPr>
          <w:rFonts w:hint="eastAsia" w:cs="宋体" w:asciiTheme="minorEastAsia" w:hAnsiTheme="minorEastAsia" w:eastAsiaTheme="minorEastAsia"/>
          <w:strike/>
          <w:color w:val="auto"/>
          <w:spacing w:val="1"/>
          <w:sz w:val="24"/>
          <w:szCs w:val="24"/>
        </w:rPr>
        <w:t>、设</w:t>
      </w:r>
      <w:r>
        <w:rPr>
          <w:rFonts w:hint="eastAsia" w:cs="宋体" w:asciiTheme="minorEastAsia" w:hAnsiTheme="minorEastAsia" w:eastAsiaTheme="minorEastAsia"/>
          <w:strike/>
          <w:color w:val="auto"/>
          <w:sz w:val="24"/>
          <w:szCs w:val="24"/>
        </w:rPr>
        <w:t>计方案不正确；</w:t>
      </w:r>
      <w:r>
        <w:rPr>
          <w:rFonts w:cs="宋体" w:asciiTheme="minorEastAsia" w:hAnsiTheme="minorEastAsia" w:eastAsiaTheme="minorEastAsia"/>
          <w:strike/>
          <w:color w:val="auto"/>
          <w:sz w:val="24"/>
          <w:szCs w:val="24"/>
        </w:rPr>
        <w:t>6、主要部位设计错误并影响安全性能或使用功能，或结构施工图设计没有计算书；</w:t>
      </w:r>
      <w:r>
        <w:rPr>
          <w:rFonts w:cs="宋体" w:asciiTheme="minorEastAsia" w:hAnsiTheme="minorEastAsia" w:eastAsiaTheme="minorEastAsia"/>
          <w:strike/>
          <w:color w:val="auto"/>
          <w:spacing w:val="7"/>
          <w:sz w:val="24"/>
          <w:szCs w:val="24"/>
        </w:rPr>
        <w:t>7</w:t>
      </w:r>
      <w:r>
        <w:rPr>
          <w:rFonts w:hint="eastAsia" w:cs="宋体" w:asciiTheme="minorEastAsia" w:hAnsiTheme="minorEastAsia" w:eastAsiaTheme="minorEastAsia"/>
          <w:strike/>
          <w:color w:val="auto"/>
          <w:sz w:val="24"/>
          <w:szCs w:val="24"/>
        </w:rPr>
        <w:t>、出现因设计责任引起的一类变更；</w:t>
      </w:r>
      <w:r>
        <w:rPr>
          <w:rFonts w:cs="宋体" w:asciiTheme="minorEastAsia" w:hAnsiTheme="minorEastAsia" w:eastAsiaTheme="minorEastAsia"/>
          <w:strike/>
          <w:color w:val="auto"/>
          <w:spacing w:val="1"/>
          <w:sz w:val="24"/>
          <w:szCs w:val="24"/>
        </w:rPr>
        <w:t>8、</w:t>
      </w:r>
      <w:r>
        <w:rPr>
          <w:rFonts w:hint="eastAsia" w:cs="宋体" w:asciiTheme="minorEastAsia" w:hAnsiTheme="minorEastAsia" w:eastAsiaTheme="minorEastAsia"/>
          <w:strike/>
          <w:color w:val="auto"/>
          <w:sz w:val="24"/>
          <w:szCs w:val="24"/>
        </w:rPr>
        <w:t>造价文件严重失实。</w:t>
      </w:r>
    </w:p>
    <w:p>
      <w:pPr>
        <w:spacing w:line="360" w:lineRule="auto"/>
        <w:ind w:firstLine="486" w:firstLineChars="201"/>
        <w:rPr>
          <w:rFonts w:cs="宋体" w:asciiTheme="minorEastAsia" w:hAnsiTheme="minorEastAsia" w:eastAsiaTheme="minorEastAsia"/>
          <w:strike/>
          <w:color w:val="auto"/>
          <w:sz w:val="24"/>
          <w:szCs w:val="24"/>
        </w:rPr>
      </w:pPr>
      <w:r>
        <w:rPr>
          <w:rFonts w:hint="eastAsia" w:cs="宋体" w:asciiTheme="minorEastAsia" w:hAnsiTheme="minorEastAsia" w:eastAsiaTheme="minorEastAsia"/>
          <w:strike/>
          <w:color w:val="auto"/>
          <w:spacing w:val="1"/>
          <w:sz w:val="24"/>
          <w:szCs w:val="24"/>
        </w:rPr>
        <w:t>具体</w:t>
      </w:r>
      <w:r>
        <w:rPr>
          <w:rFonts w:hint="eastAsia" w:cs="宋体" w:asciiTheme="minorEastAsia" w:hAnsiTheme="minorEastAsia" w:eastAsiaTheme="minorEastAsia"/>
          <w:strike/>
          <w:color w:val="auto"/>
          <w:sz w:val="24"/>
          <w:szCs w:val="24"/>
        </w:rPr>
        <w:t>按照专业又可分为：</w:t>
      </w:r>
    </w:p>
    <w:p>
      <w:pPr>
        <w:spacing w:line="360" w:lineRule="auto"/>
        <w:ind w:firstLine="482" w:firstLineChars="201"/>
        <w:rPr>
          <w:rFonts w:cs="宋体" w:asciiTheme="minorEastAsia" w:hAnsiTheme="minorEastAsia" w:eastAsiaTheme="minorEastAsia"/>
          <w:strike/>
          <w:color w:val="auto"/>
          <w:sz w:val="24"/>
          <w:szCs w:val="24"/>
        </w:rPr>
      </w:pPr>
      <w:r>
        <w:rPr>
          <w:rFonts w:hint="eastAsia" w:cs="宋体" w:asciiTheme="minorEastAsia" w:hAnsiTheme="minorEastAsia" w:eastAsiaTheme="minorEastAsia"/>
          <w:strike/>
          <w:color w:val="auto"/>
          <w:sz w:val="24"/>
          <w:szCs w:val="24"/>
        </w:rPr>
        <w:t>严重违反规范</w:t>
      </w:r>
      <w:r>
        <w:rPr>
          <w:rFonts w:hint="eastAsia" w:cs="宋体" w:asciiTheme="minorEastAsia" w:hAnsiTheme="minorEastAsia" w:eastAsiaTheme="minorEastAsia"/>
          <w:strike/>
          <w:color w:val="auto"/>
          <w:spacing w:val="1"/>
          <w:sz w:val="24"/>
          <w:szCs w:val="24"/>
        </w:rPr>
        <w:t>、标准、规</w:t>
      </w:r>
      <w:r>
        <w:rPr>
          <w:rFonts w:hint="eastAsia" w:cs="宋体" w:asciiTheme="minorEastAsia" w:hAnsiTheme="minorEastAsia" w:eastAsiaTheme="minorEastAsia"/>
          <w:strike/>
          <w:color w:val="auto"/>
          <w:sz w:val="24"/>
          <w:szCs w:val="24"/>
        </w:rPr>
        <w:t>定，有可能造成严重影响安全和使用的错误，如：</w:t>
      </w:r>
    </w:p>
    <w:p>
      <w:pPr>
        <w:autoSpaceDE w:val="0"/>
        <w:autoSpaceDN w:val="0"/>
        <w:spacing w:line="360" w:lineRule="auto"/>
        <w:ind w:firstLine="470" w:firstLineChars="201"/>
        <w:rPr>
          <w:rFonts w:asciiTheme="minorEastAsia" w:hAnsiTheme="minorEastAsia" w:eastAsiaTheme="minorEastAsia"/>
          <w:strike/>
          <w:color w:val="auto"/>
          <w:sz w:val="24"/>
          <w:szCs w:val="24"/>
        </w:rPr>
      </w:pPr>
      <w:r>
        <w:rPr>
          <w:rFonts w:hint="eastAsia" w:cs="宋体" w:asciiTheme="minorEastAsia" w:hAnsiTheme="minorEastAsia" w:eastAsiaTheme="minorEastAsia"/>
          <w:strike/>
          <w:color w:val="auto"/>
          <w:spacing w:val="-3"/>
          <w:sz w:val="24"/>
          <w:szCs w:val="24"/>
        </w:rPr>
        <w:t>建筑专业：规范中消防间距不够，而又未采取措施</w:t>
      </w:r>
      <w:r>
        <w:rPr>
          <w:rFonts w:hint="eastAsia" w:cs="宋体" w:asciiTheme="minorEastAsia" w:hAnsiTheme="minorEastAsia" w:eastAsiaTheme="minorEastAsia"/>
          <w:strike/>
          <w:color w:val="auto"/>
          <w:spacing w:val="-2"/>
          <w:sz w:val="24"/>
          <w:szCs w:val="24"/>
        </w:rPr>
        <w:t>；规划中日照间距不够；防火分区面积超</w:t>
      </w:r>
      <w:r>
        <w:rPr>
          <w:rFonts w:hint="eastAsia" w:cs="宋体" w:asciiTheme="minorEastAsia" w:hAnsiTheme="minorEastAsia" w:eastAsiaTheme="minorEastAsia"/>
          <w:strike/>
          <w:color w:val="auto"/>
          <w:sz w:val="24"/>
          <w:szCs w:val="24"/>
        </w:rPr>
        <w:t>规定，电梯</w:t>
      </w:r>
      <w:r>
        <w:rPr>
          <w:rFonts w:cs="宋体" w:asciiTheme="minorEastAsia" w:hAnsiTheme="minorEastAsia" w:eastAsiaTheme="minorEastAsia"/>
          <w:strike/>
          <w:color w:val="auto"/>
          <w:sz w:val="24"/>
          <w:szCs w:val="24"/>
        </w:rPr>
        <w:t>/</w:t>
      </w:r>
      <w:r>
        <w:rPr>
          <w:rFonts w:hint="eastAsia" w:cs="宋体" w:asciiTheme="minorEastAsia" w:hAnsiTheme="minorEastAsia" w:eastAsiaTheme="minorEastAsia"/>
          <w:strike/>
          <w:color w:val="auto"/>
          <w:spacing w:val="1"/>
          <w:sz w:val="24"/>
          <w:szCs w:val="24"/>
        </w:rPr>
        <w:t>楼</w:t>
      </w:r>
      <w:r>
        <w:rPr>
          <w:rFonts w:hint="eastAsia" w:cs="宋体" w:asciiTheme="minorEastAsia" w:hAnsiTheme="minorEastAsia" w:eastAsiaTheme="minorEastAsia"/>
          <w:strike/>
          <w:color w:val="auto"/>
          <w:sz w:val="24"/>
          <w:szCs w:val="24"/>
        </w:rPr>
        <w:t>梯厅不符合防火要求等。</w:t>
      </w:r>
    </w:p>
    <w:p>
      <w:pPr>
        <w:autoSpaceDE w:val="0"/>
        <w:autoSpaceDN w:val="0"/>
        <w:spacing w:line="360" w:lineRule="auto"/>
        <w:ind w:firstLine="470" w:firstLineChars="201"/>
        <w:rPr>
          <w:rFonts w:asciiTheme="minorEastAsia" w:hAnsiTheme="minorEastAsia" w:eastAsiaTheme="minorEastAsia"/>
          <w:strike/>
          <w:color w:val="auto"/>
          <w:sz w:val="24"/>
          <w:szCs w:val="24"/>
        </w:rPr>
      </w:pPr>
      <w:r>
        <w:rPr>
          <w:rFonts w:hint="eastAsia" w:cs="宋体" w:asciiTheme="minorEastAsia" w:hAnsiTheme="minorEastAsia" w:eastAsiaTheme="minorEastAsia"/>
          <w:strike/>
          <w:color w:val="auto"/>
          <w:spacing w:val="-3"/>
          <w:sz w:val="24"/>
          <w:szCs w:val="24"/>
        </w:rPr>
        <w:t>结构专业：结构</w:t>
      </w:r>
      <w:r>
        <w:rPr>
          <w:rFonts w:cs="宋体" w:asciiTheme="minorEastAsia" w:hAnsiTheme="minorEastAsia" w:eastAsiaTheme="minorEastAsia"/>
          <w:strike/>
          <w:color w:val="auto"/>
          <w:spacing w:val="2"/>
          <w:sz w:val="24"/>
          <w:szCs w:val="24"/>
        </w:rPr>
        <w:t>(</w:t>
      </w:r>
      <w:r>
        <w:rPr>
          <w:rFonts w:hint="eastAsia" w:cs="宋体" w:asciiTheme="minorEastAsia" w:hAnsiTheme="minorEastAsia" w:eastAsiaTheme="minorEastAsia"/>
          <w:strike/>
          <w:color w:val="auto"/>
          <w:spacing w:val="-3"/>
          <w:sz w:val="24"/>
          <w:szCs w:val="24"/>
        </w:rPr>
        <w:t>含基础</w:t>
      </w:r>
      <w:r>
        <w:rPr>
          <w:rFonts w:cs="宋体" w:asciiTheme="minorEastAsia" w:hAnsiTheme="minorEastAsia" w:eastAsiaTheme="minorEastAsia"/>
          <w:strike/>
          <w:color w:val="auto"/>
          <w:sz w:val="24"/>
          <w:szCs w:val="24"/>
        </w:rPr>
        <w:t>)</w:t>
      </w:r>
      <w:r>
        <w:rPr>
          <w:rFonts w:hint="eastAsia" w:cs="宋体" w:asciiTheme="minorEastAsia" w:hAnsiTheme="minorEastAsia" w:eastAsiaTheme="minorEastAsia"/>
          <w:strike/>
          <w:color w:val="auto"/>
          <w:spacing w:val="-3"/>
          <w:sz w:val="24"/>
          <w:szCs w:val="24"/>
        </w:rPr>
        <w:t>选型错误；计算原则错误；未考虑抗</w:t>
      </w:r>
      <w:r>
        <w:rPr>
          <w:rFonts w:hint="eastAsia" w:cs="宋体" w:asciiTheme="minorEastAsia" w:hAnsiTheme="minorEastAsia" w:eastAsiaTheme="minorEastAsia"/>
          <w:strike/>
          <w:color w:val="auto"/>
          <w:spacing w:val="-2"/>
          <w:sz w:val="24"/>
          <w:szCs w:val="24"/>
        </w:rPr>
        <w:t>震设计；建筑物长度超过规范</w:t>
      </w:r>
      <w:r>
        <w:rPr>
          <w:rFonts w:hint="eastAsia" w:cs="宋体" w:asciiTheme="minorEastAsia" w:hAnsiTheme="minorEastAsia" w:eastAsiaTheme="minorEastAsia"/>
          <w:strike/>
          <w:color w:val="auto"/>
          <w:spacing w:val="1"/>
          <w:sz w:val="24"/>
          <w:szCs w:val="24"/>
        </w:rPr>
        <w:t>要</w:t>
      </w:r>
      <w:r>
        <w:rPr>
          <w:rFonts w:hint="eastAsia" w:cs="宋体" w:asciiTheme="minorEastAsia" w:hAnsiTheme="minorEastAsia" w:eastAsiaTheme="minorEastAsia"/>
          <w:strike/>
          <w:color w:val="auto"/>
          <w:sz w:val="24"/>
          <w:szCs w:val="24"/>
        </w:rPr>
        <w:t>求而未采取任何措施等。</w:t>
      </w:r>
    </w:p>
    <w:p>
      <w:pPr>
        <w:autoSpaceDE w:val="0"/>
        <w:autoSpaceDN w:val="0"/>
        <w:spacing w:line="360" w:lineRule="auto"/>
        <w:ind w:firstLine="450" w:firstLineChars="201"/>
        <w:rPr>
          <w:rFonts w:asciiTheme="minorEastAsia" w:hAnsiTheme="minorEastAsia" w:eastAsiaTheme="minorEastAsia"/>
          <w:strike/>
          <w:color w:val="auto"/>
          <w:sz w:val="24"/>
          <w:szCs w:val="24"/>
        </w:rPr>
      </w:pPr>
      <w:r>
        <w:rPr>
          <w:rFonts w:hint="eastAsia" w:cs="宋体" w:asciiTheme="minorEastAsia" w:hAnsiTheme="minorEastAsia" w:eastAsiaTheme="minorEastAsia"/>
          <w:strike/>
          <w:color w:val="auto"/>
          <w:spacing w:val="-8"/>
          <w:sz w:val="24"/>
          <w:szCs w:val="24"/>
        </w:rPr>
        <w:t>给排水专业：</w:t>
      </w:r>
      <w:r>
        <w:rPr>
          <w:rFonts w:hint="eastAsia" w:cs="宋体" w:asciiTheme="minorEastAsia" w:hAnsiTheme="minorEastAsia" w:eastAsiaTheme="minorEastAsia"/>
          <w:strike/>
          <w:color w:val="auto"/>
          <w:spacing w:val="-7"/>
          <w:sz w:val="24"/>
          <w:szCs w:val="24"/>
        </w:rPr>
        <w:t>规范要求的消防设施未设计；</w:t>
      </w:r>
      <w:r>
        <w:rPr>
          <w:rFonts w:hint="eastAsia" w:cs="宋体" w:asciiTheme="minorEastAsia" w:hAnsiTheme="minorEastAsia" w:eastAsiaTheme="minorEastAsia"/>
          <w:strike/>
          <w:color w:val="auto"/>
          <w:spacing w:val="-9"/>
          <w:sz w:val="24"/>
          <w:szCs w:val="24"/>
        </w:rPr>
        <w:t>消防水量、</w:t>
      </w:r>
      <w:r>
        <w:rPr>
          <w:rFonts w:hint="eastAsia" w:cs="宋体" w:asciiTheme="minorEastAsia" w:hAnsiTheme="minorEastAsia" w:eastAsiaTheme="minorEastAsia"/>
          <w:strike/>
          <w:color w:val="auto"/>
          <w:spacing w:val="-7"/>
          <w:sz w:val="24"/>
          <w:szCs w:val="24"/>
        </w:rPr>
        <w:t>水压达不到规范要求；</w:t>
      </w:r>
      <w:r>
        <w:rPr>
          <w:rFonts w:hint="eastAsia" w:cs="宋体" w:asciiTheme="minorEastAsia" w:hAnsiTheme="minorEastAsia" w:eastAsiaTheme="minorEastAsia"/>
          <w:strike/>
          <w:color w:val="auto"/>
          <w:spacing w:val="-9"/>
          <w:sz w:val="24"/>
          <w:szCs w:val="24"/>
        </w:rPr>
        <w:t>生活</w:t>
      </w:r>
      <w:r>
        <w:rPr>
          <w:rFonts w:hint="eastAsia" w:cs="宋体" w:asciiTheme="minorEastAsia" w:hAnsiTheme="minorEastAsia" w:eastAsiaTheme="minorEastAsia"/>
          <w:strike/>
          <w:color w:val="auto"/>
          <w:spacing w:val="-8"/>
          <w:sz w:val="24"/>
          <w:szCs w:val="24"/>
        </w:rPr>
        <w:t>给水水量、</w:t>
      </w:r>
      <w:r>
        <w:rPr>
          <w:rFonts w:hint="eastAsia" w:cs="宋体" w:asciiTheme="minorEastAsia" w:hAnsiTheme="minorEastAsia" w:eastAsiaTheme="minorEastAsia"/>
          <w:strike/>
          <w:color w:val="auto"/>
          <w:spacing w:val="1"/>
          <w:sz w:val="24"/>
          <w:szCs w:val="24"/>
        </w:rPr>
        <w:t>水压</w:t>
      </w:r>
      <w:r>
        <w:rPr>
          <w:rFonts w:hint="eastAsia" w:cs="宋体" w:asciiTheme="minorEastAsia" w:hAnsiTheme="minorEastAsia" w:eastAsiaTheme="minorEastAsia"/>
          <w:strike/>
          <w:color w:val="auto"/>
          <w:sz w:val="24"/>
          <w:szCs w:val="24"/>
        </w:rPr>
        <w:t>达不到规范要求等。</w:t>
      </w:r>
    </w:p>
    <w:p>
      <w:pPr>
        <w:autoSpaceDE w:val="0"/>
        <w:autoSpaceDN w:val="0"/>
        <w:spacing w:line="360" w:lineRule="auto"/>
        <w:ind w:firstLine="470" w:firstLineChars="201"/>
        <w:rPr>
          <w:rFonts w:asciiTheme="minorEastAsia" w:hAnsiTheme="minorEastAsia" w:eastAsiaTheme="minorEastAsia"/>
          <w:strike/>
          <w:color w:val="auto"/>
          <w:sz w:val="24"/>
          <w:szCs w:val="24"/>
        </w:rPr>
      </w:pPr>
      <w:r>
        <w:rPr>
          <w:rFonts w:hint="eastAsia" w:cs="宋体" w:asciiTheme="minorEastAsia" w:hAnsiTheme="minorEastAsia" w:eastAsiaTheme="minorEastAsia"/>
          <w:strike/>
          <w:color w:val="auto"/>
          <w:spacing w:val="-3"/>
          <w:sz w:val="24"/>
          <w:szCs w:val="24"/>
        </w:rPr>
        <w:t>暖通专业：规范要求的防火排烟设施未设计，排烟</w:t>
      </w:r>
      <w:r>
        <w:rPr>
          <w:rFonts w:hint="eastAsia" w:cs="宋体" w:asciiTheme="minorEastAsia" w:hAnsiTheme="minorEastAsia" w:eastAsiaTheme="minorEastAsia"/>
          <w:strike/>
          <w:color w:val="auto"/>
          <w:spacing w:val="-2"/>
          <w:sz w:val="24"/>
          <w:szCs w:val="24"/>
        </w:rPr>
        <w:t>风量达不到规范要求，又未采取必要的措</w:t>
      </w:r>
      <w:r>
        <w:rPr>
          <w:rFonts w:hint="eastAsia" w:cs="宋体" w:asciiTheme="minorEastAsia" w:hAnsiTheme="minorEastAsia" w:eastAsiaTheme="minorEastAsia"/>
          <w:strike/>
          <w:color w:val="auto"/>
          <w:sz w:val="24"/>
          <w:szCs w:val="24"/>
        </w:rPr>
        <w:t>施等。</w:t>
      </w:r>
    </w:p>
    <w:p>
      <w:pPr>
        <w:autoSpaceDE w:val="0"/>
        <w:autoSpaceDN w:val="0"/>
        <w:spacing w:line="360" w:lineRule="auto"/>
        <w:ind w:firstLine="470" w:firstLineChars="201"/>
        <w:rPr>
          <w:rFonts w:asciiTheme="minorEastAsia" w:hAnsiTheme="minorEastAsia" w:eastAsiaTheme="minorEastAsia"/>
          <w:strike/>
          <w:color w:val="auto"/>
          <w:sz w:val="24"/>
          <w:szCs w:val="24"/>
        </w:rPr>
      </w:pPr>
      <w:r>
        <w:rPr>
          <w:rFonts w:hint="eastAsia" w:cs="宋体" w:asciiTheme="minorEastAsia" w:hAnsiTheme="minorEastAsia" w:eastAsiaTheme="minorEastAsia"/>
          <w:strike/>
          <w:color w:val="auto"/>
          <w:spacing w:val="-3"/>
          <w:sz w:val="24"/>
          <w:szCs w:val="24"/>
        </w:rPr>
        <w:t>电气专业：变配电、电话、电视、消防、广播音响</w:t>
      </w:r>
      <w:r>
        <w:rPr>
          <w:rFonts w:hint="eastAsia" w:cs="宋体" w:asciiTheme="minorEastAsia" w:hAnsiTheme="minorEastAsia" w:eastAsiaTheme="minorEastAsia"/>
          <w:strike/>
          <w:color w:val="auto"/>
          <w:spacing w:val="-2"/>
          <w:sz w:val="24"/>
          <w:szCs w:val="24"/>
        </w:rPr>
        <w:t>等系统及各种机房平、剖面设备布置等严</w:t>
      </w:r>
      <w:r>
        <w:rPr>
          <w:rFonts w:hint="eastAsia" w:cs="宋体" w:asciiTheme="minorEastAsia" w:hAnsiTheme="minorEastAsia" w:eastAsiaTheme="minorEastAsia"/>
          <w:strike/>
          <w:color w:val="auto"/>
          <w:spacing w:val="1"/>
          <w:sz w:val="24"/>
          <w:szCs w:val="24"/>
        </w:rPr>
        <w:t>重违反</w:t>
      </w:r>
      <w:r>
        <w:rPr>
          <w:rFonts w:hint="eastAsia" w:cs="宋体" w:asciiTheme="minorEastAsia" w:hAnsiTheme="minorEastAsia" w:eastAsiaTheme="minorEastAsia"/>
          <w:strike/>
          <w:color w:val="auto"/>
          <w:sz w:val="24"/>
          <w:szCs w:val="24"/>
        </w:rPr>
        <w:t>规范、标准、规定；配电方案有严重缺陷等。</w:t>
      </w:r>
    </w:p>
    <w:p>
      <w:pPr>
        <w:autoSpaceDE w:val="0"/>
        <w:autoSpaceDN w:val="0"/>
        <w:spacing w:line="360" w:lineRule="auto"/>
        <w:ind w:firstLine="482" w:firstLineChars="201"/>
        <w:rPr>
          <w:rFonts w:cs="宋体" w:asciiTheme="minorEastAsia" w:hAnsiTheme="minorEastAsia" w:eastAsiaTheme="minorEastAsia"/>
          <w:strike/>
          <w:color w:val="auto"/>
          <w:spacing w:val="-1"/>
          <w:sz w:val="24"/>
          <w:szCs w:val="24"/>
        </w:rPr>
      </w:pPr>
      <w:r>
        <w:rPr>
          <w:rFonts w:hint="eastAsia" w:cs="宋体" w:asciiTheme="minorEastAsia" w:hAnsiTheme="minorEastAsia" w:eastAsiaTheme="minorEastAsia"/>
          <w:strike/>
          <w:color w:val="auto"/>
          <w:sz w:val="24"/>
          <w:szCs w:val="24"/>
        </w:rPr>
        <w:t>造价专业：提交给发包人的造价文件，经核查后，偏差大于±</w:t>
      </w:r>
      <w:r>
        <w:rPr>
          <w:rFonts w:cs="宋体" w:asciiTheme="minorEastAsia" w:hAnsiTheme="minorEastAsia" w:eastAsiaTheme="minorEastAsia"/>
          <w:strike/>
          <w:color w:val="auto"/>
          <w:spacing w:val="-1"/>
          <w:sz w:val="24"/>
          <w:szCs w:val="24"/>
        </w:rPr>
        <w:t>30%的。</w:t>
      </w:r>
    </w:p>
    <w:p>
      <w:pPr>
        <w:autoSpaceDE w:val="0"/>
        <w:autoSpaceDN w:val="0"/>
        <w:spacing w:line="360" w:lineRule="auto"/>
        <w:ind w:firstLine="488" w:firstLineChars="201"/>
        <w:rPr>
          <w:rFonts w:asciiTheme="minorEastAsia" w:hAnsiTheme="minorEastAsia" w:eastAsiaTheme="minorEastAsia"/>
          <w:b/>
          <w:strike/>
          <w:color w:val="auto"/>
          <w:sz w:val="24"/>
          <w:szCs w:val="24"/>
        </w:rPr>
      </w:pPr>
      <w:r>
        <w:rPr>
          <w:rFonts w:hint="eastAsia" w:cs="宋体" w:asciiTheme="minorEastAsia" w:hAnsiTheme="minorEastAsia" w:eastAsiaTheme="minorEastAsia"/>
          <w:b/>
          <w:strike/>
          <w:color w:val="auto"/>
          <w:spacing w:val="1"/>
          <w:sz w:val="24"/>
          <w:szCs w:val="24"/>
        </w:rPr>
        <w:t>Ⅱ</w:t>
      </w:r>
      <w:r>
        <w:rPr>
          <w:rFonts w:hint="eastAsia" w:cs="宋体" w:asciiTheme="minorEastAsia" w:hAnsiTheme="minorEastAsia" w:eastAsiaTheme="minorEastAsia"/>
          <w:b/>
          <w:strike/>
          <w:color w:val="auto"/>
          <w:sz w:val="24"/>
          <w:szCs w:val="24"/>
        </w:rPr>
        <w:t>类错误</w:t>
      </w:r>
    </w:p>
    <w:p>
      <w:pPr>
        <w:autoSpaceDE w:val="0"/>
        <w:autoSpaceDN w:val="0"/>
        <w:spacing w:line="360" w:lineRule="auto"/>
        <w:ind w:firstLine="470" w:firstLineChars="201"/>
        <w:rPr>
          <w:rFonts w:cs="宋体" w:asciiTheme="minorEastAsia" w:hAnsiTheme="minorEastAsia" w:eastAsiaTheme="minorEastAsia"/>
          <w:strike/>
          <w:color w:val="auto"/>
          <w:sz w:val="24"/>
          <w:szCs w:val="24"/>
        </w:rPr>
      </w:pPr>
      <w:r>
        <w:rPr>
          <w:rFonts w:hint="eastAsia" w:cs="宋体" w:asciiTheme="minorEastAsia" w:hAnsiTheme="minorEastAsia" w:eastAsiaTheme="minorEastAsia"/>
          <w:strike/>
          <w:color w:val="auto"/>
          <w:spacing w:val="-3"/>
          <w:sz w:val="24"/>
          <w:szCs w:val="24"/>
        </w:rPr>
        <w:t>指设计文件中存在错误，有可能造成施工困难、使用困难或较大经济损失</w:t>
      </w:r>
      <w:r>
        <w:rPr>
          <w:rFonts w:cs="宋体" w:asciiTheme="minorEastAsia" w:hAnsiTheme="minorEastAsia" w:eastAsiaTheme="minorEastAsia"/>
          <w:strike/>
          <w:color w:val="auto"/>
          <w:spacing w:val="7"/>
          <w:sz w:val="24"/>
          <w:szCs w:val="24"/>
        </w:rPr>
        <w:t>,</w:t>
      </w:r>
      <w:r>
        <w:rPr>
          <w:rFonts w:hint="eastAsia" w:cs="宋体" w:asciiTheme="minorEastAsia" w:hAnsiTheme="minorEastAsia" w:eastAsiaTheme="minorEastAsia"/>
          <w:strike/>
          <w:color w:val="auto"/>
          <w:spacing w:val="-3"/>
          <w:sz w:val="24"/>
          <w:szCs w:val="24"/>
        </w:rPr>
        <w:t>如：</w:t>
      </w:r>
      <w:r>
        <w:rPr>
          <w:rFonts w:cs="宋体" w:asciiTheme="minorEastAsia" w:hAnsiTheme="minorEastAsia" w:eastAsiaTheme="minorEastAsia"/>
          <w:strike/>
          <w:color w:val="auto"/>
          <w:sz w:val="24"/>
          <w:szCs w:val="24"/>
        </w:rPr>
        <w:t>1</w:t>
      </w:r>
      <w:r>
        <w:rPr>
          <w:rFonts w:hint="eastAsia" w:cs="宋体" w:asciiTheme="minorEastAsia" w:hAnsiTheme="minorEastAsia" w:eastAsiaTheme="minorEastAsia"/>
          <w:strike/>
          <w:color w:val="auto"/>
          <w:spacing w:val="-4"/>
          <w:sz w:val="24"/>
          <w:szCs w:val="24"/>
        </w:rPr>
        <w:t>、违反</w:t>
      </w:r>
      <w:r>
        <w:rPr>
          <w:rFonts w:hint="eastAsia" w:cs="宋体" w:asciiTheme="minorEastAsia" w:hAnsiTheme="minorEastAsia" w:eastAsiaTheme="minorEastAsia"/>
          <w:strike/>
          <w:color w:val="auto"/>
          <w:spacing w:val="-2"/>
          <w:sz w:val="24"/>
          <w:szCs w:val="24"/>
        </w:rPr>
        <w:t>国家</w:t>
      </w:r>
      <w:r>
        <w:rPr>
          <w:rFonts w:hint="eastAsia" w:cs="宋体" w:asciiTheme="minorEastAsia" w:hAnsiTheme="minorEastAsia" w:eastAsiaTheme="minorEastAsia"/>
          <w:strike/>
          <w:color w:val="auto"/>
          <w:spacing w:val="-1"/>
          <w:sz w:val="24"/>
          <w:szCs w:val="24"/>
        </w:rPr>
        <w:t>现行技术规范、规定、标准的重要条文；</w:t>
      </w:r>
      <w:r>
        <w:rPr>
          <w:rFonts w:cs="宋体" w:asciiTheme="minorEastAsia" w:hAnsiTheme="minorEastAsia" w:eastAsiaTheme="minorEastAsia"/>
          <w:strike/>
          <w:color w:val="auto"/>
          <w:spacing w:val="-8"/>
          <w:sz w:val="24"/>
          <w:szCs w:val="24"/>
        </w:rPr>
        <w:t>2</w:t>
      </w:r>
      <w:r>
        <w:rPr>
          <w:rFonts w:hint="eastAsia" w:cs="宋体" w:asciiTheme="minorEastAsia" w:hAnsiTheme="minorEastAsia" w:eastAsiaTheme="minorEastAsia"/>
          <w:strike/>
          <w:color w:val="auto"/>
          <w:spacing w:val="-1"/>
          <w:sz w:val="24"/>
          <w:szCs w:val="24"/>
        </w:rPr>
        <w:t>、设计漏项；</w:t>
      </w:r>
      <w:r>
        <w:rPr>
          <w:rFonts w:cs="宋体" w:asciiTheme="minorEastAsia" w:hAnsiTheme="minorEastAsia" w:eastAsiaTheme="minorEastAsia"/>
          <w:strike/>
          <w:color w:val="auto"/>
          <w:spacing w:val="-3"/>
          <w:sz w:val="24"/>
          <w:szCs w:val="24"/>
        </w:rPr>
        <w:t>3</w:t>
      </w:r>
      <w:r>
        <w:rPr>
          <w:rFonts w:hint="eastAsia" w:cs="宋体" w:asciiTheme="minorEastAsia" w:hAnsiTheme="minorEastAsia" w:eastAsiaTheme="minorEastAsia"/>
          <w:strike/>
          <w:color w:val="auto"/>
          <w:spacing w:val="-1"/>
          <w:sz w:val="24"/>
          <w:szCs w:val="24"/>
        </w:rPr>
        <w:t>、选用淘汰的设备</w:t>
      </w:r>
      <w:r>
        <w:rPr>
          <w:rFonts w:cs="宋体" w:asciiTheme="minorEastAsia" w:hAnsiTheme="minorEastAsia" w:eastAsiaTheme="minorEastAsia"/>
          <w:strike/>
          <w:color w:val="auto"/>
          <w:spacing w:val="-4"/>
          <w:sz w:val="24"/>
          <w:szCs w:val="24"/>
        </w:rPr>
        <w:t>;</w:t>
      </w:r>
      <w:r>
        <w:rPr>
          <w:rFonts w:cs="宋体" w:asciiTheme="minorEastAsia" w:hAnsiTheme="minorEastAsia" w:eastAsiaTheme="minorEastAsia"/>
          <w:strike/>
          <w:color w:val="auto"/>
          <w:spacing w:val="-1"/>
          <w:sz w:val="24"/>
          <w:szCs w:val="24"/>
        </w:rPr>
        <w:t>4、出现因设计责任</w:t>
      </w:r>
      <w:r>
        <w:rPr>
          <w:rFonts w:hint="eastAsia" w:cs="宋体" w:asciiTheme="minorEastAsia" w:hAnsiTheme="minorEastAsia" w:eastAsiaTheme="minorEastAsia"/>
          <w:strike/>
          <w:color w:val="auto"/>
          <w:sz w:val="24"/>
          <w:szCs w:val="24"/>
        </w:rPr>
        <w:t>引起的二类变更；</w:t>
      </w:r>
      <w:r>
        <w:rPr>
          <w:rFonts w:cs="宋体" w:asciiTheme="minorEastAsia" w:hAnsiTheme="minorEastAsia" w:eastAsiaTheme="minorEastAsia"/>
          <w:strike/>
          <w:color w:val="auto"/>
          <w:sz w:val="24"/>
          <w:szCs w:val="24"/>
        </w:rPr>
        <w:t>5</w:t>
      </w:r>
      <w:r>
        <w:rPr>
          <w:rFonts w:hint="eastAsia" w:cs="宋体" w:asciiTheme="minorEastAsia" w:hAnsiTheme="minorEastAsia" w:eastAsiaTheme="minorEastAsia"/>
          <w:strike/>
          <w:color w:val="auto"/>
          <w:spacing w:val="1"/>
          <w:sz w:val="24"/>
          <w:szCs w:val="24"/>
        </w:rPr>
        <w:t>、</w:t>
      </w:r>
      <w:r>
        <w:rPr>
          <w:rFonts w:hint="eastAsia" w:cs="宋体" w:asciiTheme="minorEastAsia" w:hAnsiTheme="minorEastAsia" w:eastAsiaTheme="minorEastAsia"/>
          <w:strike/>
          <w:color w:val="auto"/>
          <w:sz w:val="24"/>
          <w:szCs w:val="24"/>
        </w:rPr>
        <w:t>造价文件失实较严重。</w:t>
      </w:r>
    </w:p>
    <w:p>
      <w:pPr>
        <w:autoSpaceDE w:val="0"/>
        <w:autoSpaceDN w:val="0"/>
        <w:spacing w:line="360" w:lineRule="auto"/>
        <w:ind w:firstLine="486" w:firstLineChars="201"/>
        <w:rPr>
          <w:rFonts w:asciiTheme="minorEastAsia" w:hAnsiTheme="minorEastAsia" w:eastAsiaTheme="minorEastAsia"/>
          <w:strike/>
          <w:color w:val="auto"/>
          <w:sz w:val="24"/>
          <w:szCs w:val="24"/>
        </w:rPr>
      </w:pPr>
      <w:r>
        <w:rPr>
          <w:rFonts w:hint="eastAsia" w:cs="宋体" w:asciiTheme="minorEastAsia" w:hAnsiTheme="minorEastAsia" w:eastAsiaTheme="minorEastAsia"/>
          <w:strike/>
          <w:color w:val="auto"/>
          <w:spacing w:val="1"/>
          <w:sz w:val="24"/>
          <w:szCs w:val="24"/>
        </w:rPr>
        <w:t>具体</w:t>
      </w:r>
      <w:r>
        <w:rPr>
          <w:rFonts w:hint="eastAsia" w:cs="宋体" w:asciiTheme="minorEastAsia" w:hAnsiTheme="minorEastAsia" w:eastAsiaTheme="minorEastAsia"/>
          <w:strike/>
          <w:color w:val="auto"/>
          <w:sz w:val="24"/>
          <w:szCs w:val="24"/>
        </w:rPr>
        <w:t>按照专业又可分为：</w:t>
      </w:r>
    </w:p>
    <w:p>
      <w:pPr>
        <w:autoSpaceDE w:val="0"/>
        <w:autoSpaceDN w:val="0"/>
        <w:spacing w:line="360" w:lineRule="auto"/>
        <w:ind w:firstLine="482" w:firstLineChars="201"/>
        <w:rPr>
          <w:rFonts w:asciiTheme="minorEastAsia" w:hAnsiTheme="minorEastAsia" w:eastAsiaTheme="minorEastAsia"/>
          <w:strike/>
          <w:color w:val="auto"/>
          <w:sz w:val="24"/>
          <w:szCs w:val="24"/>
        </w:rPr>
      </w:pPr>
      <w:r>
        <w:rPr>
          <w:rFonts w:cs="宋体" w:asciiTheme="minorEastAsia" w:hAnsiTheme="minorEastAsia" w:eastAsiaTheme="minorEastAsia"/>
          <w:strike/>
          <w:color w:val="auto"/>
          <w:sz w:val="24"/>
          <w:szCs w:val="24"/>
        </w:rPr>
        <w:t>A</w:t>
      </w:r>
      <w:r>
        <w:rPr>
          <w:rFonts w:hint="eastAsia" w:cs="宋体" w:asciiTheme="minorEastAsia" w:hAnsiTheme="minorEastAsia" w:eastAsiaTheme="minorEastAsia"/>
          <w:strike/>
          <w:color w:val="auto"/>
          <w:spacing w:val="1"/>
          <w:sz w:val="24"/>
          <w:szCs w:val="24"/>
        </w:rPr>
        <w:t>、设计</w:t>
      </w:r>
      <w:r>
        <w:rPr>
          <w:rFonts w:hint="eastAsia" w:cs="宋体" w:asciiTheme="minorEastAsia" w:hAnsiTheme="minorEastAsia" w:eastAsiaTheme="minorEastAsia"/>
          <w:strike/>
          <w:color w:val="auto"/>
          <w:sz w:val="24"/>
          <w:szCs w:val="24"/>
        </w:rPr>
        <w:t>存在错误，有可能造成施工困难、使用困难或较大经济损失，如：</w:t>
      </w:r>
    </w:p>
    <w:p>
      <w:pPr>
        <w:autoSpaceDE w:val="0"/>
        <w:autoSpaceDN w:val="0"/>
        <w:spacing w:line="360" w:lineRule="auto"/>
        <w:ind w:firstLine="486" w:firstLineChars="201"/>
        <w:rPr>
          <w:rFonts w:asciiTheme="minorEastAsia" w:hAnsiTheme="minorEastAsia" w:eastAsiaTheme="minorEastAsia"/>
          <w:strike/>
          <w:color w:val="auto"/>
          <w:sz w:val="24"/>
          <w:szCs w:val="24"/>
        </w:rPr>
      </w:pPr>
      <w:r>
        <w:rPr>
          <w:rFonts w:hint="eastAsia" w:cs="宋体" w:asciiTheme="minorEastAsia" w:hAnsiTheme="minorEastAsia" w:eastAsiaTheme="minorEastAsia"/>
          <w:strike/>
          <w:color w:val="auto"/>
          <w:spacing w:val="1"/>
          <w:sz w:val="24"/>
          <w:szCs w:val="24"/>
        </w:rPr>
        <w:t>建筑专业：总</w:t>
      </w:r>
      <w:r>
        <w:rPr>
          <w:rFonts w:hint="eastAsia" w:cs="宋体" w:asciiTheme="minorEastAsia" w:hAnsiTheme="minorEastAsia" w:eastAsiaTheme="minorEastAsia"/>
          <w:strike/>
          <w:color w:val="auto"/>
          <w:sz w:val="24"/>
          <w:szCs w:val="24"/>
        </w:rPr>
        <w:t>平面竖向设计错误；轴线错误或对不上，楼梯碰头；视线计算错误等。</w:t>
      </w:r>
    </w:p>
    <w:p>
      <w:pPr>
        <w:autoSpaceDE w:val="0"/>
        <w:autoSpaceDN w:val="0"/>
        <w:spacing w:line="360" w:lineRule="auto"/>
        <w:ind w:firstLine="486" w:firstLineChars="201"/>
        <w:rPr>
          <w:rFonts w:asciiTheme="minorEastAsia" w:hAnsiTheme="minorEastAsia" w:eastAsiaTheme="minorEastAsia"/>
          <w:strike/>
          <w:color w:val="auto"/>
          <w:sz w:val="24"/>
          <w:szCs w:val="24"/>
        </w:rPr>
      </w:pPr>
      <w:r>
        <w:rPr>
          <w:rFonts w:hint="eastAsia" w:cs="宋体" w:asciiTheme="minorEastAsia" w:hAnsiTheme="minorEastAsia" w:eastAsiaTheme="minorEastAsia"/>
          <w:strike/>
          <w:color w:val="auto"/>
          <w:spacing w:val="1"/>
          <w:sz w:val="24"/>
          <w:szCs w:val="24"/>
        </w:rPr>
        <w:t>结构专业：计算</w:t>
      </w:r>
      <w:r>
        <w:rPr>
          <w:rFonts w:hint="eastAsia" w:cs="宋体" w:asciiTheme="minorEastAsia" w:hAnsiTheme="minorEastAsia" w:eastAsiaTheme="minorEastAsia"/>
          <w:strike/>
          <w:color w:val="auto"/>
          <w:sz w:val="24"/>
          <w:szCs w:val="24"/>
        </w:rPr>
        <w:t>书未经校对；结构构件安全储备不足；结构与建筑节点不一致等。</w:t>
      </w:r>
    </w:p>
    <w:p>
      <w:pPr>
        <w:autoSpaceDE w:val="0"/>
        <w:autoSpaceDN w:val="0"/>
        <w:spacing w:line="360" w:lineRule="auto"/>
        <w:ind w:firstLine="486" w:firstLineChars="201"/>
        <w:rPr>
          <w:rFonts w:asciiTheme="minorEastAsia" w:hAnsiTheme="minorEastAsia" w:eastAsiaTheme="minorEastAsia"/>
          <w:strike/>
          <w:color w:val="auto"/>
          <w:sz w:val="24"/>
          <w:szCs w:val="24"/>
        </w:rPr>
      </w:pPr>
      <w:r>
        <w:rPr>
          <w:rFonts w:hint="eastAsia" w:cs="宋体" w:asciiTheme="minorEastAsia" w:hAnsiTheme="minorEastAsia" w:eastAsiaTheme="minorEastAsia"/>
          <w:strike/>
          <w:color w:val="auto"/>
          <w:spacing w:val="1"/>
          <w:sz w:val="24"/>
          <w:szCs w:val="24"/>
        </w:rPr>
        <w:t>给排水专业</w:t>
      </w:r>
      <w:r>
        <w:rPr>
          <w:rFonts w:hint="eastAsia" w:cs="宋体" w:asciiTheme="minorEastAsia" w:hAnsiTheme="minorEastAsia" w:eastAsiaTheme="minorEastAsia"/>
          <w:strike/>
          <w:color w:val="auto"/>
          <w:sz w:val="24"/>
          <w:szCs w:val="24"/>
        </w:rPr>
        <w:t>：由于设计的水塔或水箱高度不够，造成水压不足，出水量不能满足使用要求；</w:t>
      </w:r>
      <w:r>
        <w:rPr>
          <w:rFonts w:hint="eastAsia" w:cs="宋体" w:asciiTheme="minorEastAsia" w:hAnsiTheme="minorEastAsia" w:eastAsiaTheme="minorEastAsia"/>
          <w:strike/>
          <w:color w:val="auto"/>
          <w:spacing w:val="1"/>
          <w:sz w:val="24"/>
          <w:szCs w:val="24"/>
        </w:rPr>
        <w:t>高层建筑</w:t>
      </w:r>
      <w:r>
        <w:rPr>
          <w:rFonts w:hint="eastAsia" w:cs="宋体" w:asciiTheme="minorEastAsia" w:hAnsiTheme="minorEastAsia" w:eastAsiaTheme="minorEastAsia"/>
          <w:strike/>
          <w:color w:val="auto"/>
          <w:sz w:val="24"/>
          <w:szCs w:val="24"/>
        </w:rPr>
        <w:t>消防减压、止回等设计不当等。</w:t>
      </w:r>
    </w:p>
    <w:p>
      <w:pPr>
        <w:autoSpaceDE w:val="0"/>
        <w:autoSpaceDN w:val="0"/>
        <w:spacing w:line="360" w:lineRule="auto"/>
        <w:ind w:firstLine="486" w:firstLineChars="201"/>
        <w:rPr>
          <w:rFonts w:asciiTheme="minorEastAsia" w:hAnsiTheme="minorEastAsia" w:eastAsiaTheme="minorEastAsia"/>
          <w:strike/>
          <w:color w:val="auto"/>
          <w:sz w:val="24"/>
          <w:szCs w:val="24"/>
        </w:rPr>
      </w:pPr>
      <w:r>
        <w:rPr>
          <w:rFonts w:hint="eastAsia" w:cs="宋体" w:asciiTheme="minorEastAsia" w:hAnsiTheme="minorEastAsia" w:eastAsiaTheme="minorEastAsia"/>
          <w:strike/>
          <w:color w:val="auto"/>
          <w:spacing w:val="1"/>
          <w:sz w:val="24"/>
          <w:szCs w:val="24"/>
        </w:rPr>
        <w:t>暖通专业：冷</w:t>
      </w:r>
      <w:r>
        <w:rPr>
          <w:rFonts w:hint="eastAsia" w:cs="宋体" w:asciiTheme="minorEastAsia" w:hAnsiTheme="minorEastAsia" w:eastAsiaTheme="minorEastAsia"/>
          <w:strike/>
          <w:color w:val="auto"/>
          <w:sz w:val="24"/>
          <w:szCs w:val="24"/>
        </w:rPr>
        <w:t>、热负荷计算有重大错误或系统选择不当；膨胀水箱高度低于采暖系统等。</w:t>
      </w:r>
    </w:p>
    <w:p>
      <w:pPr>
        <w:autoSpaceDE w:val="0"/>
        <w:autoSpaceDN w:val="0"/>
        <w:spacing w:line="360" w:lineRule="auto"/>
        <w:ind w:firstLine="470" w:firstLineChars="201"/>
        <w:rPr>
          <w:rFonts w:cs="宋体" w:asciiTheme="minorEastAsia" w:hAnsiTheme="minorEastAsia" w:eastAsiaTheme="minorEastAsia"/>
          <w:strike/>
          <w:color w:val="auto"/>
          <w:sz w:val="24"/>
          <w:szCs w:val="24"/>
        </w:rPr>
      </w:pPr>
      <w:r>
        <w:rPr>
          <w:rFonts w:hint="eastAsia" w:cs="宋体" w:asciiTheme="minorEastAsia" w:hAnsiTheme="minorEastAsia" w:eastAsiaTheme="minorEastAsia"/>
          <w:strike/>
          <w:color w:val="auto"/>
          <w:spacing w:val="-3"/>
          <w:sz w:val="24"/>
          <w:szCs w:val="24"/>
        </w:rPr>
        <w:t>电气专业：选用国家已公布的机电淘汰产品；供配电系统的控制保护</w:t>
      </w:r>
      <w:r>
        <w:rPr>
          <w:rFonts w:hint="eastAsia" w:cs="宋体" w:asciiTheme="minorEastAsia" w:hAnsiTheme="minorEastAsia" w:eastAsiaTheme="minorEastAsia"/>
          <w:strike/>
          <w:color w:val="auto"/>
          <w:spacing w:val="-2"/>
          <w:sz w:val="24"/>
          <w:szCs w:val="24"/>
        </w:rPr>
        <w:t>，自动控制和自动调节</w:t>
      </w:r>
      <w:r>
        <w:rPr>
          <w:rFonts w:hint="eastAsia" w:cs="宋体" w:asciiTheme="minorEastAsia" w:hAnsiTheme="minorEastAsia" w:eastAsiaTheme="minorEastAsia"/>
          <w:strike/>
          <w:color w:val="auto"/>
          <w:spacing w:val="-1"/>
          <w:sz w:val="24"/>
          <w:szCs w:val="24"/>
        </w:rPr>
        <w:t>原理图，</w:t>
      </w:r>
      <w:r>
        <w:rPr>
          <w:rFonts w:hint="eastAsia" w:cs="宋体" w:asciiTheme="minorEastAsia" w:hAnsiTheme="minorEastAsia" w:eastAsiaTheme="minorEastAsia"/>
          <w:strike/>
          <w:color w:val="auto"/>
          <w:sz w:val="24"/>
          <w:szCs w:val="24"/>
        </w:rPr>
        <w:t>各站弱电设备之间线路连接图等设计不周或有严重错误；低压配电柜开关与所保护电缆</w:t>
      </w:r>
      <w:r>
        <w:rPr>
          <w:rFonts w:hint="eastAsia" w:cs="宋体" w:asciiTheme="minorEastAsia" w:hAnsiTheme="minorEastAsia" w:eastAsiaTheme="minorEastAsia"/>
          <w:strike/>
          <w:color w:val="auto"/>
          <w:spacing w:val="1"/>
          <w:sz w:val="24"/>
          <w:szCs w:val="24"/>
        </w:rPr>
        <w:t>选型不</w:t>
      </w:r>
      <w:r>
        <w:rPr>
          <w:rFonts w:hint="eastAsia" w:cs="宋体" w:asciiTheme="minorEastAsia" w:hAnsiTheme="minorEastAsia" w:eastAsiaTheme="minorEastAsia"/>
          <w:strike/>
          <w:color w:val="auto"/>
          <w:sz w:val="24"/>
          <w:szCs w:val="24"/>
        </w:rPr>
        <w:t>匹配，电缆母线容量不匹配等。</w:t>
      </w:r>
    </w:p>
    <w:p>
      <w:pPr>
        <w:autoSpaceDE w:val="0"/>
        <w:autoSpaceDN w:val="0"/>
        <w:spacing w:line="360" w:lineRule="auto"/>
        <w:ind w:firstLine="482" w:firstLineChars="201"/>
        <w:rPr>
          <w:rFonts w:asciiTheme="minorEastAsia" w:hAnsiTheme="minorEastAsia" w:eastAsiaTheme="minorEastAsia"/>
          <w:strike/>
          <w:color w:val="auto"/>
          <w:sz w:val="24"/>
          <w:szCs w:val="24"/>
        </w:rPr>
      </w:pPr>
      <w:r>
        <w:rPr>
          <w:rFonts w:hint="eastAsia" w:cs="宋体" w:asciiTheme="minorEastAsia" w:hAnsiTheme="minorEastAsia" w:eastAsiaTheme="minorEastAsia"/>
          <w:strike/>
          <w:color w:val="auto"/>
          <w:sz w:val="24"/>
          <w:szCs w:val="24"/>
        </w:rPr>
        <w:t>造价专业：提交给发包人的造价文件，经核查后，偏差大于±</w:t>
      </w:r>
      <w:r>
        <w:rPr>
          <w:rFonts w:cs="宋体" w:asciiTheme="minorEastAsia" w:hAnsiTheme="minorEastAsia" w:eastAsiaTheme="minorEastAsia"/>
          <w:strike/>
          <w:color w:val="auto"/>
          <w:sz w:val="24"/>
          <w:szCs w:val="24"/>
        </w:rPr>
        <w:t>20%</w:t>
      </w:r>
      <w:r>
        <w:rPr>
          <w:rFonts w:hint="eastAsia" w:cs="宋体" w:asciiTheme="minorEastAsia" w:hAnsiTheme="minorEastAsia" w:eastAsiaTheme="minorEastAsia"/>
          <w:strike/>
          <w:color w:val="auto"/>
          <w:spacing w:val="1"/>
          <w:sz w:val="24"/>
          <w:szCs w:val="24"/>
        </w:rPr>
        <w:t>的。</w:t>
      </w:r>
    </w:p>
    <w:p>
      <w:pPr>
        <w:autoSpaceDE w:val="0"/>
        <w:autoSpaceDN w:val="0"/>
        <w:spacing w:line="360" w:lineRule="auto"/>
        <w:ind w:firstLine="482" w:firstLineChars="201"/>
        <w:rPr>
          <w:rFonts w:asciiTheme="minorEastAsia" w:hAnsiTheme="minorEastAsia" w:eastAsiaTheme="minorEastAsia"/>
          <w:strike/>
          <w:color w:val="auto"/>
          <w:sz w:val="24"/>
          <w:szCs w:val="24"/>
        </w:rPr>
      </w:pPr>
      <w:r>
        <w:rPr>
          <w:rFonts w:cs="宋体" w:asciiTheme="minorEastAsia" w:hAnsiTheme="minorEastAsia" w:eastAsiaTheme="minorEastAsia"/>
          <w:strike/>
          <w:color w:val="auto"/>
          <w:sz w:val="24"/>
          <w:szCs w:val="24"/>
        </w:rPr>
        <w:t>B</w:t>
      </w:r>
      <w:r>
        <w:rPr>
          <w:rFonts w:hint="eastAsia" w:cs="宋体" w:asciiTheme="minorEastAsia" w:hAnsiTheme="minorEastAsia" w:eastAsiaTheme="minorEastAsia"/>
          <w:strike/>
          <w:color w:val="auto"/>
          <w:spacing w:val="1"/>
          <w:sz w:val="24"/>
          <w:szCs w:val="24"/>
        </w:rPr>
        <w:t>、严重影</w:t>
      </w:r>
      <w:r>
        <w:rPr>
          <w:rFonts w:hint="eastAsia" w:cs="宋体" w:asciiTheme="minorEastAsia" w:hAnsiTheme="minorEastAsia" w:eastAsiaTheme="minorEastAsia"/>
          <w:strike/>
          <w:color w:val="auto"/>
          <w:sz w:val="24"/>
          <w:szCs w:val="24"/>
        </w:rPr>
        <w:t>响报建：如计容积率面积（包含各个分部）超过允许的误差范围；平立剖面对不</w:t>
      </w:r>
      <w:r>
        <w:rPr>
          <w:rFonts w:hint="eastAsia" w:cs="宋体" w:asciiTheme="minorEastAsia" w:hAnsiTheme="minorEastAsia" w:eastAsiaTheme="minorEastAsia"/>
          <w:strike/>
          <w:color w:val="auto"/>
          <w:spacing w:val="1"/>
          <w:sz w:val="24"/>
          <w:szCs w:val="24"/>
        </w:rPr>
        <w:t>上；</w:t>
      </w:r>
      <w:r>
        <w:rPr>
          <w:rFonts w:hint="eastAsia" w:cs="宋体" w:asciiTheme="minorEastAsia" w:hAnsiTheme="minorEastAsia" w:eastAsiaTheme="minorEastAsia"/>
          <w:strike/>
          <w:color w:val="auto"/>
          <w:sz w:val="24"/>
          <w:szCs w:val="24"/>
        </w:rPr>
        <w:t>民防单元面积超过规范。</w:t>
      </w:r>
    </w:p>
    <w:p>
      <w:pPr>
        <w:autoSpaceDE w:val="0"/>
        <w:autoSpaceDN w:val="0"/>
        <w:spacing w:line="360" w:lineRule="auto"/>
        <w:ind w:firstLine="488" w:firstLineChars="201"/>
        <w:rPr>
          <w:rFonts w:asciiTheme="minorEastAsia" w:hAnsiTheme="minorEastAsia" w:eastAsiaTheme="minorEastAsia"/>
          <w:b/>
          <w:strike/>
          <w:color w:val="auto"/>
          <w:sz w:val="24"/>
          <w:szCs w:val="24"/>
        </w:rPr>
      </w:pPr>
      <w:r>
        <w:rPr>
          <w:rFonts w:hint="eastAsia" w:cs="宋体" w:asciiTheme="minorEastAsia" w:hAnsiTheme="minorEastAsia" w:eastAsiaTheme="minorEastAsia"/>
          <w:b/>
          <w:strike/>
          <w:color w:val="auto"/>
          <w:spacing w:val="1"/>
          <w:sz w:val="24"/>
          <w:szCs w:val="24"/>
        </w:rPr>
        <w:t>Ⅲ类</w:t>
      </w:r>
      <w:r>
        <w:rPr>
          <w:rFonts w:hint="eastAsia" w:cs="宋体" w:asciiTheme="minorEastAsia" w:hAnsiTheme="minorEastAsia" w:eastAsiaTheme="minorEastAsia"/>
          <w:b/>
          <w:strike/>
          <w:color w:val="auto"/>
          <w:sz w:val="24"/>
          <w:szCs w:val="24"/>
        </w:rPr>
        <w:t>错误：</w:t>
      </w:r>
    </w:p>
    <w:p>
      <w:pPr>
        <w:autoSpaceDE w:val="0"/>
        <w:autoSpaceDN w:val="0"/>
        <w:spacing w:line="360" w:lineRule="auto"/>
        <w:ind w:firstLine="482" w:firstLineChars="201"/>
        <w:rPr>
          <w:rFonts w:asciiTheme="minorEastAsia" w:hAnsiTheme="minorEastAsia" w:eastAsiaTheme="minorEastAsia"/>
          <w:strike/>
          <w:color w:val="auto"/>
          <w:sz w:val="24"/>
          <w:szCs w:val="24"/>
        </w:rPr>
      </w:pPr>
      <w:r>
        <w:rPr>
          <w:rFonts w:hint="eastAsia" w:cs="宋体" w:asciiTheme="minorEastAsia" w:hAnsiTheme="minorEastAsia" w:eastAsiaTheme="minorEastAsia"/>
          <w:strike/>
          <w:color w:val="auto"/>
          <w:sz w:val="24"/>
          <w:szCs w:val="24"/>
        </w:rPr>
        <w:t>设计中局部细节存在不合理或缺点，但对工程决策和质量无重大影响，如：</w:t>
      </w:r>
      <w:r>
        <w:rPr>
          <w:rFonts w:cs="宋体" w:asciiTheme="minorEastAsia" w:hAnsiTheme="minorEastAsia" w:eastAsiaTheme="minorEastAsia"/>
          <w:strike/>
          <w:color w:val="auto"/>
          <w:spacing w:val="-3"/>
          <w:sz w:val="24"/>
          <w:szCs w:val="24"/>
        </w:rPr>
        <w:t>1</w:t>
      </w:r>
      <w:r>
        <w:rPr>
          <w:rFonts w:hint="eastAsia" w:cs="宋体" w:asciiTheme="minorEastAsia" w:hAnsiTheme="minorEastAsia" w:eastAsiaTheme="minorEastAsia"/>
          <w:strike/>
          <w:color w:val="auto"/>
          <w:spacing w:val="-1"/>
          <w:sz w:val="24"/>
          <w:szCs w:val="24"/>
        </w:rPr>
        <w:t>、违</w:t>
      </w:r>
      <w:r>
        <w:rPr>
          <w:rFonts w:hint="eastAsia" w:cs="宋体" w:asciiTheme="minorEastAsia" w:hAnsiTheme="minorEastAsia" w:eastAsiaTheme="minorEastAsia"/>
          <w:strike/>
          <w:color w:val="auto"/>
          <w:sz w:val="24"/>
          <w:szCs w:val="24"/>
        </w:rPr>
        <w:t>反国家现行技术规范、规定、标准的一般条文；</w:t>
      </w:r>
      <w:r>
        <w:rPr>
          <w:rFonts w:cs="宋体" w:asciiTheme="minorEastAsia" w:hAnsiTheme="minorEastAsia" w:eastAsiaTheme="minorEastAsia"/>
          <w:strike/>
          <w:color w:val="auto"/>
          <w:spacing w:val="-1"/>
          <w:sz w:val="24"/>
          <w:szCs w:val="24"/>
        </w:rPr>
        <w:t>2</w:t>
      </w:r>
      <w:r>
        <w:rPr>
          <w:rFonts w:hint="eastAsia" w:cs="宋体" w:asciiTheme="minorEastAsia" w:hAnsiTheme="minorEastAsia" w:eastAsiaTheme="minorEastAsia"/>
          <w:strike/>
          <w:color w:val="auto"/>
          <w:sz w:val="24"/>
          <w:szCs w:val="24"/>
        </w:rPr>
        <w:t>、设计的流程、系统、平面布置不够合理；</w:t>
      </w:r>
      <w:r>
        <w:rPr>
          <w:rFonts w:cs="宋体" w:asciiTheme="minorEastAsia" w:hAnsiTheme="minorEastAsia" w:eastAsiaTheme="minorEastAsia"/>
          <w:strike/>
          <w:color w:val="auto"/>
          <w:spacing w:val="-2"/>
          <w:sz w:val="24"/>
          <w:szCs w:val="24"/>
        </w:rPr>
        <w:t>3</w:t>
      </w:r>
      <w:r>
        <w:rPr>
          <w:rFonts w:hint="eastAsia" w:cs="宋体" w:asciiTheme="minorEastAsia" w:hAnsiTheme="minorEastAsia" w:eastAsiaTheme="minorEastAsia"/>
          <w:strike/>
          <w:color w:val="auto"/>
          <w:spacing w:val="-1"/>
          <w:sz w:val="24"/>
          <w:szCs w:val="24"/>
        </w:rPr>
        <w:t>、</w:t>
      </w:r>
      <w:r>
        <w:rPr>
          <w:rFonts w:hint="eastAsia" w:cs="宋体" w:asciiTheme="minorEastAsia" w:hAnsiTheme="minorEastAsia" w:eastAsiaTheme="minorEastAsia"/>
          <w:strike/>
          <w:color w:val="auto"/>
          <w:sz w:val="24"/>
          <w:szCs w:val="24"/>
        </w:rPr>
        <w:t>设备、构造、材料等选用不当；</w:t>
      </w:r>
      <w:r>
        <w:rPr>
          <w:rFonts w:cs="宋体" w:asciiTheme="minorEastAsia" w:hAnsiTheme="minorEastAsia" w:eastAsiaTheme="minorEastAsia"/>
          <w:strike/>
          <w:color w:val="auto"/>
          <w:spacing w:val="-2"/>
          <w:sz w:val="24"/>
          <w:szCs w:val="24"/>
        </w:rPr>
        <w:t>4</w:t>
      </w:r>
      <w:r>
        <w:rPr>
          <w:rFonts w:hint="eastAsia" w:cs="宋体" w:asciiTheme="minorEastAsia" w:hAnsiTheme="minorEastAsia" w:eastAsiaTheme="minorEastAsia"/>
          <w:strike/>
          <w:color w:val="auto"/>
          <w:sz w:val="24"/>
          <w:szCs w:val="24"/>
        </w:rPr>
        <w:t>、重要的数据、计量单位、尺寸出错；</w:t>
      </w:r>
      <w:r>
        <w:rPr>
          <w:rFonts w:cs="宋体" w:asciiTheme="minorEastAsia" w:hAnsiTheme="minorEastAsia" w:eastAsiaTheme="minorEastAsia"/>
          <w:strike/>
          <w:color w:val="auto"/>
          <w:spacing w:val="-2"/>
          <w:sz w:val="24"/>
          <w:szCs w:val="24"/>
        </w:rPr>
        <w:t>5</w:t>
      </w:r>
      <w:r>
        <w:rPr>
          <w:rFonts w:hint="eastAsia" w:cs="宋体" w:asciiTheme="minorEastAsia" w:hAnsiTheme="minorEastAsia" w:eastAsiaTheme="minorEastAsia"/>
          <w:strike/>
          <w:color w:val="auto"/>
          <w:spacing w:val="-1"/>
          <w:sz w:val="24"/>
          <w:szCs w:val="24"/>
        </w:rPr>
        <w:t>、不符</w:t>
      </w:r>
      <w:r>
        <w:rPr>
          <w:rFonts w:hint="eastAsia" w:cs="宋体" w:asciiTheme="minorEastAsia" w:hAnsiTheme="minorEastAsia" w:eastAsiaTheme="minorEastAsia"/>
          <w:strike/>
          <w:color w:val="auto"/>
          <w:sz w:val="24"/>
          <w:szCs w:val="24"/>
        </w:rPr>
        <w:t>合国家对工程设计文件内容深度及格式的规定要求</w:t>
      </w:r>
      <w:r>
        <w:rPr>
          <w:rFonts w:cs="宋体" w:asciiTheme="minorEastAsia" w:hAnsiTheme="minorEastAsia" w:eastAsiaTheme="minorEastAsia"/>
          <w:strike/>
          <w:color w:val="auto"/>
          <w:sz w:val="24"/>
          <w:szCs w:val="24"/>
        </w:rPr>
        <w:t>;6、出现因设计责任引起的三类变更；6</w:t>
      </w:r>
      <w:r>
        <w:rPr>
          <w:rFonts w:hint="eastAsia" w:cs="宋体" w:asciiTheme="minorEastAsia" w:hAnsiTheme="minorEastAsia" w:eastAsiaTheme="minorEastAsia"/>
          <w:strike/>
          <w:color w:val="auto"/>
          <w:spacing w:val="-1"/>
          <w:sz w:val="24"/>
          <w:szCs w:val="24"/>
        </w:rPr>
        <w:t>、</w:t>
      </w:r>
      <w:r>
        <w:rPr>
          <w:rFonts w:hint="eastAsia" w:cs="宋体" w:asciiTheme="minorEastAsia" w:hAnsiTheme="minorEastAsia" w:eastAsiaTheme="minorEastAsia"/>
          <w:strike/>
          <w:color w:val="auto"/>
          <w:sz w:val="24"/>
          <w:szCs w:val="24"/>
        </w:rPr>
        <w:t>造价文件失实。</w:t>
      </w:r>
    </w:p>
    <w:p>
      <w:pPr>
        <w:autoSpaceDE w:val="0"/>
        <w:autoSpaceDN w:val="0"/>
        <w:spacing w:line="360" w:lineRule="auto"/>
        <w:ind w:firstLine="486" w:firstLineChars="201"/>
        <w:rPr>
          <w:rFonts w:asciiTheme="minorEastAsia" w:hAnsiTheme="minorEastAsia" w:eastAsiaTheme="minorEastAsia"/>
          <w:strike/>
          <w:color w:val="auto"/>
          <w:sz w:val="24"/>
          <w:szCs w:val="24"/>
        </w:rPr>
      </w:pPr>
      <w:r>
        <w:rPr>
          <w:rFonts w:hint="eastAsia" w:cs="宋体" w:asciiTheme="minorEastAsia" w:hAnsiTheme="minorEastAsia" w:eastAsiaTheme="minorEastAsia"/>
          <w:strike/>
          <w:color w:val="auto"/>
          <w:spacing w:val="1"/>
          <w:sz w:val="24"/>
          <w:szCs w:val="24"/>
        </w:rPr>
        <w:t>具体</w:t>
      </w:r>
      <w:r>
        <w:rPr>
          <w:rFonts w:hint="eastAsia" w:cs="宋体" w:asciiTheme="minorEastAsia" w:hAnsiTheme="minorEastAsia" w:eastAsiaTheme="minorEastAsia"/>
          <w:strike/>
          <w:color w:val="auto"/>
          <w:sz w:val="24"/>
          <w:szCs w:val="24"/>
        </w:rPr>
        <w:t>按照专业又可分为：</w:t>
      </w:r>
    </w:p>
    <w:p>
      <w:pPr>
        <w:autoSpaceDE w:val="0"/>
        <w:autoSpaceDN w:val="0"/>
        <w:spacing w:line="360" w:lineRule="auto"/>
        <w:ind w:firstLine="482" w:firstLineChars="201"/>
        <w:rPr>
          <w:rFonts w:asciiTheme="minorEastAsia" w:hAnsiTheme="minorEastAsia" w:eastAsiaTheme="minorEastAsia"/>
          <w:strike/>
          <w:color w:val="auto"/>
          <w:sz w:val="24"/>
          <w:szCs w:val="24"/>
        </w:rPr>
      </w:pPr>
      <w:r>
        <w:rPr>
          <w:rFonts w:cs="宋体" w:asciiTheme="minorEastAsia" w:hAnsiTheme="minorEastAsia" w:eastAsiaTheme="minorEastAsia"/>
          <w:strike/>
          <w:color w:val="auto"/>
          <w:sz w:val="24"/>
          <w:szCs w:val="24"/>
        </w:rPr>
        <w:t>A</w:t>
      </w:r>
      <w:r>
        <w:rPr>
          <w:rFonts w:hint="eastAsia" w:cs="宋体" w:asciiTheme="minorEastAsia" w:hAnsiTheme="minorEastAsia" w:eastAsiaTheme="minorEastAsia"/>
          <w:strike/>
          <w:color w:val="auto"/>
          <w:spacing w:val="1"/>
          <w:sz w:val="24"/>
          <w:szCs w:val="24"/>
        </w:rPr>
        <w:t>、局部违</w:t>
      </w:r>
      <w:r>
        <w:rPr>
          <w:rFonts w:hint="eastAsia" w:cs="宋体" w:asciiTheme="minorEastAsia" w:hAnsiTheme="minorEastAsia" w:eastAsiaTheme="minorEastAsia"/>
          <w:strike/>
          <w:color w:val="auto"/>
          <w:sz w:val="24"/>
          <w:szCs w:val="24"/>
        </w:rPr>
        <w:t>反规范、标准、规定，但容易修正、且返工量不大，如：</w:t>
      </w:r>
    </w:p>
    <w:p>
      <w:pPr>
        <w:autoSpaceDE w:val="0"/>
        <w:autoSpaceDN w:val="0"/>
        <w:spacing w:line="360" w:lineRule="auto"/>
        <w:ind w:firstLine="470" w:firstLineChars="201"/>
        <w:rPr>
          <w:rFonts w:asciiTheme="minorEastAsia" w:hAnsiTheme="minorEastAsia" w:eastAsiaTheme="minorEastAsia"/>
          <w:strike/>
          <w:color w:val="auto"/>
          <w:sz w:val="24"/>
          <w:szCs w:val="24"/>
        </w:rPr>
      </w:pPr>
      <w:r>
        <w:rPr>
          <w:rFonts w:hint="eastAsia" w:cs="宋体" w:asciiTheme="minorEastAsia" w:hAnsiTheme="minorEastAsia" w:eastAsiaTheme="minorEastAsia"/>
          <w:strike/>
          <w:color w:val="auto"/>
          <w:spacing w:val="-3"/>
          <w:sz w:val="24"/>
          <w:szCs w:val="24"/>
        </w:rPr>
        <w:t>建筑专业：栏杆的高度及强度不符合要求；消防电</w:t>
      </w:r>
      <w:r>
        <w:rPr>
          <w:rFonts w:hint="eastAsia" w:cs="宋体" w:asciiTheme="minorEastAsia" w:hAnsiTheme="minorEastAsia" w:eastAsiaTheme="minorEastAsia"/>
          <w:strike/>
          <w:color w:val="auto"/>
          <w:spacing w:val="-2"/>
          <w:sz w:val="24"/>
          <w:szCs w:val="24"/>
        </w:rPr>
        <w:t>梯不合防火要求，疏散门宽度不够、管道</w:t>
      </w:r>
      <w:r>
        <w:rPr>
          <w:rFonts w:hint="eastAsia" w:cs="宋体" w:asciiTheme="minorEastAsia" w:hAnsiTheme="minorEastAsia" w:eastAsiaTheme="minorEastAsia"/>
          <w:strike/>
          <w:color w:val="auto"/>
          <w:spacing w:val="1"/>
          <w:sz w:val="24"/>
          <w:szCs w:val="24"/>
        </w:rPr>
        <w:t>井不</w:t>
      </w:r>
      <w:r>
        <w:rPr>
          <w:rFonts w:hint="eastAsia" w:cs="宋体" w:asciiTheme="minorEastAsia" w:hAnsiTheme="minorEastAsia" w:eastAsiaTheme="minorEastAsia"/>
          <w:strike/>
          <w:color w:val="auto"/>
          <w:sz w:val="24"/>
          <w:szCs w:val="24"/>
        </w:rPr>
        <w:t>合防火规范等。</w:t>
      </w:r>
    </w:p>
    <w:p>
      <w:pPr>
        <w:autoSpaceDE w:val="0"/>
        <w:autoSpaceDN w:val="0"/>
        <w:spacing w:line="360" w:lineRule="auto"/>
        <w:ind w:firstLine="486" w:firstLineChars="201"/>
        <w:rPr>
          <w:rFonts w:asciiTheme="minorEastAsia" w:hAnsiTheme="minorEastAsia" w:eastAsiaTheme="minorEastAsia"/>
          <w:strike/>
          <w:color w:val="auto"/>
          <w:sz w:val="24"/>
          <w:szCs w:val="24"/>
        </w:rPr>
      </w:pPr>
      <w:r>
        <w:rPr>
          <w:rFonts w:hint="eastAsia" w:cs="宋体" w:asciiTheme="minorEastAsia" w:hAnsiTheme="minorEastAsia" w:eastAsiaTheme="minorEastAsia"/>
          <w:strike/>
          <w:color w:val="auto"/>
          <w:spacing w:val="1"/>
          <w:sz w:val="24"/>
          <w:szCs w:val="24"/>
        </w:rPr>
        <w:t>结构</w:t>
      </w:r>
      <w:r>
        <w:rPr>
          <w:rFonts w:hint="eastAsia" w:cs="宋体" w:asciiTheme="minorEastAsia" w:hAnsiTheme="minorEastAsia" w:eastAsiaTheme="minorEastAsia"/>
          <w:strike/>
          <w:color w:val="auto"/>
          <w:sz w:val="24"/>
          <w:szCs w:val="24"/>
        </w:rPr>
        <w:t>专业：按简支计算的梁、支座与梁柱整体连接构造用负筋不够；悬挑构件配筋错误等。</w:t>
      </w:r>
    </w:p>
    <w:p>
      <w:pPr>
        <w:autoSpaceDE w:val="0"/>
        <w:autoSpaceDN w:val="0"/>
        <w:spacing w:line="360" w:lineRule="auto"/>
        <w:ind w:firstLine="486" w:firstLineChars="201"/>
        <w:rPr>
          <w:rFonts w:asciiTheme="minorEastAsia" w:hAnsiTheme="minorEastAsia" w:eastAsiaTheme="minorEastAsia"/>
          <w:strike/>
          <w:color w:val="auto"/>
          <w:sz w:val="24"/>
          <w:szCs w:val="24"/>
        </w:rPr>
      </w:pPr>
      <w:r>
        <w:rPr>
          <w:rFonts w:hint="eastAsia" w:cs="宋体" w:asciiTheme="minorEastAsia" w:hAnsiTheme="minorEastAsia" w:eastAsiaTheme="minorEastAsia"/>
          <w:strike/>
          <w:color w:val="auto"/>
          <w:spacing w:val="1"/>
          <w:sz w:val="24"/>
          <w:szCs w:val="24"/>
        </w:rPr>
        <w:t>给排水专</w:t>
      </w:r>
      <w:r>
        <w:rPr>
          <w:rFonts w:hint="eastAsia" w:cs="宋体" w:asciiTheme="minorEastAsia" w:hAnsiTheme="minorEastAsia" w:eastAsiaTheme="minorEastAsia"/>
          <w:strike/>
          <w:color w:val="auto"/>
          <w:sz w:val="24"/>
          <w:szCs w:val="24"/>
        </w:rPr>
        <w:t>业：生活饮用水管理与非饮用水道连接，未采取防回流污染措施等。</w:t>
      </w:r>
    </w:p>
    <w:p>
      <w:pPr>
        <w:autoSpaceDE w:val="0"/>
        <w:autoSpaceDN w:val="0"/>
        <w:spacing w:line="360" w:lineRule="auto"/>
        <w:ind w:firstLine="470" w:firstLineChars="201"/>
        <w:rPr>
          <w:rFonts w:asciiTheme="minorEastAsia" w:hAnsiTheme="minorEastAsia" w:eastAsiaTheme="minorEastAsia"/>
          <w:strike/>
          <w:color w:val="auto"/>
          <w:sz w:val="24"/>
          <w:szCs w:val="24"/>
        </w:rPr>
      </w:pPr>
      <w:r>
        <w:rPr>
          <w:rFonts w:hint="eastAsia" w:cs="宋体" w:asciiTheme="minorEastAsia" w:hAnsiTheme="minorEastAsia" w:eastAsiaTheme="minorEastAsia"/>
          <w:strike/>
          <w:color w:val="auto"/>
          <w:spacing w:val="-3"/>
          <w:sz w:val="24"/>
          <w:szCs w:val="24"/>
        </w:rPr>
        <w:t>暖通专业：管道井不符合防火规定；穿越防火墙未</w:t>
      </w:r>
      <w:r>
        <w:rPr>
          <w:rFonts w:hint="eastAsia" w:cs="宋体" w:asciiTheme="minorEastAsia" w:hAnsiTheme="minorEastAsia" w:eastAsiaTheme="minorEastAsia"/>
          <w:strike/>
          <w:color w:val="auto"/>
          <w:spacing w:val="-2"/>
          <w:sz w:val="24"/>
          <w:szCs w:val="24"/>
        </w:rPr>
        <w:t>装防火阀；风管材料及保温材料不符合防</w:t>
      </w:r>
      <w:r>
        <w:rPr>
          <w:rFonts w:hint="eastAsia" w:cs="宋体" w:asciiTheme="minorEastAsia" w:hAnsiTheme="minorEastAsia" w:eastAsiaTheme="minorEastAsia"/>
          <w:strike/>
          <w:color w:val="auto"/>
          <w:spacing w:val="1"/>
          <w:sz w:val="24"/>
          <w:szCs w:val="24"/>
        </w:rPr>
        <w:t>火要</w:t>
      </w:r>
      <w:r>
        <w:rPr>
          <w:rFonts w:hint="eastAsia" w:cs="宋体" w:asciiTheme="minorEastAsia" w:hAnsiTheme="minorEastAsia" w:eastAsiaTheme="minorEastAsia"/>
          <w:strike/>
          <w:color w:val="auto"/>
          <w:sz w:val="24"/>
          <w:szCs w:val="24"/>
        </w:rPr>
        <w:t>求等。</w:t>
      </w:r>
    </w:p>
    <w:p>
      <w:pPr>
        <w:autoSpaceDE w:val="0"/>
        <w:autoSpaceDN w:val="0"/>
        <w:spacing w:line="360" w:lineRule="auto"/>
        <w:ind w:firstLine="470" w:firstLineChars="201"/>
        <w:rPr>
          <w:rFonts w:asciiTheme="minorEastAsia" w:hAnsiTheme="minorEastAsia" w:eastAsiaTheme="minorEastAsia"/>
          <w:strike/>
          <w:color w:val="auto"/>
          <w:sz w:val="24"/>
          <w:szCs w:val="24"/>
        </w:rPr>
      </w:pPr>
      <w:r>
        <w:rPr>
          <w:rFonts w:hint="eastAsia" w:cs="宋体" w:asciiTheme="minorEastAsia" w:hAnsiTheme="minorEastAsia" w:eastAsiaTheme="minorEastAsia"/>
          <w:strike/>
          <w:color w:val="auto"/>
          <w:spacing w:val="-3"/>
          <w:sz w:val="24"/>
          <w:szCs w:val="24"/>
        </w:rPr>
        <w:t>电气专业：低压配电级数超过三级；照明系统中单</w:t>
      </w:r>
      <w:r>
        <w:rPr>
          <w:rFonts w:hint="eastAsia" w:cs="宋体" w:asciiTheme="minorEastAsia" w:hAnsiTheme="minorEastAsia" w:eastAsiaTheme="minorEastAsia"/>
          <w:strike/>
          <w:color w:val="auto"/>
          <w:spacing w:val="-2"/>
          <w:sz w:val="24"/>
          <w:szCs w:val="24"/>
        </w:rPr>
        <w:t>向回路灯和插座数量超过</w:t>
      </w:r>
      <w:r>
        <w:rPr>
          <w:rFonts w:cs="宋体" w:asciiTheme="minorEastAsia" w:hAnsiTheme="minorEastAsia" w:eastAsiaTheme="minorEastAsia"/>
          <w:strike/>
          <w:color w:val="auto"/>
          <w:spacing w:val="-2"/>
          <w:sz w:val="24"/>
          <w:szCs w:val="24"/>
        </w:rPr>
        <w:t xml:space="preserve"> </w:t>
      </w:r>
      <w:r>
        <w:rPr>
          <w:rFonts w:cs="宋体" w:asciiTheme="minorEastAsia" w:hAnsiTheme="minorEastAsia" w:eastAsiaTheme="minorEastAsia"/>
          <w:strike/>
          <w:color w:val="auto"/>
          <w:spacing w:val="1"/>
          <w:sz w:val="24"/>
          <w:szCs w:val="24"/>
        </w:rPr>
        <w:t>25</w:t>
      </w:r>
      <w:r>
        <w:rPr>
          <w:rFonts w:hint="eastAsia" w:cs="宋体" w:asciiTheme="minorEastAsia" w:hAnsiTheme="minorEastAsia" w:eastAsiaTheme="minorEastAsia"/>
          <w:strike/>
          <w:color w:val="auto"/>
          <w:spacing w:val="-2"/>
          <w:sz w:val="24"/>
          <w:szCs w:val="24"/>
        </w:rPr>
        <w:t>个；烟、温</w:t>
      </w:r>
      <w:r>
        <w:rPr>
          <w:rFonts w:hint="eastAsia" w:cs="宋体" w:asciiTheme="minorEastAsia" w:hAnsiTheme="minorEastAsia" w:eastAsiaTheme="minorEastAsia"/>
          <w:strike/>
          <w:color w:val="auto"/>
          <w:spacing w:val="1"/>
          <w:sz w:val="24"/>
          <w:szCs w:val="24"/>
        </w:rPr>
        <w:t>感探测器位</w:t>
      </w:r>
      <w:r>
        <w:rPr>
          <w:rFonts w:hint="eastAsia" w:cs="宋体" w:asciiTheme="minorEastAsia" w:hAnsiTheme="minorEastAsia" w:eastAsiaTheme="minorEastAsia"/>
          <w:strike/>
          <w:color w:val="auto"/>
          <w:sz w:val="24"/>
          <w:szCs w:val="24"/>
        </w:rPr>
        <w:t>置；自动喷淋、排烟防火等系统连锁方式局部违反规范、标准、规定；双电源未考虑</w:t>
      </w:r>
      <w:r>
        <w:rPr>
          <w:rFonts w:hint="eastAsia" w:cs="宋体" w:asciiTheme="minorEastAsia" w:hAnsiTheme="minorEastAsia" w:eastAsiaTheme="minorEastAsia"/>
          <w:strike/>
          <w:color w:val="auto"/>
          <w:spacing w:val="1"/>
          <w:sz w:val="24"/>
          <w:szCs w:val="24"/>
        </w:rPr>
        <w:t>末</w:t>
      </w:r>
      <w:r>
        <w:rPr>
          <w:rFonts w:hint="eastAsia" w:cs="宋体" w:asciiTheme="minorEastAsia" w:hAnsiTheme="minorEastAsia" w:eastAsiaTheme="minorEastAsia"/>
          <w:strike/>
          <w:color w:val="auto"/>
          <w:sz w:val="24"/>
          <w:szCs w:val="24"/>
        </w:rPr>
        <w:t>端切换等。</w:t>
      </w:r>
    </w:p>
    <w:p>
      <w:pPr>
        <w:autoSpaceDE w:val="0"/>
        <w:autoSpaceDN w:val="0"/>
        <w:spacing w:line="360" w:lineRule="auto"/>
        <w:ind w:firstLine="482" w:firstLineChars="201"/>
        <w:rPr>
          <w:rFonts w:asciiTheme="minorEastAsia" w:hAnsiTheme="minorEastAsia" w:eastAsiaTheme="minorEastAsia"/>
          <w:strike/>
          <w:color w:val="auto"/>
          <w:sz w:val="24"/>
          <w:szCs w:val="24"/>
        </w:rPr>
      </w:pPr>
      <w:r>
        <w:rPr>
          <w:rFonts w:hint="eastAsia" w:cs="宋体" w:asciiTheme="minorEastAsia" w:hAnsiTheme="minorEastAsia" w:eastAsiaTheme="minorEastAsia"/>
          <w:strike/>
          <w:color w:val="auto"/>
          <w:sz w:val="24"/>
          <w:szCs w:val="24"/>
        </w:rPr>
        <w:t>造价专业：提交给发包人的造价文件，经核查后，偏差大于±</w:t>
      </w:r>
      <w:r>
        <w:rPr>
          <w:rFonts w:cs="宋体" w:asciiTheme="minorEastAsia" w:hAnsiTheme="minorEastAsia" w:eastAsiaTheme="minorEastAsia"/>
          <w:strike/>
          <w:color w:val="auto"/>
          <w:sz w:val="24"/>
          <w:szCs w:val="24"/>
        </w:rPr>
        <w:t>10%</w:t>
      </w:r>
      <w:r>
        <w:rPr>
          <w:rFonts w:hint="eastAsia" w:cs="宋体" w:asciiTheme="minorEastAsia" w:hAnsiTheme="minorEastAsia" w:eastAsiaTheme="minorEastAsia"/>
          <w:strike/>
          <w:color w:val="auto"/>
          <w:spacing w:val="1"/>
          <w:sz w:val="24"/>
          <w:szCs w:val="24"/>
        </w:rPr>
        <w:t>的。</w:t>
      </w:r>
    </w:p>
    <w:p>
      <w:pPr>
        <w:autoSpaceDE w:val="0"/>
        <w:autoSpaceDN w:val="0"/>
        <w:spacing w:line="360" w:lineRule="auto"/>
        <w:ind w:firstLine="482" w:firstLineChars="201"/>
        <w:rPr>
          <w:rFonts w:asciiTheme="minorEastAsia" w:hAnsiTheme="minorEastAsia" w:eastAsiaTheme="minorEastAsia"/>
          <w:strike/>
          <w:color w:val="auto"/>
          <w:sz w:val="24"/>
          <w:szCs w:val="24"/>
        </w:rPr>
      </w:pPr>
      <w:r>
        <w:rPr>
          <w:rFonts w:cs="宋体" w:asciiTheme="minorEastAsia" w:hAnsiTheme="minorEastAsia" w:eastAsiaTheme="minorEastAsia"/>
          <w:strike/>
          <w:color w:val="auto"/>
          <w:sz w:val="24"/>
          <w:szCs w:val="24"/>
        </w:rPr>
        <w:t>B</w:t>
      </w:r>
      <w:r>
        <w:rPr>
          <w:rFonts w:hint="eastAsia" w:cs="宋体" w:asciiTheme="minorEastAsia" w:hAnsiTheme="minorEastAsia" w:eastAsiaTheme="minorEastAsia"/>
          <w:strike/>
          <w:color w:val="auto"/>
          <w:spacing w:val="1"/>
          <w:sz w:val="24"/>
          <w:szCs w:val="24"/>
        </w:rPr>
        <w:t>、设计不</w:t>
      </w:r>
      <w:r>
        <w:rPr>
          <w:rFonts w:hint="eastAsia" w:cs="宋体" w:asciiTheme="minorEastAsia" w:hAnsiTheme="minorEastAsia" w:eastAsiaTheme="minorEastAsia"/>
          <w:strike/>
          <w:color w:val="auto"/>
          <w:sz w:val="24"/>
          <w:szCs w:val="24"/>
        </w:rPr>
        <w:t>周、构造或用料不当，有可能造成影响局部使用效果，或重要部位尺寸错误，有</w:t>
      </w:r>
      <w:r>
        <w:rPr>
          <w:rFonts w:hint="eastAsia" w:cs="宋体" w:asciiTheme="minorEastAsia" w:hAnsiTheme="minorEastAsia" w:eastAsiaTheme="minorEastAsia"/>
          <w:strike/>
          <w:color w:val="auto"/>
          <w:spacing w:val="1"/>
          <w:sz w:val="24"/>
          <w:szCs w:val="24"/>
        </w:rPr>
        <w:t>可能</w:t>
      </w:r>
      <w:r>
        <w:rPr>
          <w:rFonts w:hint="eastAsia" w:cs="宋体" w:asciiTheme="minorEastAsia" w:hAnsiTheme="minorEastAsia" w:eastAsiaTheme="minorEastAsia"/>
          <w:strike/>
          <w:color w:val="auto"/>
          <w:sz w:val="24"/>
          <w:szCs w:val="24"/>
        </w:rPr>
        <w:t>造成严重后果，如：</w:t>
      </w:r>
    </w:p>
    <w:p>
      <w:pPr>
        <w:autoSpaceDE w:val="0"/>
        <w:autoSpaceDN w:val="0"/>
        <w:spacing w:line="360" w:lineRule="auto"/>
        <w:ind w:firstLine="470" w:firstLineChars="201"/>
        <w:rPr>
          <w:rFonts w:asciiTheme="minorEastAsia" w:hAnsiTheme="minorEastAsia" w:eastAsiaTheme="minorEastAsia"/>
          <w:strike/>
          <w:color w:val="auto"/>
          <w:sz w:val="24"/>
          <w:szCs w:val="24"/>
        </w:rPr>
      </w:pPr>
      <w:r>
        <w:rPr>
          <w:rFonts w:hint="eastAsia" w:cs="宋体" w:asciiTheme="minorEastAsia" w:hAnsiTheme="minorEastAsia" w:eastAsiaTheme="minorEastAsia"/>
          <w:strike/>
          <w:color w:val="auto"/>
          <w:spacing w:val="-3"/>
          <w:sz w:val="24"/>
          <w:szCs w:val="24"/>
        </w:rPr>
        <w:t>建筑专业：</w:t>
      </w:r>
      <w:r>
        <w:rPr>
          <w:rFonts w:hint="eastAsia" w:cs="宋体" w:asciiTheme="minorEastAsia" w:hAnsiTheme="minorEastAsia" w:eastAsiaTheme="minorEastAsia"/>
          <w:strike/>
          <w:color w:val="auto"/>
          <w:spacing w:val="-2"/>
          <w:sz w:val="24"/>
          <w:szCs w:val="24"/>
        </w:rPr>
        <w:t>结构承重部分在建筑图中未完全反映或错误；</w:t>
      </w:r>
      <w:r>
        <w:rPr>
          <w:rFonts w:hint="eastAsia" w:cs="宋体" w:asciiTheme="minorEastAsia" w:hAnsiTheme="minorEastAsia" w:eastAsiaTheme="minorEastAsia"/>
          <w:strike/>
          <w:color w:val="auto"/>
          <w:spacing w:val="-4"/>
          <w:sz w:val="24"/>
          <w:szCs w:val="24"/>
        </w:rPr>
        <w:t>声光</w:t>
      </w:r>
      <w:r>
        <w:rPr>
          <w:rFonts w:hint="eastAsia" w:cs="宋体" w:asciiTheme="minorEastAsia" w:hAnsiTheme="minorEastAsia" w:eastAsiaTheme="minorEastAsia"/>
          <w:strike/>
          <w:color w:val="auto"/>
          <w:spacing w:val="-3"/>
          <w:sz w:val="24"/>
          <w:szCs w:val="24"/>
        </w:rPr>
        <w:t>热防水防潮等的技术处理欠妥</w:t>
      </w:r>
      <w:r>
        <w:rPr>
          <w:rFonts w:hint="eastAsia" w:cs="宋体" w:asciiTheme="minorEastAsia" w:hAnsiTheme="minorEastAsia" w:eastAsiaTheme="minorEastAsia"/>
          <w:strike/>
          <w:color w:val="auto"/>
          <w:sz w:val="24"/>
          <w:szCs w:val="24"/>
        </w:rPr>
        <w:t>等。</w:t>
      </w:r>
    </w:p>
    <w:p>
      <w:pPr>
        <w:autoSpaceDE w:val="0"/>
        <w:autoSpaceDN w:val="0"/>
        <w:spacing w:line="360" w:lineRule="auto"/>
        <w:ind w:firstLine="470" w:firstLineChars="201"/>
        <w:rPr>
          <w:rFonts w:asciiTheme="minorEastAsia" w:hAnsiTheme="minorEastAsia" w:eastAsiaTheme="minorEastAsia"/>
          <w:strike/>
          <w:color w:val="auto"/>
          <w:sz w:val="24"/>
          <w:szCs w:val="24"/>
        </w:rPr>
      </w:pPr>
      <w:r>
        <w:rPr>
          <w:rFonts w:hint="eastAsia" w:cs="宋体" w:asciiTheme="minorEastAsia" w:hAnsiTheme="minorEastAsia" w:eastAsiaTheme="minorEastAsia"/>
          <w:strike/>
          <w:color w:val="auto"/>
          <w:spacing w:val="-3"/>
          <w:sz w:val="24"/>
          <w:szCs w:val="24"/>
        </w:rPr>
        <w:t>结构专业</w:t>
      </w:r>
      <w:r>
        <w:rPr>
          <w:rFonts w:cs="宋体" w:asciiTheme="minorEastAsia" w:hAnsiTheme="minorEastAsia" w:eastAsiaTheme="minorEastAsia"/>
          <w:strike/>
          <w:color w:val="auto"/>
          <w:sz w:val="24"/>
          <w:szCs w:val="24"/>
        </w:rPr>
        <w:t>:</w:t>
      </w:r>
      <w:r>
        <w:rPr>
          <w:rFonts w:hint="eastAsia" w:cs="宋体" w:asciiTheme="minorEastAsia" w:hAnsiTheme="minorEastAsia" w:eastAsiaTheme="minorEastAsia"/>
          <w:strike/>
          <w:color w:val="auto"/>
          <w:spacing w:val="-3"/>
          <w:sz w:val="24"/>
          <w:szCs w:val="24"/>
        </w:rPr>
        <w:t>各种门</w:t>
      </w:r>
      <w:r>
        <w:rPr>
          <w:rFonts w:cs="宋体" w:asciiTheme="minorEastAsia" w:hAnsiTheme="minorEastAsia" w:eastAsiaTheme="minorEastAsia"/>
          <w:strike/>
          <w:color w:val="auto"/>
          <w:spacing w:val="-1"/>
          <w:sz w:val="24"/>
          <w:szCs w:val="24"/>
        </w:rPr>
        <w:t>/</w:t>
      </w:r>
      <w:r>
        <w:rPr>
          <w:rFonts w:hint="eastAsia" w:cs="宋体" w:asciiTheme="minorEastAsia" w:hAnsiTheme="minorEastAsia" w:eastAsiaTheme="minorEastAsia"/>
          <w:strike/>
          <w:color w:val="auto"/>
          <w:spacing w:val="-3"/>
          <w:sz w:val="24"/>
          <w:szCs w:val="24"/>
        </w:rPr>
        <w:t>窗洞高度不符合建筑设计要求，</w:t>
      </w:r>
      <w:r>
        <w:rPr>
          <w:rFonts w:hint="eastAsia" w:cs="宋体" w:asciiTheme="minorEastAsia" w:hAnsiTheme="minorEastAsia" w:eastAsiaTheme="minorEastAsia"/>
          <w:strike/>
          <w:color w:val="auto"/>
          <w:spacing w:val="-2"/>
          <w:sz w:val="24"/>
          <w:szCs w:val="24"/>
        </w:rPr>
        <w:t>严重影响使用要求；</w:t>
      </w:r>
      <w:r>
        <w:rPr>
          <w:rFonts w:hint="eastAsia" w:cs="宋体" w:asciiTheme="minorEastAsia" w:hAnsiTheme="minorEastAsia" w:eastAsiaTheme="minorEastAsia"/>
          <w:strike/>
          <w:color w:val="auto"/>
          <w:spacing w:val="-4"/>
          <w:sz w:val="24"/>
          <w:szCs w:val="24"/>
        </w:rPr>
        <w:t>存</w:t>
      </w:r>
      <w:r>
        <w:rPr>
          <w:rFonts w:hint="eastAsia" w:cs="宋体" w:asciiTheme="minorEastAsia" w:hAnsiTheme="minorEastAsia" w:eastAsiaTheme="minorEastAsia"/>
          <w:strike/>
          <w:color w:val="auto"/>
          <w:spacing w:val="-3"/>
          <w:sz w:val="24"/>
          <w:szCs w:val="24"/>
        </w:rPr>
        <w:t>在明显的未设计部</w:t>
      </w:r>
      <w:r>
        <w:rPr>
          <w:rFonts w:hint="eastAsia" w:cs="宋体" w:asciiTheme="minorEastAsia" w:hAnsiTheme="minorEastAsia" w:eastAsiaTheme="minorEastAsia"/>
          <w:strike/>
          <w:color w:val="auto"/>
          <w:sz w:val="24"/>
          <w:szCs w:val="24"/>
        </w:rPr>
        <w:t>分，影响现场进度；结构标高与建筑面层要求不</w:t>
      </w:r>
      <w:r>
        <w:rPr>
          <w:rFonts w:hint="eastAsia" w:cs="宋体" w:asciiTheme="minorEastAsia" w:hAnsiTheme="minorEastAsia" w:eastAsiaTheme="minorEastAsia"/>
          <w:strike/>
          <w:color w:val="auto"/>
          <w:spacing w:val="-1"/>
          <w:sz w:val="24"/>
          <w:szCs w:val="24"/>
        </w:rPr>
        <w:t>符；阳台</w:t>
      </w:r>
      <w:r>
        <w:rPr>
          <w:rFonts w:hint="eastAsia" w:cs="宋体" w:asciiTheme="minorEastAsia" w:hAnsiTheme="minorEastAsia" w:eastAsiaTheme="minorEastAsia"/>
          <w:strike/>
          <w:color w:val="auto"/>
          <w:sz w:val="24"/>
          <w:szCs w:val="24"/>
        </w:rPr>
        <w:t>、雨蓬的倾覆安全不够，钢筋混凝土构</w:t>
      </w:r>
      <w:r>
        <w:rPr>
          <w:rFonts w:hint="eastAsia" w:cs="宋体" w:asciiTheme="minorEastAsia" w:hAnsiTheme="minorEastAsia" w:eastAsiaTheme="minorEastAsia"/>
          <w:strike/>
          <w:color w:val="auto"/>
          <w:spacing w:val="1"/>
          <w:sz w:val="24"/>
          <w:szCs w:val="24"/>
        </w:rPr>
        <w:t>件配筋与</w:t>
      </w:r>
      <w:r>
        <w:rPr>
          <w:rFonts w:hint="eastAsia" w:cs="宋体" w:asciiTheme="minorEastAsia" w:hAnsiTheme="minorEastAsia" w:eastAsiaTheme="minorEastAsia"/>
          <w:strike/>
          <w:color w:val="auto"/>
          <w:sz w:val="24"/>
          <w:szCs w:val="24"/>
        </w:rPr>
        <w:t>计算书不符；应设置构造钢筋的部位不设或少设。</w:t>
      </w:r>
    </w:p>
    <w:p>
      <w:pPr>
        <w:autoSpaceDE w:val="0"/>
        <w:autoSpaceDN w:val="0"/>
        <w:spacing w:line="360" w:lineRule="auto"/>
        <w:ind w:firstLine="482" w:firstLineChars="201"/>
        <w:rPr>
          <w:rFonts w:asciiTheme="minorEastAsia" w:hAnsiTheme="minorEastAsia" w:eastAsiaTheme="minorEastAsia"/>
          <w:strike/>
          <w:color w:val="auto"/>
          <w:sz w:val="24"/>
          <w:szCs w:val="24"/>
        </w:rPr>
      </w:pPr>
      <w:r>
        <w:rPr>
          <w:rFonts w:hint="eastAsia" w:cs="宋体" w:asciiTheme="minorEastAsia" w:hAnsiTheme="minorEastAsia" w:eastAsiaTheme="minorEastAsia"/>
          <w:strike/>
          <w:color w:val="auto"/>
          <w:sz w:val="24"/>
          <w:szCs w:val="24"/>
        </w:rPr>
        <w:t>给排水专业</w:t>
      </w:r>
      <w:r>
        <w:rPr>
          <w:rFonts w:cs="宋体" w:asciiTheme="minorEastAsia" w:hAnsiTheme="minorEastAsia" w:eastAsiaTheme="minorEastAsia"/>
          <w:strike/>
          <w:color w:val="auto"/>
          <w:sz w:val="24"/>
          <w:szCs w:val="24"/>
        </w:rPr>
        <w:t>:</w:t>
      </w:r>
      <w:r>
        <w:rPr>
          <w:rFonts w:hint="eastAsia" w:cs="宋体" w:asciiTheme="minorEastAsia" w:hAnsiTheme="minorEastAsia" w:eastAsiaTheme="minorEastAsia"/>
          <w:strike/>
          <w:color w:val="auto"/>
          <w:spacing w:val="1"/>
          <w:sz w:val="24"/>
          <w:szCs w:val="24"/>
        </w:rPr>
        <w:t>选用</w:t>
      </w:r>
      <w:r>
        <w:rPr>
          <w:rFonts w:hint="eastAsia" w:cs="宋体" w:asciiTheme="minorEastAsia" w:hAnsiTheme="minorEastAsia" w:eastAsiaTheme="minorEastAsia"/>
          <w:strike/>
          <w:color w:val="auto"/>
          <w:sz w:val="24"/>
          <w:szCs w:val="24"/>
        </w:rPr>
        <w:t>了已淘汰的耗能大的设备。热交换间未考虑检修条件等。</w:t>
      </w:r>
    </w:p>
    <w:p>
      <w:pPr>
        <w:autoSpaceDE w:val="0"/>
        <w:autoSpaceDN w:val="0"/>
        <w:spacing w:line="360" w:lineRule="auto"/>
        <w:ind w:firstLine="482" w:firstLineChars="201"/>
        <w:rPr>
          <w:rFonts w:asciiTheme="minorEastAsia" w:hAnsiTheme="minorEastAsia" w:eastAsiaTheme="minorEastAsia"/>
          <w:strike/>
          <w:color w:val="auto"/>
          <w:sz w:val="24"/>
          <w:szCs w:val="24"/>
        </w:rPr>
      </w:pPr>
      <w:r>
        <w:rPr>
          <w:rFonts w:hint="eastAsia" w:cs="宋体" w:asciiTheme="minorEastAsia" w:hAnsiTheme="minorEastAsia" w:eastAsiaTheme="minorEastAsia"/>
          <w:strike/>
          <w:color w:val="auto"/>
          <w:sz w:val="24"/>
          <w:szCs w:val="24"/>
        </w:rPr>
        <w:t>暖通专业</w:t>
      </w:r>
      <w:r>
        <w:rPr>
          <w:rFonts w:cs="宋体" w:asciiTheme="minorEastAsia" w:hAnsiTheme="minorEastAsia" w:eastAsiaTheme="minorEastAsia"/>
          <w:strike/>
          <w:color w:val="auto"/>
          <w:sz w:val="24"/>
          <w:szCs w:val="24"/>
        </w:rPr>
        <w:t>:</w:t>
      </w:r>
      <w:r>
        <w:rPr>
          <w:rFonts w:hint="eastAsia" w:cs="宋体" w:asciiTheme="minorEastAsia" w:hAnsiTheme="minorEastAsia" w:eastAsiaTheme="minorEastAsia"/>
          <w:strike/>
          <w:color w:val="auto"/>
          <w:spacing w:val="1"/>
          <w:sz w:val="24"/>
          <w:szCs w:val="24"/>
        </w:rPr>
        <w:t>选用了已</w:t>
      </w:r>
      <w:r>
        <w:rPr>
          <w:rFonts w:hint="eastAsia" w:cs="宋体" w:asciiTheme="minorEastAsia" w:hAnsiTheme="minorEastAsia" w:eastAsiaTheme="minorEastAsia"/>
          <w:strike/>
          <w:color w:val="auto"/>
          <w:sz w:val="24"/>
          <w:szCs w:val="24"/>
        </w:rPr>
        <w:t>淘汰的产品；机房布置未考虑检修条件；地下室的机房未考虑设备进出</w:t>
      </w:r>
      <w:r>
        <w:rPr>
          <w:rFonts w:hint="eastAsia" w:cs="宋体" w:asciiTheme="minorEastAsia" w:hAnsiTheme="minorEastAsia" w:eastAsiaTheme="minorEastAsia"/>
          <w:strike/>
          <w:color w:val="auto"/>
          <w:spacing w:val="1"/>
          <w:sz w:val="24"/>
          <w:szCs w:val="24"/>
        </w:rPr>
        <w:t>孔；风机</w:t>
      </w:r>
      <w:r>
        <w:rPr>
          <w:rFonts w:hint="eastAsia" w:cs="宋体" w:asciiTheme="minorEastAsia" w:hAnsiTheme="minorEastAsia" w:eastAsiaTheme="minorEastAsia"/>
          <w:strike/>
          <w:color w:val="auto"/>
          <w:sz w:val="24"/>
          <w:szCs w:val="24"/>
        </w:rPr>
        <w:t>的消声、减震处理不当等。</w:t>
      </w:r>
    </w:p>
    <w:p>
      <w:pPr>
        <w:autoSpaceDE w:val="0"/>
        <w:autoSpaceDN w:val="0"/>
        <w:spacing w:line="360" w:lineRule="auto"/>
        <w:ind w:firstLine="482" w:firstLineChars="201"/>
        <w:rPr>
          <w:rFonts w:asciiTheme="minorEastAsia" w:hAnsiTheme="minorEastAsia" w:eastAsiaTheme="minorEastAsia"/>
          <w:strike/>
          <w:color w:val="auto"/>
          <w:sz w:val="24"/>
          <w:szCs w:val="24"/>
        </w:rPr>
      </w:pPr>
      <w:r>
        <w:rPr>
          <w:rFonts w:hint="eastAsia" w:cs="宋体" w:asciiTheme="minorEastAsia" w:hAnsiTheme="minorEastAsia" w:eastAsiaTheme="minorEastAsia"/>
          <w:strike/>
          <w:color w:val="auto"/>
          <w:sz w:val="24"/>
          <w:szCs w:val="24"/>
        </w:rPr>
        <w:t>电气专业</w:t>
      </w:r>
      <w:r>
        <w:rPr>
          <w:rFonts w:cs="宋体" w:asciiTheme="minorEastAsia" w:hAnsiTheme="minorEastAsia" w:eastAsiaTheme="minorEastAsia"/>
          <w:strike/>
          <w:color w:val="auto"/>
          <w:sz w:val="24"/>
          <w:szCs w:val="24"/>
        </w:rPr>
        <w:t>:</w:t>
      </w:r>
      <w:r>
        <w:rPr>
          <w:rFonts w:hint="eastAsia" w:cs="宋体" w:asciiTheme="minorEastAsia" w:hAnsiTheme="minorEastAsia" w:eastAsiaTheme="minorEastAsia"/>
          <w:strike/>
          <w:color w:val="auto"/>
          <w:spacing w:val="1"/>
          <w:sz w:val="24"/>
          <w:szCs w:val="24"/>
        </w:rPr>
        <w:t>强、弱电</w:t>
      </w:r>
      <w:r>
        <w:rPr>
          <w:rFonts w:hint="eastAsia" w:cs="宋体" w:asciiTheme="minorEastAsia" w:hAnsiTheme="minorEastAsia" w:eastAsiaTheme="minorEastAsia"/>
          <w:strike/>
          <w:color w:val="auto"/>
          <w:sz w:val="24"/>
          <w:szCs w:val="24"/>
        </w:rPr>
        <w:t>各种线路布局，设备选型不当，安装图和非标准图制作尺寸以及安装不符等。</w:t>
      </w:r>
    </w:p>
    <w:p>
      <w:pPr>
        <w:autoSpaceDE w:val="0"/>
        <w:autoSpaceDN w:val="0"/>
        <w:spacing w:line="360" w:lineRule="auto"/>
        <w:ind w:firstLine="482" w:firstLineChars="201"/>
        <w:rPr>
          <w:rFonts w:asciiTheme="minorEastAsia" w:hAnsiTheme="minorEastAsia" w:eastAsiaTheme="minorEastAsia"/>
          <w:strike/>
          <w:color w:val="auto"/>
          <w:sz w:val="24"/>
          <w:szCs w:val="24"/>
        </w:rPr>
      </w:pPr>
      <w:r>
        <w:rPr>
          <w:rFonts w:cs="宋体" w:asciiTheme="minorEastAsia" w:hAnsiTheme="minorEastAsia" w:eastAsiaTheme="minorEastAsia"/>
          <w:strike/>
          <w:color w:val="auto"/>
          <w:sz w:val="24"/>
          <w:szCs w:val="24"/>
        </w:rPr>
        <w:t>C</w:t>
      </w:r>
      <w:r>
        <w:rPr>
          <w:rFonts w:hint="eastAsia" w:cs="宋体" w:asciiTheme="minorEastAsia" w:hAnsiTheme="minorEastAsia" w:eastAsiaTheme="minorEastAsia"/>
          <w:strike/>
          <w:color w:val="auto"/>
          <w:spacing w:val="1"/>
          <w:sz w:val="24"/>
          <w:szCs w:val="24"/>
        </w:rPr>
        <w:t>、工种配</w:t>
      </w:r>
      <w:r>
        <w:rPr>
          <w:rFonts w:hint="eastAsia" w:cs="宋体" w:asciiTheme="minorEastAsia" w:hAnsiTheme="minorEastAsia" w:eastAsiaTheme="minorEastAsia"/>
          <w:strike/>
          <w:color w:val="auto"/>
          <w:sz w:val="24"/>
          <w:szCs w:val="24"/>
        </w:rPr>
        <w:t>合严重错误或局部遗漏有可能造成影响使用，或造成施工返工，如梁上预埋孔洞</w:t>
      </w:r>
      <w:r>
        <w:rPr>
          <w:rFonts w:hint="eastAsia" w:cs="宋体" w:asciiTheme="minorEastAsia" w:hAnsiTheme="minorEastAsia" w:eastAsiaTheme="minorEastAsia"/>
          <w:strike/>
          <w:color w:val="auto"/>
          <w:spacing w:val="1"/>
          <w:sz w:val="24"/>
          <w:szCs w:val="24"/>
        </w:rPr>
        <w:t>严重</w:t>
      </w:r>
      <w:r>
        <w:rPr>
          <w:rFonts w:hint="eastAsia" w:cs="宋体" w:asciiTheme="minorEastAsia" w:hAnsiTheme="minorEastAsia" w:eastAsiaTheme="minorEastAsia"/>
          <w:strike/>
          <w:color w:val="auto"/>
          <w:sz w:val="24"/>
          <w:szCs w:val="24"/>
        </w:rPr>
        <w:t>影响结构安全。</w:t>
      </w:r>
    </w:p>
    <w:p>
      <w:pPr>
        <w:autoSpaceDE w:val="0"/>
        <w:autoSpaceDN w:val="0"/>
        <w:spacing w:line="360" w:lineRule="auto"/>
        <w:ind w:firstLine="482" w:firstLineChars="201"/>
        <w:rPr>
          <w:rFonts w:asciiTheme="minorEastAsia" w:hAnsiTheme="minorEastAsia" w:eastAsiaTheme="minorEastAsia"/>
          <w:strike/>
          <w:color w:val="auto"/>
          <w:sz w:val="24"/>
          <w:szCs w:val="24"/>
        </w:rPr>
      </w:pPr>
      <w:r>
        <w:rPr>
          <w:rFonts w:cs="宋体" w:asciiTheme="minorEastAsia" w:hAnsiTheme="minorEastAsia" w:eastAsiaTheme="minorEastAsia"/>
          <w:strike/>
          <w:color w:val="auto"/>
          <w:sz w:val="24"/>
          <w:szCs w:val="24"/>
        </w:rPr>
        <w:t>D</w:t>
      </w:r>
      <w:r>
        <w:rPr>
          <w:rFonts w:hint="eastAsia" w:cs="宋体" w:asciiTheme="minorEastAsia" w:hAnsiTheme="minorEastAsia" w:eastAsiaTheme="minorEastAsia"/>
          <w:strike/>
          <w:color w:val="auto"/>
          <w:spacing w:val="1"/>
          <w:sz w:val="24"/>
          <w:szCs w:val="24"/>
        </w:rPr>
        <w:t>、结构专</w:t>
      </w:r>
      <w:r>
        <w:rPr>
          <w:rFonts w:hint="eastAsia" w:cs="宋体" w:asciiTheme="minorEastAsia" w:hAnsiTheme="minorEastAsia" w:eastAsiaTheme="minorEastAsia"/>
          <w:strike/>
          <w:color w:val="auto"/>
          <w:sz w:val="24"/>
          <w:szCs w:val="24"/>
        </w:rPr>
        <w:t>业计算、构造层层加码，造成严重浪费者。如设计荷载取用过大，实际配筋又大</w:t>
      </w:r>
      <w:r>
        <w:rPr>
          <w:rFonts w:hint="eastAsia" w:cs="宋体" w:asciiTheme="minorEastAsia" w:hAnsiTheme="minorEastAsia" w:eastAsiaTheme="minorEastAsia"/>
          <w:strike/>
          <w:color w:val="auto"/>
          <w:spacing w:val="1"/>
          <w:sz w:val="24"/>
          <w:szCs w:val="24"/>
        </w:rPr>
        <w:t>于计</w:t>
      </w:r>
      <w:r>
        <w:rPr>
          <w:rFonts w:hint="eastAsia" w:cs="宋体" w:asciiTheme="minorEastAsia" w:hAnsiTheme="minorEastAsia" w:eastAsiaTheme="minorEastAsia"/>
          <w:strike/>
          <w:color w:val="auto"/>
          <w:sz w:val="24"/>
          <w:szCs w:val="24"/>
        </w:rPr>
        <w:t>算要求很多等。</w:t>
      </w:r>
    </w:p>
    <w:p>
      <w:pPr>
        <w:autoSpaceDE w:val="0"/>
        <w:autoSpaceDN w:val="0"/>
        <w:spacing w:line="360" w:lineRule="auto"/>
        <w:ind w:firstLine="482" w:firstLineChars="201"/>
        <w:rPr>
          <w:rFonts w:asciiTheme="minorEastAsia" w:hAnsiTheme="minorEastAsia" w:eastAsiaTheme="minorEastAsia"/>
          <w:strike/>
          <w:color w:val="auto"/>
          <w:sz w:val="24"/>
          <w:szCs w:val="24"/>
        </w:rPr>
      </w:pPr>
      <w:r>
        <w:rPr>
          <w:rFonts w:cs="宋体" w:asciiTheme="minorEastAsia" w:hAnsiTheme="minorEastAsia" w:eastAsiaTheme="minorEastAsia"/>
          <w:strike/>
          <w:color w:val="auto"/>
          <w:sz w:val="24"/>
          <w:szCs w:val="24"/>
        </w:rPr>
        <w:t>E</w:t>
      </w:r>
      <w:r>
        <w:rPr>
          <w:rFonts w:hint="eastAsia" w:cs="宋体" w:asciiTheme="minorEastAsia" w:hAnsiTheme="minorEastAsia" w:eastAsiaTheme="minorEastAsia"/>
          <w:strike/>
          <w:color w:val="auto"/>
          <w:spacing w:val="1"/>
          <w:sz w:val="24"/>
          <w:szCs w:val="24"/>
        </w:rPr>
        <w:t>、影响报</w:t>
      </w:r>
      <w:r>
        <w:rPr>
          <w:rFonts w:hint="eastAsia" w:cs="宋体" w:asciiTheme="minorEastAsia" w:hAnsiTheme="minorEastAsia" w:eastAsiaTheme="minorEastAsia"/>
          <w:strike/>
          <w:color w:val="auto"/>
          <w:sz w:val="24"/>
          <w:szCs w:val="24"/>
        </w:rPr>
        <w:t>建工作的进行；各配套设施建筑或功能区未详细标明或建筑标识不清，影响面积</w:t>
      </w:r>
      <w:r>
        <w:rPr>
          <w:rFonts w:hint="eastAsia" w:cs="宋体" w:asciiTheme="minorEastAsia" w:hAnsiTheme="minorEastAsia" w:eastAsiaTheme="minorEastAsia"/>
          <w:strike/>
          <w:color w:val="auto"/>
          <w:spacing w:val="1"/>
          <w:sz w:val="24"/>
          <w:szCs w:val="24"/>
        </w:rPr>
        <w:t>查</w:t>
      </w:r>
      <w:r>
        <w:rPr>
          <w:rFonts w:hint="eastAsia" w:cs="宋体" w:asciiTheme="minorEastAsia" w:hAnsiTheme="minorEastAsia" w:eastAsiaTheme="minorEastAsia"/>
          <w:strike/>
          <w:color w:val="auto"/>
          <w:sz w:val="24"/>
          <w:szCs w:val="24"/>
        </w:rPr>
        <w:t>丈及验收。</w:t>
      </w:r>
    </w:p>
    <w:p>
      <w:pPr>
        <w:autoSpaceDE w:val="0"/>
        <w:autoSpaceDN w:val="0"/>
        <w:spacing w:line="360" w:lineRule="auto"/>
        <w:ind w:firstLine="488" w:firstLineChars="201"/>
        <w:rPr>
          <w:rFonts w:asciiTheme="minorEastAsia" w:hAnsiTheme="minorEastAsia" w:eastAsiaTheme="minorEastAsia"/>
          <w:b/>
          <w:strike/>
          <w:color w:val="auto"/>
          <w:sz w:val="24"/>
          <w:szCs w:val="24"/>
        </w:rPr>
      </w:pPr>
      <w:r>
        <w:rPr>
          <w:rFonts w:hint="eastAsia" w:cs="宋体" w:asciiTheme="minorEastAsia" w:hAnsiTheme="minorEastAsia" w:eastAsiaTheme="minorEastAsia"/>
          <w:b/>
          <w:strike/>
          <w:color w:val="auto"/>
          <w:spacing w:val="1"/>
          <w:sz w:val="24"/>
          <w:szCs w:val="24"/>
        </w:rPr>
        <w:t>Ⅳ类</w:t>
      </w:r>
      <w:r>
        <w:rPr>
          <w:rFonts w:hint="eastAsia" w:cs="宋体" w:asciiTheme="minorEastAsia" w:hAnsiTheme="minorEastAsia" w:eastAsiaTheme="minorEastAsia"/>
          <w:b/>
          <w:strike/>
          <w:color w:val="auto"/>
          <w:sz w:val="24"/>
          <w:szCs w:val="24"/>
        </w:rPr>
        <w:t>错误：</w:t>
      </w:r>
    </w:p>
    <w:p>
      <w:pPr>
        <w:autoSpaceDE w:val="0"/>
        <w:autoSpaceDN w:val="0"/>
        <w:spacing w:line="360" w:lineRule="auto"/>
        <w:ind w:firstLine="466" w:firstLineChars="201"/>
        <w:rPr>
          <w:rFonts w:asciiTheme="minorEastAsia" w:hAnsiTheme="minorEastAsia" w:eastAsiaTheme="minorEastAsia"/>
          <w:strike/>
          <w:color w:val="auto"/>
          <w:sz w:val="24"/>
          <w:szCs w:val="24"/>
        </w:rPr>
      </w:pPr>
      <w:r>
        <w:rPr>
          <w:rFonts w:hint="eastAsia" w:cs="宋体" w:asciiTheme="minorEastAsia" w:hAnsiTheme="minorEastAsia" w:eastAsiaTheme="minorEastAsia"/>
          <w:strike/>
          <w:color w:val="auto"/>
          <w:spacing w:val="-4"/>
          <w:sz w:val="24"/>
          <w:szCs w:val="24"/>
        </w:rPr>
        <w:t>指设计文件编制上的差错，如</w:t>
      </w:r>
      <w:r>
        <w:rPr>
          <w:rFonts w:cs="宋体" w:asciiTheme="minorEastAsia" w:hAnsiTheme="minorEastAsia" w:eastAsiaTheme="minorEastAsia"/>
          <w:strike/>
          <w:color w:val="auto"/>
          <w:sz w:val="24"/>
          <w:szCs w:val="24"/>
        </w:rPr>
        <w:t>1</w:t>
      </w:r>
      <w:r>
        <w:rPr>
          <w:rFonts w:hint="eastAsia" w:cs="宋体" w:asciiTheme="minorEastAsia" w:hAnsiTheme="minorEastAsia" w:eastAsiaTheme="minorEastAsia"/>
          <w:strike/>
          <w:color w:val="auto"/>
          <w:spacing w:val="-4"/>
          <w:sz w:val="24"/>
          <w:szCs w:val="24"/>
        </w:rPr>
        <w:t>、说明表达错误；</w:t>
      </w:r>
      <w:r>
        <w:rPr>
          <w:rFonts w:cs="宋体" w:asciiTheme="minorEastAsia" w:hAnsiTheme="minorEastAsia" w:eastAsiaTheme="minorEastAsia"/>
          <w:strike/>
          <w:color w:val="auto"/>
          <w:spacing w:val="-1"/>
          <w:sz w:val="24"/>
          <w:szCs w:val="24"/>
        </w:rPr>
        <w:t>2</w:t>
      </w:r>
      <w:r>
        <w:rPr>
          <w:rFonts w:hint="eastAsia" w:cs="宋体" w:asciiTheme="minorEastAsia" w:hAnsiTheme="minorEastAsia" w:eastAsiaTheme="minorEastAsia"/>
          <w:strike/>
          <w:color w:val="auto"/>
          <w:spacing w:val="-4"/>
          <w:sz w:val="24"/>
          <w:szCs w:val="24"/>
        </w:rPr>
        <w:t>、不重要的数据、计量单位、尺寸出错；</w:t>
      </w:r>
    </w:p>
    <w:p>
      <w:pPr>
        <w:autoSpaceDE w:val="0"/>
        <w:autoSpaceDN w:val="0"/>
        <w:spacing w:line="360" w:lineRule="auto"/>
        <w:ind w:firstLine="478" w:firstLineChars="201"/>
        <w:rPr>
          <w:rFonts w:asciiTheme="minorEastAsia" w:hAnsiTheme="minorEastAsia" w:eastAsiaTheme="minorEastAsia"/>
          <w:strike/>
          <w:color w:val="auto"/>
          <w:sz w:val="24"/>
          <w:szCs w:val="24"/>
        </w:rPr>
      </w:pPr>
      <w:r>
        <w:rPr>
          <w:rFonts w:cs="宋体" w:asciiTheme="minorEastAsia" w:hAnsiTheme="minorEastAsia" w:eastAsiaTheme="minorEastAsia"/>
          <w:strike/>
          <w:color w:val="auto"/>
          <w:spacing w:val="-1"/>
          <w:sz w:val="24"/>
          <w:szCs w:val="24"/>
        </w:rPr>
        <w:t>3</w:t>
      </w:r>
      <w:r>
        <w:rPr>
          <w:rFonts w:hint="eastAsia" w:cs="宋体" w:asciiTheme="minorEastAsia" w:hAnsiTheme="minorEastAsia" w:eastAsiaTheme="minorEastAsia"/>
          <w:strike/>
          <w:color w:val="auto"/>
          <w:spacing w:val="-2"/>
          <w:sz w:val="24"/>
          <w:szCs w:val="24"/>
        </w:rPr>
        <w:t>、不重要的尺寸线、剖面线、引出线等漏划；</w:t>
      </w:r>
      <w:r>
        <w:rPr>
          <w:rFonts w:cs="宋体" w:asciiTheme="minorEastAsia" w:hAnsiTheme="minorEastAsia" w:eastAsiaTheme="minorEastAsia"/>
          <w:strike/>
          <w:color w:val="auto"/>
          <w:spacing w:val="-9"/>
          <w:sz w:val="24"/>
          <w:szCs w:val="24"/>
        </w:rPr>
        <w:t>4</w:t>
      </w:r>
      <w:r>
        <w:rPr>
          <w:rFonts w:hint="eastAsia" w:cs="宋体" w:asciiTheme="minorEastAsia" w:hAnsiTheme="minorEastAsia" w:eastAsiaTheme="minorEastAsia"/>
          <w:strike/>
          <w:color w:val="auto"/>
          <w:spacing w:val="-2"/>
          <w:sz w:val="24"/>
          <w:szCs w:val="24"/>
        </w:rPr>
        <w:t>、出现因设计责任引起的四类变更；</w:t>
      </w:r>
      <w:r>
        <w:rPr>
          <w:rFonts w:cs="宋体" w:asciiTheme="minorEastAsia" w:hAnsiTheme="minorEastAsia" w:eastAsiaTheme="minorEastAsia"/>
          <w:strike/>
          <w:color w:val="auto"/>
          <w:spacing w:val="-7"/>
          <w:sz w:val="24"/>
          <w:szCs w:val="24"/>
        </w:rPr>
        <w:t>5</w:t>
      </w:r>
      <w:r>
        <w:rPr>
          <w:rFonts w:hint="eastAsia" w:cs="宋体" w:asciiTheme="minorEastAsia" w:hAnsiTheme="minorEastAsia" w:eastAsiaTheme="minorEastAsia"/>
          <w:strike/>
          <w:color w:val="auto"/>
          <w:spacing w:val="-3"/>
          <w:sz w:val="24"/>
          <w:szCs w:val="24"/>
        </w:rPr>
        <w:t>、造</w:t>
      </w:r>
      <w:r>
        <w:rPr>
          <w:rFonts w:hint="eastAsia" w:cs="宋体" w:asciiTheme="minorEastAsia" w:hAnsiTheme="minorEastAsia" w:eastAsiaTheme="minorEastAsia"/>
          <w:strike/>
          <w:color w:val="auto"/>
          <w:spacing w:val="-2"/>
          <w:sz w:val="24"/>
          <w:szCs w:val="24"/>
        </w:rPr>
        <w:t>价文件</w:t>
      </w:r>
      <w:r>
        <w:rPr>
          <w:rFonts w:hint="eastAsia" w:cs="宋体" w:asciiTheme="minorEastAsia" w:hAnsiTheme="minorEastAsia" w:eastAsiaTheme="minorEastAsia"/>
          <w:strike/>
          <w:color w:val="auto"/>
          <w:spacing w:val="1"/>
          <w:sz w:val="24"/>
          <w:szCs w:val="24"/>
        </w:rPr>
        <w:t>失实</w:t>
      </w:r>
      <w:r>
        <w:rPr>
          <w:rFonts w:hint="eastAsia" w:cs="宋体" w:asciiTheme="minorEastAsia" w:hAnsiTheme="minorEastAsia" w:eastAsiaTheme="minorEastAsia"/>
          <w:strike/>
          <w:color w:val="auto"/>
          <w:sz w:val="24"/>
          <w:szCs w:val="24"/>
        </w:rPr>
        <w:t>较轻。</w:t>
      </w:r>
    </w:p>
    <w:p>
      <w:pPr>
        <w:autoSpaceDE w:val="0"/>
        <w:autoSpaceDN w:val="0"/>
        <w:spacing w:line="360" w:lineRule="auto"/>
        <w:ind w:firstLine="486" w:firstLineChars="201"/>
        <w:rPr>
          <w:rFonts w:asciiTheme="minorEastAsia" w:hAnsiTheme="minorEastAsia" w:eastAsiaTheme="minorEastAsia"/>
          <w:strike/>
          <w:color w:val="auto"/>
          <w:sz w:val="24"/>
          <w:szCs w:val="24"/>
        </w:rPr>
      </w:pPr>
      <w:r>
        <w:rPr>
          <w:rFonts w:hint="eastAsia" w:cs="宋体" w:asciiTheme="minorEastAsia" w:hAnsiTheme="minorEastAsia" w:eastAsiaTheme="minorEastAsia"/>
          <w:strike/>
          <w:color w:val="auto"/>
          <w:spacing w:val="1"/>
          <w:sz w:val="24"/>
          <w:szCs w:val="24"/>
        </w:rPr>
        <w:t>按照</w:t>
      </w:r>
      <w:r>
        <w:rPr>
          <w:rFonts w:hint="eastAsia" w:cs="宋体" w:asciiTheme="minorEastAsia" w:hAnsiTheme="minorEastAsia" w:eastAsiaTheme="minorEastAsia"/>
          <w:strike/>
          <w:color w:val="auto"/>
          <w:sz w:val="24"/>
          <w:szCs w:val="24"/>
        </w:rPr>
        <w:t>专业具体分为：</w:t>
      </w:r>
    </w:p>
    <w:p>
      <w:pPr>
        <w:autoSpaceDE w:val="0"/>
        <w:autoSpaceDN w:val="0"/>
        <w:spacing w:line="360" w:lineRule="auto"/>
        <w:ind w:firstLine="482" w:firstLineChars="201"/>
        <w:rPr>
          <w:rFonts w:asciiTheme="minorEastAsia" w:hAnsiTheme="minorEastAsia" w:eastAsiaTheme="minorEastAsia"/>
          <w:strike/>
          <w:color w:val="auto"/>
          <w:sz w:val="24"/>
          <w:szCs w:val="24"/>
        </w:rPr>
      </w:pPr>
      <w:r>
        <w:rPr>
          <w:rFonts w:cs="宋体" w:asciiTheme="minorEastAsia" w:hAnsiTheme="minorEastAsia" w:eastAsiaTheme="minorEastAsia"/>
          <w:strike/>
          <w:color w:val="auto"/>
          <w:sz w:val="24"/>
          <w:szCs w:val="24"/>
        </w:rPr>
        <w:t>A</w:t>
      </w:r>
      <w:r>
        <w:rPr>
          <w:rFonts w:hint="eastAsia" w:cs="宋体" w:asciiTheme="minorEastAsia" w:hAnsiTheme="minorEastAsia" w:eastAsiaTheme="minorEastAsia"/>
          <w:strike/>
          <w:color w:val="auto"/>
          <w:spacing w:val="1"/>
          <w:sz w:val="24"/>
          <w:szCs w:val="24"/>
        </w:rPr>
        <w:t>、容易修</w:t>
      </w:r>
      <w:r>
        <w:rPr>
          <w:rFonts w:hint="eastAsia" w:cs="宋体" w:asciiTheme="minorEastAsia" w:hAnsiTheme="minorEastAsia" w:eastAsiaTheme="minorEastAsia"/>
          <w:strike/>
          <w:color w:val="auto"/>
          <w:sz w:val="24"/>
          <w:szCs w:val="24"/>
        </w:rPr>
        <w:t>正、且不造成使用或安全缺陷，但会给建设单位、施工单位带来麻烦，如：</w:t>
      </w:r>
    </w:p>
    <w:p>
      <w:pPr>
        <w:autoSpaceDE w:val="0"/>
        <w:autoSpaceDN w:val="0"/>
        <w:spacing w:line="360" w:lineRule="auto"/>
        <w:ind w:firstLine="470" w:firstLineChars="201"/>
        <w:rPr>
          <w:rFonts w:cs="宋体" w:asciiTheme="minorEastAsia" w:hAnsiTheme="minorEastAsia" w:eastAsiaTheme="minorEastAsia"/>
          <w:strike/>
          <w:color w:val="auto"/>
          <w:sz w:val="24"/>
          <w:szCs w:val="24"/>
        </w:rPr>
      </w:pPr>
      <w:r>
        <w:rPr>
          <w:rFonts w:hint="eastAsia" w:cs="宋体" w:asciiTheme="minorEastAsia" w:hAnsiTheme="minorEastAsia" w:eastAsiaTheme="minorEastAsia"/>
          <w:strike/>
          <w:color w:val="auto"/>
          <w:spacing w:val="-3"/>
          <w:sz w:val="24"/>
          <w:szCs w:val="24"/>
        </w:rPr>
        <w:t>建筑、结构、水、暖、电各专业；图纸目录不全、表达不够清楚、平</w:t>
      </w:r>
      <w:r>
        <w:rPr>
          <w:rFonts w:hint="eastAsia" w:cs="宋体" w:asciiTheme="minorEastAsia" w:hAnsiTheme="minorEastAsia" w:eastAsiaTheme="minorEastAsia"/>
          <w:strike/>
          <w:color w:val="auto"/>
          <w:spacing w:val="-2"/>
          <w:sz w:val="24"/>
          <w:szCs w:val="24"/>
        </w:rPr>
        <w:t>立剖面图不一致、一般</w:t>
      </w:r>
      <w:r>
        <w:rPr>
          <w:rFonts w:hint="eastAsia" w:cs="宋体" w:asciiTheme="minorEastAsia" w:hAnsiTheme="minorEastAsia" w:eastAsiaTheme="minorEastAsia"/>
          <w:strike/>
          <w:color w:val="auto"/>
          <w:spacing w:val="-1"/>
          <w:sz w:val="24"/>
          <w:szCs w:val="24"/>
        </w:rPr>
        <w:t>性尺寸错</w:t>
      </w:r>
      <w:r>
        <w:rPr>
          <w:rFonts w:hint="eastAsia" w:cs="宋体" w:asciiTheme="minorEastAsia" w:hAnsiTheme="minorEastAsia" w:eastAsiaTheme="minorEastAsia"/>
          <w:strike/>
          <w:color w:val="auto"/>
          <w:sz w:val="24"/>
          <w:szCs w:val="24"/>
        </w:rPr>
        <w:t>误或不全、图例或符号不合规定、平面图与系统图不一致等。又如：设计文件、计算书</w:t>
      </w:r>
      <w:r>
        <w:rPr>
          <w:rFonts w:hint="eastAsia" w:cs="宋体" w:asciiTheme="minorEastAsia" w:hAnsiTheme="minorEastAsia" w:eastAsiaTheme="minorEastAsia"/>
          <w:strike/>
          <w:color w:val="auto"/>
          <w:spacing w:val="-1"/>
          <w:sz w:val="24"/>
          <w:szCs w:val="24"/>
        </w:rPr>
        <w:t>及存档材</w:t>
      </w:r>
      <w:r>
        <w:rPr>
          <w:rFonts w:hint="eastAsia" w:cs="宋体" w:asciiTheme="minorEastAsia" w:hAnsiTheme="minorEastAsia" w:eastAsiaTheme="minorEastAsia"/>
          <w:strike/>
          <w:color w:val="auto"/>
          <w:sz w:val="24"/>
          <w:szCs w:val="24"/>
        </w:rPr>
        <w:t>料的完整性不够；设计说明、图纸目录不全、图例符号表达不合规定；系统图与平面图</w:t>
      </w:r>
      <w:r>
        <w:rPr>
          <w:rFonts w:hint="eastAsia" w:cs="宋体" w:asciiTheme="minorEastAsia" w:hAnsiTheme="minorEastAsia" w:eastAsiaTheme="minorEastAsia"/>
          <w:strike/>
          <w:color w:val="auto"/>
          <w:spacing w:val="1"/>
          <w:sz w:val="24"/>
          <w:szCs w:val="24"/>
        </w:rPr>
        <w:t>的一致性</w:t>
      </w:r>
      <w:r>
        <w:rPr>
          <w:rFonts w:hint="eastAsia" w:cs="宋体" w:asciiTheme="minorEastAsia" w:hAnsiTheme="minorEastAsia" w:eastAsiaTheme="minorEastAsia"/>
          <w:strike/>
          <w:color w:val="auto"/>
          <w:sz w:val="24"/>
          <w:szCs w:val="24"/>
        </w:rPr>
        <w:t>的错、漏、碰、缺等。</w:t>
      </w:r>
    </w:p>
    <w:p>
      <w:pPr>
        <w:autoSpaceDE w:val="0"/>
        <w:autoSpaceDN w:val="0"/>
        <w:spacing w:line="360" w:lineRule="auto"/>
        <w:ind w:firstLine="482" w:firstLineChars="201"/>
        <w:rPr>
          <w:rFonts w:asciiTheme="minorEastAsia" w:hAnsiTheme="minorEastAsia" w:eastAsiaTheme="minorEastAsia"/>
          <w:strike/>
          <w:color w:val="auto"/>
          <w:sz w:val="24"/>
          <w:szCs w:val="24"/>
        </w:rPr>
      </w:pPr>
      <w:r>
        <w:rPr>
          <w:rFonts w:hint="eastAsia" w:cs="宋体" w:asciiTheme="minorEastAsia" w:hAnsiTheme="minorEastAsia" w:eastAsiaTheme="minorEastAsia"/>
          <w:strike/>
          <w:color w:val="auto"/>
          <w:sz w:val="24"/>
          <w:szCs w:val="24"/>
        </w:rPr>
        <w:t>造价专业：提交给发包人的造价文件，经核查后，偏差大于±</w:t>
      </w:r>
      <w:r>
        <w:rPr>
          <w:rFonts w:cs="宋体" w:asciiTheme="minorEastAsia" w:hAnsiTheme="minorEastAsia" w:eastAsiaTheme="minorEastAsia"/>
          <w:strike/>
          <w:color w:val="auto"/>
          <w:sz w:val="24"/>
          <w:szCs w:val="24"/>
        </w:rPr>
        <w:t>50%</w:t>
      </w:r>
      <w:r>
        <w:rPr>
          <w:rFonts w:hint="eastAsia" w:cs="宋体" w:asciiTheme="minorEastAsia" w:hAnsiTheme="minorEastAsia" w:eastAsiaTheme="minorEastAsia"/>
          <w:strike/>
          <w:color w:val="auto"/>
          <w:spacing w:val="1"/>
          <w:sz w:val="24"/>
          <w:szCs w:val="24"/>
        </w:rPr>
        <w:t>的。</w:t>
      </w:r>
    </w:p>
    <w:p>
      <w:pPr>
        <w:spacing w:line="360" w:lineRule="auto"/>
        <w:rPr>
          <w:rFonts w:asciiTheme="minorEastAsia" w:hAnsiTheme="minorEastAsia" w:eastAsiaTheme="minorEastAsia"/>
          <w:color w:val="auto"/>
          <w:sz w:val="24"/>
          <w:szCs w:val="24"/>
        </w:rPr>
      </w:pPr>
      <w:r>
        <w:rPr>
          <w:rFonts w:cs="宋体" w:asciiTheme="minorEastAsia" w:hAnsiTheme="minorEastAsia" w:eastAsiaTheme="minorEastAsia"/>
          <w:strike/>
          <w:color w:val="auto"/>
          <w:sz w:val="24"/>
          <w:szCs w:val="24"/>
        </w:rPr>
        <w:t>B</w:t>
      </w:r>
      <w:r>
        <w:rPr>
          <w:rFonts w:hint="eastAsia" w:cs="宋体" w:asciiTheme="minorEastAsia" w:hAnsiTheme="minorEastAsia" w:eastAsiaTheme="minorEastAsia"/>
          <w:strike/>
          <w:color w:val="auto"/>
          <w:spacing w:val="1"/>
          <w:sz w:val="24"/>
          <w:szCs w:val="24"/>
        </w:rPr>
        <w:t>、工种配</w:t>
      </w:r>
      <w:r>
        <w:rPr>
          <w:rFonts w:hint="eastAsia" w:cs="宋体" w:asciiTheme="minorEastAsia" w:hAnsiTheme="minorEastAsia" w:eastAsiaTheme="minorEastAsia"/>
          <w:strike/>
          <w:color w:val="auto"/>
          <w:sz w:val="24"/>
          <w:szCs w:val="24"/>
        </w:rPr>
        <w:t>合中的一般性错误，容易修正，且不致造成影响使用效果或安全。</w:t>
      </w:r>
    </w:p>
    <w:p>
      <w:pPr>
        <w:spacing w:line="360" w:lineRule="auto"/>
        <w:rPr>
          <w:rFonts w:asciiTheme="minorEastAsia" w:hAnsiTheme="minorEastAsia" w:eastAsiaTheme="minorEastAsia"/>
          <w:b/>
          <w:color w:val="auto"/>
          <w:sz w:val="24"/>
          <w:szCs w:val="24"/>
        </w:rPr>
      </w:pPr>
      <w:r>
        <w:rPr>
          <w:rFonts w:hint="eastAsia" w:asciiTheme="minorEastAsia" w:hAnsiTheme="minorEastAsia" w:eastAsiaTheme="minorEastAsia"/>
          <w:b/>
          <w:color w:val="auto"/>
          <w:sz w:val="24"/>
          <w:szCs w:val="24"/>
        </w:rPr>
        <w:br w:type="page"/>
      </w:r>
      <w:r>
        <w:rPr>
          <w:rFonts w:hint="eastAsia" w:asciiTheme="minorEastAsia" w:hAnsiTheme="minorEastAsia" w:eastAsiaTheme="minorEastAsia"/>
          <w:b/>
          <w:color w:val="auto"/>
          <w:sz w:val="24"/>
          <w:szCs w:val="24"/>
        </w:rPr>
        <w:t>附件6：</w:t>
      </w:r>
      <w:r>
        <w:rPr>
          <w:rFonts w:hint="eastAsia" w:cs="宋体" w:asciiTheme="minorEastAsia" w:hAnsiTheme="minorEastAsia" w:eastAsiaTheme="minorEastAsia"/>
          <w:b/>
          <w:color w:val="auto"/>
          <w:sz w:val="24"/>
          <w:szCs w:val="24"/>
        </w:rPr>
        <w:t>勘察协议条款</w:t>
      </w:r>
    </w:p>
    <w:p>
      <w:pPr>
        <w:adjustRightInd w:val="0"/>
        <w:snapToGrid w:val="0"/>
        <w:spacing w:line="360" w:lineRule="auto"/>
        <w:jc w:val="center"/>
        <w:outlineLvl w:val="1"/>
        <w:rPr>
          <w:rFonts w:cs="宋体" w:asciiTheme="minorEastAsia" w:hAnsiTheme="minorEastAsia" w:eastAsiaTheme="minorEastAsia"/>
          <w:b/>
          <w:color w:val="auto"/>
          <w:sz w:val="24"/>
          <w:szCs w:val="24"/>
        </w:rPr>
      </w:pPr>
      <w:bookmarkStart w:id="180" w:name="_Toc57189730"/>
      <w:r>
        <w:rPr>
          <w:rFonts w:hint="eastAsia" w:cs="宋体" w:asciiTheme="minorEastAsia" w:hAnsiTheme="minorEastAsia" w:eastAsiaTheme="minorEastAsia"/>
          <w:b/>
          <w:color w:val="auto"/>
          <w:sz w:val="24"/>
          <w:szCs w:val="24"/>
        </w:rPr>
        <w:t>勘察协议条款</w:t>
      </w:r>
      <w:bookmarkEnd w:id="180"/>
    </w:p>
    <w:p>
      <w:pPr>
        <w:adjustRightInd w:val="0"/>
        <w:snapToGrid w:val="0"/>
        <w:spacing w:line="360" w:lineRule="auto"/>
        <w:jc w:val="left"/>
        <w:outlineLvl w:val="1"/>
        <w:rPr>
          <w:rFonts w:cs="宋体" w:asciiTheme="minorEastAsia" w:hAnsiTheme="minorEastAsia" w:eastAsiaTheme="minorEastAsia"/>
          <w:b/>
          <w:color w:val="auto"/>
          <w:sz w:val="24"/>
          <w:szCs w:val="24"/>
        </w:rPr>
      </w:pPr>
    </w:p>
    <w:p>
      <w:pPr>
        <w:spacing w:line="360" w:lineRule="auto"/>
        <w:ind w:left="1" w:firstLine="479" w:firstLineChars="199"/>
        <w:rPr>
          <w:rFonts w:asciiTheme="minorEastAsia" w:hAnsiTheme="minorEastAsia" w:eastAsiaTheme="minorEastAsia"/>
          <w:color w:val="auto"/>
          <w:sz w:val="24"/>
          <w:szCs w:val="24"/>
        </w:rPr>
      </w:pPr>
      <w:r>
        <w:rPr>
          <w:rFonts w:hint="eastAsia" w:asciiTheme="minorEastAsia" w:hAnsiTheme="minorEastAsia" w:eastAsiaTheme="minorEastAsia"/>
          <w:b/>
          <w:color w:val="auto"/>
          <w:sz w:val="24"/>
          <w:szCs w:val="24"/>
        </w:rPr>
        <w:t>1</w:t>
      </w:r>
      <w:r>
        <w:rPr>
          <w:rFonts w:hint="eastAsia" w:asciiTheme="minorEastAsia" w:hAnsiTheme="minorEastAsia" w:eastAsiaTheme="minorEastAsia"/>
          <w:color w:val="auto"/>
          <w:sz w:val="24"/>
          <w:szCs w:val="24"/>
        </w:rPr>
        <w:t>.勘察内容</w:t>
      </w:r>
    </w:p>
    <w:p>
      <w:pPr>
        <w:spacing w:line="360" w:lineRule="auto"/>
        <w:ind w:left="1"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1.1勘察依据：</w:t>
      </w:r>
    </w:p>
    <w:p>
      <w:pPr>
        <w:pStyle w:val="49"/>
        <w:adjustRightInd w:val="0"/>
        <w:snapToGrid w:val="0"/>
        <w:spacing w:before="0" w:beforeAutospacing="0" w:after="0" w:afterAutospacing="0" w:line="360" w:lineRule="auto"/>
        <w:ind w:firstLine="480" w:firstLineChars="200"/>
        <w:rPr>
          <w:rFonts w:asciiTheme="minorEastAsia" w:hAnsiTheme="minorEastAsia" w:eastAsiaTheme="minorEastAsia"/>
          <w:snapToGrid w:val="0"/>
          <w:color w:val="auto"/>
        </w:rPr>
      </w:pPr>
      <w:r>
        <w:rPr>
          <w:rFonts w:hint="eastAsia" w:asciiTheme="minorEastAsia" w:hAnsiTheme="minorEastAsia" w:eastAsiaTheme="minorEastAsia"/>
          <w:snapToGrid w:val="0"/>
          <w:color w:val="auto"/>
        </w:rPr>
        <w:t>（1）中华人民共和国现行有关的法律、行政法规、司法解释、部门规章、相关的工程勘察技术规范、规定及标准，和广东省、项目所在地现行有关的地方性法规、相关的工程勘察技术规范、规定及标准；</w:t>
      </w:r>
    </w:p>
    <w:p>
      <w:pPr>
        <w:pStyle w:val="49"/>
        <w:adjustRightInd w:val="0"/>
        <w:snapToGrid w:val="0"/>
        <w:spacing w:before="0" w:beforeAutospacing="0" w:after="0" w:afterAutospacing="0" w:line="360" w:lineRule="auto"/>
        <w:ind w:firstLine="480" w:firstLineChars="200"/>
        <w:rPr>
          <w:rFonts w:asciiTheme="minorEastAsia" w:hAnsiTheme="minorEastAsia" w:eastAsiaTheme="minorEastAsia"/>
          <w:snapToGrid w:val="0"/>
          <w:color w:val="auto"/>
        </w:rPr>
      </w:pPr>
      <w:r>
        <w:rPr>
          <w:rFonts w:hint="eastAsia" w:asciiTheme="minorEastAsia" w:hAnsiTheme="minorEastAsia" w:eastAsiaTheme="minorEastAsia"/>
          <w:snapToGrid w:val="0"/>
          <w:color w:val="auto"/>
        </w:rPr>
        <w:t>（2）发包人提供的相关勘察资料；</w:t>
      </w:r>
    </w:p>
    <w:p>
      <w:pPr>
        <w:pStyle w:val="49"/>
        <w:adjustRightInd w:val="0"/>
        <w:snapToGrid w:val="0"/>
        <w:spacing w:before="0" w:beforeAutospacing="0" w:after="0" w:afterAutospacing="0" w:line="360" w:lineRule="auto"/>
        <w:ind w:firstLine="480" w:firstLineChars="200"/>
        <w:rPr>
          <w:rFonts w:asciiTheme="minorEastAsia" w:hAnsiTheme="minorEastAsia" w:eastAsiaTheme="minorEastAsia"/>
          <w:snapToGrid w:val="0"/>
          <w:color w:val="auto"/>
        </w:rPr>
      </w:pPr>
      <w:r>
        <w:rPr>
          <w:rFonts w:hint="eastAsia" w:asciiTheme="minorEastAsia" w:hAnsiTheme="minorEastAsia" w:eastAsiaTheme="minorEastAsia"/>
          <w:snapToGrid w:val="0"/>
          <w:color w:val="auto"/>
        </w:rPr>
        <w:t>（3）本项目工程勘察许可等批文(复印件)；</w:t>
      </w:r>
    </w:p>
    <w:p>
      <w:pPr>
        <w:pStyle w:val="49"/>
        <w:adjustRightInd w:val="0"/>
        <w:snapToGrid w:val="0"/>
        <w:spacing w:before="0" w:beforeAutospacing="0" w:after="0" w:afterAutospacing="0" w:line="360" w:lineRule="auto"/>
        <w:ind w:firstLine="480" w:firstLineChars="200"/>
        <w:rPr>
          <w:rFonts w:asciiTheme="minorEastAsia" w:hAnsiTheme="minorEastAsia" w:eastAsiaTheme="minorEastAsia"/>
          <w:snapToGrid w:val="0"/>
          <w:color w:val="auto"/>
        </w:rPr>
      </w:pPr>
      <w:r>
        <w:rPr>
          <w:rFonts w:hint="eastAsia" w:asciiTheme="minorEastAsia" w:hAnsiTheme="minorEastAsia" w:eastAsiaTheme="minorEastAsia"/>
          <w:snapToGrid w:val="0"/>
          <w:color w:val="auto"/>
        </w:rPr>
        <w:t>（4）发包人提供由规划部门认可的用地红线和地形图；</w:t>
      </w:r>
    </w:p>
    <w:p>
      <w:pPr>
        <w:pStyle w:val="49"/>
        <w:adjustRightInd w:val="0"/>
        <w:snapToGrid w:val="0"/>
        <w:spacing w:before="0" w:beforeAutospacing="0" w:after="0" w:afterAutospacing="0" w:line="360" w:lineRule="auto"/>
        <w:ind w:firstLine="480" w:firstLineChars="200"/>
        <w:rPr>
          <w:rFonts w:asciiTheme="minorEastAsia" w:hAnsiTheme="minorEastAsia" w:eastAsiaTheme="minorEastAsia"/>
          <w:snapToGrid w:val="0"/>
          <w:color w:val="auto"/>
        </w:rPr>
      </w:pPr>
      <w:r>
        <w:rPr>
          <w:rFonts w:hint="eastAsia" w:asciiTheme="minorEastAsia" w:hAnsiTheme="minorEastAsia" w:eastAsiaTheme="minorEastAsia"/>
          <w:snapToGrid w:val="0"/>
          <w:color w:val="auto"/>
        </w:rPr>
        <w:t>（5）本合同工程的基础资料，包括用地红线坐标(表)、现状地形图、场地标高、市政设施图的资料（绿化、道路、管线、建构筑物等）、勘察工作范围内地下管线图 (包括电力、电讯电缆、煤气、自来水、污水等各种管道)以及人防设施、洞室等具体位置分布图；</w:t>
      </w:r>
    </w:p>
    <w:p>
      <w:pPr>
        <w:pStyle w:val="49"/>
        <w:adjustRightInd w:val="0"/>
        <w:snapToGrid w:val="0"/>
        <w:spacing w:before="0" w:beforeAutospacing="0" w:after="0" w:afterAutospacing="0" w:line="360" w:lineRule="auto"/>
        <w:ind w:firstLine="480" w:firstLineChars="200"/>
        <w:rPr>
          <w:rFonts w:asciiTheme="minorEastAsia" w:hAnsiTheme="minorEastAsia" w:eastAsiaTheme="minorEastAsia"/>
          <w:snapToGrid w:val="0"/>
          <w:color w:val="auto"/>
        </w:rPr>
      </w:pPr>
      <w:r>
        <w:rPr>
          <w:rFonts w:hint="eastAsia" w:asciiTheme="minorEastAsia" w:hAnsiTheme="minorEastAsia" w:eastAsiaTheme="minorEastAsia"/>
          <w:snapToGrid w:val="0"/>
          <w:color w:val="auto"/>
        </w:rPr>
        <w:t>（6）勘察范围的建筑总平面布置图、勘察技术要求、技术资料；</w:t>
      </w:r>
    </w:p>
    <w:p>
      <w:pPr>
        <w:pStyle w:val="49"/>
        <w:adjustRightInd w:val="0"/>
        <w:snapToGrid w:val="0"/>
        <w:spacing w:before="0" w:beforeAutospacing="0" w:after="0" w:afterAutospacing="0" w:line="360" w:lineRule="auto"/>
        <w:ind w:firstLine="480" w:firstLineChars="200"/>
        <w:rPr>
          <w:rFonts w:asciiTheme="minorEastAsia" w:hAnsiTheme="minorEastAsia" w:eastAsiaTheme="minorEastAsia"/>
          <w:snapToGrid w:val="0"/>
          <w:color w:val="auto"/>
        </w:rPr>
      </w:pPr>
      <w:r>
        <w:rPr>
          <w:rFonts w:hint="eastAsia" w:asciiTheme="minorEastAsia" w:hAnsiTheme="minorEastAsia" w:eastAsiaTheme="minorEastAsia"/>
          <w:snapToGrid w:val="0"/>
          <w:color w:val="auto"/>
        </w:rPr>
        <w:t>（7）发包人关于设计、图档、图文、工程等相关管理办法，具体见本合同附件；</w:t>
      </w:r>
    </w:p>
    <w:p>
      <w:pPr>
        <w:pStyle w:val="49"/>
        <w:adjustRightInd w:val="0"/>
        <w:snapToGrid w:val="0"/>
        <w:spacing w:before="0" w:beforeAutospacing="0" w:after="0" w:afterAutospacing="0" w:line="360" w:lineRule="auto"/>
        <w:ind w:firstLine="480" w:firstLineChars="200"/>
        <w:rPr>
          <w:rFonts w:asciiTheme="minorEastAsia" w:hAnsiTheme="minorEastAsia" w:eastAsiaTheme="minorEastAsia"/>
          <w:snapToGrid w:val="0"/>
          <w:color w:val="auto"/>
        </w:rPr>
      </w:pPr>
      <w:r>
        <w:rPr>
          <w:rFonts w:hint="eastAsia" w:asciiTheme="minorEastAsia" w:hAnsiTheme="minorEastAsia" w:eastAsiaTheme="minorEastAsia"/>
          <w:snapToGrid w:val="0"/>
          <w:color w:val="auto"/>
        </w:rPr>
        <w:t>（8）甲、乙双方签署的合同及其附件和补充文件；</w:t>
      </w:r>
    </w:p>
    <w:p>
      <w:pPr>
        <w:pStyle w:val="49"/>
        <w:adjustRightInd w:val="0"/>
        <w:snapToGrid w:val="0"/>
        <w:spacing w:before="0" w:beforeAutospacing="0" w:after="0" w:afterAutospacing="0" w:line="360" w:lineRule="auto"/>
        <w:ind w:firstLine="480" w:firstLineChars="200"/>
        <w:rPr>
          <w:rFonts w:asciiTheme="minorEastAsia" w:hAnsiTheme="minorEastAsia" w:eastAsiaTheme="minorEastAsia"/>
          <w:snapToGrid w:val="0"/>
          <w:color w:val="auto"/>
        </w:rPr>
      </w:pPr>
      <w:r>
        <w:rPr>
          <w:rFonts w:hint="eastAsia" w:asciiTheme="minorEastAsia" w:hAnsiTheme="minorEastAsia" w:eastAsiaTheme="minorEastAsia"/>
          <w:snapToGrid w:val="0"/>
          <w:color w:val="auto"/>
        </w:rPr>
        <w:t>（9）设计和建设过程中的政府审批意见，政府或发包人委托或组织的评审机构（会议）提出的或发包人发出的阶段性书面意见，双方来往的各类书面文件、会议纪要等。</w:t>
      </w:r>
    </w:p>
    <w:p>
      <w:pPr>
        <w:spacing w:line="360" w:lineRule="auto"/>
        <w:ind w:left="1" w:firstLine="480" w:firstLineChars="200"/>
        <w:rPr>
          <w:rFonts w:asciiTheme="minorEastAsia" w:hAnsiTheme="minorEastAsia" w:eastAsiaTheme="minorEastAsia"/>
          <w:color w:val="auto"/>
          <w:sz w:val="24"/>
          <w:szCs w:val="24"/>
          <w:u w:val="single"/>
        </w:rPr>
      </w:pPr>
      <w:r>
        <w:rPr>
          <w:rFonts w:hint="eastAsia" w:cs="宋体" w:asciiTheme="minorEastAsia" w:hAnsiTheme="minorEastAsia" w:eastAsiaTheme="minorEastAsia"/>
          <w:snapToGrid w:val="0"/>
          <w:color w:val="auto"/>
          <w:sz w:val="24"/>
          <w:szCs w:val="24"/>
        </w:rPr>
        <w:t>（10）中标通知书或发包人的勘察任务委托书。</w:t>
      </w:r>
      <w:r>
        <w:rPr>
          <w:rFonts w:hint="eastAsia" w:asciiTheme="minorEastAsia" w:hAnsiTheme="minorEastAsia" w:eastAsiaTheme="minorEastAsia"/>
          <w:color w:val="auto"/>
          <w:sz w:val="24"/>
          <w:szCs w:val="24"/>
        </w:rPr>
        <w:t>1.2勘察任务和内容：</w:t>
      </w:r>
      <w:r>
        <w:rPr>
          <w:rFonts w:hint="eastAsia" w:asciiTheme="minorEastAsia" w:hAnsiTheme="minorEastAsia" w:eastAsiaTheme="minorEastAsia"/>
          <w:color w:val="auto"/>
          <w:sz w:val="24"/>
          <w:szCs w:val="24"/>
          <w:u w:val="single"/>
        </w:rPr>
        <w:t>包括但不限于岩土工程</w:t>
      </w:r>
      <w:r>
        <w:rPr>
          <w:rFonts w:hint="eastAsia" w:cs="宋体" w:asciiTheme="minorEastAsia" w:hAnsiTheme="minorEastAsia" w:eastAsiaTheme="minorEastAsia"/>
          <w:color w:val="auto"/>
          <w:sz w:val="24"/>
          <w:szCs w:val="24"/>
          <w:u w:val="single"/>
        </w:rPr>
        <w:t>勘察（包含不限于□初勘、□详勘、□剪切波速试验、□土抽水试验、□超前钻、□水文地质勘察等工作）</w:t>
      </w:r>
      <w:r>
        <w:rPr>
          <w:rFonts w:hint="eastAsia" w:asciiTheme="minorEastAsia" w:hAnsiTheme="minorEastAsia" w:eastAsiaTheme="minorEastAsia"/>
          <w:color w:val="auto"/>
          <w:sz w:val="24"/>
          <w:szCs w:val="24"/>
          <w:u w:val="single"/>
        </w:rPr>
        <w:t>，以及对应方案设计（含深化设计）、规划设计、初步设计、</w:t>
      </w:r>
      <w:r>
        <w:rPr>
          <w:rFonts w:hint="eastAsia" w:asciiTheme="minorEastAsia" w:hAnsiTheme="minorEastAsia" w:eastAsiaTheme="minorEastAsia"/>
          <w:strike/>
          <w:color w:val="auto"/>
          <w:sz w:val="24"/>
          <w:szCs w:val="24"/>
          <w:u w:val="single"/>
        </w:rPr>
        <w:t>施工图设计、施工</w:t>
      </w:r>
      <w:r>
        <w:rPr>
          <w:rFonts w:hint="eastAsia" w:asciiTheme="minorEastAsia" w:hAnsiTheme="minorEastAsia" w:eastAsiaTheme="minorEastAsia"/>
          <w:color w:val="auto"/>
          <w:sz w:val="24"/>
          <w:szCs w:val="24"/>
          <w:u w:val="single"/>
        </w:rPr>
        <w:t>等各阶段的勘察要求。</w:t>
      </w:r>
      <w:r>
        <w:rPr>
          <w:rFonts w:hint="eastAsia" w:cs="宋体" w:asciiTheme="minorEastAsia" w:hAnsiTheme="minorEastAsia" w:eastAsiaTheme="minorEastAsia"/>
          <w:snapToGrid w:val="0"/>
          <w:color w:val="auto"/>
          <w:sz w:val="24"/>
          <w:szCs w:val="24"/>
        </w:rPr>
        <w:t>按相关部门要求提供正式报告，勘察人应结合现有技术资料，严格按国家现行有关勘察规程、规范、标准进行，并提供符合深度要求的详勘报告，勘察人在进行超前钻勘察时，需经发包人同意后方能开展。</w:t>
      </w:r>
    </w:p>
    <w:p>
      <w:pPr>
        <w:spacing w:line="360" w:lineRule="auto"/>
        <w:ind w:left="1" w:firstLine="480" w:firstLineChars="200"/>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rPr>
        <w:t>1.3 承接方式：</w:t>
      </w:r>
      <w:r>
        <w:rPr>
          <w:rFonts w:hint="eastAsia" w:cs="宋体" w:asciiTheme="minorEastAsia" w:hAnsiTheme="minorEastAsia" w:eastAsiaTheme="minorEastAsia"/>
          <w:b/>
          <w:bCs/>
          <w:snapToGrid w:val="0"/>
          <w:color w:val="auto"/>
          <w:kern w:val="0"/>
          <w:sz w:val="24"/>
          <w:szCs w:val="24"/>
          <w:u w:val="single"/>
        </w:rPr>
        <w:t>按实物工作量乘以合同约定的综合单价计算。</w:t>
      </w:r>
    </w:p>
    <w:p>
      <w:pPr>
        <w:spacing w:line="360" w:lineRule="auto"/>
        <w:ind w:left="1" w:firstLine="480" w:firstLineChars="200"/>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rPr>
        <w:t>1.4勘察工作量：</w:t>
      </w:r>
      <w:r>
        <w:rPr>
          <w:rFonts w:hint="eastAsia" w:cs="宋体" w:asciiTheme="minorEastAsia" w:hAnsiTheme="minorEastAsia" w:eastAsiaTheme="minorEastAsia"/>
          <w:bCs/>
          <w:snapToGrid w:val="0"/>
          <w:color w:val="auto"/>
          <w:kern w:val="0"/>
          <w:sz w:val="24"/>
          <w:szCs w:val="24"/>
          <w:u w:val="single"/>
        </w:rPr>
        <w:t>实物工作量指按照工程勘察规范、规程、合同的规定及勘察作业实际情况完成且经发包人及发包人委托的第三方共同确认的工作量。</w:t>
      </w:r>
    </w:p>
    <w:p>
      <w:pPr>
        <w:spacing w:line="360" w:lineRule="auto"/>
        <w:ind w:left="1" w:firstLine="480" w:firstLineChars="200"/>
        <w:rPr>
          <w:rFonts w:cs="宋体" w:asciiTheme="minorEastAsia" w:hAnsiTheme="minorEastAsia" w:eastAsiaTheme="minorEastAsia"/>
          <w:b/>
          <w:bCs/>
          <w:snapToGrid w:val="0"/>
          <w:color w:val="auto"/>
          <w:kern w:val="0"/>
          <w:sz w:val="24"/>
          <w:szCs w:val="24"/>
          <w:u w:val="single"/>
        </w:rPr>
      </w:pPr>
      <w:r>
        <w:rPr>
          <w:rFonts w:hint="eastAsia" w:asciiTheme="minorEastAsia" w:hAnsiTheme="minorEastAsia" w:eastAsiaTheme="minorEastAsia"/>
          <w:color w:val="auto"/>
          <w:sz w:val="24"/>
          <w:szCs w:val="24"/>
          <w:u w:val="single"/>
        </w:rPr>
        <w:t>1.5</w:t>
      </w:r>
      <w:r>
        <w:rPr>
          <w:rFonts w:hint="eastAsia" w:cs="宋体" w:asciiTheme="minorEastAsia" w:hAnsiTheme="minorEastAsia" w:eastAsiaTheme="minorEastAsia"/>
          <w:bCs/>
          <w:snapToGrid w:val="0"/>
          <w:color w:val="auto"/>
          <w:kern w:val="0"/>
          <w:sz w:val="24"/>
          <w:szCs w:val="24"/>
          <w:u w:val="single"/>
        </w:rPr>
        <w:t>合同综合单价为全费用综合单价，</w:t>
      </w:r>
      <w:r>
        <w:rPr>
          <w:rFonts w:hint="eastAsia" w:cs="宋体" w:asciiTheme="minorEastAsia" w:hAnsiTheme="minorEastAsia" w:eastAsiaTheme="minorEastAsia"/>
          <w:b/>
          <w:bCs/>
          <w:snapToGrid w:val="0"/>
          <w:color w:val="auto"/>
          <w:kern w:val="0"/>
          <w:sz w:val="24"/>
          <w:szCs w:val="24"/>
          <w:u w:val="single"/>
        </w:rPr>
        <w:t>本项目岩土工程勘察费中标综合单价为   元/米，超前钻勘察费（如有），综合单价     元/米。（包括但不限于详勘、超前钻、地下管线探测、剪切波速试验、抽水试验、设备人员进退场、水电、人员交通住宿、安全文明等工作）</w:t>
      </w:r>
    </w:p>
    <w:p>
      <w:pPr>
        <w:spacing w:line="360" w:lineRule="auto"/>
        <w:ind w:left="1"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u w:val="single"/>
        </w:rPr>
        <w:t>1.6</w:t>
      </w:r>
      <w:r>
        <w:rPr>
          <w:rFonts w:hint="eastAsia" w:cs="宋体" w:asciiTheme="minorEastAsia" w:hAnsiTheme="minorEastAsia" w:eastAsiaTheme="minorEastAsia"/>
          <w:snapToGrid w:val="0"/>
          <w:color w:val="auto"/>
          <w:kern w:val="0"/>
          <w:sz w:val="24"/>
          <w:szCs w:val="24"/>
        </w:rPr>
        <w:t>安全生产文明施工控制目标：配合达到省级及项目所在地安全生产文明施工示范工地标准。</w:t>
      </w:r>
    </w:p>
    <w:p>
      <w:pPr>
        <w:spacing w:line="360" w:lineRule="auto"/>
        <w:ind w:left="1" w:firstLine="480"/>
        <w:rPr>
          <w:rFonts w:asciiTheme="minorEastAsia" w:hAnsiTheme="minorEastAsia" w:eastAsiaTheme="minorEastAsia"/>
          <w:b/>
          <w:color w:val="auto"/>
          <w:sz w:val="24"/>
          <w:szCs w:val="24"/>
        </w:rPr>
      </w:pPr>
    </w:p>
    <w:p>
      <w:pPr>
        <w:spacing w:line="360" w:lineRule="auto"/>
        <w:ind w:left="1" w:firstLine="479" w:firstLineChars="199"/>
        <w:rPr>
          <w:rFonts w:asciiTheme="minorEastAsia" w:hAnsiTheme="minorEastAsia" w:eastAsiaTheme="minorEastAsia"/>
          <w:color w:val="auto"/>
          <w:sz w:val="24"/>
          <w:szCs w:val="24"/>
        </w:rPr>
      </w:pPr>
      <w:r>
        <w:rPr>
          <w:rFonts w:hint="eastAsia" w:asciiTheme="minorEastAsia" w:hAnsiTheme="minorEastAsia" w:eastAsiaTheme="minorEastAsia"/>
          <w:b/>
          <w:color w:val="auto"/>
          <w:sz w:val="24"/>
          <w:szCs w:val="24"/>
        </w:rPr>
        <w:t>2.</w:t>
      </w:r>
      <w:r>
        <w:rPr>
          <w:rFonts w:hint="eastAsia" w:asciiTheme="minorEastAsia" w:hAnsiTheme="minorEastAsia" w:eastAsiaTheme="minorEastAsia"/>
          <w:color w:val="auto"/>
          <w:sz w:val="24"/>
          <w:szCs w:val="24"/>
        </w:rPr>
        <w:t>发包人应及时向设计人提供下列文件资料，并对其准确性、可靠性负责。</w:t>
      </w:r>
    </w:p>
    <w:p>
      <w:pPr>
        <w:spacing w:line="360" w:lineRule="auto"/>
        <w:ind w:left="1"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2.1 提供本工程批准文件（复印件），以及用地（附红线范围）、施工、勘察许可等文件（复印件）。</w:t>
      </w:r>
    </w:p>
    <w:p>
      <w:pPr>
        <w:spacing w:line="360" w:lineRule="auto"/>
        <w:ind w:left="1" w:firstLine="480" w:firstLineChars="200"/>
        <w:rPr>
          <w:rFonts w:asciiTheme="minorEastAsia" w:hAnsiTheme="minorEastAsia" w:eastAsiaTheme="minorEastAsia"/>
          <w:b/>
          <w:color w:val="auto"/>
          <w:sz w:val="24"/>
          <w:szCs w:val="24"/>
        </w:rPr>
      </w:pPr>
      <w:r>
        <w:rPr>
          <w:rFonts w:hint="eastAsia" w:asciiTheme="minorEastAsia" w:hAnsiTheme="minorEastAsia" w:eastAsiaTheme="minorEastAsia"/>
          <w:color w:val="auto"/>
          <w:sz w:val="24"/>
          <w:szCs w:val="24"/>
        </w:rPr>
        <w:t>2.2 提供工程勘察任务技术要求和工作范围的地形图、建筑总平面布置图。</w:t>
      </w:r>
    </w:p>
    <w:p>
      <w:pPr>
        <w:spacing w:line="360" w:lineRule="auto"/>
        <w:ind w:left="1"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2.3 提供勘察工作范围已有的技术资料及工程所需的坐标与标高资料。</w:t>
      </w:r>
    </w:p>
    <w:p>
      <w:pPr>
        <w:spacing w:line="360" w:lineRule="auto"/>
        <w:ind w:left="1" w:firstLine="360" w:firstLineChars="150"/>
        <w:rPr>
          <w:rFonts w:asciiTheme="minorEastAsia" w:hAnsiTheme="minorEastAsia" w:eastAsiaTheme="minorEastAsia"/>
          <w:color w:val="auto"/>
          <w:sz w:val="24"/>
          <w:szCs w:val="24"/>
        </w:rPr>
      </w:pPr>
    </w:p>
    <w:p>
      <w:pPr>
        <w:spacing w:line="360" w:lineRule="auto"/>
        <w:ind w:left="1" w:firstLine="361" w:firstLineChars="150"/>
        <w:rPr>
          <w:rFonts w:asciiTheme="minorEastAsia" w:hAnsiTheme="minorEastAsia" w:eastAsiaTheme="minorEastAsia"/>
          <w:color w:val="auto"/>
          <w:sz w:val="24"/>
          <w:szCs w:val="24"/>
        </w:rPr>
      </w:pPr>
      <w:r>
        <w:rPr>
          <w:rFonts w:hint="eastAsia" w:asciiTheme="minorEastAsia" w:hAnsiTheme="minorEastAsia" w:eastAsiaTheme="minorEastAsia"/>
          <w:b/>
          <w:color w:val="auto"/>
          <w:sz w:val="24"/>
          <w:szCs w:val="24"/>
        </w:rPr>
        <w:t>3.</w:t>
      </w:r>
      <w:r>
        <w:rPr>
          <w:rFonts w:hint="eastAsia" w:asciiTheme="minorEastAsia" w:hAnsiTheme="minorEastAsia" w:eastAsiaTheme="minorEastAsia"/>
          <w:color w:val="auto"/>
          <w:sz w:val="24"/>
          <w:szCs w:val="24"/>
        </w:rPr>
        <w:t>设计人向发包人提交勘察成果资料并对质量负责。</w:t>
      </w:r>
    </w:p>
    <w:p>
      <w:pPr>
        <w:spacing w:line="360" w:lineRule="auto"/>
        <w:ind w:left="1" w:firstLine="48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设计人负责向发包人提交各项勘察成果资料各十份。</w:t>
      </w:r>
    </w:p>
    <w:p>
      <w:pPr>
        <w:spacing w:line="360" w:lineRule="auto"/>
        <w:ind w:left="1" w:firstLine="480"/>
        <w:rPr>
          <w:rFonts w:asciiTheme="minorEastAsia" w:hAnsiTheme="minorEastAsia" w:eastAsiaTheme="minorEastAsia"/>
          <w:b/>
          <w:color w:val="auto"/>
          <w:sz w:val="24"/>
          <w:szCs w:val="24"/>
        </w:rPr>
      </w:pPr>
    </w:p>
    <w:p>
      <w:pPr>
        <w:spacing w:line="360" w:lineRule="auto"/>
        <w:ind w:left="1" w:firstLine="480"/>
        <w:rPr>
          <w:rFonts w:asciiTheme="minorEastAsia" w:hAnsiTheme="minorEastAsia" w:eastAsiaTheme="minorEastAsia"/>
          <w:b/>
          <w:color w:val="auto"/>
          <w:sz w:val="24"/>
          <w:szCs w:val="24"/>
        </w:rPr>
      </w:pPr>
      <w:r>
        <w:rPr>
          <w:rFonts w:hint="eastAsia" w:asciiTheme="minorEastAsia" w:hAnsiTheme="minorEastAsia" w:eastAsiaTheme="minorEastAsia"/>
          <w:b/>
          <w:color w:val="auto"/>
          <w:sz w:val="24"/>
          <w:szCs w:val="24"/>
        </w:rPr>
        <w:t>4.</w:t>
      </w:r>
      <w:r>
        <w:rPr>
          <w:rFonts w:hint="eastAsia" w:asciiTheme="minorEastAsia" w:hAnsiTheme="minorEastAsia" w:eastAsiaTheme="minorEastAsia"/>
          <w:color w:val="auto"/>
          <w:sz w:val="24"/>
          <w:szCs w:val="24"/>
        </w:rPr>
        <w:t>开工及提交勘察成果资料的时间和收费标准、结算及付费方式</w:t>
      </w:r>
    </w:p>
    <w:p>
      <w:pPr>
        <w:spacing w:line="360" w:lineRule="auto"/>
        <w:ind w:left="1"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4.1 开工及提交勘察成果资料的时间</w:t>
      </w:r>
    </w:p>
    <w:p>
      <w:pPr>
        <w:spacing w:line="360" w:lineRule="auto"/>
        <w:ind w:left="1"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4.1.1本工程的勘察工作成果在收到发包人发出的进场通知后</w:t>
      </w:r>
      <w:r>
        <w:rPr>
          <w:rFonts w:hint="eastAsia" w:asciiTheme="minorEastAsia" w:hAnsiTheme="minorEastAsia" w:eastAsiaTheme="minorEastAsia"/>
          <w:color w:val="auto"/>
          <w:sz w:val="24"/>
          <w:szCs w:val="24"/>
          <w:u w:val="single"/>
        </w:rPr>
        <w:t xml:space="preserve">       个日历天</w:t>
      </w:r>
      <w:r>
        <w:rPr>
          <w:rFonts w:hint="eastAsia" w:asciiTheme="minorEastAsia" w:hAnsiTheme="minorEastAsia" w:eastAsiaTheme="minorEastAsia"/>
          <w:color w:val="auto"/>
          <w:sz w:val="24"/>
          <w:szCs w:val="24"/>
        </w:rPr>
        <w:t>内提交。具体详见下表。由于发包人或设计人的原因未能按期开工或提交成果资料时，按本合同第六条规定办理。</w:t>
      </w:r>
    </w:p>
    <w:tbl>
      <w:tblPr>
        <w:tblStyle w:val="55"/>
        <w:tblW w:w="905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63"/>
        <w:gridCol w:w="2545"/>
        <w:gridCol w:w="875"/>
        <w:gridCol w:w="2472"/>
        <w:gridCol w:w="220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22" w:hRule="atLeast"/>
        </w:trPr>
        <w:tc>
          <w:tcPr>
            <w:tcW w:w="963" w:type="dxa"/>
          </w:tcPr>
          <w:p>
            <w:pPr>
              <w:spacing w:line="360" w:lineRule="auto"/>
              <w:jc w:val="center"/>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序号</w:t>
            </w:r>
          </w:p>
        </w:tc>
        <w:tc>
          <w:tcPr>
            <w:tcW w:w="2545" w:type="dxa"/>
            <w:vAlign w:val="center"/>
          </w:tcPr>
          <w:p>
            <w:pPr>
              <w:spacing w:line="360" w:lineRule="auto"/>
              <w:jc w:val="center"/>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资料及文件名称</w:t>
            </w:r>
          </w:p>
        </w:tc>
        <w:tc>
          <w:tcPr>
            <w:tcW w:w="875" w:type="dxa"/>
          </w:tcPr>
          <w:p>
            <w:pPr>
              <w:spacing w:line="360" w:lineRule="auto"/>
              <w:jc w:val="center"/>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份数</w:t>
            </w:r>
          </w:p>
        </w:tc>
        <w:tc>
          <w:tcPr>
            <w:tcW w:w="2472" w:type="dxa"/>
            <w:vAlign w:val="center"/>
          </w:tcPr>
          <w:p>
            <w:pPr>
              <w:spacing w:line="360" w:lineRule="auto"/>
              <w:jc w:val="center"/>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提交日期</w:t>
            </w:r>
          </w:p>
        </w:tc>
        <w:tc>
          <w:tcPr>
            <w:tcW w:w="2201" w:type="dxa"/>
            <w:vAlign w:val="center"/>
          </w:tcPr>
          <w:p>
            <w:pPr>
              <w:spacing w:line="360" w:lineRule="auto"/>
              <w:jc w:val="center"/>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有关事宜</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69" w:hRule="atLeast"/>
        </w:trPr>
        <w:tc>
          <w:tcPr>
            <w:tcW w:w="963" w:type="dxa"/>
            <w:vAlign w:val="center"/>
          </w:tcPr>
          <w:p>
            <w:pPr>
              <w:spacing w:line="360" w:lineRule="auto"/>
              <w:jc w:val="center"/>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1</w:t>
            </w:r>
          </w:p>
        </w:tc>
        <w:tc>
          <w:tcPr>
            <w:tcW w:w="2545" w:type="dxa"/>
            <w:vAlign w:val="center"/>
          </w:tcPr>
          <w:p>
            <w:pPr>
              <w:spacing w:line="360" w:lineRule="auto"/>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勘察成果文件（含测量）</w:t>
            </w:r>
          </w:p>
        </w:tc>
        <w:tc>
          <w:tcPr>
            <w:tcW w:w="875" w:type="dxa"/>
            <w:vAlign w:val="center"/>
          </w:tcPr>
          <w:p>
            <w:pPr>
              <w:spacing w:line="360" w:lineRule="auto"/>
              <w:ind w:firstLine="480" w:firstLineChars="200"/>
              <w:jc w:val="center"/>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10</w:t>
            </w:r>
          </w:p>
        </w:tc>
        <w:tc>
          <w:tcPr>
            <w:tcW w:w="2472" w:type="dxa"/>
            <w:vAlign w:val="center"/>
          </w:tcPr>
          <w:p>
            <w:pPr>
              <w:spacing w:line="360" w:lineRule="auto"/>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在收到发包人发出的进场通知后45个日历天内。</w:t>
            </w:r>
          </w:p>
        </w:tc>
        <w:tc>
          <w:tcPr>
            <w:tcW w:w="2201" w:type="dxa"/>
            <w:vAlign w:val="center"/>
          </w:tcPr>
          <w:p>
            <w:pPr>
              <w:spacing w:line="360" w:lineRule="auto"/>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所提供资料含WORD、CAD及PDF电子文件。归档资料按照发包人档案室要求提供。</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94" w:hRule="atLeast"/>
        </w:trPr>
        <w:tc>
          <w:tcPr>
            <w:tcW w:w="9056" w:type="dxa"/>
            <w:gridSpan w:val="5"/>
            <w:tcBorders>
              <w:bottom w:val="single" w:color="auto" w:sz="6" w:space="0"/>
            </w:tcBorders>
            <w:vAlign w:val="center"/>
          </w:tcPr>
          <w:p>
            <w:pPr>
              <w:spacing w:line="360" w:lineRule="auto"/>
              <w:ind w:left="840" w:hanging="840" w:hangingChars="35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注：1.若发包人因工作需要，要求设计人提交中间成果的设计人应无条件提供。</w:t>
            </w:r>
          </w:p>
          <w:p>
            <w:pPr>
              <w:spacing w:line="360" w:lineRule="auto"/>
              <w:ind w:left="840" w:hanging="840" w:hangingChars="35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 xml:space="preserve">    2.勘察工作如遇特殊情况（不可抗力影响及发包人原因造成停、窝工等）时，工期顺延。</w:t>
            </w:r>
          </w:p>
          <w:p>
            <w:pPr>
              <w:spacing w:line="360" w:lineRule="auto"/>
              <w:ind w:left="921" w:leftChars="267" w:hanging="360" w:hangingChars="15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3.勘察资料交付地点：广东省代建项目管理局。</w:t>
            </w:r>
          </w:p>
          <w:p>
            <w:pPr>
              <w:spacing w:line="360" w:lineRule="auto"/>
              <w:ind w:left="921" w:leftChars="267" w:hanging="360" w:hangingChars="15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4.为配合审查工作，承包单位须按审查要求提供相关资料。</w:t>
            </w:r>
          </w:p>
          <w:p>
            <w:pPr>
              <w:spacing w:line="360" w:lineRule="auto"/>
              <w:ind w:left="921" w:leftChars="267" w:hanging="360" w:hangingChars="15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5. 版权属发包人。</w:t>
            </w:r>
          </w:p>
        </w:tc>
      </w:tr>
    </w:tbl>
    <w:p>
      <w:pPr>
        <w:spacing w:line="360" w:lineRule="auto"/>
        <w:ind w:left="1"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4.1.2 发包人向设计人提供规划报建的地形图，设计人根据设计的需要据此进行定测和修测，在开工前10天，设计人送测量方案给发包人审核，测量方案要经审核后方可开工。</w:t>
      </w:r>
    </w:p>
    <w:p>
      <w:pPr>
        <w:spacing w:line="360" w:lineRule="auto"/>
        <w:ind w:left="1"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4.1.3 设计人开工前10天，送勘察方案给发包人审核，勘察方案要经审核后方可开工。</w:t>
      </w:r>
    </w:p>
    <w:p>
      <w:pPr>
        <w:spacing w:line="360" w:lineRule="auto"/>
        <w:ind w:left="1"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4.1.4 勘察工作有效期限以合同约定的时间为准，如遇特殊情况（设计变更、工作量变化、不可抗力影响以及发包人原因造成的停、窝工等）时，工期顺延。</w:t>
      </w:r>
    </w:p>
    <w:p>
      <w:pPr>
        <w:spacing w:line="360" w:lineRule="auto"/>
        <w:ind w:left="1"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4.2勘察费用</w:t>
      </w:r>
    </w:p>
    <w:p>
      <w:pPr>
        <w:spacing w:line="360" w:lineRule="auto"/>
        <w:ind w:left="1"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本合同勘察费</w:t>
      </w:r>
      <w:r>
        <w:rPr>
          <w:rFonts w:hint="eastAsia" w:asciiTheme="minorEastAsia" w:hAnsiTheme="minorEastAsia" w:eastAsiaTheme="minorEastAsia"/>
          <w:color w:val="auto"/>
          <w:sz w:val="24"/>
          <w:szCs w:val="24"/>
          <w:u w:val="words"/>
        </w:rPr>
        <w:t>暂定</w:t>
      </w:r>
      <w:r>
        <w:rPr>
          <w:rFonts w:hint="eastAsia" w:asciiTheme="minorEastAsia" w:hAnsiTheme="minorEastAsia" w:eastAsiaTheme="minorEastAsia"/>
          <w:color w:val="auto"/>
          <w:sz w:val="24"/>
          <w:szCs w:val="24"/>
        </w:rPr>
        <w:t>为人民币元(大写:人民币 元整)。合同暂定价只作为合同签订后支付勘察费的依据，最终勘察费结算执行下列第4.3条规定。</w:t>
      </w:r>
    </w:p>
    <w:p>
      <w:pPr>
        <w:spacing w:line="360" w:lineRule="auto"/>
        <w:ind w:left="1" w:firstLine="530" w:firstLineChars="221"/>
        <w:rPr>
          <w:rFonts w:cs="宋体" w:asciiTheme="minorEastAsia" w:hAnsiTheme="minorEastAsia" w:eastAsiaTheme="minorEastAsia"/>
          <w:bCs/>
          <w:snapToGrid w:val="0"/>
          <w:color w:val="auto"/>
          <w:kern w:val="0"/>
          <w:sz w:val="24"/>
          <w:szCs w:val="24"/>
          <w:u w:val="single"/>
        </w:rPr>
      </w:pPr>
      <w:r>
        <w:rPr>
          <w:rFonts w:hint="eastAsia" w:asciiTheme="minorEastAsia" w:hAnsiTheme="minorEastAsia" w:eastAsiaTheme="minorEastAsia"/>
          <w:color w:val="auto"/>
          <w:sz w:val="24"/>
          <w:szCs w:val="24"/>
        </w:rPr>
        <w:t>结算单价按合同中标单价，应不超过招标时公布的各单项限价（如果有）或以经建设主管部门审定的工程概（预）算中相应的勘察费的各项目综合单价。</w:t>
      </w:r>
      <w:r>
        <w:rPr>
          <w:rFonts w:hint="eastAsia" w:cs="宋体" w:asciiTheme="minorEastAsia" w:hAnsiTheme="minorEastAsia" w:eastAsiaTheme="minorEastAsia"/>
          <w:b/>
          <w:bCs/>
          <w:snapToGrid w:val="0"/>
          <w:color w:val="auto"/>
          <w:kern w:val="0"/>
          <w:sz w:val="24"/>
          <w:szCs w:val="24"/>
          <w:u w:val="single"/>
        </w:rPr>
        <w:t>其中超前钻勘察费（如有）综合单价为    元/米，按实结算，不包含在岩土工程全费用综合单价中。</w:t>
      </w:r>
      <w:r>
        <w:rPr>
          <w:rFonts w:hint="eastAsia" w:cs="宋体" w:asciiTheme="minorEastAsia" w:hAnsiTheme="minorEastAsia" w:eastAsiaTheme="minorEastAsia"/>
          <w:bCs/>
          <w:snapToGrid w:val="0"/>
          <w:color w:val="auto"/>
          <w:kern w:val="0"/>
          <w:sz w:val="24"/>
          <w:szCs w:val="24"/>
          <w:u w:val="single"/>
        </w:rPr>
        <w:t>实物工作量指合同实施期间按照工程勘察规范、规程、合同的规定及勘察作业实际情况完成且经发包人及发包人委托的第三方共同确认的合格工作量。</w:t>
      </w:r>
    </w:p>
    <w:p>
      <w:pPr>
        <w:spacing w:line="360" w:lineRule="auto"/>
        <w:ind w:left="1" w:firstLine="530" w:firstLineChars="221"/>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勘察过程中当遇到特征地质情况，设计人须向现场监理提交书面报告，经监理和发包人确认确需增加合同外勘察内容时，经发包人同意由监理下达书面指令；新增合同外勘察工程量按照签证程序办理，结算时应按签证的工作量，单价按合同中标单价办理结算。</w:t>
      </w:r>
    </w:p>
    <w:p>
      <w:pPr>
        <w:spacing w:line="360" w:lineRule="auto"/>
        <w:ind w:left="1" w:firstLine="530" w:firstLineChars="221"/>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4.3勘察费结算</w:t>
      </w:r>
    </w:p>
    <w:p>
      <w:pPr>
        <w:spacing w:line="360" w:lineRule="auto"/>
        <w:ind w:left="1" w:firstLine="532" w:firstLineChars="221"/>
        <w:rPr>
          <w:rFonts w:cs="宋体" w:asciiTheme="minorEastAsia" w:hAnsiTheme="minorEastAsia" w:eastAsiaTheme="minorEastAsia"/>
          <w:b/>
          <w:bCs/>
          <w:snapToGrid w:val="0"/>
          <w:color w:val="auto"/>
          <w:kern w:val="0"/>
          <w:sz w:val="24"/>
          <w:szCs w:val="24"/>
          <w:u w:val="single"/>
        </w:rPr>
      </w:pPr>
      <w:r>
        <w:rPr>
          <w:rFonts w:hint="eastAsia" w:cs="宋体" w:asciiTheme="minorEastAsia" w:hAnsiTheme="minorEastAsia" w:eastAsiaTheme="minorEastAsia"/>
          <w:b/>
          <w:bCs/>
          <w:snapToGrid w:val="0"/>
          <w:color w:val="auto"/>
          <w:kern w:val="0"/>
          <w:sz w:val="24"/>
          <w:szCs w:val="24"/>
          <w:u w:val="single"/>
        </w:rPr>
        <w:t>不得超过概算批复的勘察费，且同时不得超过勘察费最高投标限价的150%。但如勘察工作量大于招标勘察工作量150%，则超出招标勘察工作量150%部分不再另行计量。</w:t>
      </w:r>
    </w:p>
    <w:p>
      <w:pPr>
        <w:spacing w:line="360" w:lineRule="auto"/>
        <w:ind w:left="1" w:firstLine="532" w:firstLineChars="221"/>
        <w:rPr>
          <w:rFonts w:asciiTheme="minorEastAsia" w:hAnsiTheme="minorEastAsia" w:eastAsiaTheme="minorEastAsia"/>
          <w:color w:val="auto"/>
          <w:sz w:val="24"/>
          <w:szCs w:val="24"/>
        </w:rPr>
      </w:pPr>
      <w:r>
        <w:rPr>
          <w:rFonts w:hint="eastAsia" w:cs="宋体" w:asciiTheme="minorEastAsia" w:hAnsiTheme="minorEastAsia" w:eastAsiaTheme="minorEastAsia"/>
          <w:b/>
          <w:bCs/>
          <w:snapToGrid w:val="0"/>
          <w:color w:val="auto"/>
          <w:kern w:val="0"/>
          <w:sz w:val="24"/>
          <w:szCs w:val="24"/>
          <w:u w:val="single"/>
        </w:rPr>
        <w:t>本合同勘察费为完成本合同约定的所有勘察工作内容及要求的全部费用，包括收集已有资料、现场踏勘和测量、制定勘察纲要，进行测绘、勘探、取样、试验、测试等勘察作业，编制工程勘察文件、就岩土工程向施工单位作出技术说明、解决设计或施工中的工程勘察技术问题，参加水文地质交底、岩土工程验槽、购买有关资料、勘察文件的修改、实施勘察过程中发生的相关工作（包括障碍物拆除、开挖、地下管线的修复等）、勘察过程中发生的用材以及加工、勘察作业机具的进退场及现场搬运等服务，以及综合考虑不同自然条件下、不同作业内容、不同复杂程度及高温勘察等一切因素下的勘探作业的费用。本勘察协议条款第1.5款约定综合单价也已包含实施上述所有勘察工作内容的费用</w:t>
      </w:r>
      <w:r>
        <w:rPr>
          <w:rFonts w:hint="eastAsia" w:cs="宋体" w:asciiTheme="minorEastAsia" w:hAnsiTheme="minorEastAsia" w:eastAsiaTheme="minorEastAsia"/>
          <w:bCs/>
          <w:snapToGrid w:val="0"/>
          <w:color w:val="auto"/>
          <w:kern w:val="0"/>
          <w:sz w:val="24"/>
          <w:szCs w:val="24"/>
        </w:rPr>
        <w:t>。</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4.4 付费方式</w:t>
      </w:r>
    </w:p>
    <w:p>
      <w:pPr>
        <w:spacing w:line="360" w:lineRule="auto"/>
        <w:ind w:left="1"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4.4.1工程勘察费分期支付，若设计人为联合体，勘察费由发包人统一支付给主办单位（即设计单位）。</w:t>
      </w:r>
    </w:p>
    <w:p>
      <w:pPr>
        <w:spacing w:line="360" w:lineRule="auto"/>
        <w:ind w:left="1"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4.4.2合同生效后，设计人提交经审核通过的《勘察设计工作大纲》和完整支付申请资料交发包人送财政部门审批同意后十五个工作日内，发包人向设计人支付预算勘察费的30%作为预付款，计人民币元（本合同结算时，预付款抵作勘察费）。</w:t>
      </w:r>
    </w:p>
    <w:p>
      <w:pPr>
        <w:spacing w:line="360" w:lineRule="auto"/>
        <w:ind w:left="1"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4.4.3勘察阶段竣工并在设计人提交成果、初步设计概算经省投资主管部门批准后，设计人提交完整支付申请资料交发包人送省财政部门审批同意后十五个工作日内，发包人向设计人支付至经初步设计概算评审后的预算勘察费的65%，计人民币元。</w:t>
      </w:r>
    </w:p>
    <w:p>
      <w:pPr>
        <w:spacing w:line="360" w:lineRule="auto"/>
        <w:ind w:left="1"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4.4.4 设计人提交全部勘察文件</w:t>
      </w:r>
      <w:r>
        <w:rPr>
          <w:rFonts w:hint="eastAsia" w:cs="宋体" w:asciiTheme="minorEastAsia" w:hAnsiTheme="minorEastAsia" w:eastAsiaTheme="minorEastAsia"/>
          <w:snapToGrid w:val="0"/>
          <w:color w:val="auto"/>
          <w:kern w:val="0"/>
          <w:sz w:val="24"/>
          <w:szCs w:val="24"/>
        </w:rPr>
        <w:t>【必须包括勘察机械设备进出场时间记录，勘察工作的全过程勘察记录（包含全过程作业现场录像光盘）；每个勘探钻孔及钻孔岩土样本的照片】</w:t>
      </w:r>
      <w:r>
        <w:rPr>
          <w:rFonts w:hint="eastAsia" w:asciiTheme="minorEastAsia" w:hAnsiTheme="minorEastAsia" w:eastAsiaTheme="minorEastAsia"/>
          <w:color w:val="auto"/>
          <w:sz w:val="24"/>
          <w:szCs w:val="24"/>
        </w:rPr>
        <w:t>并经施工图审查机构审查合格后，设计人向发包人开具结算通知书，由发包人送省财政局审核其勘察费结算通知书，设计人按审核结果提交完整支付申请资料交发包人送财政部门审批同意后十五个工作日内，发包人向设计人支付至结算价的80%，余款在该项目的施工竣工验收合格，设计人提交完整支付申请资料交发包人送省财政部门审批同意后十五个工作日内，发包人向设计人支付完毕。</w:t>
      </w:r>
    </w:p>
    <w:p>
      <w:pPr>
        <w:spacing w:line="360" w:lineRule="auto"/>
        <w:ind w:left="1" w:firstLine="480" w:firstLineChars="200"/>
        <w:rPr>
          <w:rFonts w:cs="宋体" w:asciiTheme="minorEastAsia" w:hAnsiTheme="minorEastAsia" w:eastAsiaTheme="minorEastAsia"/>
          <w:iCs/>
          <w:snapToGrid w:val="0"/>
          <w:color w:val="auto"/>
          <w:kern w:val="0"/>
          <w:sz w:val="24"/>
          <w:szCs w:val="24"/>
        </w:rPr>
      </w:pPr>
      <w:r>
        <w:rPr>
          <w:rFonts w:hint="eastAsia" w:asciiTheme="minorEastAsia" w:hAnsiTheme="minorEastAsia" w:eastAsiaTheme="minorEastAsia"/>
          <w:color w:val="auto"/>
          <w:sz w:val="24"/>
          <w:szCs w:val="24"/>
        </w:rPr>
        <w:t>4.4.5</w:t>
      </w:r>
      <w:r>
        <w:rPr>
          <w:rFonts w:hint="eastAsia" w:cs="宋体" w:asciiTheme="minorEastAsia" w:hAnsiTheme="minorEastAsia" w:eastAsiaTheme="minorEastAsia"/>
          <w:snapToGrid w:val="0"/>
          <w:color w:val="auto"/>
          <w:kern w:val="0"/>
          <w:sz w:val="24"/>
          <w:szCs w:val="24"/>
        </w:rPr>
        <w:t>设计人分包项目的勘察费已全部包含在本合同勘察费之内，并纳入本合同一并结算。设计人在申请支付</w:t>
      </w:r>
      <w:r>
        <w:rPr>
          <w:rFonts w:hint="eastAsia" w:cs="宋体" w:asciiTheme="minorEastAsia" w:hAnsiTheme="minorEastAsia" w:eastAsiaTheme="minorEastAsia"/>
          <w:iCs/>
          <w:snapToGrid w:val="0"/>
          <w:color w:val="auto"/>
          <w:kern w:val="0"/>
          <w:sz w:val="24"/>
          <w:szCs w:val="24"/>
        </w:rPr>
        <w:t>各次</w:t>
      </w:r>
      <w:r>
        <w:rPr>
          <w:rFonts w:hint="eastAsia" w:cs="宋体" w:asciiTheme="minorEastAsia" w:hAnsiTheme="minorEastAsia" w:eastAsiaTheme="minorEastAsia"/>
          <w:snapToGrid w:val="0"/>
          <w:color w:val="auto"/>
          <w:kern w:val="0"/>
          <w:sz w:val="24"/>
          <w:szCs w:val="24"/>
        </w:rPr>
        <w:t>勘察费</w:t>
      </w:r>
      <w:r>
        <w:rPr>
          <w:rFonts w:hint="eastAsia" w:cs="宋体" w:asciiTheme="minorEastAsia" w:hAnsiTheme="minorEastAsia" w:eastAsiaTheme="minorEastAsia"/>
          <w:iCs/>
          <w:snapToGrid w:val="0"/>
          <w:color w:val="auto"/>
          <w:kern w:val="0"/>
          <w:sz w:val="24"/>
          <w:szCs w:val="24"/>
        </w:rPr>
        <w:t>时应连同其分包单位的</w:t>
      </w:r>
      <w:r>
        <w:rPr>
          <w:rFonts w:hint="eastAsia" w:cs="宋体" w:asciiTheme="minorEastAsia" w:hAnsiTheme="minorEastAsia" w:eastAsiaTheme="minorEastAsia"/>
          <w:snapToGrid w:val="0"/>
          <w:color w:val="auto"/>
          <w:kern w:val="0"/>
          <w:sz w:val="24"/>
          <w:szCs w:val="24"/>
        </w:rPr>
        <w:t>勘察费</w:t>
      </w:r>
      <w:r>
        <w:rPr>
          <w:rFonts w:hint="eastAsia" w:cs="宋体" w:asciiTheme="minorEastAsia" w:hAnsiTheme="minorEastAsia" w:eastAsiaTheme="minorEastAsia"/>
          <w:iCs/>
          <w:snapToGrid w:val="0"/>
          <w:color w:val="auto"/>
          <w:kern w:val="0"/>
          <w:sz w:val="24"/>
          <w:szCs w:val="24"/>
        </w:rPr>
        <w:t>一并申报。</w:t>
      </w:r>
    </w:p>
    <w:p>
      <w:pPr>
        <w:spacing w:line="360" w:lineRule="auto"/>
        <w:ind w:left="1" w:firstLine="480" w:firstLineChars="200"/>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rPr>
        <w:t>4.4.6发包人要求增加本合同约定以外文件份数时，设计人员收晒印工本费。发包人每月定期结算晒印工本费。晒印工本费单价如下：</w:t>
      </w:r>
    </w:p>
    <w:tbl>
      <w:tblPr>
        <w:tblStyle w:val="55"/>
        <w:tblW w:w="92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7"/>
        <w:gridCol w:w="1365"/>
        <w:gridCol w:w="1177"/>
        <w:gridCol w:w="1536"/>
        <w:gridCol w:w="1536"/>
        <w:gridCol w:w="15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067" w:type="dxa"/>
          </w:tcPr>
          <w:p>
            <w:pPr>
              <w:spacing w:line="360" w:lineRule="auto"/>
              <w:jc w:val="center"/>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纸张规格</w:t>
            </w:r>
          </w:p>
        </w:tc>
        <w:tc>
          <w:tcPr>
            <w:tcW w:w="1365" w:type="dxa"/>
          </w:tcPr>
          <w:p>
            <w:pPr>
              <w:spacing w:line="360" w:lineRule="auto"/>
              <w:jc w:val="center"/>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A0</w:t>
            </w:r>
          </w:p>
        </w:tc>
        <w:tc>
          <w:tcPr>
            <w:tcW w:w="1177" w:type="dxa"/>
          </w:tcPr>
          <w:p>
            <w:pPr>
              <w:spacing w:line="360" w:lineRule="auto"/>
              <w:jc w:val="center"/>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A1</w:t>
            </w:r>
          </w:p>
        </w:tc>
        <w:tc>
          <w:tcPr>
            <w:tcW w:w="1536" w:type="dxa"/>
          </w:tcPr>
          <w:p>
            <w:pPr>
              <w:spacing w:line="360" w:lineRule="auto"/>
              <w:jc w:val="center"/>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A2</w:t>
            </w:r>
          </w:p>
        </w:tc>
        <w:tc>
          <w:tcPr>
            <w:tcW w:w="1536" w:type="dxa"/>
          </w:tcPr>
          <w:p>
            <w:pPr>
              <w:spacing w:line="360" w:lineRule="auto"/>
              <w:jc w:val="center"/>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A3</w:t>
            </w:r>
          </w:p>
        </w:tc>
        <w:tc>
          <w:tcPr>
            <w:tcW w:w="1535" w:type="dxa"/>
          </w:tcPr>
          <w:p>
            <w:pPr>
              <w:spacing w:line="360" w:lineRule="auto"/>
              <w:jc w:val="center"/>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A4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067" w:type="dxa"/>
          </w:tcPr>
          <w:p>
            <w:pPr>
              <w:spacing w:line="360" w:lineRule="auto"/>
              <w:jc w:val="center"/>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单价（元/张）</w:t>
            </w:r>
          </w:p>
        </w:tc>
        <w:tc>
          <w:tcPr>
            <w:tcW w:w="1365" w:type="dxa"/>
          </w:tcPr>
          <w:p>
            <w:pPr>
              <w:spacing w:line="360" w:lineRule="auto"/>
              <w:ind w:firstLine="480" w:firstLineChars="200"/>
              <w:jc w:val="center"/>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6.00</w:t>
            </w:r>
          </w:p>
        </w:tc>
        <w:tc>
          <w:tcPr>
            <w:tcW w:w="1177" w:type="dxa"/>
          </w:tcPr>
          <w:p>
            <w:pPr>
              <w:spacing w:line="360" w:lineRule="auto"/>
              <w:ind w:firstLine="480" w:firstLineChars="200"/>
              <w:jc w:val="center"/>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3.00</w:t>
            </w:r>
          </w:p>
        </w:tc>
        <w:tc>
          <w:tcPr>
            <w:tcW w:w="1536" w:type="dxa"/>
          </w:tcPr>
          <w:p>
            <w:pPr>
              <w:spacing w:line="360" w:lineRule="auto"/>
              <w:ind w:firstLine="480" w:firstLineChars="200"/>
              <w:jc w:val="center"/>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1.50</w:t>
            </w:r>
          </w:p>
        </w:tc>
        <w:tc>
          <w:tcPr>
            <w:tcW w:w="1536" w:type="dxa"/>
          </w:tcPr>
          <w:p>
            <w:pPr>
              <w:spacing w:line="360" w:lineRule="auto"/>
              <w:ind w:firstLine="480" w:firstLineChars="200"/>
              <w:jc w:val="center"/>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0.50</w:t>
            </w:r>
          </w:p>
        </w:tc>
        <w:tc>
          <w:tcPr>
            <w:tcW w:w="1535" w:type="dxa"/>
          </w:tcPr>
          <w:p>
            <w:pPr>
              <w:spacing w:line="360" w:lineRule="auto"/>
              <w:ind w:firstLine="480" w:firstLineChars="200"/>
              <w:jc w:val="center"/>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0.10</w:t>
            </w:r>
          </w:p>
        </w:tc>
      </w:tr>
    </w:tbl>
    <w:p>
      <w:pPr>
        <w:spacing w:line="360" w:lineRule="auto"/>
        <w:ind w:left="1" w:firstLine="480"/>
        <w:rPr>
          <w:rFonts w:asciiTheme="minorEastAsia" w:hAnsiTheme="minorEastAsia" w:eastAsiaTheme="minorEastAsia"/>
          <w:color w:val="auto"/>
          <w:sz w:val="24"/>
          <w:szCs w:val="24"/>
        </w:rPr>
      </w:pPr>
    </w:p>
    <w:p>
      <w:pPr>
        <w:spacing w:line="360" w:lineRule="auto"/>
        <w:ind w:firstLine="472" w:firstLineChars="196"/>
        <w:rPr>
          <w:rFonts w:asciiTheme="minorEastAsia" w:hAnsiTheme="minorEastAsia" w:eastAsiaTheme="minorEastAsia"/>
          <w:color w:val="auto"/>
          <w:sz w:val="24"/>
          <w:szCs w:val="24"/>
        </w:rPr>
      </w:pPr>
      <w:r>
        <w:rPr>
          <w:rFonts w:hint="eastAsia" w:asciiTheme="minorEastAsia" w:hAnsiTheme="minorEastAsia" w:eastAsiaTheme="minorEastAsia"/>
          <w:b/>
          <w:color w:val="auto"/>
          <w:sz w:val="24"/>
          <w:szCs w:val="24"/>
        </w:rPr>
        <w:t>5.</w:t>
      </w:r>
      <w:r>
        <w:rPr>
          <w:rFonts w:hint="eastAsia" w:asciiTheme="minorEastAsia" w:hAnsiTheme="minorEastAsia" w:eastAsiaTheme="minorEastAsia"/>
          <w:color w:val="auto"/>
          <w:sz w:val="24"/>
          <w:szCs w:val="24"/>
        </w:rPr>
        <w:t>发包人、设计人责任</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5.1 发包人责任</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5.1.1 发包人委托任务时，必须以书面形式向设计人明确勘察任务及技术要求，并按第二条规定提供文件资料。</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5.1.2 工程勘察前，若发包人负责提供施工用材料的，应根据设计人提出的工程用料计划，按时提供各种材料及其产品合格证明，并承担费用和运到现场，派人与设计人的人员一起验收。</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5.1.3</w:t>
      </w:r>
      <w:r>
        <w:rPr>
          <w:rFonts w:hint="eastAsia" w:cs="宋体" w:asciiTheme="minorEastAsia" w:hAnsiTheme="minorEastAsia" w:eastAsiaTheme="minorEastAsia"/>
          <w:color w:val="auto"/>
          <w:kern w:val="1"/>
          <w:sz w:val="24"/>
          <w:szCs w:val="24"/>
        </w:rPr>
        <w:t>勘察过程中的任何变更，经办理正式变更手续后，发包人应按实际发生的工作量办理结算。</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5.1.4 由于发包人原因造成设计人停、窝工，工期顺延。</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5.1.5 发包人应保护设计人的勘察方案、报告书、文件、资料图纸、数据、特殊工艺（方法）、专利技术和合理化建设，未经设计人同意，发包人不得复制、不得泄露、不得擅自修改、传送或向第三个转让或用于本合同外的项目；如发生上述情况，发包人应负法律责任，设计人有权索赔。</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5.1.6 本合同有关条款规定和补充协议中发包人应负的其它责任。</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5.2 设计人责任</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5.2.1设计人应按国家技术规范、标准、规程、本合同的约定、设计单位技术要求编制勘察方案，经设计单位、发包人审定后的勘察方案进行勘察工作。测量控制点埋设应按《城市测量规范》要求埋设，测量方案须经发包人确认方可实施。按本合同规定的时间提交质量合格的勘察成果资料，并对其负责。</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5.2.2 设计人须保证项目负责人和各专业负责人自始至终亲自审核和签署本项目的勘察文件，对勘察质量负责，如不能履行，则发包人可取消合同，设计人须赔偿发包人的损失。</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5.2.3设计人自行解决勘察现场的工作条件和出现的问题。</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5.2.4由于设计人提供的勘察成果资料质量不合格，设计人应负责无偿给予补充完善使其达到质量合格；若设计人无力补充完善，需另委托其他单位时，设计人应承担全部勘察费用；或因勘察成果与实际不符而造成重大经济损失或工程事故时，设计人除应负法律责任和免收直接受损失部分的勘察费外，并向发包人赔偿直接经济损失的50%，赔偿限额为已支付给设计人勘察费的100%；若勘察成果与现场不符，实际钻孔数或钻孔深度不符，将按不符的每孔扣勘察费2%；若造成第三方损失，应依法向人民法院起诉，并根据判决结果承担责任。</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5.2.5在工程勘察前，派人与发包人的人员一起验收发包人提供的材料。</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5.2.6 在现场工作的设计人的人员，应遵守发包人的安全保卫及其有关的规章制度，承担其有关资料保密义务。</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5.2.7 本合同有关条款规定和补充协议中设计人应负的其它责任。</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5.2.8负责占道、破路等报批工作,发包人积极协助。</w:t>
      </w:r>
    </w:p>
    <w:p>
      <w:pPr>
        <w:spacing w:line="360" w:lineRule="auto"/>
        <w:ind w:firstLine="480" w:firstLineChars="200"/>
        <w:rPr>
          <w:rFonts w:cs="宋体" w:asciiTheme="minorEastAsia" w:hAnsiTheme="minorEastAsia" w:eastAsiaTheme="minorEastAsia"/>
          <w:snapToGrid w:val="0"/>
          <w:color w:val="auto"/>
          <w:sz w:val="24"/>
          <w:szCs w:val="24"/>
        </w:rPr>
      </w:pPr>
      <w:r>
        <w:rPr>
          <w:rFonts w:hint="eastAsia" w:asciiTheme="minorEastAsia" w:hAnsiTheme="minorEastAsia" w:eastAsiaTheme="minorEastAsia"/>
          <w:color w:val="auto"/>
          <w:sz w:val="24"/>
          <w:szCs w:val="24"/>
        </w:rPr>
        <w:t>5.2.9钻孔点桩位定位后需通知发包人到场确认，每一孔位开钻前及终孔时需通知发包人到场确认工程量并以此作为结算依据。管线探测过程需有发包人跟踪。</w:t>
      </w:r>
      <w:r>
        <w:rPr>
          <w:rFonts w:hint="eastAsia" w:cs="宋体" w:asciiTheme="minorEastAsia" w:hAnsiTheme="minorEastAsia" w:eastAsiaTheme="minorEastAsia"/>
          <w:snapToGrid w:val="0"/>
          <w:color w:val="auto"/>
          <w:sz w:val="24"/>
          <w:szCs w:val="24"/>
        </w:rPr>
        <w:t>勘察单位须对勘察过程的重点及动态变化环节进行录像，其中包含开孔、终孔、退场时的录像。首先开孔时对钻孔位置进行录像，保证钻孔的位置准确；其次终孔时在提钻杆之前开始录像，直至钻杆完全提出，保证钻探的深度；最后对整个场地的钻孔分布和钻孔的岩芯进行走访录像，确保钻孔数量与岩芯数量匹配；对钻探过程中的异常及突发事件须进行过程录像；通过以上重点过程的录像从而来保证每一个钻孔真实且孔深准确。</w:t>
      </w:r>
    </w:p>
    <w:p>
      <w:pPr>
        <w:spacing w:line="360" w:lineRule="auto"/>
        <w:ind w:firstLine="480" w:firstLineChars="200"/>
        <w:rPr>
          <w:rFonts w:cs="宋体" w:asciiTheme="minorEastAsia" w:hAnsiTheme="minorEastAsia" w:eastAsiaTheme="minorEastAsia"/>
          <w:snapToGrid w:val="0"/>
          <w:color w:val="auto"/>
          <w:kern w:val="0"/>
          <w:sz w:val="24"/>
          <w:szCs w:val="24"/>
        </w:rPr>
      </w:pPr>
      <w:r>
        <w:rPr>
          <w:rFonts w:hint="eastAsia" w:cs="宋体" w:asciiTheme="minorEastAsia" w:hAnsiTheme="minorEastAsia" w:eastAsiaTheme="minorEastAsia"/>
          <w:snapToGrid w:val="0"/>
          <w:color w:val="auto"/>
          <w:sz w:val="24"/>
          <w:szCs w:val="24"/>
        </w:rPr>
        <w:t>5.2.10</w:t>
      </w:r>
      <w:r>
        <w:rPr>
          <w:rFonts w:hint="eastAsia" w:cs="宋体" w:asciiTheme="minorEastAsia" w:hAnsiTheme="minorEastAsia" w:eastAsiaTheme="minorEastAsia"/>
          <w:snapToGrid w:val="0"/>
          <w:color w:val="auto"/>
          <w:kern w:val="0"/>
          <w:sz w:val="24"/>
          <w:szCs w:val="24"/>
        </w:rPr>
        <w:t>设计人应参加有关基础选型、施工方案等各种技术协调会并提供相关的技术支持配合，对地基基础方案做出论证及分析；天然地基方案应明确给出持力层和基础埋深的建议，并进行承载力、沉降分析和演算；桩基础方案应提出桩型、桩端持力层、桩端土承力和桩周摩阻力、入岩桩的桩端岩石饱和单轴抗压强度标准值，并对单桩承载力及沉桩可能性进行分析和提出建议。相关方案、分析及建议应符合国家现行岩土工程勘察规范的相关规定。当遇到软弱下卧层等不良地质条件时应相应增加钻孔数量。</w:t>
      </w:r>
    </w:p>
    <w:p>
      <w:pPr>
        <w:spacing w:line="360" w:lineRule="auto"/>
        <w:ind w:firstLine="480" w:firstLineChars="200"/>
        <w:rPr>
          <w:rFonts w:asciiTheme="minorEastAsia" w:hAnsiTheme="minorEastAsia" w:eastAsiaTheme="minorEastAsia"/>
          <w:color w:val="auto"/>
          <w:sz w:val="24"/>
          <w:szCs w:val="24"/>
        </w:rPr>
      </w:pPr>
      <w:r>
        <w:rPr>
          <w:rFonts w:hint="eastAsia" w:cs="宋体" w:asciiTheme="minorEastAsia" w:hAnsiTheme="minorEastAsia" w:eastAsiaTheme="minorEastAsia"/>
          <w:snapToGrid w:val="0"/>
          <w:color w:val="auto"/>
          <w:kern w:val="0"/>
          <w:sz w:val="24"/>
          <w:szCs w:val="24"/>
        </w:rPr>
        <w:t>5.2.11</w:t>
      </w:r>
      <w:r>
        <w:rPr>
          <w:rFonts w:hint="eastAsia" w:cs="宋体" w:asciiTheme="minorEastAsia" w:hAnsiTheme="minorEastAsia" w:eastAsiaTheme="minorEastAsia"/>
          <w:snapToGrid w:val="0"/>
          <w:color w:val="auto"/>
          <w:sz w:val="24"/>
          <w:szCs w:val="24"/>
        </w:rPr>
        <w:t>设计人应到基础验槽、桩基础持力层岩性鉴定等施工现场进行配合服务。</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5.2.12施工阶段若需补钻、加钻，勘察工作完成后，需回灌封堵所有钻孔并通过发包人验收。</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5.2.13设计人除按合同要求向发包人移交测量成果资料外，还需提供测量原始记录手薄、电子文件，如：水准测量上交手薄，全站仪测图提供dat文件，GPS测量提供GPS测量仪的电子文件，并附解算软件。</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5.2.14 设计人需配合设计单位对勘察成果的校对工作，且需配合设计咨询单位和审图单位对勘察成果的审查工作。</w:t>
      </w:r>
    </w:p>
    <w:p>
      <w:pPr>
        <w:pStyle w:val="49"/>
        <w:adjustRightInd w:val="0"/>
        <w:snapToGrid w:val="0"/>
        <w:spacing w:before="0" w:beforeAutospacing="0" w:after="0" w:afterAutospacing="0" w:line="360" w:lineRule="auto"/>
        <w:ind w:firstLine="480" w:firstLineChars="200"/>
        <w:rPr>
          <w:rFonts w:asciiTheme="minorEastAsia" w:hAnsiTheme="minorEastAsia" w:eastAsiaTheme="minorEastAsia"/>
          <w:snapToGrid w:val="0"/>
          <w:color w:val="auto"/>
        </w:rPr>
      </w:pPr>
      <w:r>
        <w:rPr>
          <w:rFonts w:hint="eastAsia" w:asciiTheme="minorEastAsia" w:hAnsiTheme="minorEastAsia" w:eastAsiaTheme="minorEastAsia"/>
          <w:color w:val="auto"/>
        </w:rPr>
        <w:t>5.2.15</w:t>
      </w:r>
      <w:r>
        <w:rPr>
          <w:rFonts w:hint="eastAsia" w:asciiTheme="minorEastAsia" w:hAnsiTheme="minorEastAsia" w:eastAsiaTheme="minorEastAsia"/>
          <w:snapToGrid w:val="0"/>
          <w:color w:val="auto"/>
        </w:rPr>
        <w:t>设计人应参加施工图图纸会审、技术问题汇总与回复、各种技术协调会。</w:t>
      </w:r>
    </w:p>
    <w:p>
      <w:pPr>
        <w:pStyle w:val="49"/>
        <w:adjustRightInd w:val="0"/>
        <w:snapToGrid w:val="0"/>
        <w:spacing w:before="0" w:beforeAutospacing="0" w:after="0" w:afterAutospacing="0" w:line="360" w:lineRule="auto"/>
        <w:ind w:firstLine="482" w:firstLineChars="200"/>
        <w:rPr>
          <w:rFonts w:asciiTheme="minorEastAsia" w:hAnsiTheme="minorEastAsia" w:eastAsiaTheme="minorEastAsia"/>
          <w:snapToGrid w:val="0"/>
          <w:color w:val="auto"/>
        </w:rPr>
      </w:pPr>
      <w:r>
        <w:rPr>
          <w:rFonts w:hint="eastAsia" w:asciiTheme="minorEastAsia" w:hAnsiTheme="minorEastAsia" w:eastAsiaTheme="minorEastAsia"/>
          <w:b/>
          <w:snapToGrid w:val="0"/>
          <w:color w:val="auto"/>
        </w:rPr>
        <w:t>5.2.16</w:t>
      </w:r>
      <w:r>
        <w:rPr>
          <w:rFonts w:hint="eastAsia" w:asciiTheme="minorEastAsia" w:hAnsiTheme="minorEastAsia" w:eastAsiaTheme="minorEastAsia"/>
          <w:snapToGrid w:val="0"/>
          <w:color w:val="auto"/>
        </w:rPr>
        <w:t>设计人应参加基础工程验收。</w:t>
      </w:r>
    </w:p>
    <w:p>
      <w:pPr>
        <w:pStyle w:val="49"/>
        <w:adjustRightInd w:val="0"/>
        <w:snapToGrid w:val="0"/>
        <w:spacing w:before="0" w:beforeAutospacing="0" w:after="0" w:afterAutospacing="0" w:line="360" w:lineRule="auto"/>
        <w:ind w:firstLine="480" w:firstLineChars="200"/>
        <w:rPr>
          <w:rFonts w:asciiTheme="minorEastAsia" w:hAnsiTheme="minorEastAsia" w:eastAsiaTheme="minorEastAsia"/>
          <w:snapToGrid w:val="0"/>
          <w:color w:val="auto"/>
        </w:rPr>
      </w:pPr>
      <w:r>
        <w:rPr>
          <w:rFonts w:hint="eastAsia" w:asciiTheme="minorEastAsia" w:hAnsiTheme="minorEastAsia" w:eastAsiaTheme="minorEastAsia"/>
          <w:snapToGrid w:val="0"/>
          <w:color w:val="auto"/>
        </w:rPr>
        <w:t>5.2.17</w:t>
      </w:r>
      <w:r>
        <w:rPr>
          <w:rFonts w:hint="eastAsia" w:asciiTheme="minorEastAsia" w:hAnsiTheme="minorEastAsia" w:eastAsiaTheme="minorEastAsia"/>
          <w:color w:val="auto"/>
          <w:kern w:val="1"/>
        </w:rPr>
        <w:t>设计人</w:t>
      </w:r>
      <w:r>
        <w:rPr>
          <w:rFonts w:hint="eastAsia" w:asciiTheme="minorEastAsia" w:hAnsiTheme="minorEastAsia" w:eastAsiaTheme="minorEastAsia"/>
          <w:color w:val="auto"/>
        </w:rPr>
        <w:t>自行解决勘察现场的工作条件和出现的问题。负责占道、破路等报批工作,</w:t>
      </w:r>
      <w:r>
        <w:rPr>
          <w:rFonts w:hint="eastAsia" w:asciiTheme="minorEastAsia" w:hAnsiTheme="minorEastAsia" w:eastAsiaTheme="minorEastAsia"/>
          <w:color w:val="auto"/>
          <w:kern w:val="1"/>
        </w:rPr>
        <w:t>发包人</w:t>
      </w:r>
      <w:r>
        <w:rPr>
          <w:rFonts w:hint="eastAsia" w:asciiTheme="minorEastAsia" w:hAnsiTheme="minorEastAsia" w:eastAsiaTheme="minorEastAsia"/>
          <w:color w:val="auto"/>
        </w:rPr>
        <w:t>积极协助。</w:t>
      </w:r>
    </w:p>
    <w:p>
      <w:pPr>
        <w:pStyle w:val="49"/>
        <w:adjustRightInd w:val="0"/>
        <w:snapToGrid w:val="0"/>
        <w:spacing w:before="0" w:beforeAutospacing="0" w:after="0" w:afterAutospacing="0" w:line="360" w:lineRule="auto"/>
        <w:ind w:firstLine="480" w:firstLineChars="200"/>
        <w:rPr>
          <w:rFonts w:asciiTheme="minorEastAsia" w:hAnsiTheme="minorEastAsia" w:eastAsiaTheme="minorEastAsia"/>
          <w:snapToGrid w:val="0"/>
          <w:color w:val="auto"/>
        </w:rPr>
      </w:pPr>
    </w:p>
    <w:p>
      <w:pPr>
        <w:pStyle w:val="49"/>
        <w:adjustRightInd w:val="0"/>
        <w:snapToGrid w:val="0"/>
        <w:spacing w:before="0" w:beforeAutospacing="0" w:after="0" w:afterAutospacing="0" w:line="360" w:lineRule="auto"/>
        <w:ind w:firstLine="480" w:firstLineChars="200"/>
        <w:rPr>
          <w:rFonts w:asciiTheme="minorEastAsia" w:hAnsiTheme="minorEastAsia" w:eastAsiaTheme="minorEastAsia"/>
          <w:snapToGrid w:val="0"/>
          <w:color w:val="auto"/>
        </w:rPr>
      </w:pPr>
      <w:r>
        <w:rPr>
          <w:rFonts w:hint="eastAsia" w:asciiTheme="minorEastAsia" w:hAnsiTheme="minorEastAsia" w:eastAsiaTheme="minorEastAsia"/>
          <w:snapToGrid w:val="0"/>
          <w:color w:val="auto"/>
        </w:rPr>
        <w:t>6勘察的质量要求</w:t>
      </w:r>
    </w:p>
    <w:p>
      <w:pPr>
        <w:adjustRightInd w:val="0"/>
        <w:snapToGrid w:val="0"/>
        <w:spacing w:line="360" w:lineRule="auto"/>
        <w:ind w:right="11" w:firstLine="482" w:firstLineChars="200"/>
        <w:rPr>
          <w:rFonts w:cs="宋体" w:asciiTheme="minorEastAsia" w:hAnsiTheme="minorEastAsia" w:eastAsiaTheme="minorEastAsia"/>
          <w:bCs/>
          <w:snapToGrid w:val="0"/>
          <w:color w:val="auto"/>
          <w:kern w:val="0"/>
          <w:sz w:val="24"/>
          <w:szCs w:val="24"/>
        </w:rPr>
      </w:pPr>
      <w:r>
        <w:rPr>
          <w:rFonts w:hint="eastAsia" w:cs="宋体" w:asciiTheme="minorEastAsia" w:hAnsiTheme="minorEastAsia" w:eastAsiaTheme="minorEastAsia"/>
          <w:b/>
          <w:bCs/>
          <w:snapToGrid w:val="0"/>
          <w:color w:val="auto"/>
          <w:kern w:val="0"/>
          <w:sz w:val="24"/>
          <w:szCs w:val="24"/>
        </w:rPr>
        <w:t>6.1</w:t>
      </w:r>
      <w:r>
        <w:rPr>
          <w:rFonts w:hint="eastAsia" w:cs="宋体" w:asciiTheme="minorEastAsia" w:hAnsiTheme="minorEastAsia" w:eastAsiaTheme="minorEastAsia"/>
          <w:bCs/>
          <w:snapToGrid w:val="0"/>
          <w:color w:val="auto"/>
          <w:kern w:val="0"/>
          <w:sz w:val="24"/>
          <w:szCs w:val="24"/>
        </w:rPr>
        <w:t>设计人应按国家技术规范、标准、规程和本合同约定的勘察范围及技术要求实施勘察工作，按本合同约定的时间提交质量合格的勘察成果文件并对其负责。</w:t>
      </w:r>
    </w:p>
    <w:p>
      <w:pPr>
        <w:adjustRightInd w:val="0"/>
        <w:snapToGrid w:val="0"/>
        <w:spacing w:line="360" w:lineRule="auto"/>
        <w:ind w:firstLine="479" w:firstLineChars="199"/>
        <w:rPr>
          <w:rFonts w:cs="宋体" w:asciiTheme="minorEastAsia" w:hAnsiTheme="minorEastAsia" w:eastAsiaTheme="minorEastAsia"/>
          <w:snapToGrid w:val="0"/>
          <w:color w:val="auto"/>
          <w:kern w:val="0"/>
          <w:sz w:val="24"/>
          <w:szCs w:val="24"/>
        </w:rPr>
      </w:pPr>
      <w:r>
        <w:rPr>
          <w:rFonts w:hint="eastAsia" w:cs="宋体" w:asciiTheme="minorEastAsia" w:hAnsiTheme="minorEastAsia" w:eastAsiaTheme="minorEastAsia"/>
          <w:b/>
          <w:snapToGrid w:val="0"/>
          <w:color w:val="auto"/>
          <w:kern w:val="0"/>
          <w:sz w:val="24"/>
          <w:szCs w:val="24"/>
        </w:rPr>
        <w:t>6.2</w:t>
      </w:r>
      <w:r>
        <w:rPr>
          <w:rFonts w:hint="eastAsia" w:cs="宋体" w:asciiTheme="minorEastAsia" w:hAnsiTheme="minorEastAsia" w:eastAsiaTheme="minorEastAsia"/>
          <w:snapToGrid w:val="0"/>
          <w:color w:val="auto"/>
          <w:kern w:val="0"/>
          <w:sz w:val="24"/>
          <w:szCs w:val="24"/>
        </w:rPr>
        <w:t>设计人应在勘察成果文件中明确列出本合同工程勘察涉及到的详细的勘察规范、规定及标准（名称、编号与版本）。</w:t>
      </w:r>
    </w:p>
    <w:p>
      <w:pPr>
        <w:adjustRightInd w:val="0"/>
        <w:snapToGrid w:val="0"/>
        <w:spacing w:line="360" w:lineRule="auto"/>
        <w:ind w:right="11" w:firstLine="482" w:firstLineChars="200"/>
        <w:rPr>
          <w:rFonts w:cs="宋体" w:asciiTheme="minorEastAsia" w:hAnsiTheme="minorEastAsia" w:eastAsiaTheme="minorEastAsia"/>
          <w:bCs/>
          <w:snapToGrid w:val="0"/>
          <w:color w:val="auto"/>
          <w:kern w:val="0"/>
          <w:sz w:val="24"/>
          <w:szCs w:val="24"/>
        </w:rPr>
      </w:pPr>
      <w:r>
        <w:rPr>
          <w:rFonts w:hint="eastAsia" w:cs="宋体" w:asciiTheme="minorEastAsia" w:hAnsiTheme="minorEastAsia" w:eastAsiaTheme="minorEastAsia"/>
          <w:b/>
          <w:snapToGrid w:val="0"/>
          <w:color w:val="auto"/>
          <w:kern w:val="0"/>
          <w:sz w:val="24"/>
          <w:szCs w:val="24"/>
        </w:rPr>
        <w:t>6.3</w:t>
      </w:r>
      <w:r>
        <w:rPr>
          <w:rFonts w:hint="eastAsia" w:cs="宋体" w:asciiTheme="minorEastAsia" w:hAnsiTheme="minorEastAsia" w:eastAsiaTheme="minorEastAsia"/>
          <w:snapToGrid w:val="0"/>
          <w:color w:val="auto"/>
          <w:kern w:val="0"/>
          <w:sz w:val="24"/>
          <w:szCs w:val="24"/>
        </w:rPr>
        <w:t>设计人实际完成的勘察工作量及勘察成果文件</w:t>
      </w:r>
      <w:r>
        <w:rPr>
          <w:rFonts w:hint="eastAsia" w:cs="宋体" w:asciiTheme="minorEastAsia" w:hAnsiTheme="minorEastAsia" w:eastAsiaTheme="minorEastAsia"/>
          <w:bCs/>
          <w:snapToGrid w:val="0"/>
          <w:color w:val="auto"/>
          <w:kern w:val="0"/>
          <w:sz w:val="24"/>
          <w:szCs w:val="24"/>
        </w:rPr>
        <w:t>由施工图审查单位负责审核</w:t>
      </w:r>
      <w:r>
        <w:rPr>
          <w:rFonts w:hint="eastAsia" w:cs="宋体" w:asciiTheme="minorEastAsia" w:hAnsiTheme="minorEastAsia" w:eastAsiaTheme="minorEastAsia"/>
          <w:snapToGrid w:val="0"/>
          <w:color w:val="auto"/>
          <w:kern w:val="0"/>
          <w:sz w:val="24"/>
          <w:szCs w:val="24"/>
        </w:rPr>
        <w:t>，并须经发包人或发包人委托的第三方确认后才能作为结算依据,对于超过设计要求的勘察深度的工作量不计算；</w:t>
      </w:r>
      <w:r>
        <w:rPr>
          <w:rFonts w:hint="eastAsia" w:cs="宋体" w:asciiTheme="minorEastAsia" w:hAnsiTheme="minorEastAsia" w:eastAsiaTheme="minorEastAsia"/>
          <w:bCs/>
          <w:snapToGrid w:val="0"/>
          <w:color w:val="auto"/>
          <w:kern w:val="0"/>
          <w:sz w:val="24"/>
          <w:szCs w:val="24"/>
        </w:rPr>
        <w:t>设计人应确保其提交的勘察成果文件是完整、准确及有效的，且能通过施工图审查单位根据相关规范、规定进行的审核。</w:t>
      </w:r>
    </w:p>
    <w:p>
      <w:pPr>
        <w:pStyle w:val="49"/>
        <w:adjustRightInd w:val="0"/>
        <w:snapToGrid w:val="0"/>
        <w:spacing w:before="0" w:beforeAutospacing="0" w:after="0" w:afterAutospacing="0" w:line="360" w:lineRule="auto"/>
        <w:ind w:firstLine="480" w:firstLineChars="200"/>
        <w:rPr>
          <w:rFonts w:asciiTheme="minorEastAsia" w:hAnsiTheme="minorEastAsia" w:eastAsiaTheme="minorEastAsia"/>
          <w:snapToGrid w:val="0"/>
          <w:color w:val="auto"/>
        </w:rPr>
      </w:pP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7勘察人员</w:t>
      </w:r>
    </w:p>
    <w:p>
      <w:pPr>
        <w:adjustRightInd w:val="0"/>
        <w:snapToGrid w:val="0"/>
        <w:spacing w:line="360" w:lineRule="auto"/>
        <w:ind w:firstLine="482" w:firstLineChars="200"/>
        <w:rPr>
          <w:rFonts w:cs="宋体" w:asciiTheme="minorEastAsia" w:hAnsiTheme="minorEastAsia" w:eastAsiaTheme="minorEastAsia"/>
          <w:snapToGrid w:val="0"/>
          <w:color w:val="auto"/>
          <w:kern w:val="0"/>
          <w:sz w:val="24"/>
          <w:szCs w:val="24"/>
        </w:rPr>
      </w:pPr>
      <w:r>
        <w:rPr>
          <w:rFonts w:hint="eastAsia" w:cs="宋体" w:asciiTheme="minorEastAsia" w:hAnsiTheme="minorEastAsia" w:eastAsiaTheme="minorEastAsia"/>
          <w:b/>
          <w:snapToGrid w:val="0"/>
          <w:color w:val="auto"/>
          <w:kern w:val="0"/>
          <w:sz w:val="24"/>
          <w:szCs w:val="24"/>
        </w:rPr>
        <w:t>7.1</w:t>
      </w:r>
      <w:r>
        <w:rPr>
          <w:rFonts w:hint="eastAsia" w:cs="宋体" w:asciiTheme="minorEastAsia" w:hAnsiTheme="minorEastAsia" w:eastAsiaTheme="minorEastAsia"/>
          <w:snapToGrid w:val="0"/>
          <w:color w:val="auto"/>
          <w:kern w:val="0"/>
          <w:sz w:val="24"/>
          <w:szCs w:val="24"/>
        </w:rPr>
        <w:t>为确保本合同工程的勘察设计质量，在本合同履行期内，在明确分工各负其责的基础上，设计人为本合同工程派出的勘察专业负责人、勘察驻场服务人员的职务、资历、资格须满足招标文件及本合同约定。</w:t>
      </w:r>
    </w:p>
    <w:p>
      <w:pPr>
        <w:spacing w:line="360" w:lineRule="auto"/>
        <w:ind w:firstLine="482" w:firstLineChars="200"/>
        <w:rPr>
          <w:rFonts w:cs="宋体" w:asciiTheme="minorEastAsia" w:hAnsiTheme="minorEastAsia" w:eastAsiaTheme="minorEastAsia"/>
          <w:snapToGrid w:val="0"/>
          <w:color w:val="auto"/>
          <w:kern w:val="0"/>
          <w:sz w:val="24"/>
          <w:szCs w:val="24"/>
        </w:rPr>
      </w:pPr>
      <w:r>
        <w:rPr>
          <w:rFonts w:hint="eastAsia" w:cs="宋体" w:asciiTheme="minorEastAsia" w:hAnsiTheme="minorEastAsia" w:eastAsiaTheme="minorEastAsia"/>
          <w:b/>
          <w:snapToGrid w:val="0"/>
          <w:color w:val="auto"/>
          <w:kern w:val="0"/>
          <w:sz w:val="24"/>
          <w:szCs w:val="24"/>
        </w:rPr>
        <w:t>7.2</w:t>
      </w:r>
      <w:r>
        <w:rPr>
          <w:rFonts w:hint="eastAsia" w:cs="宋体" w:asciiTheme="minorEastAsia" w:hAnsiTheme="minorEastAsia" w:eastAsiaTheme="minorEastAsia"/>
          <w:snapToGrid w:val="0"/>
          <w:color w:val="auto"/>
          <w:kern w:val="0"/>
          <w:sz w:val="24"/>
          <w:szCs w:val="24"/>
        </w:rPr>
        <w:t>勘察单位应根据勘察任务建立项目组，从组织上保证投入的人力、物力能满足勘察开展的需要，保证不同勘察时段勘察工作的连续性和外部条件接口衔接的连贯性。</w:t>
      </w:r>
    </w:p>
    <w:p>
      <w:pPr>
        <w:spacing w:line="360" w:lineRule="auto"/>
        <w:ind w:firstLine="420"/>
        <w:rPr>
          <w:rFonts w:asciiTheme="minorEastAsia" w:hAnsiTheme="minorEastAsia" w:eastAsiaTheme="minorEastAsia"/>
          <w:color w:val="auto"/>
          <w:sz w:val="24"/>
          <w:szCs w:val="24"/>
        </w:rPr>
      </w:pPr>
      <w:r>
        <w:rPr>
          <w:rFonts w:hint="eastAsia" w:cs="宋体" w:asciiTheme="minorEastAsia" w:hAnsiTheme="minorEastAsia" w:eastAsiaTheme="minorEastAsia"/>
          <w:snapToGrid w:val="0"/>
          <w:color w:val="auto"/>
          <w:kern w:val="0"/>
          <w:sz w:val="24"/>
          <w:szCs w:val="24"/>
        </w:rPr>
        <w:t>7.3</w:t>
      </w:r>
      <w:r>
        <w:rPr>
          <w:rFonts w:hint="eastAsia" w:cs="宋体" w:asciiTheme="minorEastAsia" w:hAnsiTheme="minorEastAsia" w:eastAsiaTheme="minorEastAsia"/>
          <w:color w:val="auto"/>
          <w:kern w:val="1"/>
          <w:sz w:val="24"/>
          <w:szCs w:val="24"/>
        </w:rPr>
        <w:t>设计人</w:t>
      </w:r>
      <w:r>
        <w:rPr>
          <w:rFonts w:hint="eastAsia" w:asciiTheme="minorEastAsia" w:hAnsiTheme="minorEastAsia" w:eastAsiaTheme="minorEastAsia"/>
          <w:color w:val="auto"/>
          <w:sz w:val="24"/>
          <w:szCs w:val="24"/>
        </w:rPr>
        <w:t>须保证项目负责人和各专业负责人自始至终亲自审核和签署本项目的勘察文件，对勘察质量负责，如不能履行，则</w:t>
      </w:r>
      <w:r>
        <w:rPr>
          <w:rFonts w:hint="eastAsia" w:cs="宋体" w:asciiTheme="minorEastAsia" w:hAnsiTheme="minorEastAsia" w:eastAsiaTheme="minorEastAsia"/>
          <w:color w:val="auto"/>
          <w:kern w:val="1"/>
          <w:sz w:val="24"/>
          <w:szCs w:val="24"/>
        </w:rPr>
        <w:t>发包人</w:t>
      </w:r>
      <w:r>
        <w:rPr>
          <w:rFonts w:hint="eastAsia" w:asciiTheme="minorEastAsia" w:hAnsiTheme="minorEastAsia" w:eastAsiaTheme="minorEastAsia"/>
          <w:color w:val="auto"/>
          <w:sz w:val="24"/>
          <w:szCs w:val="24"/>
        </w:rPr>
        <w:t>可取消合同，</w:t>
      </w:r>
      <w:r>
        <w:rPr>
          <w:rFonts w:hint="eastAsia" w:cs="宋体" w:asciiTheme="minorEastAsia" w:hAnsiTheme="minorEastAsia" w:eastAsiaTheme="minorEastAsia"/>
          <w:color w:val="auto"/>
          <w:kern w:val="1"/>
          <w:sz w:val="24"/>
          <w:szCs w:val="24"/>
        </w:rPr>
        <w:t>设计人</w:t>
      </w:r>
      <w:r>
        <w:rPr>
          <w:rFonts w:hint="eastAsia" w:asciiTheme="minorEastAsia" w:hAnsiTheme="minorEastAsia" w:eastAsiaTheme="minorEastAsia"/>
          <w:color w:val="auto"/>
          <w:sz w:val="24"/>
          <w:szCs w:val="24"/>
        </w:rPr>
        <w:t>须赔偿</w:t>
      </w:r>
      <w:r>
        <w:rPr>
          <w:rFonts w:hint="eastAsia" w:cs="宋体" w:asciiTheme="minorEastAsia" w:hAnsiTheme="minorEastAsia" w:eastAsiaTheme="minorEastAsia"/>
          <w:color w:val="auto"/>
          <w:kern w:val="1"/>
          <w:sz w:val="24"/>
          <w:szCs w:val="24"/>
        </w:rPr>
        <w:t>发包人</w:t>
      </w:r>
      <w:r>
        <w:rPr>
          <w:rFonts w:hint="eastAsia" w:asciiTheme="minorEastAsia" w:hAnsiTheme="minorEastAsia" w:eastAsiaTheme="minorEastAsia"/>
          <w:color w:val="auto"/>
          <w:sz w:val="24"/>
          <w:szCs w:val="24"/>
        </w:rPr>
        <w:t>的损失。</w:t>
      </w:r>
    </w:p>
    <w:p>
      <w:pPr>
        <w:spacing w:line="360" w:lineRule="auto"/>
        <w:rPr>
          <w:rFonts w:asciiTheme="minorEastAsia" w:hAnsiTheme="minorEastAsia" w:eastAsiaTheme="minorEastAsia"/>
          <w:color w:val="auto"/>
          <w:sz w:val="24"/>
          <w:szCs w:val="24"/>
        </w:rPr>
      </w:pPr>
    </w:p>
    <w:p>
      <w:pPr>
        <w:spacing w:line="360" w:lineRule="auto"/>
        <w:ind w:left="1" w:firstLine="472" w:firstLineChars="196"/>
        <w:rPr>
          <w:rFonts w:asciiTheme="minorEastAsia" w:hAnsiTheme="minorEastAsia" w:eastAsiaTheme="minorEastAsia"/>
          <w:color w:val="auto"/>
          <w:sz w:val="24"/>
          <w:szCs w:val="24"/>
        </w:rPr>
      </w:pPr>
      <w:r>
        <w:rPr>
          <w:rFonts w:hint="eastAsia" w:asciiTheme="minorEastAsia" w:hAnsiTheme="minorEastAsia" w:eastAsiaTheme="minorEastAsia"/>
          <w:b/>
          <w:color w:val="auto"/>
          <w:sz w:val="24"/>
          <w:szCs w:val="24"/>
        </w:rPr>
        <w:t>8.</w:t>
      </w:r>
      <w:r>
        <w:rPr>
          <w:rFonts w:hint="eastAsia" w:asciiTheme="minorEastAsia" w:hAnsiTheme="minorEastAsia" w:eastAsiaTheme="minorEastAsia"/>
          <w:color w:val="auto"/>
          <w:sz w:val="24"/>
          <w:szCs w:val="24"/>
        </w:rPr>
        <w:t>违约责任</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8.1 由于发包人的原因造成停、窝工，发包人应将工期按实际受影响的时间顺延，并付给设计人来回进出场费。</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8.2 由于设计人原因造成勘察成果资料质量不合格，不能满足技术要求时，其返工勘察费用由设计人承担。如果设计人未能按时按质提供给发包人，每延迟一天，发包人则扣除勘察总费用的千分之三作罚金。误期损害赔偿费的最高限额为最终合同价格的30%。若设计人在发包人指定的期限内仍不能提供合格的勘察成果资料的，发包人有权解除本合同，未付的勘察费用无须再付。发包人另聘他人完成相关工作的费用由设计人承担。</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8.3 合同履行期间，由于工程停建而终止合同或发包人要求解除合同时，设计人未进行勘察工作的，不退还发包人已付定金。已进行勘察工作的，按实际完成的工作量向设计人支付勘察费。</w:t>
      </w:r>
    </w:p>
    <w:p>
      <w:pPr>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8.4 本合同签订后，发包人不履行合同时，无权要求返还定金；设计人不履行合同时，双倍返还定金，并赔偿发包人的损失。</w:t>
      </w:r>
    </w:p>
    <w:p>
      <w:pPr>
        <w:spacing w:line="360" w:lineRule="auto"/>
        <w:ind w:left="1" w:firstLine="472" w:firstLineChars="196"/>
        <w:rPr>
          <w:rFonts w:asciiTheme="minorEastAsia" w:hAnsiTheme="minorEastAsia" w:eastAsiaTheme="minorEastAsia"/>
          <w:color w:val="auto"/>
          <w:sz w:val="24"/>
          <w:szCs w:val="24"/>
        </w:rPr>
      </w:pPr>
      <w:r>
        <w:rPr>
          <w:rFonts w:hint="eastAsia" w:asciiTheme="minorEastAsia" w:hAnsiTheme="minorEastAsia" w:eastAsiaTheme="minorEastAsia"/>
          <w:b/>
          <w:color w:val="auto"/>
          <w:sz w:val="24"/>
          <w:szCs w:val="24"/>
        </w:rPr>
        <w:t>9.</w:t>
      </w:r>
      <w:r>
        <w:rPr>
          <w:rFonts w:hint="eastAsia" w:asciiTheme="minorEastAsia" w:hAnsiTheme="minorEastAsia" w:eastAsiaTheme="minorEastAsia"/>
          <w:color w:val="auto"/>
          <w:sz w:val="24"/>
          <w:szCs w:val="24"/>
        </w:rPr>
        <w:t>本合同未尽事宜，经发包人与设计人协商一致，签订补充协议，补充协议与本合同具有同等效力。</w:t>
      </w:r>
    </w:p>
    <w:p>
      <w:pPr>
        <w:spacing w:line="360" w:lineRule="auto"/>
        <w:ind w:left="1" w:firstLine="472" w:firstLineChars="196"/>
        <w:rPr>
          <w:rFonts w:asciiTheme="minorEastAsia" w:hAnsiTheme="minorEastAsia" w:eastAsiaTheme="minorEastAsia"/>
          <w:color w:val="auto"/>
          <w:sz w:val="24"/>
          <w:szCs w:val="24"/>
        </w:rPr>
      </w:pPr>
      <w:r>
        <w:rPr>
          <w:rFonts w:hint="eastAsia" w:asciiTheme="minorEastAsia" w:hAnsiTheme="minorEastAsia" w:eastAsiaTheme="minorEastAsia"/>
          <w:b/>
          <w:color w:val="auto"/>
          <w:sz w:val="24"/>
          <w:szCs w:val="24"/>
        </w:rPr>
        <w:t>10.</w:t>
      </w:r>
      <w:r>
        <w:rPr>
          <w:rFonts w:hint="eastAsia" w:asciiTheme="minorEastAsia" w:hAnsiTheme="minorEastAsia" w:eastAsiaTheme="minorEastAsia"/>
          <w:color w:val="auto"/>
          <w:sz w:val="24"/>
          <w:szCs w:val="24"/>
        </w:rPr>
        <w:t>其它约定事项：本合同项下的勘察成果资料的知识产权归属发包人所有。</w:t>
      </w:r>
    </w:p>
    <w:p>
      <w:pPr>
        <w:spacing w:line="360" w:lineRule="auto"/>
        <w:ind w:left="1" w:firstLine="472" w:firstLineChars="196"/>
        <w:rPr>
          <w:rFonts w:cs="宋体" w:asciiTheme="minorEastAsia" w:hAnsiTheme="minorEastAsia" w:eastAsiaTheme="minorEastAsia"/>
          <w:b/>
          <w:color w:val="auto"/>
          <w:sz w:val="24"/>
          <w:szCs w:val="24"/>
        </w:rPr>
      </w:pPr>
      <w:r>
        <w:rPr>
          <w:rFonts w:hint="eastAsia" w:asciiTheme="minorEastAsia" w:hAnsiTheme="minorEastAsia" w:eastAsiaTheme="minorEastAsia"/>
          <w:b/>
          <w:color w:val="auto"/>
          <w:sz w:val="24"/>
          <w:szCs w:val="24"/>
        </w:rPr>
        <w:t>11.</w:t>
      </w:r>
      <w:r>
        <w:rPr>
          <w:rFonts w:hint="eastAsia" w:asciiTheme="minorEastAsia" w:hAnsiTheme="minorEastAsia" w:eastAsiaTheme="minorEastAsia"/>
          <w:color w:val="auto"/>
          <w:sz w:val="24"/>
          <w:szCs w:val="24"/>
        </w:rPr>
        <w:t>本合同发生争议，发包人、勘察人应及时协商解决，也可由当地建设行政主管部门调解，协商或调解不成时，发包人、勘察人同意由广州仲裁委员会仲裁。</w:t>
      </w:r>
    </w:p>
    <w:p>
      <w:pPr>
        <w:spacing w:line="440" w:lineRule="exact"/>
        <w:rPr>
          <w:rFonts w:eastAsia="仿宋_GB2312"/>
          <w:color w:val="auto"/>
          <w:sz w:val="30"/>
          <w:szCs w:val="30"/>
        </w:rPr>
      </w:pPr>
      <w:r>
        <w:rPr>
          <w:rFonts w:hint="eastAsia" w:asciiTheme="minorEastAsia" w:hAnsiTheme="minorEastAsia" w:eastAsiaTheme="minorEastAsia"/>
          <w:b/>
          <w:color w:val="auto"/>
          <w:sz w:val="24"/>
          <w:szCs w:val="24"/>
        </w:rPr>
        <w:br w:type="page"/>
      </w:r>
      <w:r>
        <w:rPr>
          <w:rFonts w:hint="eastAsia" w:asciiTheme="minorEastAsia" w:hAnsiTheme="minorEastAsia" w:eastAsiaTheme="minorEastAsia"/>
          <w:b/>
          <w:color w:val="auto"/>
          <w:sz w:val="24"/>
          <w:szCs w:val="24"/>
        </w:rPr>
        <w:t>附件7：</w:t>
      </w:r>
      <w:r>
        <w:rPr>
          <w:rFonts w:hint="eastAsia" w:eastAsia="仿宋_GB2312"/>
          <w:color w:val="auto"/>
          <w:sz w:val="30"/>
          <w:szCs w:val="30"/>
        </w:rPr>
        <w:t> </w:t>
      </w:r>
      <w:r>
        <w:rPr>
          <w:rFonts w:hint="eastAsia" w:asciiTheme="minorEastAsia" w:hAnsiTheme="minorEastAsia" w:eastAsiaTheme="minorEastAsia"/>
          <w:b/>
          <w:color w:val="auto"/>
          <w:sz w:val="24"/>
          <w:szCs w:val="24"/>
        </w:rPr>
        <w:t>廉政合同</w:t>
      </w:r>
      <w:r>
        <w:rPr>
          <w:rFonts w:hint="eastAsia" w:eastAsia="仿宋_GB2312"/>
          <w:color w:val="auto"/>
          <w:sz w:val="30"/>
          <w:szCs w:val="30"/>
        </w:rPr>
        <w:t> </w:t>
      </w:r>
    </w:p>
    <w:p>
      <w:pPr>
        <w:rPr>
          <w:color w:val="auto"/>
        </w:rPr>
      </w:pPr>
      <w:r>
        <w:rPr>
          <w:rFonts w:hint="eastAsia"/>
          <w:color w:val="auto"/>
        </w:rPr>
        <w:t>  </w:t>
      </w:r>
    </w:p>
    <w:p>
      <w:pPr>
        <w:adjustRightInd w:val="0"/>
        <w:snapToGrid w:val="0"/>
        <w:spacing w:line="300" w:lineRule="exact"/>
        <w:jc w:val="center"/>
        <w:outlineLvl w:val="1"/>
        <w:rPr>
          <w:rFonts w:ascii="宋体" w:hAnsi="宋体"/>
          <w:b/>
          <w:snapToGrid w:val="0"/>
          <w:color w:val="auto"/>
          <w:kern w:val="0"/>
          <w:sz w:val="32"/>
          <w:szCs w:val="32"/>
        </w:rPr>
      </w:pPr>
      <w:r>
        <w:rPr>
          <w:rFonts w:hint="eastAsia" w:ascii="宋体" w:hAnsi="宋体"/>
          <w:b/>
          <w:snapToGrid w:val="0"/>
          <w:color w:val="auto"/>
          <w:kern w:val="0"/>
          <w:sz w:val="32"/>
          <w:szCs w:val="32"/>
        </w:rPr>
        <w:t>廉洁合同</w:t>
      </w:r>
    </w:p>
    <w:p>
      <w:pPr>
        <w:adjustRightInd w:val="0"/>
        <w:snapToGrid w:val="0"/>
        <w:spacing w:line="300" w:lineRule="exact"/>
        <w:rPr>
          <w:rFonts w:ascii="宋体" w:hAnsi="宋体"/>
          <w:snapToGrid w:val="0"/>
          <w:color w:val="auto"/>
          <w:kern w:val="0"/>
          <w:szCs w:val="32"/>
        </w:rPr>
      </w:pPr>
    </w:p>
    <w:p>
      <w:pPr>
        <w:adjustRightInd w:val="0"/>
        <w:snapToGrid w:val="0"/>
        <w:spacing w:line="300" w:lineRule="exact"/>
        <w:rPr>
          <w:rFonts w:ascii="宋体" w:hAnsi="宋体"/>
          <w:snapToGrid w:val="0"/>
          <w:color w:val="auto"/>
          <w:kern w:val="0"/>
          <w:sz w:val="24"/>
          <w:szCs w:val="24"/>
        </w:rPr>
      </w:pPr>
      <w:r>
        <w:rPr>
          <w:rFonts w:hint="eastAsia" w:ascii="宋体" w:hAnsi="宋体"/>
          <w:snapToGrid w:val="0"/>
          <w:color w:val="auto"/>
          <w:kern w:val="0"/>
          <w:sz w:val="24"/>
          <w:szCs w:val="24"/>
        </w:rPr>
        <w:t>甲方（发包人）：</w:t>
      </w:r>
      <w:r>
        <w:rPr>
          <w:rFonts w:hint="eastAsia" w:ascii="宋体" w:hAnsi="宋体"/>
          <w:snapToGrid w:val="0"/>
          <w:color w:val="auto"/>
          <w:kern w:val="0"/>
          <w:sz w:val="24"/>
          <w:szCs w:val="24"/>
          <w:u w:val="single"/>
        </w:rPr>
        <w:t>广东省代建项目管理局</w:t>
      </w:r>
    </w:p>
    <w:p>
      <w:pPr>
        <w:adjustRightInd w:val="0"/>
        <w:snapToGrid w:val="0"/>
        <w:spacing w:line="300" w:lineRule="exact"/>
        <w:rPr>
          <w:rFonts w:ascii="宋体" w:hAnsi="宋体"/>
          <w:snapToGrid w:val="0"/>
          <w:color w:val="auto"/>
          <w:kern w:val="0"/>
          <w:sz w:val="24"/>
          <w:szCs w:val="24"/>
          <w:u w:val="single"/>
        </w:rPr>
      </w:pPr>
      <w:r>
        <w:rPr>
          <w:rFonts w:hint="eastAsia" w:ascii="宋体" w:hAnsi="宋体"/>
          <w:snapToGrid w:val="0"/>
          <w:color w:val="auto"/>
          <w:kern w:val="0"/>
          <w:sz w:val="24"/>
          <w:szCs w:val="24"/>
        </w:rPr>
        <w:t>乙方（承包人）：</w:t>
      </w:r>
    </w:p>
    <w:p>
      <w:pPr>
        <w:adjustRightInd w:val="0"/>
        <w:snapToGrid w:val="0"/>
        <w:spacing w:line="300" w:lineRule="exact"/>
        <w:rPr>
          <w:rFonts w:ascii="宋体" w:hAnsi="宋体"/>
          <w:snapToGrid w:val="0"/>
          <w:color w:val="auto"/>
          <w:kern w:val="0"/>
          <w:sz w:val="24"/>
          <w:szCs w:val="24"/>
        </w:rPr>
      </w:pPr>
    </w:p>
    <w:p>
      <w:pPr>
        <w:adjustRightInd w:val="0"/>
        <w:snapToGrid w:val="0"/>
        <w:spacing w:line="300" w:lineRule="exact"/>
        <w:ind w:firstLine="480" w:firstLineChars="200"/>
        <w:rPr>
          <w:rFonts w:ascii="宋体" w:hAnsi="宋体"/>
          <w:snapToGrid w:val="0"/>
          <w:color w:val="auto"/>
          <w:kern w:val="0"/>
          <w:sz w:val="24"/>
          <w:szCs w:val="24"/>
        </w:rPr>
      </w:pPr>
      <w:r>
        <w:rPr>
          <w:rFonts w:hint="eastAsia" w:ascii="宋体" w:hAnsi="宋体"/>
          <w:snapToGrid w:val="0"/>
          <w:color w:val="auto"/>
          <w:kern w:val="0"/>
          <w:sz w:val="24"/>
          <w:szCs w:val="24"/>
        </w:rPr>
        <w:t>为切实规范甲乙双方的各项建筑活动，预防本工程违法违纪等腐败现象的发生，保障工程建设优质、安全和廉洁，根据</w:t>
      </w:r>
      <w:r>
        <w:rPr>
          <w:rFonts w:hint="eastAsia"/>
          <w:color w:val="auto"/>
          <w:sz w:val="24"/>
        </w:rPr>
        <w:t>国家</w:t>
      </w:r>
      <w:r>
        <w:rPr>
          <w:rFonts w:hint="eastAsia" w:ascii="宋体" w:hAnsi="宋体"/>
          <w:snapToGrid w:val="0"/>
          <w:color w:val="auto"/>
          <w:kern w:val="0"/>
          <w:sz w:val="24"/>
          <w:szCs w:val="24"/>
        </w:rPr>
        <w:t>和省、市</w:t>
      </w:r>
      <w:r>
        <w:rPr>
          <w:rFonts w:hint="eastAsia"/>
          <w:color w:val="auto"/>
          <w:sz w:val="24"/>
        </w:rPr>
        <w:t>工程建设相关法律法规和廉政建设责任制规定</w:t>
      </w:r>
      <w:r>
        <w:rPr>
          <w:rFonts w:hint="eastAsia" w:ascii="宋体" w:hAnsi="宋体"/>
          <w:color w:val="auto"/>
          <w:sz w:val="24"/>
        </w:rPr>
        <w:t>，特订立协议书。</w:t>
      </w:r>
    </w:p>
    <w:p>
      <w:pPr>
        <w:adjustRightInd w:val="0"/>
        <w:snapToGrid w:val="0"/>
        <w:spacing w:line="300" w:lineRule="exact"/>
        <w:ind w:firstLine="470" w:firstLineChars="196"/>
        <w:rPr>
          <w:rFonts w:ascii="宋体" w:hAnsi="宋体"/>
          <w:snapToGrid w:val="0"/>
          <w:color w:val="auto"/>
          <w:kern w:val="0"/>
          <w:sz w:val="24"/>
          <w:szCs w:val="24"/>
        </w:rPr>
      </w:pPr>
      <w:r>
        <w:rPr>
          <w:rFonts w:hint="eastAsia" w:ascii="宋体" w:hAnsi="宋体"/>
          <w:snapToGrid w:val="0"/>
          <w:color w:val="auto"/>
          <w:kern w:val="0"/>
          <w:sz w:val="24"/>
          <w:szCs w:val="24"/>
        </w:rPr>
        <w:t>第一条 甲乙双方责任</w:t>
      </w:r>
    </w:p>
    <w:p>
      <w:pPr>
        <w:adjustRightInd w:val="0"/>
        <w:snapToGrid w:val="0"/>
        <w:spacing w:line="300" w:lineRule="exact"/>
        <w:ind w:firstLine="470" w:firstLineChars="196"/>
        <w:rPr>
          <w:rFonts w:ascii="宋体" w:hAnsi="宋体"/>
          <w:snapToGrid w:val="0"/>
          <w:color w:val="auto"/>
          <w:kern w:val="0"/>
          <w:sz w:val="24"/>
          <w:szCs w:val="24"/>
        </w:rPr>
      </w:pPr>
      <w:r>
        <w:rPr>
          <w:rFonts w:hint="eastAsia" w:ascii="宋体" w:hAnsi="宋体"/>
          <w:snapToGrid w:val="0"/>
          <w:color w:val="auto"/>
          <w:kern w:val="0"/>
          <w:sz w:val="24"/>
          <w:szCs w:val="24"/>
        </w:rPr>
        <w:t>（一）严格遵守国家和省、市有关法律法规、相关政策，以及廉政建设的各项约定。</w:t>
      </w:r>
    </w:p>
    <w:p>
      <w:pPr>
        <w:adjustRightInd w:val="0"/>
        <w:snapToGrid w:val="0"/>
        <w:spacing w:line="300" w:lineRule="exact"/>
        <w:ind w:firstLine="470" w:firstLineChars="196"/>
        <w:rPr>
          <w:rFonts w:ascii="宋体" w:hAnsi="宋体"/>
          <w:snapToGrid w:val="0"/>
          <w:color w:val="auto"/>
          <w:kern w:val="0"/>
          <w:sz w:val="24"/>
          <w:szCs w:val="24"/>
        </w:rPr>
      </w:pPr>
      <w:r>
        <w:rPr>
          <w:rFonts w:hint="eastAsia" w:ascii="宋体" w:hAnsi="宋体"/>
          <w:snapToGrid w:val="0"/>
          <w:color w:val="auto"/>
          <w:kern w:val="0"/>
          <w:sz w:val="24"/>
          <w:szCs w:val="24"/>
        </w:rPr>
        <w:t>（二）严格执行建设工程项目承发包合同文件，自觉按合同办事。</w:t>
      </w:r>
    </w:p>
    <w:p>
      <w:pPr>
        <w:adjustRightInd w:val="0"/>
        <w:snapToGrid w:val="0"/>
        <w:spacing w:line="300" w:lineRule="exact"/>
        <w:ind w:firstLine="470" w:firstLineChars="196"/>
        <w:rPr>
          <w:rFonts w:ascii="宋体" w:hAnsi="宋体"/>
          <w:snapToGrid w:val="0"/>
          <w:color w:val="auto"/>
          <w:kern w:val="0"/>
          <w:sz w:val="24"/>
          <w:szCs w:val="24"/>
        </w:rPr>
      </w:pPr>
      <w:r>
        <w:rPr>
          <w:rFonts w:hint="eastAsia" w:ascii="宋体" w:hAnsi="宋体"/>
          <w:snapToGrid w:val="0"/>
          <w:color w:val="auto"/>
          <w:kern w:val="0"/>
          <w:sz w:val="24"/>
          <w:szCs w:val="24"/>
        </w:rPr>
        <w:t>（三）建筑活动必须坚持公开、公平、公正、诚信、透明的原则（除法律法规另有规定者外），不得为获取不正当的利益，损害国家、集体和对方利益，不得违反国家、省、市和甲方有关工程建设管理的规章制度。</w:t>
      </w:r>
    </w:p>
    <w:p>
      <w:pPr>
        <w:adjustRightInd w:val="0"/>
        <w:snapToGrid w:val="0"/>
        <w:spacing w:line="300" w:lineRule="exact"/>
        <w:ind w:firstLine="470" w:firstLineChars="196"/>
        <w:rPr>
          <w:rFonts w:ascii="宋体" w:hAnsi="宋体"/>
          <w:snapToGrid w:val="0"/>
          <w:color w:val="auto"/>
          <w:kern w:val="0"/>
          <w:sz w:val="24"/>
          <w:szCs w:val="24"/>
        </w:rPr>
      </w:pPr>
      <w:r>
        <w:rPr>
          <w:rFonts w:hint="eastAsia" w:ascii="宋体" w:hAnsi="宋体"/>
          <w:snapToGrid w:val="0"/>
          <w:color w:val="auto"/>
          <w:kern w:val="0"/>
          <w:sz w:val="24"/>
          <w:szCs w:val="24"/>
        </w:rPr>
        <w:t>（四）发现对方在建筑活动中存在违规、违纪、违法行为的，有权向其上级主管部门或纪检监察、检察等有关机关举报。</w:t>
      </w:r>
    </w:p>
    <w:p>
      <w:pPr>
        <w:adjustRightInd w:val="0"/>
        <w:snapToGrid w:val="0"/>
        <w:spacing w:line="300" w:lineRule="exact"/>
        <w:ind w:firstLine="480" w:firstLineChars="200"/>
        <w:rPr>
          <w:rFonts w:ascii="宋体" w:hAnsi="宋体"/>
          <w:snapToGrid w:val="0"/>
          <w:color w:val="auto"/>
          <w:kern w:val="0"/>
          <w:sz w:val="24"/>
          <w:szCs w:val="24"/>
        </w:rPr>
      </w:pPr>
      <w:r>
        <w:rPr>
          <w:rFonts w:hint="eastAsia" w:ascii="宋体" w:hAnsi="宋体"/>
          <w:snapToGrid w:val="0"/>
          <w:color w:val="auto"/>
          <w:kern w:val="0"/>
          <w:sz w:val="24"/>
          <w:szCs w:val="24"/>
        </w:rPr>
        <w:t>（五）甲乙双方单位监督部门应充分发挥各自职能作用，积极互动形成纵向监督合力，依照本协议书规定，对本工程廉洁从业情况实施监督，及时制止不廉洁行为的发生。</w:t>
      </w:r>
    </w:p>
    <w:p>
      <w:pPr>
        <w:adjustRightInd w:val="0"/>
        <w:snapToGrid w:val="0"/>
        <w:spacing w:line="300" w:lineRule="exact"/>
        <w:ind w:firstLine="470" w:firstLineChars="196"/>
        <w:rPr>
          <w:rFonts w:ascii="宋体" w:hAnsi="宋体"/>
          <w:snapToGrid w:val="0"/>
          <w:color w:val="auto"/>
          <w:kern w:val="0"/>
          <w:sz w:val="24"/>
          <w:szCs w:val="24"/>
        </w:rPr>
      </w:pPr>
      <w:r>
        <w:rPr>
          <w:rFonts w:hint="eastAsia" w:ascii="宋体" w:hAnsi="宋体"/>
          <w:snapToGrid w:val="0"/>
          <w:color w:val="auto"/>
          <w:kern w:val="0"/>
          <w:sz w:val="24"/>
          <w:szCs w:val="24"/>
        </w:rPr>
        <w:t>第二条 甲方责任</w:t>
      </w:r>
    </w:p>
    <w:p>
      <w:pPr>
        <w:adjustRightInd w:val="0"/>
        <w:snapToGrid w:val="0"/>
        <w:spacing w:line="300" w:lineRule="exact"/>
        <w:ind w:firstLine="480" w:firstLineChars="200"/>
        <w:rPr>
          <w:rFonts w:ascii="宋体" w:hAnsi="宋体"/>
          <w:snapToGrid w:val="0"/>
          <w:color w:val="auto"/>
          <w:kern w:val="0"/>
          <w:sz w:val="24"/>
          <w:szCs w:val="24"/>
        </w:rPr>
      </w:pPr>
      <w:r>
        <w:rPr>
          <w:rFonts w:hint="eastAsia" w:ascii="宋体" w:hAnsi="宋体"/>
          <w:snapToGrid w:val="0"/>
          <w:color w:val="auto"/>
          <w:kern w:val="0"/>
          <w:sz w:val="24"/>
          <w:szCs w:val="24"/>
        </w:rPr>
        <w:t>甲方领导干部和从事该工程建设的管理人员，在建筑活动中须严格遵守以下廉洁从业规定：</w:t>
      </w:r>
    </w:p>
    <w:p>
      <w:pPr>
        <w:adjustRightInd w:val="0"/>
        <w:snapToGrid w:val="0"/>
        <w:spacing w:line="300" w:lineRule="exact"/>
        <w:ind w:firstLine="480" w:firstLineChars="200"/>
        <w:rPr>
          <w:rFonts w:ascii="宋体" w:hAnsi="宋体"/>
          <w:snapToGrid w:val="0"/>
          <w:color w:val="auto"/>
          <w:kern w:val="0"/>
          <w:sz w:val="24"/>
          <w:szCs w:val="24"/>
        </w:rPr>
      </w:pPr>
      <w:r>
        <w:rPr>
          <w:rFonts w:hint="eastAsia" w:ascii="宋体" w:hAnsi="宋体"/>
          <w:snapToGrid w:val="0"/>
          <w:color w:val="auto"/>
          <w:kern w:val="0"/>
          <w:sz w:val="24"/>
          <w:szCs w:val="24"/>
        </w:rPr>
        <w:t>1.不准向乙方和相关单位或个人索取钱物或接受回扣、礼金、各种有价证券、信用卡和好处费、感谢费以及其它支付凭证等。</w:t>
      </w:r>
    </w:p>
    <w:p>
      <w:pPr>
        <w:adjustRightInd w:val="0"/>
        <w:snapToGrid w:val="0"/>
        <w:spacing w:line="300" w:lineRule="exact"/>
        <w:ind w:firstLine="480" w:firstLineChars="200"/>
        <w:rPr>
          <w:rFonts w:ascii="宋体" w:hAnsi="宋体"/>
          <w:snapToGrid w:val="0"/>
          <w:color w:val="auto"/>
          <w:kern w:val="0"/>
          <w:sz w:val="24"/>
          <w:szCs w:val="24"/>
        </w:rPr>
      </w:pPr>
      <w:r>
        <w:rPr>
          <w:rFonts w:hint="eastAsia" w:ascii="宋体" w:hAnsi="宋体"/>
          <w:snapToGrid w:val="0"/>
          <w:color w:val="auto"/>
          <w:kern w:val="0"/>
          <w:sz w:val="24"/>
          <w:szCs w:val="24"/>
        </w:rPr>
        <w:t>2.不准接受可能影响公正执行公务的乙方和相关单位或个人的礼物馈赠、宴请、各种形式俱乐部会员资格、高消费娱乐活动。</w:t>
      </w:r>
    </w:p>
    <w:p>
      <w:pPr>
        <w:adjustRightInd w:val="0"/>
        <w:snapToGrid w:val="0"/>
        <w:spacing w:line="300" w:lineRule="exact"/>
        <w:ind w:firstLine="480" w:firstLineChars="200"/>
        <w:rPr>
          <w:rFonts w:ascii="宋体" w:hAnsi="宋体"/>
          <w:snapToGrid w:val="0"/>
          <w:color w:val="auto"/>
          <w:kern w:val="0"/>
          <w:sz w:val="24"/>
          <w:szCs w:val="24"/>
        </w:rPr>
      </w:pPr>
      <w:r>
        <w:rPr>
          <w:rFonts w:hint="eastAsia" w:ascii="宋体" w:hAnsi="宋体"/>
          <w:snapToGrid w:val="0"/>
          <w:color w:val="auto"/>
          <w:kern w:val="0"/>
          <w:sz w:val="24"/>
          <w:szCs w:val="24"/>
        </w:rPr>
        <w:t>3.不准在乙方和相关单位报销任何应由甲方或个人负担的费用。</w:t>
      </w:r>
    </w:p>
    <w:p>
      <w:pPr>
        <w:adjustRightInd w:val="0"/>
        <w:snapToGrid w:val="0"/>
        <w:spacing w:line="300" w:lineRule="exact"/>
        <w:ind w:firstLine="480" w:firstLineChars="200"/>
        <w:rPr>
          <w:rFonts w:ascii="宋体" w:hAnsi="宋体"/>
          <w:snapToGrid w:val="0"/>
          <w:color w:val="auto"/>
          <w:kern w:val="0"/>
          <w:sz w:val="24"/>
          <w:szCs w:val="24"/>
        </w:rPr>
      </w:pPr>
      <w:r>
        <w:rPr>
          <w:rFonts w:hint="eastAsia" w:ascii="宋体" w:hAnsi="宋体"/>
          <w:snapToGrid w:val="0"/>
          <w:color w:val="auto"/>
          <w:kern w:val="0"/>
          <w:sz w:val="24"/>
          <w:szCs w:val="24"/>
        </w:rPr>
        <w:t>4.不准要求、暗示或接受乙方和相关单位或个人为自己、配偶、子女、其他亲属朋友及身边工作人员的装修住房、婚丧嫁娶、工作安排、学习培训、经商办企业以及出国（境）、旅游、度假等支付费用。</w:t>
      </w:r>
    </w:p>
    <w:p>
      <w:pPr>
        <w:adjustRightInd w:val="0"/>
        <w:snapToGrid w:val="0"/>
        <w:spacing w:line="300" w:lineRule="exact"/>
        <w:ind w:firstLine="480" w:firstLineChars="200"/>
        <w:rPr>
          <w:rFonts w:ascii="宋体" w:hAnsi="宋体"/>
          <w:snapToGrid w:val="0"/>
          <w:color w:val="auto"/>
          <w:kern w:val="0"/>
          <w:sz w:val="24"/>
          <w:szCs w:val="24"/>
        </w:rPr>
      </w:pPr>
      <w:r>
        <w:rPr>
          <w:rFonts w:hint="eastAsia" w:ascii="宋体" w:hAnsi="宋体"/>
          <w:snapToGrid w:val="0"/>
          <w:color w:val="auto"/>
          <w:kern w:val="0"/>
          <w:sz w:val="24"/>
          <w:szCs w:val="24"/>
        </w:rPr>
        <w:t>5.不准向乙方介绍配偶、子女、其他亲属朋友及身边工作人员参与同甲方项目工程合同有关的设备、材料、工程分包、劳务等经济活动。</w:t>
      </w:r>
    </w:p>
    <w:p>
      <w:pPr>
        <w:adjustRightInd w:val="0"/>
        <w:snapToGrid w:val="0"/>
        <w:spacing w:line="300" w:lineRule="exact"/>
        <w:ind w:firstLine="480" w:firstLineChars="200"/>
        <w:rPr>
          <w:rFonts w:ascii="宋体" w:hAnsi="宋体"/>
          <w:snapToGrid w:val="0"/>
          <w:color w:val="auto"/>
          <w:kern w:val="0"/>
          <w:sz w:val="24"/>
          <w:szCs w:val="24"/>
        </w:rPr>
      </w:pPr>
      <w:r>
        <w:rPr>
          <w:rFonts w:hint="eastAsia" w:ascii="宋体" w:hAnsi="宋体"/>
          <w:snapToGrid w:val="0"/>
          <w:color w:val="auto"/>
          <w:kern w:val="0"/>
          <w:sz w:val="24"/>
          <w:szCs w:val="24"/>
        </w:rPr>
        <w:t>6.不得以任何理由向乙方和相关单位推荐分包单位和要求或暗示乙方购买项目工程合同规定外的材料、设备等。</w:t>
      </w:r>
    </w:p>
    <w:p>
      <w:pPr>
        <w:adjustRightInd w:val="0"/>
        <w:snapToGrid w:val="0"/>
        <w:spacing w:line="300" w:lineRule="exact"/>
        <w:ind w:firstLine="480" w:firstLineChars="200"/>
        <w:rPr>
          <w:rFonts w:ascii="宋体" w:hAnsi="宋体"/>
          <w:snapToGrid w:val="0"/>
          <w:color w:val="auto"/>
          <w:kern w:val="0"/>
          <w:sz w:val="24"/>
          <w:szCs w:val="24"/>
        </w:rPr>
      </w:pPr>
      <w:r>
        <w:rPr>
          <w:rFonts w:hint="eastAsia" w:ascii="宋体" w:hAnsi="宋体"/>
          <w:snapToGrid w:val="0"/>
          <w:color w:val="auto"/>
          <w:kern w:val="0"/>
          <w:sz w:val="24"/>
          <w:szCs w:val="24"/>
        </w:rPr>
        <w:t>第三条 乙方责任</w:t>
      </w:r>
    </w:p>
    <w:p>
      <w:pPr>
        <w:adjustRightInd w:val="0"/>
        <w:snapToGrid w:val="0"/>
        <w:spacing w:line="300" w:lineRule="exact"/>
        <w:ind w:firstLine="480" w:firstLineChars="200"/>
        <w:rPr>
          <w:rFonts w:ascii="宋体" w:hAnsi="宋体"/>
          <w:snapToGrid w:val="0"/>
          <w:color w:val="auto"/>
          <w:kern w:val="0"/>
          <w:sz w:val="24"/>
          <w:szCs w:val="24"/>
        </w:rPr>
      </w:pPr>
      <w:r>
        <w:rPr>
          <w:rFonts w:hint="eastAsia" w:ascii="宋体" w:hAnsi="宋体"/>
          <w:snapToGrid w:val="0"/>
          <w:color w:val="auto"/>
          <w:kern w:val="0"/>
          <w:sz w:val="24"/>
          <w:szCs w:val="24"/>
        </w:rPr>
        <w:t>与甲方保持正常的业务交往，遵守以下规定：</w:t>
      </w:r>
    </w:p>
    <w:p>
      <w:pPr>
        <w:adjustRightInd w:val="0"/>
        <w:snapToGrid w:val="0"/>
        <w:spacing w:line="300" w:lineRule="exact"/>
        <w:ind w:firstLine="480" w:firstLineChars="200"/>
        <w:rPr>
          <w:rFonts w:ascii="宋体" w:hAnsi="宋体"/>
          <w:snapToGrid w:val="0"/>
          <w:color w:val="auto"/>
          <w:kern w:val="0"/>
          <w:sz w:val="24"/>
          <w:szCs w:val="24"/>
        </w:rPr>
      </w:pPr>
      <w:r>
        <w:rPr>
          <w:rFonts w:hint="eastAsia" w:ascii="宋体" w:hAnsi="宋体"/>
          <w:snapToGrid w:val="0"/>
          <w:color w:val="auto"/>
          <w:kern w:val="0"/>
          <w:sz w:val="24"/>
          <w:szCs w:val="24"/>
        </w:rPr>
        <w:t>1.不准以任何理由向甲方人员行贿或赠送回扣、礼金、各种有价证券、信用卡和好处费、感谢费及其它支付凭证等。</w:t>
      </w:r>
    </w:p>
    <w:p>
      <w:pPr>
        <w:adjustRightInd w:val="0"/>
        <w:snapToGrid w:val="0"/>
        <w:spacing w:line="300" w:lineRule="exact"/>
        <w:ind w:firstLine="480" w:firstLineChars="200"/>
        <w:rPr>
          <w:rFonts w:ascii="宋体" w:hAnsi="宋体"/>
          <w:snapToGrid w:val="0"/>
          <w:color w:val="auto"/>
          <w:kern w:val="0"/>
          <w:sz w:val="24"/>
          <w:szCs w:val="24"/>
        </w:rPr>
      </w:pPr>
      <w:r>
        <w:rPr>
          <w:rFonts w:hint="eastAsia" w:ascii="宋体" w:hAnsi="宋体"/>
          <w:snapToGrid w:val="0"/>
          <w:color w:val="auto"/>
          <w:kern w:val="0"/>
          <w:sz w:val="24"/>
          <w:szCs w:val="24"/>
        </w:rPr>
        <w:t>2.不准以任何理由为甲方人员组织有可能影响公正执行公务的宴请、各种形式俱乐部及高消费娱乐等活动。</w:t>
      </w:r>
    </w:p>
    <w:p>
      <w:pPr>
        <w:adjustRightInd w:val="0"/>
        <w:snapToGrid w:val="0"/>
        <w:spacing w:line="300" w:lineRule="exact"/>
        <w:ind w:firstLine="480" w:firstLineChars="200"/>
        <w:rPr>
          <w:rFonts w:ascii="宋体" w:hAnsi="宋体"/>
          <w:snapToGrid w:val="0"/>
          <w:color w:val="auto"/>
          <w:kern w:val="0"/>
          <w:sz w:val="24"/>
          <w:szCs w:val="24"/>
        </w:rPr>
      </w:pPr>
      <w:r>
        <w:rPr>
          <w:rFonts w:hint="eastAsia" w:ascii="宋体" w:hAnsi="宋体"/>
          <w:snapToGrid w:val="0"/>
          <w:color w:val="auto"/>
          <w:kern w:val="0"/>
          <w:sz w:val="24"/>
          <w:szCs w:val="24"/>
        </w:rPr>
        <w:t>3.不准以任何理由为甲方或个人报销应由对方或个人支付的费用。</w:t>
      </w:r>
    </w:p>
    <w:p>
      <w:pPr>
        <w:adjustRightInd w:val="0"/>
        <w:snapToGrid w:val="0"/>
        <w:spacing w:line="300" w:lineRule="exact"/>
        <w:ind w:firstLine="480" w:firstLineChars="200"/>
        <w:rPr>
          <w:rFonts w:ascii="宋体" w:hAnsi="宋体"/>
          <w:snapToGrid w:val="0"/>
          <w:color w:val="auto"/>
          <w:kern w:val="0"/>
          <w:sz w:val="24"/>
          <w:szCs w:val="24"/>
        </w:rPr>
      </w:pPr>
      <w:r>
        <w:rPr>
          <w:rFonts w:hint="eastAsia" w:ascii="宋体" w:hAnsi="宋体"/>
          <w:snapToGrid w:val="0"/>
          <w:color w:val="auto"/>
          <w:kern w:val="0"/>
          <w:sz w:val="24"/>
          <w:szCs w:val="24"/>
        </w:rPr>
        <w:t>4.不准暗示或要求为甲方人员及其配偶、子女、其他亲属朋友及身边工作人员的装修住房、婚丧嫁娶、工作安排、学习培训、经商办企业以及出国（境）、旅游、度假提供方便和支付费用。</w:t>
      </w:r>
    </w:p>
    <w:p>
      <w:pPr>
        <w:adjustRightInd w:val="0"/>
        <w:snapToGrid w:val="0"/>
        <w:spacing w:line="300" w:lineRule="exact"/>
        <w:ind w:firstLine="480" w:firstLineChars="200"/>
        <w:rPr>
          <w:rFonts w:ascii="宋体" w:hAnsi="宋体"/>
          <w:snapToGrid w:val="0"/>
          <w:color w:val="auto"/>
          <w:kern w:val="0"/>
          <w:sz w:val="24"/>
          <w:szCs w:val="24"/>
        </w:rPr>
      </w:pPr>
      <w:r>
        <w:rPr>
          <w:rFonts w:hint="eastAsia" w:ascii="宋体" w:hAnsi="宋体"/>
          <w:snapToGrid w:val="0"/>
          <w:color w:val="auto"/>
          <w:kern w:val="0"/>
          <w:sz w:val="24"/>
          <w:szCs w:val="24"/>
        </w:rPr>
        <w:t>5.不准介绍和安排甲方人员及其配偶、子女、其他亲属朋友及身边工作人员参与同甲方工程项目有关的设备、材料、工程分包、劳务等经济活动。</w:t>
      </w:r>
    </w:p>
    <w:p>
      <w:pPr>
        <w:adjustRightInd w:val="0"/>
        <w:snapToGrid w:val="0"/>
        <w:spacing w:line="300" w:lineRule="exact"/>
        <w:ind w:firstLine="480" w:firstLineChars="200"/>
        <w:rPr>
          <w:rFonts w:ascii="宋体" w:hAnsi="宋体"/>
          <w:snapToGrid w:val="0"/>
          <w:color w:val="auto"/>
          <w:kern w:val="0"/>
          <w:sz w:val="24"/>
          <w:szCs w:val="24"/>
        </w:rPr>
      </w:pPr>
      <w:r>
        <w:rPr>
          <w:rFonts w:ascii="宋体" w:hAnsi="宋体" w:cs="宋体"/>
          <w:color w:val="auto"/>
          <w:sz w:val="24"/>
          <w:szCs w:val="24"/>
        </w:rPr>
        <w:t>6.乙方不得与甲方及其工作人员亲属经营的企业存在业务关联或利益输送。</w:t>
      </w:r>
    </w:p>
    <w:p>
      <w:pPr>
        <w:adjustRightInd w:val="0"/>
        <w:snapToGrid w:val="0"/>
        <w:spacing w:line="300" w:lineRule="exact"/>
        <w:ind w:firstLine="480" w:firstLineChars="200"/>
        <w:rPr>
          <w:rFonts w:ascii="宋体" w:hAnsi="宋体"/>
          <w:snapToGrid w:val="0"/>
          <w:color w:val="auto"/>
          <w:kern w:val="0"/>
          <w:sz w:val="24"/>
          <w:szCs w:val="24"/>
        </w:rPr>
      </w:pPr>
      <w:r>
        <w:rPr>
          <w:rFonts w:hint="eastAsia" w:ascii="宋体" w:hAnsi="宋体"/>
          <w:snapToGrid w:val="0"/>
          <w:color w:val="auto"/>
          <w:kern w:val="0"/>
          <w:sz w:val="24"/>
          <w:szCs w:val="24"/>
        </w:rPr>
        <w:t>第四条 违约责任</w:t>
      </w:r>
    </w:p>
    <w:p>
      <w:pPr>
        <w:adjustRightInd w:val="0"/>
        <w:snapToGrid w:val="0"/>
        <w:spacing w:line="300" w:lineRule="exact"/>
        <w:ind w:firstLine="480" w:firstLineChars="200"/>
        <w:rPr>
          <w:rFonts w:ascii="宋体" w:hAnsi="宋体"/>
          <w:snapToGrid w:val="0"/>
          <w:color w:val="auto"/>
          <w:kern w:val="0"/>
          <w:sz w:val="24"/>
          <w:szCs w:val="24"/>
        </w:rPr>
      </w:pPr>
      <w:r>
        <w:rPr>
          <w:rFonts w:hint="eastAsia" w:ascii="宋体" w:hAnsi="宋体"/>
          <w:snapToGrid w:val="0"/>
          <w:color w:val="auto"/>
          <w:kern w:val="0"/>
          <w:sz w:val="24"/>
          <w:szCs w:val="24"/>
        </w:rPr>
        <w:t>（一）甲方违约责任</w:t>
      </w:r>
    </w:p>
    <w:p>
      <w:pPr>
        <w:adjustRightInd w:val="0"/>
        <w:snapToGrid w:val="0"/>
        <w:spacing w:line="300" w:lineRule="exact"/>
        <w:ind w:firstLine="480" w:firstLineChars="200"/>
        <w:rPr>
          <w:rFonts w:ascii="宋体" w:hAnsi="宋体"/>
          <w:bCs/>
          <w:snapToGrid w:val="0"/>
          <w:color w:val="auto"/>
          <w:kern w:val="0"/>
          <w:sz w:val="24"/>
          <w:szCs w:val="24"/>
        </w:rPr>
      </w:pPr>
      <w:r>
        <w:rPr>
          <w:rFonts w:hint="eastAsia" w:ascii="宋体" w:hAnsi="宋体"/>
          <w:snapToGrid w:val="0"/>
          <w:color w:val="auto"/>
          <w:kern w:val="0"/>
          <w:sz w:val="24"/>
          <w:szCs w:val="24"/>
        </w:rPr>
        <w:t>1.甲方</w:t>
      </w:r>
      <w:r>
        <w:rPr>
          <w:rFonts w:hint="eastAsia" w:ascii="宋体" w:hAnsi="宋体"/>
          <w:bCs/>
          <w:snapToGrid w:val="0"/>
          <w:color w:val="auto"/>
          <w:kern w:val="0"/>
          <w:sz w:val="24"/>
          <w:szCs w:val="24"/>
        </w:rPr>
        <w:t>不履行或不完全履行本协议书有关责任义务给乙方造成损失的，在乙方提交足够证据并经查证属实的情况下，甲方赔偿其直接经济损失。</w:t>
      </w:r>
    </w:p>
    <w:p>
      <w:pPr>
        <w:adjustRightInd w:val="0"/>
        <w:snapToGrid w:val="0"/>
        <w:spacing w:line="300" w:lineRule="exact"/>
        <w:ind w:firstLine="480" w:firstLineChars="200"/>
        <w:rPr>
          <w:rFonts w:ascii="宋体" w:hAnsi="宋体"/>
          <w:snapToGrid w:val="0"/>
          <w:color w:val="auto"/>
          <w:kern w:val="0"/>
          <w:sz w:val="24"/>
          <w:szCs w:val="24"/>
        </w:rPr>
      </w:pPr>
      <w:r>
        <w:rPr>
          <w:rFonts w:hint="eastAsia" w:ascii="宋体" w:hAnsi="宋体"/>
          <w:snapToGrid w:val="0"/>
          <w:color w:val="auto"/>
          <w:kern w:val="0"/>
          <w:sz w:val="24"/>
          <w:szCs w:val="24"/>
        </w:rPr>
        <w:t>2.甲方人员出现受贿等严重违法违纪违规行为的，按照管理权限，依据有关法律法规和规定给予党纪、政纪处分或组织处理；涉嫌犯罪的，移交司法机关追究刑事责任。</w:t>
      </w:r>
    </w:p>
    <w:p>
      <w:pPr>
        <w:adjustRightInd w:val="0"/>
        <w:snapToGrid w:val="0"/>
        <w:spacing w:line="300" w:lineRule="exact"/>
        <w:ind w:firstLine="480" w:firstLineChars="200"/>
        <w:rPr>
          <w:rFonts w:ascii="宋体" w:hAnsi="宋体"/>
          <w:snapToGrid w:val="0"/>
          <w:color w:val="auto"/>
          <w:kern w:val="0"/>
          <w:sz w:val="24"/>
          <w:szCs w:val="24"/>
        </w:rPr>
      </w:pPr>
      <w:r>
        <w:rPr>
          <w:rFonts w:hint="eastAsia" w:ascii="宋体" w:hAnsi="宋体"/>
          <w:snapToGrid w:val="0"/>
          <w:color w:val="auto"/>
          <w:kern w:val="0"/>
          <w:sz w:val="24"/>
          <w:szCs w:val="24"/>
        </w:rPr>
        <w:t>（二）乙方违约责任</w:t>
      </w:r>
    </w:p>
    <w:p>
      <w:pPr>
        <w:adjustRightInd w:val="0"/>
        <w:snapToGrid w:val="0"/>
        <w:spacing w:line="300" w:lineRule="exact"/>
        <w:ind w:firstLine="480" w:firstLineChars="200"/>
        <w:rPr>
          <w:rFonts w:ascii="宋体" w:hAnsi="宋体"/>
          <w:bCs/>
          <w:snapToGrid w:val="0"/>
          <w:color w:val="auto"/>
          <w:kern w:val="0"/>
          <w:sz w:val="24"/>
          <w:szCs w:val="24"/>
        </w:rPr>
      </w:pPr>
      <w:r>
        <w:rPr>
          <w:rFonts w:hint="eastAsia" w:ascii="宋体" w:hAnsi="宋体"/>
          <w:snapToGrid w:val="0"/>
          <w:color w:val="auto"/>
          <w:kern w:val="0"/>
          <w:sz w:val="24"/>
          <w:szCs w:val="24"/>
        </w:rPr>
        <w:t>1.</w:t>
      </w:r>
      <w:r>
        <w:rPr>
          <w:rFonts w:hint="eastAsia" w:ascii="宋体" w:hAnsi="宋体"/>
          <w:bCs/>
          <w:snapToGrid w:val="0"/>
          <w:color w:val="auto"/>
          <w:kern w:val="0"/>
          <w:sz w:val="24"/>
          <w:szCs w:val="24"/>
        </w:rPr>
        <w:t>乙方不履行或不完全履行本协议书有关责任义务的，</w:t>
      </w:r>
      <w:r>
        <w:rPr>
          <w:rFonts w:hint="eastAsia" w:ascii="宋体" w:hAnsi="宋体"/>
          <w:snapToGrid w:val="0"/>
          <w:color w:val="auto"/>
          <w:kern w:val="0"/>
          <w:sz w:val="24"/>
          <w:szCs w:val="24"/>
        </w:rPr>
        <w:t>按本工程合同</w:t>
      </w:r>
      <w:r>
        <w:rPr>
          <w:rFonts w:hint="eastAsia" w:ascii="宋体" w:hAnsi="宋体"/>
          <w:bCs/>
          <w:snapToGrid w:val="0"/>
          <w:color w:val="auto"/>
          <w:kern w:val="0"/>
          <w:sz w:val="24"/>
          <w:szCs w:val="24"/>
        </w:rPr>
        <w:t>规定须承担一次一般违约责任。情节较轻的，可给予书面警告；情节较重的，须承担一次严重违约责任。</w:t>
      </w:r>
    </w:p>
    <w:p>
      <w:pPr>
        <w:adjustRightInd w:val="0"/>
        <w:snapToGrid w:val="0"/>
        <w:spacing w:line="300" w:lineRule="exact"/>
        <w:ind w:firstLine="480" w:firstLineChars="200"/>
        <w:rPr>
          <w:rFonts w:ascii="宋体" w:hAnsi="宋体"/>
          <w:snapToGrid w:val="0"/>
          <w:color w:val="auto"/>
          <w:kern w:val="0"/>
          <w:sz w:val="24"/>
          <w:szCs w:val="24"/>
        </w:rPr>
      </w:pPr>
      <w:r>
        <w:rPr>
          <w:rFonts w:hint="eastAsia" w:ascii="宋体" w:hAnsi="宋体"/>
          <w:bCs/>
          <w:snapToGrid w:val="0"/>
          <w:color w:val="auto"/>
          <w:kern w:val="0"/>
          <w:sz w:val="24"/>
          <w:szCs w:val="24"/>
        </w:rPr>
        <w:t>2.乙方</w:t>
      </w:r>
      <w:r>
        <w:rPr>
          <w:rFonts w:hint="eastAsia" w:ascii="宋体" w:hAnsi="宋体"/>
          <w:snapToGrid w:val="0"/>
          <w:color w:val="auto"/>
          <w:kern w:val="0"/>
          <w:sz w:val="24"/>
          <w:szCs w:val="24"/>
        </w:rPr>
        <w:t>出现严重违法违纪违规行为的，甲方将上报检察或监察机关依法查处，并提请建设行政主管部门根据相关规定给予限制或者取消其从事建筑活动的资格等处罚。</w:t>
      </w:r>
    </w:p>
    <w:p>
      <w:pPr>
        <w:adjustRightInd w:val="0"/>
        <w:snapToGrid w:val="0"/>
        <w:spacing w:line="300" w:lineRule="exact"/>
        <w:ind w:firstLine="480" w:firstLineChars="200"/>
        <w:rPr>
          <w:rFonts w:ascii="宋体" w:hAnsi="宋体"/>
          <w:snapToGrid w:val="0"/>
          <w:color w:val="auto"/>
          <w:kern w:val="0"/>
          <w:sz w:val="24"/>
          <w:szCs w:val="24"/>
        </w:rPr>
      </w:pPr>
      <w:r>
        <w:rPr>
          <w:rFonts w:hint="eastAsia" w:ascii="宋体" w:hAnsi="宋体"/>
          <w:snapToGrid w:val="0"/>
          <w:color w:val="auto"/>
          <w:kern w:val="0"/>
          <w:sz w:val="24"/>
          <w:szCs w:val="24"/>
        </w:rPr>
        <w:t>第五条 本协议书作为工程勘察设计合同的附件，与工程勘察设计合同具有同等法律效力。经双方签字盖章后生效。</w:t>
      </w:r>
    </w:p>
    <w:p>
      <w:pPr>
        <w:adjustRightInd w:val="0"/>
        <w:snapToGrid w:val="0"/>
        <w:spacing w:line="300" w:lineRule="exact"/>
        <w:ind w:firstLine="480" w:firstLineChars="200"/>
        <w:rPr>
          <w:rFonts w:ascii="宋体" w:hAnsi="宋体"/>
          <w:snapToGrid w:val="0"/>
          <w:color w:val="auto"/>
          <w:kern w:val="0"/>
          <w:sz w:val="24"/>
          <w:szCs w:val="24"/>
        </w:rPr>
      </w:pPr>
      <w:r>
        <w:rPr>
          <w:rFonts w:hint="eastAsia" w:ascii="宋体" w:hAnsi="宋体"/>
          <w:snapToGrid w:val="0"/>
          <w:color w:val="auto"/>
          <w:kern w:val="0"/>
          <w:sz w:val="24"/>
          <w:szCs w:val="24"/>
        </w:rPr>
        <w:t>第六条 本协议书有效期为双方签字盖章之日起至所属工程项目勘察设计合同履行完毕时止。</w:t>
      </w:r>
    </w:p>
    <w:p>
      <w:pPr>
        <w:adjustRightInd w:val="0"/>
        <w:snapToGrid w:val="0"/>
        <w:spacing w:line="300" w:lineRule="exact"/>
        <w:ind w:firstLine="480" w:firstLineChars="200"/>
        <w:rPr>
          <w:rFonts w:ascii="宋体" w:hAnsi="宋体"/>
          <w:snapToGrid w:val="0"/>
          <w:color w:val="auto"/>
          <w:kern w:val="0"/>
          <w:sz w:val="24"/>
          <w:szCs w:val="24"/>
        </w:rPr>
      </w:pPr>
      <w:r>
        <w:rPr>
          <w:rFonts w:hint="eastAsia" w:ascii="宋体" w:hAnsi="宋体"/>
          <w:snapToGrid w:val="0"/>
          <w:color w:val="auto"/>
          <w:kern w:val="0"/>
          <w:sz w:val="24"/>
          <w:szCs w:val="24"/>
        </w:rPr>
        <w:t>第七条 未尽事宜，由双方协商解决。</w:t>
      </w:r>
    </w:p>
    <w:p>
      <w:pPr>
        <w:adjustRightInd w:val="0"/>
        <w:snapToGrid w:val="0"/>
        <w:spacing w:line="300" w:lineRule="exact"/>
        <w:rPr>
          <w:rFonts w:ascii="宋体" w:hAnsi="宋体"/>
          <w:snapToGrid w:val="0"/>
          <w:color w:val="auto"/>
          <w:kern w:val="0"/>
          <w:sz w:val="24"/>
          <w:szCs w:val="24"/>
        </w:rPr>
      </w:pPr>
    </w:p>
    <w:p>
      <w:pPr>
        <w:adjustRightInd w:val="0"/>
        <w:snapToGrid w:val="0"/>
        <w:spacing w:line="300" w:lineRule="exact"/>
        <w:rPr>
          <w:rFonts w:ascii="宋体" w:hAnsi="宋体"/>
          <w:snapToGrid w:val="0"/>
          <w:color w:val="auto"/>
          <w:kern w:val="0"/>
          <w:sz w:val="24"/>
          <w:szCs w:val="24"/>
        </w:rPr>
      </w:pPr>
    </w:p>
    <w:p>
      <w:pPr>
        <w:adjustRightInd w:val="0"/>
        <w:snapToGrid w:val="0"/>
        <w:spacing w:line="300" w:lineRule="exact"/>
        <w:ind w:firstLine="1500"/>
        <w:rPr>
          <w:rFonts w:ascii="宋体" w:hAnsi="宋体"/>
          <w:snapToGrid w:val="0"/>
          <w:color w:val="auto"/>
          <w:kern w:val="0"/>
          <w:sz w:val="24"/>
          <w:szCs w:val="24"/>
        </w:rPr>
      </w:pPr>
      <w:r>
        <w:rPr>
          <w:rFonts w:hint="eastAsia" w:ascii="宋体" w:hAnsi="宋体"/>
          <w:snapToGrid w:val="0"/>
          <w:color w:val="auto"/>
          <w:spacing w:val="-20"/>
          <w:kern w:val="0"/>
          <w:sz w:val="24"/>
          <w:szCs w:val="24"/>
        </w:rPr>
        <w:t>甲方：              乙方：</w:t>
      </w:r>
    </w:p>
    <w:p>
      <w:pPr>
        <w:adjustRightInd w:val="0"/>
        <w:snapToGrid w:val="0"/>
        <w:spacing w:line="300" w:lineRule="exact"/>
        <w:rPr>
          <w:rFonts w:ascii="宋体" w:hAnsi="宋体"/>
          <w:snapToGrid w:val="0"/>
          <w:color w:val="auto"/>
          <w:kern w:val="0"/>
          <w:sz w:val="24"/>
          <w:szCs w:val="24"/>
        </w:rPr>
      </w:pPr>
      <w:r>
        <w:rPr>
          <w:rFonts w:hint="eastAsia" w:ascii="宋体" w:hAnsi="宋体"/>
          <w:snapToGrid w:val="0"/>
          <w:color w:val="auto"/>
          <w:kern w:val="0"/>
          <w:sz w:val="24"/>
          <w:szCs w:val="24"/>
        </w:rPr>
        <w:t>（盖章）                            （盖章）</w:t>
      </w:r>
    </w:p>
    <w:p>
      <w:pPr>
        <w:adjustRightInd w:val="0"/>
        <w:snapToGrid w:val="0"/>
        <w:spacing w:line="300" w:lineRule="exact"/>
        <w:rPr>
          <w:rFonts w:ascii="宋体" w:hAnsi="宋体"/>
          <w:snapToGrid w:val="0"/>
          <w:color w:val="auto"/>
          <w:kern w:val="0"/>
          <w:sz w:val="24"/>
          <w:szCs w:val="24"/>
        </w:rPr>
      </w:pPr>
    </w:p>
    <w:p>
      <w:pPr>
        <w:adjustRightInd w:val="0"/>
        <w:snapToGrid w:val="0"/>
        <w:spacing w:line="300" w:lineRule="exact"/>
        <w:rPr>
          <w:rFonts w:ascii="宋体" w:hAnsi="宋体"/>
          <w:snapToGrid w:val="0"/>
          <w:color w:val="auto"/>
          <w:kern w:val="0"/>
          <w:sz w:val="24"/>
          <w:szCs w:val="24"/>
        </w:rPr>
      </w:pPr>
      <w:r>
        <w:rPr>
          <w:rFonts w:hint="eastAsia" w:ascii="宋体" w:hAnsi="宋体"/>
          <w:snapToGrid w:val="0"/>
          <w:color w:val="auto"/>
          <w:kern w:val="0"/>
          <w:sz w:val="24"/>
          <w:szCs w:val="24"/>
        </w:rPr>
        <w:t>法定代表人：                          法定代表人：</w:t>
      </w:r>
    </w:p>
    <w:p>
      <w:pPr>
        <w:adjustRightInd w:val="0"/>
        <w:snapToGrid w:val="0"/>
        <w:spacing w:line="300" w:lineRule="exact"/>
        <w:rPr>
          <w:rFonts w:ascii="宋体" w:hAnsi="宋体"/>
          <w:snapToGrid w:val="0"/>
          <w:color w:val="auto"/>
          <w:kern w:val="0"/>
          <w:sz w:val="24"/>
          <w:szCs w:val="24"/>
        </w:rPr>
      </w:pPr>
    </w:p>
    <w:p>
      <w:pPr>
        <w:adjustRightInd w:val="0"/>
        <w:snapToGrid w:val="0"/>
        <w:spacing w:line="300" w:lineRule="exact"/>
        <w:rPr>
          <w:rFonts w:ascii="宋体" w:hAnsi="宋体"/>
          <w:snapToGrid w:val="0"/>
          <w:color w:val="auto"/>
          <w:kern w:val="0"/>
          <w:sz w:val="24"/>
          <w:szCs w:val="24"/>
        </w:rPr>
      </w:pPr>
    </w:p>
    <w:p>
      <w:pPr>
        <w:adjustRightInd w:val="0"/>
        <w:snapToGrid w:val="0"/>
        <w:spacing w:line="300" w:lineRule="exact"/>
        <w:rPr>
          <w:rFonts w:ascii="宋体" w:hAnsi="宋体"/>
          <w:snapToGrid w:val="0"/>
          <w:color w:val="auto"/>
          <w:kern w:val="0"/>
          <w:sz w:val="24"/>
          <w:szCs w:val="24"/>
        </w:rPr>
      </w:pPr>
      <w:r>
        <w:rPr>
          <w:rFonts w:hint="eastAsia" w:ascii="宋体" w:hAnsi="宋体"/>
          <w:snapToGrid w:val="0"/>
          <w:color w:val="auto"/>
          <w:kern w:val="0"/>
          <w:sz w:val="24"/>
          <w:szCs w:val="24"/>
        </w:rPr>
        <w:t>或委托代理人：                         或委托代理人：</w:t>
      </w:r>
    </w:p>
    <w:p>
      <w:pPr>
        <w:adjustRightInd w:val="0"/>
        <w:snapToGrid w:val="0"/>
        <w:spacing w:line="300" w:lineRule="exact"/>
        <w:rPr>
          <w:rFonts w:ascii="宋体" w:hAnsi="宋体"/>
          <w:snapToGrid w:val="0"/>
          <w:color w:val="auto"/>
          <w:kern w:val="0"/>
          <w:sz w:val="24"/>
          <w:szCs w:val="24"/>
        </w:rPr>
      </w:pPr>
    </w:p>
    <w:p>
      <w:pPr>
        <w:adjustRightInd w:val="0"/>
        <w:snapToGrid w:val="0"/>
        <w:spacing w:line="300" w:lineRule="exact"/>
        <w:rPr>
          <w:rFonts w:ascii="宋体" w:hAnsi="宋体"/>
          <w:snapToGrid w:val="0"/>
          <w:color w:val="auto"/>
          <w:kern w:val="0"/>
          <w:sz w:val="24"/>
          <w:szCs w:val="24"/>
        </w:rPr>
      </w:pPr>
    </w:p>
    <w:p>
      <w:pPr>
        <w:adjustRightInd w:val="0"/>
        <w:snapToGrid w:val="0"/>
        <w:spacing w:line="300" w:lineRule="exact"/>
        <w:rPr>
          <w:rFonts w:ascii="宋体" w:hAnsi="宋体"/>
          <w:snapToGrid w:val="0"/>
          <w:color w:val="auto"/>
          <w:kern w:val="0"/>
          <w:sz w:val="24"/>
          <w:szCs w:val="24"/>
        </w:rPr>
      </w:pPr>
      <w:r>
        <w:rPr>
          <w:rFonts w:hint="eastAsia" w:ascii="宋体" w:hAnsi="宋体"/>
          <w:snapToGrid w:val="0"/>
          <w:color w:val="auto"/>
          <w:kern w:val="0"/>
          <w:sz w:val="24"/>
          <w:szCs w:val="24"/>
        </w:rPr>
        <w:t>20  年  月  日                       20  年  月  日</w:t>
      </w:r>
    </w:p>
    <w:p>
      <w:pPr>
        <w:adjustRightInd w:val="0"/>
        <w:snapToGrid w:val="0"/>
        <w:spacing w:line="360" w:lineRule="auto"/>
        <w:rPr>
          <w:rFonts w:ascii="宋体" w:hAnsi="宋体"/>
          <w:snapToGrid w:val="0"/>
          <w:color w:val="auto"/>
          <w:kern w:val="0"/>
          <w:sz w:val="24"/>
          <w:szCs w:val="24"/>
        </w:rPr>
      </w:pPr>
    </w:p>
    <w:p>
      <w:pPr>
        <w:spacing w:line="360" w:lineRule="auto"/>
        <w:rPr>
          <w:rFonts w:asciiTheme="minorEastAsia" w:hAnsiTheme="minorEastAsia" w:eastAsiaTheme="minorEastAsia"/>
          <w:b/>
          <w:color w:val="auto"/>
          <w:sz w:val="24"/>
          <w:szCs w:val="24"/>
        </w:rPr>
      </w:pPr>
    </w:p>
    <w:p>
      <w:pPr>
        <w:spacing w:line="360" w:lineRule="auto"/>
        <w:rPr>
          <w:rFonts w:asciiTheme="minorEastAsia" w:hAnsiTheme="minorEastAsia" w:eastAsiaTheme="minorEastAsia"/>
          <w:b/>
          <w:color w:val="auto"/>
          <w:sz w:val="24"/>
          <w:szCs w:val="24"/>
        </w:rPr>
      </w:pPr>
    </w:p>
    <w:p>
      <w:pPr>
        <w:spacing w:line="360" w:lineRule="auto"/>
        <w:rPr>
          <w:rFonts w:asciiTheme="minorEastAsia" w:hAnsiTheme="minorEastAsia" w:eastAsiaTheme="minorEastAsia"/>
          <w:b/>
          <w:color w:val="auto"/>
          <w:sz w:val="24"/>
          <w:szCs w:val="24"/>
        </w:rPr>
      </w:pPr>
    </w:p>
    <w:p>
      <w:pPr>
        <w:spacing w:line="360" w:lineRule="auto"/>
        <w:rPr>
          <w:rFonts w:asciiTheme="minorEastAsia" w:hAnsiTheme="minorEastAsia" w:eastAsiaTheme="minorEastAsia"/>
          <w:b/>
          <w:color w:val="auto"/>
          <w:sz w:val="24"/>
          <w:szCs w:val="24"/>
        </w:rPr>
      </w:pPr>
    </w:p>
    <w:p>
      <w:pPr>
        <w:spacing w:line="360" w:lineRule="auto"/>
        <w:rPr>
          <w:rFonts w:asciiTheme="minorEastAsia" w:hAnsiTheme="minorEastAsia" w:eastAsiaTheme="minorEastAsia"/>
          <w:b/>
          <w:color w:val="auto"/>
          <w:sz w:val="24"/>
          <w:szCs w:val="24"/>
        </w:rPr>
      </w:pPr>
    </w:p>
    <w:p>
      <w:pPr>
        <w:spacing w:line="360" w:lineRule="auto"/>
        <w:rPr>
          <w:rFonts w:asciiTheme="minorEastAsia" w:hAnsiTheme="minorEastAsia" w:eastAsiaTheme="minorEastAsia"/>
          <w:b/>
          <w:color w:val="auto"/>
          <w:sz w:val="24"/>
          <w:szCs w:val="24"/>
        </w:rPr>
      </w:pPr>
    </w:p>
    <w:p>
      <w:pPr>
        <w:spacing w:line="360" w:lineRule="auto"/>
        <w:rPr>
          <w:rFonts w:asciiTheme="minorEastAsia" w:hAnsiTheme="minorEastAsia" w:eastAsiaTheme="minorEastAsia"/>
          <w:b/>
          <w:color w:val="auto"/>
          <w:sz w:val="24"/>
          <w:szCs w:val="24"/>
        </w:rPr>
        <w:sectPr>
          <w:footerReference r:id="rId4" w:type="default"/>
          <w:pgSz w:w="11910" w:h="16840"/>
          <w:pgMar w:top="1140" w:right="1000" w:bottom="1160" w:left="1020" w:header="0" w:footer="973" w:gutter="0"/>
          <w:cols w:space="720" w:num="1"/>
        </w:sectPr>
      </w:pPr>
    </w:p>
    <w:p>
      <w:pPr>
        <w:spacing w:line="360" w:lineRule="auto"/>
        <w:rPr>
          <w:rFonts w:asciiTheme="minorEastAsia" w:hAnsiTheme="minorEastAsia" w:eastAsiaTheme="minorEastAsia"/>
          <w:b/>
          <w:color w:val="auto"/>
          <w:sz w:val="24"/>
          <w:szCs w:val="24"/>
        </w:rPr>
      </w:pPr>
      <w:r>
        <w:rPr>
          <w:rFonts w:hint="eastAsia" w:asciiTheme="minorEastAsia" w:hAnsiTheme="minorEastAsia" w:eastAsiaTheme="minorEastAsia"/>
          <w:b/>
          <w:color w:val="auto"/>
          <w:sz w:val="24"/>
          <w:szCs w:val="24"/>
        </w:rPr>
        <w:t>附件</w:t>
      </w:r>
      <w:r>
        <w:rPr>
          <w:rFonts w:asciiTheme="minorEastAsia" w:hAnsiTheme="minorEastAsia" w:eastAsiaTheme="minorEastAsia"/>
          <w:b/>
          <w:color w:val="auto"/>
          <w:sz w:val="24"/>
          <w:szCs w:val="24"/>
        </w:rPr>
        <w:t>8：</w:t>
      </w:r>
      <w:r>
        <w:rPr>
          <w:rFonts w:hint="eastAsia" w:ascii="宋体" w:hAnsi="宋体" w:cs="宋体"/>
          <w:b/>
          <w:color w:val="auto"/>
          <w:sz w:val="24"/>
          <w:szCs w:val="24"/>
        </w:rPr>
        <w:t>履约银行保函（</w:t>
      </w:r>
      <w:r>
        <w:rPr>
          <w:rFonts w:hint="eastAsia" w:ascii="宋体" w:hAnsi="宋体"/>
          <w:b/>
          <w:color w:val="auto"/>
          <w:sz w:val="24"/>
          <w:szCs w:val="24"/>
        </w:rPr>
        <w:t>格式</w:t>
      </w:r>
      <w:r>
        <w:rPr>
          <w:rFonts w:hint="eastAsia" w:ascii="宋体" w:hAnsi="宋体" w:cs="宋体"/>
          <w:b/>
          <w:color w:val="auto"/>
          <w:sz w:val="24"/>
          <w:szCs w:val="24"/>
        </w:rPr>
        <w:t>）</w:t>
      </w:r>
    </w:p>
    <w:p>
      <w:pPr>
        <w:jc w:val="center"/>
        <w:rPr>
          <w:color w:val="auto"/>
        </w:rPr>
      </w:pPr>
      <w:bookmarkStart w:id="181" w:name="_Toc57189731"/>
      <w:r>
        <w:rPr>
          <w:rFonts w:hint="eastAsia"/>
          <w:color w:val="auto"/>
          <w:sz w:val="28"/>
          <w:szCs w:val="28"/>
        </w:rPr>
        <w:t>履约银行保函（格式）</w:t>
      </w:r>
      <w:bookmarkEnd w:id="181"/>
    </w:p>
    <w:p>
      <w:pPr>
        <w:adjustRightInd w:val="0"/>
        <w:snapToGrid w:val="0"/>
        <w:spacing w:line="360" w:lineRule="auto"/>
        <w:ind w:firstLine="480" w:firstLineChars="200"/>
        <w:jc w:val="right"/>
        <w:rPr>
          <w:rFonts w:cs="宋体" w:asciiTheme="minorEastAsia" w:hAnsiTheme="minorEastAsia" w:eastAsiaTheme="minorEastAsia"/>
          <w:color w:val="auto"/>
          <w:sz w:val="24"/>
          <w:szCs w:val="24"/>
        </w:rPr>
      </w:pPr>
      <w:r>
        <w:rPr>
          <w:rFonts w:hint="eastAsia" w:ascii="宋体" w:hAnsi="宋体" w:cs="宋体"/>
          <w:snapToGrid w:val="0"/>
          <w:color w:val="auto"/>
          <w:kern w:val="0"/>
          <w:sz w:val="24"/>
          <w:szCs w:val="24"/>
          <w:lang w:val="zh-CN"/>
        </w:rPr>
        <w:t>编号：</w:t>
      </w:r>
    </w:p>
    <w:p>
      <w:pPr>
        <w:adjustRightInd w:val="0"/>
        <w:snapToGrid w:val="0"/>
        <w:spacing w:line="360" w:lineRule="auto"/>
        <w:ind w:firstLine="480" w:firstLineChars="200"/>
        <w:rPr>
          <w:rFonts w:cs="宋体" w:asciiTheme="minorEastAsia" w:hAnsiTheme="minorEastAsia" w:eastAsiaTheme="minorEastAsia"/>
          <w:color w:val="auto"/>
          <w:sz w:val="24"/>
          <w:szCs w:val="24"/>
        </w:rPr>
      </w:pPr>
    </w:p>
    <w:p>
      <w:pPr>
        <w:adjustRightInd w:val="0"/>
        <w:snapToGrid w:val="0"/>
        <w:spacing w:line="360" w:lineRule="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致：广东省代建项目管理局</w:t>
      </w:r>
    </w:p>
    <w:p>
      <w:pPr>
        <w:adjustRightInd w:val="0"/>
        <w:snapToGrid w:val="0"/>
        <w:spacing w:line="360" w:lineRule="auto"/>
        <w:ind w:firstLine="480" w:firstLineChars="200"/>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鉴于****（下称“委托人”）在贵单位的*****项目中标，我行同意为委托人出具履约保函，为委托人履行****合同（以下称“合同”）担保，以使你方得到履约保函的保障。</w:t>
      </w:r>
    </w:p>
    <w:p>
      <w:pPr>
        <w:adjustRightInd w:val="0"/>
        <w:snapToGrid w:val="0"/>
        <w:spacing w:line="360" w:lineRule="auto"/>
        <w:ind w:firstLine="480" w:firstLineChars="200"/>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一、本保函为见索即付保函。我行保证在收到贵单位于保函担保期间内送达的依本保函约定的索赔文件后，在 7 个工作日内无条件和不可改变地向贵单位支付金额最高不超过人民币（币种）****元（大写）的履约担保金（索赔可分次索赔，累计金额不超过最高金额），并放弃向你方提出任何异议和追索的权利。</w:t>
      </w:r>
    </w:p>
    <w:p>
      <w:pPr>
        <w:adjustRightInd w:val="0"/>
        <w:snapToGrid w:val="0"/>
        <w:spacing w:line="360" w:lineRule="auto"/>
        <w:ind w:firstLine="480" w:firstLineChars="200"/>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二、贵单位的索赔文件应符合下述条件：</w:t>
      </w:r>
    </w:p>
    <w:p>
      <w:pPr>
        <w:adjustRightInd w:val="0"/>
        <w:snapToGrid w:val="0"/>
        <w:spacing w:line="360" w:lineRule="auto"/>
        <w:ind w:firstLine="480" w:firstLineChars="200"/>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（一）贵单位法定代表人或其授权代表签字并加盖单位公章；</w:t>
      </w:r>
    </w:p>
    <w:p>
      <w:pPr>
        <w:adjustRightInd w:val="0"/>
        <w:snapToGrid w:val="0"/>
        <w:spacing w:line="360" w:lineRule="auto"/>
        <w:ind w:firstLine="480" w:firstLineChars="200"/>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（二）在保函担保期间内送达我行；</w:t>
      </w:r>
    </w:p>
    <w:p>
      <w:pPr>
        <w:adjustRightInd w:val="0"/>
        <w:snapToGrid w:val="0"/>
        <w:spacing w:line="360" w:lineRule="auto"/>
        <w:ind w:firstLine="480" w:firstLineChars="200"/>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（三）明确的索赔金额（不得超过本保函第一条所列之限额）；</w:t>
      </w:r>
    </w:p>
    <w:p>
      <w:pPr>
        <w:adjustRightInd w:val="0"/>
        <w:snapToGrid w:val="0"/>
        <w:spacing w:line="360" w:lineRule="auto"/>
        <w:ind w:firstLine="480" w:firstLineChars="200"/>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（四）贵单位出具的委托人违约事项说明。</w:t>
      </w:r>
    </w:p>
    <w:p>
      <w:pPr>
        <w:adjustRightInd w:val="0"/>
        <w:snapToGrid w:val="0"/>
        <w:spacing w:line="360" w:lineRule="auto"/>
        <w:ind w:firstLine="480" w:firstLineChars="200"/>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三、本保函担保期间为 年 月 日至 年 月 日，除非你方提前终止或解除本保函，本保函于下述任一事项发生之时立即失效，我行在本保函项下的担保义务即刻解除：</w:t>
      </w:r>
    </w:p>
    <w:p>
      <w:pPr>
        <w:adjustRightInd w:val="0"/>
        <w:snapToGrid w:val="0"/>
        <w:spacing w:line="360" w:lineRule="auto"/>
        <w:ind w:firstLine="480" w:firstLineChars="200"/>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（一）本保函担保期间届满；</w:t>
      </w:r>
    </w:p>
    <w:p>
      <w:pPr>
        <w:adjustRightInd w:val="0"/>
        <w:snapToGrid w:val="0"/>
        <w:spacing w:line="360" w:lineRule="auto"/>
        <w:ind w:firstLine="480" w:firstLineChars="200"/>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（二）委托人履行了合同项下全部义务；</w:t>
      </w:r>
    </w:p>
    <w:p>
      <w:pPr>
        <w:adjustRightInd w:val="0"/>
        <w:snapToGrid w:val="0"/>
        <w:spacing w:line="360" w:lineRule="auto"/>
        <w:ind w:firstLine="480" w:firstLineChars="200"/>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（三）我行担保的义务履行完毕。</w:t>
      </w:r>
    </w:p>
    <w:p>
      <w:pPr>
        <w:adjustRightInd w:val="0"/>
        <w:snapToGrid w:val="0"/>
        <w:spacing w:line="360" w:lineRule="auto"/>
        <w:ind w:firstLine="480" w:firstLineChars="200"/>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四、我行受本保函制约的责任是延续的、独立的和无条件的，合同的任何修改、变更、解释或不可执行都不能改变我行受本保函制约的责任，委托人在合同项下对你方的任何抗辩也不能改变我行在本保函项下的付款责任。若贵单位与委托人协商变更合同，应督促委托人书面告知我行并将变更后的合同送一份给我行备案。</w:t>
      </w:r>
    </w:p>
    <w:p>
      <w:pPr>
        <w:adjustRightInd w:val="0"/>
        <w:snapToGrid w:val="0"/>
        <w:spacing w:line="360" w:lineRule="auto"/>
        <w:ind w:firstLine="480" w:firstLineChars="200"/>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五、保函失效后请将本保函退回我行注销。无论正本最终退回与否，不影响本保函依上述约定自动失效。</w:t>
      </w:r>
    </w:p>
    <w:p>
      <w:pPr>
        <w:adjustRightInd w:val="0"/>
        <w:snapToGrid w:val="0"/>
        <w:spacing w:line="360" w:lineRule="auto"/>
        <w:ind w:firstLine="480" w:firstLineChars="200"/>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六、本保函项下的所有权利和义务受中华人民共和国法律管辖和制约，我行在保函项下做出的付款承诺决不反悔。</w:t>
      </w:r>
    </w:p>
    <w:p>
      <w:pPr>
        <w:adjustRightInd w:val="0"/>
        <w:snapToGrid w:val="0"/>
        <w:spacing w:line="360" w:lineRule="auto"/>
        <w:ind w:firstLine="480" w:firstLineChars="200"/>
        <w:rPr>
          <w:rFonts w:cs="宋体" w:asciiTheme="minorEastAsia" w:hAnsiTheme="minorEastAsia" w:eastAsiaTheme="minorEastAsia"/>
          <w:color w:val="auto"/>
          <w:sz w:val="24"/>
          <w:szCs w:val="24"/>
        </w:rPr>
      </w:pPr>
    </w:p>
    <w:p>
      <w:pPr>
        <w:adjustRightInd w:val="0"/>
        <w:snapToGrid w:val="0"/>
        <w:spacing w:line="360" w:lineRule="auto"/>
        <w:ind w:firstLine="480" w:firstLineChars="200"/>
        <w:rPr>
          <w:rFonts w:cs="宋体" w:asciiTheme="minorEastAsia" w:hAnsiTheme="minorEastAsia" w:eastAsiaTheme="minorEastAsia"/>
          <w:color w:val="auto"/>
          <w:sz w:val="24"/>
          <w:szCs w:val="24"/>
        </w:rPr>
      </w:pPr>
    </w:p>
    <w:p>
      <w:pPr>
        <w:adjustRightInd w:val="0"/>
        <w:snapToGrid w:val="0"/>
        <w:spacing w:line="360" w:lineRule="auto"/>
        <w:ind w:firstLine="480" w:firstLineChars="200"/>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担保银行（公章）：              负责人（签章）：</w:t>
      </w:r>
    </w:p>
    <w:p>
      <w:pPr>
        <w:adjustRightInd w:val="0"/>
        <w:snapToGrid w:val="0"/>
        <w:spacing w:line="360" w:lineRule="auto"/>
        <w:ind w:firstLine="480" w:firstLineChars="200"/>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 xml:space="preserve">单位地址：                     传真： </w:t>
      </w:r>
    </w:p>
    <w:p>
      <w:pPr>
        <w:adjustRightInd w:val="0"/>
        <w:snapToGrid w:val="0"/>
        <w:spacing w:line="360" w:lineRule="auto"/>
        <w:ind w:firstLine="480" w:firstLineChars="200"/>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联系人：                       联系电话：</w:t>
      </w:r>
    </w:p>
    <w:p>
      <w:pPr>
        <w:adjustRightInd w:val="0"/>
        <w:snapToGrid w:val="0"/>
        <w:spacing w:line="360" w:lineRule="auto"/>
        <w:ind w:firstLine="480" w:firstLineChars="200"/>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开立日期：     年     月    日</w:t>
      </w:r>
    </w:p>
    <w:p>
      <w:pPr>
        <w:widowControl/>
        <w:jc w:val="left"/>
        <w:rPr>
          <w:rFonts w:cs="宋体" w:asciiTheme="minorEastAsia" w:hAnsiTheme="minorEastAsia" w:eastAsiaTheme="minorEastAsia"/>
          <w:color w:val="auto"/>
          <w:sz w:val="24"/>
          <w:szCs w:val="24"/>
        </w:rPr>
      </w:pPr>
      <w:r>
        <w:rPr>
          <w:rFonts w:cs="宋体" w:asciiTheme="minorEastAsia" w:hAnsiTheme="minorEastAsia" w:eastAsiaTheme="minorEastAsia"/>
          <w:color w:val="auto"/>
          <w:sz w:val="24"/>
          <w:szCs w:val="24"/>
        </w:rPr>
        <w:br w:type="page"/>
      </w:r>
    </w:p>
    <w:p>
      <w:pPr>
        <w:spacing w:line="360" w:lineRule="auto"/>
        <w:outlineLvl w:val="1"/>
        <w:rPr>
          <w:rFonts w:ascii="宋体" w:hAnsi="宋体"/>
          <w:b/>
          <w:color w:val="auto"/>
          <w:sz w:val="24"/>
          <w:szCs w:val="24"/>
        </w:rPr>
      </w:pPr>
      <w:bookmarkStart w:id="182" w:name="_Toc1386"/>
      <w:r>
        <w:rPr>
          <w:rFonts w:hint="eastAsia" w:ascii="宋体" w:hAnsi="宋体"/>
          <w:b/>
          <w:color w:val="auto"/>
          <w:sz w:val="24"/>
          <w:szCs w:val="24"/>
        </w:rPr>
        <w:t>附件9 BIM实施管理标准及实施导则</w:t>
      </w:r>
      <w:bookmarkEnd w:id="182"/>
    </w:p>
    <w:p>
      <w:pPr>
        <w:spacing w:line="720" w:lineRule="auto"/>
        <w:ind w:firstLine="562"/>
        <w:jc w:val="center"/>
        <w:rPr>
          <w:rFonts w:ascii="仿宋" w:hAnsi="仿宋" w:eastAsia="仿宋" w:cs="仿宋"/>
          <w:b/>
          <w:color w:val="auto"/>
          <w:sz w:val="28"/>
          <w:szCs w:val="28"/>
        </w:rPr>
      </w:pPr>
      <w:r>
        <w:rPr>
          <w:rFonts w:hint="eastAsia" w:ascii="仿宋" w:hAnsi="仿宋" w:eastAsia="仿宋" w:cs="仿宋"/>
          <w:b/>
          <w:color w:val="auto"/>
          <w:sz w:val="28"/>
          <w:szCs w:val="28"/>
        </w:rPr>
        <w:t>广东省代建项目管理局</w:t>
      </w:r>
      <w:r>
        <w:rPr>
          <w:rFonts w:ascii="仿宋" w:hAnsi="仿宋" w:eastAsia="仿宋" w:cs="仿宋"/>
          <w:b/>
          <w:color w:val="auto"/>
          <w:sz w:val="28"/>
          <w:szCs w:val="28"/>
        </w:rPr>
        <w:t>BIM实施管理标准</w:t>
      </w:r>
    </w:p>
    <w:p>
      <w:pPr>
        <w:pStyle w:val="583"/>
        <w:spacing w:before="240" w:after="240"/>
        <w:outlineLvl w:val="0"/>
        <w:rPr>
          <w:b w:val="0"/>
          <w:bCs/>
          <w:color w:val="auto"/>
        </w:rPr>
      </w:pPr>
      <w:bookmarkStart w:id="183" w:name="_Toc10123"/>
      <w:bookmarkStart w:id="184" w:name="_Toc25522"/>
      <w:bookmarkStart w:id="185" w:name="_Toc4435"/>
      <w:bookmarkStart w:id="186" w:name="_Toc16385"/>
      <w:bookmarkStart w:id="187" w:name="_Toc20519"/>
      <w:bookmarkStart w:id="188" w:name="_Toc4184"/>
      <w:bookmarkStart w:id="189" w:name="_Toc19298"/>
      <w:bookmarkStart w:id="190" w:name="_Toc7613"/>
      <w:bookmarkStart w:id="191" w:name="_Toc30790"/>
      <w:bookmarkStart w:id="192" w:name="_Toc8581"/>
      <w:bookmarkStart w:id="193" w:name="_Toc54567585"/>
      <w:bookmarkStart w:id="194" w:name="_Toc19187"/>
      <w:r>
        <w:rPr>
          <w:rFonts w:hint="eastAsia"/>
          <w:b w:val="0"/>
          <w:bCs/>
          <w:color w:val="auto"/>
        </w:rPr>
        <w:t>总  则</w:t>
      </w:r>
      <w:bookmarkEnd w:id="183"/>
      <w:bookmarkEnd w:id="184"/>
      <w:bookmarkEnd w:id="185"/>
      <w:bookmarkEnd w:id="186"/>
      <w:bookmarkEnd w:id="187"/>
      <w:bookmarkEnd w:id="188"/>
      <w:bookmarkEnd w:id="189"/>
      <w:bookmarkEnd w:id="190"/>
      <w:bookmarkEnd w:id="191"/>
      <w:bookmarkEnd w:id="192"/>
      <w:bookmarkEnd w:id="193"/>
      <w:bookmarkEnd w:id="194"/>
    </w:p>
    <w:p>
      <w:pPr>
        <w:pStyle w:val="584"/>
        <w:spacing w:before="120" w:after="120" w:line="360" w:lineRule="auto"/>
        <w:jc w:val="both"/>
        <w:rPr>
          <w:rFonts w:ascii="宋体" w:hAnsi="宋体"/>
          <w:color w:val="auto"/>
        </w:rPr>
      </w:pPr>
      <w:bookmarkStart w:id="195" w:name="_Toc12422"/>
      <w:bookmarkStart w:id="196" w:name="_Toc4580"/>
      <w:r>
        <w:rPr>
          <w:rFonts w:ascii="宋体" w:hAnsi="宋体"/>
          <w:color w:val="auto"/>
        </w:rPr>
        <w:t>为全面推进</w:t>
      </w:r>
      <w:r>
        <w:rPr>
          <w:rFonts w:hint="eastAsia" w:ascii="宋体" w:hAnsi="宋体"/>
          <w:color w:val="auto"/>
        </w:rPr>
        <w:t>广东省代建项目管理局（以下简称代建局）</w:t>
      </w:r>
      <w:r>
        <w:rPr>
          <w:rFonts w:ascii="宋体" w:hAnsi="宋体"/>
          <w:color w:val="auto"/>
          <w:spacing w:val="-2"/>
        </w:rPr>
        <w:t>BIM</w:t>
      </w:r>
      <w:r>
        <w:rPr>
          <w:rFonts w:ascii="宋体" w:hAnsi="宋体"/>
          <w:color w:val="auto"/>
        </w:rPr>
        <w:t>应用和信息化工作，推动建筑信息模型（以下简称BIM）的应用，提升</w:t>
      </w:r>
      <w:r>
        <w:rPr>
          <w:rFonts w:hint="eastAsia" w:ascii="宋体" w:hAnsi="宋体"/>
          <w:color w:val="auto"/>
        </w:rPr>
        <w:t>代建项目</w:t>
      </w:r>
      <w:r>
        <w:rPr>
          <w:rFonts w:ascii="宋体" w:hAnsi="宋体"/>
          <w:color w:val="auto"/>
        </w:rPr>
        <w:t>信息化水平，</w:t>
      </w:r>
      <w:r>
        <w:rPr>
          <w:rFonts w:hint="eastAsia" w:ascii="宋体" w:hAnsi="宋体"/>
          <w:color w:val="auto"/>
        </w:rPr>
        <w:t>广东省代建项目管理局</w:t>
      </w:r>
      <w:r>
        <w:rPr>
          <w:rFonts w:ascii="宋体" w:hAnsi="宋体"/>
          <w:color w:val="auto"/>
        </w:rPr>
        <w:t>组织制定《</w:t>
      </w:r>
      <w:r>
        <w:rPr>
          <w:rFonts w:hint="eastAsia" w:ascii="宋体" w:hAnsi="宋体"/>
          <w:color w:val="auto"/>
        </w:rPr>
        <w:t>广东省代建项目管理局</w:t>
      </w:r>
      <w:r>
        <w:rPr>
          <w:rFonts w:ascii="宋体" w:hAnsi="宋体"/>
          <w:color w:val="auto"/>
          <w:spacing w:val="-2"/>
        </w:rPr>
        <w:t>BIM</w:t>
      </w:r>
      <w:r>
        <w:rPr>
          <w:rFonts w:ascii="宋体" w:hAnsi="宋体"/>
          <w:color w:val="auto"/>
          <w:spacing w:val="-3"/>
        </w:rPr>
        <w:t>实施管理标准》，以下</w:t>
      </w:r>
      <w:r>
        <w:rPr>
          <w:rFonts w:ascii="宋体" w:hAnsi="宋体"/>
          <w:color w:val="auto"/>
        </w:rPr>
        <w:t>简称《标准》。</w:t>
      </w:r>
      <w:bookmarkEnd w:id="195"/>
      <w:bookmarkEnd w:id="196"/>
    </w:p>
    <w:p>
      <w:pPr>
        <w:pStyle w:val="584"/>
        <w:spacing w:before="120" w:after="120" w:line="360" w:lineRule="auto"/>
        <w:rPr>
          <w:rFonts w:ascii="宋体" w:hAnsi="宋体"/>
          <w:color w:val="auto"/>
        </w:rPr>
      </w:pPr>
      <w:bookmarkStart w:id="197" w:name="_Toc29613"/>
      <w:bookmarkStart w:id="198" w:name="_Toc22549"/>
      <w:r>
        <w:rPr>
          <w:rFonts w:ascii="宋体" w:hAnsi="宋体"/>
          <w:color w:val="auto"/>
        </w:rPr>
        <w:t>本标准适用于</w:t>
      </w:r>
      <w:r>
        <w:rPr>
          <w:rFonts w:hint="eastAsia" w:ascii="宋体" w:hAnsi="宋体"/>
          <w:color w:val="auto"/>
        </w:rPr>
        <w:t>广东省代建项目管理局管理范围内实施B</w:t>
      </w:r>
      <w:r>
        <w:rPr>
          <w:rFonts w:ascii="宋体" w:hAnsi="宋体"/>
          <w:color w:val="auto"/>
        </w:rPr>
        <w:t>IM</w:t>
      </w:r>
      <w:r>
        <w:rPr>
          <w:rFonts w:hint="eastAsia" w:ascii="宋体" w:hAnsi="宋体"/>
          <w:color w:val="auto"/>
        </w:rPr>
        <w:t>管理的</w:t>
      </w:r>
      <w:r>
        <w:rPr>
          <w:rFonts w:ascii="宋体" w:hAnsi="宋体"/>
          <w:color w:val="auto"/>
        </w:rPr>
        <w:t>新建、改建、扩建</w:t>
      </w:r>
      <w:r>
        <w:rPr>
          <w:rFonts w:hint="eastAsia" w:ascii="宋体" w:hAnsi="宋体"/>
          <w:color w:val="auto"/>
        </w:rPr>
        <w:t>政府公共工程</w:t>
      </w:r>
      <w:r>
        <w:rPr>
          <w:rFonts w:ascii="宋体" w:hAnsi="宋体"/>
          <w:color w:val="auto"/>
        </w:rPr>
        <w:t>。</w:t>
      </w:r>
      <w:bookmarkEnd w:id="197"/>
      <w:bookmarkEnd w:id="198"/>
    </w:p>
    <w:p>
      <w:pPr>
        <w:pStyle w:val="584"/>
        <w:spacing w:before="120" w:after="120" w:line="360" w:lineRule="auto"/>
        <w:rPr>
          <w:color w:val="auto"/>
        </w:rPr>
      </w:pPr>
      <w:bookmarkStart w:id="199" w:name="_Toc19296"/>
      <w:bookmarkStart w:id="200" w:name="_Toc8580"/>
      <w:r>
        <w:rPr>
          <w:rFonts w:hint="eastAsia" w:ascii="宋体" w:hAnsi="宋体"/>
          <w:color w:val="auto"/>
        </w:rPr>
        <w:t>广东省代建项目管理局管理范围内</w:t>
      </w:r>
      <w:r>
        <w:rPr>
          <w:rFonts w:hint="eastAsia"/>
          <w:color w:val="auto"/>
        </w:rPr>
        <w:t>建设</w:t>
      </w:r>
      <w:r>
        <w:rPr>
          <w:color w:val="auto"/>
        </w:rPr>
        <w:t>工程全生命周期内建筑信息模型的建立、应用和管理</w:t>
      </w:r>
      <w:r>
        <w:rPr>
          <w:rFonts w:hint="eastAsia"/>
          <w:color w:val="auto"/>
        </w:rPr>
        <w:t>，除应符合本标准外，尚应符合国家、行业、省市现行有关标准的规定。</w:t>
      </w:r>
      <w:bookmarkEnd w:id="199"/>
      <w:bookmarkEnd w:id="200"/>
    </w:p>
    <w:p>
      <w:pPr>
        <w:pStyle w:val="584"/>
        <w:spacing w:before="120" w:after="120" w:line="360" w:lineRule="auto"/>
        <w:rPr>
          <w:color w:val="auto"/>
        </w:rPr>
      </w:pPr>
      <w:bookmarkStart w:id="201" w:name="_Toc28288"/>
      <w:bookmarkStart w:id="202" w:name="_Toc2916"/>
      <w:r>
        <w:rPr>
          <w:color w:val="auto"/>
        </w:rPr>
        <w:t>本标准</w:t>
      </w:r>
      <w:r>
        <w:rPr>
          <w:rFonts w:hint="eastAsia"/>
          <w:color w:val="auto"/>
        </w:rPr>
        <w:t>作为</w:t>
      </w:r>
      <w:r>
        <w:rPr>
          <w:rFonts w:hint="eastAsia" w:ascii="宋体" w:hAnsi="宋体"/>
          <w:color w:val="auto"/>
        </w:rPr>
        <w:t>广东省代建项目管理局管理范围内</w:t>
      </w:r>
      <w:r>
        <w:rPr>
          <w:rFonts w:hint="eastAsia"/>
          <w:color w:val="auto"/>
        </w:rPr>
        <w:t>建设</w:t>
      </w:r>
      <w:r>
        <w:rPr>
          <w:color w:val="auto"/>
        </w:rPr>
        <w:t>工程</w:t>
      </w:r>
      <w:r>
        <w:rPr>
          <w:rFonts w:eastAsia="Times New Roman"/>
          <w:color w:val="auto"/>
          <w:spacing w:val="-2"/>
        </w:rPr>
        <w:t>BIM</w:t>
      </w:r>
      <w:r>
        <w:rPr>
          <w:rFonts w:hint="eastAsia" w:ascii="宋体" w:hAnsi="宋体" w:cs="宋体"/>
          <w:color w:val="auto"/>
          <w:spacing w:val="12"/>
        </w:rPr>
        <w:t>全过程</w:t>
      </w:r>
      <w:r>
        <w:rPr>
          <w:rFonts w:hint="eastAsia"/>
          <w:color w:val="auto"/>
          <w:spacing w:val="-6"/>
        </w:rPr>
        <w:t>实施</w:t>
      </w:r>
      <w:r>
        <w:rPr>
          <w:color w:val="auto"/>
          <w:spacing w:val="-6"/>
        </w:rPr>
        <w:t>指南</w:t>
      </w:r>
      <w:r>
        <w:rPr>
          <w:rFonts w:hint="eastAsia"/>
          <w:color w:val="auto"/>
          <w:spacing w:val="-6"/>
        </w:rPr>
        <w:t>以及</w:t>
      </w:r>
      <w:r>
        <w:rPr>
          <w:rFonts w:hint="eastAsia"/>
          <w:color w:val="auto"/>
        </w:rPr>
        <w:t>建设</w:t>
      </w:r>
      <w:r>
        <w:rPr>
          <w:color w:val="auto"/>
        </w:rPr>
        <w:t>工程管理中</w:t>
      </w:r>
      <w:r>
        <w:rPr>
          <w:rFonts w:eastAsia="Times New Roman"/>
          <w:color w:val="auto"/>
          <w:spacing w:val="-2"/>
        </w:rPr>
        <w:t>BIM</w:t>
      </w:r>
      <w:r>
        <w:rPr>
          <w:color w:val="auto"/>
        </w:rPr>
        <w:t>应用的基本原则和通用标准</w:t>
      </w:r>
      <w:r>
        <w:rPr>
          <w:rFonts w:hint="eastAsia"/>
          <w:color w:val="auto"/>
        </w:rPr>
        <w:t>，</w:t>
      </w:r>
      <w:r>
        <w:rPr>
          <w:color w:val="auto"/>
          <w:spacing w:val="-6"/>
        </w:rPr>
        <w:t>在项目实际实施过程中，应遵循</w:t>
      </w:r>
      <w:r>
        <w:rPr>
          <w:color w:val="auto"/>
        </w:rPr>
        <w:t>本标准的规定</w:t>
      </w:r>
      <w:r>
        <w:rPr>
          <w:rFonts w:hint="eastAsia"/>
          <w:color w:val="auto"/>
        </w:rPr>
        <w:t>，</w:t>
      </w:r>
      <w:r>
        <w:rPr>
          <w:color w:val="auto"/>
        </w:rPr>
        <w:t>并</w:t>
      </w:r>
      <w:r>
        <w:rPr>
          <w:rFonts w:hint="eastAsia"/>
          <w:color w:val="auto"/>
        </w:rPr>
        <w:t>可</w:t>
      </w:r>
      <w:r>
        <w:rPr>
          <w:color w:val="auto"/>
        </w:rPr>
        <w:t>根据实际内容进行调整和细化。</w:t>
      </w:r>
      <w:bookmarkEnd w:id="201"/>
      <w:bookmarkEnd w:id="202"/>
    </w:p>
    <w:p>
      <w:pPr>
        <w:pStyle w:val="584"/>
        <w:spacing w:before="120" w:after="120" w:line="360" w:lineRule="auto"/>
        <w:rPr>
          <w:color w:val="auto"/>
        </w:rPr>
      </w:pPr>
      <w:bookmarkStart w:id="203" w:name="_Toc27818"/>
      <w:bookmarkStart w:id="204" w:name="_Toc7524"/>
      <w:r>
        <w:rPr>
          <w:rFonts w:hint="eastAsia"/>
          <w:color w:val="auto"/>
        </w:rPr>
        <w:t>本标准参考的标准如下：</w:t>
      </w:r>
      <w:bookmarkEnd w:id="203"/>
      <w:bookmarkEnd w:id="204"/>
    </w:p>
    <w:p>
      <w:pPr>
        <w:spacing w:before="120" w:after="120"/>
        <w:rPr>
          <w:color w:val="auto"/>
          <w:szCs w:val="21"/>
        </w:rPr>
      </w:pPr>
      <w:r>
        <w:rPr>
          <w:rFonts w:hint="eastAsia"/>
          <w:color w:val="auto"/>
          <w:szCs w:val="21"/>
        </w:rPr>
        <w:t>（1）《建筑信息模型应用统一标准》GB/T 51212</w:t>
      </w:r>
    </w:p>
    <w:p>
      <w:pPr>
        <w:spacing w:before="120" w:after="120"/>
        <w:rPr>
          <w:color w:val="auto"/>
          <w:szCs w:val="21"/>
        </w:rPr>
      </w:pPr>
      <w:r>
        <w:rPr>
          <w:rFonts w:hint="eastAsia"/>
          <w:color w:val="auto"/>
          <w:szCs w:val="21"/>
        </w:rPr>
        <w:t>（</w:t>
      </w:r>
      <w:r>
        <w:rPr>
          <w:color w:val="auto"/>
          <w:szCs w:val="21"/>
        </w:rPr>
        <w:t>2</w:t>
      </w:r>
      <w:r>
        <w:rPr>
          <w:rFonts w:hint="eastAsia"/>
          <w:color w:val="auto"/>
          <w:szCs w:val="21"/>
        </w:rPr>
        <w:t>）《建筑信息模型施工应用标准》GB/T 51235</w:t>
      </w:r>
    </w:p>
    <w:p>
      <w:pPr>
        <w:spacing w:before="120" w:after="120"/>
        <w:rPr>
          <w:color w:val="auto"/>
          <w:szCs w:val="21"/>
        </w:rPr>
      </w:pPr>
      <w:r>
        <w:rPr>
          <w:rFonts w:hint="eastAsia"/>
          <w:color w:val="auto"/>
          <w:szCs w:val="21"/>
        </w:rPr>
        <w:t>（</w:t>
      </w:r>
      <w:r>
        <w:rPr>
          <w:color w:val="auto"/>
          <w:szCs w:val="21"/>
        </w:rPr>
        <w:t>3</w:t>
      </w:r>
      <w:r>
        <w:rPr>
          <w:rFonts w:hint="eastAsia"/>
          <w:color w:val="auto"/>
          <w:szCs w:val="21"/>
        </w:rPr>
        <w:t>）《建筑信息模型分类和编码标准》GB/T 51269</w:t>
      </w:r>
    </w:p>
    <w:p>
      <w:pPr>
        <w:spacing w:before="120" w:after="120"/>
        <w:rPr>
          <w:color w:val="auto"/>
          <w:szCs w:val="21"/>
        </w:rPr>
      </w:pPr>
      <w:r>
        <w:rPr>
          <w:rFonts w:hint="eastAsia"/>
          <w:color w:val="auto"/>
          <w:szCs w:val="21"/>
        </w:rPr>
        <w:t>（</w:t>
      </w:r>
      <w:r>
        <w:rPr>
          <w:color w:val="auto"/>
          <w:szCs w:val="21"/>
        </w:rPr>
        <w:t>4</w:t>
      </w:r>
      <w:r>
        <w:rPr>
          <w:rFonts w:hint="eastAsia"/>
          <w:color w:val="auto"/>
          <w:szCs w:val="21"/>
        </w:rPr>
        <w:t>）《建筑信息模型设计交付标准》GB/T 51301</w:t>
      </w:r>
    </w:p>
    <w:p>
      <w:pPr>
        <w:spacing w:before="120" w:after="120"/>
        <w:rPr>
          <w:color w:val="auto"/>
          <w:szCs w:val="21"/>
        </w:rPr>
      </w:pPr>
      <w:r>
        <w:rPr>
          <w:rFonts w:hint="eastAsia"/>
          <w:color w:val="auto"/>
          <w:szCs w:val="21"/>
        </w:rPr>
        <w:t>（</w:t>
      </w:r>
      <w:r>
        <w:rPr>
          <w:color w:val="auto"/>
          <w:szCs w:val="21"/>
        </w:rPr>
        <w:t>5</w:t>
      </w:r>
      <w:r>
        <w:rPr>
          <w:rFonts w:hint="eastAsia"/>
          <w:color w:val="auto"/>
          <w:szCs w:val="21"/>
        </w:rPr>
        <w:t>）《建筑工程设计信息模型制图标准》JGJ/T 448</w:t>
      </w:r>
    </w:p>
    <w:p>
      <w:pPr>
        <w:spacing w:before="120" w:after="120"/>
        <w:rPr>
          <w:color w:val="auto"/>
          <w:szCs w:val="21"/>
        </w:rPr>
      </w:pPr>
      <w:r>
        <w:rPr>
          <w:rFonts w:hint="eastAsia"/>
          <w:color w:val="auto"/>
          <w:szCs w:val="21"/>
        </w:rPr>
        <w:t>（</w:t>
      </w:r>
      <w:r>
        <w:rPr>
          <w:color w:val="auto"/>
          <w:szCs w:val="21"/>
        </w:rPr>
        <w:t>6</w:t>
      </w:r>
      <w:r>
        <w:rPr>
          <w:rFonts w:hint="eastAsia"/>
          <w:color w:val="auto"/>
          <w:szCs w:val="21"/>
        </w:rPr>
        <w:t>）《工程建设项目业务协同平台技术标准》CJJ/T 296</w:t>
      </w:r>
    </w:p>
    <w:p>
      <w:pPr>
        <w:spacing w:before="120" w:after="120"/>
        <w:rPr>
          <w:color w:val="auto"/>
          <w:szCs w:val="21"/>
        </w:rPr>
      </w:pPr>
      <w:r>
        <w:rPr>
          <w:rFonts w:hint="eastAsia"/>
          <w:color w:val="auto"/>
          <w:szCs w:val="21"/>
        </w:rPr>
        <w:t>（</w:t>
      </w:r>
      <w:r>
        <w:rPr>
          <w:color w:val="auto"/>
          <w:szCs w:val="21"/>
        </w:rPr>
        <w:t>7</w:t>
      </w:r>
      <w:r>
        <w:rPr>
          <w:rFonts w:hint="eastAsia"/>
          <w:color w:val="auto"/>
          <w:szCs w:val="21"/>
        </w:rPr>
        <w:t>）《广东省建筑信息模型应用统一标准》 DBJ/T 15-142</w:t>
      </w:r>
    </w:p>
    <w:p>
      <w:pPr>
        <w:pStyle w:val="583"/>
        <w:spacing w:before="240" w:after="240"/>
        <w:outlineLvl w:val="0"/>
        <w:rPr>
          <w:b w:val="0"/>
          <w:bCs/>
          <w:color w:val="auto"/>
        </w:rPr>
      </w:pPr>
      <w:bookmarkStart w:id="205" w:name="_Toc13310"/>
      <w:bookmarkStart w:id="206" w:name="_Toc14153"/>
      <w:bookmarkStart w:id="207" w:name="_Toc54567586"/>
      <w:bookmarkStart w:id="208" w:name="_Toc6191"/>
      <w:bookmarkStart w:id="209" w:name="_Toc1539"/>
      <w:bookmarkStart w:id="210" w:name="_Toc22482"/>
      <w:bookmarkStart w:id="211" w:name="_Toc17177"/>
      <w:bookmarkStart w:id="212" w:name="_Toc11547"/>
      <w:bookmarkStart w:id="213" w:name="_Toc22279"/>
      <w:bookmarkStart w:id="214" w:name="_Toc533"/>
      <w:bookmarkStart w:id="215" w:name="_Toc18395"/>
      <w:bookmarkStart w:id="216" w:name="_Toc12649"/>
      <w:r>
        <w:rPr>
          <w:rFonts w:hint="eastAsia"/>
          <w:b w:val="0"/>
          <w:bCs/>
          <w:color w:val="auto"/>
        </w:rPr>
        <w:t>术  语</w:t>
      </w:r>
      <w:bookmarkEnd w:id="205"/>
      <w:bookmarkEnd w:id="206"/>
      <w:bookmarkEnd w:id="207"/>
      <w:bookmarkEnd w:id="208"/>
      <w:bookmarkEnd w:id="209"/>
      <w:bookmarkEnd w:id="210"/>
      <w:bookmarkEnd w:id="211"/>
      <w:bookmarkEnd w:id="212"/>
      <w:bookmarkEnd w:id="213"/>
      <w:bookmarkEnd w:id="214"/>
      <w:bookmarkEnd w:id="215"/>
      <w:bookmarkEnd w:id="216"/>
    </w:p>
    <w:p>
      <w:pPr>
        <w:pStyle w:val="586"/>
        <w:numPr>
          <w:ilvl w:val="0"/>
          <w:numId w:val="12"/>
        </w:numPr>
        <w:spacing w:before="120" w:after="120"/>
        <w:ind w:left="0" w:firstLine="0"/>
        <w:outlineLvl w:val="3"/>
        <w:rPr>
          <w:b w:val="0"/>
          <w:bCs/>
          <w:color w:val="auto"/>
        </w:rPr>
      </w:pPr>
      <w:bookmarkStart w:id="217" w:name="_Toc26203"/>
      <w:bookmarkStart w:id="218" w:name="_Toc2376"/>
      <w:r>
        <w:rPr>
          <w:b w:val="0"/>
          <w:bCs/>
          <w:color w:val="auto"/>
        </w:rPr>
        <w:t>建筑信息模型</w:t>
      </w:r>
      <w:r>
        <w:rPr>
          <w:rFonts w:hint="eastAsia"/>
          <w:b w:val="0"/>
          <w:bCs/>
          <w:color w:val="auto"/>
        </w:rPr>
        <w:t xml:space="preserve"> b</w:t>
      </w:r>
      <w:r>
        <w:rPr>
          <w:b w:val="0"/>
          <w:bCs/>
          <w:color w:val="auto"/>
        </w:rPr>
        <w:t>uilding information modeling</w:t>
      </w:r>
      <w:r>
        <w:rPr>
          <w:rFonts w:hint="eastAsia"/>
          <w:b w:val="0"/>
          <w:bCs/>
          <w:color w:val="auto"/>
        </w:rPr>
        <w:t>（</w:t>
      </w:r>
      <w:r>
        <w:rPr>
          <w:b w:val="0"/>
          <w:bCs/>
          <w:color w:val="auto"/>
        </w:rPr>
        <w:t>BIM</w:t>
      </w:r>
      <w:r>
        <w:rPr>
          <w:rFonts w:hint="eastAsia"/>
          <w:b w:val="0"/>
          <w:bCs/>
          <w:color w:val="auto"/>
        </w:rPr>
        <w:t>）</w:t>
      </w:r>
      <w:bookmarkEnd w:id="217"/>
      <w:bookmarkEnd w:id="218"/>
    </w:p>
    <w:p>
      <w:pPr>
        <w:spacing w:before="120" w:after="120"/>
        <w:rPr>
          <w:color w:val="auto"/>
          <w:szCs w:val="21"/>
        </w:rPr>
      </w:pPr>
      <w:r>
        <w:rPr>
          <w:color w:val="auto"/>
          <w:szCs w:val="21"/>
        </w:rPr>
        <w:t>建筑信息模型是指创建并利用数字化模型对建设工程项目的设计、建造和运维全过程进行管理和优化的过程、方法和技术。</w:t>
      </w:r>
    </w:p>
    <w:p>
      <w:pPr>
        <w:pStyle w:val="586"/>
        <w:numPr>
          <w:ilvl w:val="0"/>
          <w:numId w:val="12"/>
        </w:numPr>
        <w:spacing w:before="120" w:after="120"/>
        <w:ind w:left="0" w:firstLine="0"/>
        <w:outlineLvl w:val="3"/>
        <w:rPr>
          <w:b w:val="0"/>
          <w:bCs/>
          <w:color w:val="auto"/>
        </w:rPr>
      </w:pPr>
      <w:bookmarkStart w:id="219" w:name="_Toc25986"/>
      <w:bookmarkStart w:id="220" w:name="_Toc5104"/>
      <w:r>
        <w:rPr>
          <w:rFonts w:hint="eastAsia"/>
          <w:b w:val="0"/>
          <w:bCs/>
          <w:color w:val="auto"/>
        </w:rPr>
        <w:t>城市信息模型 city information modeling（CIM）</w:t>
      </w:r>
      <w:bookmarkEnd w:id="219"/>
      <w:bookmarkEnd w:id="220"/>
    </w:p>
    <w:p>
      <w:pPr>
        <w:spacing w:before="120" w:after="120"/>
        <w:rPr>
          <w:color w:val="auto"/>
          <w:szCs w:val="21"/>
        </w:rPr>
      </w:pPr>
      <w:r>
        <w:rPr>
          <w:rFonts w:hint="eastAsia"/>
          <w:color w:val="auto"/>
          <w:szCs w:val="21"/>
        </w:rPr>
        <w:t>以建筑信息模型（BIM）、地理信息系统（GIS）、数字孪生和物联网（IoT）等技术为基础，数字化重构城市空间、建筑与设施、资源与环境等实体，监测感知其发展变化、仿真表达历史现状未来多维多尺度信息，模拟城市规划、建设与管理运营过程，构建起数字空间的城市信息有机综合体。</w:t>
      </w:r>
    </w:p>
    <w:p>
      <w:pPr>
        <w:pStyle w:val="586"/>
        <w:numPr>
          <w:ilvl w:val="0"/>
          <w:numId w:val="12"/>
        </w:numPr>
        <w:spacing w:before="120" w:after="120"/>
        <w:ind w:left="0" w:firstLine="0"/>
        <w:outlineLvl w:val="3"/>
        <w:rPr>
          <w:b w:val="0"/>
          <w:bCs/>
          <w:color w:val="auto"/>
        </w:rPr>
      </w:pPr>
      <w:bookmarkStart w:id="221" w:name="_Toc25621"/>
      <w:bookmarkStart w:id="222" w:name="_Toc1645"/>
      <w:r>
        <w:rPr>
          <w:b w:val="0"/>
          <w:bCs/>
          <w:color w:val="auto"/>
        </w:rPr>
        <w:t>BIM 模型BIM model</w:t>
      </w:r>
      <w:bookmarkEnd w:id="221"/>
      <w:bookmarkEnd w:id="222"/>
    </w:p>
    <w:p>
      <w:pPr>
        <w:spacing w:before="120" w:after="120"/>
        <w:rPr>
          <w:color w:val="auto"/>
          <w:szCs w:val="21"/>
        </w:rPr>
      </w:pPr>
      <w:r>
        <w:rPr>
          <w:color w:val="auto"/>
          <w:szCs w:val="21"/>
        </w:rPr>
        <w:t>BIM模型是指基于BIM所产生的数字化建筑模型。</w:t>
      </w:r>
    </w:p>
    <w:p>
      <w:pPr>
        <w:pStyle w:val="586"/>
        <w:numPr>
          <w:ilvl w:val="0"/>
          <w:numId w:val="12"/>
        </w:numPr>
        <w:spacing w:before="120" w:after="120"/>
        <w:ind w:left="0" w:firstLine="0"/>
        <w:outlineLvl w:val="3"/>
        <w:rPr>
          <w:b w:val="0"/>
          <w:bCs/>
          <w:color w:val="auto"/>
        </w:rPr>
      </w:pPr>
      <w:bookmarkStart w:id="223" w:name="_Toc31655"/>
      <w:bookmarkStart w:id="224" w:name="_Toc32019"/>
      <w:r>
        <w:rPr>
          <w:b w:val="0"/>
          <w:bCs/>
          <w:color w:val="auto"/>
        </w:rPr>
        <w:t>建模软件modeling software</w:t>
      </w:r>
      <w:bookmarkEnd w:id="223"/>
      <w:bookmarkEnd w:id="224"/>
    </w:p>
    <w:p>
      <w:pPr>
        <w:spacing w:before="120" w:after="120"/>
        <w:rPr>
          <w:color w:val="auto"/>
          <w:szCs w:val="21"/>
        </w:rPr>
      </w:pPr>
      <w:r>
        <w:rPr>
          <w:color w:val="auto"/>
          <w:szCs w:val="21"/>
        </w:rPr>
        <w:t>建模软件是指用于创建BIM模型的软件，应具备三维数字化建模、非几何信息录入、多专业协同设计、二维图纸生成等基本功能。</w:t>
      </w:r>
    </w:p>
    <w:p>
      <w:pPr>
        <w:pStyle w:val="586"/>
        <w:numPr>
          <w:ilvl w:val="0"/>
          <w:numId w:val="12"/>
        </w:numPr>
        <w:spacing w:before="120" w:after="120"/>
        <w:ind w:left="0" w:firstLine="0"/>
        <w:outlineLvl w:val="3"/>
        <w:rPr>
          <w:b w:val="0"/>
          <w:bCs/>
          <w:color w:val="auto"/>
        </w:rPr>
      </w:pPr>
      <w:bookmarkStart w:id="225" w:name="_Toc9438"/>
      <w:bookmarkStart w:id="226" w:name="_Toc24160"/>
      <w:r>
        <w:rPr>
          <w:b w:val="0"/>
          <w:bCs/>
          <w:color w:val="auto"/>
        </w:rPr>
        <w:t>构件component</w:t>
      </w:r>
      <w:bookmarkEnd w:id="225"/>
      <w:bookmarkEnd w:id="226"/>
    </w:p>
    <w:p>
      <w:pPr>
        <w:spacing w:before="120" w:after="120"/>
        <w:rPr>
          <w:color w:val="auto"/>
          <w:szCs w:val="21"/>
        </w:rPr>
      </w:pPr>
      <w:r>
        <w:rPr>
          <w:color w:val="auto"/>
          <w:szCs w:val="21"/>
        </w:rPr>
        <w:t>构件是组成建模软件中BIM模型的基础元素，也是承载几何信息和非几何信息的最</w:t>
      </w:r>
      <w:r>
        <w:rPr>
          <w:rFonts w:hint="eastAsia"/>
          <w:color w:val="auto"/>
          <w:szCs w:val="21"/>
        </w:rPr>
        <w:t>为</w:t>
      </w:r>
      <w:r>
        <w:rPr>
          <w:color w:val="auto"/>
          <w:szCs w:val="21"/>
        </w:rPr>
        <w:t>基础</w:t>
      </w:r>
      <w:r>
        <w:rPr>
          <w:rFonts w:hint="eastAsia"/>
          <w:color w:val="auto"/>
          <w:szCs w:val="21"/>
        </w:rPr>
        <w:t>的</w:t>
      </w:r>
      <w:r>
        <w:rPr>
          <w:color w:val="auto"/>
          <w:szCs w:val="21"/>
        </w:rPr>
        <w:t>元素，在建模软件中构件可以是单个建筑逻辑的构件或多个建筑构件的集合。</w:t>
      </w:r>
    </w:p>
    <w:p>
      <w:pPr>
        <w:pStyle w:val="586"/>
        <w:numPr>
          <w:ilvl w:val="0"/>
          <w:numId w:val="12"/>
        </w:numPr>
        <w:spacing w:before="120" w:after="120"/>
        <w:ind w:left="0" w:firstLine="0"/>
        <w:outlineLvl w:val="3"/>
        <w:rPr>
          <w:b w:val="0"/>
          <w:bCs/>
          <w:color w:val="auto"/>
        </w:rPr>
      </w:pPr>
      <w:bookmarkStart w:id="227" w:name="_Toc13932"/>
      <w:bookmarkStart w:id="228" w:name="_Toc419"/>
      <w:r>
        <w:rPr>
          <w:b w:val="0"/>
          <w:bCs/>
          <w:color w:val="auto"/>
        </w:rPr>
        <w:t>构件资源库BIM component library</w:t>
      </w:r>
      <w:bookmarkEnd w:id="227"/>
      <w:bookmarkEnd w:id="228"/>
    </w:p>
    <w:p>
      <w:pPr>
        <w:spacing w:before="120" w:after="120"/>
        <w:rPr>
          <w:color w:val="auto"/>
          <w:szCs w:val="21"/>
        </w:rPr>
      </w:pPr>
      <w:r>
        <w:rPr>
          <w:color w:val="auto"/>
          <w:szCs w:val="21"/>
        </w:rPr>
        <w:t>构件资源库是指在BIM实施过程中开发、积累并经过加工处理，形成可重复利用的构件的集合。</w:t>
      </w:r>
    </w:p>
    <w:p>
      <w:pPr>
        <w:pStyle w:val="586"/>
        <w:numPr>
          <w:ilvl w:val="0"/>
          <w:numId w:val="12"/>
        </w:numPr>
        <w:spacing w:before="120" w:after="120"/>
        <w:ind w:left="0" w:firstLine="0"/>
        <w:outlineLvl w:val="3"/>
        <w:rPr>
          <w:b w:val="0"/>
          <w:bCs/>
          <w:color w:val="auto"/>
        </w:rPr>
      </w:pPr>
      <w:bookmarkStart w:id="229" w:name="_Toc10628"/>
      <w:bookmarkStart w:id="230" w:name="_Toc5986"/>
      <w:r>
        <w:rPr>
          <w:b w:val="0"/>
          <w:bCs/>
          <w:color w:val="auto"/>
        </w:rPr>
        <w:t>交付成果deliverables</w:t>
      </w:r>
      <w:bookmarkEnd w:id="229"/>
      <w:bookmarkEnd w:id="230"/>
    </w:p>
    <w:p>
      <w:pPr>
        <w:spacing w:before="120" w:after="120"/>
        <w:rPr>
          <w:color w:val="auto"/>
          <w:szCs w:val="21"/>
        </w:rPr>
      </w:pPr>
      <w:r>
        <w:rPr>
          <w:color w:val="auto"/>
          <w:szCs w:val="21"/>
        </w:rPr>
        <w:t>交付成果是指在建筑工程工作中，各参与方利用BIM技术并按照一定工作流程所产生的并经过审核或批准的成果，包括建筑、结构、机电等BIM模型和与之对应的图纸、文档、工程表格、以及综合协调、模拟分析、可视化等成果文件。</w:t>
      </w:r>
    </w:p>
    <w:p>
      <w:pPr>
        <w:pStyle w:val="586"/>
        <w:numPr>
          <w:ilvl w:val="0"/>
          <w:numId w:val="12"/>
        </w:numPr>
        <w:spacing w:before="120" w:after="120"/>
        <w:ind w:left="0" w:firstLine="0"/>
        <w:outlineLvl w:val="3"/>
        <w:rPr>
          <w:b w:val="0"/>
          <w:bCs/>
          <w:color w:val="auto"/>
        </w:rPr>
      </w:pPr>
      <w:bookmarkStart w:id="231" w:name="_Toc25190"/>
      <w:bookmarkStart w:id="232" w:name="_Toc24837"/>
      <w:r>
        <w:rPr>
          <w:b w:val="0"/>
          <w:bCs/>
          <w:color w:val="auto"/>
        </w:rPr>
        <w:t>协同平台project collaboration platform</w:t>
      </w:r>
      <w:bookmarkEnd w:id="231"/>
      <w:bookmarkEnd w:id="232"/>
    </w:p>
    <w:p>
      <w:pPr>
        <w:spacing w:before="120" w:after="120"/>
        <w:rPr>
          <w:color w:val="auto"/>
          <w:szCs w:val="21"/>
        </w:rPr>
      </w:pPr>
      <w:r>
        <w:rPr>
          <w:color w:val="auto"/>
          <w:szCs w:val="21"/>
        </w:rPr>
        <w:t>协同平台指实现</w:t>
      </w:r>
      <w:r>
        <w:rPr>
          <w:rFonts w:hint="eastAsia"/>
          <w:color w:val="auto"/>
          <w:szCs w:val="21"/>
        </w:rPr>
        <w:t>建设</w:t>
      </w:r>
      <w:r>
        <w:rPr>
          <w:color w:val="auto"/>
          <w:szCs w:val="21"/>
        </w:rPr>
        <w:t>工程</w:t>
      </w:r>
      <w:r>
        <w:rPr>
          <w:rFonts w:hint="eastAsia"/>
          <w:color w:val="auto"/>
          <w:szCs w:val="21"/>
        </w:rPr>
        <w:t>项目间及项目内</w:t>
      </w:r>
      <w:r>
        <w:rPr>
          <w:color w:val="auto"/>
          <w:szCs w:val="21"/>
        </w:rPr>
        <w:t>所有参与方之间协同工作的软硬件环境，具备工作成果的归档、共享、发布、交付及审核功能。</w:t>
      </w:r>
    </w:p>
    <w:p>
      <w:pPr>
        <w:pStyle w:val="586"/>
        <w:numPr>
          <w:ilvl w:val="0"/>
          <w:numId w:val="12"/>
        </w:numPr>
        <w:spacing w:before="120" w:after="120"/>
        <w:ind w:left="0" w:firstLine="0"/>
        <w:outlineLvl w:val="3"/>
        <w:rPr>
          <w:b w:val="0"/>
          <w:bCs/>
          <w:color w:val="auto"/>
        </w:rPr>
      </w:pPr>
      <w:bookmarkStart w:id="233" w:name="_Toc31767"/>
      <w:bookmarkStart w:id="234" w:name="_Toc12295"/>
      <w:r>
        <w:rPr>
          <w:b w:val="0"/>
          <w:bCs/>
          <w:color w:val="auto"/>
        </w:rPr>
        <w:t>模型精度等级 levels of detail</w:t>
      </w:r>
      <w:r>
        <w:rPr>
          <w:rFonts w:hint="eastAsia"/>
          <w:b w:val="0"/>
          <w:bCs/>
          <w:color w:val="auto"/>
        </w:rPr>
        <w:t>（</w:t>
      </w:r>
      <w:r>
        <w:rPr>
          <w:b w:val="0"/>
          <w:bCs/>
          <w:color w:val="auto"/>
        </w:rPr>
        <w:t>LOD</w:t>
      </w:r>
      <w:r>
        <w:rPr>
          <w:rFonts w:hint="eastAsia"/>
          <w:b w:val="0"/>
          <w:bCs/>
          <w:color w:val="auto"/>
        </w:rPr>
        <w:t>）</w:t>
      </w:r>
      <w:bookmarkEnd w:id="233"/>
      <w:bookmarkEnd w:id="234"/>
    </w:p>
    <w:p>
      <w:pPr>
        <w:spacing w:before="120" w:after="120"/>
        <w:rPr>
          <w:color w:val="auto"/>
          <w:szCs w:val="21"/>
        </w:rPr>
      </w:pPr>
      <w:r>
        <w:rPr>
          <w:color w:val="auto"/>
          <w:szCs w:val="21"/>
        </w:rPr>
        <w:t>参照美国建筑师协会（AIA）提出的LOD概念。LOD指模型精细的程度等级，又称模型精度。</w:t>
      </w:r>
    </w:p>
    <w:p>
      <w:pPr>
        <w:spacing w:before="120" w:after="120"/>
        <w:jc w:val="left"/>
        <w:rPr>
          <w:color w:val="auto"/>
        </w:rPr>
      </w:pPr>
      <w:r>
        <w:rPr>
          <w:color w:val="auto"/>
        </w:rPr>
        <w:br w:type="page"/>
      </w:r>
    </w:p>
    <w:p>
      <w:pPr>
        <w:pStyle w:val="583"/>
        <w:spacing w:before="240" w:after="240"/>
        <w:outlineLvl w:val="0"/>
        <w:rPr>
          <w:rFonts w:ascii="宋体" w:hAnsi="宋体" w:eastAsia="宋体"/>
          <w:b w:val="0"/>
          <w:bCs/>
          <w:color w:val="auto"/>
        </w:rPr>
      </w:pPr>
      <w:bookmarkStart w:id="235" w:name="_Toc54567587"/>
      <w:bookmarkStart w:id="236" w:name="_Toc6564"/>
      <w:bookmarkStart w:id="237" w:name="_Toc6149"/>
      <w:bookmarkStart w:id="238" w:name="_Toc13465"/>
      <w:bookmarkStart w:id="239" w:name="_Toc29924"/>
      <w:bookmarkStart w:id="240" w:name="_Toc18792"/>
      <w:bookmarkStart w:id="241" w:name="_Toc12184"/>
      <w:bookmarkStart w:id="242" w:name="_Toc16881"/>
      <w:bookmarkStart w:id="243" w:name="_Toc22403"/>
      <w:bookmarkStart w:id="244" w:name="_Toc31899"/>
      <w:bookmarkStart w:id="245" w:name="_Toc12668"/>
      <w:bookmarkStart w:id="246" w:name="_Toc5806"/>
      <w:r>
        <w:rPr>
          <w:rFonts w:hint="eastAsia"/>
          <w:b w:val="0"/>
          <w:bCs/>
          <w:color w:val="auto"/>
        </w:rPr>
        <w:t>基本规定</w:t>
      </w:r>
      <w:bookmarkEnd w:id="235"/>
      <w:bookmarkEnd w:id="236"/>
      <w:bookmarkEnd w:id="237"/>
      <w:bookmarkEnd w:id="238"/>
      <w:bookmarkEnd w:id="239"/>
      <w:bookmarkEnd w:id="240"/>
      <w:bookmarkEnd w:id="241"/>
      <w:bookmarkEnd w:id="242"/>
      <w:bookmarkEnd w:id="243"/>
      <w:bookmarkEnd w:id="244"/>
      <w:bookmarkEnd w:id="245"/>
      <w:bookmarkEnd w:id="246"/>
    </w:p>
    <w:p>
      <w:pPr>
        <w:pStyle w:val="585"/>
        <w:spacing w:before="120" w:after="120" w:line="360" w:lineRule="auto"/>
        <w:ind w:left="0"/>
        <w:outlineLvl w:val="1"/>
        <w:rPr>
          <w:rFonts w:eastAsia="黑体"/>
          <w:b w:val="0"/>
          <w:bCs/>
          <w:color w:val="auto"/>
          <w:sz w:val="24"/>
          <w:szCs w:val="24"/>
        </w:rPr>
      </w:pPr>
      <w:bookmarkStart w:id="247" w:name="_Toc8033"/>
      <w:bookmarkStart w:id="248" w:name="_Toc6549"/>
      <w:bookmarkStart w:id="249" w:name="_Toc54567588"/>
      <w:bookmarkStart w:id="250" w:name="_Toc29521"/>
      <w:bookmarkStart w:id="251" w:name="_Toc29138"/>
      <w:bookmarkStart w:id="252" w:name="_Toc4029"/>
      <w:r>
        <w:rPr>
          <w:rFonts w:ascii="Times New Roman" w:hAnsi="Times New Roman" w:eastAsia="黑体"/>
          <w:b w:val="0"/>
          <w:bCs/>
          <w:color w:val="auto"/>
          <w:sz w:val="24"/>
          <w:szCs w:val="24"/>
        </w:rPr>
        <w:t>BIM</w:t>
      </w:r>
      <w:r>
        <w:rPr>
          <w:rFonts w:hint="eastAsia" w:eastAsia="黑体"/>
          <w:b w:val="0"/>
          <w:bCs/>
          <w:color w:val="auto"/>
          <w:sz w:val="24"/>
          <w:szCs w:val="24"/>
        </w:rPr>
        <w:t>实施目标</w:t>
      </w:r>
      <w:bookmarkEnd w:id="247"/>
      <w:bookmarkEnd w:id="248"/>
      <w:bookmarkEnd w:id="249"/>
      <w:bookmarkEnd w:id="250"/>
      <w:bookmarkEnd w:id="251"/>
    </w:p>
    <w:p>
      <w:pPr>
        <w:pStyle w:val="587"/>
        <w:numPr>
          <w:ilvl w:val="2"/>
          <w:numId w:val="3"/>
        </w:numPr>
        <w:spacing w:beforeLines="50" w:afterLines="50" w:line="360" w:lineRule="auto"/>
        <w:outlineLvl w:val="3"/>
        <w:rPr>
          <w:rFonts w:ascii="Times New Roman" w:hAnsi="Times New Roman"/>
          <w:color w:val="auto"/>
          <w:szCs w:val="21"/>
        </w:rPr>
      </w:pPr>
      <w:bookmarkStart w:id="253" w:name="_Toc4973"/>
      <w:bookmarkStart w:id="254" w:name="_Toc6004"/>
      <w:r>
        <w:rPr>
          <w:rFonts w:ascii="Times New Roman" w:hAnsi="Times New Roman"/>
          <w:color w:val="auto"/>
          <w:szCs w:val="21"/>
        </w:rPr>
        <w:t>本标准将规范广东省代建项目管理局管理范围内建设工程项目的BIM应用及流程化，为各参与方提供一个BIM项目实施的标准框架与流程，并为BIM项目实施及CIM应用提供指导依据。</w:t>
      </w:r>
      <w:bookmarkEnd w:id="253"/>
      <w:bookmarkEnd w:id="254"/>
    </w:p>
    <w:p>
      <w:pPr>
        <w:pStyle w:val="587"/>
        <w:numPr>
          <w:ilvl w:val="2"/>
          <w:numId w:val="3"/>
        </w:numPr>
        <w:spacing w:beforeLines="50" w:afterLines="50" w:line="360" w:lineRule="auto"/>
        <w:outlineLvl w:val="3"/>
        <w:rPr>
          <w:rFonts w:ascii="Times New Roman" w:hAnsi="Times New Roman"/>
          <w:color w:val="auto"/>
          <w:szCs w:val="21"/>
        </w:rPr>
      </w:pPr>
      <w:bookmarkStart w:id="255" w:name="_Toc6562"/>
      <w:bookmarkStart w:id="256" w:name="_Toc6676"/>
      <w:r>
        <w:rPr>
          <w:rFonts w:ascii="Times New Roman" w:hAnsi="Times New Roman"/>
          <w:color w:val="auto"/>
          <w:szCs w:val="21"/>
        </w:rPr>
        <w:t>通过执行本标准内容，建立一套健全统一的贯穿策划与规划、勘察与设计、施工与监理、运行与维护、改造与拆除五个阶段的BIM项目流程体系，统一BIM项目各阶段的服务标准及服务成果交付细则。最终使代建局管理下的各项目参与方提高项目BIM应用水平，并推动</w:t>
      </w:r>
      <w:r>
        <w:rPr>
          <w:rFonts w:ascii="Times New Roman" w:hAnsi="Times New Roman"/>
          <w:color w:val="auto"/>
        </w:rPr>
        <w:t>广东省代建项目管理局管理范围内建设项目</w:t>
      </w:r>
      <w:r>
        <w:rPr>
          <w:rFonts w:ascii="Times New Roman" w:hAnsi="Times New Roman"/>
          <w:color w:val="auto"/>
          <w:szCs w:val="21"/>
        </w:rPr>
        <w:t>BIM及CIM的应用与发展。</w:t>
      </w:r>
      <w:bookmarkEnd w:id="255"/>
      <w:bookmarkEnd w:id="256"/>
    </w:p>
    <w:p>
      <w:pPr>
        <w:pStyle w:val="585"/>
        <w:spacing w:before="120" w:after="120" w:line="360" w:lineRule="auto"/>
        <w:ind w:left="0"/>
        <w:outlineLvl w:val="1"/>
        <w:rPr>
          <w:rFonts w:ascii="Times New Roman" w:hAnsi="Times New Roman" w:eastAsia="黑体"/>
          <w:b w:val="0"/>
          <w:bCs/>
          <w:color w:val="auto"/>
          <w:sz w:val="24"/>
          <w:szCs w:val="24"/>
        </w:rPr>
      </w:pPr>
      <w:bookmarkStart w:id="257" w:name="_Toc334"/>
      <w:bookmarkStart w:id="258" w:name="_Toc12654"/>
      <w:bookmarkStart w:id="259" w:name="_Toc18843"/>
      <w:bookmarkStart w:id="260" w:name="_Toc10912"/>
      <w:bookmarkStart w:id="261" w:name="_Toc54567589"/>
      <w:r>
        <w:rPr>
          <w:rFonts w:ascii="Times New Roman" w:hAnsi="Times New Roman" w:eastAsia="黑体"/>
          <w:b w:val="0"/>
          <w:bCs/>
          <w:color w:val="auto"/>
          <w:sz w:val="24"/>
          <w:szCs w:val="24"/>
        </w:rPr>
        <w:t>BIM实施原则</w:t>
      </w:r>
      <w:bookmarkEnd w:id="257"/>
      <w:bookmarkEnd w:id="258"/>
      <w:bookmarkEnd w:id="259"/>
      <w:bookmarkEnd w:id="260"/>
      <w:bookmarkEnd w:id="261"/>
    </w:p>
    <w:p>
      <w:pPr>
        <w:pStyle w:val="587"/>
        <w:numPr>
          <w:ilvl w:val="2"/>
          <w:numId w:val="3"/>
        </w:numPr>
        <w:spacing w:beforeLines="50" w:afterLines="50" w:line="360" w:lineRule="auto"/>
        <w:outlineLvl w:val="3"/>
        <w:rPr>
          <w:rFonts w:ascii="LNUHNF+SimSun" w:hAnsi="LNUHNF+SimSun" w:cs="宋体"/>
          <w:color w:val="auto"/>
          <w:szCs w:val="21"/>
        </w:rPr>
      </w:pPr>
      <w:bookmarkStart w:id="262" w:name="_Toc24893"/>
      <w:bookmarkStart w:id="263" w:name="_Toc20310"/>
      <w:r>
        <w:rPr>
          <w:rFonts w:ascii="LNUHNF+SimSun" w:hAnsi="LNUHNF+SimSun" w:cs="宋体"/>
          <w:color w:val="auto"/>
          <w:szCs w:val="21"/>
        </w:rPr>
        <w:t>参与方职责范围一致性原则</w:t>
      </w:r>
      <w:bookmarkEnd w:id="262"/>
      <w:bookmarkEnd w:id="263"/>
    </w:p>
    <w:p>
      <w:pPr>
        <w:spacing w:before="120" w:after="120"/>
        <w:rPr>
          <w:color w:val="auto"/>
          <w:szCs w:val="21"/>
        </w:rPr>
      </w:pPr>
      <w:r>
        <w:rPr>
          <w:color w:val="auto"/>
          <w:szCs w:val="21"/>
        </w:rPr>
        <w:t>项目BIM技术实施过程中，各参与方对BIM模型所承担的工作职责及工作范围，应与各参与方项目承包范围和承包任务一致。BIM总协调方有责任监督、协调及管理各分包单位的BIM实施质量及进度，并同时对项目范围内最终的BIM成果负责。各参与方有责任根据项目的进展及本标准的要求配合BIM总协调方开展BIM的实施工作，并根据合同范围按相关合同节点提交BIM工作成果，并确保提交的BIM工作成果的正确性及完整性。</w:t>
      </w:r>
    </w:p>
    <w:p>
      <w:pPr>
        <w:pStyle w:val="587"/>
        <w:numPr>
          <w:ilvl w:val="2"/>
          <w:numId w:val="3"/>
        </w:numPr>
        <w:spacing w:beforeLines="50" w:afterLines="50" w:line="360" w:lineRule="auto"/>
        <w:outlineLvl w:val="3"/>
        <w:rPr>
          <w:rFonts w:ascii="LNUHNF+SimSun" w:hAnsi="LNUHNF+SimSun" w:cs="宋体"/>
          <w:color w:val="auto"/>
          <w:szCs w:val="21"/>
        </w:rPr>
      </w:pPr>
      <w:bookmarkStart w:id="264" w:name="_Toc9442"/>
      <w:bookmarkStart w:id="265" w:name="_Toc6092"/>
      <w:r>
        <w:rPr>
          <w:rFonts w:ascii="LNUHNF+SimSun" w:hAnsi="LNUHNF+SimSun" w:cs="宋体"/>
          <w:color w:val="auto"/>
          <w:szCs w:val="21"/>
        </w:rPr>
        <w:t>软件版本及接口一致性原则</w:t>
      </w:r>
      <w:bookmarkEnd w:id="264"/>
      <w:bookmarkEnd w:id="265"/>
    </w:p>
    <w:p>
      <w:pPr>
        <w:spacing w:before="120" w:after="120"/>
        <w:rPr>
          <w:color w:val="auto"/>
          <w:szCs w:val="21"/>
        </w:rPr>
      </w:pPr>
      <w:r>
        <w:rPr>
          <w:color w:val="auto"/>
          <w:szCs w:val="21"/>
        </w:rPr>
        <w:t>在项目启动前，由BIM总协调方指定BIM协同平台的权限及建模软件的类型及版本，并对交付成果的文件（数据）格式做统一规定。各参与方应按规定选用项目BIM实施软件，提交统一格式的成果文件（数据）。</w:t>
      </w:r>
    </w:p>
    <w:p>
      <w:pPr>
        <w:spacing w:before="120" w:after="120"/>
        <w:rPr>
          <w:color w:val="auto"/>
          <w:szCs w:val="21"/>
        </w:rPr>
      </w:pPr>
      <w:r>
        <w:rPr>
          <w:color w:val="auto"/>
          <w:szCs w:val="21"/>
        </w:rPr>
        <w:t>项目实施过程中不同专业软件之间的传递数据接口应符合标准规定，以保证最终BIM模型数据的正确性及完整性。</w:t>
      </w:r>
    </w:p>
    <w:p>
      <w:pPr>
        <w:pStyle w:val="587"/>
        <w:numPr>
          <w:ilvl w:val="2"/>
          <w:numId w:val="3"/>
        </w:numPr>
        <w:spacing w:beforeLines="50" w:afterLines="50" w:line="360" w:lineRule="auto"/>
        <w:outlineLvl w:val="3"/>
        <w:rPr>
          <w:rFonts w:ascii="Times New Roman" w:hAnsi="Times New Roman"/>
          <w:color w:val="auto"/>
          <w:szCs w:val="21"/>
        </w:rPr>
      </w:pPr>
      <w:bookmarkStart w:id="266" w:name="_Toc27514"/>
      <w:bookmarkStart w:id="267" w:name="_Toc14582"/>
      <w:r>
        <w:rPr>
          <w:rFonts w:ascii="Times New Roman" w:hAnsi="Times New Roman"/>
          <w:color w:val="auto"/>
          <w:szCs w:val="21"/>
        </w:rPr>
        <w:t>BIM模型维护与实际同步原则</w:t>
      </w:r>
      <w:bookmarkEnd w:id="266"/>
      <w:bookmarkEnd w:id="267"/>
    </w:p>
    <w:p>
      <w:pPr>
        <w:spacing w:before="120" w:after="120"/>
        <w:rPr>
          <w:color w:val="auto"/>
          <w:szCs w:val="21"/>
        </w:rPr>
      </w:pPr>
      <w:r>
        <w:rPr>
          <w:color w:val="auto"/>
          <w:szCs w:val="21"/>
        </w:rPr>
        <w:t>项目BIM应用在实施过程中，应与项目的实施进度保持同步，且过程中的BIM模型和相关成果应及时按规定节点更新，以确保BIM模型和相关成果的一致性。</w:t>
      </w:r>
    </w:p>
    <w:p>
      <w:pPr>
        <w:pStyle w:val="587"/>
        <w:numPr>
          <w:ilvl w:val="2"/>
          <w:numId w:val="3"/>
        </w:numPr>
        <w:spacing w:beforeLines="50" w:afterLines="50" w:line="360" w:lineRule="auto"/>
        <w:outlineLvl w:val="3"/>
        <w:rPr>
          <w:rFonts w:ascii="LNUHNF+SimSun" w:hAnsi="LNUHNF+SimSun" w:cs="宋体"/>
          <w:color w:val="auto"/>
          <w:szCs w:val="21"/>
        </w:rPr>
      </w:pPr>
      <w:bookmarkStart w:id="268" w:name="_Toc9155"/>
      <w:bookmarkStart w:id="269" w:name="_Toc23307"/>
      <w:r>
        <w:rPr>
          <w:rFonts w:ascii="LNUHNF+SimSun" w:hAnsi="LNUHNF+SimSun" w:cs="宋体"/>
          <w:color w:val="auto"/>
          <w:szCs w:val="21"/>
        </w:rPr>
        <w:t>标准可持续更新原则</w:t>
      </w:r>
      <w:bookmarkEnd w:id="268"/>
      <w:bookmarkEnd w:id="269"/>
    </w:p>
    <w:p>
      <w:pPr>
        <w:spacing w:before="120" w:after="120"/>
        <w:rPr>
          <w:color w:val="auto"/>
          <w:szCs w:val="21"/>
        </w:rPr>
      </w:pPr>
      <w:r>
        <w:rPr>
          <w:color w:val="auto"/>
          <w:szCs w:val="21"/>
        </w:rPr>
        <w:t>为保证《标准》在项目中的贯彻实施，本《标准》将随着BIM技术的发展及根据实施过程中的反馈意见进行持续性更新。</w:t>
      </w:r>
    </w:p>
    <w:p>
      <w:pPr>
        <w:pStyle w:val="585"/>
        <w:spacing w:before="120" w:after="120" w:line="360" w:lineRule="auto"/>
        <w:ind w:left="0"/>
        <w:outlineLvl w:val="1"/>
        <w:rPr>
          <w:rFonts w:ascii="Times New Roman" w:hAnsi="Times New Roman" w:eastAsia="黑体"/>
          <w:b w:val="0"/>
          <w:bCs/>
          <w:color w:val="auto"/>
          <w:sz w:val="24"/>
          <w:szCs w:val="24"/>
        </w:rPr>
      </w:pPr>
      <w:bookmarkStart w:id="270" w:name="_Toc6777"/>
      <w:bookmarkStart w:id="271" w:name="_Toc54567590"/>
      <w:bookmarkStart w:id="272" w:name="_Toc13786"/>
      <w:bookmarkStart w:id="273" w:name="_Toc32432"/>
      <w:bookmarkStart w:id="274" w:name="_Toc11133"/>
      <w:r>
        <w:rPr>
          <w:rFonts w:ascii="Times New Roman" w:hAnsi="Times New Roman" w:eastAsia="黑体"/>
          <w:b w:val="0"/>
          <w:bCs/>
          <w:color w:val="auto"/>
          <w:sz w:val="24"/>
          <w:szCs w:val="24"/>
        </w:rPr>
        <w:t>BIM实施要求</w:t>
      </w:r>
      <w:bookmarkEnd w:id="270"/>
      <w:bookmarkEnd w:id="271"/>
      <w:bookmarkEnd w:id="272"/>
      <w:bookmarkEnd w:id="273"/>
      <w:bookmarkEnd w:id="274"/>
    </w:p>
    <w:p>
      <w:pPr>
        <w:pStyle w:val="587"/>
        <w:numPr>
          <w:ilvl w:val="2"/>
          <w:numId w:val="3"/>
        </w:numPr>
        <w:spacing w:beforeLines="50" w:afterLines="50" w:line="360" w:lineRule="auto"/>
        <w:outlineLvl w:val="3"/>
        <w:rPr>
          <w:rFonts w:ascii="LNUHNF+SimSun" w:hAnsi="LNUHNF+SimSun" w:cs="宋体"/>
          <w:color w:val="auto"/>
          <w:szCs w:val="21"/>
        </w:rPr>
      </w:pPr>
      <w:bookmarkStart w:id="275" w:name="_Toc10910"/>
      <w:bookmarkStart w:id="276" w:name="_Toc2047"/>
      <w:r>
        <w:rPr>
          <w:rFonts w:ascii="LNUHNF+SimSun" w:hAnsi="LNUHNF+SimSun" w:cs="宋体"/>
          <w:color w:val="auto"/>
          <w:szCs w:val="21"/>
        </w:rPr>
        <w:t>在项目BIM应用实施前，应对BIM协同平台及建模软件的性能进行充分分析和验证，避免因无效性工作造成的损失。</w:t>
      </w:r>
      <w:bookmarkEnd w:id="275"/>
      <w:bookmarkEnd w:id="276"/>
    </w:p>
    <w:p>
      <w:pPr>
        <w:pStyle w:val="587"/>
        <w:numPr>
          <w:ilvl w:val="2"/>
          <w:numId w:val="3"/>
        </w:numPr>
        <w:spacing w:beforeLines="50" w:afterLines="50" w:line="360" w:lineRule="auto"/>
        <w:outlineLvl w:val="3"/>
        <w:rPr>
          <w:rFonts w:ascii="LNUHNF+SimSun" w:hAnsi="LNUHNF+SimSun" w:cs="宋体"/>
          <w:color w:val="auto"/>
          <w:szCs w:val="21"/>
        </w:rPr>
      </w:pPr>
      <w:bookmarkStart w:id="277" w:name="_Toc1191"/>
      <w:bookmarkStart w:id="278" w:name="_Toc31083"/>
      <w:r>
        <w:rPr>
          <w:rFonts w:ascii="LNUHNF+SimSun" w:hAnsi="LNUHNF+SimSun" w:cs="宋体"/>
          <w:color w:val="auto"/>
          <w:szCs w:val="21"/>
        </w:rPr>
        <w:t>在项目各阶段BIM实施过程中，创建的BIM模型应充分考虑到BIM模型在工程全生命周期各阶段、各专业的应用。</w:t>
      </w:r>
      <w:bookmarkEnd w:id="277"/>
      <w:bookmarkEnd w:id="278"/>
    </w:p>
    <w:p>
      <w:pPr>
        <w:pStyle w:val="587"/>
        <w:numPr>
          <w:ilvl w:val="2"/>
          <w:numId w:val="3"/>
        </w:numPr>
        <w:spacing w:beforeLines="50" w:afterLines="50" w:line="360" w:lineRule="auto"/>
        <w:outlineLvl w:val="3"/>
        <w:rPr>
          <w:rFonts w:ascii="LNUHNF+SimSun" w:hAnsi="LNUHNF+SimSun" w:cs="宋体"/>
          <w:color w:val="auto"/>
          <w:szCs w:val="21"/>
        </w:rPr>
      </w:pPr>
      <w:bookmarkStart w:id="279" w:name="_Toc32478"/>
      <w:bookmarkStart w:id="280" w:name="_Toc24897"/>
      <w:r>
        <w:rPr>
          <w:rFonts w:ascii="LNUHNF+SimSun" w:hAnsi="LNUHNF+SimSun" w:cs="宋体"/>
          <w:color w:val="auto"/>
          <w:szCs w:val="21"/>
        </w:rPr>
        <w:t>在各阶段BIM实施过程中，应充分利用BIM模型所含的信息进行协同工作，实现各阶段信息的有效传递。</w:t>
      </w:r>
      <w:bookmarkEnd w:id="279"/>
      <w:bookmarkEnd w:id="280"/>
    </w:p>
    <w:p>
      <w:pPr>
        <w:spacing w:before="120" w:after="120" w:line="338" w:lineRule="auto"/>
        <w:rPr>
          <w:color w:val="auto"/>
        </w:rPr>
        <w:sectPr>
          <w:pgSz w:w="11910" w:h="16840"/>
          <w:pgMar w:top="1140" w:right="1000" w:bottom="1160" w:left="1020" w:header="0" w:footer="973" w:gutter="0"/>
          <w:cols w:space="720" w:num="1"/>
        </w:sectPr>
      </w:pPr>
    </w:p>
    <w:p>
      <w:pPr>
        <w:pStyle w:val="583"/>
        <w:spacing w:before="240" w:after="240"/>
        <w:outlineLvl w:val="0"/>
        <w:rPr>
          <w:b w:val="0"/>
          <w:bCs/>
          <w:color w:val="auto"/>
        </w:rPr>
      </w:pPr>
      <w:bookmarkStart w:id="281" w:name="_bookmark3"/>
      <w:bookmarkEnd w:id="281"/>
      <w:bookmarkStart w:id="282" w:name="_bookmark4"/>
      <w:bookmarkEnd w:id="282"/>
      <w:bookmarkStart w:id="283" w:name="_bookmark2"/>
      <w:bookmarkEnd w:id="283"/>
      <w:bookmarkStart w:id="284" w:name="_Toc15306"/>
      <w:bookmarkStart w:id="285" w:name="_Toc2645"/>
      <w:bookmarkStart w:id="286" w:name="_Toc54567591"/>
      <w:bookmarkStart w:id="287" w:name="_Toc16066"/>
      <w:bookmarkStart w:id="288" w:name="_Toc27998"/>
      <w:r>
        <w:rPr>
          <w:b w:val="0"/>
          <w:bCs/>
          <w:color w:val="auto"/>
        </w:rPr>
        <w:t>管理组织规定</w:t>
      </w:r>
      <w:bookmarkEnd w:id="284"/>
      <w:bookmarkEnd w:id="285"/>
      <w:bookmarkEnd w:id="286"/>
      <w:bookmarkEnd w:id="287"/>
      <w:bookmarkEnd w:id="288"/>
    </w:p>
    <w:p>
      <w:pPr>
        <w:pStyle w:val="585"/>
        <w:spacing w:before="120" w:after="120" w:line="360" w:lineRule="auto"/>
        <w:ind w:left="0"/>
        <w:outlineLvl w:val="1"/>
        <w:rPr>
          <w:rFonts w:ascii="Times New Roman" w:hAnsi="Times New Roman" w:eastAsia="黑体"/>
          <w:b w:val="0"/>
          <w:bCs/>
          <w:color w:val="auto"/>
          <w:sz w:val="24"/>
          <w:szCs w:val="24"/>
        </w:rPr>
      </w:pPr>
      <w:bookmarkStart w:id="289" w:name="_Toc30979"/>
      <w:bookmarkStart w:id="290" w:name="_Toc29188"/>
      <w:bookmarkStart w:id="291" w:name="_Toc22960"/>
      <w:bookmarkStart w:id="292" w:name="_Toc26512"/>
      <w:bookmarkStart w:id="293" w:name="_Toc54567592"/>
      <w:r>
        <w:rPr>
          <w:rFonts w:ascii="Times New Roman" w:hAnsi="Times New Roman" w:eastAsia="黑体"/>
          <w:b w:val="0"/>
          <w:bCs/>
          <w:color w:val="auto"/>
          <w:sz w:val="24"/>
          <w:szCs w:val="24"/>
        </w:rPr>
        <w:t>BIM管理组织架构</w:t>
      </w:r>
      <w:bookmarkEnd w:id="289"/>
      <w:bookmarkEnd w:id="290"/>
      <w:bookmarkEnd w:id="291"/>
      <w:bookmarkEnd w:id="292"/>
      <w:bookmarkEnd w:id="293"/>
    </w:p>
    <w:p>
      <w:pPr>
        <w:pStyle w:val="587"/>
        <w:numPr>
          <w:ilvl w:val="2"/>
          <w:numId w:val="3"/>
        </w:numPr>
        <w:spacing w:beforeLines="50" w:afterLines="50" w:line="360" w:lineRule="auto"/>
        <w:outlineLvl w:val="3"/>
        <w:rPr>
          <w:rFonts w:ascii="LNUHNF+SimSun" w:hAnsi="LNUHNF+SimSun" w:cs="宋体"/>
          <w:color w:val="auto"/>
          <w:szCs w:val="21"/>
        </w:rPr>
      </w:pPr>
      <w:bookmarkStart w:id="294" w:name="_Toc17371"/>
      <w:bookmarkStart w:id="295" w:name="_Toc1739"/>
      <w:r>
        <w:rPr>
          <w:rFonts w:ascii="LNUHNF+SimSun" w:hAnsi="LNUHNF+SimSun" w:cs="宋体"/>
          <w:color w:val="auto"/>
          <w:szCs w:val="21"/>
        </w:rPr>
        <w:t>代建局项目BIM管理模式</w:t>
      </w:r>
      <w:bookmarkEnd w:id="294"/>
      <w:bookmarkEnd w:id="295"/>
    </w:p>
    <w:p>
      <w:pPr>
        <w:spacing w:before="120" w:after="120"/>
        <w:ind w:firstLine="472"/>
        <w:rPr>
          <w:color w:val="auto"/>
        </w:rPr>
      </w:pPr>
      <w:r>
        <w:rPr>
          <w:rFonts w:hint="eastAsia" w:cs="宋体"/>
          <w:color w:val="auto"/>
          <w:spacing w:val="-2"/>
        </w:rPr>
        <w:t>代建局项目</w:t>
      </w:r>
      <w:r>
        <w:rPr>
          <w:rFonts w:eastAsia="Times New Roman"/>
          <w:color w:val="auto"/>
          <w:spacing w:val="-2"/>
        </w:rPr>
        <w:t>BIM</w:t>
      </w:r>
      <w:r>
        <w:rPr>
          <w:rFonts w:hint="eastAsia" w:cs="宋体"/>
          <w:color w:val="auto"/>
          <w:spacing w:val="-2"/>
        </w:rPr>
        <w:t>管理实行</w:t>
      </w:r>
      <w:r>
        <w:rPr>
          <w:rFonts w:eastAsia="Times New Roman"/>
          <w:color w:val="auto"/>
          <w:spacing w:val="-2"/>
        </w:rPr>
        <w:t>BIM</w:t>
      </w:r>
      <w:r>
        <w:rPr>
          <w:color w:val="auto"/>
        </w:rPr>
        <w:t>总协调方</w:t>
      </w:r>
      <w:r>
        <w:rPr>
          <w:rFonts w:hint="eastAsia"/>
          <w:color w:val="auto"/>
        </w:rPr>
        <w:t>负责管理模式</w:t>
      </w:r>
      <w:r>
        <w:rPr>
          <w:color w:val="auto"/>
        </w:rPr>
        <w:t>。</w:t>
      </w:r>
      <w:r>
        <w:rPr>
          <w:rFonts w:eastAsia="Times New Roman"/>
          <w:color w:val="auto"/>
        </w:rPr>
        <w:t>BIM</w:t>
      </w:r>
      <w:r>
        <w:rPr>
          <w:color w:val="auto"/>
        </w:rPr>
        <w:t>总协调方在项目全过程中统筹</w:t>
      </w:r>
      <w:r>
        <w:rPr>
          <w:rFonts w:eastAsia="Times New Roman"/>
          <w:color w:val="auto"/>
          <w:spacing w:val="-2"/>
        </w:rPr>
        <w:t>BIM</w:t>
      </w:r>
      <w:r>
        <w:rPr>
          <w:color w:val="auto"/>
        </w:rPr>
        <w:t>的管理，制定统一的</w:t>
      </w:r>
      <w:r>
        <w:rPr>
          <w:rFonts w:eastAsia="Times New Roman"/>
          <w:color w:val="auto"/>
          <w:spacing w:val="-2"/>
        </w:rPr>
        <w:t>BIM</w:t>
      </w:r>
      <w:r>
        <w:rPr>
          <w:color w:val="auto"/>
          <w:spacing w:val="-7"/>
        </w:rPr>
        <w:t>技术标准，编制各阶段</w:t>
      </w:r>
      <w:r>
        <w:rPr>
          <w:rFonts w:eastAsia="Times New Roman"/>
          <w:color w:val="auto"/>
          <w:spacing w:val="-2"/>
        </w:rPr>
        <w:t>BIM</w:t>
      </w:r>
      <w:r>
        <w:rPr>
          <w:color w:val="auto"/>
          <w:spacing w:val="-4"/>
        </w:rPr>
        <w:t>实施计划，组织协调各参与单位的</w:t>
      </w:r>
      <w:r>
        <w:rPr>
          <w:rFonts w:eastAsia="Times New Roman"/>
          <w:color w:val="auto"/>
          <w:spacing w:val="-2"/>
        </w:rPr>
        <w:t>BIM</w:t>
      </w:r>
      <w:r>
        <w:rPr>
          <w:color w:val="auto"/>
        </w:rPr>
        <w:t>实施规则，审核汇总各参与方提交的</w:t>
      </w:r>
      <w:r>
        <w:rPr>
          <w:rFonts w:eastAsia="Times New Roman"/>
          <w:color w:val="auto"/>
          <w:spacing w:val="-2"/>
        </w:rPr>
        <w:t>BIM</w:t>
      </w:r>
      <w:r>
        <w:rPr>
          <w:color w:val="auto"/>
        </w:rPr>
        <w:t>成果，对项目的</w:t>
      </w:r>
      <w:r>
        <w:rPr>
          <w:rFonts w:eastAsia="Times New Roman"/>
          <w:color w:val="auto"/>
          <w:spacing w:val="-2"/>
        </w:rPr>
        <w:t>BIM</w:t>
      </w:r>
      <w:r>
        <w:rPr>
          <w:color w:val="auto"/>
        </w:rPr>
        <w:t>工作进行整体规划、监督、指导。</w:t>
      </w:r>
    </w:p>
    <w:p>
      <w:pPr>
        <w:spacing w:before="120" w:after="120"/>
        <w:rPr>
          <w:color w:val="auto"/>
        </w:rPr>
      </w:pPr>
      <w:r>
        <w:rPr>
          <w:rFonts w:hint="eastAsia"/>
          <w:color w:val="auto"/>
        </w:rPr>
        <w:t>B</w:t>
      </w:r>
      <w:r>
        <w:rPr>
          <w:color w:val="auto"/>
        </w:rPr>
        <w:t>IM</w:t>
      </w:r>
      <w:r>
        <w:rPr>
          <w:rFonts w:hint="eastAsia"/>
          <w:color w:val="auto"/>
        </w:rPr>
        <w:t>总协调方可由代建局项目管理团队兼任，也可委托专业B</w:t>
      </w:r>
      <w:r>
        <w:rPr>
          <w:color w:val="auto"/>
        </w:rPr>
        <w:t>IM</w:t>
      </w:r>
      <w:r>
        <w:rPr>
          <w:rFonts w:hint="eastAsia"/>
          <w:color w:val="auto"/>
        </w:rPr>
        <w:t>咨询机构担任。原则上B</w:t>
      </w:r>
      <w:r>
        <w:rPr>
          <w:color w:val="auto"/>
        </w:rPr>
        <w:t>IM</w:t>
      </w:r>
      <w:r>
        <w:rPr>
          <w:rFonts w:hint="eastAsia"/>
          <w:color w:val="auto"/>
        </w:rPr>
        <w:t>总协调方不宜由项目设计B</w:t>
      </w:r>
      <w:r>
        <w:rPr>
          <w:color w:val="auto"/>
        </w:rPr>
        <w:t>IM</w:t>
      </w:r>
      <w:r>
        <w:rPr>
          <w:rFonts w:hint="eastAsia"/>
          <w:color w:val="auto"/>
        </w:rPr>
        <w:t>团队或施工B</w:t>
      </w:r>
      <w:r>
        <w:rPr>
          <w:color w:val="auto"/>
        </w:rPr>
        <w:t>IM</w:t>
      </w:r>
      <w:r>
        <w:rPr>
          <w:rFonts w:hint="eastAsia"/>
          <w:color w:val="auto"/>
        </w:rPr>
        <w:t>团队兼任。</w:t>
      </w:r>
    </w:p>
    <w:p>
      <w:pPr>
        <w:pStyle w:val="587"/>
        <w:numPr>
          <w:ilvl w:val="2"/>
          <w:numId w:val="3"/>
        </w:numPr>
        <w:spacing w:beforeLines="50" w:afterLines="50" w:line="360" w:lineRule="auto"/>
        <w:outlineLvl w:val="3"/>
        <w:rPr>
          <w:rFonts w:ascii="LNUHNF+SimSun" w:hAnsi="LNUHNF+SimSun" w:cs="宋体"/>
          <w:color w:val="auto"/>
          <w:szCs w:val="21"/>
        </w:rPr>
      </w:pPr>
      <w:bookmarkStart w:id="296" w:name="_Toc7335"/>
      <w:bookmarkStart w:id="297" w:name="_Toc24244"/>
      <w:r>
        <w:rPr>
          <w:rFonts w:ascii="LNUHNF+SimSun" w:hAnsi="LNUHNF+SimSun" w:cs="宋体"/>
          <w:color w:val="auto"/>
          <w:szCs w:val="21"/>
        </w:rPr>
        <w:t>代建局项目BIM管理组织架构</w:t>
      </w:r>
      <w:bookmarkEnd w:id="296"/>
      <w:bookmarkEnd w:id="297"/>
    </w:p>
    <w:p>
      <w:pPr>
        <w:spacing w:before="120" w:after="120"/>
        <w:rPr>
          <w:color w:val="auto"/>
        </w:rPr>
      </w:pPr>
      <w:r>
        <w:rPr>
          <w:color w:val="auto"/>
        </w:rPr>
        <w:t>代建局</w:t>
      </w:r>
      <w:r>
        <w:rPr>
          <w:rFonts w:eastAsia="Times New Roman"/>
          <w:color w:val="auto"/>
          <w:spacing w:val="-2"/>
        </w:rPr>
        <w:t>BIM</w:t>
      </w:r>
      <w:r>
        <w:rPr>
          <w:color w:val="auto"/>
        </w:rPr>
        <w:t>总协调</w:t>
      </w:r>
      <w:r>
        <w:rPr>
          <w:color w:val="auto"/>
          <w:szCs w:val="21"/>
        </w:rPr>
        <w:t>管理模式</w:t>
      </w:r>
      <w:r>
        <w:rPr>
          <w:color w:val="auto"/>
        </w:rPr>
        <w:t>的组织架构详见《附件：BIM实施导则》中附图</w:t>
      </w:r>
      <w:r>
        <w:rPr>
          <w:rFonts w:eastAsia="Times New Roman"/>
          <w:color w:val="auto"/>
        </w:rPr>
        <w:t>1</w:t>
      </w:r>
      <w:r>
        <w:rPr>
          <w:color w:val="auto"/>
        </w:rPr>
        <w:t>。</w:t>
      </w:r>
    </w:p>
    <w:p>
      <w:pPr>
        <w:pStyle w:val="585"/>
        <w:spacing w:before="120" w:after="120" w:line="360" w:lineRule="auto"/>
        <w:ind w:left="0"/>
        <w:outlineLvl w:val="1"/>
        <w:rPr>
          <w:rFonts w:ascii="Times New Roman" w:hAnsi="Times New Roman" w:eastAsia="黑体"/>
          <w:b w:val="0"/>
          <w:bCs/>
          <w:color w:val="auto"/>
          <w:sz w:val="24"/>
          <w:szCs w:val="24"/>
        </w:rPr>
      </w:pPr>
      <w:bookmarkStart w:id="298" w:name="_Toc17962"/>
      <w:bookmarkStart w:id="299" w:name="_Toc54567593"/>
      <w:bookmarkStart w:id="300" w:name="_Toc9085"/>
      <w:bookmarkStart w:id="301" w:name="_Toc1522"/>
      <w:bookmarkStart w:id="302" w:name="_Toc30589"/>
      <w:r>
        <w:rPr>
          <w:rFonts w:ascii="Times New Roman" w:hAnsi="Times New Roman" w:eastAsia="黑体"/>
          <w:b w:val="0"/>
          <w:bCs/>
          <w:color w:val="auto"/>
          <w:sz w:val="24"/>
          <w:szCs w:val="24"/>
        </w:rPr>
        <w:t>BIM项目管理流程</w:t>
      </w:r>
      <w:bookmarkEnd w:id="298"/>
      <w:bookmarkEnd w:id="299"/>
      <w:bookmarkEnd w:id="300"/>
      <w:bookmarkEnd w:id="301"/>
      <w:bookmarkEnd w:id="302"/>
    </w:p>
    <w:p>
      <w:pPr>
        <w:pStyle w:val="587"/>
        <w:numPr>
          <w:ilvl w:val="2"/>
          <w:numId w:val="3"/>
        </w:numPr>
        <w:spacing w:beforeLines="50" w:afterLines="50" w:line="360" w:lineRule="auto"/>
        <w:outlineLvl w:val="3"/>
        <w:rPr>
          <w:rFonts w:ascii="Times New Roman" w:hAnsi="Times New Roman"/>
          <w:color w:val="auto"/>
        </w:rPr>
      </w:pPr>
      <w:bookmarkStart w:id="303" w:name="_Toc30187"/>
      <w:bookmarkStart w:id="304" w:name="_Toc470"/>
      <w:r>
        <w:rPr>
          <w:rFonts w:ascii="Times New Roman" w:hAnsi="Times New Roman"/>
          <w:color w:val="auto"/>
        </w:rPr>
        <w:t>代建局</w:t>
      </w:r>
      <w:r>
        <w:rPr>
          <w:rFonts w:ascii="Times New Roman" w:hAnsi="Times New Roman"/>
          <w:color w:val="auto"/>
          <w:szCs w:val="21"/>
        </w:rPr>
        <w:t>项目</w:t>
      </w:r>
      <w:r>
        <w:rPr>
          <w:rFonts w:ascii="Times New Roman" w:hAnsi="Times New Roman" w:eastAsia="Times New Roman"/>
          <w:color w:val="auto"/>
          <w:spacing w:val="-2"/>
        </w:rPr>
        <w:t>BIM</w:t>
      </w:r>
      <w:r>
        <w:rPr>
          <w:rFonts w:ascii="Times New Roman" w:hAnsi="Times New Roman"/>
          <w:color w:val="auto"/>
        </w:rPr>
        <w:t>管理实施策划工作，应依照《附件：BIM实施导则》中附图</w:t>
      </w:r>
      <w:r>
        <w:rPr>
          <w:rFonts w:ascii="Times New Roman" w:hAnsi="Times New Roman" w:eastAsia="Times New Roman"/>
          <w:color w:val="auto"/>
        </w:rPr>
        <w:t>2</w:t>
      </w:r>
      <w:r>
        <w:rPr>
          <w:rFonts w:ascii="Times New Roman" w:hAnsi="Times New Roman"/>
          <w:color w:val="auto"/>
        </w:rPr>
        <w:t>的流程，并依照对应标准执行。</w:t>
      </w:r>
      <w:bookmarkEnd w:id="303"/>
      <w:bookmarkEnd w:id="304"/>
    </w:p>
    <w:p>
      <w:pPr>
        <w:pStyle w:val="585"/>
        <w:spacing w:before="120" w:after="120" w:line="360" w:lineRule="auto"/>
        <w:ind w:left="0"/>
        <w:outlineLvl w:val="1"/>
        <w:rPr>
          <w:rFonts w:ascii="Times New Roman" w:hAnsi="Times New Roman" w:eastAsia="黑体"/>
          <w:b w:val="0"/>
          <w:bCs/>
          <w:color w:val="auto"/>
          <w:sz w:val="24"/>
          <w:szCs w:val="24"/>
        </w:rPr>
      </w:pPr>
      <w:bookmarkStart w:id="305" w:name="_Toc23196"/>
      <w:bookmarkStart w:id="306" w:name="_Toc54567594"/>
      <w:bookmarkStart w:id="307" w:name="_Toc30303"/>
      <w:bookmarkStart w:id="308" w:name="_Toc8865"/>
      <w:bookmarkStart w:id="309" w:name="_Toc24902"/>
      <w:r>
        <w:rPr>
          <w:rFonts w:ascii="Times New Roman" w:hAnsi="Times New Roman" w:eastAsia="黑体"/>
          <w:b w:val="0"/>
          <w:bCs/>
          <w:color w:val="auto"/>
          <w:sz w:val="24"/>
          <w:szCs w:val="24"/>
        </w:rPr>
        <w:t>BIM项目管理主要工作内容</w:t>
      </w:r>
      <w:bookmarkEnd w:id="305"/>
      <w:bookmarkEnd w:id="306"/>
      <w:bookmarkEnd w:id="307"/>
      <w:bookmarkEnd w:id="308"/>
      <w:bookmarkEnd w:id="309"/>
    </w:p>
    <w:p>
      <w:pPr>
        <w:pStyle w:val="587"/>
        <w:numPr>
          <w:ilvl w:val="2"/>
          <w:numId w:val="3"/>
        </w:numPr>
        <w:spacing w:beforeLines="50" w:afterLines="50" w:line="360" w:lineRule="auto"/>
        <w:outlineLvl w:val="3"/>
        <w:rPr>
          <w:rFonts w:ascii="LNUHNF+SimSun" w:hAnsi="LNUHNF+SimSun" w:cs="宋体"/>
          <w:color w:val="auto"/>
          <w:szCs w:val="21"/>
        </w:rPr>
      </w:pPr>
      <w:bookmarkStart w:id="310" w:name="_Toc18189"/>
      <w:bookmarkStart w:id="311" w:name="_Toc28916"/>
      <w:r>
        <w:rPr>
          <w:rFonts w:ascii="LNUHNF+SimSun" w:hAnsi="LNUHNF+SimSun" w:cs="宋体"/>
          <w:color w:val="auto"/>
          <w:szCs w:val="21"/>
        </w:rPr>
        <w:t>BIM项目实施可行性研究</w:t>
      </w:r>
      <w:bookmarkEnd w:id="310"/>
      <w:bookmarkEnd w:id="311"/>
    </w:p>
    <w:p>
      <w:pPr>
        <w:spacing w:before="120" w:after="120"/>
        <w:rPr>
          <w:color w:val="auto"/>
        </w:rPr>
      </w:pPr>
      <w:r>
        <w:rPr>
          <w:color w:val="auto"/>
        </w:rPr>
        <w:t>由代建局</w:t>
      </w:r>
      <w:r>
        <w:rPr>
          <w:rFonts w:hint="eastAsia"/>
          <w:color w:val="auto"/>
        </w:rPr>
        <w:t>前期工作部</w:t>
      </w:r>
      <w:r>
        <w:rPr>
          <w:color w:val="auto"/>
        </w:rPr>
        <w:t>进行</w:t>
      </w:r>
      <w:r>
        <w:rPr>
          <w:rFonts w:eastAsia="Times New Roman"/>
          <w:color w:val="auto"/>
          <w:spacing w:val="-2"/>
        </w:rPr>
        <w:t>BIM</w:t>
      </w:r>
      <w:r>
        <w:rPr>
          <w:color w:val="auto"/>
        </w:rPr>
        <w:t>需求调研及咨询，根据代建局项目的类别、规模及特点，对项目实施</w:t>
      </w:r>
      <w:r>
        <w:rPr>
          <w:rFonts w:eastAsia="Times New Roman"/>
          <w:color w:val="auto"/>
          <w:spacing w:val="-2"/>
        </w:rPr>
        <w:t>BIM</w:t>
      </w:r>
      <w:r>
        <w:rPr>
          <w:color w:val="auto"/>
        </w:rPr>
        <w:t>技术进行可行性分析，确定</w:t>
      </w:r>
      <w:r>
        <w:rPr>
          <w:rFonts w:eastAsia="Times New Roman"/>
          <w:color w:val="auto"/>
          <w:spacing w:val="-2"/>
        </w:rPr>
        <w:t>BIM</w:t>
      </w:r>
      <w:r>
        <w:rPr>
          <w:color w:val="auto"/>
          <w:spacing w:val="2"/>
        </w:rPr>
        <w:t>技术使用的方向、应用点、费用投入等内</w:t>
      </w:r>
      <w:r>
        <w:rPr>
          <w:color w:val="auto"/>
        </w:rPr>
        <w:t>容，审批通过后实施。</w:t>
      </w:r>
    </w:p>
    <w:p>
      <w:pPr>
        <w:pStyle w:val="587"/>
        <w:numPr>
          <w:ilvl w:val="2"/>
          <w:numId w:val="3"/>
        </w:numPr>
        <w:spacing w:beforeLines="50" w:afterLines="50" w:line="360" w:lineRule="auto"/>
        <w:outlineLvl w:val="3"/>
        <w:rPr>
          <w:rFonts w:ascii="LNUHNF+SimSun" w:hAnsi="LNUHNF+SimSun" w:cs="宋体"/>
          <w:color w:val="auto"/>
          <w:szCs w:val="21"/>
        </w:rPr>
      </w:pPr>
      <w:bookmarkStart w:id="312" w:name="_Toc31645"/>
      <w:bookmarkStart w:id="313" w:name="_Toc26335"/>
      <w:r>
        <w:rPr>
          <w:rFonts w:ascii="LNUHNF+SimSun" w:hAnsi="LNUHNF+SimSun" w:cs="宋体"/>
          <w:color w:val="auto"/>
          <w:szCs w:val="21"/>
        </w:rPr>
        <w:t>提出BIM实施目标</w:t>
      </w:r>
      <w:bookmarkEnd w:id="312"/>
      <w:bookmarkEnd w:id="313"/>
    </w:p>
    <w:p>
      <w:pPr>
        <w:spacing w:before="120" w:after="120"/>
        <w:rPr>
          <w:color w:val="auto"/>
        </w:rPr>
      </w:pPr>
      <w:r>
        <w:rPr>
          <w:color w:val="auto"/>
        </w:rPr>
        <w:t>根据</w:t>
      </w:r>
      <w:r>
        <w:rPr>
          <w:rFonts w:hint="eastAsia"/>
          <w:color w:val="auto"/>
        </w:rPr>
        <w:t>代建局</w:t>
      </w:r>
      <w:r>
        <w:rPr>
          <w:rFonts w:eastAsia="Times New Roman"/>
          <w:color w:val="auto"/>
          <w:spacing w:val="-2"/>
        </w:rPr>
        <w:t>BIM</w:t>
      </w:r>
      <w:r>
        <w:rPr>
          <w:color w:val="auto"/>
        </w:rPr>
        <w:t>发展的要求及</w:t>
      </w:r>
      <w:r>
        <w:rPr>
          <w:rFonts w:eastAsia="Times New Roman"/>
          <w:color w:val="auto"/>
          <w:spacing w:val="-2"/>
        </w:rPr>
        <w:t>BIM</w:t>
      </w:r>
      <w:r>
        <w:rPr>
          <w:color w:val="auto"/>
        </w:rPr>
        <w:t>项目管理的经验，</w:t>
      </w:r>
      <w:r>
        <w:rPr>
          <w:rFonts w:hint="eastAsia"/>
          <w:color w:val="auto"/>
        </w:rPr>
        <w:t>前期工作部应</w:t>
      </w:r>
      <w:r>
        <w:rPr>
          <w:color w:val="auto"/>
        </w:rPr>
        <w:t>确定新建项目</w:t>
      </w:r>
      <w:r>
        <w:rPr>
          <w:rFonts w:eastAsia="Times New Roman"/>
          <w:color w:val="auto"/>
          <w:spacing w:val="-2"/>
        </w:rPr>
        <w:t>BIM</w:t>
      </w:r>
      <w:r>
        <w:rPr>
          <w:color w:val="auto"/>
        </w:rPr>
        <w:t>实施的重点研究目标，在项目</w:t>
      </w:r>
      <w:r>
        <w:rPr>
          <w:color w:val="auto"/>
          <w:szCs w:val="21"/>
        </w:rPr>
        <w:t>实际</w:t>
      </w:r>
      <w:r>
        <w:rPr>
          <w:color w:val="auto"/>
        </w:rPr>
        <w:t>操作中摸索</w:t>
      </w:r>
      <w:r>
        <w:rPr>
          <w:rFonts w:eastAsia="Times New Roman"/>
          <w:color w:val="auto"/>
          <w:spacing w:val="-2"/>
        </w:rPr>
        <w:t>BIM</w:t>
      </w:r>
      <w:r>
        <w:rPr>
          <w:color w:val="auto"/>
        </w:rPr>
        <w:t>项目管理方法，逐步打通策划、设计、施工、运维全生命周期传递性的环节。</w:t>
      </w:r>
    </w:p>
    <w:p>
      <w:pPr>
        <w:pStyle w:val="587"/>
        <w:numPr>
          <w:ilvl w:val="2"/>
          <w:numId w:val="3"/>
        </w:numPr>
        <w:spacing w:beforeLines="50" w:afterLines="50" w:line="360" w:lineRule="auto"/>
        <w:outlineLvl w:val="3"/>
        <w:rPr>
          <w:rFonts w:ascii="LNUHNF+SimSun" w:hAnsi="LNUHNF+SimSun" w:cs="宋体"/>
          <w:color w:val="auto"/>
          <w:szCs w:val="21"/>
        </w:rPr>
      </w:pPr>
      <w:bookmarkStart w:id="314" w:name="_Toc15272"/>
      <w:bookmarkStart w:id="315" w:name="_Toc25016"/>
      <w:r>
        <w:rPr>
          <w:rFonts w:ascii="LNUHNF+SimSun" w:hAnsi="LNUHNF+SimSun" w:cs="宋体"/>
          <w:color w:val="auto"/>
          <w:szCs w:val="21"/>
        </w:rPr>
        <w:t>确定项目BIM总协调方</w:t>
      </w:r>
      <w:bookmarkEnd w:id="314"/>
      <w:bookmarkEnd w:id="315"/>
    </w:p>
    <w:p>
      <w:pPr>
        <w:spacing w:before="120" w:after="120"/>
        <w:rPr>
          <w:color w:val="auto"/>
        </w:rPr>
      </w:pPr>
      <w:r>
        <w:rPr>
          <w:color w:val="auto"/>
        </w:rPr>
        <w:t>根据项目的BIM实施目标和深度、项目特点、各参与方的管理水平等因素，</w:t>
      </w:r>
      <w:r>
        <w:rPr>
          <w:rFonts w:hint="eastAsia"/>
          <w:color w:val="auto"/>
        </w:rPr>
        <w:t>前期工作部应</w:t>
      </w:r>
      <w:r>
        <w:rPr>
          <w:color w:val="auto"/>
        </w:rPr>
        <w:t>确定项目BIM总协调方。项目BIM总协调方的能力</w:t>
      </w:r>
      <w:r>
        <w:rPr>
          <w:color w:val="auto"/>
          <w:szCs w:val="21"/>
        </w:rPr>
        <w:t>要求</w:t>
      </w:r>
      <w:r>
        <w:rPr>
          <w:color w:val="auto"/>
        </w:rPr>
        <w:t>及工作职责详见“第五章”内容。</w:t>
      </w:r>
    </w:p>
    <w:p>
      <w:pPr>
        <w:pStyle w:val="587"/>
        <w:numPr>
          <w:ilvl w:val="2"/>
          <w:numId w:val="3"/>
        </w:numPr>
        <w:spacing w:beforeLines="50" w:afterLines="50" w:line="360" w:lineRule="auto"/>
        <w:outlineLvl w:val="3"/>
        <w:rPr>
          <w:rFonts w:ascii="LNUHNF+SimSun" w:hAnsi="LNUHNF+SimSun" w:cs="宋体"/>
          <w:color w:val="auto"/>
          <w:szCs w:val="21"/>
        </w:rPr>
      </w:pPr>
      <w:bookmarkStart w:id="316" w:name="_Toc13694"/>
      <w:bookmarkStart w:id="317" w:name="_Toc17300"/>
      <w:r>
        <w:rPr>
          <w:rFonts w:ascii="LNUHNF+SimSun" w:hAnsi="LNUHNF+SimSun" w:cs="宋体"/>
          <w:color w:val="auto"/>
          <w:szCs w:val="21"/>
        </w:rPr>
        <w:t>确定各参与方</w:t>
      </w:r>
      <w:bookmarkStart w:id="318" w:name="_bookmark5"/>
      <w:bookmarkEnd w:id="318"/>
      <w:r>
        <w:rPr>
          <w:rFonts w:ascii="LNUHNF+SimSun" w:hAnsi="LNUHNF+SimSun" w:cs="宋体"/>
          <w:color w:val="auto"/>
          <w:szCs w:val="21"/>
        </w:rPr>
        <w:t>及相关职责要求</w:t>
      </w:r>
      <w:bookmarkEnd w:id="316"/>
      <w:bookmarkEnd w:id="317"/>
    </w:p>
    <w:p>
      <w:pPr>
        <w:spacing w:before="120" w:after="120"/>
        <w:rPr>
          <w:color w:val="auto"/>
        </w:rPr>
      </w:pPr>
      <w:r>
        <w:rPr>
          <w:color w:val="auto"/>
        </w:rPr>
        <w:t>BIM总协调方根据项目特点、项目组织方式，将各参与方BIM技术能力、人员配置、设备投入、工作范围的职责和要求的信息提交</w:t>
      </w:r>
      <w:r>
        <w:rPr>
          <w:rFonts w:hint="eastAsia"/>
          <w:color w:val="auto"/>
        </w:rPr>
        <w:t>前期工作部</w:t>
      </w:r>
      <w:r>
        <w:rPr>
          <w:color w:val="auto"/>
        </w:rPr>
        <w:t>审批。具体详见“第五章”的内容。</w:t>
      </w:r>
    </w:p>
    <w:p>
      <w:pPr>
        <w:pStyle w:val="587"/>
        <w:numPr>
          <w:ilvl w:val="2"/>
          <w:numId w:val="3"/>
        </w:numPr>
        <w:spacing w:beforeLines="50" w:afterLines="50" w:line="360" w:lineRule="auto"/>
        <w:outlineLvl w:val="3"/>
        <w:rPr>
          <w:rFonts w:ascii="LNUHNF+SimSun" w:hAnsi="LNUHNF+SimSun" w:cs="宋体"/>
          <w:color w:val="auto"/>
          <w:szCs w:val="21"/>
        </w:rPr>
      </w:pPr>
      <w:bookmarkStart w:id="319" w:name="_Toc11821"/>
      <w:bookmarkStart w:id="320" w:name="_Toc20922"/>
      <w:r>
        <w:rPr>
          <w:rFonts w:ascii="LNUHNF+SimSun" w:hAnsi="LNUHNF+SimSun" w:cs="宋体"/>
          <w:color w:val="auto"/>
          <w:szCs w:val="21"/>
        </w:rPr>
        <w:t>确定BIM实施大纲</w:t>
      </w:r>
      <w:bookmarkEnd w:id="319"/>
      <w:bookmarkEnd w:id="320"/>
    </w:p>
    <w:p>
      <w:pPr>
        <w:spacing w:before="120" w:after="120"/>
        <w:ind w:firstLine="464"/>
        <w:rPr>
          <w:color w:val="auto"/>
        </w:rPr>
      </w:pPr>
      <w:r>
        <w:rPr>
          <w:color w:val="auto"/>
          <w:spacing w:val="-4"/>
        </w:rPr>
        <w:t>在项目前期准备阶段中，</w:t>
      </w:r>
      <w:r>
        <w:rPr>
          <w:rFonts w:eastAsia="Times New Roman"/>
          <w:color w:val="auto"/>
          <w:spacing w:val="-4"/>
        </w:rPr>
        <w:t>BIM</w:t>
      </w:r>
      <w:r>
        <w:rPr>
          <w:color w:val="auto"/>
        </w:rPr>
        <w:t>总协调方需根据项目</w:t>
      </w:r>
      <w:r>
        <w:rPr>
          <w:rFonts w:eastAsia="Times New Roman"/>
          <w:color w:val="auto"/>
          <w:spacing w:val="-2"/>
        </w:rPr>
        <w:t>BIM</w:t>
      </w:r>
      <w:r>
        <w:rPr>
          <w:color w:val="auto"/>
          <w:spacing w:val="-3"/>
        </w:rPr>
        <w:t>实施目标、项目特点和项目组织</w:t>
      </w:r>
      <w:r>
        <w:rPr>
          <w:color w:val="auto"/>
        </w:rPr>
        <w:t>方式，制定《项目</w:t>
      </w:r>
      <w:r>
        <w:rPr>
          <w:rFonts w:eastAsia="Times New Roman"/>
          <w:color w:val="auto"/>
          <w:spacing w:val="-2"/>
        </w:rPr>
        <w:t>BIM</w:t>
      </w:r>
      <w:r>
        <w:rPr>
          <w:color w:val="auto"/>
        </w:rPr>
        <w:t>实施大纲》，提交代建局</w:t>
      </w:r>
      <w:r>
        <w:rPr>
          <w:rFonts w:hint="eastAsia"/>
          <w:color w:val="auto"/>
        </w:rPr>
        <w:t>前期工作部</w:t>
      </w:r>
      <w:r>
        <w:rPr>
          <w:color w:val="auto"/>
        </w:rPr>
        <w:t>审核。</w:t>
      </w:r>
    </w:p>
    <w:p>
      <w:pPr>
        <w:spacing w:before="120" w:after="120"/>
        <w:rPr>
          <w:color w:val="auto"/>
        </w:rPr>
      </w:pPr>
      <w:r>
        <w:rPr>
          <w:rFonts w:hint="eastAsia"/>
          <w:color w:val="auto"/>
        </w:rPr>
        <w:t>《项目BIM实施大纲》应包含下列基本内容：</w:t>
      </w:r>
    </w:p>
    <w:p>
      <w:pPr>
        <w:pStyle w:val="42"/>
        <w:widowControl/>
        <w:numPr>
          <w:ilvl w:val="0"/>
          <w:numId w:val="13"/>
        </w:numPr>
        <w:spacing w:before="120" w:after="120" w:line="0" w:lineRule="atLeast"/>
        <w:ind w:firstLine="420" w:firstLineChars="200"/>
        <w:rPr>
          <w:color w:val="auto"/>
          <w:sz w:val="21"/>
          <w:szCs w:val="21"/>
        </w:rPr>
      </w:pPr>
      <w:r>
        <w:rPr>
          <w:rFonts w:hint="eastAsia"/>
          <w:color w:val="auto"/>
          <w:sz w:val="21"/>
          <w:szCs w:val="21"/>
        </w:rPr>
        <w:t>项目基本情况；</w:t>
      </w:r>
    </w:p>
    <w:p>
      <w:pPr>
        <w:pStyle w:val="42"/>
        <w:widowControl/>
        <w:numPr>
          <w:ilvl w:val="0"/>
          <w:numId w:val="13"/>
        </w:numPr>
        <w:spacing w:before="120" w:after="120" w:line="0" w:lineRule="atLeast"/>
        <w:ind w:firstLine="420" w:firstLineChars="200"/>
        <w:rPr>
          <w:color w:val="auto"/>
          <w:sz w:val="21"/>
          <w:szCs w:val="21"/>
        </w:rPr>
      </w:pPr>
      <w:r>
        <w:rPr>
          <w:rFonts w:hint="eastAsia"/>
          <w:color w:val="auto"/>
          <w:sz w:val="21"/>
          <w:szCs w:val="21"/>
        </w:rPr>
        <w:t>BIM项目实施组织架构；</w:t>
      </w:r>
    </w:p>
    <w:p>
      <w:pPr>
        <w:pStyle w:val="42"/>
        <w:widowControl/>
        <w:numPr>
          <w:ilvl w:val="0"/>
          <w:numId w:val="13"/>
        </w:numPr>
        <w:spacing w:before="120" w:after="120" w:line="0" w:lineRule="atLeast"/>
        <w:ind w:firstLine="420" w:firstLineChars="200"/>
        <w:rPr>
          <w:color w:val="auto"/>
          <w:sz w:val="21"/>
          <w:szCs w:val="21"/>
        </w:rPr>
      </w:pPr>
      <w:r>
        <w:rPr>
          <w:rFonts w:hint="eastAsia"/>
          <w:color w:val="auto"/>
          <w:sz w:val="21"/>
          <w:szCs w:val="21"/>
        </w:rPr>
        <w:t>BIM实施总体概述；</w:t>
      </w:r>
    </w:p>
    <w:p>
      <w:pPr>
        <w:pStyle w:val="42"/>
        <w:widowControl/>
        <w:numPr>
          <w:ilvl w:val="0"/>
          <w:numId w:val="13"/>
        </w:numPr>
        <w:spacing w:before="120" w:after="120" w:line="0" w:lineRule="atLeast"/>
        <w:ind w:firstLine="420" w:firstLineChars="200"/>
        <w:rPr>
          <w:color w:val="auto"/>
          <w:sz w:val="21"/>
          <w:szCs w:val="21"/>
        </w:rPr>
      </w:pPr>
      <w:r>
        <w:rPr>
          <w:rFonts w:hint="eastAsia"/>
          <w:color w:val="auto"/>
          <w:sz w:val="21"/>
          <w:szCs w:val="21"/>
        </w:rPr>
        <w:t>项目BIM应用流程。</w:t>
      </w:r>
    </w:p>
    <w:p>
      <w:pPr>
        <w:pStyle w:val="587"/>
        <w:numPr>
          <w:ilvl w:val="2"/>
          <w:numId w:val="3"/>
        </w:numPr>
        <w:spacing w:beforeLines="50" w:afterLines="50" w:line="360" w:lineRule="auto"/>
        <w:outlineLvl w:val="3"/>
        <w:rPr>
          <w:rFonts w:ascii="LNUHNF+SimSun" w:hAnsi="LNUHNF+SimSun" w:cs="宋体"/>
          <w:color w:val="auto"/>
          <w:szCs w:val="21"/>
        </w:rPr>
      </w:pPr>
      <w:bookmarkStart w:id="321" w:name="_Toc6089"/>
      <w:bookmarkStart w:id="322" w:name="_Toc12692"/>
      <w:r>
        <w:rPr>
          <w:rFonts w:ascii="LNUHNF+SimSun" w:hAnsi="LNUHNF+SimSun" w:cs="宋体"/>
          <w:color w:val="auto"/>
          <w:szCs w:val="21"/>
        </w:rPr>
        <w:t>BIM项目实施过程管理</w:t>
      </w:r>
      <w:bookmarkEnd w:id="321"/>
      <w:bookmarkEnd w:id="322"/>
    </w:p>
    <w:p>
      <w:pPr>
        <w:spacing w:before="120" w:after="120"/>
        <w:rPr>
          <w:color w:val="auto"/>
        </w:rPr>
      </w:pPr>
      <w:r>
        <w:rPr>
          <w:color w:val="auto"/>
        </w:rPr>
        <w:t>在代建局</w:t>
      </w:r>
      <w:r>
        <w:rPr>
          <w:rFonts w:eastAsia="Times New Roman"/>
          <w:color w:val="auto"/>
          <w:spacing w:val="-2"/>
        </w:rPr>
        <w:t>BIM</w:t>
      </w:r>
      <w:r>
        <w:rPr>
          <w:color w:val="auto"/>
          <w:spacing w:val="2"/>
        </w:rPr>
        <w:t>项目实施过程中，</w:t>
      </w:r>
      <w:r>
        <w:rPr>
          <w:rFonts w:hint="eastAsia"/>
          <w:color w:val="auto"/>
          <w:spacing w:val="2"/>
        </w:rPr>
        <w:t>根据项目B</w:t>
      </w:r>
      <w:r>
        <w:rPr>
          <w:color w:val="auto"/>
          <w:spacing w:val="2"/>
        </w:rPr>
        <w:t>IM</w:t>
      </w:r>
      <w:r>
        <w:rPr>
          <w:rFonts w:hint="eastAsia"/>
          <w:color w:val="auto"/>
          <w:spacing w:val="2"/>
        </w:rPr>
        <w:t>实施阶段的不同，</w:t>
      </w:r>
      <w:r>
        <w:rPr>
          <w:color w:val="auto"/>
          <w:spacing w:val="2"/>
        </w:rPr>
        <w:t>代建局</w:t>
      </w:r>
      <w:r>
        <w:rPr>
          <w:rFonts w:hint="eastAsia"/>
          <w:color w:val="auto"/>
        </w:rPr>
        <w:t>前期工作部和项目建设管理部负责</w:t>
      </w:r>
      <w:r>
        <w:rPr>
          <w:color w:val="auto"/>
          <w:spacing w:val="2"/>
        </w:rPr>
        <w:t>开通项目</w:t>
      </w:r>
      <w:r>
        <w:rPr>
          <w:rFonts w:hint="eastAsia"/>
          <w:color w:val="auto"/>
          <w:spacing w:val="2"/>
        </w:rPr>
        <w:t>设计</w:t>
      </w:r>
      <w:r>
        <w:rPr>
          <w:color w:val="auto"/>
          <w:spacing w:val="2"/>
        </w:rPr>
        <w:t>协同平台，</w:t>
      </w:r>
      <w:r>
        <w:rPr>
          <w:rFonts w:hint="eastAsia"/>
          <w:color w:val="auto"/>
          <w:spacing w:val="2"/>
        </w:rPr>
        <w:t>代建局</w:t>
      </w:r>
      <w:r>
        <w:rPr>
          <w:rFonts w:hint="eastAsia"/>
          <w:color w:val="auto"/>
        </w:rPr>
        <w:t>前期工作部和项目建设管理部</w:t>
      </w:r>
      <w:r>
        <w:rPr>
          <w:color w:val="auto"/>
          <w:spacing w:val="2"/>
        </w:rPr>
        <w:t>监督并管理项目</w:t>
      </w:r>
      <w:r>
        <w:rPr>
          <w:rFonts w:eastAsia="Times New Roman"/>
          <w:color w:val="auto"/>
          <w:spacing w:val="-2"/>
        </w:rPr>
        <w:t>BIM</w:t>
      </w:r>
      <w:r>
        <w:rPr>
          <w:color w:val="auto"/>
        </w:rPr>
        <w:t>总协调方的</w:t>
      </w:r>
      <w:r>
        <w:rPr>
          <w:rFonts w:eastAsia="Times New Roman"/>
          <w:color w:val="auto"/>
          <w:spacing w:val="-2"/>
        </w:rPr>
        <w:t>BIM</w:t>
      </w:r>
      <w:r>
        <w:rPr>
          <w:color w:val="auto"/>
        </w:rPr>
        <w:t>实施工作。</w:t>
      </w:r>
      <w:r>
        <w:rPr>
          <w:rFonts w:eastAsia="Times New Roman"/>
          <w:color w:val="auto"/>
        </w:rPr>
        <w:t>BIM</w:t>
      </w:r>
      <w:r>
        <w:rPr>
          <w:color w:val="auto"/>
        </w:rPr>
        <w:t>总协调方具体管理详见“第六章”的内容。</w:t>
      </w:r>
    </w:p>
    <w:p>
      <w:pPr>
        <w:pStyle w:val="587"/>
        <w:numPr>
          <w:ilvl w:val="2"/>
          <w:numId w:val="3"/>
        </w:numPr>
        <w:spacing w:beforeLines="50" w:afterLines="50" w:line="360" w:lineRule="auto"/>
        <w:outlineLvl w:val="3"/>
        <w:rPr>
          <w:rFonts w:ascii="LNUHNF+SimSun" w:hAnsi="LNUHNF+SimSun" w:cs="宋体"/>
          <w:color w:val="auto"/>
          <w:szCs w:val="21"/>
        </w:rPr>
      </w:pPr>
      <w:bookmarkStart w:id="323" w:name="_Toc4335"/>
      <w:bookmarkStart w:id="324" w:name="_Toc6273"/>
      <w:r>
        <w:rPr>
          <w:rFonts w:ascii="LNUHNF+SimSun" w:hAnsi="LNUHNF+SimSun" w:cs="宋体"/>
          <w:color w:val="auto"/>
          <w:szCs w:val="21"/>
        </w:rPr>
        <w:t>成果接收</w:t>
      </w:r>
      <w:bookmarkEnd w:id="323"/>
      <w:bookmarkEnd w:id="324"/>
    </w:p>
    <w:p>
      <w:pPr>
        <w:spacing w:before="120" w:after="120"/>
        <w:rPr>
          <w:color w:val="auto"/>
        </w:rPr>
      </w:pPr>
      <w:r>
        <w:rPr>
          <w:color w:val="auto"/>
        </w:rPr>
        <w:t>代建局</w:t>
      </w:r>
      <w:r>
        <w:rPr>
          <w:rFonts w:hint="eastAsia"/>
          <w:color w:val="auto"/>
        </w:rPr>
        <w:t>前期工作部和项目建设管理部</w:t>
      </w:r>
      <w:r>
        <w:rPr>
          <w:color w:val="auto"/>
        </w:rPr>
        <w:t>接收由</w:t>
      </w:r>
      <w:r>
        <w:rPr>
          <w:rFonts w:eastAsia="Times New Roman"/>
          <w:color w:val="auto"/>
          <w:spacing w:val="-2"/>
        </w:rPr>
        <w:t>BIM</w:t>
      </w:r>
      <w:r>
        <w:rPr>
          <w:color w:val="auto"/>
        </w:rPr>
        <w:t>总协调方汇总审定后的</w:t>
      </w:r>
      <w:r>
        <w:rPr>
          <w:rFonts w:eastAsia="Times New Roman"/>
          <w:color w:val="auto"/>
          <w:spacing w:val="-2"/>
        </w:rPr>
        <w:t>BIM</w:t>
      </w:r>
      <w:r>
        <w:rPr>
          <w:color w:val="auto"/>
          <w:spacing w:val="2"/>
        </w:rPr>
        <w:t>成果，通过代建局项目管理平台进行项</w:t>
      </w:r>
      <w:r>
        <w:rPr>
          <w:color w:val="auto"/>
        </w:rPr>
        <w:t>目的监督、管理及归档，总结后形成一套代建局项目</w:t>
      </w:r>
      <w:r>
        <w:rPr>
          <w:rFonts w:eastAsia="Times New Roman"/>
          <w:color w:val="auto"/>
          <w:spacing w:val="-2"/>
        </w:rPr>
        <w:t>BIM</w:t>
      </w:r>
      <w:r>
        <w:rPr>
          <w:color w:val="auto"/>
        </w:rPr>
        <w:t>管理标准模式。具体成果交付要求详见“第七章”的内容。</w:t>
      </w:r>
    </w:p>
    <w:p>
      <w:pPr>
        <w:pStyle w:val="587"/>
        <w:numPr>
          <w:ilvl w:val="2"/>
          <w:numId w:val="3"/>
        </w:numPr>
        <w:spacing w:beforeLines="50" w:afterLines="50" w:line="360" w:lineRule="auto"/>
        <w:outlineLvl w:val="3"/>
        <w:rPr>
          <w:rFonts w:ascii="LNUHNF+SimSun" w:hAnsi="LNUHNF+SimSun" w:cs="宋体"/>
          <w:color w:val="auto"/>
          <w:szCs w:val="21"/>
        </w:rPr>
      </w:pPr>
      <w:bookmarkStart w:id="325" w:name="_Toc12412"/>
      <w:bookmarkStart w:id="326" w:name="_Toc11515"/>
      <w:r>
        <w:rPr>
          <w:rFonts w:ascii="LNUHNF+SimSun" w:hAnsi="LNUHNF+SimSun" w:cs="宋体"/>
          <w:color w:val="auto"/>
          <w:szCs w:val="21"/>
        </w:rPr>
        <w:t>BIM实施评审</w:t>
      </w:r>
      <w:bookmarkEnd w:id="325"/>
      <w:bookmarkEnd w:id="326"/>
    </w:p>
    <w:p>
      <w:pPr>
        <w:spacing w:before="120" w:after="120"/>
        <w:rPr>
          <w:color w:val="auto"/>
        </w:rPr>
      </w:pPr>
      <w:r>
        <w:rPr>
          <w:color w:val="auto"/>
        </w:rPr>
        <w:t>代建局</w:t>
      </w:r>
      <w:r>
        <w:rPr>
          <w:rFonts w:hint="eastAsia"/>
          <w:color w:val="auto"/>
        </w:rPr>
        <w:t>项目建设管理部</w:t>
      </w:r>
      <w:r>
        <w:rPr>
          <w:color w:val="auto"/>
        </w:rPr>
        <w:t>根据项目</w:t>
      </w:r>
      <w:r>
        <w:rPr>
          <w:rFonts w:eastAsia="Times New Roman"/>
          <w:color w:val="auto"/>
          <w:spacing w:val="-2"/>
        </w:rPr>
        <w:t>BIM</w:t>
      </w:r>
      <w:r>
        <w:rPr>
          <w:color w:val="auto"/>
        </w:rPr>
        <w:t>实施</w:t>
      </w:r>
      <w:r>
        <w:rPr>
          <w:color w:val="auto"/>
          <w:spacing w:val="2"/>
        </w:rPr>
        <w:t>的目标，评估本项目</w:t>
      </w:r>
      <w:r>
        <w:rPr>
          <w:rFonts w:eastAsia="Times New Roman"/>
          <w:color w:val="auto"/>
          <w:spacing w:val="-2"/>
        </w:rPr>
        <w:t>BIM</w:t>
      </w:r>
      <w:r>
        <w:rPr>
          <w:color w:val="auto"/>
          <w:spacing w:val="2"/>
        </w:rPr>
        <w:t>实施的完成情况，总结实施经验并</w:t>
      </w:r>
      <w:r>
        <w:rPr>
          <w:color w:val="auto"/>
        </w:rPr>
        <w:t>改进管理办法。</w:t>
      </w:r>
    </w:p>
    <w:p>
      <w:pPr>
        <w:pStyle w:val="585"/>
        <w:spacing w:before="120" w:after="120" w:line="360" w:lineRule="auto"/>
        <w:ind w:left="0"/>
        <w:outlineLvl w:val="1"/>
        <w:rPr>
          <w:rFonts w:ascii="Times New Roman" w:hAnsi="Times New Roman" w:eastAsia="黑体"/>
          <w:b w:val="0"/>
          <w:bCs/>
          <w:color w:val="auto"/>
          <w:sz w:val="24"/>
          <w:szCs w:val="24"/>
        </w:rPr>
      </w:pPr>
      <w:bookmarkStart w:id="327" w:name="_Toc8631"/>
      <w:bookmarkStart w:id="328" w:name="_Toc1550"/>
      <w:bookmarkStart w:id="329" w:name="_Toc17645"/>
      <w:bookmarkStart w:id="330" w:name="_Toc54567595"/>
      <w:bookmarkStart w:id="331" w:name="_Toc28752"/>
      <w:r>
        <w:rPr>
          <w:rFonts w:ascii="Times New Roman" w:hAnsi="Times New Roman" w:eastAsia="黑体"/>
          <w:b w:val="0"/>
          <w:bCs/>
          <w:color w:val="auto"/>
          <w:sz w:val="24"/>
          <w:szCs w:val="24"/>
        </w:rPr>
        <w:t>BIM项目实施总体流程</w:t>
      </w:r>
      <w:bookmarkEnd w:id="327"/>
      <w:bookmarkEnd w:id="328"/>
      <w:bookmarkEnd w:id="329"/>
      <w:bookmarkEnd w:id="330"/>
      <w:bookmarkEnd w:id="331"/>
    </w:p>
    <w:p>
      <w:pPr>
        <w:pStyle w:val="587"/>
        <w:numPr>
          <w:ilvl w:val="2"/>
          <w:numId w:val="3"/>
        </w:numPr>
        <w:spacing w:beforeLines="50" w:afterLines="50" w:line="360" w:lineRule="auto"/>
        <w:outlineLvl w:val="3"/>
        <w:rPr>
          <w:rFonts w:ascii="Times New Roman" w:hAnsi="Times New Roman"/>
          <w:color w:val="auto"/>
        </w:rPr>
      </w:pPr>
      <w:bookmarkStart w:id="332" w:name="_Toc1072"/>
      <w:bookmarkStart w:id="333" w:name="_Toc26653"/>
      <w:r>
        <w:rPr>
          <w:rFonts w:ascii="Times New Roman" w:hAnsi="Times New Roman"/>
          <w:color w:val="auto"/>
        </w:rPr>
        <w:t>在代建局</w:t>
      </w:r>
      <w:r>
        <w:rPr>
          <w:rFonts w:ascii="Times New Roman" w:hAnsi="Times New Roman" w:eastAsia="Times New Roman"/>
          <w:color w:val="auto"/>
          <w:spacing w:val="-2"/>
        </w:rPr>
        <w:t>BIM</w:t>
      </w:r>
      <w:r>
        <w:rPr>
          <w:rFonts w:ascii="Times New Roman" w:hAnsi="Times New Roman"/>
          <w:color w:val="auto"/>
        </w:rPr>
        <w:t>总协调管理模式下，</w:t>
      </w:r>
      <w:r>
        <w:rPr>
          <w:rFonts w:ascii="Times New Roman" w:hAnsi="Times New Roman" w:eastAsia="Times New Roman"/>
          <w:color w:val="auto"/>
        </w:rPr>
        <w:t>BIM</w:t>
      </w:r>
      <w:r>
        <w:rPr>
          <w:rFonts w:ascii="Times New Roman" w:hAnsi="Times New Roman"/>
          <w:color w:val="auto"/>
        </w:rPr>
        <w:t>总</w:t>
      </w:r>
      <w:r>
        <w:rPr>
          <w:rFonts w:ascii="Times New Roman" w:hAnsi="Times New Roman"/>
          <w:color w:val="auto"/>
          <w:szCs w:val="21"/>
        </w:rPr>
        <w:t>协调</w:t>
      </w:r>
      <w:r>
        <w:rPr>
          <w:rFonts w:ascii="Times New Roman" w:hAnsi="Times New Roman"/>
          <w:color w:val="auto"/>
        </w:rPr>
        <w:t>方的实施工作应涉及项目实施阶段的全过程，包括策划阶段、设计阶段、施工阶段、运营维护阶段。其中前期工作部主要负责设计阶段BIM实施，项目建设管理部主要负责施工、运营维护阶段BIM实施。</w:t>
      </w:r>
      <w:bookmarkEnd w:id="332"/>
      <w:bookmarkEnd w:id="333"/>
    </w:p>
    <w:p>
      <w:pPr>
        <w:pStyle w:val="587"/>
        <w:numPr>
          <w:ilvl w:val="2"/>
          <w:numId w:val="3"/>
        </w:numPr>
        <w:spacing w:beforeLines="50" w:afterLines="50" w:line="360" w:lineRule="auto"/>
        <w:outlineLvl w:val="3"/>
        <w:rPr>
          <w:color w:val="auto"/>
        </w:rPr>
      </w:pPr>
      <w:bookmarkStart w:id="334" w:name="_Toc21816"/>
      <w:bookmarkStart w:id="335" w:name="_Toc23373"/>
      <w:r>
        <w:rPr>
          <w:rFonts w:ascii="Times New Roman" w:hAnsi="Times New Roman" w:eastAsia="Times New Roman"/>
          <w:color w:val="auto"/>
          <w:spacing w:val="-2"/>
        </w:rPr>
        <w:t>BIM</w:t>
      </w:r>
      <w:r>
        <w:rPr>
          <w:color w:val="auto"/>
          <w:spacing w:val="2"/>
        </w:rPr>
        <w:t>总协调方</w:t>
      </w:r>
      <w:r>
        <w:rPr>
          <w:rFonts w:ascii="LNUHNF+SimSun" w:hAnsi="LNUHNF+SimSun" w:cs="宋体"/>
          <w:color w:val="auto"/>
          <w:szCs w:val="21"/>
        </w:rPr>
        <w:t>协助</w:t>
      </w:r>
      <w:r>
        <w:rPr>
          <w:color w:val="auto"/>
          <w:spacing w:val="2"/>
        </w:rPr>
        <w:t>代建局在项目每个阶段充分落实</w:t>
      </w:r>
      <w:r>
        <w:rPr>
          <w:rFonts w:ascii="Times New Roman" w:hAnsi="Times New Roman" w:eastAsia="Times New Roman"/>
          <w:color w:val="auto"/>
          <w:spacing w:val="-2"/>
        </w:rPr>
        <w:t>BIM</w:t>
      </w:r>
      <w:r>
        <w:rPr>
          <w:color w:val="auto"/>
          <w:spacing w:val="2"/>
        </w:rPr>
        <w:t>技术的应用，进行项目全过程</w:t>
      </w:r>
      <w:r>
        <w:rPr>
          <w:color w:val="auto"/>
        </w:rPr>
        <w:t>的</w:t>
      </w:r>
      <w:r>
        <w:rPr>
          <w:rFonts w:ascii="Times New Roman" w:hAnsi="Times New Roman" w:eastAsia="Times New Roman"/>
          <w:color w:val="auto"/>
          <w:spacing w:val="-2"/>
        </w:rPr>
        <w:t>BIM</w:t>
      </w:r>
      <w:r>
        <w:rPr>
          <w:color w:val="auto"/>
        </w:rPr>
        <w:t>管理。</w:t>
      </w:r>
      <w:bookmarkEnd w:id="334"/>
      <w:bookmarkEnd w:id="335"/>
    </w:p>
    <w:p>
      <w:pPr>
        <w:pStyle w:val="587"/>
        <w:numPr>
          <w:ilvl w:val="2"/>
          <w:numId w:val="3"/>
        </w:numPr>
        <w:spacing w:beforeLines="50" w:afterLines="50" w:line="360" w:lineRule="auto"/>
        <w:outlineLvl w:val="3"/>
        <w:rPr>
          <w:color w:val="auto"/>
        </w:rPr>
      </w:pPr>
      <w:bookmarkStart w:id="336" w:name="_Toc21014"/>
      <w:bookmarkStart w:id="337" w:name="_Toc26616"/>
      <w:r>
        <w:rPr>
          <w:rFonts w:ascii="Times New Roman" w:hAnsi="Times New Roman"/>
          <w:color w:val="auto"/>
        </w:rPr>
        <w:t>代建局</w:t>
      </w:r>
      <w:r>
        <w:rPr>
          <w:rFonts w:ascii="Times New Roman" w:hAnsi="Times New Roman"/>
          <w:color w:val="auto"/>
          <w:szCs w:val="21"/>
        </w:rPr>
        <w:t>BIM</w:t>
      </w:r>
      <w:r>
        <w:rPr>
          <w:rFonts w:ascii="Times New Roman" w:hAnsi="Times New Roman"/>
          <w:color w:val="auto"/>
        </w:rPr>
        <w:t>项目管理流程详见《附件：BIM实施导则》中附图</w:t>
      </w:r>
      <w:r>
        <w:rPr>
          <w:rFonts w:ascii="Times New Roman" w:hAnsi="Times New Roman" w:eastAsia="Times New Roman"/>
          <w:color w:val="auto"/>
        </w:rPr>
        <w:t>3</w:t>
      </w:r>
      <w:r>
        <w:rPr>
          <w:color w:val="auto"/>
        </w:rPr>
        <w:t>。</w:t>
      </w:r>
      <w:bookmarkEnd w:id="336"/>
      <w:bookmarkEnd w:id="337"/>
      <w:bookmarkStart w:id="338" w:name="_bookmark6"/>
      <w:bookmarkEnd w:id="338"/>
      <w:bookmarkStart w:id="339" w:name="_bookmark7"/>
      <w:bookmarkEnd w:id="339"/>
    </w:p>
    <w:p>
      <w:pPr>
        <w:pStyle w:val="585"/>
        <w:spacing w:before="120" w:after="120"/>
        <w:rPr>
          <w:color w:val="auto"/>
        </w:rPr>
        <w:sectPr>
          <w:pgSz w:w="11910" w:h="16840"/>
          <w:pgMar w:top="1560" w:right="1020" w:bottom="1160" w:left="1020" w:header="0" w:footer="973" w:gutter="0"/>
          <w:cols w:space="720" w:num="1"/>
        </w:sectPr>
      </w:pPr>
    </w:p>
    <w:p>
      <w:pPr>
        <w:pStyle w:val="583"/>
        <w:spacing w:before="240" w:after="240"/>
        <w:outlineLvl w:val="0"/>
        <w:rPr>
          <w:b w:val="0"/>
          <w:bCs/>
          <w:color w:val="auto"/>
        </w:rPr>
      </w:pPr>
      <w:bookmarkStart w:id="340" w:name="_Toc23741"/>
      <w:bookmarkStart w:id="341" w:name="_Toc27810"/>
      <w:bookmarkStart w:id="342" w:name="_Toc15008"/>
      <w:bookmarkStart w:id="343" w:name="_Toc54567596"/>
      <w:bookmarkStart w:id="344" w:name="_Toc17082"/>
      <w:r>
        <w:rPr>
          <w:b w:val="0"/>
          <w:bCs/>
          <w:color w:val="auto"/>
        </w:rPr>
        <w:t>职责要求</w:t>
      </w:r>
      <w:bookmarkEnd w:id="340"/>
      <w:bookmarkEnd w:id="341"/>
      <w:bookmarkEnd w:id="342"/>
      <w:bookmarkEnd w:id="343"/>
      <w:bookmarkEnd w:id="344"/>
    </w:p>
    <w:p>
      <w:pPr>
        <w:pStyle w:val="585"/>
        <w:spacing w:before="120" w:after="120" w:line="360" w:lineRule="auto"/>
        <w:ind w:left="0"/>
        <w:outlineLvl w:val="1"/>
        <w:rPr>
          <w:rFonts w:ascii="Times New Roman" w:hAnsi="Times New Roman" w:eastAsia="黑体"/>
          <w:b w:val="0"/>
          <w:bCs/>
          <w:color w:val="auto"/>
          <w:sz w:val="24"/>
          <w:szCs w:val="24"/>
        </w:rPr>
      </w:pPr>
      <w:bookmarkStart w:id="345" w:name="_Toc11307"/>
      <w:bookmarkStart w:id="346" w:name="_Toc1993"/>
      <w:bookmarkStart w:id="347" w:name="_Toc26786"/>
      <w:bookmarkStart w:id="348" w:name="_Toc18376"/>
      <w:bookmarkStart w:id="349" w:name="_Toc54567597"/>
      <w:r>
        <w:rPr>
          <w:rFonts w:ascii="Times New Roman" w:hAnsi="Times New Roman" w:eastAsia="黑体"/>
          <w:b w:val="0"/>
          <w:bCs/>
          <w:color w:val="auto"/>
          <w:sz w:val="24"/>
          <w:szCs w:val="24"/>
        </w:rPr>
        <w:t>各参与方的能力要求</w:t>
      </w:r>
      <w:bookmarkEnd w:id="345"/>
      <w:bookmarkEnd w:id="346"/>
      <w:bookmarkEnd w:id="347"/>
      <w:bookmarkEnd w:id="348"/>
      <w:bookmarkEnd w:id="349"/>
    </w:p>
    <w:p>
      <w:pPr>
        <w:pStyle w:val="587"/>
        <w:numPr>
          <w:ilvl w:val="2"/>
          <w:numId w:val="3"/>
        </w:numPr>
        <w:spacing w:beforeLines="50" w:afterLines="50" w:line="360" w:lineRule="auto"/>
        <w:outlineLvl w:val="3"/>
        <w:rPr>
          <w:rFonts w:ascii="LNUHNF+SimSun" w:hAnsi="LNUHNF+SimSun" w:cs="宋体"/>
          <w:color w:val="auto"/>
          <w:szCs w:val="21"/>
        </w:rPr>
      </w:pPr>
      <w:bookmarkStart w:id="350" w:name="_Toc2774"/>
      <w:bookmarkStart w:id="351" w:name="_Toc20623"/>
      <w:r>
        <w:rPr>
          <w:rFonts w:ascii="LNUHNF+SimSun" w:hAnsi="LNUHNF+SimSun" w:cs="宋体"/>
          <w:color w:val="auto"/>
          <w:szCs w:val="21"/>
        </w:rPr>
        <w:t>BIM总协调方</w:t>
      </w:r>
      <w:bookmarkEnd w:id="350"/>
      <w:bookmarkEnd w:id="351"/>
    </w:p>
    <w:p>
      <w:pPr>
        <w:spacing w:before="120" w:after="120"/>
        <w:rPr>
          <w:color w:val="auto"/>
        </w:rPr>
      </w:pPr>
      <w:r>
        <w:rPr>
          <w:color w:val="auto"/>
        </w:rPr>
        <w:t>1  BIM总协调方应拥有丰富的BIM技术及项目管理经验的专业团队，能针对项目的特点和要求制定BIM实施细则并贯彻实行；</w:t>
      </w:r>
    </w:p>
    <w:p>
      <w:pPr>
        <w:spacing w:before="120" w:after="120"/>
        <w:rPr>
          <w:color w:val="auto"/>
        </w:rPr>
      </w:pPr>
      <w:r>
        <w:rPr>
          <w:color w:val="auto"/>
        </w:rPr>
        <w:t>2  BIM总协调方应</w:t>
      </w:r>
      <w:r>
        <w:rPr>
          <w:rFonts w:hint="eastAsia"/>
          <w:color w:val="auto"/>
        </w:rPr>
        <w:t>拥有</w:t>
      </w:r>
      <w:r>
        <w:rPr>
          <w:color w:val="auto"/>
        </w:rPr>
        <w:t>协助代建局完成BIM成果的收集并对项目各参与方提供BIM技术支持的能力；</w:t>
      </w:r>
    </w:p>
    <w:p>
      <w:pPr>
        <w:spacing w:before="120" w:after="120"/>
        <w:rPr>
          <w:color w:val="auto"/>
        </w:rPr>
      </w:pPr>
      <w:r>
        <w:rPr>
          <w:color w:val="auto"/>
        </w:rPr>
        <w:t>3  BIM总协调方在项目实施阶段能整合各参与方的模型，指导设计单位、施工单位的BIM实施及应用；</w:t>
      </w:r>
    </w:p>
    <w:p>
      <w:pPr>
        <w:spacing w:before="120" w:after="120"/>
        <w:rPr>
          <w:color w:val="auto"/>
        </w:rPr>
      </w:pPr>
      <w:r>
        <w:rPr>
          <w:color w:val="auto"/>
        </w:rPr>
        <w:t>4  BIM总协调方应协助代建局开通、管理与维护BIM平台；</w:t>
      </w:r>
    </w:p>
    <w:p>
      <w:pPr>
        <w:spacing w:before="120" w:after="120"/>
        <w:rPr>
          <w:color w:val="auto"/>
        </w:rPr>
      </w:pPr>
      <w:r>
        <w:rPr>
          <w:color w:val="auto"/>
        </w:rPr>
        <w:t>5  BIM总协调方应</w:t>
      </w:r>
      <w:r>
        <w:rPr>
          <w:rFonts w:hint="eastAsia"/>
          <w:color w:val="auto"/>
        </w:rPr>
        <w:t>针对</w:t>
      </w:r>
      <w:r>
        <w:rPr>
          <w:color w:val="auto"/>
        </w:rPr>
        <w:t>BIM项目特点及需求拓展应用。</w:t>
      </w:r>
    </w:p>
    <w:p>
      <w:pPr>
        <w:pStyle w:val="587"/>
        <w:numPr>
          <w:ilvl w:val="2"/>
          <w:numId w:val="3"/>
        </w:numPr>
        <w:spacing w:beforeLines="50" w:afterLines="50" w:line="360" w:lineRule="auto"/>
        <w:outlineLvl w:val="3"/>
        <w:rPr>
          <w:rFonts w:ascii="LNUHNF+SimSun" w:hAnsi="LNUHNF+SimSun" w:cs="宋体"/>
          <w:color w:val="auto"/>
          <w:szCs w:val="21"/>
        </w:rPr>
      </w:pPr>
      <w:bookmarkStart w:id="352" w:name="_Toc24776"/>
      <w:bookmarkStart w:id="353" w:name="_Toc17358"/>
      <w:r>
        <w:rPr>
          <w:rFonts w:ascii="LNUHNF+SimSun" w:hAnsi="LNUHNF+SimSun" w:cs="宋体"/>
          <w:color w:val="auto"/>
          <w:szCs w:val="21"/>
        </w:rPr>
        <w:t>监理单位</w:t>
      </w:r>
      <w:bookmarkEnd w:id="352"/>
      <w:bookmarkEnd w:id="353"/>
    </w:p>
    <w:p>
      <w:pPr>
        <w:spacing w:before="120" w:after="120"/>
        <w:rPr>
          <w:color w:val="auto"/>
        </w:rPr>
      </w:pPr>
      <w:r>
        <w:rPr>
          <w:color w:val="auto"/>
        </w:rPr>
        <w:t>监理单位应配有拥有丰富现场管理经验、熟悉BIM软件和施工规范规程的团队，能审阅BIM模型，提供可行性</w:t>
      </w:r>
      <w:r>
        <w:rPr>
          <w:rFonts w:hint="eastAsia"/>
          <w:color w:val="auto"/>
        </w:rPr>
        <w:t>建议</w:t>
      </w:r>
      <w:r>
        <w:rPr>
          <w:color w:val="auto"/>
        </w:rPr>
        <w:t>，保证BIM模型的正确性及可实行性。监理单位在对项目实施过程中进行联系工作，并进行BIM管理的相关记录。</w:t>
      </w:r>
    </w:p>
    <w:p>
      <w:pPr>
        <w:pStyle w:val="587"/>
        <w:numPr>
          <w:ilvl w:val="2"/>
          <w:numId w:val="3"/>
        </w:numPr>
        <w:spacing w:beforeLines="50" w:afterLines="50" w:line="360" w:lineRule="auto"/>
        <w:outlineLvl w:val="3"/>
        <w:rPr>
          <w:rFonts w:ascii="LNUHNF+SimSun" w:hAnsi="LNUHNF+SimSun" w:cs="宋体"/>
          <w:color w:val="auto"/>
          <w:szCs w:val="21"/>
        </w:rPr>
      </w:pPr>
      <w:bookmarkStart w:id="354" w:name="_Toc22433"/>
      <w:bookmarkStart w:id="355" w:name="_Toc3438"/>
      <w:r>
        <w:rPr>
          <w:rFonts w:ascii="LNUHNF+SimSun" w:hAnsi="LNUHNF+SimSun" w:cs="宋体"/>
          <w:color w:val="auto"/>
          <w:szCs w:val="21"/>
        </w:rPr>
        <w:t>设计单位</w:t>
      </w:r>
      <w:bookmarkEnd w:id="354"/>
      <w:bookmarkEnd w:id="355"/>
    </w:p>
    <w:p>
      <w:pPr>
        <w:spacing w:before="120" w:after="120"/>
        <w:rPr>
          <w:color w:val="auto"/>
        </w:rPr>
      </w:pPr>
      <w:r>
        <w:rPr>
          <w:color w:val="auto"/>
        </w:rPr>
        <w:t>1  设计单位应拥有经验丰富的BIM设计团队，在建筑项目设计过程中实现全专业、全流程的BIM设计，提高项目设计质量和效率，从而减少后续施工期间的洽商和返工，保障施工周期，节约项目资金；</w:t>
      </w:r>
    </w:p>
    <w:p>
      <w:pPr>
        <w:spacing w:before="120" w:after="120"/>
        <w:rPr>
          <w:color w:val="auto"/>
        </w:rPr>
      </w:pPr>
      <w:r>
        <w:rPr>
          <w:color w:val="auto"/>
        </w:rPr>
        <w:t>2  设计单位应拥有丰富的BIM设计经验，能利用BIM技术在方案设计和初步设计阶段出具建筑性能分析，运用BIM技术完成全专业和全流程的设计；</w:t>
      </w:r>
    </w:p>
    <w:p>
      <w:pPr>
        <w:spacing w:before="120" w:after="120"/>
        <w:rPr>
          <w:color w:val="auto"/>
        </w:rPr>
      </w:pPr>
      <w:r>
        <w:rPr>
          <w:color w:val="auto"/>
        </w:rPr>
        <w:t>3  设计单位可以利用BIM技术在工程实施前进行详细到位的技术交底，同时保证提供的设计阶段BIM模型信息的正确性及完整性。</w:t>
      </w:r>
    </w:p>
    <w:p>
      <w:pPr>
        <w:pStyle w:val="587"/>
        <w:numPr>
          <w:ilvl w:val="2"/>
          <w:numId w:val="3"/>
        </w:numPr>
        <w:spacing w:beforeLines="50" w:afterLines="50" w:line="360" w:lineRule="auto"/>
        <w:outlineLvl w:val="3"/>
        <w:rPr>
          <w:rFonts w:ascii="LNUHNF+SimSun" w:hAnsi="LNUHNF+SimSun" w:cs="宋体"/>
          <w:color w:val="auto"/>
          <w:szCs w:val="21"/>
        </w:rPr>
      </w:pPr>
      <w:bookmarkStart w:id="356" w:name="_Toc8736"/>
      <w:bookmarkStart w:id="357" w:name="_Toc23931"/>
      <w:r>
        <w:rPr>
          <w:rFonts w:ascii="LNUHNF+SimSun" w:hAnsi="LNUHNF+SimSun" w:cs="宋体"/>
          <w:color w:val="auto"/>
          <w:szCs w:val="21"/>
        </w:rPr>
        <w:t>施工总承包</w:t>
      </w:r>
      <w:bookmarkEnd w:id="356"/>
      <w:bookmarkEnd w:id="357"/>
    </w:p>
    <w:p>
      <w:pPr>
        <w:spacing w:before="120" w:after="120"/>
        <w:rPr>
          <w:color w:val="auto"/>
        </w:rPr>
      </w:pPr>
      <w:r>
        <w:rPr>
          <w:color w:val="auto"/>
        </w:rPr>
        <w:t>施工总承包应拥有丰富的BIM施工管理经验，配置专业的BIM技术团队，施工管理人员需要对BIM技术的应用特点有深刻的了解，能利用BIM技术进行节点组织控制管理。</w:t>
      </w:r>
    </w:p>
    <w:p>
      <w:pPr>
        <w:pStyle w:val="587"/>
        <w:numPr>
          <w:ilvl w:val="2"/>
          <w:numId w:val="3"/>
        </w:numPr>
        <w:spacing w:beforeLines="50" w:afterLines="50" w:line="360" w:lineRule="auto"/>
        <w:outlineLvl w:val="3"/>
        <w:rPr>
          <w:rFonts w:ascii="LNUHNF+SimSun" w:hAnsi="LNUHNF+SimSun" w:cs="宋体"/>
          <w:color w:val="auto"/>
          <w:szCs w:val="21"/>
        </w:rPr>
      </w:pPr>
      <w:bookmarkStart w:id="358" w:name="_Toc25030"/>
      <w:bookmarkStart w:id="359" w:name="_Toc10734"/>
      <w:r>
        <w:rPr>
          <w:rFonts w:ascii="LNUHNF+SimSun" w:hAnsi="LNUHNF+SimSun" w:cs="宋体"/>
          <w:color w:val="auto"/>
          <w:szCs w:val="21"/>
        </w:rPr>
        <w:t>专业分包单位</w:t>
      </w:r>
      <w:bookmarkEnd w:id="358"/>
      <w:bookmarkEnd w:id="359"/>
    </w:p>
    <w:p>
      <w:pPr>
        <w:spacing w:before="120" w:after="120"/>
        <w:rPr>
          <w:color w:val="auto"/>
        </w:rPr>
      </w:pPr>
      <w:r>
        <w:rPr>
          <w:color w:val="auto"/>
        </w:rPr>
        <w:t>1  专业分包单位应具有</w:t>
      </w:r>
      <w:bookmarkStart w:id="360" w:name="_bookmark8"/>
      <w:bookmarkEnd w:id="360"/>
      <w:r>
        <w:rPr>
          <w:color w:val="auto"/>
        </w:rPr>
        <w:t>对本</w:t>
      </w:r>
      <w:r>
        <w:rPr>
          <w:rFonts w:hint="eastAsia"/>
          <w:color w:val="auto"/>
        </w:rPr>
        <w:t>专业</w:t>
      </w:r>
      <w:r>
        <w:rPr>
          <w:color w:val="auto"/>
        </w:rPr>
        <w:t>的BIM模型进行深化、更新、维护的能力。</w:t>
      </w:r>
    </w:p>
    <w:p>
      <w:pPr>
        <w:spacing w:before="120" w:after="120"/>
        <w:rPr>
          <w:color w:val="auto"/>
        </w:rPr>
      </w:pPr>
      <w:r>
        <w:rPr>
          <w:color w:val="auto"/>
        </w:rPr>
        <w:t>2  专业分包单位应</w:t>
      </w:r>
      <w:r>
        <w:rPr>
          <w:rFonts w:hint="eastAsia"/>
          <w:color w:val="auto"/>
        </w:rPr>
        <w:t>具有</w:t>
      </w:r>
      <w:r>
        <w:rPr>
          <w:color w:val="auto"/>
        </w:rPr>
        <w:t>利用BIM模型指导现场施工及配合总承包单位完成BIM技术应用的能力。</w:t>
      </w:r>
    </w:p>
    <w:p>
      <w:pPr>
        <w:pStyle w:val="587"/>
        <w:numPr>
          <w:ilvl w:val="2"/>
          <w:numId w:val="3"/>
        </w:numPr>
        <w:spacing w:beforeLines="50" w:afterLines="50" w:line="360" w:lineRule="auto"/>
        <w:outlineLvl w:val="3"/>
        <w:rPr>
          <w:rFonts w:ascii="LNUHNF+SimSun" w:hAnsi="LNUHNF+SimSun" w:cs="宋体"/>
          <w:color w:val="auto"/>
          <w:szCs w:val="21"/>
        </w:rPr>
      </w:pPr>
      <w:bookmarkStart w:id="361" w:name="_Toc4870"/>
      <w:bookmarkStart w:id="362" w:name="_Toc29268"/>
      <w:r>
        <w:rPr>
          <w:rFonts w:ascii="LNUHNF+SimSun" w:hAnsi="LNUHNF+SimSun" w:cs="宋体"/>
          <w:color w:val="auto"/>
          <w:szCs w:val="21"/>
        </w:rPr>
        <w:t>造价咨询单位</w:t>
      </w:r>
      <w:bookmarkEnd w:id="361"/>
      <w:bookmarkEnd w:id="362"/>
    </w:p>
    <w:p>
      <w:pPr>
        <w:spacing w:before="120" w:after="120"/>
        <w:rPr>
          <w:color w:val="auto"/>
        </w:rPr>
      </w:pPr>
      <w:r>
        <w:rPr>
          <w:color w:val="auto"/>
        </w:rPr>
        <w:t>1  造价咨询单位应具有BIM工程量统计方面软件</w:t>
      </w:r>
      <w:r>
        <w:rPr>
          <w:rFonts w:hint="eastAsia"/>
          <w:color w:val="auto"/>
        </w:rPr>
        <w:t>及</w:t>
      </w:r>
      <w:r>
        <w:rPr>
          <w:color w:val="auto"/>
        </w:rPr>
        <w:t>技术应用的能力。</w:t>
      </w:r>
    </w:p>
    <w:p>
      <w:pPr>
        <w:spacing w:before="120" w:after="120"/>
        <w:rPr>
          <w:color w:val="auto"/>
        </w:rPr>
      </w:pPr>
      <w:r>
        <w:rPr>
          <w:color w:val="auto"/>
        </w:rPr>
        <w:t>2  造价咨询单位应能</w:t>
      </w:r>
      <w:r>
        <w:rPr>
          <w:rFonts w:hint="eastAsia"/>
          <w:color w:val="auto"/>
        </w:rPr>
        <w:t>根据设计图纸、</w:t>
      </w:r>
      <w:r>
        <w:rPr>
          <w:color w:val="auto"/>
        </w:rPr>
        <w:t>施工图纸的工程量信息与实际工程量进行辅助工程量统计</w:t>
      </w:r>
      <w:r>
        <w:rPr>
          <w:rFonts w:hint="eastAsia"/>
          <w:color w:val="auto"/>
        </w:rPr>
        <w:t>，服务项目概算、预算及结算等过程</w:t>
      </w:r>
      <w:r>
        <w:rPr>
          <w:color w:val="auto"/>
        </w:rPr>
        <w:t>。</w:t>
      </w:r>
    </w:p>
    <w:p>
      <w:pPr>
        <w:pStyle w:val="585"/>
        <w:spacing w:before="120" w:after="120" w:line="360" w:lineRule="auto"/>
        <w:ind w:left="0"/>
        <w:outlineLvl w:val="1"/>
        <w:rPr>
          <w:rFonts w:ascii="Times New Roman" w:hAnsi="Times New Roman" w:eastAsia="黑体"/>
          <w:b w:val="0"/>
          <w:bCs/>
          <w:color w:val="auto"/>
          <w:sz w:val="24"/>
          <w:szCs w:val="24"/>
        </w:rPr>
      </w:pPr>
      <w:bookmarkStart w:id="363" w:name="_Toc29464"/>
      <w:bookmarkStart w:id="364" w:name="_Toc32375"/>
      <w:bookmarkStart w:id="365" w:name="_Toc10500"/>
      <w:bookmarkStart w:id="366" w:name="_Toc14359"/>
      <w:bookmarkStart w:id="367" w:name="_Toc54567598"/>
      <w:r>
        <w:rPr>
          <w:rFonts w:ascii="Times New Roman" w:hAnsi="Times New Roman" w:eastAsia="黑体"/>
          <w:b w:val="0"/>
          <w:bCs/>
          <w:color w:val="auto"/>
          <w:sz w:val="24"/>
          <w:szCs w:val="24"/>
        </w:rPr>
        <w:t>各参与方的工作职责</w:t>
      </w:r>
      <w:bookmarkEnd w:id="363"/>
      <w:bookmarkEnd w:id="364"/>
      <w:bookmarkEnd w:id="365"/>
      <w:bookmarkEnd w:id="366"/>
      <w:bookmarkEnd w:id="367"/>
    </w:p>
    <w:p>
      <w:pPr>
        <w:spacing w:before="120" w:after="120"/>
        <w:rPr>
          <w:color w:val="auto"/>
        </w:rPr>
      </w:pPr>
      <w:r>
        <w:rPr>
          <w:color w:val="auto"/>
        </w:rPr>
        <w:t>各参与方职责详见《附件：BIM实施导则》附表1。</w:t>
      </w:r>
    </w:p>
    <w:p>
      <w:pPr>
        <w:pStyle w:val="587"/>
        <w:numPr>
          <w:ilvl w:val="2"/>
          <w:numId w:val="3"/>
        </w:numPr>
        <w:spacing w:beforeLines="50" w:afterLines="50" w:line="360" w:lineRule="auto"/>
        <w:outlineLvl w:val="3"/>
        <w:rPr>
          <w:rFonts w:ascii="LNUHNF+SimSun" w:hAnsi="LNUHNF+SimSun" w:cs="宋体"/>
          <w:color w:val="auto"/>
          <w:szCs w:val="21"/>
        </w:rPr>
      </w:pPr>
      <w:bookmarkStart w:id="368" w:name="_Toc3767"/>
      <w:bookmarkStart w:id="369" w:name="_Toc11460"/>
      <w:r>
        <w:rPr>
          <w:rFonts w:ascii="LNUHNF+SimSun" w:hAnsi="LNUHNF+SimSun" w:cs="宋体"/>
          <w:color w:val="auto"/>
          <w:szCs w:val="21"/>
        </w:rPr>
        <w:t>BIM总协调方</w:t>
      </w:r>
      <w:bookmarkEnd w:id="368"/>
      <w:bookmarkEnd w:id="369"/>
    </w:p>
    <w:p>
      <w:pPr>
        <w:spacing w:before="120" w:after="120"/>
        <w:rPr>
          <w:color w:val="auto"/>
        </w:rPr>
      </w:pPr>
      <w:r>
        <w:rPr>
          <w:color w:val="auto"/>
        </w:rPr>
        <w:t>作为BIM总协调方，在项目各个阶段对BIM的实施进行统筹、协调、管理的职责有：</w:t>
      </w:r>
    </w:p>
    <w:p>
      <w:pPr>
        <w:spacing w:before="120" w:after="120"/>
        <w:rPr>
          <w:color w:val="auto"/>
        </w:rPr>
      </w:pPr>
      <w:r>
        <w:rPr>
          <w:color w:val="auto"/>
        </w:rPr>
        <w:t>1  BIM总协调方应根据项目的要求，制定《BIM实施大纲》，组织管理本项目的BIM实施；</w:t>
      </w:r>
    </w:p>
    <w:p>
      <w:pPr>
        <w:spacing w:before="120" w:after="120"/>
        <w:rPr>
          <w:color w:val="auto"/>
        </w:rPr>
      </w:pPr>
      <w:r>
        <w:rPr>
          <w:color w:val="auto"/>
        </w:rPr>
        <w:t>2  在设计及施工</w:t>
      </w:r>
      <w:r>
        <w:rPr>
          <w:rFonts w:hint="eastAsia"/>
          <w:color w:val="auto"/>
        </w:rPr>
        <w:t>阶段</w:t>
      </w:r>
      <w:r>
        <w:rPr>
          <w:color w:val="auto"/>
        </w:rPr>
        <w:t>组织项目各参与方分别制定具体的《项目BIM实施方案》，监督各参与方执行，并贯彻实施；</w:t>
      </w:r>
    </w:p>
    <w:p>
      <w:pPr>
        <w:spacing w:before="120" w:after="120"/>
        <w:rPr>
          <w:color w:val="auto"/>
        </w:rPr>
      </w:pPr>
      <w:r>
        <w:rPr>
          <w:color w:val="auto"/>
        </w:rPr>
        <w:t>3  审核与</w:t>
      </w:r>
      <w:r>
        <w:rPr>
          <w:rFonts w:hint="eastAsia"/>
          <w:color w:val="auto"/>
        </w:rPr>
        <w:t>验收</w:t>
      </w:r>
      <w:r>
        <w:rPr>
          <w:color w:val="auto"/>
        </w:rPr>
        <w:t>各阶段项目参与方提交的BIM成果，并提交各阶段BIM成果审核意见，协助代建局</w:t>
      </w:r>
      <w:r>
        <w:rPr>
          <w:rFonts w:hint="eastAsia"/>
          <w:color w:val="auto"/>
        </w:rPr>
        <w:t>前期工作部和项目建设管理部</w:t>
      </w:r>
      <w:r>
        <w:rPr>
          <w:color w:val="auto"/>
        </w:rPr>
        <w:t>进行BIM成果归档；</w:t>
      </w:r>
    </w:p>
    <w:p>
      <w:pPr>
        <w:spacing w:before="120" w:after="120"/>
        <w:rPr>
          <w:color w:val="auto"/>
        </w:rPr>
      </w:pPr>
      <w:r>
        <w:rPr>
          <w:color w:val="auto"/>
        </w:rPr>
        <w:t>4  充分挖掘BIM</w:t>
      </w:r>
      <w:r>
        <w:rPr>
          <w:rFonts w:hint="eastAsia"/>
          <w:color w:val="auto"/>
        </w:rPr>
        <w:t>技术</w:t>
      </w:r>
      <w:r>
        <w:rPr>
          <w:color w:val="auto"/>
        </w:rPr>
        <w:t>在工程中的使用价值，保证工程质量、进度及效益的提高；</w:t>
      </w:r>
    </w:p>
    <w:p>
      <w:pPr>
        <w:spacing w:before="120" w:after="120"/>
        <w:rPr>
          <w:color w:val="auto"/>
        </w:rPr>
      </w:pPr>
      <w:r>
        <w:rPr>
          <w:color w:val="auto"/>
        </w:rPr>
        <w:t>5  为各参与方提供BIM支持。</w:t>
      </w:r>
    </w:p>
    <w:p>
      <w:pPr>
        <w:pStyle w:val="587"/>
        <w:numPr>
          <w:ilvl w:val="2"/>
          <w:numId w:val="3"/>
        </w:numPr>
        <w:spacing w:beforeLines="50" w:afterLines="50" w:line="360" w:lineRule="auto"/>
        <w:outlineLvl w:val="3"/>
        <w:rPr>
          <w:rFonts w:ascii="LNUHNF+SimSun" w:hAnsi="LNUHNF+SimSun" w:cs="宋体"/>
          <w:color w:val="auto"/>
          <w:szCs w:val="21"/>
        </w:rPr>
      </w:pPr>
      <w:bookmarkStart w:id="370" w:name="_Toc10387"/>
      <w:bookmarkStart w:id="371" w:name="_Toc11850"/>
      <w:r>
        <w:rPr>
          <w:rFonts w:ascii="LNUHNF+SimSun" w:hAnsi="LNUHNF+SimSun" w:cs="宋体"/>
          <w:color w:val="auto"/>
          <w:szCs w:val="21"/>
        </w:rPr>
        <w:t>设计单位</w:t>
      </w:r>
      <w:bookmarkEnd w:id="370"/>
      <w:bookmarkEnd w:id="371"/>
    </w:p>
    <w:p>
      <w:pPr>
        <w:spacing w:before="120" w:after="120"/>
        <w:rPr>
          <w:color w:val="auto"/>
        </w:rPr>
      </w:pPr>
      <w:r>
        <w:rPr>
          <w:color w:val="auto"/>
        </w:rPr>
        <w:t>作为项目的设计方应基于BIM平台完成本项目BIM的设计工作。设计单位应使用BIM技术与项目各参与方进行BIM设计交底；</w:t>
      </w:r>
    </w:p>
    <w:p>
      <w:pPr>
        <w:pStyle w:val="587"/>
        <w:numPr>
          <w:ilvl w:val="2"/>
          <w:numId w:val="3"/>
        </w:numPr>
        <w:spacing w:beforeLines="50" w:afterLines="50" w:line="360" w:lineRule="auto"/>
        <w:outlineLvl w:val="3"/>
        <w:rPr>
          <w:rFonts w:ascii="LNUHNF+SimSun" w:hAnsi="LNUHNF+SimSun" w:cs="宋体"/>
          <w:color w:val="auto"/>
          <w:szCs w:val="21"/>
        </w:rPr>
      </w:pPr>
      <w:bookmarkStart w:id="372" w:name="_Toc10627"/>
      <w:bookmarkStart w:id="373" w:name="_Toc378"/>
      <w:r>
        <w:rPr>
          <w:rFonts w:ascii="LNUHNF+SimSun" w:hAnsi="LNUHNF+SimSun" w:cs="宋体"/>
          <w:color w:val="auto"/>
          <w:szCs w:val="21"/>
        </w:rPr>
        <w:t>监理单位</w:t>
      </w:r>
      <w:bookmarkEnd w:id="372"/>
      <w:bookmarkEnd w:id="373"/>
    </w:p>
    <w:p>
      <w:pPr>
        <w:spacing w:before="120" w:after="120"/>
        <w:rPr>
          <w:color w:val="auto"/>
        </w:rPr>
      </w:pPr>
      <w:r>
        <w:rPr>
          <w:color w:val="auto"/>
        </w:rPr>
        <w:t>作为项目的监理单位，应负责配合BIM总协调方对各参与方提交的BIM成果进行监督和审查。对图纸及BIM模型中</w:t>
      </w:r>
      <w:r>
        <w:rPr>
          <w:rFonts w:hint="eastAsia"/>
          <w:color w:val="auto"/>
        </w:rPr>
        <w:t>存在</w:t>
      </w:r>
      <w:r>
        <w:rPr>
          <w:color w:val="auto"/>
        </w:rPr>
        <w:t>的问题，监理单位应提出书面意见和建议，按照BIM总协调方的要求，针对重要节点提交BIM质量评估报告。</w:t>
      </w:r>
    </w:p>
    <w:p>
      <w:pPr>
        <w:pStyle w:val="587"/>
        <w:numPr>
          <w:ilvl w:val="2"/>
          <w:numId w:val="3"/>
        </w:numPr>
        <w:spacing w:beforeLines="50" w:afterLines="50" w:line="360" w:lineRule="auto"/>
        <w:outlineLvl w:val="3"/>
        <w:rPr>
          <w:rFonts w:ascii="LNUHNF+SimSun" w:hAnsi="LNUHNF+SimSun" w:cs="宋体"/>
          <w:color w:val="auto"/>
          <w:szCs w:val="21"/>
        </w:rPr>
      </w:pPr>
      <w:bookmarkStart w:id="374" w:name="_Toc17474"/>
      <w:bookmarkStart w:id="375" w:name="_Toc22054"/>
      <w:r>
        <w:rPr>
          <w:rFonts w:ascii="LNUHNF+SimSun" w:hAnsi="LNUHNF+SimSun" w:cs="宋体"/>
          <w:color w:val="auto"/>
          <w:szCs w:val="21"/>
        </w:rPr>
        <w:t>施工总承包</w:t>
      </w:r>
      <w:bookmarkEnd w:id="374"/>
      <w:bookmarkEnd w:id="375"/>
    </w:p>
    <w:p>
      <w:pPr>
        <w:spacing w:before="120" w:after="120"/>
        <w:rPr>
          <w:color w:val="auto"/>
        </w:rPr>
      </w:pPr>
      <w:r>
        <w:rPr>
          <w:color w:val="auto"/>
        </w:rPr>
        <w:t>1  施工总承包应接收设计单位提供的设计阶段BIM模型，对自身合同范围内的设计阶段BIM模型进行必要校核和调整；</w:t>
      </w:r>
    </w:p>
    <w:p>
      <w:pPr>
        <w:spacing w:before="120" w:after="120"/>
        <w:rPr>
          <w:color w:val="auto"/>
        </w:rPr>
      </w:pPr>
      <w:r>
        <w:rPr>
          <w:color w:val="auto"/>
        </w:rPr>
        <w:t>2  施工总承包应根据项目实际施工进展，基于设计BIM模型，完善施工阶段BIM模型，并在施工过程中及时更新，保持适用性；</w:t>
      </w:r>
    </w:p>
    <w:p>
      <w:pPr>
        <w:spacing w:before="120" w:after="120"/>
        <w:rPr>
          <w:color w:val="auto"/>
        </w:rPr>
      </w:pPr>
      <w:r>
        <w:rPr>
          <w:color w:val="auto"/>
        </w:rPr>
        <w:t>3  施工总承包应统筹管理好各分包单位施工阶段的BIM模型；</w:t>
      </w:r>
    </w:p>
    <w:p>
      <w:pPr>
        <w:spacing w:before="120" w:after="120"/>
        <w:rPr>
          <w:color w:val="auto"/>
        </w:rPr>
      </w:pPr>
      <w:r>
        <w:rPr>
          <w:color w:val="auto"/>
        </w:rPr>
        <w:t>4  保证BIM模型与施工现场相结合，并配合BIM总协调完成施工阶段BIM应用；</w:t>
      </w:r>
    </w:p>
    <w:p>
      <w:pPr>
        <w:pStyle w:val="587"/>
        <w:numPr>
          <w:ilvl w:val="2"/>
          <w:numId w:val="3"/>
        </w:numPr>
        <w:spacing w:beforeLines="50" w:afterLines="50" w:line="360" w:lineRule="auto"/>
        <w:outlineLvl w:val="3"/>
        <w:rPr>
          <w:rFonts w:ascii="LNUHNF+SimSun" w:hAnsi="LNUHNF+SimSun" w:cs="宋体"/>
          <w:color w:val="auto"/>
          <w:szCs w:val="21"/>
        </w:rPr>
      </w:pPr>
      <w:bookmarkStart w:id="376" w:name="_Toc4258"/>
      <w:bookmarkStart w:id="377" w:name="_Toc23623"/>
      <w:r>
        <w:rPr>
          <w:rFonts w:ascii="LNUHNF+SimSun" w:hAnsi="LNUHNF+SimSun" w:cs="宋体"/>
          <w:color w:val="auto"/>
          <w:szCs w:val="21"/>
        </w:rPr>
        <w:t>专业分包单位</w:t>
      </w:r>
      <w:bookmarkEnd w:id="376"/>
      <w:bookmarkEnd w:id="377"/>
    </w:p>
    <w:p>
      <w:pPr>
        <w:spacing w:before="120" w:after="120"/>
        <w:rPr>
          <w:color w:val="auto"/>
        </w:rPr>
      </w:pPr>
      <w:r>
        <w:rPr>
          <w:color w:val="auto"/>
        </w:rPr>
        <w:t>作为本项目的专业承包单位，应负责合同范围内的BIM模型深化、更新和维护工作，利用BIM模型指导施工，配合总承包单位的BIM工作，并提供相应的BIM应用成果。</w:t>
      </w:r>
    </w:p>
    <w:p>
      <w:pPr>
        <w:pStyle w:val="587"/>
        <w:numPr>
          <w:ilvl w:val="2"/>
          <w:numId w:val="3"/>
        </w:numPr>
        <w:spacing w:beforeLines="50" w:afterLines="50" w:line="360" w:lineRule="auto"/>
        <w:outlineLvl w:val="3"/>
        <w:rPr>
          <w:rFonts w:ascii="LNUHNF+SimSun" w:hAnsi="LNUHNF+SimSun" w:cs="宋体"/>
          <w:color w:val="auto"/>
          <w:szCs w:val="21"/>
        </w:rPr>
      </w:pPr>
      <w:bookmarkStart w:id="378" w:name="_Toc12535"/>
      <w:bookmarkStart w:id="379" w:name="_Toc13771"/>
      <w:r>
        <w:rPr>
          <w:rFonts w:ascii="LNUHNF+SimSun" w:hAnsi="LNUHNF+SimSun" w:cs="宋体"/>
          <w:color w:val="auto"/>
          <w:szCs w:val="21"/>
        </w:rPr>
        <w:t>造价咨询单位</w:t>
      </w:r>
      <w:bookmarkEnd w:id="378"/>
      <w:bookmarkEnd w:id="379"/>
    </w:p>
    <w:p>
      <w:pPr>
        <w:spacing w:before="120" w:after="120"/>
        <w:rPr>
          <w:color w:val="auto"/>
        </w:rPr>
      </w:pPr>
      <w:r>
        <w:rPr>
          <w:color w:val="auto"/>
        </w:rPr>
        <w:t>制定可用于定额套价的BIM建模标准，协助BIM总协调方开展BIM管理工作，利用BIM技术辅助进行工程概算、预算及竣工结算工作。在出现变更时，运用BIM技术进行变更前后造价对比。</w:t>
      </w:r>
    </w:p>
    <w:p>
      <w:pPr>
        <w:spacing w:before="120" w:after="120" w:line="338" w:lineRule="auto"/>
        <w:rPr>
          <w:color w:val="auto"/>
        </w:rPr>
      </w:pPr>
    </w:p>
    <w:p>
      <w:pPr>
        <w:pStyle w:val="42"/>
        <w:spacing w:before="120" w:after="120"/>
        <w:ind w:firstLine="420"/>
        <w:rPr>
          <w:color w:val="auto"/>
        </w:rPr>
        <w:sectPr>
          <w:pgSz w:w="11910" w:h="16840"/>
          <w:pgMar w:top="1480" w:right="900" w:bottom="1160" w:left="1020" w:header="0" w:footer="973" w:gutter="0"/>
          <w:cols w:space="720" w:num="1"/>
        </w:sectPr>
      </w:pPr>
    </w:p>
    <w:p>
      <w:pPr>
        <w:pStyle w:val="583"/>
        <w:spacing w:before="240" w:after="240"/>
        <w:outlineLvl w:val="0"/>
        <w:rPr>
          <w:b w:val="0"/>
          <w:bCs/>
          <w:color w:val="auto"/>
        </w:rPr>
      </w:pPr>
      <w:bookmarkStart w:id="380" w:name="_bookmark10"/>
      <w:bookmarkEnd w:id="380"/>
      <w:bookmarkStart w:id="381" w:name="_bookmark9"/>
      <w:bookmarkEnd w:id="381"/>
      <w:bookmarkStart w:id="382" w:name="_Toc54567599"/>
      <w:bookmarkStart w:id="383" w:name="_Toc6477"/>
      <w:bookmarkStart w:id="384" w:name="_Toc13807"/>
      <w:bookmarkStart w:id="385" w:name="_Toc3618"/>
      <w:bookmarkStart w:id="386" w:name="_Toc7193"/>
      <w:r>
        <w:rPr>
          <w:b w:val="0"/>
          <w:bCs/>
          <w:color w:val="auto"/>
        </w:rPr>
        <w:t>项目应用实施管理</w:t>
      </w:r>
      <w:bookmarkEnd w:id="382"/>
      <w:bookmarkEnd w:id="383"/>
      <w:bookmarkEnd w:id="384"/>
      <w:bookmarkEnd w:id="385"/>
      <w:bookmarkEnd w:id="386"/>
    </w:p>
    <w:p>
      <w:pPr>
        <w:pStyle w:val="585"/>
        <w:spacing w:before="120" w:after="120" w:line="360" w:lineRule="auto"/>
        <w:ind w:left="0"/>
        <w:outlineLvl w:val="1"/>
        <w:rPr>
          <w:rFonts w:ascii="Times New Roman" w:hAnsi="Times New Roman" w:eastAsia="黑体"/>
          <w:b w:val="0"/>
          <w:bCs/>
          <w:color w:val="auto"/>
          <w:sz w:val="24"/>
          <w:szCs w:val="24"/>
        </w:rPr>
      </w:pPr>
      <w:bookmarkStart w:id="387" w:name="_Toc8528"/>
      <w:bookmarkStart w:id="388" w:name="_Toc976"/>
      <w:bookmarkStart w:id="389" w:name="_Toc14742"/>
      <w:bookmarkStart w:id="390" w:name="_Toc54567600"/>
      <w:bookmarkStart w:id="391" w:name="_Toc7413"/>
      <w:r>
        <w:rPr>
          <w:rFonts w:ascii="Times New Roman" w:hAnsi="Times New Roman" w:eastAsia="黑体"/>
          <w:b w:val="0"/>
          <w:bCs/>
          <w:color w:val="auto"/>
          <w:sz w:val="24"/>
          <w:szCs w:val="24"/>
        </w:rPr>
        <w:t>项目管理规定</w:t>
      </w:r>
      <w:bookmarkEnd w:id="387"/>
      <w:bookmarkEnd w:id="388"/>
      <w:bookmarkEnd w:id="389"/>
      <w:bookmarkEnd w:id="390"/>
      <w:bookmarkEnd w:id="391"/>
    </w:p>
    <w:p>
      <w:pPr>
        <w:pStyle w:val="587"/>
        <w:numPr>
          <w:ilvl w:val="2"/>
          <w:numId w:val="3"/>
        </w:numPr>
        <w:spacing w:beforeLines="50" w:afterLines="50" w:line="360" w:lineRule="auto"/>
        <w:outlineLvl w:val="3"/>
        <w:rPr>
          <w:rFonts w:ascii="LNUHNF+SimSun" w:hAnsi="LNUHNF+SimSun" w:cs="宋体"/>
          <w:color w:val="auto"/>
          <w:szCs w:val="21"/>
        </w:rPr>
      </w:pPr>
      <w:bookmarkStart w:id="392" w:name="_Toc13824"/>
      <w:bookmarkStart w:id="393" w:name="_Toc25417"/>
      <w:r>
        <w:rPr>
          <w:rFonts w:ascii="LNUHNF+SimSun" w:hAnsi="LNUHNF+SimSun" w:cs="宋体"/>
          <w:color w:val="auto"/>
          <w:szCs w:val="21"/>
        </w:rPr>
        <w:t>BIM总协调方管理工作</w:t>
      </w:r>
      <w:bookmarkEnd w:id="392"/>
      <w:bookmarkEnd w:id="393"/>
    </w:p>
    <w:p>
      <w:pPr>
        <w:spacing w:before="120" w:after="120"/>
        <w:rPr>
          <w:color w:val="auto"/>
        </w:rPr>
      </w:pPr>
      <w:r>
        <w:rPr>
          <w:color w:val="auto"/>
        </w:rPr>
        <w:t>代建局</w:t>
      </w:r>
      <w:r>
        <w:rPr>
          <w:rFonts w:hint="eastAsia"/>
          <w:color w:val="auto"/>
        </w:rPr>
        <w:t>前期工作部</w:t>
      </w:r>
      <w:r>
        <w:rPr>
          <w:color w:val="auto"/>
        </w:rPr>
        <w:t>委托BIM总协调方，由BIM总协调方代表代建局对整个项目的BIM工作进行牵头并整体把控BIM实施质量及进度。BIM总协调方对各阶段整体把控内容如下：</w:t>
      </w:r>
    </w:p>
    <w:p>
      <w:pPr>
        <w:spacing w:before="120" w:after="120"/>
        <w:outlineLvl w:val="4"/>
        <w:rPr>
          <w:color w:val="auto"/>
        </w:rPr>
      </w:pPr>
      <w:bookmarkStart w:id="394" w:name="_Toc12261"/>
      <w:bookmarkStart w:id="395" w:name="_Toc2871"/>
      <w:r>
        <w:rPr>
          <w:color w:val="auto"/>
        </w:rPr>
        <w:t>1  设计阶段</w:t>
      </w:r>
      <w:bookmarkEnd w:id="394"/>
      <w:bookmarkEnd w:id="395"/>
    </w:p>
    <w:p>
      <w:pPr>
        <w:spacing w:before="120" w:after="120"/>
        <w:rPr>
          <w:color w:val="auto"/>
        </w:rPr>
      </w:pPr>
      <w:r>
        <w:rPr>
          <w:color w:val="auto"/>
        </w:rPr>
        <w:t>1）前期准备工作</w:t>
      </w:r>
    </w:p>
    <w:p>
      <w:pPr>
        <w:spacing w:before="120" w:after="120"/>
        <w:rPr>
          <w:color w:val="auto"/>
        </w:rPr>
      </w:pPr>
      <w:r>
        <w:rPr>
          <w:color w:val="auto"/>
        </w:rPr>
        <w:t>（1）BIM总协调方根据《BIM实施大纲》制定《设计阶段BIM实施方案》；</w:t>
      </w:r>
    </w:p>
    <w:p>
      <w:pPr>
        <w:spacing w:before="120" w:after="120"/>
        <w:rPr>
          <w:color w:val="auto"/>
        </w:rPr>
      </w:pPr>
      <w:r>
        <w:rPr>
          <w:color w:val="auto"/>
        </w:rPr>
        <w:t>（2）BIM总协调方协助代建局</w:t>
      </w:r>
      <w:r>
        <w:rPr>
          <w:rFonts w:hint="eastAsia"/>
          <w:color w:val="auto"/>
        </w:rPr>
        <w:t>前期工作部</w:t>
      </w:r>
      <w:r>
        <w:rPr>
          <w:color w:val="auto"/>
        </w:rPr>
        <w:t>对设计单位开通并管理BIM协同平台（包含权限的分配、使用原则的制定等）；</w:t>
      </w:r>
    </w:p>
    <w:p>
      <w:pPr>
        <w:spacing w:before="120" w:after="120"/>
        <w:rPr>
          <w:color w:val="auto"/>
        </w:rPr>
      </w:pPr>
      <w:r>
        <w:rPr>
          <w:color w:val="auto"/>
        </w:rPr>
        <w:t>（3）设计单位制定相应的BIM工作计划和组建各自的BIM工作团队，同时指定一个人作为本单位的BIM负责人进行内外部的总体沟通与协调，并配合BIM总协调方的BIM管理工作。</w:t>
      </w:r>
    </w:p>
    <w:p>
      <w:pPr>
        <w:spacing w:before="120" w:after="120"/>
        <w:rPr>
          <w:color w:val="auto"/>
        </w:rPr>
      </w:pPr>
      <w:r>
        <w:rPr>
          <w:color w:val="auto"/>
        </w:rPr>
        <w:t>2）设计过程工作</w:t>
      </w:r>
    </w:p>
    <w:p>
      <w:pPr>
        <w:spacing w:before="120" w:after="120"/>
        <w:rPr>
          <w:color w:val="auto"/>
        </w:rPr>
      </w:pPr>
      <w:r>
        <w:rPr>
          <w:color w:val="auto"/>
        </w:rPr>
        <w:t>（1）设计单位执行合同约定的BIM内容，根据前期制定的BIM工作计划、BIM实施大纲及BIM实施标准开展工作，BIM总协调方应对设计单位提交的成果进行审核；</w:t>
      </w:r>
    </w:p>
    <w:p>
      <w:pPr>
        <w:spacing w:before="120" w:after="120"/>
        <w:rPr>
          <w:color w:val="auto"/>
        </w:rPr>
      </w:pPr>
      <w:r>
        <w:rPr>
          <w:color w:val="auto"/>
        </w:rPr>
        <w:t>（2）BIM总协调方通过会议及邮件等形式，对各设计单位的BIM工作进行过程监督，并对设计单位提交的BIM成果进行审核，及时反馈优化信息或修改意见；</w:t>
      </w:r>
    </w:p>
    <w:p>
      <w:pPr>
        <w:spacing w:before="120" w:after="120"/>
        <w:rPr>
          <w:color w:val="auto"/>
        </w:rPr>
      </w:pPr>
      <w:r>
        <w:rPr>
          <w:color w:val="auto"/>
        </w:rPr>
        <w:t>（3）由BIM总协调方监督设计单位提交设计阶段BIM成果深度应符合精度要求；</w:t>
      </w:r>
    </w:p>
    <w:p>
      <w:pPr>
        <w:spacing w:before="120" w:after="120"/>
        <w:rPr>
          <w:color w:val="auto"/>
        </w:rPr>
      </w:pPr>
      <w:r>
        <w:rPr>
          <w:color w:val="auto"/>
        </w:rPr>
        <w:t>（4）设计阶段完成后，BIM总协调方应对设计单位提交的BIM成果进行质量审核，保证成果的一致性。</w:t>
      </w:r>
    </w:p>
    <w:p>
      <w:pPr>
        <w:spacing w:before="120" w:after="120"/>
        <w:outlineLvl w:val="4"/>
        <w:rPr>
          <w:color w:val="auto"/>
        </w:rPr>
      </w:pPr>
      <w:bookmarkStart w:id="396" w:name="_Toc29307"/>
      <w:bookmarkStart w:id="397" w:name="_Toc25040"/>
      <w:r>
        <w:rPr>
          <w:color w:val="auto"/>
        </w:rPr>
        <w:t>2  施工阶段</w:t>
      </w:r>
      <w:bookmarkEnd w:id="396"/>
      <w:bookmarkEnd w:id="397"/>
    </w:p>
    <w:p>
      <w:pPr>
        <w:spacing w:before="120" w:after="120"/>
        <w:rPr>
          <w:color w:val="auto"/>
        </w:rPr>
      </w:pPr>
      <w:r>
        <w:rPr>
          <w:color w:val="auto"/>
        </w:rPr>
        <w:t>1）前期准备工作</w:t>
      </w:r>
    </w:p>
    <w:p>
      <w:pPr>
        <w:spacing w:before="120" w:after="120"/>
        <w:rPr>
          <w:color w:val="auto"/>
        </w:rPr>
      </w:pPr>
      <w:r>
        <w:rPr>
          <w:color w:val="auto"/>
        </w:rPr>
        <w:t>（1）由BIM总协调方编写《BIM实施大纲》，制定《施工阶段BIM实施方案》；</w:t>
      </w:r>
    </w:p>
    <w:p>
      <w:pPr>
        <w:spacing w:before="120" w:after="120"/>
        <w:rPr>
          <w:color w:val="auto"/>
        </w:rPr>
      </w:pPr>
      <w:r>
        <w:rPr>
          <w:color w:val="auto"/>
        </w:rPr>
        <w:t>（2）BIM总协调方协助代建局</w:t>
      </w:r>
      <w:r>
        <w:rPr>
          <w:rFonts w:hint="eastAsia"/>
          <w:color w:val="auto"/>
        </w:rPr>
        <w:t>项目建设管理部</w:t>
      </w:r>
      <w:r>
        <w:rPr>
          <w:color w:val="auto"/>
        </w:rPr>
        <w:t>对施工单位开通并管理BIM协同平台（包含权限的分配、使用原则的制定等）；</w:t>
      </w:r>
    </w:p>
    <w:p>
      <w:pPr>
        <w:spacing w:before="120" w:after="120"/>
        <w:rPr>
          <w:color w:val="auto"/>
        </w:rPr>
      </w:pPr>
      <w:r>
        <w:rPr>
          <w:color w:val="auto"/>
        </w:rPr>
        <w:t>（3）各参与方制定相应的BIM工作计划和组建各自的BIM工作团队，同时指定一人作为本单位的BIM负责人，此BIM负责人负责内外部的总体沟通与协调工作，并配合BIM总协调方的BIM管理工作；</w:t>
      </w:r>
    </w:p>
    <w:p>
      <w:pPr>
        <w:spacing w:before="120" w:after="120"/>
        <w:rPr>
          <w:color w:val="auto"/>
        </w:rPr>
      </w:pPr>
      <w:r>
        <w:rPr>
          <w:color w:val="auto"/>
        </w:rPr>
        <w:t>（4）各参与方在施工总承包统筹下，完成各专业优化，并将优化内容在BIM模型中进行反映，预先提出施工重点、难点，并进行重难点施工方案模拟，解决施工过程中潜在的错漏碰缺</w:t>
      </w:r>
      <w:r>
        <w:rPr>
          <w:rFonts w:hint="eastAsia"/>
          <w:color w:val="auto"/>
        </w:rPr>
        <w:t>等问题</w:t>
      </w:r>
      <w:r>
        <w:rPr>
          <w:color w:val="auto"/>
        </w:rPr>
        <w:t>；</w:t>
      </w:r>
    </w:p>
    <w:p>
      <w:pPr>
        <w:spacing w:before="120" w:after="120"/>
        <w:rPr>
          <w:color w:val="auto"/>
        </w:rPr>
      </w:pPr>
      <w:r>
        <w:rPr>
          <w:color w:val="auto"/>
        </w:rPr>
        <w:t>（5）BIM总协调方制定《BIM信息录入标准》，由各参与方配合完成BIM模型信息录入工作；</w:t>
      </w:r>
    </w:p>
    <w:p>
      <w:pPr>
        <w:spacing w:before="120" w:after="120"/>
        <w:rPr>
          <w:color w:val="auto"/>
        </w:rPr>
      </w:pPr>
      <w:r>
        <w:rPr>
          <w:color w:val="auto"/>
        </w:rPr>
        <w:t>（6）BIM总协调方定期归档BIM深化阶段成果。</w:t>
      </w:r>
    </w:p>
    <w:p>
      <w:pPr>
        <w:spacing w:before="120" w:after="120"/>
        <w:rPr>
          <w:color w:val="auto"/>
        </w:rPr>
      </w:pPr>
      <w:r>
        <w:rPr>
          <w:color w:val="auto"/>
        </w:rPr>
        <w:t>2）施工过程工作</w:t>
      </w:r>
    </w:p>
    <w:p>
      <w:pPr>
        <w:spacing w:before="120" w:after="120"/>
        <w:rPr>
          <w:color w:val="auto"/>
        </w:rPr>
      </w:pPr>
      <w:r>
        <w:rPr>
          <w:color w:val="auto"/>
        </w:rPr>
        <w:t>（1）BIM总协调方对BIM技术应用与实际工程的研究及摸索，制定运维信息化框架及信息输入接口的标准，各参与方应配合实施；</w:t>
      </w:r>
    </w:p>
    <w:p>
      <w:pPr>
        <w:spacing w:before="120" w:after="120"/>
        <w:rPr>
          <w:color w:val="auto"/>
        </w:rPr>
      </w:pPr>
      <w:r>
        <w:rPr>
          <w:color w:val="auto"/>
        </w:rPr>
        <w:t>（2）各参与方针对工程实际完成情况及设计变更，分阶段完成BIM模型细化，利用BIM技术辅助现场管理施工，安排施工顺序节点，确保现场施工顺畅，按进度计划保质保量完成项目建设。</w:t>
      </w:r>
    </w:p>
    <w:p>
      <w:pPr>
        <w:spacing w:before="120" w:after="120"/>
        <w:rPr>
          <w:color w:val="auto"/>
        </w:rPr>
      </w:pPr>
      <w:r>
        <w:rPr>
          <w:color w:val="auto"/>
        </w:rPr>
        <w:t>（3）根据项目实施进度，施工总承包协调各参与方逐步添加项目信息，完善BIM模型信息。</w:t>
      </w:r>
    </w:p>
    <w:p>
      <w:pPr>
        <w:pStyle w:val="587"/>
        <w:numPr>
          <w:ilvl w:val="2"/>
          <w:numId w:val="3"/>
        </w:numPr>
        <w:spacing w:beforeLines="50" w:afterLines="50" w:line="360" w:lineRule="auto"/>
        <w:outlineLvl w:val="3"/>
        <w:rPr>
          <w:rFonts w:ascii="LNUHNF+SimSun" w:hAnsi="LNUHNF+SimSun" w:cs="宋体"/>
          <w:color w:val="auto"/>
          <w:szCs w:val="21"/>
        </w:rPr>
      </w:pPr>
      <w:bookmarkStart w:id="398" w:name="_Toc20107"/>
      <w:bookmarkStart w:id="399" w:name="_Toc24794"/>
      <w:r>
        <w:rPr>
          <w:rFonts w:ascii="LNUHNF+SimSun" w:hAnsi="LNUHNF+SimSun" w:cs="宋体"/>
          <w:color w:val="auto"/>
          <w:szCs w:val="21"/>
        </w:rPr>
        <w:t>项目协调机制</w:t>
      </w:r>
      <w:bookmarkEnd w:id="398"/>
      <w:bookmarkEnd w:id="399"/>
    </w:p>
    <w:p>
      <w:pPr>
        <w:spacing w:before="120" w:after="120"/>
        <w:rPr>
          <w:color w:val="auto"/>
        </w:rPr>
      </w:pPr>
      <w:r>
        <w:rPr>
          <w:color w:val="auto"/>
        </w:rPr>
        <w:t>1  在项目实施过程中，项目协调例会应使用BIM三维可视化技术进行方案讨论及定案。</w:t>
      </w:r>
    </w:p>
    <w:p>
      <w:pPr>
        <w:spacing w:before="120" w:after="120"/>
        <w:rPr>
          <w:color w:val="auto"/>
        </w:rPr>
      </w:pPr>
      <w:r>
        <w:rPr>
          <w:color w:val="auto"/>
        </w:rPr>
        <w:t>2  项目定期举行BIM协调例会，由BIM总协调方组织，各参与方BIM负责人参与。BIM协调例会包括BIM设计例会及BIM工程管理例会。BIM协调例会议程包括：</w:t>
      </w:r>
    </w:p>
    <w:p>
      <w:pPr>
        <w:spacing w:before="120" w:after="120"/>
        <w:rPr>
          <w:color w:val="auto"/>
        </w:rPr>
      </w:pPr>
      <w:r>
        <w:rPr>
          <w:color w:val="auto"/>
        </w:rPr>
        <w:t>1）对上次例会中关于BIM工作要求落实情况的检查；</w:t>
      </w:r>
    </w:p>
    <w:p>
      <w:pPr>
        <w:spacing w:before="120" w:after="120"/>
        <w:rPr>
          <w:color w:val="auto"/>
        </w:rPr>
      </w:pPr>
      <w:r>
        <w:rPr>
          <w:color w:val="auto"/>
        </w:rPr>
        <w:t>2）对本次例会的BIM工作存在问题进行讨论并提出解决方案（包含落实方、完成时间等）；</w:t>
      </w:r>
    </w:p>
    <w:p>
      <w:pPr>
        <w:spacing w:before="120" w:after="120"/>
        <w:rPr>
          <w:color w:val="auto"/>
        </w:rPr>
      </w:pPr>
      <w:r>
        <w:rPr>
          <w:color w:val="auto"/>
        </w:rPr>
        <w:t>3）对下一阶段BIM工作的要求；</w:t>
      </w:r>
    </w:p>
    <w:p>
      <w:pPr>
        <w:spacing w:before="120" w:after="120"/>
        <w:rPr>
          <w:color w:val="auto"/>
        </w:rPr>
      </w:pPr>
      <w:r>
        <w:rPr>
          <w:color w:val="auto"/>
        </w:rPr>
        <w:t>4）其他关于BIM的工作。</w:t>
      </w:r>
    </w:p>
    <w:p>
      <w:pPr>
        <w:spacing w:before="120" w:after="120"/>
        <w:rPr>
          <w:color w:val="auto"/>
        </w:rPr>
      </w:pPr>
      <w:r>
        <w:rPr>
          <w:color w:val="auto"/>
        </w:rPr>
        <w:t>3  BIM总协调方在会议结束后及时整理好会议纪要发给各参与方确认，在整理好会议纪要后提交给代建局</w:t>
      </w:r>
      <w:r>
        <w:rPr>
          <w:rFonts w:hint="eastAsia"/>
          <w:color w:val="auto"/>
        </w:rPr>
        <w:t>前期工作部或项目建设管理部</w:t>
      </w:r>
      <w:r>
        <w:rPr>
          <w:color w:val="auto"/>
        </w:rPr>
        <w:t>。</w:t>
      </w:r>
    </w:p>
    <w:p>
      <w:pPr>
        <w:pStyle w:val="587"/>
        <w:numPr>
          <w:ilvl w:val="2"/>
          <w:numId w:val="3"/>
        </w:numPr>
        <w:spacing w:beforeLines="50" w:afterLines="50" w:line="360" w:lineRule="auto"/>
        <w:outlineLvl w:val="3"/>
        <w:rPr>
          <w:rFonts w:ascii="LNUHNF+SimSun" w:hAnsi="LNUHNF+SimSun" w:cs="宋体"/>
          <w:color w:val="auto"/>
          <w:szCs w:val="21"/>
        </w:rPr>
      </w:pPr>
      <w:bookmarkStart w:id="400" w:name="_Toc24202"/>
      <w:bookmarkStart w:id="401" w:name="_Toc25526"/>
      <w:r>
        <w:rPr>
          <w:rFonts w:ascii="LNUHNF+SimSun" w:hAnsi="LNUHNF+SimSun" w:cs="宋体"/>
          <w:color w:val="auto"/>
          <w:szCs w:val="21"/>
        </w:rPr>
        <w:t>项目质量控制</w:t>
      </w:r>
      <w:bookmarkEnd w:id="400"/>
      <w:bookmarkEnd w:id="401"/>
    </w:p>
    <w:p>
      <w:pPr>
        <w:spacing w:before="120" w:after="120"/>
        <w:rPr>
          <w:color w:val="auto"/>
        </w:rPr>
      </w:pPr>
      <w:r>
        <w:rPr>
          <w:color w:val="auto"/>
        </w:rPr>
        <w:t>1  BIM总协调方作为本项目BIM实施工作质量监督管理单位，应协助代建局</w:t>
      </w:r>
      <w:r>
        <w:rPr>
          <w:rFonts w:hint="eastAsia"/>
          <w:color w:val="auto"/>
        </w:rPr>
        <w:t>前期工作部或项目建设管理部</w:t>
      </w:r>
      <w:r>
        <w:rPr>
          <w:color w:val="auto"/>
        </w:rPr>
        <w:t>对各参与方交付的BIM模型及成果进行质量检查。</w:t>
      </w:r>
    </w:p>
    <w:p>
      <w:pPr>
        <w:spacing w:before="120" w:after="120"/>
        <w:rPr>
          <w:color w:val="auto"/>
        </w:rPr>
      </w:pPr>
      <w:r>
        <w:rPr>
          <w:color w:val="auto"/>
        </w:rPr>
        <w:t>2  BIM总协调方根据质量检查</w:t>
      </w:r>
      <w:bookmarkStart w:id="402" w:name="_bookmark11"/>
      <w:bookmarkEnd w:id="402"/>
      <w:r>
        <w:rPr>
          <w:color w:val="auto"/>
        </w:rPr>
        <w:t>结果出具修改通知单，各参与单位根据修改通知单内容对BIM模型及成果进行修改。</w:t>
      </w:r>
    </w:p>
    <w:p>
      <w:pPr>
        <w:spacing w:before="120" w:after="120"/>
        <w:rPr>
          <w:color w:val="auto"/>
        </w:rPr>
      </w:pPr>
      <w:r>
        <w:rPr>
          <w:color w:val="auto"/>
        </w:rPr>
        <w:t>3  质量检查的结果及整改通知单文件记录由BIM总协调单位归档后提交代建局</w:t>
      </w:r>
      <w:r>
        <w:rPr>
          <w:rFonts w:hint="eastAsia"/>
          <w:color w:val="auto"/>
        </w:rPr>
        <w:t>前期工作部或项目建设管理部</w:t>
      </w:r>
      <w:r>
        <w:rPr>
          <w:color w:val="auto"/>
        </w:rPr>
        <w:t>。</w:t>
      </w:r>
    </w:p>
    <w:p>
      <w:pPr>
        <w:pStyle w:val="585"/>
        <w:spacing w:before="120" w:after="120" w:line="360" w:lineRule="auto"/>
        <w:ind w:left="0"/>
        <w:outlineLvl w:val="1"/>
        <w:rPr>
          <w:rFonts w:ascii="Times New Roman" w:hAnsi="Times New Roman" w:eastAsia="黑体"/>
          <w:b w:val="0"/>
          <w:bCs/>
          <w:color w:val="auto"/>
          <w:sz w:val="24"/>
          <w:szCs w:val="24"/>
        </w:rPr>
      </w:pPr>
      <w:bookmarkStart w:id="403" w:name="_Toc19280"/>
      <w:bookmarkStart w:id="404" w:name="_Toc25379"/>
      <w:bookmarkStart w:id="405" w:name="_Toc29631"/>
      <w:bookmarkStart w:id="406" w:name="_Toc54567601"/>
      <w:bookmarkStart w:id="407" w:name="_Toc2434"/>
      <w:r>
        <w:rPr>
          <w:rFonts w:ascii="Times New Roman" w:hAnsi="Times New Roman" w:eastAsia="黑体"/>
          <w:b w:val="0"/>
          <w:bCs/>
          <w:color w:val="auto"/>
          <w:sz w:val="24"/>
          <w:szCs w:val="24"/>
        </w:rPr>
        <w:t>项目管理流程</w:t>
      </w:r>
      <w:bookmarkEnd w:id="403"/>
      <w:bookmarkEnd w:id="404"/>
      <w:bookmarkEnd w:id="405"/>
      <w:bookmarkEnd w:id="406"/>
      <w:bookmarkEnd w:id="407"/>
    </w:p>
    <w:p>
      <w:pPr>
        <w:pStyle w:val="587"/>
        <w:numPr>
          <w:ilvl w:val="2"/>
          <w:numId w:val="3"/>
        </w:numPr>
        <w:spacing w:beforeLines="50" w:afterLines="50" w:line="360" w:lineRule="auto"/>
        <w:outlineLvl w:val="3"/>
        <w:rPr>
          <w:rFonts w:ascii="LNUHNF+SimSun" w:hAnsi="LNUHNF+SimSun" w:cs="宋体"/>
          <w:color w:val="auto"/>
          <w:szCs w:val="21"/>
        </w:rPr>
      </w:pPr>
      <w:bookmarkStart w:id="408" w:name="_Toc13220"/>
      <w:bookmarkStart w:id="409" w:name="_Toc24880"/>
      <w:r>
        <w:rPr>
          <w:rFonts w:ascii="LNUHNF+SimSun" w:hAnsi="LNUHNF+SimSun" w:cs="宋体"/>
          <w:color w:val="auto"/>
          <w:szCs w:val="21"/>
        </w:rPr>
        <w:t>项目前期准备工作</w:t>
      </w:r>
      <w:bookmarkEnd w:id="408"/>
      <w:bookmarkEnd w:id="409"/>
    </w:p>
    <w:p>
      <w:pPr>
        <w:spacing w:before="120" w:after="120"/>
        <w:outlineLvl w:val="4"/>
        <w:rPr>
          <w:color w:val="auto"/>
        </w:rPr>
      </w:pPr>
      <w:bookmarkStart w:id="410" w:name="_Toc8181"/>
      <w:bookmarkStart w:id="411" w:name="_Toc16986"/>
      <w:r>
        <w:rPr>
          <w:color w:val="auto"/>
        </w:rPr>
        <w:t>1  在项目实施策划阶段中，BIM总协调方应制定《项目BIM实施大纲》，统一各参与方的BIM实施标准。</w:t>
      </w:r>
      <w:bookmarkEnd w:id="410"/>
      <w:bookmarkEnd w:id="411"/>
    </w:p>
    <w:p>
      <w:pPr>
        <w:spacing w:before="120" w:after="120"/>
        <w:outlineLvl w:val="4"/>
        <w:rPr>
          <w:color w:val="auto"/>
        </w:rPr>
      </w:pPr>
      <w:bookmarkStart w:id="412" w:name="_Toc8970"/>
      <w:bookmarkStart w:id="413" w:name="_Toc20588"/>
      <w:r>
        <w:rPr>
          <w:color w:val="auto"/>
        </w:rPr>
        <w:t>2  《项目BIM实施大纲》至少应包含以下方面：</w:t>
      </w:r>
      <w:bookmarkEnd w:id="412"/>
      <w:bookmarkEnd w:id="413"/>
    </w:p>
    <w:p>
      <w:pPr>
        <w:spacing w:before="120" w:after="120"/>
        <w:rPr>
          <w:color w:val="auto"/>
        </w:rPr>
      </w:pPr>
      <w:r>
        <w:rPr>
          <w:color w:val="auto"/>
        </w:rPr>
        <w:t>1）建模标准：明确项目中采用的BIM建模标准；</w:t>
      </w:r>
    </w:p>
    <w:p>
      <w:pPr>
        <w:spacing w:before="120" w:after="120"/>
        <w:rPr>
          <w:color w:val="auto"/>
        </w:rPr>
      </w:pPr>
      <w:r>
        <w:rPr>
          <w:color w:val="auto"/>
        </w:rPr>
        <w:t>2）软件版本：确定将要使用的BIM软件，及确定软件一致性原则；</w:t>
      </w:r>
    </w:p>
    <w:p>
      <w:pPr>
        <w:spacing w:before="120" w:after="120"/>
        <w:rPr>
          <w:color w:val="auto"/>
        </w:rPr>
      </w:pPr>
      <w:r>
        <w:rPr>
          <w:color w:val="auto"/>
        </w:rPr>
        <w:t>3）项目相关方：确定项目各参与方的要求及职责；</w:t>
      </w:r>
    </w:p>
    <w:p>
      <w:pPr>
        <w:spacing w:before="120" w:after="120"/>
        <w:rPr>
          <w:color w:val="auto"/>
        </w:rPr>
      </w:pPr>
      <w:r>
        <w:rPr>
          <w:color w:val="auto"/>
        </w:rPr>
        <w:t>4）项目成果交付：确定项目交付成果的要求；</w:t>
      </w:r>
    </w:p>
    <w:p>
      <w:pPr>
        <w:spacing w:before="120" w:after="120"/>
        <w:rPr>
          <w:color w:val="auto"/>
        </w:rPr>
      </w:pPr>
      <w:r>
        <w:rPr>
          <w:color w:val="auto"/>
        </w:rPr>
        <w:t>5）实施计划：确定项目BIM执行计划及相关方工作时间节点；</w:t>
      </w:r>
    </w:p>
    <w:p>
      <w:pPr>
        <w:spacing w:before="120" w:after="120"/>
        <w:rPr>
          <w:color w:val="auto"/>
        </w:rPr>
      </w:pPr>
      <w:r>
        <w:rPr>
          <w:color w:val="auto"/>
        </w:rPr>
        <w:t>6）文档结构：确定统一的文档结构；</w:t>
      </w:r>
    </w:p>
    <w:p>
      <w:pPr>
        <w:spacing w:before="120" w:after="120"/>
        <w:rPr>
          <w:color w:val="auto"/>
        </w:rPr>
      </w:pPr>
      <w:r>
        <w:rPr>
          <w:color w:val="auto"/>
        </w:rPr>
        <w:t>7）命名规则：确定统一的文档、模型、提交成果等命名规则；</w:t>
      </w:r>
    </w:p>
    <w:p>
      <w:pPr>
        <w:spacing w:before="120" w:after="120"/>
        <w:rPr>
          <w:color w:val="auto"/>
        </w:rPr>
      </w:pPr>
      <w:r>
        <w:rPr>
          <w:color w:val="auto"/>
        </w:rPr>
        <w:t>8）色彩规则：确定统一的色彩规则；</w:t>
      </w:r>
    </w:p>
    <w:p>
      <w:pPr>
        <w:spacing w:before="120" w:after="120"/>
        <w:rPr>
          <w:color w:val="auto"/>
        </w:rPr>
      </w:pPr>
      <w:r>
        <w:rPr>
          <w:color w:val="auto"/>
        </w:rPr>
        <w:t>9）度量标准：确定统一的度量单位；</w:t>
      </w:r>
    </w:p>
    <w:p>
      <w:pPr>
        <w:spacing w:before="120" w:after="120"/>
        <w:rPr>
          <w:color w:val="auto"/>
        </w:rPr>
      </w:pPr>
      <w:r>
        <w:rPr>
          <w:color w:val="auto"/>
        </w:rPr>
        <w:t>10）坐标系统：为所有BIM模型定义统一的通用坐标系；</w:t>
      </w:r>
    </w:p>
    <w:p>
      <w:pPr>
        <w:spacing w:before="120" w:after="120"/>
        <w:rPr>
          <w:color w:val="auto"/>
        </w:rPr>
      </w:pPr>
      <w:r>
        <w:rPr>
          <w:color w:val="auto"/>
        </w:rPr>
        <w:t>11）权限分配：指定各参与方在协同平台上的权限，明确项目BIM成果数据的协同方式，以实现多专业、多用户的数据访问；</w:t>
      </w:r>
    </w:p>
    <w:p>
      <w:pPr>
        <w:spacing w:before="120" w:after="120"/>
        <w:rPr>
          <w:color w:val="auto"/>
        </w:rPr>
      </w:pPr>
      <w:r>
        <w:rPr>
          <w:color w:val="auto"/>
        </w:rPr>
        <w:t>12）审核/确认：确定图纸和BIM数据的审核/确认流程。</w:t>
      </w:r>
    </w:p>
    <w:p>
      <w:pPr>
        <w:spacing w:before="120" w:after="120"/>
        <w:outlineLvl w:val="4"/>
        <w:rPr>
          <w:color w:val="auto"/>
        </w:rPr>
      </w:pPr>
      <w:bookmarkStart w:id="414" w:name="_Toc4850"/>
      <w:bookmarkStart w:id="415" w:name="_Toc23009"/>
      <w:r>
        <w:rPr>
          <w:color w:val="auto"/>
        </w:rPr>
        <w:t>3  BIM总协调方根据项目实施目标，确定项目BIM实施应用点。项目各阶段BIM实施应用点详见《附件：BIM实施导则》中附表4。</w:t>
      </w:r>
      <w:bookmarkEnd w:id="414"/>
      <w:bookmarkEnd w:id="415"/>
    </w:p>
    <w:p>
      <w:pPr>
        <w:pStyle w:val="587"/>
        <w:numPr>
          <w:ilvl w:val="2"/>
          <w:numId w:val="3"/>
        </w:numPr>
        <w:spacing w:beforeLines="50" w:afterLines="50" w:line="360" w:lineRule="auto"/>
        <w:outlineLvl w:val="3"/>
        <w:rPr>
          <w:rFonts w:ascii="LNUHNF+SimSun" w:hAnsi="LNUHNF+SimSun" w:cs="宋体"/>
          <w:color w:val="auto"/>
          <w:szCs w:val="21"/>
        </w:rPr>
      </w:pPr>
      <w:bookmarkStart w:id="416" w:name="_Toc27784"/>
      <w:bookmarkStart w:id="417" w:name="_Toc16607"/>
      <w:r>
        <w:rPr>
          <w:rFonts w:ascii="LNUHNF+SimSun" w:hAnsi="LNUHNF+SimSun" w:cs="宋体"/>
          <w:color w:val="auto"/>
          <w:szCs w:val="21"/>
        </w:rPr>
        <w:t>设计阶段BIM管理流程</w:t>
      </w:r>
      <w:bookmarkEnd w:id="416"/>
      <w:bookmarkEnd w:id="417"/>
    </w:p>
    <w:p>
      <w:pPr>
        <w:spacing w:before="120" w:after="120"/>
        <w:outlineLvl w:val="4"/>
        <w:rPr>
          <w:color w:val="auto"/>
        </w:rPr>
      </w:pPr>
      <w:bookmarkStart w:id="418" w:name="_Toc26819"/>
      <w:bookmarkStart w:id="419" w:name="_Toc25485"/>
      <w:r>
        <w:rPr>
          <w:color w:val="auto"/>
        </w:rPr>
        <w:t xml:space="preserve">1  </w:t>
      </w:r>
      <w:r>
        <w:rPr>
          <w:rFonts w:hint="eastAsia"/>
          <w:color w:val="auto"/>
        </w:rPr>
        <w:t>编制</w:t>
      </w:r>
      <w:r>
        <w:rPr>
          <w:color w:val="auto"/>
        </w:rPr>
        <w:t>《设计阶段BIM实施方案》</w:t>
      </w:r>
      <w:bookmarkEnd w:id="418"/>
      <w:bookmarkEnd w:id="419"/>
    </w:p>
    <w:p>
      <w:pPr>
        <w:spacing w:before="120" w:after="120"/>
        <w:rPr>
          <w:color w:val="auto"/>
        </w:rPr>
      </w:pPr>
      <w:r>
        <w:rPr>
          <w:color w:val="auto"/>
        </w:rPr>
        <w:t>根据项目设计特点，BIM总协调方编制《设计阶段BIM实施方案》</w:t>
      </w:r>
      <w:r>
        <w:rPr>
          <w:rFonts w:hint="eastAsia"/>
          <w:color w:val="auto"/>
        </w:rPr>
        <w:t>，</w:t>
      </w:r>
      <w:r>
        <w:rPr>
          <w:color w:val="auto"/>
        </w:rPr>
        <w:t>《设计阶段BIM实施方案》应包括以下内容：</w:t>
      </w:r>
    </w:p>
    <w:p>
      <w:pPr>
        <w:spacing w:before="120" w:after="120"/>
        <w:rPr>
          <w:color w:val="auto"/>
        </w:rPr>
      </w:pPr>
      <w:r>
        <w:rPr>
          <w:color w:val="auto"/>
        </w:rPr>
        <w:t>1）BIM软件及版本；</w:t>
      </w:r>
    </w:p>
    <w:p>
      <w:pPr>
        <w:spacing w:before="120" w:after="120"/>
        <w:rPr>
          <w:color w:val="auto"/>
        </w:rPr>
      </w:pPr>
      <w:r>
        <w:rPr>
          <w:color w:val="auto"/>
        </w:rPr>
        <w:t>2）设计阶段BIM应用目的；</w:t>
      </w:r>
    </w:p>
    <w:p>
      <w:pPr>
        <w:spacing w:before="120" w:after="120"/>
        <w:rPr>
          <w:color w:val="auto"/>
        </w:rPr>
      </w:pPr>
      <w:r>
        <w:rPr>
          <w:color w:val="auto"/>
        </w:rPr>
        <w:t>3）设计阶段BIM应用范围；</w:t>
      </w:r>
    </w:p>
    <w:p>
      <w:pPr>
        <w:spacing w:before="120" w:after="120"/>
        <w:rPr>
          <w:color w:val="auto"/>
        </w:rPr>
      </w:pPr>
      <w:r>
        <w:rPr>
          <w:color w:val="auto"/>
        </w:rPr>
        <w:t>4）BIM工作内容；</w:t>
      </w:r>
    </w:p>
    <w:p>
      <w:pPr>
        <w:spacing w:before="120" w:after="120"/>
        <w:rPr>
          <w:color w:val="auto"/>
        </w:rPr>
      </w:pPr>
      <w:r>
        <w:rPr>
          <w:color w:val="auto"/>
        </w:rPr>
        <w:t>5）各专业模型内容；</w:t>
      </w:r>
    </w:p>
    <w:p>
      <w:pPr>
        <w:spacing w:before="120" w:after="120"/>
        <w:rPr>
          <w:color w:val="auto"/>
        </w:rPr>
      </w:pPr>
      <w:r>
        <w:rPr>
          <w:color w:val="auto"/>
        </w:rPr>
        <w:t>5）各阶段模型深度要求；</w:t>
      </w:r>
    </w:p>
    <w:p>
      <w:pPr>
        <w:spacing w:before="120" w:after="120"/>
        <w:rPr>
          <w:color w:val="auto"/>
        </w:rPr>
      </w:pPr>
      <w:r>
        <w:rPr>
          <w:color w:val="auto"/>
        </w:rPr>
        <w:t>6）BIM颜色要求；</w:t>
      </w:r>
    </w:p>
    <w:p>
      <w:pPr>
        <w:spacing w:before="120" w:after="120"/>
        <w:rPr>
          <w:color w:val="auto"/>
        </w:rPr>
      </w:pPr>
      <w:r>
        <w:rPr>
          <w:color w:val="auto"/>
        </w:rPr>
        <w:t>7）BIM模型组织方式；</w:t>
      </w:r>
    </w:p>
    <w:p>
      <w:pPr>
        <w:spacing w:before="120" w:after="120"/>
        <w:rPr>
          <w:color w:val="auto"/>
        </w:rPr>
      </w:pPr>
      <w:r>
        <w:rPr>
          <w:color w:val="auto"/>
        </w:rPr>
        <w:t>8）建模规则与信息要求；</w:t>
      </w:r>
    </w:p>
    <w:p>
      <w:pPr>
        <w:spacing w:before="120" w:after="120"/>
        <w:rPr>
          <w:color w:val="auto"/>
        </w:rPr>
      </w:pPr>
      <w:r>
        <w:rPr>
          <w:color w:val="auto"/>
        </w:rPr>
        <w:t>9）协同工作分工；</w:t>
      </w:r>
    </w:p>
    <w:p>
      <w:pPr>
        <w:spacing w:before="120" w:after="120"/>
        <w:rPr>
          <w:color w:val="auto"/>
        </w:rPr>
      </w:pPr>
      <w:r>
        <w:rPr>
          <w:color w:val="auto"/>
        </w:rPr>
        <w:t>10）成果交付格式及内容。</w:t>
      </w:r>
    </w:p>
    <w:p>
      <w:pPr>
        <w:spacing w:before="120" w:after="120"/>
        <w:outlineLvl w:val="4"/>
        <w:rPr>
          <w:color w:val="auto"/>
        </w:rPr>
      </w:pPr>
      <w:bookmarkStart w:id="420" w:name="_Toc3924"/>
      <w:bookmarkStart w:id="421" w:name="_Toc2673"/>
      <w:r>
        <w:rPr>
          <w:color w:val="auto"/>
        </w:rPr>
        <w:t>2  设计阶段BIM应用目的</w:t>
      </w:r>
      <w:bookmarkEnd w:id="420"/>
      <w:bookmarkEnd w:id="421"/>
    </w:p>
    <w:p>
      <w:pPr>
        <w:spacing w:before="120" w:after="120"/>
        <w:rPr>
          <w:color w:val="auto"/>
        </w:rPr>
      </w:pPr>
      <w:r>
        <w:rPr>
          <w:color w:val="auto"/>
        </w:rPr>
        <w:t>通过在项目设计阶段应用BIM技术和管理方法，在项目设计过程中把握工程设计的方向，解决设计阶段多方沟通、协调问题，切实控制设计质量，避免下阶段的工程风险。通过模拟项目的建设过程对项目进行优化。</w:t>
      </w:r>
    </w:p>
    <w:p>
      <w:pPr>
        <w:spacing w:before="120" w:after="120"/>
        <w:outlineLvl w:val="4"/>
        <w:rPr>
          <w:color w:val="auto"/>
        </w:rPr>
      </w:pPr>
      <w:bookmarkStart w:id="422" w:name="_Toc2421"/>
      <w:bookmarkStart w:id="423" w:name="_Toc17658"/>
      <w:r>
        <w:rPr>
          <w:color w:val="auto"/>
        </w:rPr>
        <w:t>3  设计阶段BIM应用要求</w:t>
      </w:r>
      <w:bookmarkEnd w:id="422"/>
      <w:bookmarkEnd w:id="423"/>
    </w:p>
    <w:p>
      <w:pPr>
        <w:spacing w:before="120" w:after="120"/>
        <w:rPr>
          <w:color w:val="auto"/>
        </w:rPr>
      </w:pPr>
      <w:r>
        <w:rPr>
          <w:color w:val="auto"/>
        </w:rPr>
        <w:t>1）应根据模型信息版本进行清晰的版次管理；</w:t>
      </w:r>
    </w:p>
    <w:p>
      <w:pPr>
        <w:spacing w:before="120" w:after="120"/>
        <w:rPr>
          <w:color w:val="auto"/>
        </w:rPr>
      </w:pPr>
      <w:r>
        <w:rPr>
          <w:color w:val="auto"/>
        </w:rPr>
        <w:t>2）设计各专业模型均应考虑后续算量、施工要求，严格按照BIM建模标准进行创建；</w:t>
      </w:r>
    </w:p>
    <w:p>
      <w:pPr>
        <w:spacing w:before="120" w:after="120"/>
        <w:rPr>
          <w:color w:val="auto"/>
        </w:rPr>
      </w:pPr>
      <w:r>
        <w:rPr>
          <w:color w:val="auto"/>
        </w:rPr>
        <w:t>3）项目设计单位应根据设计范围，创建各专业设计BIM模型，设计模型须真实反映设计的内容，用于沟通、协调、分析以及设计优化工作。</w:t>
      </w:r>
    </w:p>
    <w:p>
      <w:pPr>
        <w:spacing w:before="120" w:after="120"/>
        <w:rPr>
          <w:color w:val="auto"/>
        </w:rPr>
      </w:pPr>
      <w:r>
        <w:rPr>
          <w:color w:val="auto"/>
        </w:rPr>
        <w:t>4）应充分利用BIM模型所含信息进行协同工作，以确保工程建设各阶段、各专业的信息有效传递；</w:t>
      </w:r>
    </w:p>
    <w:p>
      <w:pPr>
        <w:spacing w:before="120" w:after="120"/>
        <w:rPr>
          <w:color w:val="auto"/>
        </w:rPr>
      </w:pPr>
      <w:r>
        <w:rPr>
          <w:color w:val="auto"/>
        </w:rPr>
        <w:t>5）设计单位提交BIM成果中的图元信息应与设计单位提供的图纸信息一致；</w:t>
      </w:r>
    </w:p>
    <w:p>
      <w:pPr>
        <w:spacing w:before="120" w:after="120"/>
        <w:rPr>
          <w:color w:val="auto"/>
        </w:rPr>
      </w:pPr>
      <w:r>
        <w:rPr>
          <w:color w:val="auto"/>
        </w:rPr>
        <w:t>6）当设计发生修改时，设计单位应及时进行BIM模型的更新，以确保模型与图纸始终保持一致；</w:t>
      </w:r>
    </w:p>
    <w:p>
      <w:pPr>
        <w:spacing w:before="120" w:after="120"/>
        <w:rPr>
          <w:color w:val="auto"/>
        </w:rPr>
      </w:pPr>
      <w:r>
        <w:rPr>
          <w:color w:val="auto"/>
        </w:rPr>
        <w:t>7）各专业设计阶段BIM应用职责分配详见《附件：BIM实施导则》附表1。</w:t>
      </w:r>
    </w:p>
    <w:p>
      <w:pPr>
        <w:spacing w:before="120" w:after="120"/>
        <w:rPr>
          <w:color w:val="auto"/>
        </w:rPr>
      </w:pPr>
      <w:r>
        <w:rPr>
          <w:color w:val="auto"/>
        </w:rPr>
        <w:t>8）利用模型进行可建性分析、可视性分析、能耗物理分析及造价分析等。</w:t>
      </w:r>
    </w:p>
    <w:p>
      <w:pPr>
        <w:spacing w:before="120" w:after="120"/>
        <w:outlineLvl w:val="4"/>
        <w:rPr>
          <w:color w:val="auto"/>
        </w:rPr>
      </w:pPr>
      <w:bookmarkStart w:id="424" w:name="_Toc23500"/>
      <w:bookmarkStart w:id="425" w:name="_Toc10922"/>
      <w:r>
        <w:rPr>
          <w:color w:val="auto"/>
        </w:rPr>
        <w:t>4  设计阶段BIM管理内容</w:t>
      </w:r>
      <w:bookmarkEnd w:id="424"/>
      <w:bookmarkEnd w:id="425"/>
    </w:p>
    <w:p>
      <w:pPr>
        <w:spacing w:before="120" w:after="120"/>
        <w:rPr>
          <w:color w:val="auto"/>
        </w:rPr>
      </w:pPr>
      <w:r>
        <w:rPr>
          <w:color w:val="auto"/>
        </w:rPr>
        <w:t>1）根据《设计阶段的BIM实施方案》中的BIM设计工作计划，设计单位应提供设计任务书规定的BIM模型；</w:t>
      </w:r>
    </w:p>
    <w:p>
      <w:pPr>
        <w:spacing w:before="120" w:after="120"/>
        <w:rPr>
          <w:color w:val="auto"/>
        </w:rPr>
      </w:pPr>
      <w:r>
        <w:rPr>
          <w:color w:val="auto"/>
        </w:rPr>
        <w:t>2）设计各阶段BIM应用内容及提交成果详见《附件：BIM实施导则》中附图4~附图7。</w:t>
      </w:r>
    </w:p>
    <w:p>
      <w:pPr>
        <w:spacing w:before="120" w:after="120"/>
        <w:rPr>
          <w:color w:val="auto"/>
        </w:rPr>
      </w:pPr>
      <w:r>
        <w:rPr>
          <w:color w:val="auto"/>
        </w:rPr>
        <w:t>3）设计阶段BIM成果经BIM负责人确认后提交，BIM总协调方进行BIM模型评审，确保设计阶段BIM模型成果符合阶段模型精细度要求及大纲制定的BIM建模标准要求；</w:t>
      </w:r>
    </w:p>
    <w:p>
      <w:pPr>
        <w:spacing w:before="120" w:after="120"/>
        <w:rPr>
          <w:color w:val="auto"/>
        </w:rPr>
      </w:pPr>
      <w:r>
        <w:rPr>
          <w:color w:val="auto"/>
        </w:rPr>
        <w:t>4）BIM总协调方对设计阶段BIM应用成果进行评审后，整理归档至项目协同平台，该设计阶段BIM成果性文件将作为施工阶段BIM实施依据性文件；</w:t>
      </w:r>
    </w:p>
    <w:p>
      <w:pPr>
        <w:spacing w:before="120" w:after="120"/>
        <w:outlineLvl w:val="4"/>
        <w:rPr>
          <w:color w:val="auto"/>
        </w:rPr>
      </w:pPr>
      <w:bookmarkStart w:id="426" w:name="_Toc2038"/>
      <w:bookmarkStart w:id="427" w:name="_Toc19706"/>
      <w:r>
        <w:rPr>
          <w:color w:val="auto"/>
        </w:rPr>
        <w:t>5  设计阶段BIM应用流程</w:t>
      </w:r>
      <w:bookmarkEnd w:id="426"/>
      <w:bookmarkEnd w:id="427"/>
    </w:p>
    <w:p>
      <w:pPr>
        <w:spacing w:before="120" w:after="120"/>
        <w:rPr>
          <w:color w:val="auto"/>
        </w:rPr>
      </w:pPr>
      <w:r>
        <w:rPr>
          <w:color w:val="auto"/>
        </w:rPr>
        <w:t>设计阶段BIM项目参与方包括代建局</w:t>
      </w:r>
      <w:r>
        <w:rPr>
          <w:rFonts w:hint="eastAsia"/>
          <w:color w:val="auto"/>
        </w:rPr>
        <w:t>前期工作部</w:t>
      </w:r>
      <w:r>
        <w:rPr>
          <w:color w:val="auto"/>
        </w:rPr>
        <w:t>、BIM总协调、设计单位等。各设计单位应完成代建局合同制定范围内的设计工作以及BIM技术应用，设计</w:t>
      </w:r>
      <w:r>
        <w:rPr>
          <w:rFonts w:hint="eastAsia"/>
          <w:color w:val="auto"/>
        </w:rPr>
        <w:t>单位</w:t>
      </w:r>
      <w:r>
        <w:rPr>
          <w:color w:val="auto"/>
        </w:rPr>
        <w:t>负责通过BIM平台整合设计分包的BIM设计资源并提交至BIM总协调方进行统一性审核。</w:t>
      </w:r>
    </w:p>
    <w:p>
      <w:pPr>
        <w:pStyle w:val="587"/>
        <w:numPr>
          <w:ilvl w:val="2"/>
          <w:numId w:val="3"/>
        </w:numPr>
        <w:spacing w:beforeLines="50" w:afterLines="50" w:line="360" w:lineRule="auto"/>
        <w:outlineLvl w:val="3"/>
        <w:rPr>
          <w:rFonts w:ascii="LNUHNF+SimSun" w:hAnsi="LNUHNF+SimSun" w:cs="宋体"/>
          <w:color w:val="auto"/>
          <w:szCs w:val="21"/>
        </w:rPr>
      </w:pPr>
      <w:bookmarkStart w:id="428" w:name="_Toc10696"/>
      <w:bookmarkStart w:id="429" w:name="_Toc29229"/>
      <w:r>
        <w:rPr>
          <w:rFonts w:ascii="LNUHNF+SimSun" w:hAnsi="LNUHNF+SimSun" w:cs="宋体"/>
          <w:color w:val="auto"/>
          <w:szCs w:val="21"/>
        </w:rPr>
        <w:t>施工阶段BIM管理流程</w:t>
      </w:r>
      <w:bookmarkEnd w:id="428"/>
      <w:bookmarkEnd w:id="429"/>
    </w:p>
    <w:p>
      <w:pPr>
        <w:spacing w:before="120" w:after="120"/>
        <w:outlineLvl w:val="4"/>
        <w:rPr>
          <w:color w:val="auto"/>
        </w:rPr>
      </w:pPr>
      <w:bookmarkStart w:id="430" w:name="_Toc10452"/>
      <w:bookmarkStart w:id="431" w:name="_Toc17497"/>
      <w:r>
        <w:rPr>
          <w:color w:val="auto"/>
        </w:rPr>
        <w:t>1  施工阶段BIM实施目标</w:t>
      </w:r>
      <w:bookmarkEnd w:id="430"/>
      <w:bookmarkEnd w:id="431"/>
    </w:p>
    <w:p>
      <w:pPr>
        <w:spacing w:before="120" w:after="120"/>
        <w:rPr>
          <w:color w:val="auto"/>
        </w:rPr>
      </w:pPr>
      <w:r>
        <w:rPr>
          <w:color w:val="auto"/>
        </w:rPr>
        <w:t>在项目施工阶段应用BIM技术，建立项目施工阶段BIM实施体系及准则，为BIM项目管理提供技术支持，通过信息化管理的手段，提升项目施工精细化管理水平，实现工程实体与BIM信息化技术的同步交付成果，为运营方后期物业运维提供信息化支持，打通全生命周期中施工至运维的BIM应用环节。</w:t>
      </w:r>
    </w:p>
    <w:p>
      <w:pPr>
        <w:spacing w:before="120" w:after="120"/>
        <w:outlineLvl w:val="4"/>
        <w:rPr>
          <w:color w:val="auto"/>
        </w:rPr>
      </w:pPr>
      <w:bookmarkStart w:id="432" w:name="_Toc5625"/>
      <w:bookmarkStart w:id="433" w:name="_Toc14295"/>
      <w:r>
        <w:rPr>
          <w:color w:val="auto"/>
        </w:rPr>
        <w:t>2  施工阶段BIM实施管理方法及流程</w:t>
      </w:r>
      <w:bookmarkEnd w:id="432"/>
      <w:bookmarkEnd w:id="433"/>
    </w:p>
    <w:p>
      <w:pPr>
        <w:spacing w:before="120" w:after="120"/>
        <w:rPr>
          <w:color w:val="auto"/>
        </w:rPr>
      </w:pPr>
      <w:r>
        <w:rPr>
          <w:color w:val="auto"/>
        </w:rPr>
        <w:t>1）项目施工实施前，BIM总协调方根据项目特点、项目组织方式、项目BIM实施大纲等要求，制定《项目施工阶段BIM实施方案》。方案应包括：</w:t>
      </w:r>
    </w:p>
    <w:p>
      <w:pPr>
        <w:spacing w:before="120" w:after="120"/>
        <w:rPr>
          <w:color w:val="auto"/>
        </w:rPr>
      </w:pPr>
      <w:r>
        <w:rPr>
          <w:color w:val="auto"/>
        </w:rPr>
        <w:t>（1）项目施工阶段BIM实施目标；</w:t>
      </w:r>
    </w:p>
    <w:p>
      <w:pPr>
        <w:spacing w:before="120" w:after="120"/>
        <w:rPr>
          <w:color w:val="auto"/>
        </w:rPr>
      </w:pPr>
      <w:r>
        <w:rPr>
          <w:color w:val="auto"/>
        </w:rPr>
        <w:t>（2）各参与方的BIM实施职责及团队配置要求；</w:t>
      </w:r>
    </w:p>
    <w:p>
      <w:pPr>
        <w:spacing w:before="120" w:after="120"/>
        <w:rPr>
          <w:color w:val="auto"/>
        </w:rPr>
      </w:pPr>
      <w:r>
        <w:rPr>
          <w:color w:val="auto"/>
        </w:rPr>
        <w:t>（3）施工阶段BIM实施计划；</w:t>
      </w:r>
    </w:p>
    <w:p>
      <w:pPr>
        <w:spacing w:before="120" w:after="120"/>
        <w:rPr>
          <w:color w:val="auto"/>
        </w:rPr>
      </w:pPr>
      <w:r>
        <w:rPr>
          <w:color w:val="auto"/>
        </w:rPr>
        <w:t>（4）施工阶段各参与方项目协同权限分配及协同机制；</w:t>
      </w:r>
    </w:p>
    <w:p>
      <w:pPr>
        <w:spacing w:before="120" w:after="120"/>
        <w:rPr>
          <w:color w:val="auto"/>
        </w:rPr>
      </w:pPr>
      <w:r>
        <w:rPr>
          <w:color w:val="auto"/>
        </w:rPr>
        <w:t>（5）软件版本及数据格式的统一；</w:t>
      </w:r>
    </w:p>
    <w:p>
      <w:pPr>
        <w:spacing w:before="120" w:after="120"/>
        <w:rPr>
          <w:color w:val="auto"/>
        </w:rPr>
      </w:pPr>
      <w:r>
        <w:rPr>
          <w:color w:val="auto"/>
        </w:rPr>
        <w:t>（6）项目BIM实施应用管理办法；</w:t>
      </w:r>
    </w:p>
    <w:p>
      <w:pPr>
        <w:spacing w:before="120" w:after="120"/>
        <w:rPr>
          <w:color w:val="auto"/>
        </w:rPr>
      </w:pPr>
      <w:r>
        <w:rPr>
          <w:color w:val="auto"/>
        </w:rPr>
        <w:t>（7）信息录入标准；</w:t>
      </w:r>
    </w:p>
    <w:p>
      <w:pPr>
        <w:spacing w:before="120" w:after="120"/>
        <w:rPr>
          <w:color w:val="auto"/>
        </w:rPr>
      </w:pPr>
      <w:r>
        <w:rPr>
          <w:color w:val="auto"/>
        </w:rPr>
        <w:t>（8）项目成果交付要求；</w:t>
      </w:r>
    </w:p>
    <w:p>
      <w:pPr>
        <w:spacing w:before="120" w:after="120"/>
        <w:rPr>
          <w:color w:val="auto"/>
        </w:rPr>
      </w:pPr>
      <w:r>
        <w:rPr>
          <w:color w:val="auto"/>
        </w:rPr>
        <w:t>（9）审核/确认：BIM成功和数据的审核/确认流程。</w:t>
      </w:r>
    </w:p>
    <w:p>
      <w:pPr>
        <w:spacing w:before="120" w:after="120"/>
        <w:rPr>
          <w:color w:val="auto"/>
        </w:rPr>
      </w:pPr>
      <w:r>
        <w:rPr>
          <w:color w:val="auto"/>
        </w:rPr>
        <w:t>2）施工单位进场后，施工单位组建BIM实施团队。BIM总协调方对项目BIM实施技术交底。</w:t>
      </w:r>
    </w:p>
    <w:p>
      <w:pPr>
        <w:spacing w:before="120" w:after="120"/>
        <w:rPr>
          <w:color w:val="auto"/>
        </w:rPr>
      </w:pPr>
      <w:r>
        <w:rPr>
          <w:color w:val="auto"/>
        </w:rPr>
        <w:t>3）BIM总协调方根据项目施工组织方式，分配施工单位协同平台权限，施工各参与方通过项目协同平台共同维护及更新施工阶段BIM数据。</w:t>
      </w:r>
    </w:p>
    <w:p>
      <w:pPr>
        <w:spacing w:before="120" w:after="120"/>
        <w:rPr>
          <w:color w:val="auto"/>
        </w:rPr>
      </w:pPr>
      <w:r>
        <w:rPr>
          <w:color w:val="auto"/>
        </w:rPr>
        <w:t>4）BIM总协调方管理、协调、整合施工单位的BIM工作，并对施工单位提供技术支持。施工单位对其模型进行深化、更新和维护。</w:t>
      </w:r>
    </w:p>
    <w:p>
      <w:pPr>
        <w:spacing w:before="120" w:after="120"/>
        <w:rPr>
          <w:color w:val="auto"/>
        </w:rPr>
      </w:pPr>
      <w:r>
        <w:rPr>
          <w:color w:val="auto"/>
        </w:rPr>
        <w:t>5）施工单位收到设计BIM成果后，进行BIM成果会审，统计工程量，编写施工组织方案，应用设计成果进行施工组织设计及施工方案的模拟与优化。</w:t>
      </w:r>
    </w:p>
    <w:p>
      <w:pPr>
        <w:spacing w:before="120" w:after="120"/>
        <w:rPr>
          <w:color w:val="auto"/>
        </w:rPr>
      </w:pPr>
      <w:r>
        <w:rPr>
          <w:color w:val="auto"/>
        </w:rPr>
        <w:t>6）施工单位按工作范围及施工阶段BIM实施计划提交施工各阶段BIM成果，对施工阶段的BIM成果进行校核和调整，确保BIM成果与各参与方提供的施工深化成果一致。</w:t>
      </w:r>
    </w:p>
    <w:p>
      <w:pPr>
        <w:spacing w:before="120" w:after="120"/>
        <w:rPr>
          <w:color w:val="auto"/>
        </w:rPr>
      </w:pPr>
      <w:r>
        <w:rPr>
          <w:color w:val="auto"/>
        </w:rPr>
        <w:t>7）将施工阶段确定的信息在施工过程模型中进行添加或更新，并对施工变更的内容进行BIM模型和信息的更新，最终形成竣工BIM成果。</w:t>
      </w:r>
    </w:p>
    <w:p>
      <w:pPr>
        <w:spacing w:before="120" w:after="120"/>
        <w:rPr>
          <w:color w:val="auto"/>
        </w:rPr>
      </w:pPr>
      <w:r>
        <w:rPr>
          <w:color w:val="auto"/>
        </w:rPr>
        <w:t>8）施工阶段项目BIM实施总体流程及工作内容详见《附件：BIM实施导则》中附图8。</w:t>
      </w:r>
    </w:p>
    <w:p>
      <w:pPr>
        <w:spacing w:before="120" w:after="120"/>
        <w:outlineLvl w:val="4"/>
        <w:rPr>
          <w:color w:val="auto"/>
        </w:rPr>
      </w:pPr>
      <w:bookmarkStart w:id="434" w:name="_Toc24675"/>
      <w:bookmarkStart w:id="435" w:name="_Toc31048"/>
      <w:r>
        <w:rPr>
          <w:color w:val="auto"/>
        </w:rPr>
        <w:t>3  项目BIM团队组织架构及人员配置</w:t>
      </w:r>
      <w:bookmarkEnd w:id="434"/>
      <w:bookmarkEnd w:id="435"/>
    </w:p>
    <w:p>
      <w:pPr>
        <w:spacing w:before="120" w:after="120"/>
        <w:rPr>
          <w:color w:val="auto"/>
        </w:rPr>
      </w:pPr>
      <w:r>
        <w:rPr>
          <w:color w:val="auto"/>
        </w:rPr>
        <w:t>1）项目BIM团队组织架构</w:t>
      </w:r>
    </w:p>
    <w:p>
      <w:pPr>
        <w:spacing w:before="120" w:after="120"/>
        <w:rPr>
          <w:color w:val="auto"/>
        </w:rPr>
      </w:pPr>
      <w:r>
        <w:rPr>
          <w:color w:val="auto"/>
        </w:rPr>
        <w:t>施工阶段项目BIM管理团队主要有BIM总协调团队和各专业分包方BIM团队在BIM总协调统一管理和组织下开展BIM项目管理工作，项目BIM团队组织架构详见《附件：BIM实施导则》中附图9。</w:t>
      </w:r>
    </w:p>
    <w:p>
      <w:pPr>
        <w:spacing w:before="120" w:after="120"/>
        <w:rPr>
          <w:color w:val="auto"/>
        </w:rPr>
      </w:pPr>
      <w:r>
        <w:rPr>
          <w:color w:val="auto"/>
        </w:rPr>
        <w:t>2）团队职责</w:t>
      </w:r>
    </w:p>
    <w:p>
      <w:pPr>
        <w:spacing w:before="120" w:after="120"/>
        <w:rPr>
          <w:color w:val="auto"/>
        </w:rPr>
      </w:pPr>
      <w:r>
        <w:rPr>
          <w:color w:val="auto"/>
        </w:rPr>
        <w:t>在本代建局施工阶段BIM管理组织架构下，各团队职责详见《附件：BIM实施导则》中附表5。</w:t>
      </w:r>
    </w:p>
    <w:p>
      <w:pPr>
        <w:spacing w:before="120" w:after="120"/>
        <w:outlineLvl w:val="4"/>
        <w:rPr>
          <w:color w:val="auto"/>
        </w:rPr>
      </w:pPr>
      <w:bookmarkStart w:id="436" w:name="_Toc15417"/>
      <w:bookmarkStart w:id="437" w:name="_Toc28860"/>
      <w:r>
        <w:rPr>
          <w:color w:val="auto"/>
        </w:rPr>
        <w:t>4  BIM实施计划</w:t>
      </w:r>
      <w:bookmarkEnd w:id="436"/>
      <w:bookmarkEnd w:id="437"/>
    </w:p>
    <w:p>
      <w:pPr>
        <w:spacing w:before="120" w:after="120"/>
        <w:rPr>
          <w:color w:val="auto"/>
        </w:rPr>
      </w:pPr>
      <w:r>
        <w:rPr>
          <w:color w:val="auto"/>
        </w:rPr>
        <w:t>根据施工不同阶段过程，BIM总协调单位根据项目总进度计划编制项目BIM实施计划，项目BIM实施计划如《附件：BIM实施导则》中附表6所示。</w:t>
      </w:r>
    </w:p>
    <w:p>
      <w:pPr>
        <w:spacing w:before="120" w:after="120"/>
        <w:outlineLvl w:val="4"/>
        <w:rPr>
          <w:color w:val="auto"/>
        </w:rPr>
      </w:pPr>
      <w:bookmarkStart w:id="438" w:name="_Toc19627"/>
      <w:bookmarkStart w:id="439" w:name="_Toc376"/>
      <w:r>
        <w:rPr>
          <w:color w:val="auto"/>
        </w:rPr>
        <w:t>5  BIM前期准备</w:t>
      </w:r>
      <w:bookmarkEnd w:id="438"/>
      <w:bookmarkEnd w:id="439"/>
    </w:p>
    <w:p>
      <w:pPr>
        <w:spacing w:before="120" w:after="120"/>
        <w:rPr>
          <w:color w:val="auto"/>
        </w:rPr>
      </w:pPr>
      <w:r>
        <w:rPr>
          <w:color w:val="auto"/>
        </w:rPr>
        <w:t>施工阶段BIM前期准备主要工作内容包括团队建立、制定项目BIM实施细则、建立协同环境、进行BIM模型会审、和BIM工程量统计等。前期准备工作流程如《附件：BIM实施导则》中附图10所示。</w:t>
      </w:r>
    </w:p>
    <w:p>
      <w:pPr>
        <w:spacing w:before="120" w:after="120"/>
        <w:rPr>
          <w:color w:val="auto"/>
        </w:rPr>
      </w:pPr>
      <w:r>
        <w:rPr>
          <w:color w:val="auto"/>
        </w:rPr>
        <w:t>1）团队建立施工单位进场后，应马上着手按招标合同范围组建BIM队伍，配置足够的人员参与代建局项目BIM实施中，每个承建队伍应配置一名熟悉BIM实施管理的BIM专业负责人。各承建单位的BIM实施团队在BIM总协调单位管理下完成项目实施工作。</w:t>
      </w:r>
    </w:p>
    <w:p>
      <w:pPr>
        <w:spacing w:before="120" w:after="120"/>
        <w:rPr>
          <w:color w:val="auto"/>
        </w:rPr>
      </w:pPr>
      <w:r>
        <w:rPr>
          <w:color w:val="auto"/>
        </w:rPr>
        <w:t>2）制定项目BIM实施细则</w:t>
      </w:r>
    </w:p>
    <w:p>
      <w:pPr>
        <w:spacing w:before="120" w:after="120"/>
        <w:rPr>
          <w:color w:val="auto"/>
        </w:rPr>
      </w:pPr>
      <w:r>
        <w:rPr>
          <w:color w:val="auto"/>
        </w:rPr>
        <w:t>BIM总协调单位应在项目开始前编制《施工阶段BIM实施方案》，规定BIM实施标准、节点及交付要求。在各承建单位进场组建BIM实施团队后，由BIM总协调方向各承建单位进行BIM实施交底。各承建单位应根据《施工阶段BIM实施方案》内容进行专业和实施计划细化工作，经监理单位审核后，汇总至BIM总协调方并严格执行。</w:t>
      </w:r>
    </w:p>
    <w:p>
      <w:pPr>
        <w:spacing w:before="120" w:after="120"/>
        <w:rPr>
          <w:color w:val="auto"/>
        </w:rPr>
      </w:pPr>
      <w:r>
        <w:rPr>
          <w:color w:val="auto"/>
        </w:rPr>
        <w:t>3）建立BIM实施协同环境</w:t>
      </w:r>
    </w:p>
    <w:p>
      <w:pPr>
        <w:spacing w:before="120" w:after="120"/>
        <w:rPr>
          <w:color w:val="auto"/>
        </w:rPr>
      </w:pPr>
      <w:r>
        <w:rPr>
          <w:color w:val="auto"/>
        </w:rPr>
        <w:t>（1）各承建单位进场后，应根据BIM总协调方确定的软硬件配置规定，着手配置BIM实施的软硬件设备。</w:t>
      </w:r>
    </w:p>
    <w:p>
      <w:pPr>
        <w:spacing w:before="120" w:after="120"/>
        <w:rPr>
          <w:color w:val="auto"/>
        </w:rPr>
      </w:pPr>
      <w:r>
        <w:rPr>
          <w:color w:val="auto"/>
        </w:rPr>
        <w:t>（2）代建局</w:t>
      </w:r>
      <w:r>
        <w:rPr>
          <w:rFonts w:hint="eastAsia"/>
          <w:color w:val="auto"/>
        </w:rPr>
        <w:t>项目建设管理部</w:t>
      </w:r>
      <w:r>
        <w:rPr>
          <w:color w:val="auto"/>
        </w:rPr>
        <w:t>为项目提供BIM协同工作平台，BIM总协调根据项目的特征、施工管理方式、各承建单位的组成来制定项目BIM协同方式和协同办法并开通协同平台账户。项目BIM实施协同平台管理权限由BIM总协调方统一管理，并根据各承建单位的工作需要进行权限分配。</w:t>
      </w:r>
    </w:p>
    <w:p>
      <w:pPr>
        <w:spacing w:before="120" w:after="120"/>
        <w:outlineLvl w:val="4"/>
        <w:rPr>
          <w:color w:val="auto"/>
        </w:rPr>
      </w:pPr>
      <w:bookmarkStart w:id="440" w:name="_Toc28645"/>
      <w:bookmarkStart w:id="441" w:name="_Toc10923"/>
      <w:r>
        <w:rPr>
          <w:color w:val="auto"/>
        </w:rPr>
        <w:t>6  BIM设计成果会审</w:t>
      </w:r>
      <w:bookmarkEnd w:id="440"/>
      <w:bookmarkEnd w:id="441"/>
    </w:p>
    <w:p>
      <w:pPr>
        <w:spacing w:before="120" w:after="120"/>
        <w:rPr>
          <w:color w:val="auto"/>
        </w:rPr>
      </w:pPr>
      <w:r>
        <w:rPr>
          <w:color w:val="auto"/>
        </w:rPr>
        <w:t>BIM会审实施要点如下：</w:t>
      </w:r>
    </w:p>
    <w:p>
      <w:pPr>
        <w:spacing w:before="120" w:after="120"/>
        <w:rPr>
          <w:color w:val="auto"/>
        </w:rPr>
      </w:pPr>
      <w:r>
        <w:rPr>
          <w:color w:val="auto"/>
        </w:rPr>
        <w:t>1）设计的BIM成果由BIM总协调方分配协同平台权限，各参与方登陆协同平台获取相关专业的设计BIM模型；</w:t>
      </w:r>
    </w:p>
    <w:p>
      <w:pPr>
        <w:spacing w:before="120" w:after="120"/>
        <w:rPr>
          <w:color w:val="auto"/>
        </w:rPr>
      </w:pPr>
      <w:r>
        <w:rPr>
          <w:color w:val="auto"/>
        </w:rPr>
        <w:t>2）BIM模型会审现阶段应将施工蓝图和BIM模型结合，不同BIM软件制作的BIM模型应遵循统一的格式，施工单位应组织各专业间分区分段分层的利用轻量化进行碰撞检查；</w:t>
      </w:r>
    </w:p>
    <w:p>
      <w:pPr>
        <w:spacing w:before="120" w:after="120"/>
        <w:rPr>
          <w:color w:val="auto"/>
        </w:rPr>
      </w:pPr>
      <w:r>
        <w:rPr>
          <w:color w:val="auto"/>
        </w:rPr>
        <w:t>3）在多方会审过程中，将三维模型作为多方会审的沟通平台，在多方会审前将图纸中出现的问题在三维模型中进行标记，在会审时对问题进行逐个的评审并提出修改意见；</w:t>
      </w:r>
    </w:p>
    <w:p>
      <w:pPr>
        <w:spacing w:before="120" w:after="120"/>
        <w:rPr>
          <w:color w:val="auto"/>
        </w:rPr>
      </w:pPr>
      <w:r>
        <w:rPr>
          <w:color w:val="auto"/>
        </w:rPr>
        <w:t>4）在会审交底过程中，通过三维模型把会审的相关结果进行交底，向各参与方展示模型中相关问题的修改情况；</w:t>
      </w:r>
    </w:p>
    <w:p>
      <w:pPr>
        <w:spacing w:before="120" w:after="120"/>
        <w:rPr>
          <w:color w:val="auto"/>
        </w:rPr>
      </w:pPr>
      <w:r>
        <w:rPr>
          <w:color w:val="auto"/>
        </w:rPr>
        <w:t>5）设计成果及会审内容详见《BIM实施导则》；</w:t>
      </w:r>
    </w:p>
    <w:p>
      <w:pPr>
        <w:spacing w:before="120" w:after="120"/>
        <w:rPr>
          <w:color w:val="auto"/>
        </w:rPr>
      </w:pPr>
      <w:r>
        <w:rPr>
          <w:color w:val="auto"/>
        </w:rPr>
        <w:t>6）BIM模型会审流程详见《附件：BIM实施导则》中附图11。</w:t>
      </w:r>
    </w:p>
    <w:p>
      <w:pPr>
        <w:spacing w:before="120" w:after="120"/>
        <w:outlineLvl w:val="4"/>
        <w:rPr>
          <w:color w:val="auto"/>
        </w:rPr>
      </w:pPr>
      <w:bookmarkStart w:id="442" w:name="_Toc1848"/>
      <w:bookmarkStart w:id="443" w:name="_Toc6861"/>
      <w:r>
        <w:rPr>
          <w:color w:val="auto"/>
        </w:rPr>
        <w:t>7  BIM深化管理</w:t>
      </w:r>
      <w:bookmarkEnd w:id="442"/>
      <w:bookmarkEnd w:id="443"/>
    </w:p>
    <w:p>
      <w:pPr>
        <w:spacing w:before="120" w:after="120"/>
        <w:rPr>
          <w:color w:val="auto"/>
        </w:rPr>
      </w:pPr>
      <w:r>
        <w:rPr>
          <w:color w:val="auto"/>
        </w:rPr>
        <w:t>1）施工阶段BIM模型深化是指深化设计人员在原设计BIM成果的基础上，结合现场实际情况，对设计BIM成果进行完善、补充、添加等工作，使BIM成果满足原设计技术要求，符合相关地域设计规范和施工规范。施工阶段深化BIM成果通过监理、设计、BIM总协调方审查后能直接指导现场施工。</w:t>
      </w:r>
    </w:p>
    <w:p>
      <w:pPr>
        <w:spacing w:before="120" w:after="120"/>
        <w:rPr>
          <w:color w:val="auto"/>
        </w:rPr>
      </w:pPr>
      <w:r>
        <w:rPr>
          <w:color w:val="auto"/>
        </w:rPr>
        <w:t>2）BIM深化管理要求如下：</w:t>
      </w:r>
    </w:p>
    <w:p>
      <w:pPr>
        <w:spacing w:before="120" w:after="120"/>
        <w:rPr>
          <w:color w:val="auto"/>
        </w:rPr>
      </w:pPr>
      <w:r>
        <w:rPr>
          <w:color w:val="auto"/>
        </w:rPr>
        <w:t>（1）施工阶段各分包BIM团队在原设计BIM模型基础上进行深化工作，形成施工阶段BIM模型。施工阶段BIM模型必须遵循《施工阶段BIM实施方案》上关于模型建立的要求。</w:t>
      </w:r>
    </w:p>
    <w:p>
      <w:pPr>
        <w:spacing w:before="120" w:after="120"/>
        <w:rPr>
          <w:color w:val="auto"/>
        </w:rPr>
      </w:pPr>
      <w:r>
        <w:rPr>
          <w:color w:val="auto"/>
        </w:rPr>
        <w:t>（2）在多专业进行协调深化时，各专业深化后的模型应按照统一的原点以及轴网标高进行整合，形成项目施工阶段的整体模型。通过碰撞检查发现各专业之间的碰撞点，以第三人的视角对三维模型进行巡视，并检查相关净高以及净宽是否符合要求，最后由各方协调解决相关问题。</w:t>
      </w:r>
    </w:p>
    <w:p>
      <w:pPr>
        <w:spacing w:before="120" w:after="120"/>
        <w:rPr>
          <w:color w:val="auto"/>
        </w:rPr>
      </w:pPr>
      <w:r>
        <w:rPr>
          <w:color w:val="auto"/>
        </w:rPr>
        <w:t>（3）BIM深化模型深度应符合附件《附件：BIM实施导则》中“附表3各阶段BIM模型精细度要求”中LOD400的要求。</w:t>
      </w:r>
    </w:p>
    <w:p>
      <w:pPr>
        <w:spacing w:before="120" w:after="120"/>
        <w:rPr>
          <w:color w:val="auto"/>
        </w:rPr>
      </w:pPr>
      <w:r>
        <w:rPr>
          <w:color w:val="auto"/>
        </w:rPr>
        <w:t>（4）在施工单位针对设计BIM模型深化后，监理单位、设计单位、BIM总协调方通过协同平台确定深化模型的正确性，并做好深化记录和图纸确认单记录。</w:t>
      </w:r>
    </w:p>
    <w:p>
      <w:pPr>
        <w:spacing w:before="120" w:after="120"/>
        <w:rPr>
          <w:color w:val="auto"/>
        </w:rPr>
      </w:pPr>
      <w:r>
        <w:rPr>
          <w:color w:val="auto"/>
        </w:rPr>
        <w:t>3）BIM深化设计管理流程如《附件：BIM实施导则》中附图12所示。</w:t>
      </w:r>
    </w:p>
    <w:p>
      <w:pPr>
        <w:spacing w:before="120" w:after="120"/>
        <w:outlineLvl w:val="4"/>
        <w:rPr>
          <w:color w:val="auto"/>
        </w:rPr>
      </w:pPr>
      <w:bookmarkStart w:id="444" w:name="_Toc556"/>
      <w:bookmarkStart w:id="445" w:name="_Toc19812"/>
      <w:r>
        <w:rPr>
          <w:color w:val="auto"/>
        </w:rPr>
        <w:t>8  BIM施工组织优化管理</w:t>
      </w:r>
      <w:bookmarkEnd w:id="444"/>
      <w:bookmarkEnd w:id="445"/>
    </w:p>
    <w:p>
      <w:pPr>
        <w:spacing w:before="120" w:after="120"/>
        <w:rPr>
          <w:color w:val="auto"/>
        </w:rPr>
      </w:pPr>
      <w:r>
        <w:rPr>
          <w:color w:val="auto"/>
        </w:rPr>
        <w:t>基于BIM施工组织优化管理要求如下：</w:t>
      </w:r>
    </w:p>
    <w:p>
      <w:pPr>
        <w:spacing w:before="120" w:after="120"/>
        <w:rPr>
          <w:color w:val="auto"/>
        </w:rPr>
      </w:pPr>
      <w:r>
        <w:rPr>
          <w:color w:val="auto"/>
        </w:rPr>
        <w:t>1）基于BIM的施工组织设计应结合三维模型对施工进度相关控制节点进行施工模拟，展示不同的进度控制节点及工程各专业的施工进度；</w:t>
      </w:r>
    </w:p>
    <w:p>
      <w:pPr>
        <w:spacing w:before="120" w:after="120"/>
        <w:rPr>
          <w:color w:val="auto"/>
        </w:rPr>
      </w:pPr>
      <w:r>
        <w:rPr>
          <w:color w:val="auto"/>
        </w:rPr>
        <w:t>2）在对相关施工方案进行比选时，通过创建相应的三维模型对不同的施工方案进行三维模拟，并自动统计相应的工程量，为施工方案的选择提供参考；</w:t>
      </w:r>
    </w:p>
    <w:p>
      <w:pPr>
        <w:spacing w:before="120" w:after="120"/>
        <w:rPr>
          <w:color w:val="auto"/>
        </w:rPr>
      </w:pPr>
      <w:r>
        <w:rPr>
          <w:color w:val="auto"/>
        </w:rPr>
        <w:t>3）基于BIM的施工组织设计为劳动力计算、材料、机械、加工预制品等统计提供新的解决方法，在进行施工模拟的过程中，应将资金以及相关材料资源数据录入到模型当中，在进行施工模拟的同时也可查看在不同的进度节点相关资源的投入情况。</w:t>
      </w:r>
    </w:p>
    <w:p>
      <w:pPr>
        <w:spacing w:before="120" w:after="120"/>
        <w:outlineLvl w:val="4"/>
        <w:rPr>
          <w:color w:val="auto"/>
        </w:rPr>
      </w:pPr>
      <w:bookmarkStart w:id="446" w:name="_Toc6682"/>
      <w:bookmarkStart w:id="447" w:name="_Toc17076"/>
      <w:r>
        <w:rPr>
          <w:color w:val="auto"/>
        </w:rPr>
        <w:t>9  施工现场变更的BIM管理</w:t>
      </w:r>
      <w:bookmarkEnd w:id="446"/>
      <w:bookmarkEnd w:id="447"/>
    </w:p>
    <w:p>
      <w:pPr>
        <w:spacing w:before="120" w:after="120"/>
        <w:rPr>
          <w:color w:val="auto"/>
        </w:rPr>
      </w:pPr>
      <w:r>
        <w:rPr>
          <w:color w:val="auto"/>
        </w:rPr>
        <w:t>施工阶段BIM模型必须根据现场变更进行更新，在施工阶段基于BIM的变更管理应满足以下要求：</w:t>
      </w:r>
    </w:p>
    <w:p>
      <w:pPr>
        <w:spacing w:before="120" w:after="120"/>
        <w:rPr>
          <w:color w:val="auto"/>
        </w:rPr>
      </w:pPr>
      <w:r>
        <w:rPr>
          <w:color w:val="auto"/>
        </w:rPr>
        <w:t>1）现场设计变更，应由设计单位进行审核设计变更。依据设计变更内容，由施工单位对施工阶段模型进行设计变更的更新；</w:t>
      </w:r>
    </w:p>
    <w:p>
      <w:pPr>
        <w:spacing w:before="120" w:after="120"/>
        <w:rPr>
          <w:color w:val="auto"/>
        </w:rPr>
      </w:pPr>
      <w:r>
        <w:rPr>
          <w:color w:val="auto"/>
        </w:rPr>
        <w:t>2）变更完成之后，利用变更后BIM模型自动生成并导出施工图纸，确保变更图纸和模型一致，用于指导下一步的施工工作；</w:t>
      </w:r>
    </w:p>
    <w:p>
      <w:pPr>
        <w:spacing w:before="120" w:after="120"/>
        <w:rPr>
          <w:color w:val="auto"/>
        </w:rPr>
      </w:pPr>
      <w:r>
        <w:rPr>
          <w:color w:val="auto"/>
        </w:rPr>
        <w:t>3）利用软件的工程量自动统计功能，自动统计变更前和变更后以及不同的变更方案所产生的相关工程量的变化，为设计变更的审核提供参考。</w:t>
      </w:r>
    </w:p>
    <w:p>
      <w:pPr>
        <w:spacing w:before="120" w:after="120"/>
        <w:outlineLvl w:val="4"/>
        <w:rPr>
          <w:color w:val="auto"/>
        </w:rPr>
      </w:pPr>
      <w:bookmarkStart w:id="448" w:name="_Toc32313"/>
      <w:bookmarkStart w:id="449" w:name="_Toc20581"/>
      <w:r>
        <w:rPr>
          <w:color w:val="auto"/>
        </w:rPr>
        <w:t>10  BIM质量管理</w:t>
      </w:r>
      <w:bookmarkEnd w:id="448"/>
      <w:bookmarkEnd w:id="449"/>
    </w:p>
    <w:p>
      <w:pPr>
        <w:spacing w:before="120" w:after="120"/>
        <w:rPr>
          <w:color w:val="auto"/>
        </w:rPr>
      </w:pPr>
      <w:r>
        <w:rPr>
          <w:color w:val="auto"/>
        </w:rPr>
        <w:t>在BIM项目管理中，BIM技术可以在技术交底、现场实体检查、现场资料填写、样板引路等方面进行应用，帮助提高质量管理方面的效率和有效性。在实施过程中要点如下：</w:t>
      </w:r>
    </w:p>
    <w:p>
      <w:pPr>
        <w:spacing w:before="120" w:after="120"/>
        <w:rPr>
          <w:color w:val="auto"/>
        </w:rPr>
      </w:pPr>
      <w:r>
        <w:rPr>
          <w:color w:val="auto"/>
        </w:rPr>
        <w:t>1）模型与动画辅助技术交底针对比较复杂的建筑构件或难以二维表达的施工部位应利用BIM技术导出相关图片及视频，加入到技术交底资料中，便于分包方及施工班组的理解；利用技术交底协调会，将重要工序、质量检查重要部位在电脑上进行模型交底和动画模拟，直观地讨论和确定质量保证的相关措施，实现交底内容的无缝传递。</w:t>
      </w:r>
    </w:p>
    <w:p>
      <w:pPr>
        <w:spacing w:before="120" w:after="120"/>
        <w:rPr>
          <w:color w:val="auto"/>
        </w:rPr>
      </w:pPr>
      <w:r>
        <w:rPr>
          <w:color w:val="auto"/>
        </w:rPr>
        <w:t>2）现场模型对比与资料填写</w:t>
      </w:r>
    </w:p>
    <w:p>
      <w:pPr>
        <w:spacing w:before="120" w:after="120"/>
        <w:rPr>
          <w:color w:val="auto"/>
        </w:rPr>
      </w:pPr>
      <w:r>
        <w:rPr>
          <w:color w:val="auto"/>
        </w:rPr>
        <w:t>通过移动终端APP软件，将BIM模型导入到移动终端设备，让现场管理人员利用BIM模型进行现场工作的布置和实体的对比，直观快速发现现场质量问题。并将发现的问题拍摄后及时记录，汇总后生成整改通知单下发，保证问题处理的及时性，从而加强对施工过程的质量控制。</w:t>
      </w:r>
    </w:p>
    <w:p>
      <w:pPr>
        <w:spacing w:before="120" w:after="120"/>
        <w:rPr>
          <w:color w:val="auto"/>
        </w:rPr>
      </w:pPr>
      <w:r>
        <w:rPr>
          <w:color w:val="auto"/>
        </w:rPr>
        <w:t>3）动态样板引路</w:t>
      </w:r>
    </w:p>
    <w:p>
      <w:pPr>
        <w:spacing w:before="120" w:after="120"/>
        <w:rPr>
          <w:color w:val="auto"/>
        </w:rPr>
      </w:pPr>
      <w:r>
        <w:rPr>
          <w:color w:val="auto"/>
        </w:rPr>
        <w:t>将BIM融入到样板引路中，将施工重要样板做法、质量管控要点、施工模拟动画、现场平面布置等进行展示，为现场质量管控提供服务。</w:t>
      </w:r>
    </w:p>
    <w:p>
      <w:pPr>
        <w:spacing w:before="120" w:after="120"/>
        <w:outlineLvl w:val="4"/>
        <w:rPr>
          <w:color w:val="auto"/>
        </w:rPr>
      </w:pPr>
      <w:bookmarkStart w:id="450" w:name="_Toc19464"/>
      <w:bookmarkStart w:id="451" w:name="_Toc20260"/>
      <w:r>
        <w:rPr>
          <w:color w:val="auto"/>
        </w:rPr>
        <w:t>11  基于BIM的进度管理</w:t>
      </w:r>
      <w:bookmarkEnd w:id="450"/>
      <w:bookmarkEnd w:id="451"/>
    </w:p>
    <w:p>
      <w:pPr>
        <w:spacing w:before="120" w:after="120"/>
        <w:rPr>
          <w:color w:val="auto"/>
        </w:rPr>
      </w:pPr>
      <w:r>
        <w:rPr>
          <w:color w:val="auto"/>
        </w:rPr>
        <w:t>施工阶段BIM进度管理要点如下：</w:t>
      </w:r>
    </w:p>
    <w:p>
      <w:pPr>
        <w:spacing w:before="120" w:after="120"/>
        <w:rPr>
          <w:color w:val="auto"/>
        </w:rPr>
      </w:pPr>
      <w:r>
        <w:rPr>
          <w:color w:val="auto"/>
        </w:rPr>
        <w:t>1）进度优化及核查</w:t>
      </w:r>
    </w:p>
    <w:p>
      <w:pPr>
        <w:spacing w:before="120" w:after="120"/>
        <w:rPr>
          <w:color w:val="auto"/>
        </w:rPr>
      </w:pPr>
      <w:r>
        <w:rPr>
          <w:color w:val="auto"/>
        </w:rPr>
        <w:t>使用BIM模型制作施工进度模拟，通过动画的方式表现进度安排情况，直观检查不合理安排。</w:t>
      </w:r>
    </w:p>
    <w:p>
      <w:pPr>
        <w:spacing w:before="120" w:after="120"/>
        <w:rPr>
          <w:color w:val="auto"/>
        </w:rPr>
      </w:pPr>
      <w:r>
        <w:rPr>
          <w:color w:val="auto"/>
        </w:rPr>
        <w:t>2）进度计划交底</w:t>
      </w:r>
    </w:p>
    <w:p>
      <w:pPr>
        <w:spacing w:before="120" w:after="120"/>
        <w:rPr>
          <w:color w:val="auto"/>
        </w:rPr>
      </w:pPr>
      <w:r>
        <w:rPr>
          <w:color w:val="auto"/>
        </w:rPr>
        <w:t>计划交底采取施工模拟与工作计划表相结合的方式进行，需要调整的部分在会议上进行讨论、记录，进度管理实施小组各组员意见达成一致后，修改总进度计划及施工模拟。</w:t>
      </w:r>
    </w:p>
    <w:p>
      <w:pPr>
        <w:spacing w:before="120" w:after="120"/>
        <w:rPr>
          <w:color w:val="auto"/>
        </w:rPr>
      </w:pPr>
      <w:r>
        <w:rPr>
          <w:color w:val="auto"/>
        </w:rPr>
        <w:t>3）根据项目实施节点，制定BIM实施关键节点，召开专项BIM工作会议，对于BIM工作进行相关内容的讨论和决议。</w:t>
      </w:r>
    </w:p>
    <w:p>
      <w:pPr>
        <w:spacing w:before="120" w:after="120"/>
        <w:outlineLvl w:val="4"/>
        <w:rPr>
          <w:color w:val="auto"/>
        </w:rPr>
      </w:pPr>
      <w:bookmarkStart w:id="452" w:name="_Toc23135"/>
      <w:bookmarkStart w:id="453" w:name="_Toc10567"/>
      <w:r>
        <w:rPr>
          <w:color w:val="auto"/>
        </w:rPr>
        <w:t>12  基于BIM的安全管理</w:t>
      </w:r>
      <w:bookmarkEnd w:id="452"/>
      <w:bookmarkEnd w:id="453"/>
    </w:p>
    <w:p>
      <w:pPr>
        <w:spacing w:before="120" w:after="120"/>
        <w:rPr>
          <w:color w:val="auto"/>
        </w:rPr>
      </w:pPr>
      <w:r>
        <w:rPr>
          <w:color w:val="auto"/>
        </w:rPr>
        <w:t>1）通过建立的BIM三维模型让各分包管理人员提前对施工面的危险源进行判断。</w:t>
      </w:r>
    </w:p>
    <w:p>
      <w:pPr>
        <w:spacing w:before="120" w:after="120"/>
        <w:rPr>
          <w:color w:val="auto"/>
        </w:rPr>
      </w:pPr>
      <w:r>
        <w:rPr>
          <w:color w:val="auto"/>
        </w:rPr>
        <w:t>2）通过建立施工过程的防护设施模型，对项目管理人员进行仿真模拟交底，确保现场施工按照模型布置执行。</w:t>
      </w:r>
    </w:p>
    <w:p>
      <w:pPr>
        <w:spacing w:before="120" w:after="120"/>
        <w:outlineLvl w:val="4"/>
        <w:rPr>
          <w:color w:val="auto"/>
        </w:rPr>
      </w:pPr>
      <w:bookmarkStart w:id="454" w:name="_Toc24052"/>
      <w:bookmarkStart w:id="455" w:name="_Toc25976"/>
      <w:r>
        <w:rPr>
          <w:color w:val="auto"/>
        </w:rPr>
        <w:t>13  基于BIM的现场协调管理</w:t>
      </w:r>
      <w:bookmarkEnd w:id="454"/>
      <w:bookmarkEnd w:id="455"/>
    </w:p>
    <w:p>
      <w:pPr>
        <w:spacing w:before="120" w:after="120"/>
        <w:rPr>
          <w:color w:val="auto"/>
        </w:rPr>
      </w:pPr>
      <w:r>
        <w:rPr>
          <w:color w:val="auto"/>
        </w:rPr>
        <w:t>基于BIM的现场协调管理主要包括办公与生活临时设施协调、施工平面协调、施工工序与工作面协调，通过BIM的引入，有效提高工作效率和管理效果。BIM现场协调管理表详见《附件：BIM实施导则》中附表7。</w:t>
      </w:r>
    </w:p>
    <w:p>
      <w:pPr>
        <w:spacing w:before="120" w:after="120"/>
        <w:outlineLvl w:val="4"/>
        <w:rPr>
          <w:color w:val="auto"/>
        </w:rPr>
      </w:pPr>
      <w:bookmarkStart w:id="456" w:name="_Toc14693"/>
      <w:bookmarkStart w:id="457" w:name="_Toc13375"/>
      <w:r>
        <w:rPr>
          <w:color w:val="auto"/>
        </w:rPr>
        <w:t>14  基于BIM的造价管理</w:t>
      </w:r>
      <w:bookmarkEnd w:id="456"/>
      <w:bookmarkEnd w:id="457"/>
    </w:p>
    <w:p>
      <w:pPr>
        <w:spacing w:before="120" w:after="120"/>
        <w:rPr>
          <w:color w:val="auto"/>
        </w:rPr>
      </w:pPr>
      <w:r>
        <w:rPr>
          <w:color w:val="auto"/>
        </w:rPr>
        <w:t>1）BIM的造价管理应基于统一的BIM建模标准。BIM模型命名规则及参数应包含工程信息。BIM技术的造价数据管理应基于时间维度、空间划分、构件类型对工程进行汇总统计。</w:t>
      </w:r>
    </w:p>
    <w:p>
      <w:pPr>
        <w:spacing w:before="120" w:after="120"/>
        <w:rPr>
          <w:color w:val="auto"/>
        </w:rPr>
      </w:pPr>
      <w:r>
        <w:rPr>
          <w:color w:val="auto"/>
        </w:rPr>
        <w:t>2）各阶段模型深化应根据项目节点和进度，逐步完善BIM模型并添加造价信息。</w:t>
      </w:r>
    </w:p>
    <w:p>
      <w:pPr>
        <w:spacing w:before="120" w:after="120"/>
        <w:rPr>
          <w:color w:val="auto"/>
        </w:rPr>
      </w:pPr>
      <w:r>
        <w:rPr>
          <w:color w:val="auto"/>
        </w:rPr>
        <w:t>3）造价咨询公司通过项目工作平台访问施工模型，针对BIM模型进行工程量及造价信息提取并统计，利用BIM技术辅助进行工程概算、预算及竣工结算工作。在出现变更时，运用BIM技术进行变更前后造价对比。</w:t>
      </w:r>
    </w:p>
    <w:p>
      <w:pPr>
        <w:pStyle w:val="587"/>
        <w:numPr>
          <w:ilvl w:val="2"/>
          <w:numId w:val="3"/>
        </w:numPr>
        <w:spacing w:beforeLines="50" w:afterLines="50" w:line="360" w:lineRule="auto"/>
        <w:outlineLvl w:val="3"/>
        <w:rPr>
          <w:rFonts w:ascii="LNUHNF+SimSun" w:hAnsi="LNUHNF+SimSun" w:cs="宋体"/>
          <w:color w:val="auto"/>
          <w:szCs w:val="21"/>
        </w:rPr>
      </w:pPr>
      <w:bookmarkStart w:id="458" w:name="_Toc21611"/>
      <w:bookmarkStart w:id="459" w:name="_Toc24218"/>
      <w:r>
        <w:rPr>
          <w:rFonts w:ascii="LNUHNF+SimSun" w:hAnsi="LNUHNF+SimSun" w:cs="宋体"/>
          <w:color w:val="auto"/>
          <w:szCs w:val="21"/>
        </w:rPr>
        <w:t>竣工阶段BIM管理流程</w:t>
      </w:r>
      <w:bookmarkEnd w:id="458"/>
      <w:bookmarkEnd w:id="459"/>
    </w:p>
    <w:p>
      <w:pPr>
        <w:spacing w:before="120" w:after="120"/>
        <w:rPr>
          <w:color w:val="auto"/>
        </w:rPr>
      </w:pPr>
      <w:r>
        <w:rPr>
          <w:rFonts w:eastAsia="Times New Roman"/>
          <w:color w:val="auto"/>
        </w:rPr>
        <w:t xml:space="preserve">1  </w:t>
      </w:r>
      <w:r>
        <w:rPr>
          <w:color w:val="auto"/>
        </w:rPr>
        <w:t>施工单位通过对现场与</w:t>
      </w:r>
      <w:r>
        <w:rPr>
          <w:rFonts w:eastAsia="Times New Roman"/>
          <w:color w:val="auto"/>
          <w:spacing w:val="-2"/>
        </w:rPr>
        <w:t>BIM</w:t>
      </w:r>
      <w:r>
        <w:rPr>
          <w:color w:val="auto"/>
          <w:spacing w:val="-4"/>
        </w:rPr>
        <w:t>模型进行分析对比，确保</w:t>
      </w:r>
      <w:r>
        <w:rPr>
          <w:rFonts w:eastAsia="Times New Roman"/>
          <w:color w:val="auto"/>
          <w:spacing w:val="-2"/>
        </w:rPr>
        <w:t>BIM</w:t>
      </w:r>
      <w:r>
        <w:rPr>
          <w:color w:val="auto"/>
          <w:spacing w:val="-4"/>
        </w:rPr>
        <w:t>模型与现场的一致性，并向</w:t>
      </w:r>
      <w:r>
        <w:rPr>
          <w:rFonts w:eastAsia="Times New Roman"/>
          <w:color w:val="auto"/>
          <w:spacing w:val="-2"/>
        </w:rPr>
        <w:t>BIM</w:t>
      </w:r>
      <w:r>
        <w:rPr>
          <w:color w:val="auto"/>
        </w:rPr>
        <w:t>总协调方提交《</w:t>
      </w:r>
      <w:r>
        <w:rPr>
          <w:rFonts w:eastAsia="Times New Roman"/>
          <w:color w:val="auto"/>
        </w:rPr>
        <w:t>BIM</w:t>
      </w:r>
      <w:r>
        <w:rPr>
          <w:color w:val="auto"/>
          <w:spacing w:val="2"/>
        </w:rPr>
        <w:t>辅助验收报告》。总承包单位应保证</w:t>
      </w:r>
      <w:r>
        <w:rPr>
          <w:rFonts w:eastAsia="Times New Roman"/>
          <w:color w:val="auto"/>
          <w:spacing w:val="-2"/>
        </w:rPr>
        <w:t>BIM</w:t>
      </w:r>
      <w:r>
        <w:rPr>
          <w:color w:val="auto"/>
          <w:spacing w:val="2"/>
        </w:rPr>
        <w:t>模型信息的完整性及正</w:t>
      </w:r>
      <w:r>
        <w:rPr>
          <w:color w:val="auto"/>
        </w:rPr>
        <w:t>确性。</w:t>
      </w:r>
    </w:p>
    <w:p>
      <w:pPr>
        <w:spacing w:before="120" w:after="120"/>
        <w:rPr>
          <w:color w:val="auto"/>
        </w:rPr>
      </w:pPr>
      <w:r>
        <w:rPr>
          <w:rFonts w:eastAsia="Times New Roman"/>
          <w:color w:val="auto"/>
        </w:rPr>
        <w:t xml:space="preserve">2  </w:t>
      </w:r>
      <w:r>
        <w:rPr>
          <w:color w:val="auto"/>
        </w:rPr>
        <w:t>施工单位与造价咨询单位利用一致的</w:t>
      </w:r>
      <w:r>
        <w:rPr>
          <w:rFonts w:eastAsia="Times New Roman"/>
          <w:color w:val="auto"/>
          <w:spacing w:val="-2"/>
        </w:rPr>
        <w:t>BIM</w:t>
      </w:r>
      <w:r>
        <w:rPr>
          <w:color w:val="auto"/>
        </w:rPr>
        <w:t>模型测算工程量，辅助完成项目工程结算工作，提供《</w:t>
      </w:r>
      <w:r>
        <w:rPr>
          <w:rFonts w:eastAsia="Times New Roman"/>
          <w:color w:val="auto"/>
        </w:rPr>
        <w:t>BIM</w:t>
      </w:r>
      <w:r>
        <w:rPr>
          <w:color w:val="auto"/>
        </w:rPr>
        <w:t>辅助工程量测算报告》。</w:t>
      </w:r>
    </w:p>
    <w:p>
      <w:pPr>
        <w:spacing w:before="120" w:after="120"/>
        <w:ind w:firstLine="492"/>
        <w:rPr>
          <w:color w:val="auto"/>
        </w:rPr>
      </w:pPr>
      <w:r>
        <w:rPr>
          <w:rFonts w:eastAsia="Times New Roman"/>
          <w:color w:val="auto"/>
          <w:spacing w:val="3"/>
        </w:rPr>
        <w:t xml:space="preserve">3  </w:t>
      </w:r>
      <w:r>
        <w:rPr>
          <w:color w:val="auto"/>
          <w:spacing w:val="3"/>
        </w:rPr>
        <w:t>施工总承包单位应汇集各参与方施工阶段</w:t>
      </w:r>
      <w:r>
        <w:rPr>
          <w:rFonts w:eastAsia="Times New Roman"/>
          <w:color w:val="auto"/>
          <w:spacing w:val="-2"/>
        </w:rPr>
        <w:t>BIM</w:t>
      </w:r>
      <w:r>
        <w:rPr>
          <w:color w:val="auto"/>
          <w:spacing w:val="3"/>
        </w:rPr>
        <w:t>成果，提交</w:t>
      </w:r>
      <w:r>
        <w:rPr>
          <w:rFonts w:eastAsia="Times New Roman"/>
          <w:color w:val="auto"/>
          <w:spacing w:val="-2"/>
        </w:rPr>
        <w:t>BIM</w:t>
      </w:r>
      <w:r>
        <w:rPr>
          <w:color w:val="auto"/>
          <w:spacing w:val="3"/>
        </w:rPr>
        <w:t>总协调方，形成竣工</w:t>
      </w:r>
      <w:r>
        <w:rPr>
          <w:rFonts w:eastAsia="Times New Roman"/>
          <w:color w:val="auto"/>
          <w:spacing w:val="-2"/>
        </w:rPr>
        <w:t>BIM</w:t>
      </w:r>
      <w:r>
        <w:rPr>
          <w:color w:val="auto"/>
        </w:rPr>
        <w:t>成果。竣工</w:t>
      </w:r>
      <w:r>
        <w:rPr>
          <w:rFonts w:eastAsia="Times New Roman"/>
          <w:color w:val="auto"/>
          <w:spacing w:val="-2"/>
        </w:rPr>
        <w:t>BIM</w:t>
      </w:r>
      <w:r>
        <w:rPr>
          <w:color w:val="auto"/>
        </w:rPr>
        <w:t>模型的深度应符合“附表</w:t>
      </w:r>
      <w:r>
        <w:rPr>
          <w:rFonts w:eastAsia="Times New Roman"/>
          <w:color w:val="auto"/>
        </w:rPr>
        <w:t>3</w:t>
      </w:r>
      <w:r>
        <w:rPr>
          <w:color w:val="auto"/>
        </w:rPr>
        <w:t>各阶段</w:t>
      </w:r>
      <w:r>
        <w:rPr>
          <w:rFonts w:eastAsia="Times New Roman"/>
          <w:color w:val="auto"/>
          <w:spacing w:val="-2"/>
        </w:rPr>
        <w:t>BIM</w:t>
      </w:r>
      <w:r>
        <w:rPr>
          <w:color w:val="auto"/>
        </w:rPr>
        <w:t>模型精细度要求”中</w:t>
      </w:r>
      <w:r>
        <w:rPr>
          <w:rFonts w:eastAsia="Times New Roman"/>
          <w:color w:val="auto"/>
        </w:rPr>
        <w:t>LOD500</w:t>
      </w:r>
      <w:r>
        <w:rPr>
          <w:color w:val="auto"/>
        </w:rPr>
        <w:t>的精度要求。竣工</w:t>
      </w:r>
      <w:r>
        <w:rPr>
          <w:rFonts w:eastAsia="Times New Roman"/>
          <w:color w:val="auto"/>
          <w:spacing w:val="-2"/>
        </w:rPr>
        <w:t>BIM</w:t>
      </w:r>
      <w:r>
        <w:rPr>
          <w:color w:val="auto"/>
        </w:rPr>
        <w:t>成果应包括但不限于以下内容：</w:t>
      </w:r>
    </w:p>
    <w:p>
      <w:pPr>
        <w:spacing w:before="120" w:after="120"/>
        <w:rPr>
          <w:color w:val="auto"/>
        </w:rPr>
      </w:pPr>
      <w:r>
        <w:rPr>
          <w:rFonts w:eastAsia="Times New Roman"/>
          <w:color w:val="auto"/>
        </w:rPr>
        <w:t>1</w:t>
      </w:r>
      <w:r>
        <w:rPr>
          <w:color w:val="auto"/>
        </w:rPr>
        <w:t>）竣工</w:t>
      </w:r>
      <w:r>
        <w:rPr>
          <w:rFonts w:eastAsia="Times New Roman"/>
          <w:color w:val="auto"/>
          <w:spacing w:val="-2"/>
        </w:rPr>
        <w:t>BIM</w:t>
      </w:r>
      <w:r>
        <w:rPr>
          <w:color w:val="auto"/>
        </w:rPr>
        <w:t>模型（包含正确的施工阶段几何信息及非几何信息）；</w:t>
      </w:r>
    </w:p>
    <w:p>
      <w:pPr>
        <w:spacing w:before="120" w:after="120"/>
        <w:rPr>
          <w:color w:val="auto"/>
        </w:rPr>
      </w:pPr>
      <w:r>
        <w:rPr>
          <w:rFonts w:eastAsia="Times New Roman"/>
          <w:color w:val="auto"/>
        </w:rPr>
        <w:t>2</w:t>
      </w:r>
      <w:r>
        <w:rPr>
          <w:color w:val="auto"/>
        </w:rPr>
        <w:t>）竣工</w:t>
      </w:r>
      <w:r>
        <w:rPr>
          <w:rFonts w:eastAsia="Times New Roman"/>
          <w:color w:val="auto"/>
          <w:spacing w:val="-2"/>
        </w:rPr>
        <w:t>BIM</w:t>
      </w:r>
      <w:r>
        <w:rPr>
          <w:color w:val="auto"/>
        </w:rPr>
        <w:t>成果资料（过程实施资料及多媒体资料、工程量清单、模拟方案、汇报报告）；</w:t>
      </w:r>
    </w:p>
    <w:p>
      <w:pPr>
        <w:spacing w:before="120" w:after="120"/>
        <w:rPr>
          <w:color w:val="auto"/>
        </w:rPr>
      </w:pPr>
      <w:r>
        <w:rPr>
          <w:rFonts w:eastAsia="Times New Roman"/>
          <w:color w:val="auto"/>
        </w:rPr>
        <w:t>3</w:t>
      </w:r>
      <w:r>
        <w:rPr>
          <w:color w:val="auto"/>
        </w:rPr>
        <w:t>）施工阶段</w:t>
      </w:r>
      <w:r>
        <w:rPr>
          <w:rFonts w:eastAsia="Times New Roman"/>
          <w:color w:val="auto"/>
          <w:spacing w:val="-2"/>
        </w:rPr>
        <w:t>BIM</w:t>
      </w:r>
      <w:r>
        <w:rPr>
          <w:color w:val="auto"/>
        </w:rPr>
        <w:t>应用构件资源库；</w:t>
      </w:r>
    </w:p>
    <w:p>
      <w:pPr>
        <w:spacing w:before="120" w:after="120"/>
        <w:rPr>
          <w:color w:val="auto"/>
        </w:rPr>
      </w:pPr>
      <w:r>
        <w:rPr>
          <w:rFonts w:eastAsia="Times New Roman"/>
          <w:color w:val="auto"/>
        </w:rPr>
        <w:t>4</w:t>
      </w:r>
      <w:r>
        <w:rPr>
          <w:color w:val="auto"/>
        </w:rPr>
        <w:t>）《</w:t>
      </w:r>
      <w:r>
        <w:rPr>
          <w:rFonts w:eastAsia="Times New Roman"/>
          <w:color w:val="auto"/>
        </w:rPr>
        <w:t>BIM</w:t>
      </w:r>
      <w:r>
        <w:rPr>
          <w:color w:val="auto"/>
        </w:rPr>
        <w:t>辅助验收报告》；</w:t>
      </w:r>
    </w:p>
    <w:p>
      <w:pPr>
        <w:spacing w:before="120" w:after="120"/>
        <w:rPr>
          <w:color w:val="auto"/>
        </w:rPr>
      </w:pPr>
      <w:r>
        <w:rPr>
          <w:rFonts w:eastAsia="Times New Roman"/>
          <w:color w:val="auto"/>
        </w:rPr>
        <w:t>5</w:t>
      </w:r>
      <w:r>
        <w:rPr>
          <w:color w:val="auto"/>
        </w:rPr>
        <w:t>）《</w:t>
      </w:r>
      <w:r>
        <w:rPr>
          <w:rFonts w:eastAsia="Times New Roman"/>
          <w:color w:val="auto"/>
        </w:rPr>
        <w:t>BIM</w:t>
      </w:r>
      <w:r>
        <w:rPr>
          <w:color w:val="auto"/>
        </w:rPr>
        <w:t>辅助工程量测算报告》。</w:t>
      </w:r>
    </w:p>
    <w:p>
      <w:pPr>
        <w:spacing w:before="120" w:after="120"/>
        <w:rPr>
          <w:color w:val="auto"/>
        </w:rPr>
      </w:pPr>
      <w:r>
        <w:rPr>
          <w:rFonts w:eastAsia="Times New Roman"/>
          <w:color w:val="auto"/>
        </w:rPr>
        <w:t>4  BIM</w:t>
      </w:r>
      <w:r>
        <w:rPr>
          <w:color w:val="auto"/>
        </w:rPr>
        <w:t>总协调方组织施工各参与单位进行竣工</w:t>
      </w:r>
      <w:r>
        <w:rPr>
          <w:rFonts w:eastAsia="Times New Roman"/>
          <w:color w:val="auto"/>
          <w:spacing w:val="-2"/>
        </w:rPr>
        <w:t>BIM</w:t>
      </w:r>
      <w:r>
        <w:rPr>
          <w:color w:val="auto"/>
        </w:rPr>
        <w:t>验收，编制《竣工验收</w:t>
      </w:r>
      <w:r>
        <w:rPr>
          <w:rFonts w:eastAsia="Times New Roman"/>
          <w:color w:val="auto"/>
          <w:spacing w:val="-2"/>
        </w:rPr>
        <w:t>BIM</w:t>
      </w:r>
      <w:r>
        <w:rPr>
          <w:color w:val="auto"/>
        </w:rPr>
        <w:t>报告》。其中验收要点如下：</w:t>
      </w:r>
    </w:p>
    <w:p>
      <w:pPr>
        <w:spacing w:before="120" w:after="120"/>
        <w:rPr>
          <w:color w:val="auto"/>
        </w:rPr>
      </w:pPr>
      <w:r>
        <w:rPr>
          <w:rFonts w:eastAsia="Times New Roman"/>
          <w:color w:val="auto"/>
        </w:rPr>
        <w:t>1</w:t>
      </w:r>
      <w:r>
        <w:rPr>
          <w:color w:val="auto"/>
        </w:rPr>
        <w:t>）</w:t>
      </w:r>
      <w:r>
        <w:rPr>
          <w:rFonts w:eastAsia="Times New Roman"/>
          <w:color w:val="auto"/>
        </w:rPr>
        <w:t>BIM</w:t>
      </w:r>
      <w:r>
        <w:rPr>
          <w:color w:val="auto"/>
        </w:rPr>
        <w:t>总协调方验收内容如下：</w:t>
      </w:r>
    </w:p>
    <w:p>
      <w:pPr>
        <w:spacing w:before="120" w:after="120"/>
        <w:rPr>
          <w:color w:val="auto"/>
        </w:rPr>
      </w:pPr>
      <w:r>
        <w:rPr>
          <w:color w:val="auto"/>
        </w:rPr>
        <w:t>（</w:t>
      </w:r>
      <w:r>
        <w:rPr>
          <w:rFonts w:eastAsia="Times New Roman"/>
          <w:color w:val="auto"/>
        </w:rPr>
        <w:t>1</w:t>
      </w:r>
      <w:r>
        <w:rPr>
          <w:color w:val="auto"/>
        </w:rPr>
        <w:t>）竣工</w:t>
      </w:r>
      <w:r>
        <w:rPr>
          <w:rFonts w:eastAsia="Times New Roman"/>
          <w:color w:val="auto"/>
          <w:spacing w:val="-2"/>
        </w:rPr>
        <w:t>BIM</w:t>
      </w:r>
      <w:r>
        <w:rPr>
          <w:color w:val="auto"/>
        </w:rPr>
        <w:t>模型深度是否满足</w:t>
      </w:r>
      <w:r>
        <w:rPr>
          <w:rFonts w:eastAsia="Times New Roman"/>
          <w:color w:val="auto"/>
        </w:rPr>
        <w:t>LOD</w:t>
      </w:r>
      <w:r>
        <w:rPr>
          <w:color w:val="auto"/>
        </w:rPr>
        <w:t>标准要求；</w:t>
      </w:r>
    </w:p>
    <w:p>
      <w:pPr>
        <w:spacing w:before="120" w:after="120"/>
        <w:ind w:firstLine="468"/>
        <w:rPr>
          <w:color w:val="auto"/>
        </w:rPr>
      </w:pPr>
      <w:r>
        <w:rPr>
          <w:color w:val="auto"/>
          <w:spacing w:val="-3"/>
        </w:rPr>
        <w:t>（</w:t>
      </w:r>
      <w:r>
        <w:rPr>
          <w:rFonts w:eastAsia="Times New Roman"/>
          <w:color w:val="auto"/>
          <w:spacing w:val="-3"/>
        </w:rPr>
        <w:t>2</w:t>
      </w:r>
      <w:r>
        <w:rPr>
          <w:color w:val="auto"/>
          <w:spacing w:val="-3"/>
        </w:rPr>
        <w:t>）竣工</w:t>
      </w:r>
      <w:r>
        <w:rPr>
          <w:color w:val="auto"/>
        </w:rPr>
        <w:t>BIM模型的几何信息与非几何信息的格式是否满足《施工阶段</w:t>
      </w:r>
      <w:r>
        <w:rPr>
          <w:rFonts w:eastAsia="Times New Roman"/>
          <w:color w:val="auto"/>
          <w:spacing w:val="-2"/>
        </w:rPr>
        <w:t>BIM</w:t>
      </w:r>
      <w:r>
        <w:rPr>
          <w:color w:val="auto"/>
        </w:rPr>
        <w:t>实施方案》中关于交付成果的要求；</w:t>
      </w:r>
    </w:p>
    <w:p>
      <w:pPr>
        <w:spacing w:before="120" w:after="120"/>
        <w:rPr>
          <w:color w:val="auto"/>
        </w:rPr>
      </w:pPr>
      <w:r>
        <w:rPr>
          <w:color w:val="auto"/>
        </w:rPr>
        <w:t>（</w:t>
      </w:r>
      <w:r>
        <w:rPr>
          <w:rFonts w:eastAsia="Times New Roman"/>
          <w:color w:val="auto"/>
        </w:rPr>
        <w:t>3</w:t>
      </w:r>
      <w:r>
        <w:rPr>
          <w:color w:val="auto"/>
        </w:rPr>
        <w:t>）</w:t>
      </w:r>
      <w:r>
        <w:rPr>
          <w:rFonts w:eastAsia="Times New Roman"/>
          <w:color w:val="auto"/>
        </w:rPr>
        <w:t>BIM</w:t>
      </w:r>
      <w:r>
        <w:rPr>
          <w:color w:val="auto"/>
        </w:rPr>
        <w:t>竣工成果资料是否齐全及符合要求；</w:t>
      </w:r>
    </w:p>
    <w:p>
      <w:pPr>
        <w:spacing w:before="120" w:after="120"/>
        <w:rPr>
          <w:color w:val="auto"/>
        </w:rPr>
      </w:pPr>
      <w:r>
        <w:rPr>
          <w:color w:val="auto"/>
        </w:rPr>
        <w:t>（</w:t>
      </w:r>
      <w:r>
        <w:rPr>
          <w:rFonts w:eastAsia="Times New Roman"/>
          <w:color w:val="auto"/>
        </w:rPr>
        <w:t>4</w:t>
      </w:r>
      <w:r>
        <w:rPr>
          <w:color w:val="auto"/>
        </w:rPr>
        <w:t>）施工阶段BIM应用构件资源库是否齐全及满足要求</w:t>
      </w:r>
      <w:r>
        <w:rPr>
          <w:rFonts w:hint="eastAsia"/>
          <w:color w:val="auto"/>
        </w:rPr>
        <w:t>。</w:t>
      </w:r>
    </w:p>
    <w:p>
      <w:pPr>
        <w:spacing w:before="120" w:after="120"/>
        <w:rPr>
          <w:color w:val="auto"/>
        </w:rPr>
      </w:pPr>
      <w:r>
        <w:rPr>
          <w:color w:val="auto"/>
        </w:rPr>
        <w:t>2）监理单位验收内容如下：</w:t>
      </w:r>
    </w:p>
    <w:p>
      <w:pPr>
        <w:spacing w:before="120" w:after="120"/>
        <w:rPr>
          <w:color w:val="auto"/>
        </w:rPr>
      </w:pPr>
      <w:r>
        <w:rPr>
          <w:color w:val="auto"/>
        </w:rPr>
        <w:t>（1）竣工BIM模型的几何信息是否与现场实际施工完整且一致；</w:t>
      </w:r>
    </w:p>
    <w:p>
      <w:pPr>
        <w:spacing w:before="120" w:after="120"/>
        <w:rPr>
          <w:color w:val="auto"/>
        </w:rPr>
      </w:pPr>
      <w:r>
        <w:rPr>
          <w:color w:val="auto"/>
        </w:rPr>
        <w:t>（2）竣工BIM模型的非几何信息是否与现场实际施工完整且一致；</w:t>
      </w:r>
    </w:p>
    <w:p>
      <w:pPr>
        <w:spacing w:before="120" w:after="120"/>
        <w:rPr>
          <w:color w:val="auto"/>
        </w:rPr>
      </w:pPr>
      <w:r>
        <w:rPr>
          <w:color w:val="auto"/>
        </w:rPr>
        <w:t>（3）《BIM辅助验收报告》是否满足竣工验收要求；</w:t>
      </w:r>
    </w:p>
    <w:p>
      <w:pPr>
        <w:spacing w:before="120" w:after="120"/>
        <w:rPr>
          <w:color w:val="auto"/>
        </w:rPr>
      </w:pPr>
      <w:r>
        <w:rPr>
          <w:color w:val="auto"/>
        </w:rPr>
        <w:t>（4）《BIM辅助工程量测算报告》是否满足工程结算要求</w:t>
      </w:r>
      <w:r>
        <w:rPr>
          <w:rFonts w:hint="eastAsia"/>
          <w:color w:val="auto"/>
        </w:rPr>
        <w:t>。</w:t>
      </w:r>
    </w:p>
    <w:p>
      <w:pPr>
        <w:spacing w:before="120" w:after="120"/>
        <w:rPr>
          <w:color w:val="auto"/>
        </w:rPr>
      </w:pPr>
      <w:r>
        <w:rPr>
          <w:color w:val="auto"/>
        </w:rPr>
        <w:t>5  竣工BIM模型验收通过后，BIM总协调方整理工程竣工最终BIM成果资料，提交代建局</w:t>
      </w:r>
      <w:r>
        <w:rPr>
          <w:rFonts w:hint="eastAsia"/>
          <w:color w:val="auto"/>
        </w:rPr>
        <w:t>项目建设管理部</w:t>
      </w:r>
      <w:r>
        <w:rPr>
          <w:color w:val="auto"/>
        </w:rPr>
        <w:t>备案，并编写《项目BIM实施最终成果报告》对代建局</w:t>
      </w:r>
      <w:r>
        <w:rPr>
          <w:rFonts w:hint="eastAsia"/>
          <w:color w:val="auto"/>
        </w:rPr>
        <w:t>项目建设管理部</w:t>
      </w:r>
      <w:r>
        <w:rPr>
          <w:color w:val="auto"/>
        </w:rPr>
        <w:t>进行汇报。《项目BIM实施最终成果报告》应包括但不限于以下内容：</w:t>
      </w:r>
    </w:p>
    <w:p>
      <w:pPr>
        <w:spacing w:before="120" w:after="120"/>
        <w:rPr>
          <w:color w:val="auto"/>
        </w:rPr>
      </w:pPr>
      <w:r>
        <w:rPr>
          <w:color w:val="auto"/>
        </w:rPr>
        <w:t>1）工程BIM实施概述；</w:t>
      </w:r>
    </w:p>
    <w:p>
      <w:pPr>
        <w:spacing w:before="120" w:after="120"/>
        <w:rPr>
          <w:color w:val="auto"/>
        </w:rPr>
      </w:pPr>
      <w:r>
        <w:rPr>
          <w:color w:val="auto"/>
        </w:rPr>
        <w:t>2）应用成果点；</w:t>
      </w:r>
    </w:p>
    <w:p>
      <w:pPr>
        <w:spacing w:before="120" w:after="120"/>
        <w:rPr>
          <w:color w:val="auto"/>
        </w:rPr>
      </w:pPr>
      <w:r>
        <w:rPr>
          <w:color w:val="auto"/>
        </w:rPr>
        <w:t>3）实施总结；</w:t>
      </w:r>
    </w:p>
    <w:p>
      <w:pPr>
        <w:spacing w:before="120" w:after="120"/>
        <w:rPr>
          <w:color w:val="auto"/>
        </w:rPr>
      </w:pPr>
      <w:r>
        <w:rPr>
          <w:color w:val="auto"/>
        </w:rPr>
        <w:t>4）优化建议。</w:t>
      </w:r>
    </w:p>
    <w:p>
      <w:pPr>
        <w:pStyle w:val="587"/>
        <w:numPr>
          <w:ilvl w:val="2"/>
          <w:numId w:val="3"/>
        </w:numPr>
        <w:spacing w:beforeLines="50" w:afterLines="50" w:line="360" w:lineRule="auto"/>
        <w:outlineLvl w:val="3"/>
        <w:rPr>
          <w:rFonts w:ascii="LNUHNF+SimSun" w:hAnsi="LNUHNF+SimSun" w:cs="宋体"/>
          <w:color w:val="auto"/>
          <w:szCs w:val="21"/>
        </w:rPr>
      </w:pPr>
      <w:bookmarkStart w:id="460" w:name="_Toc30802"/>
      <w:bookmarkStart w:id="461" w:name="_Toc7317"/>
      <w:r>
        <w:rPr>
          <w:rFonts w:ascii="LNUHNF+SimSun" w:hAnsi="LNUHNF+SimSun" w:cs="宋体"/>
          <w:color w:val="auto"/>
          <w:szCs w:val="21"/>
        </w:rPr>
        <w:t>运维阶段BIM管理流程</w:t>
      </w:r>
      <w:bookmarkEnd w:id="460"/>
      <w:bookmarkEnd w:id="461"/>
    </w:p>
    <w:p>
      <w:pPr>
        <w:spacing w:before="120" w:after="120"/>
        <w:rPr>
          <w:color w:val="auto"/>
        </w:rPr>
      </w:pPr>
      <w:r>
        <w:rPr>
          <w:color w:val="auto"/>
        </w:rPr>
        <w:t>1  项目运维单位搭建基于BIM的项目运维管理平台并提出BIM信息提取及格式要求。</w:t>
      </w:r>
    </w:p>
    <w:p>
      <w:pPr>
        <w:spacing w:before="120" w:after="120"/>
        <w:rPr>
          <w:color w:val="auto"/>
        </w:rPr>
      </w:pPr>
      <w:r>
        <w:rPr>
          <w:color w:val="auto"/>
        </w:rPr>
        <w:t>2  BIM总协调方与项目运维单位确定BIM数据交付要求及数据格式。</w:t>
      </w:r>
    </w:p>
    <w:p>
      <w:pPr>
        <w:spacing w:before="120" w:after="120"/>
        <w:rPr>
          <w:rFonts w:cs="宋体"/>
          <w:color w:val="auto"/>
          <w:sz w:val="33"/>
          <w:szCs w:val="33"/>
        </w:rPr>
      </w:pPr>
      <w:r>
        <w:rPr>
          <w:color w:val="auto"/>
        </w:rPr>
        <w:t>3  BIM总协调</w:t>
      </w:r>
      <w:bookmarkStart w:id="462" w:name="_Hlk62418951"/>
      <w:r>
        <w:rPr>
          <w:color w:val="auto"/>
        </w:rPr>
        <w:t>根据运维单位的要求，整理BIM竣工模型信息及格式要求后，向运维单位进行BIM成果移交</w:t>
      </w:r>
      <w:bookmarkEnd w:id="462"/>
      <w:r>
        <w:rPr>
          <w:color w:val="auto"/>
        </w:rPr>
        <w:t>。</w:t>
      </w:r>
    </w:p>
    <w:p>
      <w:pPr>
        <w:spacing w:before="120" w:after="120"/>
        <w:rPr>
          <w:color w:val="auto"/>
        </w:rPr>
      </w:pPr>
      <w:r>
        <w:rPr>
          <w:rFonts w:eastAsia="Times New Roman"/>
          <w:color w:val="auto"/>
        </w:rPr>
        <w:t>4  BIM</w:t>
      </w:r>
      <w:r>
        <w:rPr>
          <w:color w:val="auto"/>
        </w:rPr>
        <w:t>总协调方对运维单位进行</w:t>
      </w:r>
      <w:r>
        <w:rPr>
          <w:rFonts w:eastAsia="Times New Roman"/>
          <w:color w:val="auto"/>
          <w:spacing w:val="-2"/>
        </w:rPr>
        <w:t>BIM</w:t>
      </w:r>
      <w:r>
        <w:rPr>
          <w:color w:val="auto"/>
        </w:rPr>
        <w:t>成果移交技术交底。</w:t>
      </w:r>
    </w:p>
    <w:p>
      <w:pPr>
        <w:spacing w:before="120" w:after="120"/>
        <w:rPr>
          <w:color w:val="auto"/>
        </w:rPr>
      </w:pPr>
      <w:r>
        <w:rPr>
          <w:rFonts w:eastAsia="Times New Roman"/>
          <w:color w:val="auto"/>
        </w:rPr>
        <w:t>5  BIM</w:t>
      </w:r>
      <w:r>
        <w:rPr>
          <w:color w:val="auto"/>
        </w:rPr>
        <w:t>总协调方</w:t>
      </w:r>
      <w:bookmarkStart w:id="463" w:name="_Hlk62418997"/>
      <w:r>
        <w:rPr>
          <w:color w:val="auto"/>
        </w:rPr>
        <w:t>与运维单位进行实时沟通和回访，线上处理运维单位提出的问题并根据合同要求进行模型信息维护和更新</w:t>
      </w:r>
      <w:bookmarkEnd w:id="463"/>
      <w:r>
        <w:rPr>
          <w:color w:val="auto"/>
        </w:rPr>
        <w:t>。</w:t>
      </w:r>
    </w:p>
    <w:p>
      <w:pPr>
        <w:spacing w:before="120" w:after="120"/>
        <w:rPr>
          <w:color w:val="auto"/>
        </w:rPr>
      </w:pPr>
      <w:r>
        <w:rPr>
          <w:rFonts w:eastAsia="Times New Roman"/>
          <w:color w:val="auto"/>
        </w:rPr>
        <w:t xml:space="preserve">6  </w:t>
      </w:r>
      <w:r>
        <w:rPr>
          <w:color w:val="auto"/>
        </w:rPr>
        <w:t>基于</w:t>
      </w:r>
      <w:r>
        <w:rPr>
          <w:rFonts w:eastAsia="Times New Roman"/>
          <w:color w:val="auto"/>
        </w:rPr>
        <w:t>BIM</w:t>
      </w:r>
      <w:r>
        <w:rPr>
          <w:color w:val="auto"/>
        </w:rPr>
        <w:t>的运维管理主要应包括五个方面内容：空间管理、资产管理、运维管理、公</w:t>
      </w:r>
      <w:r>
        <w:rPr>
          <w:color w:val="auto"/>
          <w:spacing w:val="-5"/>
        </w:rPr>
        <w:t>共安全管理、能耗管理，其功能包括但不限于的内容详见《附件：BIM实施导则》中附图</w:t>
      </w:r>
      <w:r>
        <w:rPr>
          <w:rFonts w:eastAsia="Times New Roman"/>
          <w:color w:val="auto"/>
        </w:rPr>
        <w:t>13</w:t>
      </w:r>
      <w:r>
        <w:rPr>
          <w:color w:val="auto"/>
        </w:rPr>
        <w:t>。</w:t>
      </w:r>
    </w:p>
    <w:p>
      <w:pPr>
        <w:spacing w:before="120" w:after="120" w:line="336" w:lineRule="auto"/>
        <w:rPr>
          <w:color w:val="auto"/>
        </w:rPr>
        <w:sectPr>
          <w:pgSz w:w="11910" w:h="16840"/>
          <w:pgMar w:top="1080" w:right="900" w:bottom="1160" w:left="1020" w:header="0" w:footer="973" w:gutter="0"/>
          <w:cols w:space="720" w:num="1"/>
        </w:sectPr>
      </w:pPr>
    </w:p>
    <w:p>
      <w:pPr>
        <w:pStyle w:val="583"/>
        <w:spacing w:before="240" w:after="240"/>
        <w:outlineLvl w:val="0"/>
        <w:rPr>
          <w:b w:val="0"/>
          <w:bCs/>
          <w:color w:val="auto"/>
        </w:rPr>
      </w:pPr>
      <w:bookmarkStart w:id="464" w:name="_bookmark12"/>
      <w:bookmarkEnd w:id="464"/>
      <w:bookmarkStart w:id="465" w:name="_bookmark13"/>
      <w:bookmarkEnd w:id="465"/>
      <w:bookmarkStart w:id="466" w:name="_Toc54567602"/>
      <w:bookmarkStart w:id="467" w:name="_Toc8428"/>
      <w:bookmarkStart w:id="468" w:name="_Toc16778"/>
      <w:bookmarkStart w:id="469" w:name="_Toc28954"/>
      <w:bookmarkStart w:id="470" w:name="_Toc7493"/>
      <w:r>
        <w:rPr>
          <w:b w:val="0"/>
          <w:bCs/>
          <w:color w:val="auto"/>
        </w:rPr>
        <w:t>交付成果</w:t>
      </w:r>
      <w:bookmarkEnd w:id="466"/>
      <w:bookmarkEnd w:id="467"/>
      <w:bookmarkEnd w:id="468"/>
      <w:bookmarkEnd w:id="469"/>
      <w:bookmarkEnd w:id="470"/>
    </w:p>
    <w:p>
      <w:pPr>
        <w:pStyle w:val="585"/>
        <w:spacing w:before="120" w:after="120" w:line="360" w:lineRule="auto"/>
        <w:ind w:left="0"/>
        <w:outlineLvl w:val="1"/>
        <w:rPr>
          <w:rFonts w:ascii="Times New Roman" w:hAnsi="Times New Roman" w:eastAsia="黑体"/>
          <w:b w:val="0"/>
          <w:bCs/>
          <w:color w:val="auto"/>
          <w:sz w:val="24"/>
          <w:szCs w:val="24"/>
        </w:rPr>
      </w:pPr>
      <w:bookmarkStart w:id="471" w:name="_Toc17773"/>
      <w:bookmarkStart w:id="472" w:name="_Toc24830"/>
      <w:bookmarkStart w:id="473" w:name="_Toc54567603"/>
      <w:bookmarkStart w:id="474" w:name="_Toc16516"/>
      <w:bookmarkStart w:id="475" w:name="_Toc27100"/>
      <w:r>
        <w:rPr>
          <w:rFonts w:ascii="Times New Roman" w:hAnsi="Times New Roman" w:eastAsia="黑体"/>
          <w:b w:val="0"/>
          <w:bCs/>
          <w:color w:val="auto"/>
          <w:sz w:val="24"/>
          <w:szCs w:val="24"/>
        </w:rPr>
        <w:t>交付成果基本要求</w:t>
      </w:r>
      <w:bookmarkEnd w:id="471"/>
      <w:bookmarkEnd w:id="472"/>
      <w:bookmarkEnd w:id="473"/>
      <w:bookmarkEnd w:id="474"/>
      <w:bookmarkEnd w:id="475"/>
    </w:p>
    <w:p>
      <w:pPr>
        <w:pStyle w:val="587"/>
        <w:numPr>
          <w:ilvl w:val="2"/>
          <w:numId w:val="3"/>
        </w:numPr>
        <w:spacing w:beforeLines="50" w:afterLines="50" w:line="360" w:lineRule="auto"/>
        <w:outlineLvl w:val="3"/>
        <w:rPr>
          <w:rFonts w:ascii="LNUHNF+SimSun" w:hAnsi="LNUHNF+SimSun" w:cs="宋体"/>
          <w:color w:val="auto"/>
          <w:szCs w:val="21"/>
        </w:rPr>
      </w:pPr>
      <w:bookmarkStart w:id="476" w:name="_Toc9058"/>
      <w:bookmarkStart w:id="477" w:name="_Toc1892"/>
      <w:r>
        <w:rPr>
          <w:rFonts w:ascii="LNUHNF+SimSun" w:hAnsi="LNUHNF+SimSun" w:cs="宋体"/>
          <w:color w:val="auto"/>
          <w:szCs w:val="21"/>
        </w:rPr>
        <w:t>管理要求</w:t>
      </w:r>
      <w:bookmarkEnd w:id="476"/>
      <w:bookmarkEnd w:id="477"/>
    </w:p>
    <w:p>
      <w:pPr>
        <w:spacing w:before="120" w:after="120"/>
        <w:rPr>
          <w:color w:val="auto"/>
        </w:rPr>
      </w:pPr>
      <w:r>
        <w:rPr>
          <w:color w:val="auto"/>
        </w:rPr>
        <w:t>1  在项目BIM实施前期准备阶段，BIM总协调单位方应根据代建局项目BIM实施目标，制定项目BIM模型的应用实施方案并规定各阶段成果应用，交予代建局</w:t>
      </w:r>
      <w:r>
        <w:rPr>
          <w:rFonts w:hint="eastAsia"/>
          <w:color w:val="auto"/>
        </w:rPr>
        <w:t>前期工作部</w:t>
      </w:r>
      <w:r>
        <w:rPr>
          <w:color w:val="auto"/>
        </w:rPr>
        <w:t>审查备案。</w:t>
      </w:r>
    </w:p>
    <w:p>
      <w:pPr>
        <w:spacing w:before="120" w:after="120"/>
        <w:rPr>
          <w:color w:val="auto"/>
        </w:rPr>
      </w:pPr>
      <w:r>
        <w:rPr>
          <w:color w:val="auto"/>
        </w:rPr>
        <w:t>2  在项目各阶段实施前，BIM总协调方应向各参与方进行BIM技术交底，明确本项目BIM实施目标及成果交付要求。</w:t>
      </w:r>
    </w:p>
    <w:p>
      <w:pPr>
        <w:spacing w:before="120" w:after="120"/>
        <w:rPr>
          <w:color w:val="auto"/>
        </w:rPr>
      </w:pPr>
      <w:r>
        <w:rPr>
          <w:color w:val="auto"/>
        </w:rPr>
        <w:t>3  项目各参与方在BIM工作实施前，应根据BIM总协调方的项目BIM模型与应用实施方案，制定本单位在合同范围内所定的BIM模型及分类资料的交付计划。</w:t>
      </w:r>
    </w:p>
    <w:p>
      <w:pPr>
        <w:spacing w:before="120" w:after="120"/>
        <w:rPr>
          <w:color w:val="auto"/>
        </w:rPr>
      </w:pPr>
      <w:r>
        <w:rPr>
          <w:color w:val="auto"/>
        </w:rPr>
        <w:t>4  项目各参与方提交BIM成果的同时，应同时提交由该单位BIM负责人签发的BIM成果交付函件、签收单等。</w:t>
      </w:r>
    </w:p>
    <w:p>
      <w:pPr>
        <w:pStyle w:val="587"/>
        <w:numPr>
          <w:ilvl w:val="2"/>
          <w:numId w:val="3"/>
        </w:numPr>
        <w:spacing w:beforeLines="50" w:afterLines="50" w:line="360" w:lineRule="auto"/>
        <w:outlineLvl w:val="3"/>
        <w:rPr>
          <w:rFonts w:ascii="LNUHNF+SimSun" w:hAnsi="LNUHNF+SimSun" w:cs="宋体"/>
          <w:color w:val="auto"/>
          <w:szCs w:val="21"/>
        </w:rPr>
      </w:pPr>
      <w:bookmarkStart w:id="478" w:name="_Toc11340"/>
      <w:bookmarkStart w:id="479" w:name="_Toc22202"/>
      <w:r>
        <w:rPr>
          <w:rFonts w:ascii="LNUHNF+SimSun" w:hAnsi="LNUHNF+SimSun" w:cs="宋体"/>
          <w:color w:val="auto"/>
          <w:szCs w:val="21"/>
        </w:rPr>
        <w:t>成果一致性要求</w:t>
      </w:r>
      <w:bookmarkEnd w:id="478"/>
      <w:bookmarkEnd w:id="479"/>
    </w:p>
    <w:p>
      <w:pPr>
        <w:spacing w:before="120" w:after="120"/>
        <w:rPr>
          <w:color w:val="auto"/>
        </w:rPr>
      </w:pPr>
      <w:r>
        <w:rPr>
          <w:color w:val="auto"/>
        </w:rPr>
        <w:t>1  各参与方应按规定选用项目BIM实施软件</w:t>
      </w:r>
      <w:r>
        <w:rPr>
          <w:rFonts w:hint="eastAsia"/>
          <w:color w:val="auto"/>
        </w:rPr>
        <w:t>。各阶段的成果内容，实施单位应按合同及《实施导则》中提出的要求进行，</w:t>
      </w:r>
      <w:r>
        <w:rPr>
          <w:color w:val="auto"/>
        </w:rPr>
        <w:t>按规定提交统一格式的成果文件（数据），以保证最终BIM模型数据的正确性及完整性。</w:t>
      </w:r>
    </w:p>
    <w:p>
      <w:pPr>
        <w:spacing w:before="120" w:after="120"/>
        <w:rPr>
          <w:color w:val="auto"/>
        </w:rPr>
      </w:pPr>
      <w:r>
        <w:rPr>
          <w:color w:val="auto"/>
        </w:rPr>
        <w:t>2  项目BIM应用在实施过程中，每个阶段提交的BIM模型成果，应与同期项目的实施进度保持同步。</w:t>
      </w:r>
    </w:p>
    <w:p>
      <w:pPr>
        <w:spacing w:before="120" w:after="120"/>
        <w:rPr>
          <w:color w:val="auto"/>
        </w:rPr>
      </w:pPr>
      <w:r>
        <w:rPr>
          <w:rFonts w:hint="eastAsia"/>
          <w:color w:val="auto"/>
        </w:rPr>
        <w:t>3成果移交单位需确保移交成果的完整性。除特殊要求外，不应存在缺项、漏项、模型精度不足、图模不一致等问题</w:t>
      </w:r>
      <w:r>
        <w:rPr>
          <w:color w:val="auto"/>
        </w:rPr>
        <w:t>。</w:t>
      </w:r>
    </w:p>
    <w:p>
      <w:pPr>
        <w:pStyle w:val="587"/>
        <w:numPr>
          <w:ilvl w:val="2"/>
          <w:numId w:val="3"/>
        </w:numPr>
        <w:spacing w:beforeLines="50" w:afterLines="50" w:line="360" w:lineRule="auto"/>
        <w:outlineLvl w:val="3"/>
        <w:rPr>
          <w:rFonts w:ascii="LNUHNF+SimSun" w:hAnsi="LNUHNF+SimSun" w:cs="宋体"/>
          <w:color w:val="auto"/>
          <w:szCs w:val="21"/>
        </w:rPr>
      </w:pPr>
      <w:bookmarkStart w:id="480" w:name="_Toc16933"/>
      <w:bookmarkStart w:id="481" w:name="_Toc9114"/>
      <w:r>
        <w:rPr>
          <w:rFonts w:ascii="LNUHNF+SimSun" w:hAnsi="LNUHNF+SimSun" w:cs="宋体"/>
          <w:color w:val="auto"/>
          <w:szCs w:val="21"/>
        </w:rPr>
        <w:t>精度要求</w:t>
      </w:r>
      <w:bookmarkEnd w:id="480"/>
      <w:bookmarkEnd w:id="481"/>
    </w:p>
    <w:p>
      <w:pPr>
        <w:spacing w:before="120" w:after="120"/>
        <w:rPr>
          <w:color w:val="auto"/>
        </w:rPr>
      </w:pPr>
      <w:r>
        <w:rPr>
          <w:color w:val="auto"/>
        </w:rPr>
        <w:t>1  各阶段提交的BIM模型及成果信息应符合《附件：BIM实施导则》中附表3中的</w:t>
      </w:r>
      <w:r>
        <w:rPr>
          <w:rFonts w:hint="eastAsia"/>
          <w:color w:val="auto"/>
        </w:rPr>
        <w:t>“</w:t>
      </w:r>
      <w:r>
        <w:rPr>
          <w:color w:val="auto"/>
        </w:rPr>
        <w:t>各阶段BIM模型精细度要求</w:t>
      </w:r>
      <w:r>
        <w:rPr>
          <w:rFonts w:hint="eastAsia"/>
          <w:color w:val="auto"/>
        </w:rPr>
        <w:t>”</w:t>
      </w:r>
      <w:r>
        <w:rPr>
          <w:color w:val="auto"/>
        </w:rPr>
        <w:t>。</w:t>
      </w:r>
    </w:p>
    <w:p>
      <w:pPr>
        <w:spacing w:before="120" w:after="120"/>
        <w:rPr>
          <w:color w:val="auto"/>
        </w:rPr>
      </w:pPr>
      <w:r>
        <w:rPr>
          <w:color w:val="auto"/>
        </w:rPr>
        <w:t>2  BIM模型和</w:t>
      </w:r>
      <w:r>
        <w:rPr>
          <w:rFonts w:hint="eastAsia" w:cs="宋体"/>
          <w:color w:val="auto"/>
          <w:spacing w:val="-2"/>
        </w:rPr>
        <w:t>模型</w:t>
      </w:r>
      <w:r>
        <w:rPr>
          <w:color w:val="auto"/>
        </w:rPr>
        <w:t>构件的形状和尺寸及模型构件之间的位置关系准确无误，并且可以根据项目实施进度深化及补充，最终反映实际施工成果。</w:t>
      </w:r>
    </w:p>
    <w:p>
      <w:pPr>
        <w:pStyle w:val="587"/>
        <w:numPr>
          <w:ilvl w:val="2"/>
          <w:numId w:val="3"/>
        </w:numPr>
        <w:spacing w:beforeLines="50" w:afterLines="50" w:line="360" w:lineRule="auto"/>
        <w:outlineLvl w:val="3"/>
        <w:rPr>
          <w:rFonts w:ascii="LNUHNF+SimSun" w:hAnsi="LNUHNF+SimSun" w:cs="宋体"/>
          <w:color w:val="auto"/>
          <w:szCs w:val="21"/>
        </w:rPr>
      </w:pPr>
      <w:bookmarkStart w:id="482" w:name="_Toc24409"/>
      <w:bookmarkStart w:id="483" w:name="_Toc17652"/>
      <w:r>
        <w:rPr>
          <w:rFonts w:ascii="LNUHNF+SimSun" w:hAnsi="LNUHNF+SimSun" w:cs="宋体"/>
          <w:color w:val="auto"/>
          <w:szCs w:val="21"/>
        </w:rPr>
        <w:t>提交进度要求</w:t>
      </w:r>
      <w:bookmarkEnd w:id="482"/>
      <w:bookmarkEnd w:id="483"/>
    </w:p>
    <w:p>
      <w:pPr>
        <w:spacing w:before="120" w:after="120"/>
        <w:rPr>
          <w:color w:val="auto"/>
        </w:rPr>
      </w:pPr>
      <w:r>
        <w:rPr>
          <w:rFonts w:eastAsia="Times New Roman"/>
          <w:color w:val="auto"/>
        </w:rPr>
        <w:t xml:space="preserve">1  </w:t>
      </w:r>
      <w:r>
        <w:rPr>
          <w:color w:val="auto"/>
        </w:rPr>
        <w:t>各阶段项目各</w:t>
      </w:r>
      <w:r>
        <w:rPr>
          <w:rFonts w:hint="eastAsia" w:cs="宋体"/>
          <w:color w:val="auto"/>
          <w:spacing w:val="-2"/>
        </w:rPr>
        <w:t>参与</w:t>
      </w:r>
      <w:r>
        <w:rPr>
          <w:color w:val="auto"/>
        </w:rPr>
        <w:t>方的</w:t>
      </w:r>
      <w:r>
        <w:rPr>
          <w:rFonts w:eastAsia="Times New Roman"/>
          <w:color w:val="auto"/>
          <w:spacing w:val="-2"/>
        </w:rPr>
        <w:t>BIM</w:t>
      </w:r>
      <w:r>
        <w:rPr>
          <w:color w:val="auto"/>
        </w:rPr>
        <w:t>模型及应用成果应根据项目实施阶段节点进行交付。</w:t>
      </w:r>
    </w:p>
    <w:p>
      <w:pPr>
        <w:spacing w:before="120" w:after="120"/>
        <w:rPr>
          <w:color w:val="auto"/>
        </w:rPr>
      </w:pPr>
      <w:r>
        <w:rPr>
          <w:rFonts w:eastAsia="Times New Roman"/>
          <w:color w:val="auto"/>
        </w:rPr>
        <w:t xml:space="preserve">2  </w:t>
      </w:r>
      <w:r>
        <w:rPr>
          <w:color w:val="auto"/>
        </w:rPr>
        <w:t>项目各参与</w:t>
      </w:r>
      <w:r>
        <w:rPr>
          <w:rFonts w:hint="eastAsia" w:cs="宋体"/>
          <w:color w:val="auto"/>
          <w:spacing w:val="-2"/>
        </w:rPr>
        <w:t>方根</w:t>
      </w:r>
      <w:r>
        <w:rPr>
          <w:color w:val="auto"/>
        </w:rPr>
        <w:t>据</w:t>
      </w:r>
      <w:r>
        <w:rPr>
          <w:rFonts w:eastAsia="Times New Roman"/>
          <w:color w:val="auto"/>
          <w:spacing w:val="-2"/>
        </w:rPr>
        <w:t>BIM</w:t>
      </w:r>
      <w:r>
        <w:rPr>
          <w:color w:val="auto"/>
        </w:rPr>
        <w:t>总协调方复查意见完成</w:t>
      </w:r>
      <w:r>
        <w:rPr>
          <w:rFonts w:eastAsia="Times New Roman"/>
          <w:color w:val="auto"/>
          <w:spacing w:val="-2"/>
        </w:rPr>
        <w:t>BIM</w:t>
      </w:r>
      <w:r>
        <w:rPr>
          <w:color w:val="auto"/>
        </w:rPr>
        <w:t>模型的修改和整理后，应在规定的时间内重新提交成果。</w:t>
      </w:r>
    </w:p>
    <w:p>
      <w:pPr>
        <w:pStyle w:val="585"/>
        <w:spacing w:before="120" w:after="120" w:line="360" w:lineRule="auto"/>
        <w:ind w:left="0"/>
        <w:outlineLvl w:val="1"/>
        <w:rPr>
          <w:rFonts w:ascii="Times New Roman" w:hAnsi="Times New Roman" w:eastAsia="黑体"/>
          <w:b w:val="0"/>
          <w:bCs/>
          <w:color w:val="auto"/>
          <w:sz w:val="24"/>
          <w:szCs w:val="24"/>
        </w:rPr>
      </w:pPr>
      <w:bookmarkStart w:id="484" w:name="_bookmark14"/>
      <w:bookmarkEnd w:id="484"/>
      <w:bookmarkStart w:id="485" w:name="_Toc18301"/>
      <w:bookmarkStart w:id="486" w:name="_Toc2837"/>
      <w:bookmarkStart w:id="487" w:name="_Toc54567604"/>
      <w:bookmarkStart w:id="488" w:name="_Toc21224"/>
      <w:bookmarkStart w:id="489" w:name="_Toc26160"/>
      <w:r>
        <w:rPr>
          <w:rFonts w:ascii="Times New Roman" w:hAnsi="Times New Roman" w:eastAsia="黑体"/>
          <w:b w:val="0"/>
          <w:bCs/>
          <w:color w:val="auto"/>
          <w:sz w:val="24"/>
          <w:szCs w:val="24"/>
        </w:rPr>
        <w:t>成果交付审查流程</w:t>
      </w:r>
      <w:bookmarkEnd w:id="485"/>
      <w:bookmarkEnd w:id="486"/>
      <w:bookmarkEnd w:id="487"/>
      <w:bookmarkEnd w:id="488"/>
      <w:bookmarkEnd w:id="489"/>
    </w:p>
    <w:p>
      <w:pPr>
        <w:pStyle w:val="587"/>
        <w:numPr>
          <w:ilvl w:val="2"/>
          <w:numId w:val="3"/>
        </w:numPr>
        <w:spacing w:beforeLines="50" w:afterLines="50" w:line="360" w:lineRule="auto"/>
        <w:outlineLvl w:val="3"/>
        <w:rPr>
          <w:rFonts w:ascii="LNUHNF+SimSun" w:hAnsi="LNUHNF+SimSun" w:cs="宋体"/>
          <w:color w:val="auto"/>
          <w:szCs w:val="21"/>
        </w:rPr>
      </w:pPr>
      <w:bookmarkStart w:id="490" w:name="_Toc30003"/>
      <w:bookmarkStart w:id="491" w:name="_Toc1602"/>
      <w:r>
        <w:rPr>
          <w:rFonts w:ascii="LNUHNF+SimSun" w:hAnsi="LNUHNF+SimSun" w:cs="宋体"/>
          <w:color w:val="auto"/>
          <w:szCs w:val="21"/>
        </w:rPr>
        <w:t>BIM交付成果审查工作管理</w:t>
      </w:r>
      <w:bookmarkEnd w:id="490"/>
      <w:bookmarkEnd w:id="491"/>
    </w:p>
    <w:p>
      <w:pPr>
        <w:spacing w:before="120" w:after="120"/>
        <w:rPr>
          <w:color w:val="auto"/>
        </w:rPr>
      </w:pPr>
      <w:r>
        <w:rPr>
          <w:rFonts w:eastAsia="Times New Roman"/>
          <w:color w:val="auto"/>
        </w:rPr>
        <w:t>1  BIM</w:t>
      </w:r>
      <w:r>
        <w:rPr>
          <w:color w:val="auto"/>
          <w:spacing w:val="2"/>
        </w:rPr>
        <w:t>总协调方</w:t>
      </w:r>
      <w:r>
        <w:rPr>
          <w:rFonts w:hint="eastAsia" w:cs="宋体"/>
          <w:color w:val="auto"/>
          <w:spacing w:val="-2"/>
        </w:rPr>
        <w:t>作为</w:t>
      </w:r>
      <w:r>
        <w:rPr>
          <w:rFonts w:eastAsia="Times New Roman"/>
          <w:color w:val="auto"/>
        </w:rPr>
        <w:t>BIM</w:t>
      </w:r>
      <w:r>
        <w:rPr>
          <w:color w:val="auto"/>
          <w:spacing w:val="2"/>
        </w:rPr>
        <w:t>工作质量监督方，应协助代建局</w:t>
      </w:r>
      <w:r>
        <w:rPr>
          <w:rFonts w:hint="eastAsia"/>
          <w:color w:val="auto"/>
          <w:spacing w:val="2"/>
        </w:rPr>
        <w:t>前期工作部和项目建设管理部</w:t>
      </w:r>
      <w:r>
        <w:rPr>
          <w:color w:val="auto"/>
          <w:spacing w:val="2"/>
        </w:rPr>
        <w:t>对各参与方交付的</w:t>
      </w:r>
      <w:r>
        <w:rPr>
          <w:rFonts w:eastAsia="Times New Roman"/>
          <w:color w:val="auto"/>
        </w:rPr>
        <w:t>BIM</w:t>
      </w:r>
      <w:r>
        <w:rPr>
          <w:color w:val="auto"/>
        </w:rPr>
        <w:t>模型成果和</w:t>
      </w:r>
      <w:r>
        <w:rPr>
          <w:rFonts w:eastAsia="Times New Roman"/>
          <w:color w:val="auto"/>
          <w:spacing w:val="-2"/>
        </w:rPr>
        <w:t>BIM</w:t>
      </w:r>
      <w:r>
        <w:rPr>
          <w:color w:val="auto"/>
        </w:rPr>
        <w:t>应用成果进行质量检查。</w:t>
      </w:r>
    </w:p>
    <w:p>
      <w:pPr>
        <w:spacing w:before="120" w:after="120"/>
        <w:rPr>
          <w:color w:val="auto"/>
        </w:rPr>
      </w:pPr>
      <w:r>
        <w:rPr>
          <w:rFonts w:eastAsia="Times New Roman"/>
          <w:color w:val="auto"/>
        </w:rPr>
        <w:t>2  BIM</w:t>
      </w:r>
      <w:r>
        <w:rPr>
          <w:color w:val="auto"/>
        </w:rPr>
        <w:t>交付成果审查应包括</w:t>
      </w:r>
      <w:r>
        <w:rPr>
          <w:rFonts w:eastAsia="Times New Roman"/>
          <w:color w:val="auto"/>
        </w:rPr>
        <w:t>2</w:t>
      </w:r>
      <w:r>
        <w:rPr>
          <w:color w:val="auto"/>
        </w:rPr>
        <w:t>个环节的审查工作，其中包括自检、</w:t>
      </w:r>
      <w:r>
        <w:rPr>
          <w:rFonts w:eastAsia="Times New Roman"/>
          <w:color w:val="auto"/>
        </w:rPr>
        <w:t>BIM</w:t>
      </w:r>
      <w:r>
        <w:rPr>
          <w:color w:val="auto"/>
        </w:rPr>
        <w:t>总协调方审查。</w:t>
      </w:r>
    </w:p>
    <w:p>
      <w:pPr>
        <w:spacing w:before="120" w:after="120"/>
        <w:rPr>
          <w:color w:val="auto"/>
        </w:rPr>
      </w:pPr>
      <w:r>
        <w:rPr>
          <w:rFonts w:eastAsia="Times New Roman"/>
          <w:color w:val="auto"/>
        </w:rPr>
        <w:t>3  BIM</w:t>
      </w:r>
      <w:r>
        <w:rPr>
          <w:color w:val="auto"/>
          <w:spacing w:val="8"/>
        </w:rPr>
        <w:t>总协调方以书面</w:t>
      </w:r>
      <w:r>
        <w:rPr>
          <w:color w:val="auto"/>
        </w:rPr>
        <w:t>记录</w:t>
      </w:r>
      <w:r>
        <w:rPr>
          <w:color w:val="auto"/>
          <w:spacing w:val="8"/>
        </w:rPr>
        <w:t>的方式把质量检查的结果提交代建局</w:t>
      </w:r>
      <w:r>
        <w:rPr>
          <w:rFonts w:hint="eastAsia"/>
          <w:color w:val="auto"/>
          <w:spacing w:val="2"/>
        </w:rPr>
        <w:t>前期工作部和项目建设管理部</w:t>
      </w:r>
      <w:r>
        <w:rPr>
          <w:color w:val="auto"/>
          <w:spacing w:val="8"/>
        </w:rPr>
        <w:t>审阅，各参与方根据</w:t>
      </w:r>
      <w:r>
        <w:rPr>
          <w:rFonts w:eastAsia="Times New Roman"/>
          <w:color w:val="auto"/>
          <w:spacing w:val="-2"/>
        </w:rPr>
        <w:t>BIM</w:t>
      </w:r>
      <w:r>
        <w:rPr>
          <w:color w:val="auto"/>
        </w:rPr>
        <w:t>总协调方的要求进行校核和调整。</w:t>
      </w:r>
    </w:p>
    <w:p>
      <w:pPr>
        <w:spacing w:before="120" w:after="120"/>
        <w:ind w:firstLine="488"/>
        <w:rPr>
          <w:color w:val="auto"/>
        </w:rPr>
      </w:pPr>
      <w:r>
        <w:rPr>
          <w:rFonts w:eastAsia="Times New Roman"/>
          <w:color w:val="auto"/>
          <w:spacing w:val="2"/>
        </w:rPr>
        <w:t xml:space="preserve">4  </w:t>
      </w:r>
      <w:r>
        <w:rPr>
          <w:color w:val="auto"/>
          <w:spacing w:val="2"/>
        </w:rPr>
        <w:t>对于不合格的模型交付物，将明确告知相关参与方不合格的情况和整改意见，由相关</w:t>
      </w:r>
      <w:r>
        <w:rPr>
          <w:color w:val="auto"/>
        </w:rPr>
        <w:t>参与方进行整改。</w:t>
      </w:r>
    </w:p>
    <w:p>
      <w:pPr>
        <w:spacing w:before="120" w:after="120"/>
        <w:rPr>
          <w:color w:val="auto"/>
        </w:rPr>
      </w:pPr>
      <w:r>
        <w:rPr>
          <w:rFonts w:eastAsia="Times New Roman"/>
          <w:color w:val="auto"/>
        </w:rPr>
        <w:t xml:space="preserve">5  </w:t>
      </w:r>
      <w:r>
        <w:rPr>
          <w:color w:val="auto"/>
        </w:rPr>
        <w:t>全部验收合格的</w:t>
      </w:r>
      <w:r>
        <w:rPr>
          <w:rFonts w:eastAsia="Times New Roman"/>
          <w:color w:val="auto"/>
          <w:spacing w:val="-2"/>
        </w:rPr>
        <w:t>BIM</w:t>
      </w:r>
      <w:r>
        <w:rPr>
          <w:color w:val="auto"/>
        </w:rPr>
        <w:t>成果，由</w:t>
      </w:r>
      <w:r>
        <w:rPr>
          <w:rFonts w:eastAsia="Times New Roman"/>
          <w:color w:val="auto"/>
          <w:spacing w:val="-2"/>
        </w:rPr>
        <w:t>BIM</w:t>
      </w:r>
      <w:r>
        <w:rPr>
          <w:color w:val="auto"/>
        </w:rPr>
        <w:t>总协调方汇总并提交给代建局</w:t>
      </w:r>
      <w:r>
        <w:rPr>
          <w:rFonts w:hint="eastAsia"/>
          <w:color w:val="auto"/>
          <w:spacing w:val="2"/>
        </w:rPr>
        <w:t>前期工作部或项目建设管理部</w:t>
      </w:r>
      <w:r>
        <w:rPr>
          <w:color w:val="auto"/>
        </w:rPr>
        <w:t>。</w:t>
      </w:r>
    </w:p>
    <w:p>
      <w:pPr>
        <w:pStyle w:val="587"/>
        <w:numPr>
          <w:ilvl w:val="2"/>
          <w:numId w:val="3"/>
        </w:numPr>
        <w:spacing w:beforeLines="50" w:afterLines="50" w:line="360" w:lineRule="auto"/>
        <w:outlineLvl w:val="3"/>
        <w:rPr>
          <w:rFonts w:ascii="LNUHNF+SimSun" w:hAnsi="LNUHNF+SimSun" w:cs="宋体"/>
          <w:color w:val="auto"/>
          <w:szCs w:val="21"/>
        </w:rPr>
      </w:pPr>
      <w:bookmarkStart w:id="492" w:name="_Toc844"/>
      <w:bookmarkStart w:id="493" w:name="_Toc22649"/>
      <w:r>
        <w:rPr>
          <w:rFonts w:ascii="LNUHNF+SimSun" w:hAnsi="LNUHNF+SimSun" w:cs="宋体"/>
          <w:color w:val="auto"/>
          <w:szCs w:val="21"/>
        </w:rPr>
        <w:t>各阶段BIM交付成果审查对象</w:t>
      </w:r>
      <w:bookmarkEnd w:id="492"/>
      <w:bookmarkEnd w:id="493"/>
    </w:p>
    <w:p>
      <w:pPr>
        <w:spacing w:before="120" w:after="120"/>
        <w:rPr>
          <w:color w:val="auto"/>
        </w:rPr>
      </w:pPr>
      <w:r>
        <w:rPr>
          <w:color w:val="auto"/>
        </w:rPr>
        <w:t>各阶段BIM交付成果审查方法及要点详见《附件：BIM实施导则》3.1.4。</w:t>
      </w:r>
    </w:p>
    <w:p>
      <w:pPr>
        <w:spacing w:before="120" w:after="120"/>
        <w:rPr>
          <w:color w:val="auto"/>
        </w:rPr>
      </w:pPr>
      <w:r>
        <w:rPr>
          <w:color w:val="auto"/>
        </w:rPr>
        <w:t>1  设计阶段该阶段首先针对的是方案设计阶段、初步设计阶段、施工图设计阶段，根据每个阶段设计的目标建立各专业模型，包括：方案比选模型、设计性能化分析模型、施工图模型（包含了混凝土结构、钢结构、建筑、幕墙、屋面、机电、装饰装修）等。</w:t>
      </w:r>
    </w:p>
    <w:p>
      <w:pPr>
        <w:spacing w:before="120" w:after="120"/>
        <w:rPr>
          <w:color w:val="auto"/>
        </w:rPr>
      </w:pPr>
      <w:r>
        <w:rPr>
          <w:color w:val="auto"/>
        </w:rPr>
        <w:t>其次是各个设计阶段利用相应模型进行的BIM成果审查，包括方案阶段</w:t>
      </w:r>
      <w:r>
        <w:rPr>
          <w:rFonts w:hint="eastAsia"/>
          <w:color w:val="auto"/>
        </w:rPr>
        <w:t>（</w:t>
      </w:r>
      <w:r>
        <w:rPr>
          <w:color w:val="auto"/>
        </w:rPr>
        <w:t>方案效果展示图、方案展示视频</w:t>
      </w:r>
      <w:r>
        <w:rPr>
          <w:rFonts w:hint="eastAsia"/>
          <w:color w:val="auto"/>
        </w:rPr>
        <w:t>）</w:t>
      </w:r>
      <w:r>
        <w:rPr>
          <w:color w:val="auto"/>
        </w:rPr>
        <w:t>，初步设计阶段</w:t>
      </w:r>
      <w:r>
        <w:rPr>
          <w:rFonts w:hint="eastAsia"/>
          <w:color w:val="auto"/>
        </w:rPr>
        <w:t>（</w:t>
      </w:r>
      <w:r>
        <w:rPr>
          <w:color w:val="auto"/>
        </w:rPr>
        <w:t>性能化分析报告、分析过程视频</w:t>
      </w:r>
      <w:r>
        <w:rPr>
          <w:rFonts w:hint="eastAsia"/>
          <w:color w:val="auto"/>
        </w:rPr>
        <w:t>）</w:t>
      </w:r>
      <w:r>
        <w:rPr>
          <w:color w:val="auto"/>
        </w:rPr>
        <w:t>，施工图设计阶段</w:t>
      </w:r>
      <w:r>
        <w:rPr>
          <w:rFonts w:hint="eastAsia"/>
          <w:color w:val="auto"/>
        </w:rPr>
        <w:t>（</w:t>
      </w:r>
      <w:r>
        <w:rPr>
          <w:color w:val="auto"/>
        </w:rPr>
        <w:t>管线综合、碰撞检查报告、净空分析报告</w:t>
      </w:r>
      <w:r>
        <w:rPr>
          <w:rFonts w:hint="eastAsia"/>
          <w:color w:val="auto"/>
        </w:rPr>
        <w:t>）</w:t>
      </w:r>
      <w:r>
        <w:rPr>
          <w:color w:val="auto"/>
        </w:rPr>
        <w:t>等。</w:t>
      </w:r>
    </w:p>
    <w:p>
      <w:pPr>
        <w:spacing w:before="120" w:after="120"/>
        <w:rPr>
          <w:color w:val="auto"/>
        </w:rPr>
      </w:pPr>
      <w:r>
        <w:rPr>
          <w:color w:val="auto"/>
        </w:rPr>
        <w:t>2  施工阶段该阶段首先是在设计阶段建立的模型基础上，建立各专业的深化模型、深化设计节点模型、设计及施工变更进行更新的模型、施工方案和施工工艺制作的应用点模型、场地布置模型等。</w:t>
      </w:r>
    </w:p>
    <w:p>
      <w:pPr>
        <w:spacing w:before="120" w:after="120"/>
        <w:rPr>
          <w:color w:val="auto"/>
        </w:rPr>
      </w:pPr>
      <w:r>
        <w:rPr>
          <w:color w:val="auto"/>
        </w:rPr>
        <w:t>其次针对的是在施工阶段进行的相应BIM应用成果，包括施工进度模拟、施工工艺模拟、施工方案模拟、工程协调、工程算量、工程节点三维视频展示。</w:t>
      </w:r>
    </w:p>
    <w:p>
      <w:pPr>
        <w:pStyle w:val="587"/>
        <w:numPr>
          <w:ilvl w:val="2"/>
          <w:numId w:val="3"/>
        </w:numPr>
        <w:spacing w:beforeLines="50" w:afterLines="50" w:line="360" w:lineRule="auto"/>
        <w:outlineLvl w:val="3"/>
        <w:rPr>
          <w:rFonts w:ascii="LNUHNF+SimSun" w:hAnsi="LNUHNF+SimSun" w:cs="宋体"/>
          <w:color w:val="auto"/>
          <w:szCs w:val="21"/>
        </w:rPr>
      </w:pPr>
      <w:bookmarkStart w:id="494" w:name="_Toc6653"/>
      <w:bookmarkStart w:id="495" w:name="_Toc11717"/>
      <w:r>
        <w:rPr>
          <w:rFonts w:ascii="LNUHNF+SimSun" w:hAnsi="LNUHNF+SimSun" w:cs="宋体"/>
          <w:color w:val="auto"/>
          <w:szCs w:val="21"/>
        </w:rPr>
        <w:t>成果审查的结果归档</w:t>
      </w:r>
      <w:bookmarkEnd w:id="494"/>
      <w:bookmarkEnd w:id="495"/>
    </w:p>
    <w:p>
      <w:pPr>
        <w:spacing w:before="120" w:after="120"/>
        <w:rPr>
          <w:color w:val="auto"/>
        </w:rPr>
      </w:pPr>
      <w:r>
        <w:rPr>
          <w:color w:val="auto"/>
        </w:rPr>
        <w:t>1  审查结果意见根据检查的内容，需要将最终的检查结果意见形成规范的格式文件并归档。审查结果中，应该以</w:t>
      </w:r>
      <w:bookmarkStart w:id="496" w:name="_bookmark15"/>
      <w:bookmarkEnd w:id="496"/>
      <w:r>
        <w:rPr>
          <w:color w:val="auto"/>
        </w:rPr>
        <w:t>截图形式辅助说明模型（成果）中存在的问题，同时应准确描述模型（成果）问题的位置。</w:t>
      </w:r>
    </w:p>
    <w:p>
      <w:pPr>
        <w:spacing w:before="120" w:after="120"/>
        <w:rPr>
          <w:color w:val="auto"/>
        </w:rPr>
      </w:pPr>
      <w:r>
        <w:rPr>
          <w:color w:val="auto"/>
        </w:rPr>
        <w:t>2  结果提交</w:t>
      </w:r>
    </w:p>
    <w:p>
      <w:pPr>
        <w:spacing w:before="120" w:after="120"/>
        <w:rPr>
          <w:color w:val="auto"/>
        </w:rPr>
      </w:pPr>
      <w:r>
        <w:rPr>
          <w:color w:val="auto"/>
        </w:rPr>
        <w:t>形成的模型（成果）审核报告，应该转换为规定文件格式，统一由BIM总协调方提交代建局</w:t>
      </w:r>
      <w:r>
        <w:rPr>
          <w:rFonts w:hint="eastAsia"/>
          <w:color w:val="auto"/>
          <w:spacing w:val="2"/>
        </w:rPr>
        <w:t>前期工作部或项目建设管理部</w:t>
      </w:r>
      <w:r>
        <w:rPr>
          <w:color w:val="auto"/>
        </w:rPr>
        <w:t>，同时抄送给各参与方。</w:t>
      </w:r>
    </w:p>
    <w:p>
      <w:pPr>
        <w:spacing w:before="120" w:after="120"/>
        <w:rPr>
          <w:color w:val="auto"/>
        </w:rPr>
      </w:pPr>
      <w:r>
        <w:rPr>
          <w:color w:val="auto"/>
        </w:rPr>
        <w:t>3  结果存档</w:t>
      </w:r>
    </w:p>
    <w:p>
      <w:pPr>
        <w:spacing w:before="120" w:after="120"/>
        <w:rPr>
          <w:color w:val="auto"/>
        </w:rPr>
      </w:pPr>
      <w:r>
        <w:rPr>
          <w:color w:val="auto"/>
        </w:rPr>
        <w:t>模型（成果）审核文件，应该作为该项目的成果文件进行存档，由BIM总协调方整理保存，上传至项目管理平台归档。</w:t>
      </w:r>
    </w:p>
    <w:p>
      <w:pPr>
        <w:pStyle w:val="585"/>
        <w:spacing w:before="120" w:after="120" w:line="360" w:lineRule="auto"/>
        <w:ind w:left="0"/>
        <w:outlineLvl w:val="1"/>
        <w:rPr>
          <w:rFonts w:ascii="Times New Roman" w:hAnsi="Times New Roman" w:eastAsia="黑体"/>
          <w:b w:val="0"/>
          <w:bCs/>
          <w:color w:val="auto"/>
          <w:sz w:val="24"/>
          <w:szCs w:val="24"/>
        </w:rPr>
      </w:pPr>
      <w:bookmarkStart w:id="497" w:name="_Toc22400"/>
      <w:bookmarkStart w:id="498" w:name="_Toc54567605"/>
      <w:bookmarkStart w:id="499" w:name="_Toc32422"/>
      <w:bookmarkStart w:id="500" w:name="_Toc27297"/>
      <w:bookmarkStart w:id="501" w:name="_Toc21756"/>
      <w:r>
        <w:rPr>
          <w:rFonts w:ascii="Times New Roman" w:hAnsi="Times New Roman" w:eastAsia="黑体"/>
          <w:b w:val="0"/>
          <w:bCs/>
          <w:color w:val="auto"/>
          <w:sz w:val="24"/>
          <w:szCs w:val="24"/>
        </w:rPr>
        <w:t>信息安全与知识产权规定</w:t>
      </w:r>
      <w:bookmarkEnd w:id="497"/>
      <w:bookmarkEnd w:id="498"/>
      <w:bookmarkEnd w:id="499"/>
      <w:bookmarkEnd w:id="500"/>
      <w:bookmarkEnd w:id="501"/>
    </w:p>
    <w:p>
      <w:pPr>
        <w:pStyle w:val="587"/>
        <w:numPr>
          <w:ilvl w:val="2"/>
          <w:numId w:val="3"/>
        </w:numPr>
        <w:spacing w:beforeLines="50" w:afterLines="50" w:line="360" w:lineRule="auto"/>
        <w:outlineLvl w:val="3"/>
        <w:rPr>
          <w:rFonts w:ascii="LNUHNF+SimSun" w:hAnsi="LNUHNF+SimSun" w:cs="宋体"/>
          <w:color w:val="auto"/>
          <w:szCs w:val="21"/>
        </w:rPr>
      </w:pPr>
      <w:bookmarkStart w:id="502" w:name="_Toc15520"/>
      <w:bookmarkStart w:id="503" w:name="_Toc8186"/>
      <w:r>
        <w:rPr>
          <w:rFonts w:ascii="LNUHNF+SimSun" w:hAnsi="LNUHNF+SimSun" w:cs="宋体"/>
          <w:color w:val="auto"/>
          <w:szCs w:val="21"/>
        </w:rPr>
        <w:t>项目人员应通过受控的权限访问网络服务器上的BIM项目数据。</w:t>
      </w:r>
      <w:bookmarkEnd w:id="502"/>
      <w:bookmarkEnd w:id="503"/>
    </w:p>
    <w:p>
      <w:pPr>
        <w:pStyle w:val="587"/>
        <w:numPr>
          <w:ilvl w:val="2"/>
          <w:numId w:val="3"/>
        </w:numPr>
        <w:spacing w:beforeLines="50" w:afterLines="50" w:line="360" w:lineRule="auto"/>
        <w:outlineLvl w:val="3"/>
        <w:rPr>
          <w:rFonts w:ascii="LNUHNF+SimSun" w:hAnsi="LNUHNF+SimSun" w:cs="宋体"/>
          <w:color w:val="auto"/>
          <w:szCs w:val="21"/>
        </w:rPr>
      </w:pPr>
      <w:bookmarkStart w:id="504" w:name="_Toc11587"/>
      <w:bookmarkStart w:id="505" w:name="_Toc14922"/>
      <w:r>
        <w:rPr>
          <w:rFonts w:ascii="LNUHNF+SimSun" w:hAnsi="LNUHNF+SimSun" w:cs="宋体"/>
          <w:color w:val="auto"/>
          <w:szCs w:val="21"/>
        </w:rPr>
        <w:t>所有BIM项目数据应存放在网络服务器上，并对其进行定期备份。</w:t>
      </w:r>
      <w:bookmarkEnd w:id="504"/>
      <w:bookmarkEnd w:id="505"/>
    </w:p>
    <w:p>
      <w:pPr>
        <w:pStyle w:val="587"/>
        <w:numPr>
          <w:ilvl w:val="2"/>
          <w:numId w:val="3"/>
        </w:numPr>
        <w:spacing w:beforeLines="50" w:afterLines="50" w:line="360" w:lineRule="auto"/>
        <w:outlineLvl w:val="3"/>
        <w:rPr>
          <w:rFonts w:ascii="LNUHNF+SimSun" w:hAnsi="LNUHNF+SimSun" w:cs="宋体"/>
          <w:color w:val="auto"/>
          <w:szCs w:val="21"/>
        </w:rPr>
      </w:pPr>
      <w:bookmarkStart w:id="506" w:name="_Toc11162"/>
      <w:bookmarkStart w:id="507" w:name="_Toc21512"/>
      <w:r>
        <w:rPr>
          <w:rFonts w:ascii="LNUHNF+SimSun" w:hAnsi="LNUHNF+SimSun" w:cs="宋体"/>
          <w:color w:val="auto"/>
          <w:szCs w:val="21"/>
        </w:rPr>
        <w:t>各项目BIM相关成果的知识产权受各项目参与方的合同条款保护。在项目过程中，未经代建局允许，不允许向第三方公开或发布相关资料。</w:t>
      </w:r>
      <w:bookmarkEnd w:id="506"/>
      <w:bookmarkEnd w:id="507"/>
    </w:p>
    <w:p>
      <w:pPr>
        <w:spacing w:before="120" w:after="120" w:line="338" w:lineRule="auto"/>
        <w:rPr>
          <w:color w:val="auto"/>
        </w:rPr>
        <w:sectPr>
          <w:pgSz w:w="11910" w:h="16840"/>
          <w:pgMar w:top="1080" w:right="1020" w:bottom="1160" w:left="1020" w:header="0" w:footer="973" w:gutter="0"/>
          <w:cols w:space="720" w:num="1"/>
        </w:sectPr>
      </w:pPr>
    </w:p>
    <w:p>
      <w:pPr>
        <w:pStyle w:val="583"/>
        <w:spacing w:before="240" w:after="240"/>
        <w:outlineLvl w:val="0"/>
        <w:rPr>
          <w:b w:val="0"/>
          <w:bCs/>
          <w:color w:val="auto"/>
        </w:rPr>
      </w:pPr>
      <w:bookmarkStart w:id="508" w:name="_bookmark17"/>
      <w:bookmarkEnd w:id="508"/>
      <w:bookmarkStart w:id="509" w:name="_bookmark18"/>
      <w:bookmarkEnd w:id="509"/>
      <w:bookmarkStart w:id="510" w:name="_bookmark16"/>
      <w:bookmarkEnd w:id="510"/>
      <w:bookmarkStart w:id="511" w:name="_Toc19597"/>
      <w:bookmarkStart w:id="512" w:name="_Toc30224"/>
      <w:bookmarkStart w:id="513" w:name="_Toc54567606"/>
      <w:bookmarkStart w:id="514" w:name="_Toc4424"/>
      <w:bookmarkStart w:id="515" w:name="_Toc26651"/>
      <w:r>
        <w:rPr>
          <w:b w:val="0"/>
          <w:bCs/>
          <w:color w:val="auto"/>
        </w:rPr>
        <w:t>协同要求</w:t>
      </w:r>
      <w:bookmarkEnd w:id="511"/>
      <w:bookmarkEnd w:id="512"/>
      <w:bookmarkEnd w:id="513"/>
      <w:bookmarkEnd w:id="514"/>
      <w:bookmarkEnd w:id="515"/>
    </w:p>
    <w:p>
      <w:pPr>
        <w:spacing w:before="120" w:after="120"/>
        <w:rPr>
          <w:color w:val="auto"/>
        </w:rPr>
      </w:pPr>
      <w:r>
        <w:rPr>
          <w:color w:val="auto"/>
        </w:rPr>
        <w:t>在</w:t>
      </w:r>
      <w:r>
        <w:rPr>
          <w:rFonts w:eastAsia="Times New Roman"/>
          <w:color w:val="auto"/>
          <w:spacing w:val="-2"/>
        </w:rPr>
        <w:t>BIM</w:t>
      </w:r>
      <w:r>
        <w:rPr>
          <w:color w:val="auto"/>
        </w:rPr>
        <w:t>协同工作中，通过公用的</w:t>
      </w:r>
      <w:r>
        <w:rPr>
          <w:rFonts w:eastAsia="Times New Roman"/>
          <w:color w:val="auto"/>
          <w:spacing w:val="-2"/>
        </w:rPr>
        <w:t>BIM</w:t>
      </w:r>
      <w:r>
        <w:rPr>
          <w:color w:val="auto"/>
        </w:rPr>
        <w:t>协同平台确保</w:t>
      </w:r>
      <w:r>
        <w:rPr>
          <w:rFonts w:eastAsia="Times New Roman"/>
          <w:color w:val="auto"/>
          <w:spacing w:val="-2"/>
        </w:rPr>
        <w:t>BIM</w:t>
      </w:r>
      <w:r>
        <w:rPr>
          <w:color w:val="auto"/>
        </w:rPr>
        <w:t>模型数据的统一性与准确性，提升</w:t>
      </w:r>
      <w:r>
        <w:rPr>
          <w:rFonts w:eastAsia="Times New Roman"/>
          <w:color w:val="auto"/>
          <w:spacing w:val="-2"/>
        </w:rPr>
        <w:t>BIM</w:t>
      </w:r>
      <w:r>
        <w:rPr>
          <w:color w:val="auto"/>
        </w:rPr>
        <w:t>模型数据传输效率及质量，提高各参与方协作效率，为工程项目的设计、施工、运营、维护提供数字化基础。</w:t>
      </w:r>
    </w:p>
    <w:p>
      <w:pPr>
        <w:pStyle w:val="585"/>
        <w:spacing w:before="120" w:after="120" w:line="360" w:lineRule="auto"/>
        <w:ind w:left="0"/>
        <w:outlineLvl w:val="1"/>
        <w:rPr>
          <w:rFonts w:ascii="Times New Roman" w:hAnsi="Times New Roman" w:eastAsia="黑体"/>
          <w:b w:val="0"/>
          <w:bCs/>
          <w:color w:val="auto"/>
          <w:sz w:val="24"/>
          <w:szCs w:val="24"/>
        </w:rPr>
      </w:pPr>
      <w:bookmarkStart w:id="516" w:name="_Toc24737"/>
      <w:bookmarkStart w:id="517" w:name="_Toc5144"/>
      <w:bookmarkStart w:id="518" w:name="_Toc54567607"/>
      <w:bookmarkStart w:id="519" w:name="_Toc15110"/>
      <w:bookmarkStart w:id="520" w:name="_Toc21105"/>
      <w:r>
        <w:rPr>
          <w:rFonts w:ascii="Times New Roman" w:hAnsi="Times New Roman" w:eastAsia="黑体"/>
          <w:b w:val="0"/>
          <w:bCs/>
          <w:color w:val="auto"/>
          <w:sz w:val="24"/>
          <w:szCs w:val="24"/>
        </w:rPr>
        <w:t>BIM协同平台</w:t>
      </w:r>
      <w:bookmarkEnd w:id="516"/>
      <w:bookmarkEnd w:id="517"/>
      <w:bookmarkEnd w:id="518"/>
      <w:bookmarkEnd w:id="519"/>
      <w:bookmarkEnd w:id="520"/>
    </w:p>
    <w:p>
      <w:pPr>
        <w:pStyle w:val="587"/>
        <w:numPr>
          <w:ilvl w:val="2"/>
          <w:numId w:val="3"/>
        </w:numPr>
        <w:spacing w:beforeLines="50" w:afterLines="50" w:line="360" w:lineRule="auto"/>
        <w:outlineLvl w:val="3"/>
        <w:rPr>
          <w:rFonts w:ascii="宋体" w:hAnsi="宋体" w:cs="宋体"/>
          <w:color w:val="auto"/>
          <w:sz w:val="24"/>
          <w:szCs w:val="24"/>
        </w:rPr>
      </w:pPr>
      <w:bookmarkStart w:id="521" w:name="_Toc4256"/>
      <w:bookmarkStart w:id="522" w:name="_Toc7503"/>
      <w:r>
        <w:rPr>
          <w:rFonts w:ascii="LNUHNF+SimSun" w:hAnsi="LNUHNF+SimSun" w:cs="宋体"/>
          <w:color w:val="auto"/>
          <w:szCs w:val="21"/>
        </w:rPr>
        <w:t>项目管理平台架构</w:t>
      </w:r>
      <w:bookmarkEnd w:id="521"/>
      <w:bookmarkEnd w:id="522"/>
    </w:p>
    <w:p>
      <w:pPr>
        <w:spacing w:before="120" w:after="120"/>
        <w:rPr>
          <w:color w:val="auto"/>
        </w:rPr>
      </w:pPr>
      <w:r>
        <w:rPr>
          <w:rFonts w:eastAsia="Times New Roman"/>
          <w:color w:val="auto"/>
        </w:rPr>
        <w:t xml:space="preserve">1  </w:t>
      </w:r>
      <w:r>
        <w:rPr>
          <w:color w:val="auto"/>
        </w:rPr>
        <w:t>代建局BIM</w:t>
      </w:r>
      <w:r>
        <w:rPr>
          <w:color w:val="auto"/>
          <w:spacing w:val="-4"/>
        </w:rPr>
        <w:t>项目协同基于代建局项目管理平台。在项目策划阶段，代建局</w:t>
      </w:r>
      <w:r>
        <w:rPr>
          <w:rFonts w:hint="eastAsia"/>
          <w:color w:val="auto"/>
          <w:spacing w:val="-4"/>
        </w:rPr>
        <w:t>前期工作部</w:t>
      </w:r>
      <w:r>
        <w:rPr>
          <w:color w:val="auto"/>
          <w:spacing w:val="-4"/>
        </w:rPr>
        <w:t>应组织开通</w:t>
      </w:r>
      <w:r>
        <w:rPr>
          <w:color w:val="auto"/>
        </w:rPr>
        <w:t>项目管理平台的项目权限。项目管理平台总架构详见《附件：BIM实施导则》中附图</w:t>
      </w:r>
      <w:r>
        <w:rPr>
          <w:rFonts w:eastAsia="Times New Roman"/>
          <w:color w:val="auto"/>
        </w:rPr>
        <w:t>14</w:t>
      </w:r>
      <w:r>
        <w:rPr>
          <w:color w:val="auto"/>
        </w:rPr>
        <w:t>。</w:t>
      </w:r>
    </w:p>
    <w:p>
      <w:pPr>
        <w:spacing w:before="120" w:after="120"/>
        <w:rPr>
          <w:color w:val="auto"/>
        </w:rPr>
      </w:pPr>
      <w:r>
        <w:rPr>
          <w:rFonts w:eastAsia="Times New Roman"/>
          <w:color w:val="auto"/>
        </w:rPr>
        <w:t xml:space="preserve">2  </w:t>
      </w:r>
      <w:r>
        <w:rPr>
          <w:color w:val="auto"/>
        </w:rPr>
        <w:t>在</w:t>
      </w:r>
      <w:r>
        <w:rPr>
          <w:rFonts w:eastAsia="Times New Roman"/>
          <w:color w:val="auto"/>
          <w:spacing w:val="-2"/>
        </w:rPr>
        <w:t>BIM</w:t>
      </w:r>
      <w:r>
        <w:rPr>
          <w:color w:val="auto"/>
        </w:rPr>
        <w:t>项目实施协同工作中，项目协同应用分为两大平台：文档管理平台及</w:t>
      </w:r>
      <w:r>
        <w:rPr>
          <w:rFonts w:eastAsia="Times New Roman"/>
          <w:color w:val="auto"/>
          <w:spacing w:val="-2"/>
        </w:rPr>
        <w:t>BIM</w:t>
      </w:r>
      <w:r>
        <w:rPr>
          <w:color w:val="auto"/>
        </w:rPr>
        <w:t>协同平台，两大平台下属内容详见《附件：BIM实施导则》中附图</w:t>
      </w:r>
      <w:r>
        <w:rPr>
          <w:rFonts w:eastAsia="Times New Roman"/>
          <w:color w:val="auto"/>
        </w:rPr>
        <w:t>15</w:t>
      </w:r>
      <w:r>
        <w:rPr>
          <w:color w:val="auto"/>
        </w:rPr>
        <w:t>。</w:t>
      </w:r>
    </w:p>
    <w:p>
      <w:pPr>
        <w:pStyle w:val="585"/>
        <w:spacing w:before="120" w:after="120" w:line="360" w:lineRule="auto"/>
        <w:ind w:left="0"/>
        <w:outlineLvl w:val="1"/>
        <w:rPr>
          <w:rFonts w:ascii="Times New Roman" w:hAnsi="Times New Roman" w:eastAsia="黑体"/>
          <w:b w:val="0"/>
          <w:bCs/>
          <w:color w:val="auto"/>
          <w:sz w:val="24"/>
          <w:szCs w:val="24"/>
        </w:rPr>
      </w:pPr>
      <w:bookmarkStart w:id="523" w:name="_Toc54567608"/>
      <w:bookmarkStart w:id="524" w:name="_Toc19441"/>
      <w:bookmarkStart w:id="525" w:name="_Toc1297"/>
      <w:bookmarkStart w:id="526" w:name="_Toc12058"/>
      <w:bookmarkStart w:id="527" w:name="_Toc9439"/>
      <w:r>
        <w:rPr>
          <w:rFonts w:ascii="Times New Roman" w:hAnsi="Times New Roman" w:eastAsia="黑体"/>
          <w:b w:val="0"/>
          <w:bCs/>
          <w:color w:val="auto"/>
          <w:sz w:val="24"/>
          <w:szCs w:val="24"/>
        </w:rPr>
        <w:t>协同管理</w:t>
      </w:r>
      <w:bookmarkEnd w:id="523"/>
      <w:bookmarkEnd w:id="524"/>
      <w:bookmarkEnd w:id="525"/>
      <w:bookmarkEnd w:id="526"/>
      <w:bookmarkEnd w:id="527"/>
    </w:p>
    <w:p>
      <w:pPr>
        <w:pStyle w:val="587"/>
        <w:numPr>
          <w:ilvl w:val="2"/>
          <w:numId w:val="3"/>
        </w:numPr>
        <w:spacing w:beforeLines="50" w:afterLines="50" w:line="360" w:lineRule="auto"/>
        <w:outlineLvl w:val="3"/>
        <w:rPr>
          <w:rFonts w:ascii="LNUHNF+SimSun" w:hAnsi="LNUHNF+SimSun" w:cs="宋体"/>
          <w:color w:val="auto"/>
          <w:szCs w:val="21"/>
        </w:rPr>
      </w:pPr>
      <w:bookmarkStart w:id="528" w:name="_Toc18446"/>
      <w:bookmarkStart w:id="529" w:name="_Toc713"/>
      <w:r>
        <w:rPr>
          <w:rFonts w:ascii="LNUHNF+SimSun" w:hAnsi="LNUHNF+SimSun" w:cs="宋体"/>
          <w:color w:val="auto"/>
          <w:szCs w:val="21"/>
        </w:rPr>
        <w:t>协同配合整体流程</w:t>
      </w:r>
      <w:bookmarkEnd w:id="528"/>
      <w:bookmarkEnd w:id="529"/>
    </w:p>
    <w:p>
      <w:pPr>
        <w:spacing w:before="120" w:after="120"/>
        <w:ind w:firstLine="488"/>
        <w:rPr>
          <w:color w:val="auto"/>
        </w:rPr>
      </w:pPr>
      <w:r>
        <w:rPr>
          <w:color w:val="auto"/>
          <w:spacing w:val="2"/>
        </w:rPr>
        <w:t>以代建局项目协同平台作为项目</w:t>
      </w:r>
      <w:r>
        <w:rPr>
          <w:rFonts w:eastAsia="Times New Roman"/>
          <w:color w:val="auto"/>
          <w:spacing w:val="-2"/>
        </w:rPr>
        <w:t>BIM</w:t>
      </w:r>
      <w:r>
        <w:rPr>
          <w:color w:val="auto"/>
          <w:spacing w:val="2"/>
        </w:rPr>
        <w:t>协同工作的中心，所有本项目</w:t>
      </w:r>
      <w:r>
        <w:rPr>
          <w:rFonts w:eastAsia="Times New Roman"/>
          <w:color w:val="auto"/>
          <w:spacing w:val="-2"/>
        </w:rPr>
        <w:t>BIM</w:t>
      </w:r>
      <w:r>
        <w:rPr>
          <w:color w:val="auto"/>
        </w:rPr>
        <w:t>模型文件及资</w:t>
      </w:r>
      <w:r>
        <w:rPr>
          <w:color w:val="auto"/>
          <w:spacing w:val="3"/>
        </w:rPr>
        <w:t>料均通过协同平台传递。各参与方在</w:t>
      </w:r>
      <w:r>
        <w:rPr>
          <w:rFonts w:eastAsia="Times New Roman"/>
          <w:color w:val="auto"/>
          <w:spacing w:val="-2"/>
        </w:rPr>
        <w:t>BIM</w:t>
      </w:r>
      <w:r>
        <w:rPr>
          <w:color w:val="auto"/>
          <w:spacing w:val="4"/>
        </w:rPr>
        <w:t>总协调方的统一管理下完成本项目在实施阶段的</w:t>
      </w:r>
      <w:r>
        <w:rPr>
          <w:rFonts w:eastAsia="Times New Roman"/>
          <w:color w:val="auto"/>
          <w:spacing w:val="-2"/>
        </w:rPr>
        <w:t>BIM</w:t>
      </w:r>
      <w:r>
        <w:rPr>
          <w:color w:val="auto"/>
        </w:rPr>
        <w:t>应用，通过项目服务器上传至协同平台，作为成果归档及信息传递内容。</w:t>
      </w:r>
    </w:p>
    <w:p>
      <w:pPr>
        <w:pStyle w:val="587"/>
        <w:numPr>
          <w:ilvl w:val="2"/>
          <w:numId w:val="3"/>
        </w:numPr>
        <w:spacing w:beforeLines="50" w:afterLines="50" w:line="360" w:lineRule="auto"/>
        <w:outlineLvl w:val="3"/>
        <w:rPr>
          <w:rFonts w:ascii="LNUHNF+SimSun" w:hAnsi="LNUHNF+SimSun" w:cs="宋体"/>
          <w:color w:val="auto"/>
          <w:szCs w:val="21"/>
        </w:rPr>
      </w:pPr>
      <w:bookmarkStart w:id="530" w:name="_Toc27928"/>
      <w:bookmarkStart w:id="531" w:name="_Toc23161"/>
      <w:r>
        <w:rPr>
          <w:rFonts w:ascii="LNUHNF+SimSun" w:hAnsi="LNUHNF+SimSun" w:cs="宋体"/>
          <w:color w:val="auto"/>
          <w:szCs w:val="21"/>
        </w:rPr>
        <w:t>BIM成果的提交及审核</w:t>
      </w:r>
      <w:bookmarkEnd w:id="530"/>
      <w:bookmarkEnd w:id="531"/>
    </w:p>
    <w:p>
      <w:pPr>
        <w:spacing w:before="120" w:after="120"/>
        <w:rPr>
          <w:color w:val="auto"/>
        </w:rPr>
      </w:pPr>
      <w:r>
        <w:rPr>
          <w:rFonts w:eastAsia="Times New Roman"/>
          <w:color w:val="auto"/>
        </w:rPr>
        <w:t>1  .BIM</w:t>
      </w:r>
      <w:r>
        <w:rPr>
          <w:color w:val="auto"/>
          <w:spacing w:val="2"/>
        </w:rPr>
        <w:t>成果在项目服务器整合汇总后，参与方将</w:t>
      </w:r>
      <w:r>
        <w:rPr>
          <w:rFonts w:eastAsia="Times New Roman"/>
          <w:color w:val="auto"/>
        </w:rPr>
        <w:t>BIM</w:t>
      </w:r>
      <w:r>
        <w:rPr>
          <w:color w:val="auto"/>
        </w:rPr>
        <w:t>成果提交至</w:t>
      </w:r>
      <w:r>
        <w:rPr>
          <w:rFonts w:eastAsia="Times New Roman"/>
          <w:color w:val="auto"/>
        </w:rPr>
        <w:t>BIM</w:t>
      </w:r>
      <w:r>
        <w:rPr>
          <w:color w:val="auto"/>
          <w:spacing w:val="2"/>
        </w:rPr>
        <w:t>总协调服务器，</w:t>
      </w:r>
      <w:r>
        <w:rPr>
          <w:color w:val="auto"/>
        </w:rPr>
        <w:t>由</w:t>
      </w:r>
      <w:r>
        <w:rPr>
          <w:rFonts w:eastAsia="Times New Roman"/>
          <w:color w:val="auto"/>
          <w:spacing w:val="-2"/>
        </w:rPr>
        <w:t>BIM</w:t>
      </w:r>
      <w:r>
        <w:rPr>
          <w:color w:val="auto"/>
        </w:rPr>
        <w:t>总协调方进行审核，形成修改意见及审核记录。</w:t>
      </w:r>
    </w:p>
    <w:p>
      <w:pPr>
        <w:spacing w:before="120" w:after="120"/>
        <w:rPr>
          <w:color w:val="auto"/>
        </w:rPr>
      </w:pPr>
      <w:r>
        <w:rPr>
          <w:rFonts w:eastAsia="Times New Roman"/>
          <w:color w:val="auto"/>
        </w:rPr>
        <w:t>2  BIM</w:t>
      </w:r>
      <w:r>
        <w:rPr>
          <w:color w:val="auto"/>
        </w:rPr>
        <w:t>总协调方将通过书面文件、会议纪要及邮件等方式将修改意见及审核记录反馈给成果提交方，成果提交方应在规定时间内根据意见进行修改，修改后重新提交</w:t>
      </w:r>
      <w:r>
        <w:rPr>
          <w:rFonts w:eastAsia="Times New Roman"/>
          <w:color w:val="auto"/>
        </w:rPr>
        <w:t>BIM</w:t>
      </w:r>
      <w:r>
        <w:rPr>
          <w:color w:val="auto"/>
        </w:rPr>
        <w:t>总协调方审核。</w:t>
      </w:r>
    </w:p>
    <w:p>
      <w:pPr>
        <w:spacing w:before="120" w:after="120"/>
        <w:rPr>
          <w:color w:val="auto"/>
        </w:rPr>
      </w:pPr>
      <w:r>
        <w:rPr>
          <w:rFonts w:eastAsia="Times New Roman"/>
          <w:color w:val="auto"/>
        </w:rPr>
        <w:t xml:space="preserve">3  </w:t>
      </w:r>
      <w:r>
        <w:rPr>
          <w:rFonts w:eastAsia="Times New Roman"/>
          <w:color w:val="auto"/>
          <w:spacing w:val="-2"/>
        </w:rPr>
        <w:t>BIM</w:t>
      </w:r>
      <w:r>
        <w:rPr>
          <w:color w:val="auto"/>
        </w:rPr>
        <w:t>成果经BIM总协调方检查审核后，整合</w:t>
      </w:r>
      <w:r>
        <w:rPr>
          <w:rFonts w:eastAsia="Times New Roman"/>
          <w:color w:val="auto"/>
          <w:spacing w:val="-2"/>
        </w:rPr>
        <w:t>BIM</w:t>
      </w:r>
      <w:r>
        <w:rPr>
          <w:color w:val="auto"/>
        </w:rPr>
        <w:t>成果，提交代建局项目协同平台归档，形成</w:t>
      </w:r>
      <w:r>
        <w:rPr>
          <w:rFonts w:eastAsia="Times New Roman"/>
          <w:color w:val="auto"/>
          <w:spacing w:val="-2"/>
        </w:rPr>
        <w:t>BIM</w:t>
      </w:r>
      <w:r>
        <w:rPr>
          <w:color w:val="auto"/>
        </w:rPr>
        <w:t>成果归档记录。</w:t>
      </w:r>
    </w:p>
    <w:p>
      <w:pPr>
        <w:pStyle w:val="587"/>
        <w:numPr>
          <w:ilvl w:val="2"/>
          <w:numId w:val="3"/>
        </w:numPr>
        <w:spacing w:beforeLines="50" w:afterLines="50" w:line="360" w:lineRule="auto"/>
        <w:outlineLvl w:val="3"/>
        <w:rPr>
          <w:rFonts w:ascii="LNUHNF+SimSun" w:hAnsi="LNUHNF+SimSun" w:cs="宋体"/>
          <w:color w:val="auto"/>
          <w:szCs w:val="21"/>
        </w:rPr>
      </w:pPr>
      <w:bookmarkStart w:id="532" w:name="_Toc15479"/>
      <w:bookmarkStart w:id="533" w:name="_Toc7203"/>
      <w:r>
        <w:rPr>
          <w:rFonts w:ascii="LNUHNF+SimSun" w:hAnsi="LNUHNF+SimSun" w:cs="宋体"/>
          <w:color w:val="auto"/>
          <w:szCs w:val="21"/>
        </w:rPr>
        <w:t>BIM成果的提取及分配</w:t>
      </w:r>
      <w:bookmarkEnd w:id="532"/>
      <w:bookmarkEnd w:id="533"/>
    </w:p>
    <w:p>
      <w:pPr>
        <w:spacing w:before="120" w:after="120"/>
        <w:rPr>
          <w:color w:val="auto"/>
        </w:rPr>
      </w:pPr>
      <w:r>
        <w:rPr>
          <w:rFonts w:eastAsia="Times New Roman"/>
          <w:color w:val="auto"/>
        </w:rPr>
        <w:t xml:space="preserve">1  </w:t>
      </w:r>
      <w:r>
        <w:rPr>
          <w:rFonts w:eastAsia="Times New Roman"/>
          <w:color w:val="auto"/>
          <w:spacing w:val="-2"/>
        </w:rPr>
        <w:t>BIM</w:t>
      </w:r>
      <w:r>
        <w:rPr>
          <w:color w:val="auto"/>
        </w:rPr>
        <w:t>总协调方根据项目实施进展，在代建局项目协同平台提取上一阶段的</w:t>
      </w:r>
      <w:r>
        <w:rPr>
          <w:rFonts w:eastAsia="Times New Roman"/>
          <w:color w:val="auto"/>
          <w:spacing w:val="-2"/>
        </w:rPr>
        <w:t>BIM</w:t>
      </w:r>
      <w:r>
        <w:rPr>
          <w:color w:val="auto"/>
        </w:rPr>
        <w:t>成果，作为下一阶段的</w:t>
      </w:r>
      <w:r>
        <w:rPr>
          <w:rFonts w:eastAsia="Times New Roman"/>
          <w:color w:val="auto"/>
          <w:spacing w:val="-2"/>
        </w:rPr>
        <w:t>BIM</w:t>
      </w:r>
      <w:bookmarkStart w:id="534" w:name="_bookmark19"/>
      <w:bookmarkEnd w:id="534"/>
      <w:r>
        <w:rPr>
          <w:color w:val="auto"/>
        </w:rPr>
        <w:t>依据文件。</w:t>
      </w:r>
    </w:p>
    <w:p>
      <w:pPr>
        <w:spacing w:before="120" w:after="120"/>
        <w:rPr>
          <w:color w:val="auto"/>
        </w:rPr>
      </w:pPr>
      <w:r>
        <w:rPr>
          <w:rFonts w:eastAsia="Times New Roman"/>
          <w:color w:val="auto"/>
        </w:rPr>
        <w:t>2  BIM</w:t>
      </w:r>
      <w:r>
        <w:rPr>
          <w:color w:val="auto"/>
        </w:rPr>
        <w:t>总协同方整理上一阶段的</w:t>
      </w:r>
      <w:r>
        <w:rPr>
          <w:rFonts w:eastAsia="Times New Roman"/>
          <w:color w:val="auto"/>
        </w:rPr>
        <w:t>BIM</w:t>
      </w:r>
      <w:r>
        <w:rPr>
          <w:color w:val="auto"/>
        </w:rPr>
        <w:t>成果，根据下一阶段的项目组织架构及各参与方的职责范围，将</w:t>
      </w:r>
      <w:r>
        <w:rPr>
          <w:rFonts w:eastAsia="Times New Roman"/>
          <w:color w:val="auto"/>
          <w:spacing w:val="-2"/>
        </w:rPr>
        <w:t>BIM</w:t>
      </w:r>
      <w:r>
        <w:rPr>
          <w:color w:val="auto"/>
        </w:rPr>
        <w:t>成果拆分并分配到各参与方。</w:t>
      </w:r>
    </w:p>
    <w:p>
      <w:pPr>
        <w:spacing w:before="120" w:after="120"/>
        <w:rPr>
          <w:color w:val="auto"/>
        </w:rPr>
      </w:pPr>
      <w:r>
        <w:rPr>
          <w:rFonts w:eastAsia="Times New Roman"/>
          <w:color w:val="auto"/>
        </w:rPr>
        <w:t xml:space="preserve">3  </w:t>
      </w:r>
      <w:r>
        <w:rPr>
          <w:color w:val="auto"/>
        </w:rPr>
        <w:t>项目</w:t>
      </w:r>
      <w:r>
        <w:rPr>
          <w:rFonts w:eastAsia="Times New Roman"/>
          <w:color w:val="auto"/>
          <w:spacing w:val="-2"/>
        </w:rPr>
        <w:t>BIM</w:t>
      </w:r>
      <w:r>
        <w:rPr>
          <w:color w:val="auto"/>
        </w:rPr>
        <w:t>管理</w:t>
      </w:r>
    </w:p>
    <w:p>
      <w:pPr>
        <w:spacing w:before="120" w:after="120"/>
        <w:rPr>
          <w:color w:val="auto"/>
        </w:rPr>
      </w:pPr>
      <w:r>
        <w:rPr>
          <w:rFonts w:eastAsia="Times New Roman"/>
          <w:color w:val="auto"/>
        </w:rPr>
        <w:t>1</w:t>
      </w:r>
      <w:r>
        <w:rPr>
          <w:color w:val="auto"/>
        </w:rPr>
        <w:t>）代建局及相关项目管理机构登陆代建局项目协同平台，浏览项目</w:t>
      </w:r>
      <w:r>
        <w:rPr>
          <w:rFonts w:eastAsia="Times New Roman"/>
          <w:color w:val="auto"/>
          <w:spacing w:val="-2"/>
        </w:rPr>
        <w:t>BIM</w:t>
      </w:r>
      <w:r>
        <w:rPr>
          <w:color w:val="auto"/>
        </w:rPr>
        <w:t>阶段成果，了解项目实际进展，填报及审批表单，参与项目协同管理。</w:t>
      </w:r>
    </w:p>
    <w:p>
      <w:pPr>
        <w:spacing w:before="120" w:after="120"/>
        <w:rPr>
          <w:color w:val="auto"/>
        </w:rPr>
      </w:pPr>
      <w:r>
        <w:rPr>
          <w:rFonts w:eastAsia="Times New Roman"/>
          <w:color w:val="auto"/>
        </w:rPr>
        <w:t>2</w:t>
      </w:r>
      <w:r>
        <w:rPr>
          <w:color w:val="auto"/>
        </w:rPr>
        <w:t>）各参与方根据项目进展，在各阶段服务器上工作，在</w:t>
      </w:r>
      <w:r>
        <w:rPr>
          <w:rFonts w:eastAsia="Times New Roman"/>
          <w:color w:val="auto"/>
          <w:spacing w:val="-2"/>
        </w:rPr>
        <w:t>BIM</w:t>
      </w:r>
      <w:r>
        <w:rPr>
          <w:color w:val="auto"/>
        </w:rPr>
        <w:t>总协调方的管理下，定期更新项目进展资料。</w:t>
      </w:r>
    </w:p>
    <w:p>
      <w:pPr>
        <w:pStyle w:val="587"/>
        <w:numPr>
          <w:ilvl w:val="2"/>
          <w:numId w:val="3"/>
        </w:numPr>
        <w:spacing w:beforeLines="50" w:afterLines="50" w:line="360" w:lineRule="auto"/>
        <w:outlineLvl w:val="3"/>
        <w:rPr>
          <w:rFonts w:ascii="LNUHNF+SimSun" w:hAnsi="LNUHNF+SimSun" w:cs="宋体"/>
          <w:color w:val="auto"/>
          <w:szCs w:val="21"/>
        </w:rPr>
      </w:pPr>
      <w:bookmarkStart w:id="535" w:name="_Toc1235"/>
      <w:bookmarkStart w:id="536" w:name="_Toc14692"/>
      <w:r>
        <w:rPr>
          <w:rFonts w:ascii="LNUHNF+SimSun" w:hAnsi="LNUHNF+SimSun" w:cs="宋体"/>
          <w:color w:val="auto"/>
          <w:szCs w:val="21"/>
        </w:rPr>
        <w:t>协同配合管理</w:t>
      </w:r>
      <w:bookmarkEnd w:id="535"/>
      <w:bookmarkEnd w:id="536"/>
    </w:p>
    <w:p>
      <w:pPr>
        <w:spacing w:before="120" w:after="120"/>
        <w:rPr>
          <w:color w:val="auto"/>
        </w:rPr>
      </w:pPr>
      <w:r>
        <w:rPr>
          <w:rFonts w:eastAsia="Times New Roman"/>
          <w:color w:val="auto"/>
        </w:rPr>
        <w:t xml:space="preserve">1  </w:t>
      </w:r>
      <w:r>
        <w:rPr>
          <w:color w:val="auto"/>
          <w:spacing w:val="-4"/>
        </w:rPr>
        <w:t>在项目设计及</w:t>
      </w:r>
      <w:r>
        <w:rPr>
          <w:color w:val="auto"/>
        </w:rPr>
        <w:t>施工准备</w:t>
      </w:r>
      <w:r>
        <w:rPr>
          <w:color w:val="auto"/>
          <w:spacing w:val="-4"/>
        </w:rPr>
        <w:t>阶段，由</w:t>
      </w:r>
      <w:r>
        <w:rPr>
          <w:rFonts w:eastAsia="Times New Roman"/>
          <w:color w:val="auto"/>
          <w:spacing w:val="-2"/>
        </w:rPr>
        <w:t>BIM</w:t>
      </w:r>
      <w:r>
        <w:rPr>
          <w:color w:val="auto"/>
          <w:spacing w:val="-3"/>
        </w:rPr>
        <w:t>总协调方根据项目的实施进度及应用要点，进行</w:t>
      </w:r>
      <w:r>
        <w:rPr>
          <w:color w:val="auto"/>
          <w:spacing w:val="-2"/>
        </w:rPr>
        <w:t>各参与方的权限分配，制定统一的协同管理要求及多方协同机制，保证项目平台的正常运作。</w:t>
      </w:r>
    </w:p>
    <w:p>
      <w:pPr>
        <w:spacing w:before="120" w:after="120"/>
        <w:rPr>
          <w:color w:val="auto"/>
        </w:rPr>
      </w:pPr>
      <w:r>
        <w:rPr>
          <w:rFonts w:eastAsia="Times New Roman"/>
          <w:color w:val="auto"/>
        </w:rPr>
        <w:t xml:space="preserve">2  </w:t>
      </w:r>
      <w:r>
        <w:rPr>
          <w:color w:val="auto"/>
        </w:rPr>
        <w:t>项目参与方应根据项目实施进度，定期访问各阶段服务器，及时更新项目进展情况，获取最新的项目信息。</w:t>
      </w:r>
    </w:p>
    <w:p>
      <w:pPr>
        <w:spacing w:before="120" w:after="120"/>
        <w:rPr>
          <w:color w:val="auto"/>
        </w:rPr>
      </w:pPr>
      <w:r>
        <w:rPr>
          <w:rFonts w:eastAsia="Times New Roman"/>
          <w:color w:val="auto"/>
        </w:rPr>
        <w:t xml:space="preserve">3  </w:t>
      </w:r>
      <w:r>
        <w:rPr>
          <w:rFonts w:eastAsia="Times New Roman"/>
          <w:color w:val="auto"/>
          <w:spacing w:val="-2"/>
        </w:rPr>
        <w:t>BIM</w:t>
      </w:r>
      <w:r>
        <w:rPr>
          <w:color w:val="auto"/>
        </w:rPr>
        <w:t>总协调方通过</w:t>
      </w:r>
      <w:r>
        <w:rPr>
          <w:rFonts w:eastAsia="Times New Roman"/>
          <w:color w:val="auto"/>
          <w:spacing w:val="-2"/>
        </w:rPr>
        <w:t>BIM</w:t>
      </w:r>
      <w:r>
        <w:rPr>
          <w:color w:val="auto"/>
        </w:rPr>
        <w:t>的协同功能，将各参与方的</w:t>
      </w:r>
      <w:r>
        <w:rPr>
          <w:rFonts w:eastAsia="Times New Roman"/>
          <w:color w:val="auto"/>
          <w:spacing w:val="-2"/>
        </w:rPr>
        <w:t>BIM</w:t>
      </w:r>
      <w:r>
        <w:rPr>
          <w:color w:val="auto"/>
        </w:rPr>
        <w:t>模型进行模型合成或拆分。项目参与方必须按照已定的“模型拆分原则”、“模型搭建原则”及“模型命名原则”进行</w:t>
      </w:r>
      <w:r>
        <w:rPr>
          <w:rFonts w:eastAsia="Times New Roman"/>
          <w:color w:val="auto"/>
          <w:spacing w:val="-2"/>
        </w:rPr>
        <w:t>BIM</w:t>
      </w:r>
      <w:r>
        <w:rPr>
          <w:color w:val="auto"/>
        </w:rPr>
        <w:t>模型管理。各参与方均按照统一的标准，保证文件引用的一致性。</w:t>
      </w:r>
    </w:p>
    <w:p>
      <w:pPr>
        <w:spacing w:before="120" w:after="120"/>
        <w:rPr>
          <w:color w:val="auto"/>
        </w:rPr>
      </w:pPr>
      <w:r>
        <w:rPr>
          <w:rFonts w:eastAsia="Times New Roman"/>
          <w:color w:val="auto"/>
        </w:rPr>
        <w:t xml:space="preserve">4  </w:t>
      </w:r>
      <w:r>
        <w:rPr>
          <w:color w:val="auto"/>
          <w:spacing w:val="2"/>
        </w:rPr>
        <w:t>各参与方应安排人员负责本单位的工作完成的情况检查。</w:t>
      </w:r>
      <w:r>
        <w:rPr>
          <w:rFonts w:eastAsia="Times New Roman"/>
          <w:color w:val="auto"/>
          <w:spacing w:val="2"/>
        </w:rPr>
        <w:t>BIM</w:t>
      </w:r>
      <w:r>
        <w:rPr>
          <w:color w:val="auto"/>
          <w:spacing w:val="7"/>
        </w:rPr>
        <w:t>总协调方应定时检查</w:t>
      </w:r>
      <w:r>
        <w:rPr>
          <w:color w:val="auto"/>
          <w:spacing w:val="9"/>
        </w:rPr>
        <w:t>各参与方的</w:t>
      </w:r>
      <w:r>
        <w:rPr>
          <w:rFonts w:eastAsia="Times New Roman"/>
          <w:color w:val="auto"/>
          <w:spacing w:val="-2"/>
        </w:rPr>
        <w:t>BIM</w:t>
      </w:r>
      <w:r>
        <w:rPr>
          <w:color w:val="auto"/>
          <w:spacing w:val="11"/>
        </w:rPr>
        <w:t>协同平台的执行情况；当各参与方负责的部分完成后，提交至项目协同</w:t>
      </w:r>
      <w:r>
        <w:rPr>
          <w:color w:val="auto"/>
          <w:spacing w:val="5"/>
        </w:rPr>
        <w:t>平台，</w:t>
      </w:r>
      <w:r>
        <w:rPr>
          <w:rFonts w:eastAsia="Times New Roman"/>
          <w:color w:val="auto"/>
          <w:spacing w:val="5"/>
        </w:rPr>
        <w:t>BIM</w:t>
      </w:r>
      <w:r>
        <w:rPr>
          <w:color w:val="auto"/>
          <w:spacing w:val="9"/>
        </w:rPr>
        <w:t>总协调方在协同平台上审核是否符合模型标准的要求。</w:t>
      </w:r>
    </w:p>
    <w:p>
      <w:pPr>
        <w:spacing w:before="120" w:after="120"/>
        <w:rPr>
          <w:color w:val="auto"/>
        </w:rPr>
      </w:pPr>
      <w:r>
        <w:rPr>
          <w:rFonts w:eastAsia="Times New Roman"/>
          <w:color w:val="auto"/>
        </w:rPr>
        <w:t xml:space="preserve">5  </w:t>
      </w:r>
      <w:r>
        <w:rPr>
          <w:color w:val="auto"/>
          <w:spacing w:val="-10"/>
        </w:rPr>
        <w:t>项目全过程的信息（</w:t>
      </w:r>
      <w:r>
        <w:rPr>
          <w:color w:val="auto"/>
        </w:rPr>
        <w:t>往来</w:t>
      </w:r>
      <w:r>
        <w:rPr>
          <w:color w:val="auto"/>
          <w:spacing w:val="-10"/>
        </w:rPr>
        <w:t>文件、信函、会议纪要等）应通过</w:t>
      </w:r>
      <w:r>
        <w:rPr>
          <w:rFonts w:eastAsia="Times New Roman"/>
          <w:color w:val="auto"/>
          <w:spacing w:val="-2"/>
        </w:rPr>
        <w:t>BIM</w:t>
      </w:r>
      <w:r>
        <w:rPr>
          <w:color w:val="auto"/>
        </w:rPr>
        <w:t>总协调方审核归档后，收集到代建局项目协同平台备份。</w:t>
      </w:r>
    </w:p>
    <w:p>
      <w:pPr>
        <w:pStyle w:val="585"/>
        <w:spacing w:before="120" w:after="120" w:line="360" w:lineRule="auto"/>
        <w:ind w:left="0"/>
        <w:outlineLvl w:val="1"/>
        <w:rPr>
          <w:rFonts w:ascii="Times New Roman" w:hAnsi="Times New Roman" w:eastAsia="黑体"/>
          <w:b w:val="0"/>
          <w:bCs/>
          <w:color w:val="auto"/>
          <w:sz w:val="24"/>
          <w:szCs w:val="24"/>
        </w:rPr>
      </w:pPr>
      <w:bookmarkStart w:id="537" w:name="_Toc54567609"/>
      <w:bookmarkStart w:id="538" w:name="_Toc32686"/>
      <w:bookmarkStart w:id="539" w:name="_Toc15059"/>
      <w:bookmarkStart w:id="540" w:name="_Toc11539"/>
      <w:bookmarkStart w:id="541" w:name="_Toc14440"/>
      <w:r>
        <w:rPr>
          <w:rFonts w:ascii="Times New Roman" w:hAnsi="Times New Roman" w:eastAsia="黑体"/>
          <w:b w:val="0"/>
          <w:bCs/>
          <w:color w:val="auto"/>
          <w:sz w:val="24"/>
          <w:szCs w:val="24"/>
        </w:rPr>
        <w:t>各参与方协同工作</w:t>
      </w:r>
      <w:bookmarkEnd w:id="537"/>
      <w:bookmarkEnd w:id="538"/>
      <w:bookmarkEnd w:id="539"/>
      <w:bookmarkEnd w:id="540"/>
      <w:bookmarkEnd w:id="541"/>
    </w:p>
    <w:p>
      <w:pPr>
        <w:pStyle w:val="587"/>
        <w:numPr>
          <w:ilvl w:val="2"/>
          <w:numId w:val="3"/>
        </w:numPr>
        <w:spacing w:beforeLines="50" w:afterLines="50" w:line="360" w:lineRule="auto"/>
        <w:outlineLvl w:val="3"/>
        <w:rPr>
          <w:rFonts w:ascii="LNUHNF+SimSun" w:hAnsi="LNUHNF+SimSun" w:cs="宋体"/>
          <w:color w:val="auto"/>
          <w:szCs w:val="21"/>
        </w:rPr>
      </w:pPr>
      <w:bookmarkStart w:id="542" w:name="_Toc12454"/>
      <w:bookmarkStart w:id="543" w:name="_Toc15113"/>
      <w:r>
        <w:rPr>
          <w:rFonts w:ascii="LNUHNF+SimSun" w:hAnsi="LNUHNF+SimSun" w:cs="宋体"/>
          <w:color w:val="auto"/>
          <w:szCs w:val="21"/>
        </w:rPr>
        <w:t>设计阶段协同工作</w:t>
      </w:r>
      <w:bookmarkEnd w:id="542"/>
      <w:bookmarkEnd w:id="543"/>
    </w:p>
    <w:p>
      <w:pPr>
        <w:spacing w:before="120" w:after="120"/>
        <w:rPr>
          <w:color w:val="auto"/>
        </w:rPr>
      </w:pPr>
      <w:r>
        <w:rPr>
          <w:rFonts w:eastAsia="Times New Roman"/>
          <w:color w:val="auto"/>
        </w:rPr>
        <w:t xml:space="preserve">1  </w:t>
      </w:r>
      <w:r>
        <w:rPr>
          <w:color w:val="auto"/>
        </w:rPr>
        <w:t>设计单位内部协同</w:t>
      </w:r>
    </w:p>
    <w:p>
      <w:pPr>
        <w:spacing w:before="120" w:after="120"/>
        <w:rPr>
          <w:color w:val="auto"/>
        </w:rPr>
      </w:pPr>
      <w:r>
        <w:rPr>
          <w:color w:val="auto"/>
        </w:rPr>
        <w:t>在设计阶段项目</w:t>
      </w:r>
      <w:r>
        <w:rPr>
          <w:rFonts w:eastAsia="Times New Roman"/>
          <w:color w:val="auto"/>
          <w:spacing w:val="-2"/>
        </w:rPr>
        <w:t>BIM</w:t>
      </w:r>
      <w:r>
        <w:rPr>
          <w:color w:val="auto"/>
          <w:spacing w:val="-10"/>
        </w:rPr>
        <w:t>实施</w:t>
      </w:r>
      <w:r>
        <w:rPr>
          <w:color w:val="auto"/>
        </w:rPr>
        <w:t>过程中，协同工作主要为建筑、结构、机电三大块的专业内协同和专业间协同。</w:t>
      </w:r>
    </w:p>
    <w:p>
      <w:pPr>
        <w:spacing w:before="120" w:after="120"/>
        <w:rPr>
          <w:color w:val="auto"/>
        </w:rPr>
      </w:pPr>
      <w:r>
        <w:rPr>
          <w:rFonts w:eastAsia="Times New Roman"/>
          <w:color w:val="auto"/>
        </w:rPr>
        <w:t>1</w:t>
      </w:r>
      <w:r>
        <w:rPr>
          <w:color w:val="auto"/>
        </w:rPr>
        <w:t>）专业内协同</w:t>
      </w:r>
    </w:p>
    <w:p>
      <w:pPr>
        <w:spacing w:before="120" w:after="120"/>
        <w:rPr>
          <w:color w:val="auto"/>
        </w:rPr>
      </w:pPr>
      <w:r>
        <w:rPr>
          <w:color w:val="auto"/>
        </w:rPr>
        <w:t>（</w:t>
      </w:r>
      <w:r>
        <w:rPr>
          <w:rFonts w:eastAsia="Times New Roman"/>
          <w:color w:val="auto"/>
        </w:rPr>
        <w:t>1</w:t>
      </w:r>
      <w:r>
        <w:rPr>
          <w:color w:val="auto"/>
        </w:rPr>
        <w:t>）专业内协同</w:t>
      </w:r>
      <w:r>
        <w:rPr>
          <w:color w:val="auto"/>
          <w:spacing w:val="-10"/>
        </w:rPr>
        <w:t>采用</w:t>
      </w:r>
      <w:r>
        <w:rPr>
          <w:rFonts w:hint="eastAsia"/>
          <w:color w:val="auto"/>
        </w:rPr>
        <w:t>“</w:t>
      </w:r>
      <w:r>
        <w:rPr>
          <w:color w:val="auto"/>
        </w:rPr>
        <w:t>中心文件</w:t>
      </w:r>
      <w:r>
        <w:rPr>
          <w:rFonts w:hint="eastAsia"/>
          <w:color w:val="auto"/>
        </w:rPr>
        <w:t>”</w:t>
      </w:r>
      <w:r>
        <w:rPr>
          <w:color w:val="auto"/>
        </w:rPr>
        <w:t>协同方式，由建筑、结构、机电各专业分别创建，并且仅包含本专业负责的内容，设计人员单独创建、</w:t>
      </w:r>
      <w:r>
        <w:rPr>
          <w:color w:val="auto"/>
          <w:spacing w:val="-10"/>
        </w:rPr>
        <w:t>修改</w:t>
      </w:r>
      <w:r>
        <w:rPr>
          <w:color w:val="auto"/>
        </w:rPr>
        <w:t>、访问各自专业内</w:t>
      </w:r>
      <w:r>
        <w:rPr>
          <w:rFonts w:eastAsia="Times New Roman"/>
          <w:color w:val="auto"/>
          <w:spacing w:val="-2"/>
        </w:rPr>
        <w:t>BIM</w:t>
      </w:r>
      <w:r>
        <w:rPr>
          <w:color w:val="auto"/>
        </w:rPr>
        <w:t>成果。</w:t>
      </w:r>
    </w:p>
    <w:p>
      <w:pPr>
        <w:spacing w:before="120" w:after="120"/>
        <w:ind w:firstLine="468"/>
        <w:rPr>
          <w:color w:val="auto"/>
        </w:rPr>
      </w:pPr>
      <w:r>
        <w:rPr>
          <w:color w:val="auto"/>
          <w:spacing w:val="-3"/>
        </w:rPr>
        <w:t>（</w:t>
      </w:r>
      <w:r>
        <w:rPr>
          <w:rFonts w:eastAsia="Times New Roman"/>
          <w:color w:val="auto"/>
          <w:spacing w:val="-3"/>
        </w:rPr>
        <w:t>2</w:t>
      </w:r>
      <w:r>
        <w:rPr>
          <w:color w:val="auto"/>
          <w:spacing w:val="-3"/>
        </w:rPr>
        <w:t>）设计单位搭建设计服务器，所有设计成果保存在设计服务器中。在服务器项目文</w:t>
      </w:r>
      <w:r>
        <w:rPr>
          <w:color w:val="auto"/>
          <w:spacing w:val="-7"/>
        </w:rPr>
        <w:t>件系统中，应当为专业划分各自的文件位置，以便分别保存、更新</w:t>
      </w:r>
      <w:r>
        <w:rPr>
          <w:rFonts w:eastAsia="Times New Roman"/>
          <w:color w:val="auto"/>
          <w:spacing w:val="-2"/>
        </w:rPr>
        <w:t>BIM</w:t>
      </w:r>
      <w:r>
        <w:rPr>
          <w:color w:val="auto"/>
        </w:rPr>
        <w:t>成果和多专业间协同。</w:t>
      </w:r>
    </w:p>
    <w:p>
      <w:pPr>
        <w:spacing w:before="120" w:after="120"/>
        <w:rPr>
          <w:color w:val="auto"/>
        </w:rPr>
      </w:pPr>
      <w:r>
        <w:rPr>
          <w:rFonts w:eastAsia="Times New Roman"/>
          <w:color w:val="auto"/>
        </w:rPr>
        <w:t>2</w:t>
      </w:r>
      <w:r>
        <w:rPr>
          <w:color w:val="auto"/>
        </w:rPr>
        <w:t>）专业间协同</w:t>
      </w:r>
    </w:p>
    <w:p>
      <w:pPr>
        <w:spacing w:before="120" w:after="120"/>
        <w:rPr>
          <w:color w:val="auto"/>
        </w:rPr>
      </w:pPr>
      <w:r>
        <w:rPr>
          <w:color w:val="auto"/>
        </w:rPr>
        <w:t>（</w:t>
      </w:r>
      <w:r>
        <w:rPr>
          <w:rFonts w:eastAsia="Times New Roman"/>
          <w:color w:val="auto"/>
        </w:rPr>
        <w:t>1</w:t>
      </w:r>
      <w:r>
        <w:rPr>
          <w:color w:val="auto"/>
        </w:rPr>
        <w:t>）专业间协同采用“链接文件”的方式，各专业通过</w:t>
      </w:r>
      <w:r>
        <w:rPr>
          <w:rFonts w:eastAsia="Times New Roman"/>
          <w:color w:val="auto"/>
          <w:spacing w:val="-2"/>
        </w:rPr>
        <w:t>BIM</w:t>
      </w:r>
      <w:r>
        <w:rPr>
          <w:color w:val="auto"/>
        </w:rPr>
        <w:t>文件链接到本专业模型中，进行设计参考资料。</w:t>
      </w:r>
    </w:p>
    <w:p>
      <w:pPr>
        <w:spacing w:before="120" w:after="120"/>
        <w:rPr>
          <w:color w:val="auto"/>
        </w:rPr>
      </w:pPr>
      <w:r>
        <w:rPr>
          <w:color w:val="auto"/>
        </w:rPr>
        <w:t>（</w:t>
      </w:r>
      <w:r>
        <w:rPr>
          <w:rFonts w:eastAsia="Times New Roman"/>
          <w:color w:val="auto"/>
        </w:rPr>
        <w:t>2</w:t>
      </w:r>
      <w:r>
        <w:rPr>
          <w:color w:val="auto"/>
        </w:rPr>
        <w:t>）其他设计分包单位的</w:t>
      </w:r>
      <w:r>
        <w:rPr>
          <w:rFonts w:eastAsia="Times New Roman"/>
          <w:color w:val="auto"/>
          <w:spacing w:val="-2"/>
        </w:rPr>
        <w:t>BIM</w:t>
      </w:r>
      <w:r>
        <w:rPr>
          <w:color w:val="auto"/>
        </w:rPr>
        <w:t>设计成果经进行审核和确认后，上传到设计服务器的数据库并注明上传时间。</w:t>
      </w:r>
    </w:p>
    <w:p>
      <w:pPr>
        <w:spacing w:before="120" w:after="120"/>
        <w:rPr>
          <w:color w:val="auto"/>
        </w:rPr>
      </w:pPr>
      <w:r>
        <w:rPr>
          <w:color w:val="auto"/>
        </w:rPr>
        <w:t>（</w:t>
      </w:r>
      <w:r>
        <w:rPr>
          <w:rFonts w:eastAsia="Times New Roman"/>
          <w:color w:val="auto"/>
        </w:rPr>
        <w:t>3</w:t>
      </w:r>
      <w:r>
        <w:rPr>
          <w:color w:val="auto"/>
        </w:rPr>
        <w:t>）当共享</w:t>
      </w:r>
      <w:r>
        <w:rPr>
          <w:rFonts w:eastAsia="Times New Roman"/>
          <w:color w:val="auto"/>
          <w:spacing w:val="-2"/>
        </w:rPr>
        <w:t>BIM</w:t>
      </w:r>
      <w:r>
        <w:rPr>
          <w:color w:val="auto"/>
        </w:rPr>
        <w:t>成果有变更时，应及时通知项目各专业设计团队，方便迅速处理变更问题。</w:t>
      </w:r>
    </w:p>
    <w:p>
      <w:pPr>
        <w:spacing w:before="120" w:after="120"/>
        <w:rPr>
          <w:color w:val="auto"/>
        </w:rPr>
      </w:pPr>
      <w:r>
        <w:rPr>
          <w:rFonts w:eastAsia="Times New Roman"/>
          <w:color w:val="auto"/>
        </w:rPr>
        <w:t xml:space="preserve">2  </w:t>
      </w:r>
      <w:r>
        <w:rPr>
          <w:color w:val="auto"/>
        </w:rPr>
        <w:t>设计单位外部协同</w:t>
      </w:r>
    </w:p>
    <w:p>
      <w:pPr>
        <w:spacing w:before="120" w:after="120"/>
        <w:rPr>
          <w:color w:val="auto"/>
        </w:rPr>
      </w:pPr>
      <w:r>
        <w:rPr>
          <w:color w:val="auto"/>
        </w:rPr>
        <w:t>1）设计单位根据各阶段成果提交要求，按时间节点提交项目BIM设计成果，经BIM总协调方审核后，汇总至代建局项目管理平台作为设计各阶段BIM成果文件。</w:t>
      </w:r>
    </w:p>
    <w:p>
      <w:pPr>
        <w:spacing w:before="120" w:after="120"/>
        <w:rPr>
          <w:color w:val="auto"/>
        </w:rPr>
      </w:pPr>
      <w:r>
        <w:rPr>
          <w:color w:val="auto"/>
        </w:rPr>
        <w:t>2）</w:t>
      </w:r>
      <w:r>
        <w:rPr>
          <w:rFonts w:hint="eastAsia"/>
          <w:color w:val="auto"/>
        </w:rPr>
        <w:t>前期工作部</w:t>
      </w:r>
      <w:r>
        <w:rPr>
          <w:color w:val="auto"/>
        </w:rPr>
        <w:t>及其他设计管理单位通过访问代建局项目协同平台，对设计各阶段BIM成果文件进行审阅，反馈设计修改意见，通知设计单位进行修改。</w:t>
      </w:r>
    </w:p>
    <w:p>
      <w:pPr>
        <w:spacing w:before="120" w:after="120"/>
        <w:rPr>
          <w:color w:val="auto"/>
        </w:rPr>
      </w:pPr>
      <w:r>
        <w:rPr>
          <w:color w:val="auto"/>
        </w:rPr>
        <w:t>3）设计的BIM成果归档后，BIM总协调方根据下一施工阶段的要求，在代建局项目协同平台提取设计BIM成果，分配到施工服务器。</w:t>
      </w:r>
    </w:p>
    <w:p>
      <w:pPr>
        <w:spacing w:before="120" w:after="120"/>
        <w:rPr>
          <w:color w:val="auto"/>
        </w:rPr>
      </w:pPr>
      <w:r>
        <w:rPr>
          <w:color w:val="auto"/>
        </w:rPr>
        <w:t>3  设计阶段协同流程详见“</w:t>
      </w:r>
      <w:r>
        <w:rPr>
          <w:rFonts w:eastAsia="Times New Roman"/>
          <w:color w:val="auto"/>
        </w:rPr>
        <w:t>6.2.2</w:t>
      </w:r>
      <w:r>
        <w:rPr>
          <w:color w:val="auto"/>
        </w:rPr>
        <w:t>设计阶段</w:t>
      </w:r>
      <w:r>
        <w:rPr>
          <w:rFonts w:eastAsia="Times New Roman"/>
          <w:color w:val="auto"/>
          <w:spacing w:val="-2"/>
        </w:rPr>
        <w:t>BIM</w:t>
      </w:r>
      <w:r>
        <w:rPr>
          <w:color w:val="auto"/>
        </w:rPr>
        <w:t>管理流程”。</w:t>
      </w:r>
    </w:p>
    <w:p>
      <w:pPr>
        <w:pStyle w:val="587"/>
        <w:numPr>
          <w:ilvl w:val="2"/>
          <w:numId w:val="3"/>
        </w:numPr>
        <w:spacing w:beforeLines="50" w:afterLines="50" w:line="360" w:lineRule="auto"/>
        <w:outlineLvl w:val="3"/>
        <w:rPr>
          <w:rFonts w:ascii="LNUHNF+SimSun" w:hAnsi="LNUHNF+SimSun" w:cs="宋体"/>
          <w:color w:val="auto"/>
          <w:szCs w:val="21"/>
        </w:rPr>
      </w:pPr>
      <w:bookmarkStart w:id="544" w:name="_Toc19969"/>
      <w:bookmarkStart w:id="545" w:name="_Toc15141"/>
      <w:r>
        <w:rPr>
          <w:rFonts w:ascii="LNUHNF+SimSun" w:hAnsi="LNUHNF+SimSun" w:cs="宋体"/>
          <w:color w:val="auto"/>
          <w:szCs w:val="21"/>
        </w:rPr>
        <w:t>施工阶段协同工作</w:t>
      </w:r>
      <w:bookmarkEnd w:id="544"/>
      <w:bookmarkEnd w:id="545"/>
    </w:p>
    <w:p>
      <w:pPr>
        <w:spacing w:before="120" w:after="120"/>
        <w:rPr>
          <w:color w:val="auto"/>
        </w:rPr>
      </w:pPr>
      <w:r>
        <w:rPr>
          <w:rFonts w:eastAsia="Times New Roman"/>
          <w:color w:val="auto"/>
        </w:rPr>
        <w:t xml:space="preserve">1  </w:t>
      </w:r>
      <w:r>
        <w:rPr>
          <w:color w:val="auto"/>
        </w:rPr>
        <w:t>施工单位收到设计</w:t>
      </w:r>
      <w:r>
        <w:rPr>
          <w:rFonts w:eastAsia="Times New Roman"/>
          <w:color w:val="auto"/>
          <w:spacing w:val="-2"/>
        </w:rPr>
        <w:t>BIM</w:t>
      </w:r>
      <w:r>
        <w:rPr>
          <w:color w:val="auto"/>
        </w:rPr>
        <w:t>成果后，由施工总承包单位进行成果拆分，分配到专业承包单位。</w:t>
      </w:r>
    </w:p>
    <w:p>
      <w:pPr>
        <w:spacing w:before="120" w:after="120"/>
        <w:ind w:firstLine="488"/>
        <w:rPr>
          <w:color w:val="auto"/>
        </w:rPr>
      </w:pPr>
      <w:r>
        <w:rPr>
          <w:rFonts w:eastAsia="Times New Roman"/>
          <w:color w:val="auto"/>
          <w:spacing w:val="2"/>
        </w:rPr>
        <w:t xml:space="preserve">2  </w:t>
      </w:r>
      <w:r>
        <w:rPr>
          <w:color w:val="auto"/>
          <w:spacing w:val="2"/>
        </w:rPr>
        <w:t>项目施工各参与单位采用“中心文件”方式，在施工服务器上深化、更新各施工承包</w:t>
      </w:r>
      <w:r>
        <w:rPr>
          <w:color w:val="auto"/>
        </w:rPr>
        <w:t>范围内的</w:t>
      </w:r>
      <w:r>
        <w:rPr>
          <w:rFonts w:eastAsia="Times New Roman"/>
          <w:color w:val="auto"/>
          <w:spacing w:val="-2"/>
        </w:rPr>
        <w:t>BIM</w:t>
      </w:r>
      <w:r>
        <w:rPr>
          <w:color w:val="auto"/>
        </w:rPr>
        <w:t>成果。</w:t>
      </w:r>
    </w:p>
    <w:p>
      <w:pPr>
        <w:spacing w:before="120" w:after="120"/>
        <w:rPr>
          <w:color w:val="auto"/>
        </w:rPr>
      </w:pPr>
      <w:r>
        <w:rPr>
          <w:rFonts w:eastAsia="Times New Roman"/>
          <w:color w:val="auto"/>
        </w:rPr>
        <w:t xml:space="preserve">3  </w:t>
      </w:r>
      <w:r>
        <w:rPr>
          <w:color w:val="auto"/>
        </w:rPr>
        <w:t>施工总承包单位采用“链接文件”方式，综合合成各施工分包单位</w:t>
      </w:r>
      <w:r>
        <w:rPr>
          <w:rFonts w:eastAsia="Times New Roman"/>
          <w:color w:val="auto"/>
          <w:spacing w:val="-2"/>
        </w:rPr>
        <w:t>BIM</w:t>
      </w:r>
      <w:r>
        <w:rPr>
          <w:color w:val="auto"/>
        </w:rPr>
        <w:t>成果，在</w:t>
      </w:r>
      <w:r>
        <w:rPr>
          <w:rFonts w:eastAsia="Times New Roman"/>
          <w:color w:val="auto"/>
        </w:rPr>
        <w:t>BIM</w:t>
      </w:r>
      <w:r>
        <w:rPr>
          <w:color w:val="auto"/>
        </w:rPr>
        <w:t>总协调方配合指导下，应用</w:t>
      </w:r>
      <w:r>
        <w:rPr>
          <w:rFonts w:eastAsia="Times New Roman"/>
          <w:color w:val="auto"/>
          <w:spacing w:val="-2"/>
        </w:rPr>
        <w:t>BIM</w:t>
      </w:r>
      <w:r>
        <w:rPr>
          <w:color w:val="auto"/>
        </w:rPr>
        <w:t>成果与现场施工管理工作中，优化施工组织方式、协调各施工分包单位工作、对重难点施工区域进行模拟，辅助工程过程控制，形成项目施工</w:t>
      </w:r>
      <w:r>
        <w:rPr>
          <w:rFonts w:eastAsia="Times New Roman"/>
          <w:color w:val="auto"/>
          <w:spacing w:val="-2"/>
        </w:rPr>
        <w:t>BIM</w:t>
      </w:r>
      <w:r>
        <w:rPr>
          <w:color w:val="auto"/>
        </w:rPr>
        <w:t>应用成果，提交</w:t>
      </w:r>
      <w:r>
        <w:rPr>
          <w:rFonts w:eastAsia="Times New Roman"/>
          <w:color w:val="auto"/>
          <w:spacing w:val="-2"/>
        </w:rPr>
        <w:t>BIM</w:t>
      </w:r>
      <w:r>
        <w:rPr>
          <w:color w:val="auto"/>
        </w:rPr>
        <w:t>总协调方审核，作为项目施工阶段实施管理</w:t>
      </w:r>
      <w:r>
        <w:rPr>
          <w:rFonts w:eastAsia="Times New Roman"/>
          <w:color w:val="auto"/>
          <w:spacing w:val="-2"/>
        </w:rPr>
        <w:t>BIM</w:t>
      </w:r>
      <w:r>
        <w:rPr>
          <w:color w:val="auto"/>
        </w:rPr>
        <w:t>成果资料。</w:t>
      </w:r>
    </w:p>
    <w:p>
      <w:pPr>
        <w:spacing w:before="120" w:after="120"/>
        <w:ind w:firstLine="488"/>
        <w:rPr>
          <w:color w:val="auto"/>
        </w:rPr>
      </w:pPr>
      <w:r>
        <w:rPr>
          <w:rFonts w:eastAsia="Times New Roman"/>
          <w:color w:val="auto"/>
          <w:spacing w:val="2"/>
        </w:rPr>
        <w:t xml:space="preserve">4  </w:t>
      </w:r>
      <w:r>
        <w:rPr>
          <w:color w:val="auto"/>
          <w:spacing w:val="2"/>
        </w:rPr>
        <w:t>施工过程中出现的设计变更，由施工总承包单位根据协商修改意见，提出设计变更，</w:t>
      </w:r>
      <w:r>
        <w:rPr>
          <w:color w:val="auto"/>
        </w:rPr>
        <w:t>上传至代建局项目协同平台。</w:t>
      </w:r>
      <w:r>
        <w:rPr>
          <w:rFonts w:hint="eastAsia"/>
          <w:color w:val="auto"/>
        </w:rPr>
        <w:t>项目建设管理部、</w:t>
      </w:r>
      <w:r>
        <w:rPr>
          <w:color w:val="auto"/>
        </w:rPr>
        <w:t>设计单位、监理单位通过访问项目协同平台对变更进行确认并</w:t>
      </w:r>
      <w:r>
        <w:rPr>
          <w:color w:val="auto"/>
          <w:spacing w:val="3"/>
        </w:rPr>
        <w:t>出具设计变更意见，</w:t>
      </w:r>
      <w:r>
        <w:rPr>
          <w:color w:val="auto"/>
        </w:rPr>
        <w:t>施工</w:t>
      </w:r>
      <w:r>
        <w:rPr>
          <w:color w:val="auto"/>
          <w:spacing w:val="3"/>
        </w:rPr>
        <w:t>总承包单位根据设计变更及时修改施工阶段</w:t>
      </w:r>
      <w:r>
        <w:rPr>
          <w:rFonts w:eastAsia="Times New Roman"/>
          <w:color w:val="auto"/>
          <w:spacing w:val="-2"/>
        </w:rPr>
        <w:t>BIM</w:t>
      </w:r>
      <w:r>
        <w:rPr>
          <w:color w:val="auto"/>
          <w:spacing w:val="2"/>
        </w:rPr>
        <w:t>成果，提交</w:t>
      </w:r>
      <w:r>
        <w:rPr>
          <w:rFonts w:eastAsia="Times New Roman"/>
          <w:color w:val="auto"/>
        </w:rPr>
        <w:t>BIM</w:t>
      </w:r>
      <w:r>
        <w:rPr>
          <w:color w:val="auto"/>
        </w:rPr>
        <w:t>总协调方审核后，汇总至项目协同平台作为施工过程文件备份。</w:t>
      </w:r>
    </w:p>
    <w:p>
      <w:pPr>
        <w:spacing w:before="120" w:after="120"/>
        <w:rPr>
          <w:color w:val="auto"/>
        </w:rPr>
      </w:pPr>
      <w:r>
        <w:rPr>
          <w:rFonts w:eastAsia="Times New Roman"/>
          <w:color w:val="auto"/>
        </w:rPr>
        <w:t xml:space="preserve">5  </w:t>
      </w:r>
      <w:r>
        <w:rPr>
          <w:color w:val="auto"/>
        </w:rPr>
        <w:t>施工单位根据项目实施情况，根据现场实际条件更新施工阶段</w:t>
      </w:r>
      <w:r>
        <w:rPr>
          <w:rFonts w:eastAsia="Times New Roman"/>
          <w:color w:val="auto"/>
          <w:spacing w:val="-2"/>
        </w:rPr>
        <w:t>BIM</w:t>
      </w:r>
      <w:r>
        <w:rPr>
          <w:color w:val="auto"/>
        </w:rPr>
        <w:t>成果，各阶段成果应于模型所表达的施工组织设计、施工方案、进度计划、现场实际保持一致。施工总承包单位组织各施工分包单位在施工过程中，根据实际施工资料录入施工阶段</w:t>
      </w:r>
      <w:r>
        <w:rPr>
          <w:rFonts w:eastAsia="Times New Roman"/>
          <w:color w:val="auto"/>
          <w:spacing w:val="-2"/>
        </w:rPr>
        <w:t>BIM</w:t>
      </w:r>
      <w:r>
        <w:rPr>
          <w:color w:val="auto"/>
          <w:spacing w:val="-4"/>
        </w:rPr>
        <w:t>信息，经</w:t>
      </w:r>
      <w:r>
        <w:rPr>
          <w:rFonts w:hint="eastAsia"/>
          <w:color w:val="auto"/>
        </w:rPr>
        <w:t>项目建设管理部、</w:t>
      </w:r>
      <w:r>
        <w:rPr>
          <w:color w:val="auto"/>
          <w:spacing w:val="-4"/>
        </w:rPr>
        <w:t>监理单</w:t>
      </w:r>
      <w:r>
        <w:rPr>
          <w:color w:val="auto"/>
        </w:rPr>
        <w:t>位及</w:t>
      </w:r>
      <w:r>
        <w:rPr>
          <w:rFonts w:eastAsia="Times New Roman"/>
          <w:color w:val="auto"/>
          <w:spacing w:val="-2"/>
        </w:rPr>
        <w:t>BIM</w:t>
      </w:r>
      <w:r>
        <w:rPr>
          <w:color w:val="auto"/>
        </w:rPr>
        <w:t>总协调方验收后，形成竣工</w:t>
      </w:r>
      <w:r>
        <w:rPr>
          <w:rFonts w:eastAsia="Times New Roman"/>
          <w:color w:val="auto"/>
          <w:spacing w:val="-2"/>
        </w:rPr>
        <w:t>BIM</w:t>
      </w:r>
      <w:r>
        <w:rPr>
          <w:color w:val="auto"/>
        </w:rPr>
        <w:t>成果并归档。</w:t>
      </w:r>
    </w:p>
    <w:p>
      <w:pPr>
        <w:spacing w:before="120" w:after="120"/>
        <w:rPr>
          <w:color w:val="auto"/>
        </w:rPr>
      </w:pPr>
      <w:r>
        <w:rPr>
          <w:rFonts w:eastAsia="Times New Roman"/>
          <w:color w:val="auto"/>
        </w:rPr>
        <w:t xml:space="preserve">6  </w:t>
      </w:r>
      <w:r>
        <w:rPr>
          <w:color w:val="auto"/>
        </w:rPr>
        <w:t>施工阶段协同流程详见“</w:t>
      </w:r>
      <w:r>
        <w:rPr>
          <w:rFonts w:eastAsia="Times New Roman"/>
          <w:color w:val="auto"/>
        </w:rPr>
        <w:t>6.2.3</w:t>
      </w:r>
      <w:r>
        <w:rPr>
          <w:color w:val="auto"/>
        </w:rPr>
        <w:t>施工阶段</w:t>
      </w:r>
      <w:r>
        <w:rPr>
          <w:rFonts w:eastAsia="Times New Roman"/>
          <w:color w:val="auto"/>
          <w:spacing w:val="-2"/>
        </w:rPr>
        <w:t>BIM</w:t>
      </w:r>
      <w:r>
        <w:rPr>
          <w:color w:val="auto"/>
        </w:rPr>
        <w:t>管理流程”。</w:t>
      </w:r>
    </w:p>
    <w:p>
      <w:pPr>
        <w:pStyle w:val="587"/>
        <w:numPr>
          <w:ilvl w:val="2"/>
          <w:numId w:val="3"/>
        </w:numPr>
        <w:spacing w:beforeLines="50" w:afterLines="50" w:line="360" w:lineRule="auto"/>
        <w:outlineLvl w:val="3"/>
        <w:rPr>
          <w:rFonts w:ascii="LNUHNF+SimSun" w:hAnsi="LNUHNF+SimSun" w:cs="宋体"/>
          <w:color w:val="auto"/>
          <w:szCs w:val="21"/>
        </w:rPr>
      </w:pPr>
      <w:bookmarkStart w:id="546" w:name="_Toc14065"/>
      <w:bookmarkStart w:id="547" w:name="_Toc32113"/>
      <w:r>
        <w:rPr>
          <w:rFonts w:ascii="LNUHNF+SimSun" w:hAnsi="LNUHNF+SimSun" w:cs="宋体"/>
          <w:color w:val="auto"/>
          <w:szCs w:val="21"/>
        </w:rPr>
        <w:t>运维阶段协同工作</w:t>
      </w:r>
      <w:bookmarkEnd w:id="546"/>
      <w:bookmarkEnd w:id="547"/>
    </w:p>
    <w:p>
      <w:pPr>
        <w:spacing w:before="120" w:after="120"/>
        <w:rPr>
          <w:color w:val="auto"/>
        </w:rPr>
      </w:pPr>
      <w:r>
        <w:rPr>
          <w:rFonts w:eastAsia="Times New Roman"/>
          <w:color w:val="auto"/>
        </w:rPr>
        <w:t>1  BIM</w:t>
      </w:r>
      <w:r>
        <w:rPr>
          <w:color w:val="auto"/>
        </w:rPr>
        <w:t>总协调方提取代建局项目协同平台的竣工</w:t>
      </w:r>
      <w:r>
        <w:rPr>
          <w:rFonts w:eastAsia="Times New Roman"/>
          <w:color w:val="auto"/>
          <w:spacing w:val="-2"/>
        </w:rPr>
        <w:t>BIM</w:t>
      </w:r>
      <w:r>
        <w:rPr>
          <w:color w:val="auto"/>
        </w:rPr>
        <w:t>成果，交予运维单位。</w:t>
      </w:r>
    </w:p>
    <w:p>
      <w:pPr>
        <w:spacing w:before="120" w:after="120"/>
        <w:rPr>
          <w:color w:val="auto"/>
        </w:rPr>
      </w:pPr>
      <w:r>
        <w:rPr>
          <w:rFonts w:eastAsia="Times New Roman"/>
          <w:color w:val="auto"/>
        </w:rPr>
        <w:t>2  BIM</w:t>
      </w:r>
      <w:r>
        <w:rPr>
          <w:color w:val="auto"/>
        </w:rPr>
        <w:t>总协调方配合运维单位的运维需求及信息格式条件，辅助运维单位进行</w:t>
      </w:r>
      <w:r>
        <w:rPr>
          <w:rFonts w:eastAsia="Times New Roman"/>
          <w:color w:val="auto"/>
          <w:spacing w:val="-2"/>
        </w:rPr>
        <w:t>BIM</w:t>
      </w:r>
      <w:r>
        <w:rPr>
          <w:color w:val="auto"/>
        </w:rPr>
        <w:t>信息的提取和运维测试。</w:t>
      </w:r>
    </w:p>
    <w:p>
      <w:pPr>
        <w:spacing w:before="120" w:after="120"/>
        <w:ind w:firstLine="488"/>
        <w:rPr>
          <w:rFonts w:eastAsia="黑体"/>
          <w:b/>
          <w:bCs/>
          <w:color w:val="auto"/>
          <w:kern w:val="44"/>
          <w:sz w:val="28"/>
          <w:szCs w:val="44"/>
        </w:rPr>
      </w:pPr>
      <w:r>
        <w:rPr>
          <w:rFonts w:eastAsia="Times New Roman"/>
          <w:color w:val="auto"/>
          <w:spacing w:val="2"/>
        </w:rPr>
        <w:t xml:space="preserve">3  </w:t>
      </w:r>
      <w:r>
        <w:rPr>
          <w:color w:val="auto"/>
          <w:spacing w:val="2"/>
        </w:rPr>
        <w:t>运维单位在运维服务器上进行对交付项目的运维管理，定期更新项目运维资料至项目</w:t>
      </w:r>
      <w:r>
        <w:rPr>
          <w:color w:val="auto"/>
        </w:rPr>
        <w:t>管理协同平台备份，实现项目信息和代建局项目协同平台信息一致，为打造智慧城市信息奠定基础。</w:t>
      </w:r>
      <w:bookmarkEnd w:id="252"/>
    </w:p>
    <w:p>
      <w:pPr>
        <w:tabs>
          <w:tab w:val="left" w:pos="2680"/>
        </w:tabs>
        <w:spacing w:after="120"/>
        <w:ind w:firstLine="4480" w:firstLineChars="1400"/>
        <w:jc w:val="left"/>
        <w:rPr>
          <w:rFonts w:ascii="仿宋_GB2312" w:hAnsi="华文中宋" w:eastAsia="仿宋_GB2312"/>
          <w:color w:val="auto"/>
          <w:sz w:val="32"/>
          <w:szCs w:val="32"/>
        </w:rPr>
      </w:pPr>
    </w:p>
    <w:p>
      <w:pPr>
        <w:tabs>
          <w:tab w:val="left" w:pos="2680"/>
        </w:tabs>
        <w:spacing w:after="120"/>
        <w:ind w:firstLine="4480" w:firstLineChars="1400"/>
        <w:jc w:val="left"/>
        <w:rPr>
          <w:rFonts w:ascii="仿宋_GB2312" w:hAnsi="华文中宋" w:eastAsia="仿宋_GB2312"/>
          <w:color w:val="auto"/>
          <w:sz w:val="32"/>
          <w:szCs w:val="32"/>
        </w:rPr>
      </w:pPr>
    </w:p>
    <w:p>
      <w:pPr>
        <w:pStyle w:val="30"/>
        <w:spacing w:after="120"/>
        <w:rPr>
          <w:color w:val="auto"/>
        </w:rPr>
        <w:sectPr>
          <w:pgSz w:w="11906" w:h="16838"/>
          <w:pgMar w:top="1440" w:right="1800" w:bottom="1440" w:left="1800" w:header="720" w:footer="998" w:gutter="0"/>
          <w:cols w:space="720" w:num="1"/>
          <w:docGrid w:linePitch="326" w:charSpace="0"/>
        </w:sectPr>
      </w:pPr>
    </w:p>
    <w:p>
      <w:pPr>
        <w:spacing w:line="720" w:lineRule="auto"/>
        <w:jc w:val="center"/>
        <w:rPr>
          <w:rFonts w:ascii="仿宋" w:hAnsi="仿宋" w:eastAsia="仿宋" w:cs="仿宋"/>
          <w:b/>
          <w:color w:val="auto"/>
          <w:sz w:val="28"/>
          <w:szCs w:val="28"/>
        </w:rPr>
      </w:pPr>
      <w:r>
        <w:rPr>
          <w:rFonts w:hint="eastAsia" w:ascii="仿宋" w:hAnsi="仿宋" w:eastAsia="仿宋" w:cs="仿宋"/>
          <w:b/>
          <w:color w:val="auto"/>
          <w:sz w:val="28"/>
          <w:szCs w:val="28"/>
        </w:rPr>
        <w:t>广东省代建局项目BIM实施导则</w:t>
      </w:r>
    </w:p>
    <w:p>
      <w:pPr>
        <w:spacing w:after="120"/>
        <w:rPr>
          <w:color w:val="auto"/>
        </w:rPr>
      </w:pPr>
    </w:p>
    <w:p>
      <w:pPr>
        <w:spacing w:after="120"/>
        <w:rPr>
          <w:color w:val="auto"/>
        </w:rPr>
      </w:pPr>
    </w:p>
    <w:p>
      <w:pPr>
        <w:spacing w:after="120"/>
        <w:rPr>
          <w:color w:val="auto"/>
        </w:rPr>
      </w:pPr>
    </w:p>
    <w:p>
      <w:pPr>
        <w:spacing w:after="120"/>
        <w:rPr>
          <w:color w:val="auto"/>
        </w:rPr>
      </w:pPr>
    </w:p>
    <w:p>
      <w:pPr>
        <w:spacing w:after="120"/>
        <w:rPr>
          <w:color w:val="auto"/>
        </w:rPr>
      </w:pPr>
    </w:p>
    <w:p>
      <w:pPr>
        <w:pStyle w:val="588"/>
        <w:framePr w:w="0" w:hRule="auto" w:wrap="auto" w:vAnchor="margin" w:hAnchor="text" w:xAlign="left" w:yAlign="inline"/>
        <w:numPr>
          <w:ilvl w:val="0"/>
          <w:numId w:val="14"/>
        </w:numPr>
        <w:tabs>
          <w:tab w:val="left" w:pos="0"/>
        </w:tabs>
        <w:spacing w:before="240" w:after="120"/>
        <w:ind w:firstLine="560"/>
        <w:outlineLvl w:val="0"/>
        <w:rPr>
          <w:rFonts w:ascii="Times New Roman"/>
          <w:bCs/>
          <w:color w:val="auto"/>
          <w:sz w:val="24"/>
          <w:szCs w:val="24"/>
        </w:rPr>
      </w:pPr>
      <w:bookmarkStart w:id="548" w:name="_Toc27688"/>
      <w:bookmarkStart w:id="549" w:name="_Toc7910"/>
      <w:bookmarkStart w:id="550" w:name="_Toc13165"/>
      <w:bookmarkStart w:id="551" w:name="_Toc966"/>
      <w:bookmarkStart w:id="552" w:name="_Toc62460187"/>
      <w:r>
        <w:rPr>
          <w:rFonts w:hint="eastAsia"/>
          <w:bCs/>
          <w:color w:val="auto"/>
          <w:sz w:val="28"/>
          <w:szCs w:val="28"/>
        </w:rPr>
        <w:t>模型体现</w:t>
      </w:r>
      <w:r>
        <w:rPr>
          <w:bCs/>
          <w:color w:val="auto"/>
          <w:sz w:val="28"/>
          <w:szCs w:val="28"/>
        </w:rPr>
        <w:t>及应用点</w:t>
      </w:r>
      <w:bookmarkEnd w:id="548"/>
      <w:bookmarkEnd w:id="549"/>
      <w:bookmarkEnd w:id="550"/>
      <w:bookmarkEnd w:id="551"/>
    </w:p>
    <w:p>
      <w:pPr>
        <w:pStyle w:val="585"/>
        <w:tabs>
          <w:tab w:val="left" w:pos="5424"/>
        </w:tabs>
        <w:spacing w:before="120" w:after="120" w:line="360" w:lineRule="auto"/>
        <w:ind w:left="0"/>
        <w:outlineLvl w:val="1"/>
        <w:rPr>
          <w:rFonts w:ascii="Times New Roman" w:hAnsi="Times New Roman" w:eastAsia="黑体"/>
          <w:b w:val="0"/>
          <w:bCs/>
          <w:color w:val="auto"/>
          <w:sz w:val="24"/>
          <w:szCs w:val="24"/>
        </w:rPr>
      </w:pPr>
      <w:bookmarkStart w:id="553" w:name="_Toc27869"/>
      <w:bookmarkStart w:id="554" w:name="_Toc32461"/>
      <w:bookmarkStart w:id="555" w:name="_Toc6251"/>
      <w:bookmarkStart w:id="556" w:name="_Toc13039"/>
      <w:r>
        <w:rPr>
          <w:rFonts w:ascii="Times New Roman" w:hAnsi="Times New Roman" w:eastAsia="黑体"/>
          <w:b w:val="0"/>
          <w:bCs/>
          <w:color w:val="auto"/>
          <w:sz w:val="24"/>
          <w:szCs w:val="24"/>
        </w:rPr>
        <w:t>BIM模型阶段化体现</w:t>
      </w:r>
      <w:bookmarkEnd w:id="552"/>
      <w:bookmarkEnd w:id="553"/>
      <w:bookmarkEnd w:id="554"/>
      <w:bookmarkEnd w:id="555"/>
      <w:bookmarkEnd w:id="556"/>
    </w:p>
    <w:p>
      <w:pPr>
        <w:pStyle w:val="587"/>
        <w:numPr>
          <w:ilvl w:val="0"/>
          <w:numId w:val="0"/>
        </w:numPr>
        <w:spacing w:beforeLines="50" w:afterLines="50" w:line="360" w:lineRule="auto"/>
        <w:ind w:firstLine="420" w:firstLineChars="200"/>
        <w:jc w:val="both"/>
        <w:outlineLvl w:val="9"/>
        <w:rPr>
          <w:rFonts w:ascii="Times New Roman" w:hAnsi="Times New Roman"/>
          <w:color w:val="auto"/>
          <w:szCs w:val="21"/>
        </w:rPr>
      </w:pPr>
      <w:bookmarkStart w:id="557" w:name="_Toc3420"/>
      <w:bookmarkStart w:id="558" w:name="_Toc16342"/>
      <w:r>
        <w:rPr>
          <w:rFonts w:ascii="Times New Roman" w:hAnsi="Times New Roman"/>
          <w:color w:val="auto"/>
          <w:szCs w:val="21"/>
        </w:rPr>
        <w:t>在项目初始阶段，针对项目的特点和应用重点选择项目BIM目标，各阶段BIM模型体现如下表所示。</w:t>
      </w:r>
      <w:bookmarkEnd w:id="557"/>
      <w:bookmarkEnd w:id="558"/>
    </w:p>
    <w:p>
      <w:pPr>
        <w:pStyle w:val="498"/>
        <w:spacing w:beforeLines="50" w:afterLines="50" w:line="360" w:lineRule="auto"/>
        <w:ind w:firstLine="360"/>
        <w:jc w:val="center"/>
        <w:rPr>
          <w:rFonts w:ascii="Times New Roman" w:eastAsia="黑体"/>
          <w:color w:val="auto"/>
          <w:sz w:val="18"/>
          <w:szCs w:val="18"/>
        </w:rPr>
      </w:pPr>
      <w:r>
        <w:rPr>
          <w:rFonts w:ascii="Times New Roman" w:eastAsia="黑体"/>
          <w:color w:val="auto"/>
          <w:sz w:val="18"/>
          <w:szCs w:val="18"/>
        </w:rPr>
        <w:t>表1.1  各阶段BIM模型体现</w:t>
      </w:r>
    </w:p>
    <w:tbl>
      <w:tblPr>
        <w:tblStyle w:val="55"/>
        <w:tblW w:w="10080" w:type="dxa"/>
        <w:tblInd w:w="0" w:type="dxa"/>
        <w:tblLayout w:type="fixed"/>
        <w:tblCellMar>
          <w:top w:w="0" w:type="dxa"/>
          <w:left w:w="0" w:type="dxa"/>
          <w:bottom w:w="0" w:type="dxa"/>
          <w:right w:w="0" w:type="dxa"/>
        </w:tblCellMar>
      </w:tblPr>
      <w:tblGrid>
        <w:gridCol w:w="1575"/>
        <w:gridCol w:w="1187"/>
        <w:gridCol w:w="1022"/>
        <w:gridCol w:w="1030"/>
        <w:gridCol w:w="859"/>
        <w:gridCol w:w="1014"/>
        <w:gridCol w:w="897"/>
        <w:gridCol w:w="897"/>
        <w:gridCol w:w="1599"/>
      </w:tblGrid>
      <w:tr>
        <w:tblPrEx>
          <w:tblCellMar>
            <w:top w:w="0" w:type="dxa"/>
            <w:left w:w="0" w:type="dxa"/>
            <w:bottom w:w="0" w:type="dxa"/>
            <w:right w:w="0" w:type="dxa"/>
          </w:tblCellMar>
        </w:tblPrEx>
        <w:trPr>
          <w:trHeight w:val="454" w:hRule="atLeast"/>
        </w:trPr>
        <w:tc>
          <w:tcPr>
            <w:tcW w:w="1575" w:type="dxa"/>
            <w:vMerge w:val="restart"/>
            <w:tcBorders>
              <w:top w:val="single" w:color="000000" w:sz="4" w:space="0"/>
              <w:left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阶段</w:t>
            </w:r>
          </w:p>
        </w:tc>
        <w:tc>
          <w:tcPr>
            <w:tcW w:w="1187" w:type="dxa"/>
            <w:vMerge w:val="restart"/>
            <w:tcBorders>
              <w:top w:val="single" w:color="000000" w:sz="4" w:space="0"/>
              <w:left w:val="single" w:color="000000" w:sz="4" w:space="0"/>
              <w:right w:val="single" w:color="000000" w:sz="4" w:space="0"/>
            </w:tcBorders>
            <w:noWrap/>
            <w:vAlign w:val="center"/>
          </w:tcPr>
          <w:p>
            <w:pPr>
              <w:pStyle w:val="480"/>
              <w:spacing w:before="120" w:after="120"/>
              <w:ind w:left="334"/>
              <w:jc w:val="center"/>
              <w:rPr>
                <w:color w:val="auto"/>
                <w:sz w:val="18"/>
                <w:szCs w:val="18"/>
                <w:lang w:eastAsia="zh-CN"/>
              </w:rPr>
            </w:pPr>
            <w:r>
              <w:rPr>
                <w:color w:val="auto"/>
                <w:sz w:val="18"/>
                <w:szCs w:val="18"/>
                <w:lang w:eastAsia="zh-CN"/>
              </w:rPr>
              <w:t>建筑</w:t>
            </w:r>
          </w:p>
        </w:tc>
        <w:tc>
          <w:tcPr>
            <w:tcW w:w="1022" w:type="dxa"/>
            <w:vMerge w:val="restart"/>
            <w:tcBorders>
              <w:top w:val="single" w:color="000000" w:sz="4" w:space="0"/>
              <w:left w:val="single" w:color="000000" w:sz="4" w:space="0"/>
              <w:right w:val="single" w:color="000000" w:sz="4" w:space="0"/>
            </w:tcBorders>
            <w:noWrap/>
            <w:vAlign w:val="center"/>
          </w:tcPr>
          <w:p>
            <w:pPr>
              <w:pStyle w:val="480"/>
              <w:spacing w:before="120" w:after="120"/>
              <w:ind w:left="253"/>
              <w:jc w:val="center"/>
              <w:rPr>
                <w:color w:val="auto"/>
                <w:sz w:val="18"/>
                <w:szCs w:val="18"/>
                <w:lang w:eastAsia="zh-CN"/>
              </w:rPr>
            </w:pPr>
            <w:r>
              <w:rPr>
                <w:color w:val="auto"/>
                <w:sz w:val="18"/>
                <w:szCs w:val="18"/>
                <w:lang w:eastAsia="zh-CN"/>
              </w:rPr>
              <w:t>结构</w:t>
            </w:r>
          </w:p>
        </w:tc>
        <w:tc>
          <w:tcPr>
            <w:tcW w:w="4697" w:type="dxa"/>
            <w:gridSpan w:val="5"/>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ind w:right="1"/>
              <w:jc w:val="center"/>
              <w:rPr>
                <w:color w:val="auto"/>
                <w:sz w:val="18"/>
                <w:szCs w:val="18"/>
                <w:lang w:eastAsia="zh-CN"/>
              </w:rPr>
            </w:pPr>
            <w:r>
              <w:rPr>
                <w:color w:val="auto"/>
                <w:sz w:val="18"/>
                <w:szCs w:val="18"/>
                <w:lang w:eastAsia="zh-CN"/>
              </w:rPr>
              <w:t>机电</w:t>
            </w:r>
          </w:p>
        </w:tc>
        <w:tc>
          <w:tcPr>
            <w:tcW w:w="1599" w:type="dxa"/>
            <w:vMerge w:val="restart"/>
            <w:tcBorders>
              <w:top w:val="single" w:color="000000" w:sz="4" w:space="0"/>
              <w:left w:val="single" w:color="000000" w:sz="4" w:space="0"/>
              <w:right w:val="single" w:color="000000" w:sz="4" w:space="0"/>
            </w:tcBorders>
            <w:noWrap/>
            <w:vAlign w:val="center"/>
          </w:tcPr>
          <w:p>
            <w:pPr>
              <w:pStyle w:val="480"/>
              <w:spacing w:before="120" w:after="120"/>
              <w:ind w:right="1"/>
              <w:jc w:val="center"/>
              <w:rPr>
                <w:color w:val="auto"/>
                <w:sz w:val="18"/>
                <w:szCs w:val="18"/>
                <w:lang w:eastAsia="zh-CN"/>
              </w:rPr>
            </w:pPr>
            <w:r>
              <w:rPr>
                <w:color w:val="auto"/>
                <w:sz w:val="18"/>
                <w:szCs w:val="18"/>
                <w:lang w:eastAsia="zh-CN"/>
              </w:rPr>
              <w:t>重点</w:t>
            </w:r>
          </w:p>
        </w:tc>
      </w:tr>
      <w:tr>
        <w:tblPrEx>
          <w:tblCellMar>
            <w:top w:w="0" w:type="dxa"/>
            <w:left w:w="0" w:type="dxa"/>
            <w:bottom w:w="0" w:type="dxa"/>
            <w:right w:w="0" w:type="dxa"/>
          </w:tblCellMar>
        </w:tblPrEx>
        <w:trPr>
          <w:trHeight w:val="454" w:hRule="atLeast"/>
        </w:trPr>
        <w:tc>
          <w:tcPr>
            <w:tcW w:w="1575" w:type="dxa"/>
            <w:vMerge w:val="continue"/>
            <w:tcBorders>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p>
        </w:tc>
        <w:tc>
          <w:tcPr>
            <w:tcW w:w="1187" w:type="dxa"/>
            <w:vMerge w:val="continue"/>
            <w:tcBorders>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p>
        </w:tc>
        <w:tc>
          <w:tcPr>
            <w:tcW w:w="1022" w:type="dxa"/>
            <w:vMerge w:val="continue"/>
            <w:tcBorders>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p>
        </w:tc>
        <w:tc>
          <w:tcPr>
            <w:tcW w:w="1030"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ind w:left="257"/>
              <w:jc w:val="center"/>
              <w:rPr>
                <w:color w:val="auto"/>
                <w:sz w:val="18"/>
                <w:szCs w:val="18"/>
                <w:lang w:eastAsia="zh-CN"/>
              </w:rPr>
            </w:pPr>
            <w:r>
              <w:rPr>
                <w:color w:val="auto"/>
                <w:sz w:val="18"/>
                <w:szCs w:val="18"/>
                <w:lang w:eastAsia="zh-CN"/>
              </w:rPr>
              <w:t>暖通</w:t>
            </w:r>
          </w:p>
        </w:tc>
        <w:tc>
          <w:tcPr>
            <w:tcW w:w="859"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ind w:left="174"/>
              <w:jc w:val="center"/>
              <w:rPr>
                <w:color w:val="auto"/>
                <w:sz w:val="18"/>
                <w:szCs w:val="18"/>
                <w:lang w:eastAsia="zh-CN"/>
              </w:rPr>
            </w:pPr>
            <w:r>
              <w:rPr>
                <w:color w:val="auto"/>
                <w:sz w:val="18"/>
                <w:szCs w:val="18"/>
                <w:lang w:eastAsia="zh-CN"/>
              </w:rPr>
              <w:t>消防</w:t>
            </w:r>
          </w:p>
        </w:tc>
        <w:tc>
          <w:tcPr>
            <w:tcW w:w="1014"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ind w:left="131"/>
              <w:jc w:val="center"/>
              <w:rPr>
                <w:color w:val="auto"/>
                <w:sz w:val="18"/>
                <w:szCs w:val="18"/>
                <w:lang w:eastAsia="zh-CN"/>
              </w:rPr>
            </w:pPr>
            <w:r>
              <w:rPr>
                <w:color w:val="auto"/>
                <w:sz w:val="18"/>
                <w:szCs w:val="18"/>
                <w:lang w:eastAsia="zh-CN"/>
              </w:rPr>
              <w:t>给排水</w:t>
            </w:r>
          </w:p>
        </w:tc>
        <w:tc>
          <w:tcPr>
            <w:tcW w:w="897"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ind w:left="193"/>
              <w:jc w:val="center"/>
              <w:rPr>
                <w:color w:val="auto"/>
                <w:sz w:val="18"/>
                <w:szCs w:val="18"/>
                <w:lang w:eastAsia="zh-CN"/>
              </w:rPr>
            </w:pPr>
            <w:r>
              <w:rPr>
                <w:color w:val="auto"/>
                <w:sz w:val="18"/>
                <w:szCs w:val="18"/>
                <w:lang w:eastAsia="zh-CN"/>
              </w:rPr>
              <w:t>强电</w:t>
            </w:r>
          </w:p>
        </w:tc>
        <w:tc>
          <w:tcPr>
            <w:tcW w:w="897"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ind w:left="192"/>
              <w:jc w:val="center"/>
              <w:rPr>
                <w:color w:val="auto"/>
                <w:sz w:val="18"/>
                <w:szCs w:val="18"/>
                <w:lang w:eastAsia="zh-CN"/>
              </w:rPr>
            </w:pPr>
            <w:r>
              <w:rPr>
                <w:color w:val="auto"/>
                <w:sz w:val="18"/>
                <w:szCs w:val="18"/>
                <w:lang w:eastAsia="zh-CN"/>
              </w:rPr>
              <w:t>弱电</w:t>
            </w:r>
          </w:p>
        </w:tc>
        <w:tc>
          <w:tcPr>
            <w:tcW w:w="1599" w:type="dxa"/>
            <w:vMerge w:val="continue"/>
            <w:tcBorders>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p>
        </w:tc>
      </w:tr>
      <w:tr>
        <w:tblPrEx>
          <w:tblCellMar>
            <w:top w:w="0" w:type="dxa"/>
            <w:left w:w="0" w:type="dxa"/>
            <w:bottom w:w="0" w:type="dxa"/>
            <w:right w:w="0" w:type="dxa"/>
          </w:tblCellMar>
        </w:tblPrEx>
        <w:trPr>
          <w:trHeight w:val="454" w:hRule="atLeast"/>
        </w:trPr>
        <w:tc>
          <w:tcPr>
            <w:tcW w:w="1575"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方案设计</w:t>
            </w:r>
          </w:p>
        </w:tc>
        <w:tc>
          <w:tcPr>
            <w:tcW w:w="1187"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p>
        </w:tc>
        <w:tc>
          <w:tcPr>
            <w:tcW w:w="1030"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p>
        </w:tc>
        <w:tc>
          <w:tcPr>
            <w:tcW w:w="859"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p>
        </w:tc>
        <w:tc>
          <w:tcPr>
            <w:tcW w:w="1014"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p>
        </w:tc>
        <w:tc>
          <w:tcPr>
            <w:tcW w:w="897"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p>
        </w:tc>
        <w:tc>
          <w:tcPr>
            <w:tcW w:w="897"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p>
        </w:tc>
        <w:tc>
          <w:tcPr>
            <w:tcW w:w="1599"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面积，功能</w:t>
            </w:r>
          </w:p>
        </w:tc>
      </w:tr>
      <w:tr>
        <w:tblPrEx>
          <w:tblCellMar>
            <w:top w:w="0" w:type="dxa"/>
            <w:left w:w="0" w:type="dxa"/>
            <w:bottom w:w="0" w:type="dxa"/>
            <w:right w:w="0" w:type="dxa"/>
          </w:tblCellMar>
        </w:tblPrEx>
        <w:trPr>
          <w:trHeight w:val="454" w:hRule="atLeast"/>
        </w:trPr>
        <w:tc>
          <w:tcPr>
            <w:tcW w:w="1575"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初设</w:t>
            </w:r>
          </w:p>
        </w:tc>
        <w:tc>
          <w:tcPr>
            <w:tcW w:w="1187"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w:t>
            </w:r>
          </w:p>
        </w:tc>
        <w:tc>
          <w:tcPr>
            <w:tcW w:w="1030"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w:t>
            </w:r>
          </w:p>
        </w:tc>
        <w:tc>
          <w:tcPr>
            <w:tcW w:w="859"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w:t>
            </w:r>
          </w:p>
        </w:tc>
        <w:tc>
          <w:tcPr>
            <w:tcW w:w="1014"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w:t>
            </w:r>
          </w:p>
        </w:tc>
        <w:tc>
          <w:tcPr>
            <w:tcW w:w="897"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w:t>
            </w:r>
          </w:p>
        </w:tc>
        <w:tc>
          <w:tcPr>
            <w:tcW w:w="897"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p>
        </w:tc>
        <w:tc>
          <w:tcPr>
            <w:tcW w:w="1599"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协调，深化</w:t>
            </w:r>
          </w:p>
        </w:tc>
      </w:tr>
      <w:tr>
        <w:tblPrEx>
          <w:tblCellMar>
            <w:top w:w="0" w:type="dxa"/>
            <w:left w:w="0" w:type="dxa"/>
            <w:bottom w:w="0" w:type="dxa"/>
            <w:right w:w="0" w:type="dxa"/>
          </w:tblCellMar>
        </w:tblPrEx>
        <w:trPr>
          <w:trHeight w:val="454" w:hRule="atLeast"/>
        </w:trPr>
        <w:tc>
          <w:tcPr>
            <w:tcW w:w="1575"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施工图</w:t>
            </w:r>
          </w:p>
        </w:tc>
        <w:tc>
          <w:tcPr>
            <w:tcW w:w="1187"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w:t>
            </w:r>
          </w:p>
        </w:tc>
        <w:tc>
          <w:tcPr>
            <w:tcW w:w="1030"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w:t>
            </w:r>
          </w:p>
        </w:tc>
        <w:tc>
          <w:tcPr>
            <w:tcW w:w="859"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w:t>
            </w:r>
          </w:p>
        </w:tc>
        <w:tc>
          <w:tcPr>
            <w:tcW w:w="1014"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w:t>
            </w:r>
          </w:p>
        </w:tc>
        <w:tc>
          <w:tcPr>
            <w:tcW w:w="897"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w:t>
            </w:r>
          </w:p>
        </w:tc>
        <w:tc>
          <w:tcPr>
            <w:tcW w:w="897"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w:t>
            </w:r>
          </w:p>
        </w:tc>
        <w:tc>
          <w:tcPr>
            <w:tcW w:w="1599"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施工详图</w:t>
            </w:r>
          </w:p>
        </w:tc>
      </w:tr>
      <w:tr>
        <w:tblPrEx>
          <w:tblCellMar>
            <w:top w:w="0" w:type="dxa"/>
            <w:left w:w="0" w:type="dxa"/>
            <w:bottom w:w="0" w:type="dxa"/>
            <w:right w:w="0" w:type="dxa"/>
          </w:tblCellMar>
        </w:tblPrEx>
        <w:trPr>
          <w:trHeight w:val="454" w:hRule="atLeast"/>
        </w:trPr>
        <w:tc>
          <w:tcPr>
            <w:tcW w:w="1575"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管线综合</w:t>
            </w:r>
          </w:p>
        </w:tc>
        <w:tc>
          <w:tcPr>
            <w:tcW w:w="1187"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w:t>
            </w:r>
          </w:p>
        </w:tc>
        <w:tc>
          <w:tcPr>
            <w:tcW w:w="1030"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w:t>
            </w:r>
          </w:p>
        </w:tc>
        <w:tc>
          <w:tcPr>
            <w:tcW w:w="859"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w:t>
            </w:r>
          </w:p>
        </w:tc>
        <w:tc>
          <w:tcPr>
            <w:tcW w:w="1014"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w:t>
            </w:r>
          </w:p>
        </w:tc>
        <w:tc>
          <w:tcPr>
            <w:tcW w:w="897"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w:t>
            </w:r>
          </w:p>
        </w:tc>
        <w:tc>
          <w:tcPr>
            <w:tcW w:w="897"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w:t>
            </w:r>
          </w:p>
        </w:tc>
        <w:tc>
          <w:tcPr>
            <w:tcW w:w="1599"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管线深化</w:t>
            </w:r>
          </w:p>
        </w:tc>
      </w:tr>
      <w:tr>
        <w:tblPrEx>
          <w:tblCellMar>
            <w:top w:w="0" w:type="dxa"/>
            <w:left w:w="0" w:type="dxa"/>
            <w:bottom w:w="0" w:type="dxa"/>
            <w:right w:w="0" w:type="dxa"/>
          </w:tblCellMar>
        </w:tblPrEx>
        <w:trPr>
          <w:trHeight w:val="454" w:hRule="atLeast"/>
        </w:trPr>
        <w:tc>
          <w:tcPr>
            <w:tcW w:w="1575"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施工</w:t>
            </w:r>
          </w:p>
        </w:tc>
        <w:tc>
          <w:tcPr>
            <w:tcW w:w="1187"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w:t>
            </w:r>
          </w:p>
        </w:tc>
        <w:tc>
          <w:tcPr>
            <w:tcW w:w="1030"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w:t>
            </w:r>
          </w:p>
        </w:tc>
        <w:tc>
          <w:tcPr>
            <w:tcW w:w="859"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w:t>
            </w:r>
          </w:p>
        </w:tc>
        <w:tc>
          <w:tcPr>
            <w:tcW w:w="1014"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w:t>
            </w:r>
          </w:p>
        </w:tc>
        <w:tc>
          <w:tcPr>
            <w:tcW w:w="897"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w:t>
            </w:r>
          </w:p>
        </w:tc>
        <w:tc>
          <w:tcPr>
            <w:tcW w:w="897"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w:t>
            </w:r>
          </w:p>
        </w:tc>
        <w:tc>
          <w:tcPr>
            <w:tcW w:w="1599"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施工BIM应用管理</w:t>
            </w:r>
          </w:p>
        </w:tc>
      </w:tr>
      <w:tr>
        <w:tblPrEx>
          <w:tblCellMar>
            <w:top w:w="0" w:type="dxa"/>
            <w:left w:w="0" w:type="dxa"/>
            <w:bottom w:w="0" w:type="dxa"/>
            <w:right w:w="0" w:type="dxa"/>
          </w:tblCellMar>
        </w:tblPrEx>
        <w:trPr>
          <w:trHeight w:val="454" w:hRule="atLeast"/>
        </w:trPr>
        <w:tc>
          <w:tcPr>
            <w:tcW w:w="1575"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竣工</w:t>
            </w:r>
          </w:p>
        </w:tc>
        <w:tc>
          <w:tcPr>
            <w:tcW w:w="1187"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w:t>
            </w:r>
          </w:p>
        </w:tc>
        <w:tc>
          <w:tcPr>
            <w:tcW w:w="1030"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w:t>
            </w:r>
          </w:p>
        </w:tc>
        <w:tc>
          <w:tcPr>
            <w:tcW w:w="859"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w:t>
            </w:r>
          </w:p>
        </w:tc>
        <w:tc>
          <w:tcPr>
            <w:tcW w:w="1014"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w:t>
            </w:r>
          </w:p>
        </w:tc>
        <w:tc>
          <w:tcPr>
            <w:tcW w:w="897"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w:t>
            </w:r>
          </w:p>
        </w:tc>
        <w:tc>
          <w:tcPr>
            <w:tcW w:w="897"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w:t>
            </w:r>
          </w:p>
        </w:tc>
        <w:tc>
          <w:tcPr>
            <w:tcW w:w="1599"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信息完整性</w:t>
            </w:r>
          </w:p>
        </w:tc>
      </w:tr>
    </w:tbl>
    <w:p>
      <w:pPr>
        <w:pStyle w:val="585"/>
        <w:tabs>
          <w:tab w:val="left" w:pos="5424"/>
        </w:tabs>
        <w:spacing w:beforeLines="100" w:after="120" w:line="360" w:lineRule="auto"/>
        <w:ind w:left="0"/>
        <w:outlineLvl w:val="1"/>
        <w:rPr>
          <w:rFonts w:ascii="Times New Roman" w:hAnsi="Times New Roman" w:eastAsia="黑体"/>
          <w:b w:val="0"/>
          <w:bCs/>
          <w:color w:val="auto"/>
          <w:sz w:val="24"/>
          <w:szCs w:val="24"/>
        </w:rPr>
      </w:pPr>
      <w:bookmarkStart w:id="559" w:name="_Toc62460188"/>
      <w:bookmarkStart w:id="560" w:name="_Toc22647"/>
      <w:bookmarkStart w:id="561" w:name="_Toc13844"/>
      <w:bookmarkStart w:id="562" w:name="_Toc8784"/>
      <w:bookmarkStart w:id="563" w:name="_Toc28263"/>
      <w:r>
        <w:rPr>
          <w:rFonts w:ascii="Times New Roman" w:hAnsi="Times New Roman" w:eastAsia="黑体"/>
          <w:b w:val="0"/>
          <w:bCs/>
          <w:color w:val="auto"/>
          <w:sz w:val="24"/>
          <w:szCs w:val="24"/>
        </w:rPr>
        <w:t>BIM模型阶段应用点分析</w:t>
      </w:r>
      <w:bookmarkEnd w:id="559"/>
      <w:bookmarkEnd w:id="560"/>
      <w:bookmarkEnd w:id="561"/>
      <w:bookmarkEnd w:id="562"/>
      <w:bookmarkEnd w:id="563"/>
    </w:p>
    <w:p>
      <w:pPr>
        <w:pStyle w:val="587"/>
        <w:numPr>
          <w:ilvl w:val="2"/>
          <w:numId w:val="3"/>
        </w:numPr>
        <w:spacing w:beforeLines="50" w:afterLines="50" w:line="360" w:lineRule="auto"/>
        <w:outlineLvl w:val="3"/>
        <w:rPr>
          <w:rFonts w:ascii="LNUHNF+SimSun" w:hAnsi="LNUHNF+SimSun" w:cs="宋体"/>
          <w:color w:val="auto"/>
          <w:szCs w:val="21"/>
        </w:rPr>
      </w:pPr>
      <w:bookmarkStart w:id="564" w:name="_Toc5713"/>
      <w:bookmarkStart w:id="565" w:name="_Toc19983"/>
      <w:r>
        <w:rPr>
          <w:rFonts w:ascii="LNUHNF+SimSun" w:hAnsi="LNUHNF+SimSun" w:cs="宋体"/>
          <w:color w:val="auto"/>
          <w:szCs w:val="21"/>
        </w:rPr>
        <w:t>设计阶段</w:t>
      </w:r>
      <w:bookmarkEnd w:id="564"/>
      <w:bookmarkEnd w:id="565"/>
    </w:p>
    <w:p>
      <w:pPr>
        <w:spacing w:before="120" w:after="120"/>
        <w:outlineLvl w:val="4"/>
        <w:rPr>
          <w:color w:val="auto"/>
          <w:szCs w:val="21"/>
        </w:rPr>
      </w:pPr>
      <w:bookmarkStart w:id="566" w:name="_Toc10881"/>
      <w:bookmarkStart w:id="567" w:name="_Toc879"/>
      <w:r>
        <w:rPr>
          <w:color w:val="auto"/>
          <w:szCs w:val="21"/>
        </w:rPr>
        <w:t>1  概念设计阶段</w:t>
      </w:r>
      <w:bookmarkEnd w:id="566"/>
      <w:bookmarkEnd w:id="567"/>
    </w:p>
    <w:p>
      <w:pPr>
        <w:spacing w:before="120" w:after="120"/>
        <w:ind w:firstLine="840" w:firstLineChars="400"/>
        <w:rPr>
          <w:color w:val="auto"/>
          <w:szCs w:val="21"/>
        </w:rPr>
      </w:pPr>
      <w:r>
        <w:rPr>
          <w:color w:val="auto"/>
          <w:szCs w:val="21"/>
        </w:rPr>
        <w:t>1）对设计理念进行可视化进行表达；</w:t>
      </w:r>
    </w:p>
    <w:p>
      <w:pPr>
        <w:spacing w:before="120" w:after="120"/>
        <w:ind w:firstLine="840" w:firstLineChars="400"/>
        <w:rPr>
          <w:color w:val="auto"/>
          <w:szCs w:val="21"/>
        </w:rPr>
      </w:pPr>
      <w:r>
        <w:rPr>
          <w:color w:val="auto"/>
          <w:szCs w:val="21"/>
        </w:rPr>
        <w:t>2）通过参数化对风、光、日照进行模拟分析；</w:t>
      </w:r>
    </w:p>
    <w:p>
      <w:pPr>
        <w:spacing w:before="120" w:after="120"/>
        <w:ind w:firstLine="840" w:firstLineChars="400"/>
        <w:rPr>
          <w:color w:val="auto"/>
          <w:szCs w:val="21"/>
        </w:rPr>
      </w:pPr>
      <w:r>
        <w:rPr>
          <w:color w:val="auto"/>
          <w:szCs w:val="21"/>
        </w:rPr>
        <w:t>3）强化对设计理念的准确理解</w:t>
      </w:r>
      <w:r>
        <w:rPr>
          <w:rFonts w:hint="eastAsia"/>
          <w:color w:val="auto"/>
          <w:szCs w:val="21"/>
        </w:rPr>
        <w:t>；</w:t>
      </w:r>
    </w:p>
    <w:p>
      <w:pPr>
        <w:spacing w:before="120" w:after="120"/>
        <w:ind w:firstLine="840" w:firstLineChars="400"/>
        <w:rPr>
          <w:color w:val="auto"/>
          <w:szCs w:val="21"/>
        </w:rPr>
      </w:pPr>
      <w:r>
        <w:rPr>
          <w:rFonts w:hint="eastAsia"/>
          <w:color w:val="auto"/>
          <w:szCs w:val="21"/>
        </w:rPr>
        <w:t>3）</w:t>
      </w:r>
      <w:r>
        <w:rPr>
          <w:color w:val="auto"/>
          <w:szCs w:val="21"/>
        </w:rPr>
        <w:t>。</w:t>
      </w:r>
    </w:p>
    <w:p>
      <w:pPr>
        <w:spacing w:before="120" w:after="120"/>
        <w:outlineLvl w:val="4"/>
        <w:rPr>
          <w:color w:val="auto"/>
          <w:szCs w:val="21"/>
        </w:rPr>
      </w:pPr>
      <w:bookmarkStart w:id="568" w:name="_Toc22448"/>
      <w:bookmarkStart w:id="569" w:name="_Toc20070"/>
      <w:r>
        <w:rPr>
          <w:color w:val="auto"/>
          <w:szCs w:val="21"/>
        </w:rPr>
        <w:t>2  方案设计阶段</w:t>
      </w:r>
      <w:bookmarkEnd w:id="568"/>
      <w:bookmarkEnd w:id="569"/>
    </w:p>
    <w:p>
      <w:pPr>
        <w:spacing w:before="120" w:after="120"/>
        <w:ind w:firstLine="840" w:firstLineChars="400"/>
        <w:rPr>
          <w:color w:val="auto"/>
          <w:szCs w:val="21"/>
        </w:rPr>
      </w:pPr>
      <w:r>
        <w:rPr>
          <w:color w:val="auto"/>
          <w:szCs w:val="21"/>
        </w:rPr>
        <w:t>1）利用可视化对设计方案进行比对和优化；</w:t>
      </w:r>
    </w:p>
    <w:p>
      <w:pPr>
        <w:spacing w:before="120" w:after="120"/>
        <w:ind w:firstLine="840" w:firstLineChars="400"/>
        <w:rPr>
          <w:color w:val="auto"/>
          <w:szCs w:val="21"/>
        </w:rPr>
      </w:pPr>
      <w:r>
        <w:rPr>
          <w:color w:val="auto"/>
          <w:szCs w:val="21"/>
        </w:rPr>
        <w:t>2）利用参数化进行性能分析和方案分析；</w:t>
      </w:r>
    </w:p>
    <w:p>
      <w:pPr>
        <w:spacing w:before="120" w:after="120"/>
        <w:ind w:firstLine="840" w:firstLineChars="400"/>
        <w:rPr>
          <w:color w:val="auto"/>
          <w:szCs w:val="21"/>
        </w:rPr>
      </w:pPr>
      <w:r>
        <w:rPr>
          <w:color w:val="auto"/>
          <w:szCs w:val="21"/>
        </w:rPr>
        <w:t>3）统计和计算设计中各种数据；</w:t>
      </w:r>
    </w:p>
    <w:p>
      <w:pPr>
        <w:spacing w:before="120" w:after="120"/>
        <w:ind w:firstLine="840" w:firstLineChars="400"/>
        <w:rPr>
          <w:color w:val="auto"/>
          <w:szCs w:val="21"/>
        </w:rPr>
      </w:pPr>
      <w:r>
        <w:rPr>
          <w:color w:val="auto"/>
          <w:szCs w:val="21"/>
        </w:rPr>
        <w:t>4）实现多专业协同设计。</w:t>
      </w:r>
    </w:p>
    <w:p>
      <w:pPr>
        <w:spacing w:before="120" w:after="120"/>
        <w:outlineLvl w:val="4"/>
        <w:rPr>
          <w:color w:val="auto"/>
          <w:szCs w:val="21"/>
        </w:rPr>
      </w:pPr>
      <w:bookmarkStart w:id="570" w:name="_Toc11646"/>
      <w:bookmarkStart w:id="571" w:name="_Toc23043"/>
      <w:r>
        <w:rPr>
          <w:color w:val="auto"/>
          <w:szCs w:val="21"/>
        </w:rPr>
        <w:t>3  施工图设计阶段</w:t>
      </w:r>
      <w:bookmarkEnd w:id="570"/>
      <w:bookmarkEnd w:id="571"/>
    </w:p>
    <w:p>
      <w:pPr>
        <w:spacing w:before="120" w:after="120"/>
        <w:ind w:firstLine="840" w:firstLineChars="400"/>
        <w:rPr>
          <w:color w:val="auto"/>
          <w:szCs w:val="21"/>
        </w:rPr>
      </w:pPr>
      <w:r>
        <w:rPr>
          <w:color w:val="auto"/>
          <w:szCs w:val="21"/>
        </w:rPr>
        <w:t>1）通过模型进行施工图深化；</w:t>
      </w:r>
    </w:p>
    <w:p>
      <w:pPr>
        <w:spacing w:before="120" w:after="120"/>
        <w:ind w:firstLine="840" w:firstLineChars="400"/>
        <w:rPr>
          <w:color w:val="auto"/>
          <w:szCs w:val="21"/>
        </w:rPr>
      </w:pPr>
      <w:r>
        <w:rPr>
          <w:color w:val="auto"/>
          <w:szCs w:val="21"/>
        </w:rPr>
        <w:t>2）通过参数化提高设计出图效率；</w:t>
      </w:r>
    </w:p>
    <w:p>
      <w:pPr>
        <w:spacing w:before="120" w:after="120"/>
        <w:ind w:firstLine="840" w:firstLineChars="400"/>
        <w:rPr>
          <w:color w:val="auto"/>
          <w:szCs w:val="21"/>
        </w:rPr>
      </w:pPr>
      <w:r>
        <w:rPr>
          <w:color w:val="auto"/>
          <w:szCs w:val="21"/>
        </w:rPr>
        <w:t>3）通过模型进行设计交底</w:t>
      </w:r>
      <w:r>
        <w:rPr>
          <w:rFonts w:hint="eastAsia"/>
          <w:color w:val="auto"/>
          <w:szCs w:val="21"/>
        </w:rPr>
        <w:t>；</w:t>
      </w:r>
    </w:p>
    <w:p>
      <w:pPr>
        <w:spacing w:before="120" w:after="120"/>
        <w:ind w:firstLine="840" w:firstLineChars="400"/>
        <w:rPr>
          <w:color w:val="auto"/>
          <w:szCs w:val="21"/>
        </w:rPr>
      </w:pPr>
      <w:r>
        <w:rPr>
          <w:color w:val="auto"/>
          <w:szCs w:val="21"/>
        </w:rPr>
        <w:t>4）实现多方设计协同</w:t>
      </w:r>
      <w:r>
        <w:rPr>
          <w:rFonts w:hint="eastAsia"/>
          <w:color w:val="auto"/>
          <w:szCs w:val="21"/>
        </w:rPr>
        <w:t>。</w:t>
      </w:r>
    </w:p>
    <w:p>
      <w:pPr>
        <w:spacing w:before="120" w:after="120"/>
        <w:outlineLvl w:val="4"/>
        <w:rPr>
          <w:color w:val="auto"/>
          <w:szCs w:val="21"/>
        </w:rPr>
      </w:pPr>
      <w:bookmarkStart w:id="572" w:name="_Toc11118"/>
      <w:bookmarkStart w:id="573" w:name="_Toc284"/>
      <w:r>
        <w:rPr>
          <w:color w:val="auto"/>
          <w:szCs w:val="21"/>
        </w:rPr>
        <w:t>4  机电管线路由优化</w:t>
      </w:r>
      <w:bookmarkEnd w:id="572"/>
      <w:bookmarkEnd w:id="573"/>
    </w:p>
    <w:p>
      <w:pPr>
        <w:spacing w:before="120" w:after="120"/>
        <w:ind w:firstLine="840" w:firstLineChars="400"/>
        <w:rPr>
          <w:color w:val="auto"/>
          <w:szCs w:val="21"/>
        </w:rPr>
      </w:pPr>
      <w:r>
        <w:rPr>
          <w:color w:val="auto"/>
          <w:szCs w:val="21"/>
        </w:rPr>
        <w:t>1）通过参数化进行路由路径分析</w:t>
      </w:r>
      <w:r>
        <w:rPr>
          <w:rFonts w:hint="eastAsia"/>
          <w:color w:val="auto"/>
          <w:szCs w:val="21"/>
        </w:rPr>
        <w:t>；</w:t>
      </w:r>
    </w:p>
    <w:p>
      <w:pPr>
        <w:spacing w:before="120" w:after="120"/>
        <w:ind w:firstLine="840" w:firstLineChars="400"/>
        <w:rPr>
          <w:color w:val="auto"/>
          <w:szCs w:val="21"/>
        </w:rPr>
      </w:pPr>
      <w:r>
        <w:rPr>
          <w:color w:val="auto"/>
          <w:szCs w:val="21"/>
        </w:rPr>
        <w:t>2）通过模型可视化表达管线优化结果</w:t>
      </w:r>
      <w:r>
        <w:rPr>
          <w:rFonts w:hint="eastAsia"/>
          <w:color w:val="auto"/>
          <w:szCs w:val="21"/>
        </w:rPr>
        <w:t>。</w:t>
      </w:r>
    </w:p>
    <w:p>
      <w:pPr>
        <w:spacing w:before="120" w:after="120"/>
        <w:outlineLvl w:val="4"/>
        <w:rPr>
          <w:color w:val="auto"/>
          <w:szCs w:val="21"/>
        </w:rPr>
      </w:pPr>
      <w:bookmarkStart w:id="574" w:name="_Toc3684"/>
      <w:bookmarkStart w:id="575" w:name="_Toc24200"/>
      <w:r>
        <w:rPr>
          <w:color w:val="auto"/>
          <w:szCs w:val="21"/>
        </w:rPr>
        <w:t>5  设备安装模拟</w:t>
      </w:r>
      <w:bookmarkEnd w:id="574"/>
      <w:bookmarkEnd w:id="575"/>
    </w:p>
    <w:p>
      <w:pPr>
        <w:spacing w:before="120" w:after="120"/>
        <w:ind w:firstLine="840" w:firstLineChars="400"/>
        <w:rPr>
          <w:color w:val="auto"/>
          <w:szCs w:val="21"/>
        </w:rPr>
      </w:pPr>
      <w:r>
        <w:rPr>
          <w:color w:val="auto"/>
          <w:szCs w:val="21"/>
        </w:rPr>
        <w:t>1）通过参数化模拟设备安装</w:t>
      </w:r>
      <w:r>
        <w:rPr>
          <w:rFonts w:hint="eastAsia"/>
          <w:color w:val="auto"/>
          <w:szCs w:val="21"/>
        </w:rPr>
        <w:t>；</w:t>
      </w:r>
    </w:p>
    <w:p>
      <w:pPr>
        <w:spacing w:before="120" w:after="120"/>
        <w:ind w:firstLine="840" w:firstLineChars="400"/>
        <w:rPr>
          <w:color w:val="auto"/>
          <w:szCs w:val="21"/>
        </w:rPr>
      </w:pPr>
      <w:r>
        <w:rPr>
          <w:color w:val="auto"/>
          <w:szCs w:val="21"/>
        </w:rPr>
        <w:t>2）通过模型可视化指导设备安装施工</w:t>
      </w:r>
      <w:r>
        <w:rPr>
          <w:rFonts w:hint="eastAsia"/>
          <w:color w:val="auto"/>
          <w:szCs w:val="21"/>
        </w:rPr>
        <w:t>。</w:t>
      </w:r>
    </w:p>
    <w:p>
      <w:pPr>
        <w:spacing w:before="120" w:after="120"/>
        <w:outlineLvl w:val="4"/>
        <w:rPr>
          <w:color w:val="auto"/>
          <w:szCs w:val="21"/>
        </w:rPr>
      </w:pPr>
      <w:bookmarkStart w:id="576" w:name="_Toc30537"/>
      <w:bookmarkStart w:id="577" w:name="_Toc993"/>
      <w:r>
        <w:rPr>
          <w:color w:val="auto"/>
          <w:szCs w:val="21"/>
        </w:rPr>
        <w:t>6  施工交底</w:t>
      </w:r>
      <w:bookmarkEnd w:id="576"/>
      <w:bookmarkEnd w:id="577"/>
    </w:p>
    <w:p>
      <w:pPr>
        <w:spacing w:before="120" w:after="120"/>
        <w:ind w:firstLine="840" w:firstLineChars="400"/>
        <w:rPr>
          <w:color w:val="auto"/>
          <w:szCs w:val="21"/>
        </w:rPr>
      </w:pPr>
      <w:r>
        <w:rPr>
          <w:color w:val="auto"/>
          <w:szCs w:val="21"/>
        </w:rPr>
        <w:t>1）通过模型进行多方交互</w:t>
      </w:r>
      <w:r>
        <w:rPr>
          <w:rFonts w:hint="eastAsia"/>
          <w:color w:val="auto"/>
          <w:szCs w:val="21"/>
        </w:rPr>
        <w:t>；</w:t>
      </w:r>
    </w:p>
    <w:p>
      <w:pPr>
        <w:spacing w:before="120" w:after="120"/>
        <w:ind w:firstLine="840" w:firstLineChars="400"/>
        <w:rPr>
          <w:color w:val="auto"/>
          <w:szCs w:val="21"/>
        </w:rPr>
      </w:pPr>
      <w:r>
        <w:rPr>
          <w:color w:val="auto"/>
          <w:szCs w:val="21"/>
        </w:rPr>
        <w:t>2）通过参数化进行数据交底</w:t>
      </w:r>
      <w:r>
        <w:rPr>
          <w:rFonts w:hint="eastAsia"/>
          <w:color w:val="auto"/>
          <w:szCs w:val="21"/>
        </w:rPr>
        <w:t>。</w:t>
      </w:r>
    </w:p>
    <w:p>
      <w:pPr>
        <w:spacing w:before="120" w:after="120"/>
        <w:outlineLvl w:val="4"/>
        <w:rPr>
          <w:color w:val="auto"/>
          <w:szCs w:val="21"/>
        </w:rPr>
      </w:pPr>
      <w:bookmarkStart w:id="578" w:name="_Toc24163"/>
      <w:bookmarkStart w:id="579" w:name="_Toc27195"/>
      <w:r>
        <w:rPr>
          <w:rFonts w:hint="eastAsia"/>
          <w:color w:val="auto"/>
          <w:szCs w:val="21"/>
        </w:rPr>
        <w:t>7规划报批BIM审查</w:t>
      </w:r>
      <w:bookmarkEnd w:id="578"/>
      <w:bookmarkEnd w:id="579"/>
    </w:p>
    <w:p>
      <w:pPr>
        <w:spacing w:before="120" w:after="120"/>
        <w:ind w:firstLine="840" w:firstLineChars="400"/>
        <w:rPr>
          <w:color w:val="auto"/>
          <w:szCs w:val="21"/>
        </w:rPr>
      </w:pPr>
      <w:r>
        <w:rPr>
          <w:color w:val="auto"/>
          <w:szCs w:val="21"/>
        </w:rPr>
        <w:t>1）</w:t>
      </w:r>
      <w:r>
        <w:rPr>
          <w:rFonts w:hint="eastAsia"/>
          <w:color w:val="auto"/>
          <w:szCs w:val="21"/>
        </w:rPr>
        <w:t>规划信息录入；</w:t>
      </w:r>
    </w:p>
    <w:p>
      <w:pPr>
        <w:spacing w:before="120" w:after="120"/>
        <w:ind w:firstLine="840" w:firstLineChars="400"/>
        <w:rPr>
          <w:color w:val="auto"/>
          <w:szCs w:val="21"/>
        </w:rPr>
      </w:pPr>
      <w:r>
        <w:rPr>
          <w:color w:val="auto"/>
          <w:szCs w:val="21"/>
        </w:rPr>
        <w:t>2）</w:t>
      </w:r>
      <w:r>
        <w:rPr>
          <w:rFonts w:hint="eastAsia"/>
          <w:color w:val="auto"/>
          <w:szCs w:val="21"/>
        </w:rPr>
        <w:t>规划信息满足设计方案BIM报批系统对于BIM审查的要求。</w:t>
      </w:r>
    </w:p>
    <w:p>
      <w:pPr>
        <w:spacing w:before="120" w:after="120"/>
        <w:outlineLvl w:val="4"/>
        <w:rPr>
          <w:color w:val="auto"/>
          <w:szCs w:val="21"/>
        </w:rPr>
      </w:pPr>
      <w:bookmarkStart w:id="580" w:name="_Toc1967"/>
      <w:bookmarkStart w:id="581" w:name="_Toc15595"/>
      <w:r>
        <w:rPr>
          <w:color w:val="auto"/>
          <w:szCs w:val="21"/>
        </w:rPr>
        <w:t xml:space="preserve">8  </w:t>
      </w:r>
      <w:r>
        <w:rPr>
          <w:rFonts w:hint="eastAsia"/>
          <w:color w:val="auto"/>
          <w:szCs w:val="21"/>
        </w:rPr>
        <w:t>施工图BIM审查</w:t>
      </w:r>
      <w:bookmarkEnd w:id="580"/>
      <w:bookmarkEnd w:id="581"/>
    </w:p>
    <w:p>
      <w:pPr>
        <w:spacing w:before="120" w:after="120"/>
        <w:ind w:firstLine="840" w:firstLineChars="400"/>
        <w:rPr>
          <w:color w:val="auto"/>
          <w:szCs w:val="21"/>
        </w:rPr>
      </w:pPr>
      <w:r>
        <w:rPr>
          <w:color w:val="auto"/>
          <w:szCs w:val="21"/>
        </w:rPr>
        <w:t>1）</w:t>
      </w:r>
      <w:r>
        <w:rPr>
          <w:rFonts w:hint="eastAsia"/>
          <w:color w:val="auto"/>
          <w:szCs w:val="21"/>
        </w:rPr>
        <w:t>施工图信息录入；</w:t>
      </w:r>
    </w:p>
    <w:p>
      <w:pPr>
        <w:spacing w:before="120" w:after="120"/>
        <w:ind w:firstLine="840" w:firstLineChars="400"/>
        <w:rPr>
          <w:color w:val="auto"/>
          <w:szCs w:val="21"/>
        </w:rPr>
      </w:pPr>
      <w:r>
        <w:rPr>
          <w:color w:val="auto"/>
          <w:szCs w:val="21"/>
        </w:rPr>
        <w:t>2）</w:t>
      </w:r>
      <w:r>
        <w:rPr>
          <w:rFonts w:hint="eastAsia"/>
          <w:color w:val="auto"/>
          <w:szCs w:val="21"/>
        </w:rPr>
        <w:t>施工图信息满足施工图审查平台对于BIM审查的要求。</w:t>
      </w:r>
    </w:p>
    <w:p>
      <w:pPr>
        <w:spacing w:before="120" w:after="120"/>
        <w:outlineLvl w:val="4"/>
        <w:rPr>
          <w:color w:val="auto"/>
          <w:szCs w:val="21"/>
        </w:rPr>
      </w:pPr>
      <w:bookmarkStart w:id="582" w:name="_Toc22513"/>
      <w:bookmarkStart w:id="583" w:name="_Toc25873"/>
      <w:r>
        <w:rPr>
          <w:color w:val="auto"/>
          <w:szCs w:val="21"/>
        </w:rPr>
        <w:t xml:space="preserve">9  </w:t>
      </w:r>
      <w:r>
        <w:rPr>
          <w:rFonts w:hint="eastAsia"/>
          <w:color w:val="auto"/>
          <w:szCs w:val="21"/>
        </w:rPr>
        <w:t>对接CIM平台</w:t>
      </w:r>
      <w:bookmarkEnd w:id="582"/>
      <w:bookmarkEnd w:id="583"/>
    </w:p>
    <w:p>
      <w:pPr>
        <w:spacing w:before="120" w:after="120"/>
        <w:ind w:firstLine="840" w:firstLineChars="400"/>
        <w:rPr>
          <w:color w:val="auto"/>
          <w:szCs w:val="21"/>
        </w:rPr>
      </w:pPr>
      <w:r>
        <w:rPr>
          <w:color w:val="auto"/>
          <w:szCs w:val="21"/>
        </w:rPr>
        <w:t>1）</w:t>
      </w:r>
      <w:r>
        <w:rPr>
          <w:rFonts w:hint="eastAsia"/>
          <w:color w:val="auto"/>
          <w:szCs w:val="21"/>
        </w:rPr>
        <w:t>CIM平台数据传递；</w:t>
      </w:r>
    </w:p>
    <w:p>
      <w:pPr>
        <w:spacing w:before="120" w:after="120"/>
        <w:ind w:firstLine="840" w:firstLineChars="400"/>
        <w:rPr>
          <w:color w:val="auto"/>
        </w:rPr>
      </w:pPr>
      <w:r>
        <w:rPr>
          <w:color w:val="auto"/>
          <w:szCs w:val="21"/>
        </w:rPr>
        <w:t>2）</w:t>
      </w:r>
      <w:r>
        <w:rPr>
          <w:rFonts w:hint="eastAsia"/>
          <w:color w:val="auto"/>
          <w:szCs w:val="21"/>
        </w:rPr>
        <w:t>基于CIM平台的数据管理及应用。</w:t>
      </w:r>
    </w:p>
    <w:p>
      <w:pPr>
        <w:pStyle w:val="587"/>
        <w:numPr>
          <w:ilvl w:val="2"/>
          <w:numId w:val="3"/>
        </w:numPr>
        <w:spacing w:beforeLines="50" w:afterLines="50" w:line="360" w:lineRule="auto"/>
        <w:outlineLvl w:val="3"/>
        <w:rPr>
          <w:rFonts w:ascii="LNUHNF+SimSun" w:hAnsi="LNUHNF+SimSun" w:cs="宋体"/>
          <w:color w:val="auto"/>
          <w:szCs w:val="21"/>
        </w:rPr>
      </w:pPr>
      <w:bookmarkStart w:id="584" w:name="_Toc14250"/>
      <w:bookmarkStart w:id="585" w:name="_Toc2797"/>
      <w:r>
        <w:rPr>
          <w:rFonts w:ascii="LNUHNF+SimSun" w:hAnsi="LNUHNF+SimSun" w:cs="宋体"/>
          <w:color w:val="auto"/>
          <w:szCs w:val="21"/>
        </w:rPr>
        <w:t>实施阶段</w:t>
      </w:r>
      <w:bookmarkEnd w:id="584"/>
      <w:bookmarkEnd w:id="585"/>
    </w:p>
    <w:p>
      <w:pPr>
        <w:spacing w:before="120" w:after="120"/>
        <w:outlineLvl w:val="4"/>
        <w:rPr>
          <w:color w:val="auto"/>
          <w:szCs w:val="21"/>
        </w:rPr>
      </w:pPr>
      <w:bookmarkStart w:id="586" w:name="_Toc11809"/>
      <w:bookmarkStart w:id="587" w:name="_Toc7088"/>
      <w:r>
        <w:rPr>
          <w:color w:val="auto"/>
          <w:szCs w:val="21"/>
        </w:rPr>
        <w:t>1  施工准备阶段</w:t>
      </w:r>
      <w:bookmarkEnd w:id="586"/>
      <w:bookmarkEnd w:id="587"/>
    </w:p>
    <w:p>
      <w:pPr>
        <w:spacing w:before="120" w:after="120"/>
        <w:ind w:firstLine="840" w:firstLineChars="400"/>
        <w:rPr>
          <w:color w:val="auto"/>
          <w:szCs w:val="21"/>
        </w:rPr>
      </w:pPr>
      <w:r>
        <w:rPr>
          <w:color w:val="auto"/>
          <w:szCs w:val="21"/>
        </w:rPr>
        <w:t>1）土建基槽开挖</w:t>
      </w:r>
    </w:p>
    <w:p>
      <w:pPr>
        <w:spacing w:before="120" w:after="120"/>
        <w:ind w:firstLine="1260" w:firstLineChars="600"/>
        <w:rPr>
          <w:color w:val="auto"/>
          <w:szCs w:val="21"/>
        </w:rPr>
      </w:pPr>
      <w:r>
        <w:rPr>
          <w:color w:val="auto"/>
          <w:szCs w:val="21"/>
        </w:rPr>
        <w:t>（1）通过模型进行可视化表达</w:t>
      </w:r>
      <w:r>
        <w:rPr>
          <w:rFonts w:hint="eastAsia"/>
          <w:color w:val="auto"/>
          <w:szCs w:val="21"/>
        </w:rPr>
        <w:t>；</w:t>
      </w:r>
    </w:p>
    <w:p>
      <w:pPr>
        <w:spacing w:before="120" w:after="120"/>
        <w:ind w:firstLine="1260" w:firstLineChars="600"/>
        <w:rPr>
          <w:color w:val="auto"/>
          <w:szCs w:val="21"/>
        </w:rPr>
      </w:pPr>
      <w:r>
        <w:rPr>
          <w:color w:val="auto"/>
          <w:szCs w:val="21"/>
        </w:rPr>
        <w:t>（2）通过参数化进行土方量统计。</w:t>
      </w:r>
    </w:p>
    <w:p>
      <w:pPr>
        <w:spacing w:before="120" w:after="120"/>
        <w:ind w:firstLine="840" w:firstLineChars="400"/>
        <w:rPr>
          <w:color w:val="auto"/>
          <w:szCs w:val="21"/>
        </w:rPr>
      </w:pPr>
      <w:r>
        <w:rPr>
          <w:color w:val="auto"/>
          <w:szCs w:val="21"/>
        </w:rPr>
        <w:t>2）结构洞口预留预埋</w:t>
      </w:r>
    </w:p>
    <w:p>
      <w:pPr>
        <w:spacing w:before="120" w:after="120"/>
        <w:ind w:firstLine="1260" w:firstLineChars="600"/>
        <w:rPr>
          <w:color w:val="auto"/>
          <w:szCs w:val="21"/>
        </w:rPr>
      </w:pPr>
      <w:r>
        <w:rPr>
          <w:color w:val="auto"/>
          <w:szCs w:val="21"/>
        </w:rPr>
        <w:t>（1）通过模型实现多方协同</w:t>
      </w:r>
      <w:r>
        <w:rPr>
          <w:rFonts w:hint="eastAsia"/>
          <w:color w:val="auto"/>
          <w:szCs w:val="21"/>
        </w:rPr>
        <w:t>；</w:t>
      </w:r>
    </w:p>
    <w:p>
      <w:pPr>
        <w:spacing w:before="120" w:after="120"/>
        <w:ind w:firstLine="1260" w:firstLineChars="600"/>
        <w:rPr>
          <w:color w:val="auto"/>
          <w:szCs w:val="21"/>
        </w:rPr>
      </w:pPr>
      <w:r>
        <w:rPr>
          <w:color w:val="auto"/>
          <w:szCs w:val="21"/>
        </w:rPr>
        <w:t>（2）通过参数化精确洞口预留预埋。</w:t>
      </w:r>
    </w:p>
    <w:p>
      <w:pPr>
        <w:spacing w:before="120" w:after="120"/>
        <w:ind w:firstLine="840" w:firstLineChars="400"/>
        <w:rPr>
          <w:color w:val="auto"/>
          <w:szCs w:val="21"/>
        </w:rPr>
      </w:pPr>
      <w:r>
        <w:rPr>
          <w:color w:val="auto"/>
          <w:szCs w:val="21"/>
        </w:rPr>
        <w:t>3）机电管线碰撞分析</w:t>
      </w:r>
    </w:p>
    <w:p>
      <w:pPr>
        <w:spacing w:before="120" w:after="120"/>
        <w:ind w:firstLine="1260" w:firstLineChars="600"/>
        <w:rPr>
          <w:color w:val="auto"/>
          <w:szCs w:val="21"/>
        </w:rPr>
      </w:pPr>
      <w:r>
        <w:rPr>
          <w:color w:val="auto"/>
          <w:szCs w:val="21"/>
        </w:rPr>
        <w:t>（1）通过参数化进行碰撞检查；</w:t>
      </w:r>
    </w:p>
    <w:p>
      <w:pPr>
        <w:spacing w:before="120" w:after="120"/>
        <w:ind w:firstLine="1260" w:firstLineChars="600"/>
        <w:rPr>
          <w:color w:val="auto"/>
          <w:szCs w:val="21"/>
        </w:rPr>
      </w:pPr>
      <w:r>
        <w:rPr>
          <w:color w:val="auto"/>
          <w:szCs w:val="21"/>
        </w:rPr>
        <w:t>（2）通过模型可视化表达碰撞结果；</w:t>
      </w:r>
    </w:p>
    <w:p>
      <w:pPr>
        <w:spacing w:before="120" w:after="120"/>
        <w:ind w:firstLine="1260" w:firstLineChars="600"/>
        <w:rPr>
          <w:color w:val="auto"/>
          <w:szCs w:val="21"/>
        </w:rPr>
      </w:pPr>
      <w:r>
        <w:rPr>
          <w:color w:val="auto"/>
          <w:szCs w:val="21"/>
        </w:rPr>
        <w:t>（3）通过模型进行统计分析。</w:t>
      </w:r>
    </w:p>
    <w:p>
      <w:pPr>
        <w:spacing w:before="120" w:after="120"/>
        <w:ind w:firstLine="840" w:firstLineChars="400"/>
        <w:rPr>
          <w:color w:val="auto"/>
          <w:szCs w:val="21"/>
        </w:rPr>
      </w:pPr>
      <w:r>
        <w:rPr>
          <w:color w:val="auto"/>
          <w:szCs w:val="21"/>
        </w:rPr>
        <w:t>4）机电管线路由优化</w:t>
      </w:r>
    </w:p>
    <w:p>
      <w:pPr>
        <w:spacing w:before="120" w:after="120"/>
        <w:ind w:firstLine="1260" w:firstLineChars="600"/>
        <w:rPr>
          <w:color w:val="auto"/>
          <w:szCs w:val="21"/>
        </w:rPr>
      </w:pPr>
      <w:r>
        <w:rPr>
          <w:color w:val="auto"/>
          <w:szCs w:val="21"/>
        </w:rPr>
        <w:t>（1）通过参数化进行路由路径分析</w:t>
      </w:r>
      <w:r>
        <w:rPr>
          <w:rFonts w:hint="eastAsia"/>
          <w:color w:val="auto"/>
          <w:szCs w:val="21"/>
        </w:rPr>
        <w:t>；</w:t>
      </w:r>
    </w:p>
    <w:p>
      <w:pPr>
        <w:spacing w:before="120" w:after="120"/>
        <w:ind w:firstLine="1260" w:firstLineChars="600"/>
        <w:rPr>
          <w:color w:val="auto"/>
          <w:szCs w:val="21"/>
        </w:rPr>
      </w:pPr>
      <w:r>
        <w:rPr>
          <w:color w:val="auto"/>
          <w:szCs w:val="21"/>
        </w:rPr>
        <w:t>（2）通过模型可视化表达管线优化结果。</w:t>
      </w:r>
    </w:p>
    <w:p>
      <w:pPr>
        <w:spacing w:before="120" w:after="120"/>
        <w:ind w:firstLine="840" w:firstLineChars="400"/>
        <w:rPr>
          <w:color w:val="auto"/>
          <w:szCs w:val="21"/>
        </w:rPr>
      </w:pPr>
      <w:r>
        <w:rPr>
          <w:color w:val="auto"/>
          <w:szCs w:val="21"/>
        </w:rPr>
        <w:t>5）设备安装模拟</w:t>
      </w:r>
    </w:p>
    <w:p>
      <w:pPr>
        <w:spacing w:before="120" w:after="120"/>
        <w:ind w:firstLine="1260" w:firstLineChars="600"/>
        <w:rPr>
          <w:color w:val="auto"/>
          <w:szCs w:val="21"/>
        </w:rPr>
      </w:pPr>
      <w:r>
        <w:rPr>
          <w:color w:val="auto"/>
          <w:szCs w:val="21"/>
        </w:rPr>
        <w:t>（1）通过参数化模拟设备安装</w:t>
      </w:r>
      <w:r>
        <w:rPr>
          <w:rFonts w:hint="eastAsia"/>
          <w:color w:val="auto"/>
          <w:szCs w:val="21"/>
        </w:rPr>
        <w:t>；</w:t>
      </w:r>
    </w:p>
    <w:p>
      <w:pPr>
        <w:spacing w:before="120" w:after="120"/>
        <w:ind w:firstLine="1260" w:firstLineChars="600"/>
        <w:rPr>
          <w:color w:val="auto"/>
          <w:szCs w:val="21"/>
        </w:rPr>
      </w:pPr>
      <w:r>
        <w:rPr>
          <w:color w:val="auto"/>
          <w:szCs w:val="21"/>
        </w:rPr>
        <w:t>（2）通过模型可视化指导设备安装施工。</w:t>
      </w:r>
    </w:p>
    <w:p>
      <w:pPr>
        <w:spacing w:before="120" w:after="120"/>
        <w:ind w:firstLine="840" w:firstLineChars="400"/>
        <w:rPr>
          <w:color w:val="auto"/>
          <w:szCs w:val="21"/>
        </w:rPr>
      </w:pPr>
      <w:r>
        <w:rPr>
          <w:rFonts w:hint="eastAsia"/>
          <w:color w:val="auto"/>
          <w:szCs w:val="21"/>
        </w:rPr>
        <w:t>6</w:t>
      </w:r>
      <w:r>
        <w:rPr>
          <w:color w:val="auto"/>
          <w:szCs w:val="21"/>
        </w:rPr>
        <w:t>）</w:t>
      </w:r>
      <w:r>
        <w:rPr>
          <w:rFonts w:hint="eastAsia"/>
          <w:color w:val="auto"/>
          <w:szCs w:val="21"/>
        </w:rPr>
        <w:t>施工现场BIM总平面布置模拟</w:t>
      </w:r>
    </w:p>
    <w:p>
      <w:pPr>
        <w:spacing w:before="120" w:after="120"/>
        <w:ind w:firstLine="1260" w:firstLineChars="600"/>
        <w:rPr>
          <w:color w:val="auto"/>
          <w:szCs w:val="21"/>
        </w:rPr>
      </w:pPr>
      <w:r>
        <w:rPr>
          <w:color w:val="auto"/>
          <w:szCs w:val="21"/>
        </w:rPr>
        <w:t>（1）通过模型</w:t>
      </w:r>
      <w:r>
        <w:rPr>
          <w:rFonts w:hint="eastAsia"/>
          <w:color w:val="auto"/>
          <w:szCs w:val="21"/>
        </w:rPr>
        <w:t>合理规划施工现场总平面布置；</w:t>
      </w:r>
    </w:p>
    <w:p>
      <w:pPr>
        <w:spacing w:before="120" w:after="120"/>
        <w:ind w:firstLine="1260" w:firstLineChars="600"/>
        <w:rPr>
          <w:color w:val="auto"/>
        </w:rPr>
      </w:pPr>
      <w:r>
        <w:rPr>
          <w:color w:val="auto"/>
          <w:szCs w:val="21"/>
        </w:rPr>
        <w:t>（2）</w:t>
      </w:r>
      <w:r>
        <w:rPr>
          <w:rFonts w:hint="eastAsia"/>
          <w:color w:val="auto"/>
          <w:szCs w:val="21"/>
        </w:rPr>
        <w:t>利用总平模型，优化现场临时建筑、车辆、设备及人员之间的空间关系</w:t>
      </w:r>
      <w:r>
        <w:rPr>
          <w:color w:val="auto"/>
          <w:szCs w:val="21"/>
        </w:rPr>
        <w:t>。</w:t>
      </w:r>
    </w:p>
    <w:p>
      <w:pPr>
        <w:spacing w:before="120" w:after="120"/>
        <w:outlineLvl w:val="4"/>
        <w:rPr>
          <w:color w:val="auto"/>
          <w:szCs w:val="21"/>
        </w:rPr>
      </w:pPr>
      <w:bookmarkStart w:id="588" w:name="_Toc25948"/>
      <w:bookmarkStart w:id="589" w:name="_Toc22977"/>
      <w:r>
        <w:rPr>
          <w:color w:val="auto"/>
          <w:szCs w:val="21"/>
        </w:rPr>
        <w:t>2  施工阶段</w:t>
      </w:r>
      <w:bookmarkEnd w:id="588"/>
      <w:bookmarkEnd w:id="589"/>
    </w:p>
    <w:p>
      <w:pPr>
        <w:spacing w:before="120" w:after="120"/>
        <w:ind w:firstLine="840" w:firstLineChars="400"/>
        <w:rPr>
          <w:color w:val="auto"/>
          <w:szCs w:val="21"/>
        </w:rPr>
      </w:pPr>
      <w:r>
        <w:rPr>
          <w:color w:val="auto"/>
          <w:szCs w:val="21"/>
        </w:rPr>
        <w:t>1）施工进度管理</w:t>
      </w:r>
    </w:p>
    <w:p>
      <w:pPr>
        <w:spacing w:before="120" w:after="120"/>
        <w:ind w:firstLine="1260" w:firstLineChars="600"/>
        <w:rPr>
          <w:color w:val="auto"/>
          <w:szCs w:val="21"/>
        </w:rPr>
      </w:pPr>
      <w:r>
        <w:rPr>
          <w:color w:val="auto"/>
          <w:szCs w:val="21"/>
        </w:rPr>
        <w:t>（1）通过参数化关联施工进度数据；</w:t>
      </w:r>
    </w:p>
    <w:p>
      <w:pPr>
        <w:spacing w:before="120" w:after="120"/>
        <w:ind w:firstLine="1260" w:firstLineChars="600"/>
        <w:rPr>
          <w:color w:val="auto"/>
          <w:szCs w:val="21"/>
        </w:rPr>
      </w:pPr>
      <w:r>
        <w:rPr>
          <w:color w:val="auto"/>
          <w:szCs w:val="21"/>
        </w:rPr>
        <w:t>（2）通过模型准确表达施工进度状况；</w:t>
      </w:r>
    </w:p>
    <w:p>
      <w:pPr>
        <w:spacing w:before="120" w:after="120"/>
        <w:ind w:firstLine="1260" w:firstLineChars="600"/>
        <w:rPr>
          <w:color w:val="auto"/>
          <w:szCs w:val="21"/>
        </w:rPr>
      </w:pPr>
      <w:r>
        <w:rPr>
          <w:color w:val="auto"/>
          <w:szCs w:val="21"/>
        </w:rPr>
        <w:t>（3）建立施工进度自动预警系统。</w:t>
      </w:r>
    </w:p>
    <w:p>
      <w:pPr>
        <w:spacing w:before="120" w:after="120"/>
        <w:ind w:firstLine="840" w:firstLineChars="400"/>
        <w:rPr>
          <w:color w:val="auto"/>
          <w:szCs w:val="21"/>
        </w:rPr>
      </w:pPr>
      <w:r>
        <w:rPr>
          <w:color w:val="auto"/>
          <w:szCs w:val="21"/>
        </w:rPr>
        <w:t>2）施工变更管理</w:t>
      </w:r>
    </w:p>
    <w:p>
      <w:pPr>
        <w:spacing w:before="120" w:after="120"/>
        <w:ind w:firstLine="1260" w:firstLineChars="600"/>
        <w:rPr>
          <w:color w:val="auto"/>
          <w:szCs w:val="21"/>
        </w:rPr>
      </w:pPr>
      <w:r>
        <w:rPr>
          <w:color w:val="auto"/>
          <w:szCs w:val="21"/>
        </w:rPr>
        <w:t>（1）通过模型实现变更内容的直观表达；</w:t>
      </w:r>
    </w:p>
    <w:p>
      <w:pPr>
        <w:spacing w:before="120" w:after="120"/>
        <w:ind w:firstLine="1260" w:firstLineChars="600"/>
        <w:rPr>
          <w:color w:val="auto"/>
          <w:szCs w:val="21"/>
        </w:rPr>
      </w:pPr>
      <w:r>
        <w:rPr>
          <w:color w:val="auto"/>
          <w:szCs w:val="21"/>
        </w:rPr>
        <w:t>（2）通过参数化实现变更的数据统计；</w:t>
      </w:r>
    </w:p>
    <w:p>
      <w:pPr>
        <w:spacing w:before="120" w:after="120"/>
        <w:ind w:firstLine="1260" w:firstLineChars="600"/>
        <w:rPr>
          <w:color w:val="auto"/>
          <w:szCs w:val="21"/>
        </w:rPr>
      </w:pPr>
      <w:r>
        <w:rPr>
          <w:color w:val="auto"/>
          <w:szCs w:val="21"/>
        </w:rPr>
        <w:t>（3）强化施工变更的规范化管理。</w:t>
      </w:r>
    </w:p>
    <w:p>
      <w:pPr>
        <w:spacing w:before="120" w:after="120"/>
        <w:ind w:firstLine="840" w:firstLineChars="400"/>
        <w:rPr>
          <w:color w:val="auto"/>
          <w:szCs w:val="21"/>
        </w:rPr>
      </w:pPr>
      <w:r>
        <w:rPr>
          <w:color w:val="auto"/>
          <w:szCs w:val="21"/>
        </w:rPr>
        <w:t>3）施工工艺指导</w:t>
      </w:r>
    </w:p>
    <w:p>
      <w:pPr>
        <w:spacing w:before="120" w:after="120"/>
        <w:ind w:firstLine="1260" w:firstLineChars="600"/>
        <w:rPr>
          <w:color w:val="auto"/>
          <w:szCs w:val="21"/>
        </w:rPr>
      </w:pPr>
      <w:r>
        <w:rPr>
          <w:color w:val="auto"/>
          <w:szCs w:val="21"/>
        </w:rPr>
        <w:t>（1）通过参数化实现精确定位；</w:t>
      </w:r>
    </w:p>
    <w:p>
      <w:pPr>
        <w:spacing w:before="120" w:after="120"/>
        <w:ind w:firstLine="1260" w:firstLineChars="600"/>
        <w:rPr>
          <w:color w:val="auto"/>
          <w:szCs w:val="21"/>
        </w:rPr>
      </w:pPr>
      <w:r>
        <w:rPr>
          <w:color w:val="auto"/>
          <w:szCs w:val="21"/>
        </w:rPr>
        <w:t>（2）通过模拟进行施工指导；</w:t>
      </w:r>
    </w:p>
    <w:p>
      <w:pPr>
        <w:spacing w:before="120" w:after="120"/>
        <w:ind w:firstLine="1260" w:firstLineChars="600"/>
        <w:rPr>
          <w:color w:val="auto"/>
          <w:szCs w:val="21"/>
        </w:rPr>
      </w:pPr>
      <w:r>
        <w:rPr>
          <w:color w:val="auto"/>
          <w:szCs w:val="21"/>
        </w:rPr>
        <w:t>（3）提高施工效率与品质。</w:t>
      </w:r>
    </w:p>
    <w:p>
      <w:pPr>
        <w:spacing w:before="120" w:after="120"/>
        <w:ind w:firstLine="840" w:firstLineChars="400"/>
        <w:rPr>
          <w:color w:val="auto"/>
          <w:szCs w:val="21"/>
        </w:rPr>
      </w:pPr>
      <w:r>
        <w:rPr>
          <w:color w:val="auto"/>
          <w:szCs w:val="21"/>
        </w:rPr>
        <w:t>4）施工安全管理</w:t>
      </w:r>
    </w:p>
    <w:p>
      <w:pPr>
        <w:spacing w:before="120" w:after="120"/>
        <w:ind w:firstLine="1260" w:firstLineChars="600"/>
        <w:rPr>
          <w:color w:val="auto"/>
          <w:szCs w:val="21"/>
        </w:rPr>
      </w:pPr>
      <w:r>
        <w:rPr>
          <w:color w:val="auto"/>
          <w:szCs w:val="21"/>
        </w:rPr>
        <w:t>（1）通过参数化进行施工现场安全模拟；</w:t>
      </w:r>
    </w:p>
    <w:p>
      <w:pPr>
        <w:spacing w:before="120" w:after="120"/>
        <w:ind w:firstLine="1260" w:firstLineChars="600"/>
        <w:rPr>
          <w:color w:val="auto"/>
          <w:szCs w:val="21"/>
        </w:rPr>
      </w:pPr>
      <w:r>
        <w:rPr>
          <w:color w:val="auto"/>
          <w:szCs w:val="21"/>
        </w:rPr>
        <w:t>（2）通过模拟结果的可视化进行现场安全指导；</w:t>
      </w:r>
    </w:p>
    <w:p>
      <w:pPr>
        <w:spacing w:before="120" w:after="120"/>
        <w:ind w:firstLine="1260" w:firstLineChars="600"/>
        <w:rPr>
          <w:color w:val="auto"/>
          <w:szCs w:val="21"/>
        </w:rPr>
      </w:pPr>
      <w:r>
        <w:rPr>
          <w:color w:val="auto"/>
          <w:szCs w:val="21"/>
        </w:rPr>
        <w:t>（3）降低施工安全风险，提高安全保障。</w:t>
      </w:r>
    </w:p>
    <w:p>
      <w:pPr>
        <w:spacing w:before="120" w:after="120"/>
        <w:ind w:firstLine="840" w:firstLineChars="400"/>
        <w:rPr>
          <w:color w:val="auto"/>
          <w:szCs w:val="21"/>
        </w:rPr>
      </w:pPr>
      <w:r>
        <w:rPr>
          <w:color w:val="auto"/>
          <w:szCs w:val="21"/>
        </w:rPr>
        <w:t>5）施工质量管理</w:t>
      </w:r>
    </w:p>
    <w:p>
      <w:pPr>
        <w:spacing w:before="120" w:after="120"/>
        <w:ind w:firstLine="1260" w:firstLineChars="600"/>
        <w:rPr>
          <w:color w:val="auto"/>
          <w:szCs w:val="21"/>
        </w:rPr>
      </w:pPr>
      <w:r>
        <w:rPr>
          <w:color w:val="auto"/>
          <w:szCs w:val="21"/>
        </w:rPr>
        <w:t>（1）通过参数化实现质量精确管理；</w:t>
      </w:r>
    </w:p>
    <w:p>
      <w:pPr>
        <w:spacing w:before="120" w:after="120"/>
        <w:ind w:firstLine="1260" w:firstLineChars="600"/>
        <w:rPr>
          <w:color w:val="auto"/>
          <w:szCs w:val="21"/>
        </w:rPr>
      </w:pPr>
      <w:r>
        <w:rPr>
          <w:color w:val="auto"/>
          <w:szCs w:val="21"/>
        </w:rPr>
        <w:t>（2）通过可视化确定空间部位；</w:t>
      </w:r>
    </w:p>
    <w:p>
      <w:pPr>
        <w:spacing w:before="120" w:after="120"/>
        <w:ind w:firstLine="1260" w:firstLineChars="600"/>
        <w:rPr>
          <w:color w:val="auto"/>
          <w:szCs w:val="21"/>
        </w:rPr>
      </w:pPr>
      <w:r>
        <w:rPr>
          <w:color w:val="auto"/>
          <w:szCs w:val="21"/>
        </w:rPr>
        <w:t>（3）提高施工品质，建立优秀供应商体系。</w:t>
      </w:r>
    </w:p>
    <w:p>
      <w:pPr>
        <w:spacing w:before="120" w:after="120"/>
        <w:ind w:firstLine="840" w:firstLineChars="400"/>
        <w:rPr>
          <w:color w:val="auto"/>
          <w:szCs w:val="21"/>
        </w:rPr>
      </w:pPr>
      <w:r>
        <w:rPr>
          <w:rFonts w:hint="eastAsia"/>
          <w:color w:val="auto"/>
          <w:szCs w:val="21"/>
        </w:rPr>
        <w:t>6</w:t>
      </w:r>
      <w:r>
        <w:rPr>
          <w:color w:val="auto"/>
          <w:szCs w:val="21"/>
        </w:rPr>
        <w:t>）施工</w:t>
      </w:r>
      <w:r>
        <w:rPr>
          <w:rFonts w:hint="eastAsia"/>
          <w:color w:val="auto"/>
          <w:szCs w:val="21"/>
        </w:rPr>
        <w:t>成本</w:t>
      </w:r>
      <w:r>
        <w:rPr>
          <w:color w:val="auto"/>
          <w:szCs w:val="21"/>
        </w:rPr>
        <w:t>管理</w:t>
      </w:r>
    </w:p>
    <w:p>
      <w:pPr>
        <w:spacing w:before="120" w:after="120"/>
        <w:ind w:firstLine="1260" w:firstLineChars="600"/>
        <w:rPr>
          <w:color w:val="auto"/>
          <w:szCs w:val="21"/>
        </w:rPr>
      </w:pPr>
      <w:r>
        <w:rPr>
          <w:color w:val="auto"/>
          <w:szCs w:val="21"/>
        </w:rPr>
        <w:t>（1）</w:t>
      </w:r>
      <w:r>
        <w:rPr>
          <w:rFonts w:hint="eastAsia"/>
          <w:color w:val="auto"/>
          <w:szCs w:val="21"/>
        </w:rPr>
        <w:t>基于施工模型实现一模多量，高效计量工程量</w:t>
      </w:r>
      <w:r>
        <w:rPr>
          <w:color w:val="auto"/>
          <w:szCs w:val="21"/>
        </w:rPr>
        <w:t>；</w:t>
      </w:r>
    </w:p>
    <w:p>
      <w:pPr>
        <w:spacing w:before="120" w:after="120"/>
        <w:ind w:firstLine="1260" w:firstLineChars="600"/>
        <w:rPr>
          <w:color w:val="auto"/>
          <w:szCs w:val="21"/>
        </w:rPr>
      </w:pPr>
      <w:r>
        <w:rPr>
          <w:color w:val="auto"/>
          <w:szCs w:val="21"/>
        </w:rPr>
        <w:t>（2）</w:t>
      </w:r>
      <w:r>
        <w:rPr>
          <w:rFonts w:hint="eastAsia"/>
          <w:color w:val="auto"/>
          <w:szCs w:val="21"/>
        </w:rPr>
        <w:t>设计、施工阶段多量对比，多维度控制项目造价</w:t>
      </w:r>
      <w:r>
        <w:rPr>
          <w:color w:val="auto"/>
          <w:szCs w:val="21"/>
        </w:rPr>
        <w:t>；</w:t>
      </w:r>
    </w:p>
    <w:p>
      <w:pPr>
        <w:spacing w:before="120" w:after="120"/>
        <w:ind w:firstLine="1260" w:firstLineChars="600"/>
        <w:rPr>
          <w:color w:val="auto"/>
          <w:szCs w:val="21"/>
        </w:rPr>
      </w:pPr>
      <w:r>
        <w:rPr>
          <w:color w:val="auto"/>
          <w:szCs w:val="21"/>
        </w:rPr>
        <w:t>（3）</w:t>
      </w:r>
      <w:r>
        <w:rPr>
          <w:rFonts w:hint="eastAsia"/>
          <w:color w:val="auto"/>
          <w:szCs w:val="21"/>
        </w:rPr>
        <w:t>变更工程量跟踪统计，动态核算项目成本</w:t>
      </w:r>
      <w:r>
        <w:rPr>
          <w:color w:val="auto"/>
          <w:szCs w:val="21"/>
        </w:rPr>
        <w:t>。</w:t>
      </w:r>
    </w:p>
    <w:p>
      <w:pPr>
        <w:spacing w:before="120" w:after="120"/>
        <w:ind w:firstLine="840" w:firstLineChars="400"/>
        <w:rPr>
          <w:color w:val="auto"/>
          <w:szCs w:val="21"/>
        </w:rPr>
      </w:pPr>
      <w:r>
        <w:rPr>
          <w:rFonts w:hint="eastAsia"/>
          <w:color w:val="auto"/>
          <w:szCs w:val="21"/>
        </w:rPr>
        <w:t>7</w:t>
      </w:r>
      <w:r>
        <w:rPr>
          <w:color w:val="auto"/>
          <w:szCs w:val="21"/>
        </w:rPr>
        <w:t xml:space="preserve">）施工交底BIM </w:t>
      </w:r>
    </w:p>
    <w:p>
      <w:pPr>
        <w:spacing w:before="120" w:after="120"/>
        <w:ind w:firstLine="1260" w:firstLineChars="600"/>
        <w:rPr>
          <w:color w:val="auto"/>
          <w:szCs w:val="21"/>
        </w:rPr>
      </w:pPr>
      <w:r>
        <w:rPr>
          <w:color w:val="auto"/>
          <w:szCs w:val="21"/>
        </w:rPr>
        <w:t>（1）通过模型进行多方交互</w:t>
      </w:r>
      <w:r>
        <w:rPr>
          <w:rFonts w:hint="eastAsia"/>
          <w:color w:val="auto"/>
          <w:szCs w:val="21"/>
        </w:rPr>
        <w:t>；</w:t>
      </w:r>
    </w:p>
    <w:p>
      <w:pPr>
        <w:spacing w:before="120" w:after="120"/>
        <w:ind w:firstLine="1260" w:firstLineChars="600"/>
        <w:rPr>
          <w:color w:val="auto"/>
        </w:rPr>
      </w:pPr>
      <w:r>
        <w:rPr>
          <w:color w:val="auto"/>
          <w:szCs w:val="21"/>
        </w:rPr>
        <w:t>（2）通过参数化进行数据交底。</w:t>
      </w:r>
    </w:p>
    <w:p>
      <w:pPr>
        <w:spacing w:before="120" w:after="120"/>
        <w:outlineLvl w:val="4"/>
        <w:rPr>
          <w:color w:val="auto"/>
          <w:szCs w:val="21"/>
        </w:rPr>
      </w:pPr>
      <w:bookmarkStart w:id="590" w:name="_Toc31259"/>
      <w:bookmarkStart w:id="591" w:name="_Toc19342"/>
      <w:r>
        <w:rPr>
          <w:color w:val="auto"/>
          <w:szCs w:val="21"/>
        </w:rPr>
        <w:t>3  竣工阶段</w:t>
      </w:r>
      <w:bookmarkEnd w:id="590"/>
      <w:bookmarkEnd w:id="591"/>
    </w:p>
    <w:p>
      <w:pPr>
        <w:spacing w:before="120" w:after="120"/>
        <w:ind w:firstLine="840" w:firstLineChars="400"/>
        <w:rPr>
          <w:color w:val="auto"/>
          <w:szCs w:val="21"/>
        </w:rPr>
      </w:pPr>
      <w:r>
        <w:rPr>
          <w:color w:val="auto"/>
          <w:szCs w:val="21"/>
        </w:rPr>
        <w:t>1）阶段竣工交付</w:t>
      </w:r>
    </w:p>
    <w:p>
      <w:pPr>
        <w:spacing w:before="120" w:after="120"/>
        <w:ind w:firstLine="1260" w:firstLineChars="600"/>
        <w:rPr>
          <w:color w:val="auto"/>
          <w:szCs w:val="21"/>
        </w:rPr>
      </w:pPr>
      <w:r>
        <w:rPr>
          <w:color w:val="auto"/>
          <w:szCs w:val="21"/>
        </w:rPr>
        <w:t>（1）可视化阶段竣工成果交付；</w:t>
      </w:r>
    </w:p>
    <w:p>
      <w:pPr>
        <w:spacing w:before="120" w:after="120"/>
        <w:ind w:firstLine="1260" w:firstLineChars="600"/>
        <w:rPr>
          <w:color w:val="auto"/>
          <w:szCs w:val="21"/>
        </w:rPr>
      </w:pPr>
      <w:r>
        <w:rPr>
          <w:color w:val="auto"/>
          <w:szCs w:val="21"/>
        </w:rPr>
        <w:t>（2）通过参数化实现交付成果比对；</w:t>
      </w:r>
    </w:p>
    <w:p>
      <w:pPr>
        <w:spacing w:before="120" w:after="120"/>
        <w:ind w:firstLine="1260" w:firstLineChars="600"/>
        <w:rPr>
          <w:color w:val="auto"/>
          <w:szCs w:val="21"/>
        </w:rPr>
      </w:pPr>
      <w:r>
        <w:rPr>
          <w:color w:val="auto"/>
          <w:szCs w:val="21"/>
        </w:rPr>
        <w:t>（3）完成阶段性交付成果，为最终综合竣工交付做好准备。</w:t>
      </w:r>
    </w:p>
    <w:p>
      <w:pPr>
        <w:spacing w:before="120" w:after="120"/>
        <w:ind w:firstLine="840" w:firstLineChars="400"/>
        <w:rPr>
          <w:color w:val="auto"/>
          <w:szCs w:val="21"/>
        </w:rPr>
      </w:pPr>
      <w:r>
        <w:rPr>
          <w:color w:val="auto"/>
          <w:szCs w:val="21"/>
        </w:rPr>
        <w:t>2）综合竣工交付</w:t>
      </w:r>
    </w:p>
    <w:p>
      <w:pPr>
        <w:spacing w:before="120" w:after="120"/>
        <w:ind w:firstLine="1260" w:firstLineChars="600"/>
        <w:rPr>
          <w:color w:val="auto"/>
          <w:szCs w:val="21"/>
        </w:rPr>
      </w:pPr>
      <w:r>
        <w:rPr>
          <w:color w:val="auto"/>
          <w:szCs w:val="21"/>
        </w:rPr>
        <w:t>（1）可视化综合竣工成果交付；</w:t>
      </w:r>
    </w:p>
    <w:p>
      <w:pPr>
        <w:spacing w:before="120" w:after="120"/>
        <w:ind w:firstLine="1260" w:firstLineChars="600"/>
        <w:rPr>
          <w:color w:val="auto"/>
          <w:szCs w:val="21"/>
        </w:rPr>
      </w:pPr>
      <w:r>
        <w:rPr>
          <w:color w:val="auto"/>
          <w:szCs w:val="21"/>
        </w:rPr>
        <w:t>（2）通过参数化实现交付成果比对；</w:t>
      </w:r>
    </w:p>
    <w:p>
      <w:pPr>
        <w:spacing w:before="120" w:after="120"/>
        <w:ind w:firstLine="840" w:firstLineChars="400"/>
        <w:rPr>
          <w:color w:val="auto"/>
          <w:szCs w:val="21"/>
        </w:rPr>
      </w:pPr>
      <w:r>
        <w:rPr>
          <w:color w:val="auto"/>
          <w:szCs w:val="21"/>
        </w:rPr>
        <w:t>3）强化综合竣工交付水平，为下阶段运维奠定数据基础。</w:t>
      </w:r>
    </w:p>
    <w:p>
      <w:pPr>
        <w:spacing w:before="120" w:after="120"/>
        <w:ind w:firstLine="840" w:firstLineChars="400"/>
        <w:rPr>
          <w:color w:val="auto"/>
          <w:szCs w:val="21"/>
        </w:rPr>
      </w:pPr>
      <w:r>
        <w:rPr>
          <w:rFonts w:hint="eastAsia"/>
          <w:color w:val="auto"/>
          <w:szCs w:val="21"/>
        </w:rPr>
        <w:t>4</w:t>
      </w:r>
      <w:r>
        <w:rPr>
          <w:color w:val="auto"/>
          <w:szCs w:val="21"/>
        </w:rPr>
        <w:t>）</w:t>
      </w:r>
      <w:r>
        <w:rPr>
          <w:rFonts w:hint="eastAsia"/>
          <w:color w:val="auto"/>
          <w:szCs w:val="21"/>
        </w:rPr>
        <w:t>三维数字化竣工验收交付</w:t>
      </w:r>
    </w:p>
    <w:p>
      <w:pPr>
        <w:spacing w:before="120" w:after="120"/>
        <w:ind w:firstLine="1260" w:firstLineChars="600"/>
        <w:rPr>
          <w:color w:val="auto"/>
          <w:szCs w:val="21"/>
        </w:rPr>
      </w:pPr>
      <w:r>
        <w:rPr>
          <w:color w:val="auto"/>
          <w:szCs w:val="21"/>
        </w:rPr>
        <w:t>（1）</w:t>
      </w:r>
      <w:r>
        <w:rPr>
          <w:rFonts w:hint="eastAsia"/>
          <w:color w:val="auto"/>
          <w:szCs w:val="21"/>
        </w:rPr>
        <w:t>竣工验收备案信息录入；</w:t>
      </w:r>
    </w:p>
    <w:p>
      <w:pPr>
        <w:spacing w:before="120" w:after="120"/>
        <w:ind w:firstLine="1260" w:firstLineChars="600"/>
        <w:rPr>
          <w:color w:val="auto"/>
        </w:rPr>
      </w:pPr>
      <w:r>
        <w:rPr>
          <w:color w:val="auto"/>
          <w:szCs w:val="21"/>
        </w:rPr>
        <w:t>（2）</w:t>
      </w:r>
      <w:r>
        <w:rPr>
          <w:rFonts w:hint="eastAsia"/>
          <w:color w:val="auto"/>
          <w:szCs w:val="21"/>
        </w:rPr>
        <w:t>竣工验收备案信息满足竣工验收管理系统的管理要求。</w:t>
      </w:r>
    </w:p>
    <w:p>
      <w:pPr>
        <w:pStyle w:val="587"/>
        <w:numPr>
          <w:ilvl w:val="2"/>
          <w:numId w:val="3"/>
        </w:numPr>
        <w:spacing w:beforeLines="50" w:afterLines="50" w:line="360" w:lineRule="auto"/>
        <w:outlineLvl w:val="3"/>
        <w:rPr>
          <w:rFonts w:ascii="LNUHNF+SimSun" w:hAnsi="LNUHNF+SimSun" w:cs="宋体"/>
          <w:color w:val="auto"/>
          <w:szCs w:val="21"/>
        </w:rPr>
      </w:pPr>
      <w:bookmarkStart w:id="592" w:name="_Toc8713"/>
      <w:bookmarkStart w:id="593" w:name="_Toc18057"/>
      <w:r>
        <w:rPr>
          <w:rFonts w:ascii="LNUHNF+SimSun" w:hAnsi="LNUHNF+SimSun" w:cs="宋体"/>
          <w:color w:val="auto"/>
          <w:szCs w:val="21"/>
        </w:rPr>
        <w:t>运营维护阶段</w:t>
      </w:r>
      <w:bookmarkEnd w:id="592"/>
      <w:bookmarkEnd w:id="593"/>
    </w:p>
    <w:p>
      <w:pPr>
        <w:spacing w:before="120" w:after="120"/>
        <w:outlineLvl w:val="4"/>
        <w:rPr>
          <w:color w:val="auto"/>
          <w:szCs w:val="21"/>
        </w:rPr>
      </w:pPr>
      <w:bookmarkStart w:id="594" w:name="_Toc19285"/>
      <w:bookmarkStart w:id="595" w:name="_Toc21308"/>
      <w:r>
        <w:rPr>
          <w:color w:val="auto"/>
          <w:szCs w:val="21"/>
        </w:rPr>
        <w:t xml:space="preserve">1  </w:t>
      </w:r>
      <w:r>
        <w:rPr>
          <w:rFonts w:hint="eastAsia"/>
          <w:color w:val="auto"/>
          <w:szCs w:val="21"/>
        </w:rPr>
        <w:t>运维模型移交</w:t>
      </w:r>
      <w:bookmarkEnd w:id="594"/>
      <w:bookmarkEnd w:id="595"/>
    </w:p>
    <w:p>
      <w:pPr>
        <w:spacing w:before="120" w:after="120"/>
        <w:ind w:firstLine="840" w:firstLineChars="400"/>
        <w:rPr>
          <w:color w:val="auto"/>
          <w:szCs w:val="21"/>
        </w:rPr>
      </w:pPr>
      <w:r>
        <w:rPr>
          <w:rFonts w:hint="eastAsia"/>
          <w:color w:val="auto"/>
          <w:szCs w:val="21"/>
        </w:rPr>
        <w:t>根据运维单位的要求，整理BIM竣工模型信息及格式要求后，向运维单位进行BIM成果移交。</w:t>
      </w:r>
    </w:p>
    <w:p>
      <w:pPr>
        <w:spacing w:before="120" w:after="120"/>
        <w:outlineLvl w:val="4"/>
        <w:rPr>
          <w:color w:val="auto"/>
        </w:rPr>
      </w:pPr>
      <w:bookmarkStart w:id="596" w:name="_Toc12650"/>
      <w:bookmarkStart w:id="597" w:name="_Toc10204"/>
      <w:r>
        <w:rPr>
          <w:rFonts w:hint="eastAsia"/>
          <w:color w:val="auto"/>
        </w:rPr>
        <w:t>2运维数据维护</w:t>
      </w:r>
      <w:bookmarkEnd w:id="596"/>
      <w:bookmarkEnd w:id="597"/>
    </w:p>
    <w:p>
      <w:pPr>
        <w:spacing w:before="120" w:after="120"/>
        <w:ind w:firstLine="840" w:firstLineChars="400"/>
        <w:rPr>
          <w:color w:val="auto"/>
          <w:szCs w:val="21"/>
        </w:rPr>
        <w:sectPr>
          <w:footerReference r:id="rId5" w:type="default"/>
          <w:pgSz w:w="11910" w:h="16840"/>
          <w:pgMar w:top="1080" w:right="900" w:bottom="1160" w:left="920" w:header="0" w:footer="973" w:gutter="0"/>
          <w:cols w:space="720" w:num="1"/>
        </w:sectPr>
      </w:pPr>
      <w:r>
        <w:rPr>
          <w:rFonts w:hint="eastAsia"/>
          <w:color w:val="auto"/>
          <w:szCs w:val="21"/>
        </w:rPr>
        <w:t>与运维单位进行实时沟通和回访，线上处理运维单位提出的问题并根据合同要求进行模型信息维护和更新。</w:t>
      </w:r>
    </w:p>
    <w:p>
      <w:pPr>
        <w:pStyle w:val="583"/>
        <w:spacing w:before="240" w:after="240"/>
        <w:outlineLvl w:val="0"/>
        <w:rPr>
          <w:rFonts w:ascii="Times New Roman" w:hAnsi="Times New Roman"/>
          <w:b w:val="0"/>
          <w:bCs/>
          <w:color w:val="auto"/>
        </w:rPr>
      </w:pPr>
      <w:bookmarkStart w:id="598" w:name="_bookmark23"/>
      <w:bookmarkEnd w:id="598"/>
      <w:bookmarkStart w:id="599" w:name="_Toc24746"/>
      <w:bookmarkStart w:id="600" w:name="_Toc7198"/>
      <w:bookmarkStart w:id="601" w:name="_Toc62460189"/>
      <w:bookmarkStart w:id="602" w:name="_Toc30966"/>
      <w:bookmarkStart w:id="603" w:name="_Toc1980"/>
      <w:r>
        <w:rPr>
          <w:rFonts w:ascii="Times New Roman" w:hAnsi="Times New Roman"/>
          <w:b w:val="0"/>
          <w:bCs/>
          <w:color w:val="auto"/>
        </w:rPr>
        <w:t>BI</w:t>
      </w:r>
      <w:bookmarkStart w:id="604" w:name="_bookmark24"/>
      <w:bookmarkEnd w:id="604"/>
      <w:r>
        <w:rPr>
          <w:rFonts w:ascii="Times New Roman" w:hAnsi="Times New Roman"/>
          <w:b w:val="0"/>
          <w:bCs/>
          <w:color w:val="auto"/>
        </w:rPr>
        <w:t>M模型实施管理</w:t>
      </w:r>
      <w:bookmarkEnd w:id="599"/>
      <w:bookmarkEnd w:id="600"/>
      <w:bookmarkEnd w:id="601"/>
      <w:bookmarkEnd w:id="602"/>
      <w:bookmarkEnd w:id="603"/>
    </w:p>
    <w:p>
      <w:pPr>
        <w:pStyle w:val="585"/>
        <w:tabs>
          <w:tab w:val="left" w:pos="5424"/>
        </w:tabs>
        <w:spacing w:before="120" w:after="120" w:line="360" w:lineRule="auto"/>
        <w:ind w:left="0"/>
        <w:outlineLvl w:val="1"/>
        <w:rPr>
          <w:rFonts w:ascii="Times New Roman" w:hAnsi="Times New Roman" w:eastAsia="黑体"/>
          <w:b w:val="0"/>
          <w:bCs/>
          <w:color w:val="auto"/>
          <w:sz w:val="24"/>
          <w:szCs w:val="24"/>
        </w:rPr>
      </w:pPr>
      <w:bookmarkStart w:id="605" w:name="_Toc22560"/>
      <w:bookmarkStart w:id="606" w:name="_Toc31198"/>
      <w:bookmarkStart w:id="607" w:name="_Toc62460190"/>
      <w:bookmarkStart w:id="608" w:name="_Toc9485"/>
      <w:bookmarkStart w:id="609" w:name="_Toc8600"/>
      <w:r>
        <w:rPr>
          <w:rFonts w:ascii="Times New Roman" w:hAnsi="Times New Roman" w:eastAsia="黑体"/>
          <w:b w:val="0"/>
          <w:bCs/>
          <w:color w:val="auto"/>
          <w:sz w:val="24"/>
          <w:szCs w:val="24"/>
        </w:rPr>
        <w:t>项目文档管理</w:t>
      </w:r>
      <w:bookmarkEnd w:id="605"/>
      <w:bookmarkEnd w:id="606"/>
      <w:bookmarkEnd w:id="607"/>
      <w:bookmarkEnd w:id="608"/>
      <w:bookmarkEnd w:id="609"/>
    </w:p>
    <w:p>
      <w:pPr>
        <w:pStyle w:val="587"/>
        <w:numPr>
          <w:ilvl w:val="2"/>
          <w:numId w:val="3"/>
        </w:numPr>
        <w:spacing w:beforeLines="50" w:afterLines="50" w:line="360" w:lineRule="auto"/>
        <w:outlineLvl w:val="3"/>
        <w:rPr>
          <w:rFonts w:ascii="LNUHNF+SimSun" w:hAnsi="LNUHNF+SimSun" w:cs="宋体"/>
          <w:color w:val="auto"/>
          <w:szCs w:val="21"/>
        </w:rPr>
      </w:pPr>
      <w:bookmarkStart w:id="610" w:name="_Toc21433"/>
      <w:bookmarkStart w:id="611" w:name="_Toc9490"/>
      <w:r>
        <w:rPr>
          <w:rFonts w:ascii="LNUHNF+SimSun" w:hAnsi="LNUHNF+SimSun" w:cs="宋体"/>
          <w:color w:val="auto"/>
          <w:szCs w:val="21"/>
        </w:rPr>
        <w:t>文档组成</w:t>
      </w:r>
      <w:bookmarkEnd w:id="610"/>
      <w:bookmarkEnd w:id="611"/>
    </w:p>
    <w:p>
      <w:pPr>
        <w:spacing w:before="120" w:after="120"/>
        <w:rPr>
          <w:color w:val="auto"/>
        </w:rPr>
      </w:pPr>
      <w:r>
        <w:rPr>
          <w:rFonts w:hint="eastAsia"/>
          <w:color w:val="auto"/>
        </w:rPr>
        <w:t>项目过程中所产生的文件可</w:t>
      </w:r>
      <w:r>
        <w:rPr>
          <w:rFonts w:hint="eastAsia"/>
          <w:color w:val="auto"/>
          <w:szCs w:val="21"/>
        </w:rPr>
        <w:t>分为</w:t>
      </w:r>
      <w:r>
        <w:rPr>
          <w:rFonts w:hint="eastAsia"/>
          <w:color w:val="auto"/>
        </w:rPr>
        <w:t>三大类：依据文件、过程文件、成果文件。项目实施过程中各参与方根据自身需求及实际情况对三类文件进行收集、传递及登记归档。其中依据文件包括设计条件、变更指令、政府批文、国家地方法律、规范、标准、合同等；过程文件包含会议纪要、工程联系函等；成果文件包含BIM模型文件及BIM应用成果文件；按照合同约定节点及时提交给BIM总协调方。</w:t>
      </w:r>
    </w:p>
    <w:p>
      <w:pPr>
        <w:pStyle w:val="587"/>
        <w:numPr>
          <w:ilvl w:val="2"/>
          <w:numId w:val="3"/>
        </w:numPr>
        <w:spacing w:beforeLines="50" w:afterLines="50" w:line="360" w:lineRule="auto"/>
        <w:outlineLvl w:val="3"/>
        <w:rPr>
          <w:rFonts w:ascii="LNUHNF+SimSun" w:hAnsi="LNUHNF+SimSun" w:cs="宋体"/>
          <w:color w:val="auto"/>
          <w:szCs w:val="21"/>
        </w:rPr>
      </w:pPr>
      <w:bookmarkStart w:id="612" w:name="_Toc7022"/>
      <w:bookmarkStart w:id="613" w:name="_Toc15243"/>
      <w:r>
        <w:rPr>
          <w:rFonts w:ascii="LNUHNF+SimSun" w:hAnsi="LNUHNF+SimSun" w:cs="宋体"/>
          <w:color w:val="auto"/>
          <w:szCs w:val="21"/>
        </w:rPr>
        <w:t>文档构架</w:t>
      </w:r>
      <w:bookmarkEnd w:id="612"/>
      <w:bookmarkEnd w:id="613"/>
    </w:p>
    <w:p>
      <w:pPr>
        <w:pStyle w:val="21"/>
        <w:spacing w:before="120"/>
        <w:ind w:left="632"/>
        <w:rPr>
          <w:rFonts w:cs="宋体"/>
          <w:color w:val="auto"/>
          <w:sz w:val="11"/>
          <w:szCs w:val="11"/>
        </w:rPr>
      </w:pPr>
      <w:r>
        <w:rPr>
          <w:color w:val="auto"/>
        </w:rPr>
        <w:t>在项目实施过程中文件构架体系可参考下图所示：</w:t>
      </w:r>
    </w:p>
    <w:p>
      <w:pPr>
        <w:spacing w:before="120" w:after="120"/>
        <w:ind w:firstLine="400"/>
        <w:jc w:val="center"/>
        <w:rPr>
          <w:rFonts w:cs="宋体"/>
          <w:color w:val="auto"/>
          <w:sz w:val="20"/>
        </w:rPr>
      </w:pPr>
      <w:r>
        <w:rPr>
          <w:rFonts w:cs="宋体"/>
          <w:color w:val="auto"/>
          <w:sz w:val="20"/>
        </w:rPr>
        <w:drawing>
          <wp:inline distT="0" distB="0" distL="114300" distR="114300">
            <wp:extent cx="4619625" cy="5905500"/>
            <wp:effectExtent l="0" t="0" r="3175" b="1270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8"/>
                    <a:srcRect l="7776" t="3365" r="14149" b="8984"/>
                    <a:stretch>
                      <a:fillRect/>
                    </a:stretch>
                  </pic:blipFill>
                  <pic:spPr>
                    <a:xfrm>
                      <a:off x="0" y="0"/>
                      <a:ext cx="4619625" cy="5905500"/>
                    </a:xfrm>
                    <a:prstGeom prst="rect">
                      <a:avLst/>
                    </a:prstGeom>
                    <a:noFill/>
                    <a:ln>
                      <a:noFill/>
                    </a:ln>
                  </pic:spPr>
                </pic:pic>
              </a:graphicData>
            </a:graphic>
          </wp:inline>
        </w:drawing>
      </w:r>
    </w:p>
    <w:p>
      <w:pPr>
        <w:pStyle w:val="498"/>
        <w:spacing w:beforeLines="50" w:afterLines="50" w:line="360" w:lineRule="auto"/>
        <w:ind w:firstLine="360"/>
        <w:jc w:val="center"/>
        <w:rPr>
          <w:rFonts w:ascii="黑体" w:hAnsi="黑体" w:eastAsia="黑体" w:cs="黑体"/>
          <w:color w:val="auto"/>
          <w:sz w:val="18"/>
          <w:szCs w:val="18"/>
        </w:rPr>
      </w:pPr>
      <w:r>
        <w:rPr>
          <w:rFonts w:hint="eastAsia" w:ascii="黑体" w:hAnsi="黑体" w:eastAsia="黑体" w:cs="黑体"/>
          <w:color w:val="auto"/>
          <w:sz w:val="18"/>
          <w:szCs w:val="18"/>
        </w:rPr>
        <w:t>图2</w:t>
      </w:r>
      <w:r>
        <w:rPr>
          <w:rFonts w:ascii="黑体" w:hAnsi="黑体" w:eastAsia="黑体" w:cs="黑体"/>
          <w:color w:val="auto"/>
          <w:sz w:val="18"/>
          <w:szCs w:val="18"/>
        </w:rPr>
        <w:t>.1.2  BIM</w:t>
      </w:r>
      <w:r>
        <w:rPr>
          <w:rFonts w:hint="eastAsia" w:ascii="黑体" w:hAnsi="黑体" w:eastAsia="黑体" w:cs="黑体"/>
          <w:color w:val="auto"/>
          <w:sz w:val="18"/>
          <w:szCs w:val="18"/>
        </w:rPr>
        <w:t>项目文件管理构架</w:t>
      </w:r>
    </w:p>
    <w:p>
      <w:pPr>
        <w:pStyle w:val="585"/>
        <w:tabs>
          <w:tab w:val="left" w:pos="5424"/>
        </w:tabs>
        <w:spacing w:before="120" w:after="120" w:line="360" w:lineRule="auto"/>
        <w:ind w:left="0"/>
        <w:outlineLvl w:val="1"/>
        <w:rPr>
          <w:rFonts w:ascii="Times New Roman" w:hAnsi="Times New Roman" w:eastAsia="黑体"/>
          <w:b w:val="0"/>
          <w:bCs/>
          <w:color w:val="auto"/>
          <w:sz w:val="24"/>
          <w:szCs w:val="24"/>
        </w:rPr>
      </w:pPr>
      <w:bookmarkStart w:id="614" w:name="_bookmark25"/>
      <w:bookmarkEnd w:id="614"/>
      <w:bookmarkStart w:id="615" w:name="_Toc31535"/>
      <w:bookmarkStart w:id="616" w:name="_Toc62460191"/>
      <w:bookmarkStart w:id="617" w:name="_Toc4408"/>
      <w:bookmarkStart w:id="618" w:name="_Toc29236"/>
      <w:bookmarkStart w:id="619" w:name="_Toc20867"/>
      <w:r>
        <w:rPr>
          <w:rFonts w:hint="eastAsia" w:ascii="Times New Roman" w:hAnsi="Times New Roman" w:eastAsia="黑体"/>
          <w:b w:val="0"/>
          <w:bCs/>
          <w:color w:val="auto"/>
          <w:sz w:val="24"/>
          <w:szCs w:val="24"/>
        </w:rPr>
        <w:t>模型命名管理</w:t>
      </w:r>
      <w:bookmarkEnd w:id="615"/>
      <w:bookmarkEnd w:id="616"/>
      <w:bookmarkEnd w:id="617"/>
      <w:bookmarkEnd w:id="618"/>
      <w:bookmarkEnd w:id="619"/>
    </w:p>
    <w:p>
      <w:pPr>
        <w:pStyle w:val="587"/>
        <w:numPr>
          <w:ilvl w:val="2"/>
          <w:numId w:val="3"/>
        </w:numPr>
        <w:spacing w:beforeLines="50" w:afterLines="50" w:line="360" w:lineRule="auto"/>
        <w:outlineLvl w:val="3"/>
        <w:rPr>
          <w:rFonts w:ascii="LNUHNF+SimSun" w:hAnsi="LNUHNF+SimSun" w:cs="宋体"/>
          <w:color w:val="auto"/>
          <w:szCs w:val="21"/>
        </w:rPr>
      </w:pPr>
      <w:bookmarkStart w:id="620" w:name="_Toc27773"/>
      <w:bookmarkStart w:id="621" w:name="_Toc17440"/>
      <w:r>
        <w:rPr>
          <w:rFonts w:ascii="LNUHNF+SimSun" w:hAnsi="LNUHNF+SimSun" w:cs="宋体"/>
          <w:color w:val="auto"/>
          <w:szCs w:val="21"/>
        </w:rPr>
        <w:t>项目文档命名</w:t>
      </w:r>
      <w:bookmarkEnd w:id="620"/>
      <w:bookmarkEnd w:id="621"/>
    </w:p>
    <w:p>
      <w:pPr>
        <w:spacing w:before="120" w:after="120"/>
        <w:rPr>
          <w:rFonts w:ascii="LNUHNF+SimSun" w:hAnsi="LNUHNF+SimSun" w:cs="宋体"/>
          <w:color w:val="auto"/>
          <w:szCs w:val="21"/>
        </w:rPr>
      </w:pPr>
      <w:r>
        <w:rPr>
          <w:rFonts w:ascii="LNUHNF+SimSun" w:hAnsi="LNUHNF+SimSun" w:cs="宋体"/>
          <w:color w:val="auto"/>
          <w:szCs w:val="21"/>
        </w:rPr>
        <w:t>项目文件命名主要考虑文件名的长度和操作性，按照项目实施阶段对文件命名，且应该进行字符限制。</w:t>
      </w:r>
    </w:p>
    <w:p>
      <w:pPr>
        <w:spacing w:before="120" w:after="120"/>
        <w:rPr>
          <w:rFonts w:ascii="LNUHNF+SimSun" w:hAnsi="LNUHNF+SimSun" w:cs="宋体"/>
          <w:color w:val="auto"/>
          <w:szCs w:val="21"/>
        </w:rPr>
      </w:pPr>
      <w:r>
        <w:rPr>
          <w:rFonts w:ascii="LNUHNF+SimSun" w:hAnsi="LNUHNF+SimSun" w:cs="宋体"/>
          <w:color w:val="auto"/>
          <w:szCs w:val="21"/>
        </w:rPr>
        <w:t>示例：</w:t>
      </w:r>
      <w:r>
        <w:rPr>
          <w:rFonts w:hint="eastAsia" w:ascii="LNUHNF+SimSun" w:hAnsi="LNUHNF+SimSun" w:cs="宋体"/>
          <w:color w:val="auto"/>
          <w:szCs w:val="21"/>
        </w:rPr>
        <w:t>“</w:t>
      </w:r>
      <w:r>
        <w:rPr>
          <w:rFonts w:ascii="LNUHNF+SimSun" w:hAnsi="LNUHNF+SimSun" w:cs="宋体"/>
          <w:color w:val="auto"/>
          <w:szCs w:val="21"/>
        </w:rPr>
        <w:t>设计/施工/竣工阶段</w:t>
      </w:r>
      <w:r>
        <w:rPr>
          <w:rFonts w:hint="eastAsia" w:ascii="LNUHNF+SimSun" w:hAnsi="LNUHNF+SimSun" w:cs="宋体"/>
          <w:color w:val="auto"/>
          <w:szCs w:val="21"/>
        </w:rPr>
        <w:t>”</w:t>
      </w:r>
      <w:r>
        <w:rPr>
          <w:rFonts w:ascii="LNUHNF+SimSun" w:hAnsi="LNUHNF+SimSun" w:cs="宋体"/>
          <w:color w:val="auto"/>
          <w:szCs w:val="21"/>
        </w:rPr>
        <w:t>模型文件命名格式：DS-CP-F-M</w:t>
      </w:r>
    </w:p>
    <w:p>
      <w:pPr>
        <w:spacing w:before="120" w:after="120" w:line="1472" w:lineRule="exact"/>
        <w:ind w:left="488" w:firstLine="400"/>
        <w:jc w:val="center"/>
        <w:rPr>
          <w:rFonts w:cs="宋体"/>
          <w:color w:val="auto"/>
          <w:sz w:val="20"/>
        </w:rPr>
      </w:pPr>
      <w:r>
        <w:rPr>
          <w:rFonts w:cs="宋体"/>
          <w:color w:val="auto"/>
          <w:sz w:val="20"/>
        </w:rPr>
        <w:drawing>
          <wp:inline distT="0" distB="0" distL="114300" distR="114300">
            <wp:extent cx="5762625" cy="590550"/>
            <wp:effectExtent l="0" t="0" r="3175" b="1905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9"/>
                    <a:stretch>
                      <a:fillRect/>
                    </a:stretch>
                  </pic:blipFill>
                  <pic:spPr>
                    <a:xfrm>
                      <a:off x="0" y="0"/>
                      <a:ext cx="5762625" cy="590550"/>
                    </a:xfrm>
                    <a:prstGeom prst="rect">
                      <a:avLst/>
                    </a:prstGeom>
                    <a:noFill/>
                    <a:ln>
                      <a:noFill/>
                    </a:ln>
                  </pic:spPr>
                </pic:pic>
              </a:graphicData>
            </a:graphic>
          </wp:inline>
        </w:drawing>
      </w:r>
    </w:p>
    <w:p>
      <w:pPr>
        <w:spacing w:before="120" w:after="120"/>
        <w:rPr>
          <w:color w:val="auto"/>
        </w:rPr>
      </w:pPr>
      <w:r>
        <w:rPr>
          <w:color w:val="auto"/>
        </w:rPr>
        <w:t>D——工程编号，为设计合同号后四位，字符限制4位数字；</w:t>
      </w:r>
    </w:p>
    <w:p>
      <w:pPr>
        <w:spacing w:before="120" w:after="120"/>
        <w:rPr>
          <w:color w:val="auto"/>
        </w:rPr>
      </w:pPr>
      <w:r>
        <w:rPr>
          <w:color w:val="auto"/>
        </w:rPr>
        <w:t>S——子项编号，用于有多个子项或分区的工程设计项目，字符限制1位字母和1位数字，无多个子项，字符为xx；</w:t>
      </w:r>
    </w:p>
    <w:p>
      <w:pPr>
        <w:spacing w:before="120" w:after="120"/>
        <w:rPr>
          <w:color w:val="auto"/>
        </w:rPr>
      </w:pPr>
      <w:r>
        <w:rPr>
          <w:color w:val="auto"/>
        </w:rPr>
        <w:t>C——阶段，设计阶段，施工阶段，竣工阶段；</w:t>
      </w:r>
    </w:p>
    <w:p>
      <w:pPr>
        <w:spacing w:before="120" w:after="120"/>
        <w:rPr>
          <w:color w:val="auto"/>
        </w:rPr>
      </w:pPr>
      <w:r>
        <w:rPr>
          <w:color w:val="auto"/>
        </w:rPr>
        <w:t>P——专业，总图，建筑，结构，给排水，电气，弱电，暖通，燃气；</w:t>
      </w:r>
    </w:p>
    <w:p>
      <w:pPr>
        <w:spacing w:before="120" w:after="120"/>
        <w:rPr>
          <w:color w:val="auto"/>
        </w:rPr>
      </w:pPr>
      <w:r>
        <w:rPr>
          <w:color w:val="auto"/>
        </w:rPr>
        <w:t>F——楼层，如果项目进一步细分，用于识别模型文件垂直方向的关系。</w:t>
      </w:r>
    </w:p>
    <w:p>
      <w:pPr>
        <w:spacing w:before="120" w:after="120"/>
        <w:rPr>
          <w:color w:val="auto"/>
        </w:rPr>
      </w:pPr>
      <w:r>
        <w:rPr>
          <w:color w:val="auto"/>
        </w:rPr>
        <w:t>M——描述，用于说明文件中的内容，避免与其它字段重复。此信息用于解释前面的字段，或是进一步说明所包含数据的其它方面。</w:t>
      </w:r>
    </w:p>
    <w:p>
      <w:pPr>
        <w:pStyle w:val="587"/>
        <w:numPr>
          <w:ilvl w:val="2"/>
          <w:numId w:val="3"/>
        </w:numPr>
        <w:spacing w:beforeLines="50" w:afterLines="50" w:line="360" w:lineRule="auto"/>
        <w:outlineLvl w:val="3"/>
        <w:rPr>
          <w:rFonts w:ascii="LNUHNF+SimSun" w:hAnsi="LNUHNF+SimSun" w:cs="宋体"/>
          <w:color w:val="auto"/>
          <w:szCs w:val="21"/>
        </w:rPr>
      </w:pPr>
      <w:bookmarkStart w:id="622" w:name="_Toc24229"/>
      <w:bookmarkStart w:id="623" w:name="_Toc30042"/>
      <w:r>
        <w:rPr>
          <w:rFonts w:hint="eastAsia" w:ascii="LNUHNF+SimSun" w:hAnsi="LNUHNF+SimSun" w:cs="宋体"/>
          <w:color w:val="auto"/>
          <w:szCs w:val="21"/>
        </w:rPr>
        <w:t>模型构件命名</w:t>
      </w:r>
      <w:bookmarkEnd w:id="622"/>
      <w:bookmarkEnd w:id="623"/>
    </w:p>
    <w:p>
      <w:pPr>
        <w:spacing w:before="120" w:after="120"/>
        <w:rPr>
          <w:rFonts w:ascii="LNUHNF+SimSun" w:hAnsi="LNUHNF+SimSun" w:cs="宋体"/>
          <w:color w:val="auto"/>
          <w:szCs w:val="21"/>
        </w:rPr>
      </w:pPr>
      <w:r>
        <w:rPr>
          <w:rFonts w:hint="eastAsia" w:ascii="LNUHNF+SimSun" w:hAnsi="LNUHNF+SimSun" w:cs="宋体"/>
          <w:color w:val="auto"/>
          <w:szCs w:val="21"/>
        </w:rPr>
        <w:t>项目实施前期，为统一实施管理，应制定模型构件命名方式，模型中的构件命名应包括：构件类别、构件名称、构件尺寸，构件名称应与设计或实际工程名称一致。</w:t>
      </w:r>
    </w:p>
    <w:p>
      <w:pPr>
        <w:pStyle w:val="498"/>
        <w:spacing w:beforeLines="50" w:afterLines="50" w:line="360" w:lineRule="auto"/>
        <w:ind w:firstLine="360"/>
        <w:jc w:val="center"/>
        <w:rPr>
          <w:rFonts w:ascii="黑体" w:hAnsi="黑体" w:eastAsia="黑体" w:cs="黑体"/>
          <w:color w:val="auto"/>
          <w:sz w:val="18"/>
          <w:szCs w:val="18"/>
        </w:rPr>
      </w:pPr>
      <w:r>
        <w:rPr>
          <w:rFonts w:ascii="黑体" w:hAnsi="黑体" w:eastAsia="黑体" w:cs="黑体"/>
          <w:color w:val="auto"/>
          <w:sz w:val="18"/>
          <w:szCs w:val="18"/>
        </w:rPr>
        <w:t>表2.2.2  模型构件命名表</w:t>
      </w:r>
    </w:p>
    <w:tbl>
      <w:tblPr>
        <w:tblStyle w:val="55"/>
        <w:tblW w:w="100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80"/>
        <w:gridCol w:w="2968"/>
        <w:gridCol w:w="2675"/>
        <w:gridCol w:w="29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1480" w:type="dxa"/>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专业</w:t>
            </w:r>
          </w:p>
        </w:tc>
        <w:tc>
          <w:tcPr>
            <w:tcW w:w="2968" w:type="dxa"/>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构件分类</w:t>
            </w:r>
          </w:p>
        </w:tc>
        <w:tc>
          <w:tcPr>
            <w:tcW w:w="2675" w:type="dxa"/>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命名原则</w:t>
            </w:r>
          </w:p>
        </w:tc>
        <w:tc>
          <w:tcPr>
            <w:tcW w:w="2957" w:type="dxa"/>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例举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80" w:type="dxa"/>
            <w:vMerge w:val="restart"/>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建筑</w:t>
            </w:r>
          </w:p>
        </w:tc>
        <w:tc>
          <w:tcPr>
            <w:tcW w:w="2968" w:type="dxa"/>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幕墙</w:t>
            </w:r>
          </w:p>
        </w:tc>
        <w:tc>
          <w:tcPr>
            <w:tcW w:w="2675" w:type="dxa"/>
            <w:vMerge w:val="restart"/>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墙类型名-墙厚</w:t>
            </w:r>
          </w:p>
        </w:tc>
        <w:tc>
          <w:tcPr>
            <w:tcW w:w="2957" w:type="dxa"/>
            <w:vMerge w:val="restart"/>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内部砌块墙-150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80" w:type="dxa"/>
            <w:vMerge w:val="continue"/>
            <w:noWrap/>
            <w:vAlign w:val="center"/>
          </w:tcPr>
          <w:p>
            <w:pPr>
              <w:spacing w:before="120" w:after="120"/>
              <w:ind w:firstLine="360"/>
              <w:jc w:val="center"/>
              <w:rPr>
                <w:rFonts w:cs="宋体"/>
                <w:color w:val="auto"/>
                <w:sz w:val="18"/>
                <w:szCs w:val="18"/>
                <w:lang w:eastAsia="en-US"/>
              </w:rPr>
            </w:pPr>
          </w:p>
        </w:tc>
        <w:tc>
          <w:tcPr>
            <w:tcW w:w="2968" w:type="dxa"/>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内填充墙</w:t>
            </w:r>
          </w:p>
        </w:tc>
        <w:tc>
          <w:tcPr>
            <w:tcW w:w="2675" w:type="dxa"/>
            <w:vMerge w:val="continue"/>
            <w:noWrap/>
            <w:vAlign w:val="center"/>
          </w:tcPr>
          <w:p>
            <w:pPr>
              <w:spacing w:before="120" w:after="120"/>
              <w:ind w:firstLine="360"/>
              <w:jc w:val="center"/>
              <w:rPr>
                <w:rFonts w:cs="宋体"/>
                <w:color w:val="auto"/>
                <w:sz w:val="18"/>
                <w:szCs w:val="18"/>
                <w:lang w:eastAsia="en-US"/>
              </w:rPr>
            </w:pPr>
          </w:p>
        </w:tc>
        <w:tc>
          <w:tcPr>
            <w:tcW w:w="2957" w:type="dxa"/>
            <w:vMerge w:val="continue"/>
            <w:noWrap/>
            <w:vAlign w:val="center"/>
          </w:tcPr>
          <w:p>
            <w:pPr>
              <w:spacing w:before="120" w:after="120"/>
              <w:ind w:firstLine="360"/>
              <w:jc w:val="center"/>
              <w:rPr>
                <w:rFonts w:cs="宋体"/>
                <w:color w:val="auto"/>
                <w:sz w:val="18"/>
                <w:szCs w:val="18"/>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80" w:type="dxa"/>
            <w:vMerge w:val="continue"/>
            <w:noWrap/>
            <w:vAlign w:val="center"/>
          </w:tcPr>
          <w:p>
            <w:pPr>
              <w:spacing w:before="120" w:after="120"/>
              <w:ind w:firstLine="360"/>
              <w:jc w:val="center"/>
              <w:rPr>
                <w:rFonts w:cs="宋体"/>
                <w:color w:val="auto"/>
                <w:sz w:val="18"/>
                <w:szCs w:val="18"/>
                <w:lang w:eastAsia="en-US"/>
              </w:rPr>
            </w:pPr>
          </w:p>
        </w:tc>
        <w:tc>
          <w:tcPr>
            <w:tcW w:w="2968" w:type="dxa"/>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外填充墙</w:t>
            </w:r>
          </w:p>
        </w:tc>
        <w:tc>
          <w:tcPr>
            <w:tcW w:w="2675" w:type="dxa"/>
            <w:vMerge w:val="continue"/>
            <w:noWrap/>
            <w:vAlign w:val="center"/>
          </w:tcPr>
          <w:p>
            <w:pPr>
              <w:spacing w:before="120" w:after="120"/>
              <w:ind w:firstLine="360"/>
              <w:jc w:val="center"/>
              <w:rPr>
                <w:rFonts w:cs="宋体"/>
                <w:color w:val="auto"/>
                <w:sz w:val="18"/>
                <w:szCs w:val="18"/>
                <w:lang w:eastAsia="en-US"/>
              </w:rPr>
            </w:pPr>
          </w:p>
        </w:tc>
        <w:tc>
          <w:tcPr>
            <w:tcW w:w="2957" w:type="dxa"/>
            <w:vMerge w:val="continue"/>
            <w:noWrap/>
            <w:vAlign w:val="center"/>
          </w:tcPr>
          <w:p>
            <w:pPr>
              <w:spacing w:before="120" w:after="120"/>
              <w:ind w:firstLine="360"/>
              <w:jc w:val="center"/>
              <w:rPr>
                <w:rFonts w:cs="宋体"/>
                <w:color w:val="auto"/>
                <w:sz w:val="18"/>
                <w:szCs w:val="18"/>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80" w:type="dxa"/>
            <w:vMerge w:val="continue"/>
            <w:noWrap/>
            <w:vAlign w:val="center"/>
          </w:tcPr>
          <w:p>
            <w:pPr>
              <w:spacing w:before="120" w:after="120"/>
              <w:ind w:firstLine="360"/>
              <w:jc w:val="center"/>
              <w:rPr>
                <w:rFonts w:cs="宋体"/>
                <w:color w:val="auto"/>
                <w:sz w:val="18"/>
                <w:szCs w:val="18"/>
                <w:lang w:eastAsia="en-US"/>
              </w:rPr>
            </w:pPr>
          </w:p>
        </w:tc>
        <w:tc>
          <w:tcPr>
            <w:tcW w:w="2968" w:type="dxa"/>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隔断墙</w:t>
            </w:r>
          </w:p>
        </w:tc>
        <w:tc>
          <w:tcPr>
            <w:tcW w:w="2675" w:type="dxa"/>
            <w:vMerge w:val="continue"/>
            <w:noWrap/>
            <w:vAlign w:val="center"/>
          </w:tcPr>
          <w:p>
            <w:pPr>
              <w:spacing w:before="120" w:after="120"/>
              <w:ind w:firstLine="360"/>
              <w:jc w:val="center"/>
              <w:rPr>
                <w:rFonts w:cs="宋体"/>
                <w:color w:val="auto"/>
                <w:sz w:val="18"/>
                <w:szCs w:val="18"/>
                <w:lang w:eastAsia="en-US"/>
              </w:rPr>
            </w:pPr>
          </w:p>
        </w:tc>
        <w:tc>
          <w:tcPr>
            <w:tcW w:w="2957" w:type="dxa"/>
            <w:vMerge w:val="continue"/>
            <w:noWrap/>
            <w:vAlign w:val="center"/>
          </w:tcPr>
          <w:p>
            <w:pPr>
              <w:spacing w:before="120" w:after="120"/>
              <w:ind w:firstLine="360"/>
              <w:jc w:val="center"/>
              <w:rPr>
                <w:rFonts w:cs="宋体"/>
                <w:color w:val="auto"/>
                <w:sz w:val="18"/>
                <w:szCs w:val="18"/>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80" w:type="dxa"/>
            <w:vMerge w:val="continue"/>
            <w:noWrap/>
            <w:vAlign w:val="center"/>
          </w:tcPr>
          <w:p>
            <w:pPr>
              <w:spacing w:before="120" w:after="120"/>
              <w:ind w:firstLine="360"/>
              <w:jc w:val="center"/>
              <w:rPr>
                <w:rFonts w:cs="宋体"/>
                <w:color w:val="auto"/>
                <w:sz w:val="18"/>
                <w:szCs w:val="18"/>
                <w:lang w:eastAsia="en-US"/>
              </w:rPr>
            </w:pPr>
          </w:p>
        </w:tc>
        <w:tc>
          <w:tcPr>
            <w:tcW w:w="2968" w:type="dxa"/>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楼、地面板</w:t>
            </w:r>
          </w:p>
        </w:tc>
        <w:tc>
          <w:tcPr>
            <w:tcW w:w="2675" w:type="dxa"/>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楼板类型名-板厚</w:t>
            </w:r>
          </w:p>
        </w:tc>
        <w:tc>
          <w:tcPr>
            <w:tcW w:w="2957" w:type="dxa"/>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楼板-100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80" w:type="dxa"/>
            <w:vMerge w:val="continue"/>
            <w:noWrap/>
            <w:vAlign w:val="center"/>
          </w:tcPr>
          <w:p>
            <w:pPr>
              <w:spacing w:before="120" w:after="120"/>
              <w:ind w:firstLine="360"/>
              <w:jc w:val="center"/>
              <w:rPr>
                <w:rFonts w:cs="宋体"/>
                <w:color w:val="auto"/>
                <w:sz w:val="18"/>
                <w:szCs w:val="18"/>
                <w:lang w:eastAsia="en-US"/>
              </w:rPr>
            </w:pPr>
          </w:p>
        </w:tc>
        <w:tc>
          <w:tcPr>
            <w:tcW w:w="2968" w:type="dxa"/>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屋面板</w:t>
            </w:r>
          </w:p>
        </w:tc>
        <w:tc>
          <w:tcPr>
            <w:tcW w:w="2675" w:type="dxa"/>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屋面板-板厚</w:t>
            </w:r>
          </w:p>
        </w:tc>
        <w:tc>
          <w:tcPr>
            <w:tcW w:w="2957" w:type="dxa"/>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屋面板-150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80" w:type="dxa"/>
            <w:vMerge w:val="continue"/>
            <w:noWrap/>
            <w:vAlign w:val="center"/>
          </w:tcPr>
          <w:p>
            <w:pPr>
              <w:spacing w:before="120" w:after="120"/>
              <w:ind w:firstLine="360"/>
              <w:jc w:val="center"/>
              <w:rPr>
                <w:rFonts w:cs="宋体"/>
                <w:color w:val="auto"/>
                <w:sz w:val="18"/>
                <w:szCs w:val="18"/>
                <w:lang w:eastAsia="en-US"/>
              </w:rPr>
            </w:pPr>
          </w:p>
        </w:tc>
        <w:tc>
          <w:tcPr>
            <w:tcW w:w="2968" w:type="dxa"/>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天花</w:t>
            </w:r>
          </w:p>
        </w:tc>
        <w:tc>
          <w:tcPr>
            <w:tcW w:w="2675" w:type="dxa"/>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天花类型名-规格尺寸</w:t>
            </w:r>
          </w:p>
        </w:tc>
        <w:tc>
          <w:tcPr>
            <w:tcW w:w="2957" w:type="dxa"/>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天花-600X600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80" w:type="dxa"/>
            <w:vMerge w:val="continue"/>
            <w:noWrap/>
            <w:vAlign w:val="center"/>
          </w:tcPr>
          <w:p>
            <w:pPr>
              <w:spacing w:before="120" w:after="120"/>
              <w:ind w:firstLine="360"/>
              <w:jc w:val="center"/>
              <w:rPr>
                <w:rFonts w:cs="宋体"/>
                <w:color w:val="auto"/>
                <w:sz w:val="18"/>
                <w:szCs w:val="18"/>
                <w:lang w:eastAsia="en-US"/>
              </w:rPr>
            </w:pPr>
          </w:p>
        </w:tc>
        <w:tc>
          <w:tcPr>
            <w:tcW w:w="2968" w:type="dxa"/>
            <w:noWrap/>
            <w:vAlign w:val="center"/>
          </w:tcPr>
          <w:p>
            <w:pPr>
              <w:spacing w:before="120" w:after="120"/>
              <w:ind w:firstLine="360"/>
              <w:jc w:val="center"/>
              <w:rPr>
                <w:rFonts w:cs="宋体"/>
                <w:color w:val="auto"/>
                <w:sz w:val="18"/>
                <w:szCs w:val="18"/>
              </w:rPr>
            </w:pPr>
            <w:r>
              <w:rPr>
                <w:rFonts w:cs="宋体"/>
                <w:color w:val="auto"/>
                <w:sz w:val="18"/>
                <w:szCs w:val="18"/>
              </w:rPr>
              <w:t>楼梯、扶梯、电梯、门窗</w:t>
            </w:r>
          </w:p>
        </w:tc>
        <w:tc>
          <w:tcPr>
            <w:tcW w:w="2675" w:type="dxa"/>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与设计图纸一致</w:t>
            </w:r>
          </w:p>
        </w:tc>
        <w:tc>
          <w:tcPr>
            <w:tcW w:w="2957" w:type="dxa"/>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与设计图纸一致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80" w:type="dxa"/>
            <w:vMerge w:val="restart"/>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结构</w:t>
            </w:r>
          </w:p>
        </w:tc>
        <w:tc>
          <w:tcPr>
            <w:tcW w:w="2968" w:type="dxa"/>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承重墙</w:t>
            </w:r>
          </w:p>
        </w:tc>
        <w:tc>
          <w:tcPr>
            <w:tcW w:w="2675" w:type="dxa"/>
            <w:vMerge w:val="restart"/>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墙类型名-墙厚</w:t>
            </w:r>
          </w:p>
        </w:tc>
        <w:tc>
          <w:tcPr>
            <w:tcW w:w="2957" w:type="dxa"/>
            <w:vMerge w:val="restart"/>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剪力墙-300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80" w:type="dxa"/>
            <w:vMerge w:val="continue"/>
            <w:noWrap/>
            <w:vAlign w:val="center"/>
          </w:tcPr>
          <w:p>
            <w:pPr>
              <w:spacing w:before="120" w:after="120"/>
              <w:ind w:firstLine="360"/>
              <w:jc w:val="center"/>
              <w:rPr>
                <w:rFonts w:cs="宋体"/>
                <w:color w:val="auto"/>
                <w:sz w:val="18"/>
                <w:szCs w:val="18"/>
                <w:lang w:eastAsia="en-US"/>
              </w:rPr>
            </w:pPr>
          </w:p>
        </w:tc>
        <w:tc>
          <w:tcPr>
            <w:tcW w:w="2968" w:type="dxa"/>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剪力墙</w:t>
            </w:r>
          </w:p>
        </w:tc>
        <w:tc>
          <w:tcPr>
            <w:tcW w:w="2675" w:type="dxa"/>
            <w:vMerge w:val="continue"/>
            <w:noWrap/>
            <w:vAlign w:val="center"/>
          </w:tcPr>
          <w:p>
            <w:pPr>
              <w:spacing w:before="120" w:after="120"/>
              <w:ind w:firstLine="360"/>
              <w:jc w:val="center"/>
              <w:rPr>
                <w:rFonts w:cs="宋体"/>
                <w:color w:val="auto"/>
                <w:sz w:val="18"/>
                <w:szCs w:val="18"/>
                <w:lang w:eastAsia="en-US"/>
              </w:rPr>
            </w:pPr>
          </w:p>
        </w:tc>
        <w:tc>
          <w:tcPr>
            <w:tcW w:w="2957" w:type="dxa"/>
            <w:vMerge w:val="continue"/>
            <w:noWrap/>
            <w:vAlign w:val="center"/>
          </w:tcPr>
          <w:p>
            <w:pPr>
              <w:spacing w:before="120" w:after="120"/>
              <w:ind w:firstLine="360"/>
              <w:jc w:val="center"/>
              <w:rPr>
                <w:rFonts w:cs="宋体"/>
                <w:color w:val="auto"/>
                <w:sz w:val="18"/>
                <w:szCs w:val="18"/>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80" w:type="dxa"/>
            <w:vMerge w:val="continue"/>
            <w:noWrap/>
            <w:vAlign w:val="center"/>
          </w:tcPr>
          <w:p>
            <w:pPr>
              <w:spacing w:before="120" w:after="120"/>
              <w:ind w:firstLine="360"/>
              <w:jc w:val="center"/>
              <w:rPr>
                <w:rFonts w:cs="宋体"/>
                <w:color w:val="auto"/>
                <w:sz w:val="18"/>
                <w:szCs w:val="18"/>
                <w:lang w:eastAsia="en-US"/>
              </w:rPr>
            </w:pPr>
          </w:p>
        </w:tc>
        <w:tc>
          <w:tcPr>
            <w:tcW w:w="2968" w:type="dxa"/>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楼、地面板</w:t>
            </w:r>
          </w:p>
        </w:tc>
        <w:tc>
          <w:tcPr>
            <w:tcW w:w="2675" w:type="dxa"/>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楼板类型名-板厚</w:t>
            </w:r>
          </w:p>
        </w:tc>
        <w:tc>
          <w:tcPr>
            <w:tcW w:w="2957" w:type="dxa"/>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混凝土板-200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80" w:type="dxa"/>
            <w:vMerge w:val="continue"/>
            <w:noWrap/>
            <w:vAlign w:val="center"/>
          </w:tcPr>
          <w:p>
            <w:pPr>
              <w:spacing w:before="120" w:after="120"/>
              <w:ind w:firstLine="360"/>
              <w:jc w:val="center"/>
              <w:rPr>
                <w:rFonts w:cs="宋体"/>
                <w:color w:val="auto"/>
                <w:sz w:val="18"/>
                <w:szCs w:val="18"/>
                <w:lang w:eastAsia="en-US"/>
              </w:rPr>
            </w:pPr>
          </w:p>
        </w:tc>
        <w:tc>
          <w:tcPr>
            <w:tcW w:w="2968" w:type="dxa"/>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框架柱</w:t>
            </w:r>
          </w:p>
        </w:tc>
        <w:tc>
          <w:tcPr>
            <w:tcW w:w="2675" w:type="dxa"/>
            <w:vMerge w:val="restart"/>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柱类型名</w:t>
            </w:r>
          </w:p>
        </w:tc>
        <w:tc>
          <w:tcPr>
            <w:tcW w:w="2957" w:type="dxa"/>
            <w:vMerge w:val="restart"/>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混凝土框架柱-800X800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80" w:type="dxa"/>
            <w:vMerge w:val="continue"/>
            <w:noWrap/>
            <w:vAlign w:val="center"/>
          </w:tcPr>
          <w:p>
            <w:pPr>
              <w:spacing w:before="120" w:after="120"/>
              <w:ind w:firstLine="360"/>
              <w:jc w:val="center"/>
              <w:rPr>
                <w:rFonts w:cs="宋体"/>
                <w:color w:val="auto"/>
                <w:sz w:val="18"/>
                <w:szCs w:val="18"/>
                <w:lang w:eastAsia="en-US"/>
              </w:rPr>
            </w:pPr>
          </w:p>
        </w:tc>
        <w:tc>
          <w:tcPr>
            <w:tcW w:w="2968" w:type="dxa"/>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构造柱</w:t>
            </w:r>
          </w:p>
        </w:tc>
        <w:tc>
          <w:tcPr>
            <w:tcW w:w="2675" w:type="dxa"/>
            <w:vMerge w:val="continue"/>
            <w:noWrap/>
            <w:vAlign w:val="center"/>
          </w:tcPr>
          <w:p>
            <w:pPr>
              <w:spacing w:before="120" w:after="120"/>
              <w:ind w:firstLine="360"/>
              <w:jc w:val="center"/>
              <w:rPr>
                <w:rFonts w:cs="宋体"/>
                <w:color w:val="auto"/>
                <w:sz w:val="18"/>
                <w:szCs w:val="18"/>
                <w:lang w:eastAsia="en-US"/>
              </w:rPr>
            </w:pPr>
          </w:p>
        </w:tc>
        <w:tc>
          <w:tcPr>
            <w:tcW w:w="2957" w:type="dxa"/>
            <w:vMerge w:val="continue"/>
            <w:noWrap/>
            <w:vAlign w:val="center"/>
          </w:tcPr>
          <w:p>
            <w:pPr>
              <w:spacing w:before="120" w:after="120"/>
              <w:ind w:firstLine="360"/>
              <w:jc w:val="center"/>
              <w:rPr>
                <w:rFonts w:cs="宋体"/>
                <w:color w:val="auto"/>
                <w:sz w:val="18"/>
                <w:szCs w:val="18"/>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80" w:type="dxa"/>
            <w:vMerge w:val="continue"/>
            <w:noWrap/>
            <w:vAlign w:val="center"/>
          </w:tcPr>
          <w:p>
            <w:pPr>
              <w:spacing w:before="120" w:after="120"/>
              <w:ind w:firstLine="360"/>
              <w:jc w:val="center"/>
              <w:rPr>
                <w:rFonts w:cs="宋体"/>
                <w:color w:val="auto"/>
                <w:sz w:val="18"/>
                <w:szCs w:val="18"/>
                <w:lang w:eastAsia="en-US"/>
              </w:rPr>
            </w:pPr>
          </w:p>
        </w:tc>
        <w:tc>
          <w:tcPr>
            <w:tcW w:w="2968" w:type="dxa"/>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混凝土梁</w:t>
            </w:r>
          </w:p>
        </w:tc>
        <w:tc>
          <w:tcPr>
            <w:tcW w:w="2675" w:type="dxa"/>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梁类型名-尺寸</w:t>
            </w:r>
          </w:p>
        </w:tc>
        <w:tc>
          <w:tcPr>
            <w:tcW w:w="2957" w:type="dxa"/>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混凝土梁-600X300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80" w:type="dxa"/>
            <w:vMerge w:val="restart"/>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机电</w:t>
            </w:r>
          </w:p>
        </w:tc>
        <w:tc>
          <w:tcPr>
            <w:tcW w:w="2968" w:type="dxa"/>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风管</w:t>
            </w:r>
          </w:p>
        </w:tc>
        <w:tc>
          <w:tcPr>
            <w:tcW w:w="2675" w:type="dxa"/>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风管类型</w:t>
            </w:r>
          </w:p>
        </w:tc>
        <w:tc>
          <w:tcPr>
            <w:tcW w:w="2957" w:type="dxa"/>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矩形镀锌风管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80" w:type="dxa"/>
            <w:vMerge w:val="continue"/>
            <w:noWrap/>
            <w:vAlign w:val="center"/>
          </w:tcPr>
          <w:p>
            <w:pPr>
              <w:spacing w:before="120" w:after="120"/>
              <w:ind w:firstLine="360"/>
              <w:jc w:val="center"/>
              <w:rPr>
                <w:rFonts w:cs="宋体"/>
                <w:color w:val="auto"/>
                <w:sz w:val="18"/>
                <w:szCs w:val="18"/>
                <w:lang w:eastAsia="en-US"/>
              </w:rPr>
            </w:pPr>
          </w:p>
        </w:tc>
        <w:tc>
          <w:tcPr>
            <w:tcW w:w="2968" w:type="dxa"/>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水管</w:t>
            </w:r>
          </w:p>
        </w:tc>
        <w:tc>
          <w:tcPr>
            <w:tcW w:w="2675" w:type="dxa"/>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管道材质</w:t>
            </w:r>
          </w:p>
        </w:tc>
        <w:tc>
          <w:tcPr>
            <w:tcW w:w="2957" w:type="dxa"/>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热镀锌钢管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80" w:type="dxa"/>
            <w:vMerge w:val="continue"/>
            <w:noWrap/>
            <w:vAlign w:val="center"/>
          </w:tcPr>
          <w:p>
            <w:pPr>
              <w:spacing w:before="120" w:after="120"/>
              <w:ind w:firstLine="360"/>
              <w:jc w:val="center"/>
              <w:rPr>
                <w:rFonts w:cs="宋体"/>
                <w:color w:val="auto"/>
                <w:sz w:val="18"/>
                <w:szCs w:val="18"/>
                <w:lang w:eastAsia="en-US"/>
              </w:rPr>
            </w:pPr>
          </w:p>
        </w:tc>
        <w:tc>
          <w:tcPr>
            <w:tcW w:w="2968" w:type="dxa"/>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桥架</w:t>
            </w:r>
          </w:p>
        </w:tc>
        <w:tc>
          <w:tcPr>
            <w:tcW w:w="2675" w:type="dxa"/>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桥架类型-系统</w:t>
            </w:r>
          </w:p>
        </w:tc>
        <w:tc>
          <w:tcPr>
            <w:tcW w:w="2957" w:type="dxa"/>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CT-普通强电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80" w:type="dxa"/>
            <w:vMerge w:val="continue"/>
            <w:noWrap/>
            <w:vAlign w:val="center"/>
          </w:tcPr>
          <w:p>
            <w:pPr>
              <w:spacing w:before="120" w:after="120"/>
              <w:ind w:firstLine="360"/>
              <w:jc w:val="center"/>
              <w:rPr>
                <w:rFonts w:cs="宋体"/>
                <w:color w:val="auto"/>
                <w:sz w:val="18"/>
                <w:szCs w:val="18"/>
                <w:lang w:eastAsia="en-US"/>
              </w:rPr>
            </w:pPr>
          </w:p>
        </w:tc>
        <w:tc>
          <w:tcPr>
            <w:tcW w:w="2968" w:type="dxa"/>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设备</w:t>
            </w:r>
          </w:p>
        </w:tc>
        <w:tc>
          <w:tcPr>
            <w:tcW w:w="2675" w:type="dxa"/>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与设计图纸一致</w:t>
            </w:r>
          </w:p>
        </w:tc>
        <w:tc>
          <w:tcPr>
            <w:tcW w:w="2957" w:type="dxa"/>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与设计图纸一致</w:t>
            </w:r>
          </w:p>
        </w:tc>
      </w:tr>
    </w:tbl>
    <w:p>
      <w:pPr>
        <w:pStyle w:val="587"/>
        <w:numPr>
          <w:ilvl w:val="2"/>
          <w:numId w:val="3"/>
        </w:numPr>
        <w:spacing w:beforeLines="50" w:afterLines="50" w:line="360" w:lineRule="auto"/>
        <w:outlineLvl w:val="3"/>
        <w:rPr>
          <w:rFonts w:ascii="LNUHNF+SimSun" w:hAnsi="LNUHNF+SimSun" w:cs="宋体"/>
          <w:color w:val="auto"/>
          <w:szCs w:val="21"/>
        </w:rPr>
      </w:pPr>
      <w:bookmarkStart w:id="624" w:name="_Toc15376"/>
      <w:bookmarkStart w:id="625" w:name="_Toc25919"/>
      <w:r>
        <w:rPr>
          <w:rFonts w:hint="eastAsia" w:ascii="LNUHNF+SimSun" w:hAnsi="LNUHNF+SimSun" w:cs="宋体"/>
          <w:color w:val="auto"/>
          <w:szCs w:val="21"/>
        </w:rPr>
        <w:t>模型材质命名</w:t>
      </w:r>
      <w:bookmarkEnd w:id="624"/>
      <w:bookmarkEnd w:id="625"/>
    </w:p>
    <w:p>
      <w:pPr>
        <w:spacing w:before="120" w:after="120"/>
        <w:rPr>
          <w:rFonts w:ascii="LNUHNF+SimSun" w:hAnsi="LNUHNF+SimSun" w:cs="宋体"/>
          <w:color w:val="auto"/>
          <w:szCs w:val="21"/>
        </w:rPr>
      </w:pPr>
      <w:r>
        <w:rPr>
          <w:rFonts w:hint="eastAsia" w:ascii="LNUHNF+SimSun" w:hAnsi="LNUHNF+SimSun" w:cs="宋体"/>
          <w:color w:val="auto"/>
          <w:szCs w:val="21"/>
        </w:rPr>
        <w:t>材质的命名分类清晰，便于查找，命名参考设置应由材质“类别”和“名称”的实际名</w:t>
      </w:r>
      <w:r>
        <w:rPr>
          <w:rFonts w:ascii="LNUHNF+SimSun" w:hAnsi="LNUHNF+SimSun" w:cs="宋体"/>
          <w:color w:val="auto"/>
          <w:szCs w:val="21"/>
        </w:rPr>
        <w:t>称组成。</w:t>
      </w:r>
    </w:p>
    <w:p>
      <w:pPr>
        <w:spacing w:before="120" w:after="120"/>
        <w:rPr>
          <w:rFonts w:ascii="LNUHNF+SimSun" w:hAnsi="LNUHNF+SimSun" w:cs="宋体"/>
          <w:color w:val="auto"/>
          <w:szCs w:val="21"/>
        </w:rPr>
      </w:pPr>
      <w:r>
        <w:rPr>
          <w:rFonts w:ascii="LNUHNF+SimSun" w:hAnsi="LNUHNF+SimSun" w:cs="宋体"/>
          <w:color w:val="auto"/>
          <w:szCs w:val="21"/>
        </w:rPr>
        <w:t>例如：玻璃—磨砂，现场浇筑混凝土—C30</w:t>
      </w:r>
    </w:p>
    <w:p>
      <w:pPr>
        <w:pStyle w:val="587"/>
        <w:numPr>
          <w:ilvl w:val="2"/>
          <w:numId w:val="3"/>
        </w:numPr>
        <w:spacing w:beforeLines="50" w:afterLines="50" w:line="360" w:lineRule="auto"/>
        <w:outlineLvl w:val="3"/>
        <w:rPr>
          <w:rFonts w:ascii="LNUHNF+SimSun" w:hAnsi="LNUHNF+SimSun" w:cs="宋体"/>
          <w:color w:val="auto"/>
          <w:szCs w:val="21"/>
        </w:rPr>
      </w:pPr>
      <w:bookmarkStart w:id="626" w:name="_Toc14332"/>
      <w:bookmarkStart w:id="627" w:name="_Toc27751"/>
      <w:r>
        <w:rPr>
          <w:rFonts w:ascii="LNUHNF+SimSun" w:hAnsi="LNUHNF+SimSun" w:cs="宋体"/>
          <w:color w:val="auto"/>
          <w:szCs w:val="21"/>
        </w:rPr>
        <w:t>模型楼层命名</w:t>
      </w:r>
      <w:bookmarkEnd w:id="626"/>
      <w:bookmarkEnd w:id="627"/>
    </w:p>
    <w:p>
      <w:pPr>
        <w:spacing w:before="120" w:after="120"/>
        <w:rPr>
          <w:rFonts w:ascii="LNUHNF+SimSun" w:hAnsi="LNUHNF+SimSun" w:cs="宋体"/>
          <w:color w:val="auto"/>
          <w:szCs w:val="21"/>
        </w:rPr>
      </w:pPr>
      <w:r>
        <w:rPr>
          <w:rFonts w:ascii="LNUHNF+SimSun" w:hAnsi="LNUHNF+SimSun" w:cs="宋体"/>
          <w:color w:val="auto"/>
          <w:szCs w:val="21"/>
        </w:rPr>
        <w:t>楼层命名应与设计</w:t>
      </w:r>
      <w:r>
        <w:rPr>
          <w:color w:val="auto"/>
        </w:rPr>
        <w:t>图纸</w:t>
      </w:r>
      <w:r>
        <w:rPr>
          <w:rFonts w:ascii="LNUHNF+SimSun" w:hAnsi="LNUHNF+SimSun" w:cs="宋体"/>
          <w:color w:val="auto"/>
          <w:szCs w:val="21"/>
        </w:rPr>
        <w:t>保持一致。</w:t>
      </w:r>
    </w:p>
    <w:p>
      <w:pPr>
        <w:pStyle w:val="585"/>
        <w:tabs>
          <w:tab w:val="left" w:pos="5424"/>
        </w:tabs>
        <w:spacing w:before="120" w:after="120" w:line="360" w:lineRule="auto"/>
        <w:ind w:left="0"/>
        <w:outlineLvl w:val="1"/>
        <w:rPr>
          <w:rFonts w:ascii="Times New Roman" w:hAnsi="Times New Roman" w:eastAsia="黑体"/>
          <w:b w:val="0"/>
          <w:bCs/>
          <w:color w:val="auto"/>
          <w:sz w:val="24"/>
          <w:szCs w:val="24"/>
        </w:rPr>
      </w:pPr>
      <w:bookmarkStart w:id="628" w:name="_Toc20707"/>
      <w:bookmarkStart w:id="629" w:name="_Toc28092"/>
      <w:bookmarkStart w:id="630" w:name="_Toc62460192"/>
      <w:bookmarkStart w:id="631" w:name="_Toc14405"/>
      <w:bookmarkStart w:id="632" w:name="_Toc32371"/>
      <w:r>
        <w:rPr>
          <w:rFonts w:ascii="Times New Roman" w:hAnsi="Times New Roman" w:eastAsia="黑体"/>
          <w:b w:val="0"/>
          <w:bCs/>
          <w:color w:val="auto"/>
          <w:sz w:val="24"/>
          <w:szCs w:val="24"/>
        </w:rPr>
        <w:t>模型拆分管理</w:t>
      </w:r>
      <w:bookmarkEnd w:id="628"/>
      <w:bookmarkEnd w:id="629"/>
      <w:bookmarkEnd w:id="630"/>
      <w:bookmarkEnd w:id="631"/>
      <w:bookmarkEnd w:id="632"/>
    </w:p>
    <w:p>
      <w:pPr>
        <w:pStyle w:val="587"/>
        <w:numPr>
          <w:ilvl w:val="0"/>
          <w:numId w:val="0"/>
        </w:numPr>
        <w:spacing w:beforeLines="50" w:afterLines="50" w:line="360" w:lineRule="auto"/>
        <w:ind w:firstLine="420" w:firstLineChars="200"/>
        <w:outlineLvl w:val="9"/>
        <w:rPr>
          <w:color w:val="auto"/>
        </w:rPr>
      </w:pPr>
      <w:bookmarkStart w:id="633" w:name="_Toc28334"/>
      <w:bookmarkStart w:id="634" w:name="_Toc11843"/>
      <w:r>
        <w:rPr>
          <w:rFonts w:hint="eastAsia"/>
          <w:color w:val="auto"/>
        </w:rPr>
        <w:t>模型拆分按各个建筑的单体、专业、区域或楼层进行拆分，拆分原则如下：</w:t>
      </w:r>
      <w:bookmarkEnd w:id="633"/>
      <w:bookmarkEnd w:id="634"/>
    </w:p>
    <w:p>
      <w:pPr>
        <w:spacing w:before="120" w:after="120"/>
        <w:outlineLvl w:val="4"/>
        <w:rPr>
          <w:color w:val="auto"/>
          <w:szCs w:val="21"/>
        </w:rPr>
      </w:pPr>
      <w:bookmarkStart w:id="635" w:name="_Toc11092"/>
      <w:bookmarkStart w:id="636" w:name="_Toc17479"/>
      <w:r>
        <w:rPr>
          <w:rFonts w:hint="eastAsia"/>
          <w:color w:val="auto"/>
          <w:szCs w:val="21"/>
        </w:rPr>
        <w:t>1按专业分类划分</w:t>
      </w:r>
      <w:bookmarkEnd w:id="635"/>
      <w:bookmarkEnd w:id="636"/>
    </w:p>
    <w:p>
      <w:pPr>
        <w:spacing w:before="120" w:after="120"/>
        <w:rPr>
          <w:color w:val="auto"/>
        </w:rPr>
      </w:pPr>
      <w:r>
        <w:rPr>
          <w:rFonts w:hint="eastAsia"/>
          <w:color w:val="auto"/>
        </w:rPr>
        <w:t>项目模型按照专业分类进行划分。若有外立面幕墙部分，将作为子专业分离出来，相关模型保存在对应文件夹中。项目模型拆分专业为：土建（建筑结构），机电，幕墙外立面。</w:t>
      </w:r>
    </w:p>
    <w:p>
      <w:pPr>
        <w:spacing w:before="120" w:after="120"/>
        <w:outlineLvl w:val="4"/>
        <w:rPr>
          <w:color w:val="auto"/>
        </w:rPr>
      </w:pPr>
      <w:bookmarkStart w:id="637" w:name="_Toc1203"/>
      <w:bookmarkStart w:id="638" w:name="_Toc19422"/>
      <w:r>
        <w:rPr>
          <w:rFonts w:hint="eastAsia"/>
          <w:color w:val="auto"/>
        </w:rPr>
        <w:t>2按楼层</w:t>
      </w:r>
      <w:r>
        <w:rPr>
          <w:rFonts w:hint="eastAsia"/>
          <w:color w:val="auto"/>
          <w:szCs w:val="21"/>
        </w:rPr>
        <w:t>划分</w:t>
      </w:r>
      <w:bookmarkEnd w:id="637"/>
      <w:bookmarkEnd w:id="638"/>
    </w:p>
    <w:p>
      <w:pPr>
        <w:spacing w:before="120" w:after="120"/>
        <w:rPr>
          <w:color w:val="auto"/>
        </w:rPr>
      </w:pPr>
      <w:r>
        <w:rPr>
          <w:rFonts w:hint="eastAsia"/>
          <w:color w:val="auto"/>
        </w:rPr>
        <w:t>各专业模型需按楼层进行划分。</w:t>
      </w:r>
    </w:p>
    <w:p>
      <w:pPr>
        <w:spacing w:before="120" w:after="120"/>
        <w:outlineLvl w:val="4"/>
        <w:rPr>
          <w:color w:val="auto"/>
        </w:rPr>
      </w:pPr>
      <w:bookmarkStart w:id="639" w:name="_Toc9950"/>
      <w:bookmarkStart w:id="640" w:name="_Toc32206"/>
      <w:r>
        <w:rPr>
          <w:rFonts w:hint="eastAsia"/>
          <w:color w:val="auto"/>
        </w:rPr>
        <w:t>3按机电系统划分</w:t>
      </w:r>
      <w:bookmarkEnd w:id="639"/>
      <w:bookmarkEnd w:id="640"/>
    </w:p>
    <w:p>
      <w:pPr>
        <w:spacing w:before="120" w:after="120"/>
        <w:rPr>
          <w:color w:val="auto"/>
        </w:rPr>
      </w:pPr>
      <w:r>
        <w:rPr>
          <w:rFonts w:hint="eastAsia"/>
          <w:color w:val="auto"/>
        </w:rPr>
        <w:t>机电各专业在楼层的基础上还需按系统划分。</w:t>
      </w:r>
    </w:p>
    <w:p>
      <w:pPr>
        <w:spacing w:before="120" w:after="120"/>
        <w:outlineLvl w:val="4"/>
        <w:rPr>
          <w:color w:val="auto"/>
        </w:rPr>
      </w:pPr>
      <w:bookmarkStart w:id="641" w:name="_Toc5250"/>
      <w:bookmarkStart w:id="642" w:name="_Toc10570"/>
      <w:r>
        <w:rPr>
          <w:rFonts w:hint="eastAsia"/>
          <w:color w:val="auto"/>
        </w:rPr>
        <w:t>4</w:t>
      </w:r>
      <w:r>
        <w:rPr>
          <w:color w:val="auto"/>
        </w:rPr>
        <w:t xml:space="preserve">  按分包区域划分</w:t>
      </w:r>
      <w:bookmarkEnd w:id="641"/>
      <w:bookmarkEnd w:id="642"/>
      <w:bookmarkStart w:id="643" w:name="_bookmark27"/>
      <w:bookmarkEnd w:id="643"/>
    </w:p>
    <w:p>
      <w:pPr>
        <w:spacing w:before="120" w:after="120"/>
        <w:rPr>
          <w:color w:val="auto"/>
        </w:rPr>
      </w:pPr>
      <w:r>
        <w:rPr>
          <w:color w:val="auto"/>
        </w:rPr>
        <w:t>在施工阶段应根据施工分包区域划分模型。</w:t>
      </w:r>
    </w:p>
    <w:p>
      <w:pPr>
        <w:pStyle w:val="42"/>
        <w:spacing w:before="120" w:after="120"/>
        <w:ind w:firstLine="420"/>
        <w:rPr>
          <w:color w:val="auto"/>
        </w:rPr>
      </w:pPr>
    </w:p>
    <w:p>
      <w:pPr>
        <w:pStyle w:val="498"/>
        <w:spacing w:beforeLines="50" w:afterLines="50" w:line="360" w:lineRule="auto"/>
        <w:ind w:firstLine="360"/>
        <w:jc w:val="center"/>
        <w:rPr>
          <w:rFonts w:ascii="黑体" w:hAnsi="黑体" w:eastAsia="黑体" w:cs="黑体"/>
          <w:color w:val="auto"/>
          <w:sz w:val="18"/>
          <w:szCs w:val="18"/>
        </w:rPr>
      </w:pPr>
      <w:r>
        <w:rPr>
          <w:rFonts w:ascii="黑体" w:hAnsi="黑体" w:eastAsia="黑体" w:cs="黑体"/>
          <w:color w:val="auto"/>
          <w:sz w:val="18"/>
          <w:szCs w:val="18"/>
        </w:rPr>
        <w:t>表2.3  模型拆分示意</w:t>
      </w:r>
    </w:p>
    <w:tbl>
      <w:tblPr>
        <w:tblStyle w:val="55"/>
        <w:tblW w:w="10080" w:type="dxa"/>
        <w:tblInd w:w="0" w:type="dxa"/>
        <w:tblLayout w:type="fixed"/>
        <w:tblCellMar>
          <w:top w:w="0" w:type="dxa"/>
          <w:left w:w="0" w:type="dxa"/>
          <w:bottom w:w="0" w:type="dxa"/>
          <w:right w:w="0" w:type="dxa"/>
        </w:tblCellMar>
      </w:tblPr>
      <w:tblGrid>
        <w:gridCol w:w="754"/>
        <w:gridCol w:w="1421"/>
        <w:gridCol w:w="7905"/>
      </w:tblGrid>
      <w:tr>
        <w:tblPrEx>
          <w:tblCellMar>
            <w:top w:w="0" w:type="dxa"/>
            <w:left w:w="0" w:type="dxa"/>
            <w:bottom w:w="0" w:type="dxa"/>
            <w:right w:w="0" w:type="dxa"/>
          </w:tblCellMar>
        </w:tblPrEx>
        <w:trPr>
          <w:trHeight w:val="454" w:hRule="atLeast"/>
        </w:trPr>
        <w:tc>
          <w:tcPr>
            <w:tcW w:w="754"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序号</w:t>
            </w:r>
          </w:p>
        </w:tc>
        <w:tc>
          <w:tcPr>
            <w:tcW w:w="1421"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专业</w:t>
            </w:r>
          </w:p>
        </w:tc>
        <w:tc>
          <w:tcPr>
            <w:tcW w:w="7905"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模型拆分规则</w:t>
            </w:r>
          </w:p>
        </w:tc>
      </w:tr>
      <w:tr>
        <w:tblPrEx>
          <w:tblCellMar>
            <w:top w:w="0" w:type="dxa"/>
            <w:left w:w="0" w:type="dxa"/>
            <w:bottom w:w="0" w:type="dxa"/>
            <w:right w:w="0" w:type="dxa"/>
          </w:tblCellMar>
        </w:tblPrEx>
        <w:trPr>
          <w:trHeight w:val="454" w:hRule="atLeast"/>
        </w:trPr>
        <w:tc>
          <w:tcPr>
            <w:tcW w:w="754"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1</w:t>
            </w:r>
          </w:p>
        </w:tc>
        <w:tc>
          <w:tcPr>
            <w:tcW w:w="1421"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建筑</w:t>
            </w:r>
          </w:p>
        </w:tc>
        <w:tc>
          <w:tcPr>
            <w:tcW w:w="7905"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rPr>
            </w:pPr>
            <w:r>
              <w:rPr>
                <w:rFonts w:cs="宋体"/>
                <w:color w:val="auto"/>
                <w:sz w:val="18"/>
                <w:szCs w:val="18"/>
              </w:rPr>
              <w:t>按建筑、楼号、施工缝、构件功能分一个单体、一层楼层或多层楼层</w:t>
            </w:r>
          </w:p>
        </w:tc>
      </w:tr>
      <w:tr>
        <w:tblPrEx>
          <w:tblCellMar>
            <w:top w:w="0" w:type="dxa"/>
            <w:left w:w="0" w:type="dxa"/>
            <w:bottom w:w="0" w:type="dxa"/>
            <w:right w:w="0" w:type="dxa"/>
          </w:tblCellMar>
        </w:tblPrEx>
        <w:trPr>
          <w:trHeight w:val="454" w:hRule="atLeast"/>
        </w:trPr>
        <w:tc>
          <w:tcPr>
            <w:tcW w:w="754"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2</w:t>
            </w:r>
          </w:p>
        </w:tc>
        <w:tc>
          <w:tcPr>
            <w:tcW w:w="1421"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结构</w:t>
            </w:r>
          </w:p>
        </w:tc>
        <w:tc>
          <w:tcPr>
            <w:tcW w:w="7905"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rPr>
            </w:pPr>
            <w:r>
              <w:rPr>
                <w:rFonts w:cs="宋体"/>
                <w:color w:val="auto"/>
                <w:sz w:val="18"/>
                <w:szCs w:val="18"/>
              </w:rPr>
              <w:t>按建筑、楼号、施工缝、构件功能分一个单体、一层楼层或多层楼层</w:t>
            </w:r>
          </w:p>
        </w:tc>
      </w:tr>
      <w:tr>
        <w:tblPrEx>
          <w:tblCellMar>
            <w:top w:w="0" w:type="dxa"/>
            <w:left w:w="0" w:type="dxa"/>
            <w:bottom w:w="0" w:type="dxa"/>
            <w:right w:w="0" w:type="dxa"/>
          </w:tblCellMar>
        </w:tblPrEx>
        <w:trPr>
          <w:trHeight w:val="454" w:hRule="atLeast"/>
        </w:trPr>
        <w:tc>
          <w:tcPr>
            <w:tcW w:w="754"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3</w:t>
            </w:r>
          </w:p>
        </w:tc>
        <w:tc>
          <w:tcPr>
            <w:tcW w:w="1421"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机电</w:t>
            </w:r>
          </w:p>
        </w:tc>
        <w:tc>
          <w:tcPr>
            <w:tcW w:w="7905"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rPr>
            </w:pPr>
            <w:r>
              <w:rPr>
                <w:rFonts w:cs="宋体"/>
                <w:color w:val="auto"/>
                <w:sz w:val="18"/>
                <w:szCs w:val="18"/>
              </w:rPr>
              <w:t>参照建筑专业拆分方式，根据系统、子系统可进一步细化</w:t>
            </w:r>
          </w:p>
        </w:tc>
      </w:tr>
    </w:tbl>
    <w:p>
      <w:pPr>
        <w:pStyle w:val="585"/>
        <w:tabs>
          <w:tab w:val="left" w:pos="5424"/>
        </w:tabs>
        <w:spacing w:before="120" w:after="120" w:line="360" w:lineRule="auto"/>
        <w:ind w:left="0"/>
        <w:outlineLvl w:val="1"/>
        <w:rPr>
          <w:rFonts w:ascii="Times New Roman" w:hAnsi="Times New Roman" w:eastAsia="黑体"/>
          <w:b w:val="0"/>
          <w:bCs/>
          <w:color w:val="auto"/>
          <w:sz w:val="24"/>
          <w:szCs w:val="24"/>
        </w:rPr>
      </w:pPr>
      <w:bookmarkStart w:id="644" w:name="_Toc62460193"/>
      <w:bookmarkStart w:id="645" w:name="_Toc22620"/>
      <w:bookmarkStart w:id="646" w:name="_Toc10349"/>
      <w:bookmarkStart w:id="647" w:name="_Toc12068"/>
      <w:bookmarkStart w:id="648" w:name="_Toc5085"/>
      <w:r>
        <w:rPr>
          <w:rFonts w:ascii="Times New Roman" w:hAnsi="Times New Roman" w:eastAsia="黑体"/>
          <w:b w:val="0"/>
          <w:bCs/>
          <w:color w:val="auto"/>
          <w:sz w:val="24"/>
          <w:szCs w:val="24"/>
        </w:rPr>
        <w:t>模型图形管理</w:t>
      </w:r>
      <w:bookmarkEnd w:id="644"/>
      <w:bookmarkEnd w:id="645"/>
      <w:bookmarkEnd w:id="646"/>
      <w:bookmarkEnd w:id="647"/>
      <w:bookmarkEnd w:id="648"/>
    </w:p>
    <w:p>
      <w:pPr>
        <w:pStyle w:val="587"/>
        <w:numPr>
          <w:ilvl w:val="0"/>
          <w:numId w:val="0"/>
        </w:numPr>
        <w:spacing w:beforeLines="50" w:afterLines="50" w:line="360" w:lineRule="auto"/>
        <w:ind w:firstLine="420" w:firstLineChars="200"/>
        <w:outlineLvl w:val="9"/>
        <w:rPr>
          <w:color w:val="auto"/>
        </w:rPr>
      </w:pPr>
      <w:bookmarkStart w:id="649" w:name="_Toc12394"/>
      <w:bookmarkStart w:id="650" w:name="_Toc24220"/>
      <w:r>
        <w:rPr>
          <w:color w:val="auto"/>
        </w:rPr>
        <w:t>应根据项目各参与方的企业标准及使用习惯制定项目的模型配色及线型要求，并应符合以下原则：</w:t>
      </w:r>
      <w:bookmarkEnd w:id="649"/>
      <w:bookmarkEnd w:id="650"/>
    </w:p>
    <w:p>
      <w:pPr>
        <w:spacing w:before="120" w:after="120"/>
        <w:outlineLvl w:val="4"/>
        <w:rPr>
          <w:color w:val="auto"/>
          <w:szCs w:val="21"/>
        </w:rPr>
      </w:pPr>
      <w:bookmarkStart w:id="651" w:name="_Toc16206"/>
      <w:bookmarkStart w:id="652" w:name="_Toc28825"/>
      <w:r>
        <w:rPr>
          <w:color w:val="auto"/>
          <w:szCs w:val="21"/>
        </w:rPr>
        <w:t>1  具体实施根据项目要求而定，模型颜色应与设计图纸保持一致；</w:t>
      </w:r>
      <w:bookmarkEnd w:id="651"/>
      <w:bookmarkEnd w:id="652"/>
    </w:p>
    <w:p>
      <w:pPr>
        <w:spacing w:before="120" w:after="120"/>
        <w:outlineLvl w:val="4"/>
        <w:rPr>
          <w:color w:val="auto"/>
          <w:szCs w:val="21"/>
        </w:rPr>
      </w:pPr>
      <w:bookmarkStart w:id="653" w:name="_Toc31061"/>
      <w:bookmarkStart w:id="654" w:name="_Toc32118"/>
      <w:r>
        <w:rPr>
          <w:color w:val="auto"/>
          <w:szCs w:val="21"/>
        </w:rPr>
        <w:t>2  模型二维配色及线型应清晰鲜明，符合出图标准要求；</w:t>
      </w:r>
      <w:bookmarkEnd w:id="653"/>
      <w:bookmarkEnd w:id="654"/>
    </w:p>
    <w:p>
      <w:pPr>
        <w:spacing w:before="120" w:after="120"/>
        <w:outlineLvl w:val="4"/>
        <w:rPr>
          <w:color w:val="auto"/>
          <w:szCs w:val="21"/>
        </w:rPr>
      </w:pPr>
      <w:bookmarkStart w:id="655" w:name="_Toc463"/>
      <w:bookmarkStart w:id="656" w:name="_Toc31385"/>
      <w:r>
        <w:rPr>
          <w:color w:val="auto"/>
          <w:szCs w:val="21"/>
        </w:rPr>
        <w:t>3  机电专业可根据系统划分三维配色体系，三维配色应采用不同色系方便区分不同系统分类。机电专业管线构件命名及配色不作强制要求。</w:t>
      </w:r>
      <w:bookmarkEnd w:id="655"/>
      <w:bookmarkEnd w:id="656"/>
    </w:p>
    <w:p>
      <w:pPr>
        <w:pStyle w:val="585"/>
        <w:tabs>
          <w:tab w:val="left" w:pos="5424"/>
        </w:tabs>
        <w:spacing w:before="120" w:after="120" w:line="360" w:lineRule="auto"/>
        <w:ind w:left="0"/>
        <w:outlineLvl w:val="1"/>
        <w:rPr>
          <w:rFonts w:ascii="Times New Roman" w:hAnsi="Times New Roman" w:eastAsia="黑体"/>
          <w:b w:val="0"/>
          <w:bCs/>
          <w:color w:val="auto"/>
          <w:sz w:val="24"/>
          <w:szCs w:val="24"/>
        </w:rPr>
      </w:pPr>
      <w:bookmarkStart w:id="657" w:name="_Toc9978"/>
      <w:bookmarkStart w:id="658" w:name="_Toc62460194"/>
      <w:bookmarkStart w:id="659" w:name="_Toc31337"/>
      <w:bookmarkStart w:id="660" w:name="_Toc9221"/>
      <w:bookmarkStart w:id="661" w:name="_Toc23986"/>
      <w:r>
        <w:rPr>
          <w:rFonts w:ascii="Times New Roman" w:hAnsi="Times New Roman" w:eastAsia="黑体"/>
          <w:b w:val="0"/>
          <w:bCs/>
          <w:color w:val="auto"/>
          <w:sz w:val="24"/>
          <w:szCs w:val="24"/>
        </w:rPr>
        <w:t>单位坐标设置</w:t>
      </w:r>
      <w:bookmarkEnd w:id="657"/>
      <w:bookmarkEnd w:id="658"/>
      <w:bookmarkEnd w:id="659"/>
      <w:bookmarkEnd w:id="660"/>
      <w:bookmarkEnd w:id="661"/>
    </w:p>
    <w:p>
      <w:pPr>
        <w:pStyle w:val="587"/>
        <w:numPr>
          <w:ilvl w:val="0"/>
          <w:numId w:val="0"/>
        </w:numPr>
        <w:spacing w:beforeLines="50" w:afterLines="50" w:line="360" w:lineRule="auto"/>
        <w:ind w:firstLine="420" w:firstLineChars="200"/>
        <w:jc w:val="both"/>
        <w:outlineLvl w:val="9"/>
        <w:rPr>
          <w:color w:val="auto"/>
        </w:rPr>
      </w:pPr>
      <w:bookmarkStart w:id="662" w:name="_Toc11360"/>
      <w:bookmarkStart w:id="663" w:name="_Toc24804"/>
      <w:r>
        <w:rPr>
          <w:rFonts w:hint="eastAsia"/>
          <w:color w:val="auto"/>
        </w:rPr>
        <w:t>项目样板</w:t>
      </w:r>
      <w:r>
        <w:rPr>
          <w:rFonts w:hint="eastAsia" w:ascii="LNUHNF+SimSun" w:hAnsi="LNUHNF+SimSun" w:cs="宋体"/>
          <w:color w:val="auto"/>
          <w:szCs w:val="21"/>
        </w:rPr>
        <w:t>文件定义</w:t>
      </w:r>
      <w:r>
        <w:rPr>
          <w:rFonts w:hint="eastAsia"/>
          <w:color w:val="auto"/>
        </w:rPr>
        <w:t>单位及坐标基本参数，设置参考内容如下：</w:t>
      </w:r>
      <w:bookmarkEnd w:id="662"/>
      <w:bookmarkEnd w:id="663"/>
    </w:p>
    <w:p>
      <w:pPr>
        <w:pStyle w:val="498"/>
        <w:spacing w:beforeLines="50" w:afterLines="50" w:line="360" w:lineRule="auto"/>
        <w:ind w:firstLine="360"/>
        <w:jc w:val="center"/>
        <w:rPr>
          <w:rFonts w:ascii="黑体" w:hAnsi="黑体" w:eastAsia="黑体" w:cs="黑体"/>
          <w:color w:val="auto"/>
          <w:sz w:val="18"/>
          <w:szCs w:val="18"/>
        </w:rPr>
      </w:pPr>
      <w:r>
        <w:rPr>
          <w:rFonts w:hint="eastAsia" w:ascii="黑体" w:hAnsi="黑体" w:eastAsia="黑体" w:cs="黑体"/>
          <w:color w:val="auto"/>
          <w:sz w:val="18"/>
          <w:szCs w:val="18"/>
        </w:rPr>
        <w:t>表2.5信息模型单位、坐标要求</w:t>
      </w:r>
    </w:p>
    <w:tbl>
      <w:tblPr>
        <w:tblStyle w:val="55"/>
        <w:tblW w:w="10080" w:type="dxa"/>
        <w:tblInd w:w="0" w:type="dxa"/>
        <w:tblLayout w:type="fixed"/>
        <w:tblCellMar>
          <w:top w:w="0" w:type="dxa"/>
          <w:left w:w="0" w:type="dxa"/>
          <w:bottom w:w="0" w:type="dxa"/>
          <w:right w:w="0" w:type="dxa"/>
        </w:tblCellMar>
      </w:tblPr>
      <w:tblGrid>
        <w:gridCol w:w="742"/>
        <w:gridCol w:w="9338"/>
      </w:tblGrid>
      <w:tr>
        <w:tblPrEx>
          <w:tblCellMar>
            <w:top w:w="0" w:type="dxa"/>
            <w:left w:w="0" w:type="dxa"/>
            <w:bottom w:w="0" w:type="dxa"/>
            <w:right w:w="0" w:type="dxa"/>
          </w:tblCellMar>
        </w:tblPrEx>
        <w:trPr>
          <w:trHeight w:val="454" w:hRule="atLeast"/>
        </w:trPr>
        <w:tc>
          <w:tcPr>
            <w:tcW w:w="742"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序号</w:t>
            </w:r>
          </w:p>
        </w:tc>
        <w:tc>
          <w:tcPr>
            <w:tcW w:w="9338"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设置内容</w:t>
            </w:r>
          </w:p>
        </w:tc>
      </w:tr>
      <w:tr>
        <w:tblPrEx>
          <w:tblCellMar>
            <w:top w:w="0" w:type="dxa"/>
            <w:left w:w="0" w:type="dxa"/>
            <w:bottom w:w="0" w:type="dxa"/>
            <w:right w:w="0" w:type="dxa"/>
          </w:tblCellMar>
        </w:tblPrEx>
        <w:trPr>
          <w:trHeight w:val="454" w:hRule="atLeast"/>
        </w:trPr>
        <w:tc>
          <w:tcPr>
            <w:tcW w:w="742"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1</w:t>
            </w:r>
          </w:p>
        </w:tc>
        <w:tc>
          <w:tcPr>
            <w:tcW w:w="9338"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项目单位为毫米</w:t>
            </w:r>
          </w:p>
        </w:tc>
      </w:tr>
      <w:tr>
        <w:tblPrEx>
          <w:tblCellMar>
            <w:top w:w="0" w:type="dxa"/>
            <w:left w:w="0" w:type="dxa"/>
            <w:bottom w:w="0" w:type="dxa"/>
            <w:right w:w="0" w:type="dxa"/>
          </w:tblCellMar>
        </w:tblPrEx>
        <w:trPr>
          <w:trHeight w:val="454" w:hRule="atLeast"/>
        </w:trPr>
        <w:tc>
          <w:tcPr>
            <w:tcW w:w="742"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2</w:t>
            </w:r>
          </w:p>
        </w:tc>
        <w:tc>
          <w:tcPr>
            <w:tcW w:w="9338"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rPr>
            </w:pPr>
            <w:r>
              <w:rPr>
                <w:rFonts w:cs="宋体"/>
                <w:color w:val="auto"/>
                <w:sz w:val="18"/>
                <w:szCs w:val="18"/>
              </w:rPr>
              <w:t>使用相对标高，±0.000即为坐标原点Z轴坐标点</w:t>
            </w:r>
          </w:p>
        </w:tc>
      </w:tr>
      <w:tr>
        <w:tblPrEx>
          <w:tblCellMar>
            <w:top w:w="0" w:type="dxa"/>
            <w:left w:w="0" w:type="dxa"/>
            <w:bottom w:w="0" w:type="dxa"/>
            <w:right w:w="0" w:type="dxa"/>
          </w:tblCellMar>
        </w:tblPrEx>
        <w:trPr>
          <w:trHeight w:val="454" w:hRule="atLeast"/>
        </w:trPr>
        <w:tc>
          <w:tcPr>
            <w:tcW w:w="742"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3</w:t>
            </w:r>
          </w:p>
        </w:tc>
        <w:tc>
          <w:tcPr>
            <w:tcW w:w="9338"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rPr>
            </w:pPr>
            <w:r>
              <w:rPr>
                <w:rFonts w:cs="宋体"/>
                <w:color w:val="auto"/>
                <w:sz w:val="18"/>
                <w:szCs w:val="18"/>
              </w:rPr>
              <w:t>为所有BIM数据定义通用坐标系</w:t>
            </w:r>
          </w:p>
        </w:tc>
      </w:tr>
      <w:tr>
        <w:tblPrEx>
          <w:tblCellMar>
            <w:top w:w="0" w:type="dxa"/>
            <w:left w:w="0" w:type="dxa"/>
            <w:bottom w:w="0" w:type="dxa"/>
            <w:right w:w="0" w:type="dxa"/>
          </w:tblCellMar>
        </w:tblPrEx>
        <w:trPr>
          <w:trHeight w:val="454" w:hRule="atLeast"/>
        </w:trPr>
        <w:tc>
          <w:tcPr>
            <w:tcW w:w="742"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4</w:t>
            </w:r>
          </w:p>
        </w:tc>
        <w:tc>
          <w:tcPr>
            <w:tcW w:w="9338"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rPr>
            </w:pPr>
            <w:r>
              <w:rPr>
                <w:rFonts w:cs="宋体"/>
                <w:color w:val="auto"/>
                <w:sz w:val="18"/>
                <w:szCs w:val="18"/>
              </w:rPr>
              <w:t>建立“正北”和“项目北”之间的关系</w:t>
            </w:r>
          </w:p>
        </w:tc>
      </w:tr>
      <w:tr>
        <w:tblPrEx>
          <w:tblCellMar>
            <w:top w:w="0" w:type="dxa"/>
            <w:left w:w="0" w:type="dxa"/>
            <w:bottom w:w="0" w:type="dxa"/>
            <w:right w:w="0" w:type="dxa"/>
          </w:tblCellMar>
        </w:tblPrEx>
        <w:trPr>
          <w:trHeight w:val="454" w:hRule="atLeast"/>
        </w:trPr>
        <w:tc>
          <w:tcPr>
            <w:tcW w:w="742"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5</w:t>
            </w:r>
          </w:p>
        </w:tc>
        <w:tc>
          <w:tcPr>
            <w:tcW w:w="9338"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rPr>
            </w:pPr>
            <w:r>
              <w:rPr>
                <w:rFonts w:cs="宋体"/>
                <w:color w:val="auto"/>
                <w:sz w:val="18"/>
                <w:szCs w:val="18"/>
              </w:rPr>
              <w:t>依据施工图纸正确定位项目的</w:t>
            </w:r>
            <w:r>
              <w:rPr>
                <w:rFonts w:hint="eastAsia" w:cs="宋体"/>
                <w:color w:val="auto"/>
                <w:sz w:val="18"/>
                <w:szCs w:val="18"/>
              </w:rPr>
              <w:t>项目基点、</w:t>
            </w:r>
            <w:r>
              <w:rPr>
                <w:rFonts w:cs="宋体"/>
                <w:color w:val="auto"/>
                <w:sz w:val="18"/>
                <w:szCs w:val="18"/>
              </w:rPr>
              <w:t>地理位置和朝向。</w:t>
            </w:r>
          </w:p>
        </w:tc>
      </w:tr>
    </w:tbl>
    <w:p>
      <w:pPr>
        <w:pStyle w:val="585"/>
        <w:tabs>
          <w:tab w:val="left" w:pos="5424"/>
        </w:tabs>
        <w:spacing w:before="120" w:after="120" w:line="360" w:lineRule="auto"/>
        <w:ind w:left="0"/>
        <w:outlineLvl w:val="1"/>
        <w:rPr>
          <w:rFonts w:ascii="Times New Roman" w:hAnsi="Times New Roman" w:eastAsia="黑体"/>
          <w:b w:val="0"/>
          <w:bCs/>
          <w:color w:val="auto"/>
          <w:sz w:val="24"/>
          <w:szCs w:val="24"/>
        </w:rPr>
      </w:pPr>
      <w:bookmarkStart w:id="664" w:name="_Toc28234"/>
      <w:bookmarkStart w:id="665" w:name="_Toc15365"/>
      <w:bookmarkStart w:id="666" w:name="_Toc14929"/>
      <w:bookmarkStart w:id="667" w:name="_Toc32026"/>
      <w:bookmarkStart w:id="668" w:name="_Toc62460195"/>
      <w:r>
        <w:rPr>
          <w:rFonts w:ascii="Times New Roman" w:hAnsi="Times New Roman" w:eastAsia="黑体"/>
          <w:b w:val="0"/>
          <w:bCs/>
          <w:color w:val="auto"/>
          <w:sz w:val="24"/>
          <w:szCs w:val="24"/>
        </w:rPr>
        <w:t>模型信息管理</w:t>
      </w:r>
      <w:bookmarkEnd w:id="664"/>
      <w:bookmarkEnd w:id="665"/>
      <w:bookmarkEnd w:id="666"/>
      <w:bookmarkEnd w:id="667"/>
      <w:bookmarkEnd w:id="668"/>
    </w:p>
    <w:p>
      <w:pPr>
        <w:pStyle w:val="587"/>
        <w:numPr>
          <w:ilvl w:val="0"/>
          <w:numId w:val="0"/>
        </w:numPr>
        <w:spacing w:beforeLines="50" w:afterLines="50" w:line="360" w:lineRule="auto"/>
        <w:ind w:firstLine="412" w:firstLineChars="200"/>
        <w:jc w:val="both"/>
        <w:outlineLvl w:val="9"/>
        <w:rPr>
          <w:color w:val="auto"/>
        </w:rPr>
      </w:pPr>
      <w:bookmarkStart w:id="669" w:name="_Toc26941"/>
      <w:bookmarkStart w:id="670" w:name="_Toc27608"/>
      <w:r>
        <w:rPr>
          <w:rFonts w:ascii="Times New Roman" w:hAnsi="Times New Roman" w:eastAsia="Times New Roman"/>
          <w:color w:val="auto"/>
          <w:spacing w:val="-2"/>
        </w:rPr>
        <w:t>BIM</w:t>
      </w:r>
      <w:r>
        <w:rPr>
          <w:color w:val="auto"/>
        </w:rPr>
        <w:t>模型应包含</w:t>
      </w:r>
      <w:r>
        <w:rPr>
          <w:color w:val="auto"/>
          <w:szCs w:val="21"/>
        </w:rPr>
        <w:t>正确</w:t>
      </w:r>
      <w:r>
        <w:rPr>
          <w:color w:val="auto"/>
        </w:rPr>
        <w:t>的几何信息和非几何信息，几何信息包括形状、尺寸、坐标等。非几何信息包括项目参数、设备参数、运维信息等。各阶段应包含信息详见附表内容。</w:t>
      </w:r>
      <w:bookmarkEnd w:id="669"/>
      <w:bookmarkEnd w:id="670"/>
    </w:p>
    <w:p>
      <w:pPr>
        <w:spacing w:before="120" w:after="120" w:line="338" w:lineRule="auto"/>
        <w:rPr>
          <w:color w:val="auto"/>
        </w:rPr>
        <w:sectPr>
          <w:pgSz w:w="11910" w:h="16840"/>
          <w:pgMar w:top="1080" w:right="900" w:bottom="1160" w:left="920" w:header="0" w:footer="973" w:gutter="0"/>
          <w:cols w:space="720" w:num="1"/>
        </w:sectPr>
      </w:pPr>
    </w:p>
    <w:p>
      <w:pPr>
        <w:pStyle w:val="583"/>
        <w:spacing w:before="240" w:after="240"/>
        <w:outlineLvl w:val="0"/>
        <w:rPr>
          <w:b w:val="0"/>
          <w:bCs/>
          <w:color w:val="auto"/>
        </w:rPr>
      </w:pPr>
      <w:bookmarkStart w:id="671" w:name="_bookmark28"/>
      <w:bookmarkEnd w:id="671"/>
      <w:bookmarkStart w:id="672" w:name="_bookmark29"/>
      <w:bookmarkEnd w:id="672"/>
      <w:bookmarkStart w:id="673" w:name="_Toc62460196"/>
      <w:bookmarkStart w:id="674" w:name="_Toc479"/>
      <w:bookmarkStart w:id="675" w:name="_Toc4938"/>
      <w:bookmarkStart w:id="676" w:name="_Toc10818"/>
      <w:bookmarkStart w:id="677" w:name="_Toc15173"/>
      <w:r>
        <w:rPr>
          <w:b w:val="0"/>
          <w:bCs/>
          <w:color w:val="auto"/>
        </w:rPr>
        <w:t>项目控制</w:t>
      </w:r>
      <w:bookmarkEnd w:id="673"/>
      <w:bookmarkEnd w:id="674"/>
      <w:bookmarkEnd w:id="675"/>
      <w:bookmarkEnd w:id="676"/>
      <w:bookmarkEnd w:id="677"/>
    </w:p>
    <w:p>
      <w:pPr>
        <w:pStyle w:val="585"/>
        <w:tabs>
          <w:tab w:val="left" w:pos="5424"/>
        </w:tabs>
        <w:spacing w:before="120" w:after="120" w:line="360" w:lineRule="auto"/>
        <w:ind w:left="0"/>
        <w:outlineLvl w:val="1"/>
        <w:rPr>
          <w:rFonts w:ascii="Times New Roman" w:hAnsi="Times New Roman" w:eastAsia="黑体"/>
          <w:b w:val="0"/>
          <w:bCs/>
          <w:color w:val="auto"/>
          <w:sz w:val="24"/>
          <w:szCs w:val="24"/>
        </w:rPr>
      </w:pPr>
      <w:bookmarkStart w:id="678" w:name="_Toc31012"/>
      <w:bookmarkStart w:id="679" w:name="_Toc21476"/>
      <w:bookmarkStart w:id="680" w:name="_Toc7634"/>
      <w:bookmarkStart w:id="681" w:name="_Toc28021"/>
      <w:bookmarkStart w:id="682" w:name="_Toc62460197"/>
      <w:r>
        <w:rPr>
          <w:rFonts w:ascii="Times New Roman" w:hAnsi="Times New Roman" w:eastAsia="黑体"/>
          <w:b w:val="0"/>
          <w:bCs/>
          <w:color w:val="auto"/>
          <w:sz w:val="24"/>
          <w:szCs w:val="24"/>
        </w:rPr>
        <w:t>质量控制</w:t>
      </w:r>
      <w:bookmarkEnd w:id="678"/>
      <w:bookmarkEnd w:id="679"/>
      <w:bookmarkEnd w:id="680"/>
      <w:bookmarkEnd w:id="681"/>
      <w:bookmarkEnd w:id="682"/>
    </w:p>
    <w:p>
      <w:pPr>
        <w:pStyle w:val="587"/>
        <w:numPr>
          <w:ilvl w:val="2"/>
          <w:numId w:val="3"/>
        </w:numPr>
        <w:spacing w:beforeLines="50" w:afterLines="50" w:line="360" w:lineRule="auto"/>
        <w:outlineLvl w:val="3"/>
        <w:rPr>
          <w:rFonts w:ascii="LNUHNF+SimSun" w:hAnsi="LNUHNF+SimSun" w:cs="宋体"/>
          <w:color w:val="auto"/>
          <w:szCs w:val="21"/>
        </w:rPr>
      </w:pPr>
      <w:bookmarkStart w:id="683" w:name="_Toc8441"/>
      <w:bookmarkStart w:id="684" w:name="_Toc10994"/>
      <w:r>
        <w:rPr>
          <w:rFonts w:ascii="LNUHNF+SimSun" w:hAnsi="LNUHNF+SimSun" w:cs="宋体"/>
          <w:color w:val="auto"/>
          <w:szCs w:val="21"/>
        </w:rPr>
        <w:t>BIM质量控制管理</w:t>
      </w:r>
      <w:bookmarkEnd w:id="683"/>
      <w:bookmarkEnd w:id="684"/>
    </w:p>
    <w:p>
      <w:pPr>
        <w:spacing w:before="120" w:after="120"/>
        <w:ind w:firstLine="440"/>
        <w:rPr>
          <w:color w:val="auto"/>
        </w:rPr>
      </w:pPr>
      <w:r>
        <w:rPr>
          <w:color w:val="auto"/>
          <w:spacing w:val="-10"/>
        </w:rPr>
        <w:t>为了确保质量，在每一个项目阶段和信息交流之前，</w:t>
      </w:r>
      <w:r>
        <w:rPr>
          <w:rFonts w:eastAsia="Times New Roman"/>
          <w:color w:val="auto"/>
          <w:spacing w:val="-10"/>
        </w:rPr>
        <w:t>BIM</w:t>
      </w:r>
      <w:r>
        <w:rPr>
          <w:color w:val="auto"/>
        </w:rPr>
        <w:t>总协调方必须预先计划每个</w:t>
      </w:r>
      <w:r>
        <w:rPr>
          <w:rFonts w:eastAsia="Times New Roman"/>
          <w:color w:val="auto"/>
        </w:rPr>
        <w:t>BIM</w:t>
      </w:r>
      <w:r>
        <w:rPr>
          <w:color w:val="auto"/>
          <w:spacing w:val="-3"/>
        </w:rPr>
        <w:t>项目模型的内容、详细程度，并且负责更新模型。每个</w:t>
      </w:r>
      <w:r>
        <w:rPr>
          <w:rFonts w:eastAsia="Times New Roman"/>
          <w:color w:val="auto"/>
          <w:spacing w:val="-2"/>
        </w:rPr>
        <w:t>BIM</w:t>
      </w:r>
      <w:r>
        <w:rPr>
          <w:color w:val="auto"/>
        </w:rPr>
        <w:t>模型都应安排一个固定负责人来协调工作，且应该参加所有</w:t>
      </w:r>
      <w:r>
        <w:rPr>
          <w:rFonts w:eastAsia="Times New Roman"/>
          <w:color w:val="auto"/>
          <w:spacing w:val="-2"/>
        </w:rPr>
        <w:t>BIM</w:t>
      </w:r>
      <w:r>
        <w:rPr>
          <w:color w:val="auto"/>
        </w:rPr>
        <w:t>团队的活动，负责解决可能出现的问题。</w:t>
      </w:r>
    </w:p>
    <w:p>
      <w:pPr>
        <w:spacing w:before="120" w:after="120"/>
        <w:ind w:firstLine="472"/>
        <w:rPr>
          <w:color w:val="auto"/>
        </w:rPr>
      </w:pPr>
      <w:r>
        <w:rPr>
          <w:rFonts w:eastAsia="Times New Roman"/>
          <w:color w:val="auto"/>
          <w:spacing w:val="-2"/>
        </w:rPr>
        <w:t>BIM</w:t>
      </w:r>
      <w:r>
        <w:rPr>
          <w:color w:val="auto"/>
        </w:rPr>
        <w:t>总协调方在规划过程中应建立数据质量的标准，在每个主要的</w:t>
      </w:r>
      <w:r>
        <w:rPr>
          <w:rFonts w:eastAsia="Times New Roman"/>
          <w:color w:val="auto"/>
          <w:spacing w:val="-2"/>
        </w:rPr>
        <w:t>BIM</w:t>
      </w:r>
      <w:r>
        <w:rPr>
          <w:color w:val="auto"/>
          <w:spacing w:val="-7"/>
        </w:rPr>
        <w:t>阶段，质量控制</w:t>
      </w:r>
      <w:r>
        <w:rPr>
          <w:color w:val="auto"/>
        </w:rPr>
        <w:t>必须完成，如设计审查、协调会议等。</w:t>
      </w:r>
    </w:p>
    <w:p>
      <w:pPr>
        <w:spacing w:before="120" w:after="120"/>
        <w:rPr>
          <w:color w:val="auto"/>
        </w:rPr>
      </w:pPr>
      <w:r>
        <w:rPr>
          <w:color w:val="auto"/>
        </w:rPr>
        <w:t>每个项目组应在质量检查前提交其负责的</w:t>
      </w:r>
      <w:r>
        <w:rPr>
          <w:rFonts w:eastAsia="Times New Roman"/>
          <w:color w:val="auto"/>
          <w:spacing w:val="-2"/>
        </w:rPr>
        <w:t>BIM</w:t>
      </w:r>
      <w:r>
        <w:rPr>
          <w:color w:val="auto"/>
        </w:rPr>
        <w:t>模型，</w:t>
      </w:r>
      <w:r>
        <w:rPr>
          <w:rFonts w:eastAsia="Times New Roman"/>
          <w:color w:val="auto"/>
        </w:rPr>
        <w:t>BIM</w:t>
      </w:r>
      <w:r>
        <w:rPr>
          <w:color w:val="auto"/>
        </w:rPr>
        <w:t>总协调方应对提交的</w:t>
      </w:r>
      <w:r>
        <w:rPr>
          <w:rFonts w:eastAsia="Times New Roman"/>
          <w:color w:val="auto"/>
          <w:spacing w:val="-2"/>
        </w:rPr>
        <w:t>BIM</w:t>
      </w:r>
      <w:r>
        <w:rPr>
          <w:color w:val="auto"/>
        </w:rPr>
        <w:t>报告的进行质量检查确认，确认模型修订后的质量。</w:t>
      </w:r>
    </w:p>
    <w:p>
      <w:pPr>
        <w:pStyle w:val="587"/>
        <w:numPr>
          <w:ilvl w:val="2"/>
          <w:numId w:val="3"/>
        </w:numPr>
        <w:spacing w:beforeLines="50" w:afterLines="50" w:line="360" w:lineRule="auto"/>
        <w:outlineLvl w:val="3"/>
        <w:rPr>
          <w:rFonts w:ascii="LNUHNF+SimSun" w:hAnsi="LNUHNF+SimSun" w:cs="宋体"/>
          <w:color w:val="auto"/>
          <w:szCs w:val="21"/>
        </w:rPr>
      </w:pPr>
      <w:bookmarkStart w:id="685" w:name="_Toc20398"/>
      <w:bookmarkStart w:id="686" w:name="_Toc12796"/>
      <w:r>
        <w:rPr>
          <w:rFonts w:ascii="LNUHNF+SimSun" w:hAnsi="LNUHNF+SimSun" w:cs="宋体"/>
          <w:color w:val="auto"/>
          <w:szCs w:val="21"/>
        </w:rPr>
        <w:t>BIM质量审核内容</w:t>
      </w:r>
      <w:bookmarkEnd w:id="685"/>
      <w:bookmarkEnd w:id="686"/>
    </w:p>
    <w:p>
      <w:pPr>
        <w:spacing w:before="120" w:after="120"/>
        <w:outlineLvl w:val="4"/>
        <w:rPr>
          <w:color w:val="auto"/>
        </w:rPr>
      </w:pPr>
      <w:bookmarkStart w:id="687" w:name="_Toc4380"/>
      <w:bookmarkStart w:id="688" w:name="_Toc17999"/>
      <w:r>
        <w:rPr>
          <w:rFonts w:eastAsia="Times New Roman"/>
          <w:color w:val="auto"/>
        </w:rPr>
        <w:t xml:space="preserve">1  </w:t>
      </w:r>
      <w:r>
        <w:rPr>
          <w:color w:val="auto"/>
        </w:rPr>
        <w:t>项目实施各阶段前期准备工作</w:t>
      </w:r>
      <w:r>
        <w:rPr>
          <w:color w:val="auto"/>
          <w:szCs w:val="21"/>
        </w:rPr>
        <w:t>交付</w:t>
      </w:r>
      <w:r>
        <w:rPr>
          <w:color w:val="auto"/>
        </w:rPr>
        <w:t>成果审核</w:t>
      </w:r>
      <w:bookmarkEnd w:id="687"/>
      <w:bookmarkEnd w:id="688"/>
    </w:p>
    <w:p>
      <w:pPr>
        <w:spacing w:before="120" w:after="120"/>
        <w:ind w:firstLine="840" w:firstLineChars="400"/>
        <w:rPr>
          <w:color w:val="auto"/>
          <w:szCs w:val="21"/>
        </w:rPr>
      </w:pPr>
      <w:r>
        <w:rPr>
          <w:color w:val="auto"/>
          <w:szCs w:val="21"/>
        </w:rPr>
        <w:t>1）审核节点：项目实施各阶段前期准备工作完成节点。</w:t>
      </w:r>
    </w:p>
    <w:p>
      <w:pPr>
        <w:spacing w:before="120" w:after="120"/>
        <w:ind w:firstLine="840" w:firstLineChars="400"/>
        <w:rPr>
          <w:color w:val="auto"/>
          <w:szCs w:val="21"/>
        </w:rPr>
      </w:pPr>
      <w:r>
        <w:rPr>
          <w:color w:val="auto"/>
          <w:szCs w:val="21"/>
        </w:rPr>
        <w:t>2）审查依据：国家BIM标准、代建局项目BIM实施标准。</w:t>
      </w:r>
    </w:p>
    <w:p>
      <w:pPr>
        <w:spacing w:before="120" w:after="120"/>
        <w:ind w:firstLine="840" w:firstLineChars="400"/>
        <w:rPr>
          <w:color w:val="auto"/>
          <w:szCs w:val="21"/>
        </w:rPr>
      </w:pPr>
      <w:r>
        <w:rPr>
          <w:color w:val="auto"/>
          <w:szCs w:val="21"/>
        </w:rPr>
        <w:t>3）审核形式：项目前期准备协调会。</w:t>
      </w:r>
    </w:p>
    <w:p>
      <w:pPr>
        <w:spacing w:before="120" w:after="120"/>
        <w:ind w:firstLine="840" w:firstLineChars="400"/>
        <w:rPr>
          <w:color w:val="auto"/>
          <w:szCs w:val="21"/>
        </w:rPr>
      </w:pPr>
      <w:r>
        <w:rPr>
          <w:color w:val="auto"/>
          <w:szCs w:val="21"/>
        </w:rPr>
        <w:t>4）审核人员：代建局各阶段相关负责人、BIM总协调方负责人、项目参与方BIM负</w:t>
      </w:r>
      <w:r>
        <w:rPr>
          <w:rFonts w:hint="eastAsia"/>
          <w:color w:val="auto"/>
          <w:szCs w:val="21"/>
        </w:rPr>
        <w:t>责人。</w:t>
      </w:r>
    </w:p>
    <w:p>
      <w:pPr>
        <w:spacing w:before="120" w:after="120"/>
        <w:ind w:firstLine="840" w:firstLineChars="400"/>
        <w:rPr>
          <w:color w:val="auto"/>
          <w:szCs w:val="21"/>
        </w:rPr>
      </w:pPr>
      <w:r>
        <w:rPr>
          <w:color w:val="auto"/>
          <w:szCs w:val="21"/>
        </w:rPr>
        <w:t>5）审核内容：项目建模标准、建模计划、样板文件、基准模型审核。</w:t>
      </w:r>
    </w:p>
    <w:p>
      <w:pPr>
        <w:spacing w:before="120" w:after="120"/>
        <w:ind w:firstLine="840" w:firstLineChars="400"/>
        <w:rPr>
          <w:color w:val="auto"/>
          <w:szCs w:val="21"/>
        </w:rPr>
      </w:pPr>
      <w:r>
        <w:rPr>
          <w:color w:val="auto"/>
          <w:szCs w:val="21"/>
        </w:rPr>
        <w:t>6）审核结论：是否可以启动项目工作。</w:t>
      </w:r>
    </w:p>
    <w:p>
      <w:pPr>
        <w:spacing w:before="120" w:after="120"/>
        <w:outlineLvl w:val="4"/>
        <w:rPr>
          <w:color w:val="auto"/>
        </w:rPr>
      </w:pPr>
      <w:bookmarkStart w:id="689" w:name="_Toc32419"/>
      <w:bookmarkStart w:id="690" w:name="_Toc3184"/>
      <w:r>
        <w:rPr>
          <w:rFonts w:eastAsia="Times New Roman"/>
          <w:color w:val="auto"/>
        </w:rPr>
        <w:t xml:space="preserve">2  </w:t>
      </w:r>
      <w:r>
        <w:rPr>
          <w:color w:val="auto"/>
        </w:rPr>
        <w:t>项目实施各阶段过程交付成果</w:t>
      </w:r>
      <w:r>
        <w:rPr>
          <w:color w:val="auto"/>
          <w:szCs w:val="21"/>
        </w:rPr>
        <w:t>审核</w:t>
      </w:r>
      <w:bookmarkEnd w:id="689"/>
      <w:bookmarkEnd w:id="690"/>
    </w:p>
    <w:p>
      <w:pPr>
        <w:spacing w:before="120" w:after="120"/>
        <w:ind w:firstLine="840" w:firstLineChars="400"/>
        <w:rPr>
          <w:color w:val="auto"/>
          <w:szCs w:val="21"/>
        </w:rPr>
      </w:pPr>
      <w:r>
        <w:rPr>
          <w:color w:val="auto"/>
          <w:szCs w:val="21"/>
        </w:rPr>
        <w:t>1）审核节点：项目实施各阶段实施过程。</w:t>
      </w:r>
    </w:p>
    <w:p>
      <w:pPr>
        <w:spacing w:before="120" w:after="120"/>
        <w:ind w:firstLine="840" w:firstLineChars="400"/>
        <w:rPr>
          <w:color w:val="auto"/>
          <w:szCs w:val="21"/>
        </w:rPr>
      </w:pPr>
      <w:r>
        <w:rPr>
          <w:color w:val="auto"/>
          <w:szCs w:val="21"/>
        </w:rPr>
        <w:t>2）审查依据：代建局项目BIM实施标准、项目BIM实施大纲及方案。</w:t>
      </w:r>
    </w:p>
    <w:p>
      <w:pPr>
        <w:spacing w:before="120" w:after="120"/>
        <w:ind w:firstLine="840" w:firstLineChars="400"/>
        <w:rPr>
          <w:color w:val="auto"/>
          <w:szCs w:val="21"/>
        </w:rPr>
      </w:pPr>
      <w:r>
        <w:rPr>
          <w:color w:val="auto"/>
          <w:szCs w:val="21"/>
        </w:rPr>
        <w:t>3）审核形式：项目BIM协调周例会。</w:t>
      </w:r>
    </w:p>
    <w:p>
      <w:pPr>
        <w:spacing w:before="120" w:after="120"/>
        <w:ind w:firstLine="840" w:firstLineChars="400"/>
        <w:rPr>
          <w:color w:val="auto"/>
          <w:szCs w:val="21"/>
        </w:rPr>
      </w:pPr>
      <w:r>
        <w:rPr>
          <w:color w:val="auto"/>
          <w:szCs w:val="21"/>
        </w:rPr>
        <w:t>4）审核人员：BIM总协调方负责人、项目各参与方BIM负责人。</w:t>
      </w:r>
    </w:p>
    <w:p>
      <w:pPr>
        <w:spacing w:before="120" w:after="120"/>
        <w:ind w:firstLine="840" w:firstLineChars="400"/>
        <w:rPr>
          <w:color w:val="auto"/>
          <w:szCs w:val="21"/>
        </w:rPr>
      </w:pPr>
      <w:r>
        <w:rPr>
          <w:color w:val="auto"/>
          <w:szCs w:val="21"/>
        </w:rPr>
        <w:t>5）审核内容：各参与方是否按节点提交过程成果，过程成果的质量审核（提交成果格式及内容是否满足交付要求，模型搭建及更新是否符合项目实施标准）。</w:t>
      </w:r>
    </w:p>
    <w:p>
      <w:pPr>
        <w:spacing w:before="120" w:after="120"/>
        <w:ind w:firstLine="840" w:firstLineChars="400"/>
        <w:rPr>
          <w:color w:val="auto"/>
          <w:szCs w:val="21"/>
        </w:rPr>
      </w:pPr>
      <w:r>
        <w:rPr>
          <w:color w:val="auto"/>
          <w:szCs w:val="21"/>
        </w:rPr>
        <w:t>6）审核结论：BIM审核结果反馈、落实下一阶段BIM实施计划及要求。</w:t>
      </w:r>
    </w:p>
    <w:p>
      <w:pPr>
        <w:spacing w:before="120" w:after="120"/>
        <w:outlineLvl w:val="4"/>
        <w:rPr>
          <w:color w:val="auto"/>
        </w:rPr>
      </w:pPr>
      <w:bookmarkStart w:id="691" w:name="_Toc8911"/>
      <w:bookmarkStart w:id="692" w:name="_Toc24815"/>
      <w:r>
        <w:rPr>
          <w:rFonts w:eastAsia="Times New Roman"/>
          <w:color w:val="auto"/>
        </w:rPr>
        <w:t xml:space="preserve">3  </w:t>
      </w:r>
      <w:r>
        <w:rPr>
          <w:color w:val="auto"/>
        </w:rPr>
        <w:t>项目实施各阶段最终交付</w:t>
      </w:r>
      <w:r>
        <w:rPr>
          <w:color w:val="auto"/>
          <w:szCs w:val="21"/>
        </w:rPr>
        <w:t>成果</w:t>
      </w:r>
      <w:r>
        <w:rPr>
          <w:color w:val="auto"/>
        </w:rPr>
        <w:t>审核：</w:t>
      </w:r>
      <w:bookmarkEnd w:id="691"/>
      <w:bookmarkEnd w:id="692"/>
    </w:p>
    <w:p>
      <w:pPr>
        <w:spacing w:before="120" w:after="120"/>
        <w:ind w:firstLine="840" w:firstLineChars="400"/>
        <w:rPr>
          <w:color w:val="auto"/>
          <w:szCs w:val="21"/>
        </w:rPr>
      </w:pPr>
      <w:r>
        <w:rPr>
          <w:color w:val="auto"/>
          <w:szCs w:val="21"/>
        </w:rPr>
        <w:t>1）审核节点：各阶段BIM实施成果交付后。</w:t>
      </w:r>
    </w:p>
    <w:p>
      <w:pPr>
        <w:spacing w:before="120" w:after="120"/>
        <w:ind w:firstLine="840" w:firstLineChars="400"/>
        <w:rPr>
          <w:color w:val="auto"/>
          <w:szCs w:val="21"/>
        </w:rPr>
      </w:pPr>
      <w:r>
        <w:rPr>
          <w:color w:val="auto"/>
          <w:szCs w:val="21"/>
        </w:rPr>
        <w:t>2）审查依据：国家建设工程相关规范规程、国家BIM标准、代建局项目BIM实施标准、项目BIM实施大纲及方案。</w:t>
      </w:r>
    </w:p>
    <w:p>
      <w:pPr>
        <w:spacing w:before="120" w:after="120"/>
        <w:ind w:firstLine="840" w:firstLineChars="400"/>
        <w:rPr>
          <w:color w:val="auto"/>
          <w:szCs w:val="21"/>
        </w:rPr>
      </w:pPr>
      <w:r>
        <w:rPr>
          <w:color w:val="auto"/>
          <w:szCs w:val="21"/>
        </w:rPr>
        <w:t>3）审核形式：项目BIM阶段成果交付审查会。</w:t>
      </w:r>
    </w:p>
    <w:p>
      <w:pPr>
        <w:spacing w:before="120" w:after="120"/>
        <w:ind w:firstLine="840" w:firstLineChars="400"/>
        <w:rPr>
          <w:color w:val="auto"/>
          <w:szCs w:val="21"/>
        </w:rPr>
      </w:pPr>
      <w:r>
        <w:rPr>
          <w:color w:val="auto"/>
          <w:szCs w:val="21"/>
        </w:rPr>
        <w:t>4）审核人员：代建局各阶段相关负责人、BIM总协调方负责人、项目各参与方BIM负责人。</w:t>
      </w:r>
    </w:p>
    <w:p>
      <w:pPr>
        <w:spacing w:before="120" w:after="120"/>
        <w:ind w:firstLine="840" w:firstLineChars="400"/>
        <w:rPr>
          <w:color w:val="auto"/>
          <w:szCs w:val="21"/>
        </w:rPr>
      </w:pPr>
      <w:r>
        <w:rPr>
          <w:color w:val="auto"/>
          <w:szCs w:val="21"/>
        </w:rPr>
        <w:t>5）审核内容：提交BIM模型及成果质量是否满足相关要求；模型精度是否满足LOD标准并与实际（设计图纸、施工现场）相符；模型信息是否完整；提交成果是否满足相关要求。</w:t>
      </w:r>
    </w:p>
    <w:p>
      <w:pPr>
        <w:spacing w:before="120" w:after="120"/>
        <w:ind w:firstLine="840" w:firstLineChars="400"/>
        <w:rPr>
          <w:color w:val="auto"/>
          <w:szCs w:val="21"/>
        </w:rPr>
      </w:pPr>
      <w:r>
        <w:rPr>
          <w:color w:val="auto"/>
          <w:szCs w:val="21"/>
        </w:rPr>
        <w:t>6）审核结论：BIM阶段成果深度满足移交下一阶段参与方使用。</w:t>
      </w:r>
    </w:p>
    <w:p>
      <w:pPr>
        <w:pStyle w:val="587"/>
        <w:numPr>
          <w:ilvl w:val="2"/>
          <w:numId w:val="3"/>
        </w:numPr>
        <w:spacing w:beforeLines="50" w:afterLines="50" w:line="360" w:lineRule="auto"/>
        <w:outlineLvl w:val="3"/>
        <w:rPr>
          <w:rFonts w:ascii="LNUHNF+SimSun" w:hAnsi="LNUHNF+SimSun" w:cs="宋体"/>
          <w:color w:val="auto"/>
          <w:szCs w:val="21"/>
        </w:rPr>
      </w:pPr>
      <w:bookmarkStart w:id="693" w:name="_Toc3921"/>
      <w:bookmarkStart w:id="694" w:name="_Toc14429"/>
      <w:r>
        <w:rPr>
          <w:rFonts w:ascii="LNUHNF+SimSun" w:hAnsi="LNUHNF+SimSun" w:cs="宋体"/>
          <w:color w:val="auto"/>
          <w:szCs w:val="21"/>
        </w:rPr>
        <w:t>确定质量控制方法</w:t>
      </w:r>
      <w:bookmarkEnd w:id="693"/>
      <w:bookmarkEnd w:id="694"/>
    </w:p>
    <w:p>
      <w:pPr>
        <w:spacing w:before="120" w:after="120"/>
        <w:outlineLvl w:val="4"/>
        <w:rPr>
          <w:color w:val="auto"/>
          <w:szCs w:val="21"/>
        </w:rPr>
      </w:pPr>
      <w:bookmarkStart w:id="695" w:name="_Toc5776"/>
      <w:bookmarkStart w:id="696" w:name="_Toc8409"/>
      <w:r>
        <w:rPr>
          <w:color w:val="auto"/>
          <w:szCs w:val="21"/>
        </w:rPr>
        <w:t>1  目视检查：确保没有多余的模型组件，并使用导航软件检查设计意图是否被遵循</w:t>
      </w:r>
      <w:r>
        <w:rPr>
          <w:rFonts w:hint="eastAsia"/>
          <w:color w:val="auto"/>
          <w:szCs w:val="21"/>
        </w:rPr>
        <w:t>。</w:t>
      </w:r>
      <w:bookmarkEnd w:id="695"/>
      <w:bookmarkEnd w:id="696"/>
    </w:p>
    <w:p>
      <w:pPr>
        <w:spacing w:before="120" w:after="120"/>
        <w:outlineLvl w:val="4"/>
        <w:rPr>
          <w:color w:val="auto"/>
          <w:szCs w:val="21"/>
        </w:rPr>
      </w:pPr>
      <w:bookmarkStart w:id="697" w:name="_Toc30024"/>
      <w:bookmarkStart w:id="698" w:name="_Toc28720"/>
      <w:r>
        <w:rPr>
          <w:color w:val="auto"/>
          <w:szCs w:val="21"/>
        </w:rPr>
        <w:t>2  检查冲突：由冲突检测软件检测两个（或多个）模型之间是否有冲突问题</w:t>
      </w:r>
      <w:r>
        <w:rPr>
          <w:rFonts w:hint="eastAsia"/>
          <w:color w:val="auto"/>
          <w:szCs w:val="21"/>
        </w:rPr>
        <w:t>。</w:t>
      </w:r>
      <w:bookmarkEnd w:id="697"/>
      <w:bookmarkEnd w:id="698"/>
    </w:p>
    <w:p>
      <w:pPr>
        <w:spacing w:before="120" w:after="120"/>
        <w:outlineLvl w:val="4"/>
        <w:rPr>
          <w:color w:val="auto"/>
          <w:szCs w:val="21"/>
        </w:rPr>
      </w:pPr>
      <w:bookmarkStart w:id="699" w:name="_Toc24979"/>
      <w:bookmarkStart w:id="700" w:name="_Toc29272"/>
      <w:r>
        <w:rPr>
          <w:color w:val="auto"/>
          <w:szCs w:val="21"/>
        </w:rPr>
        <w:t>3  建成检查冲突：由冲突检测软件检测两个（或多个）模型之间是否有冲突问题</w:t>
      </w:r>
      <w:r>
        <w:rPr>
          <w:rFonts w:hint="eastAsia"/>
          <w:color w:val="auto"/>
          <w:szCs w:val="21"/>
        </w:rPr>
        <w:t>。</w:t>
      </w:r>
      <w:bookmarkEnd w:id="699"/>
      <w:bookmarkEnd w:id="700"/>
    </w:p>
    <w:p>
      <w:pPr>
        <w:spacing w:before="120" w:after="120"/>
        <w:outlineLvl w:val="4"/>
        <w:rPr>
          <w:color w:val="auto"/>
          <w:szCs w:val="21"/>
        </w:rPr>
      </w:pPr>
      <w:bookmarkStart w:id="701" w:name="_Toc3011"/>
      <w:bookmarkStart w:id="702" w:name="_Toc16852"/>
      <w:r>
        <w:rPr>
          <w:color w:val="auto"/>
          <w:szCs w:val="21"/>
        </w:rPr>
        <w:t>4  标准检查：确保该模型遵循团队商定的标准</w:t>
      </w:r>
      <w:r>
        <w:rPr>
          <w:rFonts w:hint="eastAsia"/>
          <w:color w:val="auto"/>
          <w:szCs w:val="21"/>
        </w:rPr>
        <w:t>。</w:t>
      </w:r>
      <w:bookmarkEnd w:id="701"/>
      <w:bookmarkEnd w:id="702"/>
    </w:p>
    <w:p>
      <w:pPr>
        <w:spacing w:before="120" w:after="120"/>
        <w:outlineLvl w:val="4"/>
        <w:rPr>
          <w:color w:val="auto"/>
          <w:szCs w:val="21"/>
        </w:rPr>
      </w:pPr>
      <w:bookmarkStart w:id="703" w:name="_Toc20127"/>
      <w:bookmarkStart w:id="704" w:name="_Toc13892"/>
      <w:r>
        <w:rPr>
          <w:color w:val="auto"/>
          <w:szCs w:val="21"/>
        </w:rPr>
        <w:t>5  元素验证：确保数据集没有未定义的元素</w:t>
      </w:r>
      <w:r>
        <w:rPr>
          <w:rFonts w:hint="eastAsia"/>
          <w:color w:val="auto"/>
          <w:szCs w:val="21"/>
        </w:rPr>
        <w:t>。</w:t>
      </w:r>
      <w:bookmarkEnd w:id="703"/>
      <w:bookmarkEnd w:id="704"/>
    </w:p>
    <w:p>
      <w:pPr>
        <w:spacing w:before="120" w:after="120"/>
        <w:outlineLvl w:val="4"/>
        <w:rPr>
          <w:color w:val="auto"/>
          <w:szCs w:val="21"/>
        </w:rPr>
      </w:pPr>
      <w:bookmarkStart w:id="705" w:name="_Toc16910"/>
      <w:bookmarkStart w:id="706" w:name="_Toc21986"/>
      <w:r>
        <w:rPr>
          <w:color w:val="auto"/>
          <w:szCs w:val="21"/>
        </w:rPr>
        <w:t>6  质量检查报告可参考下表格式</w:t>
      </w:r>
      <w:r>
        <w:rPr>
          <w:rFonts w:hint="eastAsia"/>
          <w:color w:val="auto"/>
          <w:szCs w:val="21"/>
        </w:rPr>
        <w:t>。</w:t>
      </w:r>
      <w:bookmarkEnd w:id="705"/>
      <w:bookmarkEnd w:id="706"/>
    </w:p>
    <w:p>
      <w:pPr>
        <w:pStyle w:val="498"/>
        <w:spacing w:beforeLines="50" w:afterLines="50" w:line="360" w:lineRule="auto"/>
        <w:ind w:firstLine="360"/>
        <w:jc w:val="center"/>
        <w:rPr>
          <w:rFonts w:ascii="黑体" w:hAnsi="黑体" w:eastAsia="黑体" w:cs="黑体"/>
          <w:color w:val="auto"/>
          <w:sz w:val="18"/>
          <w:szCs w:val="18"/>
        </w:rPr>
      </w:pPr>
      <w:r>
        <w:rPr>
          <w:rFonts w:ascii="黑体" w:hAnsi="黑体" w:eastAsia="黑体" w:cs="黑体"/>
          <w:color w:val="auto"/>
          <w:sz w:val="18"/>
          <w:szCs w:val="18"/>
        </w:rPr>
        <w:t>表3.1.3  质量控制报告</w:t>
      </w:r>
    </w:p>
    <w:tbl>
      <w:tblPr>
        <w:tblStyle w:val="55"/>
        <w:tblW w:w="9860" w:type="dxa"/>
        <w:tblInd w:w="0" w:type="dxa"/>
        <w:tblLayout w:type="fixed"/>
        <w:tblCellMar>
          <w:top w:w="0" w:type="dxa"/>
          <w:left w:w="0" w:type="dxa"/>
          <w:bottom w:w="0" w:type="dxa"/>
          <w:right w:w="0" w:type="dxa"/>
        </w:tblCellMar>
      </w:tblPr>
      <w:tblGrid>
        <w:gridCol w:w="709"/>
        <w:gridCol w:w="4419"/>
        <w:gridCol w:w="1098"/>
        <w:gridCol w:w="978"/>
        <w:gridCol w:w="990"/>
        <w:gridCol w:w="992"/>
        <w:gridCol w:w="674"/>
      </w:tblGrid>
      <w:tr>
        <w:tblPrEx>
          <w:tblCellMar>
            <w:top w:w="0" w:type="dxa"/>
            <w:left w:w="0" w:type="dxa"/>
            <w:bottom w:w="0" w:type="dxa"/>
            <w:right w:w="0" w:type="dxa"/>
          </w:tblCellMar>
        </w:tblPrEx>
        <w:trPr>
          <w:trHeight w:val="454" w:hRule="atLeast"/>
        </w:trPr>
        <w:tc>
          <w:tcPr>
            <w:tcW w:w="709"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区域</w:t>
            </w:r>
          </w:p>
        </w:tc>
        <w:tc>
          <w:tcPr>
            <w:tcW w:w="4419"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检查方法</w:t>
            </w:r>
          </w:p>
        </w:tc>
        <w:tc>
          <w:tcPr>
            <w:tcW w:w="1098"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检查内容</w:t>
            </w:r>
          </w:p>
        </w:tc>
        <w:tc>
          <w:tcPr>
            <w:tcW w:w="978"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检查结果</w:t>
            </w:r>
          </w:p>
        </w:tc>
        <w:tc>
          <w:tcPr>
            <w:tcW w:w="990"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检查人</w:t>
            </w:r>
          </w:p>
        </w:tc>
        <w:tc>
          <w:tcPr>
            <w:tcW w:w="992"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负责人</w:t>
            </w:r>
          </w:p>
        </w:tc>
        <w:tc>
          <w:tcPr>
            <w:tcW w:w="674"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整改</w:t>
            </w:r>
          </w:p>
          <w:p>
            <w:pPr>
              <w:spacing w:before="120" w:after="120"/>
              <w:ind w:firstLine="360"/>
              <w:jc w:val="center"/>
              <w:rPr>
                <w:rFonts w:cs="宋体"/>
                <w:color w:val="auto"/>
                <w:sz w:val="18"/>
                <w:szCs w:val="18"/>
                <w:lang w:eastAsia="en-US"/>
              </w:rPr>
            </w:pPr>
            <w:r>
              <w:rPr>
                <w:rFonts w:cs="宋体"/>
                <w:color w:val="auto"/>
                <w:sz w:val="18"/>
                <w:szCs w:val="18"/>
                <w:lang w:eastAsia="en-US"/>
              </w:rPr>
              <w:t>意见</w:t>
            </w:r>
          </w:p>
        </w:tc>
      </w:tr>
      <w:tr>
        <w:tblPrEx>
          <w:tblCellMar>
            <w:top w:w="0" w:type="dxa"/>
            <w:left w:w="0" w:type="dxa"/>
            <w:bottom w:w="0" w:type="dxa"/>
            <w:right w:w="0" w:type="dxa"/>
          </w:tblCellMar>
        </w:tblPrEx>
        <w:trPr>
          <w:trHeight w:val="454" w:hRule="atLeast"/>
        </w:trPr>
        <w:tc>
          <w:tcPr>
            <w:tcW w:w="709"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p>
        </w:tc>
        <w:tc>
          <w:tcPr>
            <w:tcW w:w="4419"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ind w:left="103"/>
              <w:jc w:val="center"/>
              <w:rPr>
                <w:color w:val="auto"/>
                <w:sz w:val="18"/>
                <w:szCs w:val="18"/>
                <w:lang w:eastAsia="zh-CN"/>
              </w:rPr>
            </w:pPr>
            <w:r>
              <w:rPr>
                <w:color w:val="auto"/>
                <w:sz w:val="18"/>
                <w:szCs w:val="18"/>
                <w:lang w:eastAsia="zh-CN"/>
              </w:rPr>
              <w:t>目视检查/冲突检查/标准检查/元素验证</w:t>
            </w:r>
          </w:p>
        </w:tc>
        <w:tc>
          <w:tcPr>
            <w:tcW w:w="1098"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rPr>
            </w:pPr>
          </w:p>
        </w:tc>
        <w:tc>
          <w:tcPr>
            <w:tcW w:w="978"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rPr>
            </w:pPr>
          </w:p>
        </w:tc>
        <w:tc>
          <w:tcPr>
            <w:tcW w:w="990"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rPr>
            </w:pPr>
          </w:p>
        </w:tc>
        <w:tc>
          <w:tcPr>
            <w:tcW w:w="992"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rPr>
            </w:pPr>
          </w:p>
        </w:tc>
        <w:tc>
          <w:tcPr>
            <w:tcW w:w="674"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rPr>
            </w:pPr>
          </w:p>
        </w:tc>
      </w:tr>
      <w:tr>
        <w:tblPrEx>
          <w:tblCellMar>
            <w:top w:w="0" w:type="dxa"/>
            <w:left w:w="0" w:type="dxa"/>
            <w:bottom w:w="0" w:type="dxa"/>
            <w:right w:w="0" w:type="dxa"/>
          </w:tblCellMar>
        </w:tblPrEx>
        <w:trPr>
          <w:trHeight w:val="454" w:hRule="atLeast"/>
        </w:trPr>
        <w:tc>
          <w:tcPr>
            <w:tcW w:w="709"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rPr>
            </w:pPr>
          </w:p>
        </w:tc>
        <w:tc>
          <w:tcPr>
            <w:tcW w:w="4419"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rPr>
            </w:pPr>
          </w:p>
        </w:tc>
        <w:tc>
          <w:tcPr>
            <w:tcW w:w="1098"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rPr>
            </w:pPr>
          </w:p>
        </w:tc>
        <w:tc>
          <w:tcPr>
            <w:tcW w:w="978"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rPr>
            </w:pPr>
          </w:p>
        </w:tc>
        <w:tc>
          <w:tcPr>
            <w:tcW w:w="990"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rPr>
            </w:pPr>
          </w:p>
        </w:tc>
        <w:tc>
          <w:tcPr>
            <w:tcW w:w="992"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rPr>
            </w:pPr>
          </w:p>
        </w:tc>
        <w:tc>
          <w:tcPr>
            <w:tcW w:w="674"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rPr>
            </w:pPr>
          </w:p>
        </w:tc>
      </w:tr>
      <w:tr>
        <w:tblPrEx>
          <w:tblCellMar>
            <w:top w:w="0" w:type="dxa"/>
            <w:left w:w="0" w:type="dxa"/>
            <w:bottom w:w="0" w:type="dxa"/>
            <w:right w:w="0" w:type="dxa"/>
          </w:tblCellMar>
        </w:tblPrEx>
        <w:trPr>
          <w:trHeight w:val="454" w:hRule="atLeast"/>
        </w:trPr>
        <w:tc>
          <w:tcPr>
            <w:tcW w:w="709"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rPr>
            </w:pPr>
          </w:p>
        </w:tc>
        <w:tc>
          <w:tcPr>
            <w:tcW w:w="4419"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rPr>
            </w:pPr>
          </w:p>
        </w:tc>
        <w:tc>
          <w:tcPr>
            <w:tcW w:w="1098"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rPr>
            </w:pPr>
          </w:p>
        </w:tc>
        <w:tc>
          <w:tcPr>
            <w:tcW w:w="978"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rPr>
            </w:pPr>
          </w:p>
        </w:tc>
        <w:tc>
          <w:tcPr>
            <w:tcW w:w="990"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rPr>
            </w:pPr>
          </w:p>
        </w:tc>
        <w:tc>
          <w:tcPr>
            <w:tcW w:w="992"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rPr>
            </w:pPr>
          </w:p>
        </w:tc>
        <w:tc>
          <w:tcPr>
            <w:tcW w:w="674"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rPr>
            </w:pPr>
          </w:p>
        </w:tc>
      </w:tr>
      <w:tr>
        <w:tblPrEx>
          <w:tblCellMar>
            <w:top w:w="0" w:type="dxa"/>
            <w:left w:w="0" w:type="dxa"/>
            <w:bottom w:w="0" w:type="dxa"/>
            <w:right w:w="0" w:type="dxa"/>
          </w:tblCellMar>
        </w:tblPrEx>
        <w:trPr>
          <w:trHeight w:val="454" w:hRule="atLeast"/>
        </w:trPr>
        <w:tc>
          <w:tcPr>
            <w:tcW w:w="709"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rPr>
            </w:pPr>
          </w:p>
        </w:tc>
        <w:tc>
          <w:tcPr>
            <w:tcW w:w="4419"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rPr>
            </w:pPr>
          </w:p>
        </w:tc>
        <w:tc>
          <w:tcPr>
            <w:tcW w:w="1098"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rPr>
            </w:pPr>
          </w:p>
        </w:tc>
        <w:tc>
          <w:tcPr>
            <w:tcW w:w="978"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rPr>
            </w:pPr>
          </w:p>
        </w:tc>
        <w:tc>
          <w:tcPr>
            <w:tcW w:w="990"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rPr>
            </w:pPr>
          </w:p>
        </w:tc>
        <w:tc>
          <w:tcPr>
            <w:tcW w:w="992"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rPr>
            </w:pPr>
          </w:p>
        </w:tc>
        <w:tc>
          <w:tcPr>
            <w:tcW w:w="674"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rPr>
            </w:pPr>
          </w:p>
        </w:tc>
      </w:tr>
    </w:tbl>
    <w:p>
      <w:pPr>
        <w:pStyle w:val="587"/>
        <w:numPr>
          <w:ilvl w:val="2"/>
          <w:numId w:val="3"/>
        </w:numPr>
        <w:spacing w:beforeLines="50" w:afterLines="50" w:line="360" w:lineRule="auto"/>
        <w:outlineLvl w:val="3"/>
        <w:rPr>
          <w:rFonts w:ascii="LNUHNF+SimSun" w:hAnsi="LNUHNF+SimSun" w:cs="宋体"/>
          <w:color w:val="auto"/>
          <w:szCs w:val="21"/>
        </w:rPr>
      </w:pPr>
      <w:bookmarkStart w:id="707" w:name="_Toc6402"/>
      <w:bookmarkStart w:id="708" w:name="_Toc10581"/>
      <w:r>
        <w:rPr>
          <w:rFonts w:ascii="LNUHNF+SimSun" w:hAnsi="LNUHNF+SimSun" w:cs="宋体"/>
          <w:color w:val="auto"/>
          <w:szCs w:val="21"/>
        </w:rPr>
        <w:t>BIM模型及成果管控要点</w:t>
      </w:r>
      <w:bookmarkEnd w:id="707"/>
      <w:bookmarkEnd w:id="708"/>
    </w:p>
    <w:p>
      <w:pPr>
        <w:spacing w:before="120" w:after="120"/>
        <w:outlineLvl w:val="4"/>
        <w:rPr>
          <w:color w:val="auto"/>
          <w:szCs w:val="21"/>
        </w:rPr>
      </w:pPr>
      <w:bookmarkStart w:id="709" w:name="_Toc16828"/>
      <w:bookmarkStart w:id="710" w:name="_Toc11158"/>
      <w:r>
        <w:rPr>
          <w:color w:val="auto"/>
          <w:szCs w:val="21"/>
        </w:rPr>
        <w:t>1  BIM模型及成果审查要点</w:t>
      </w:r>
      <w:bookmarkEnd w:id="709"/>
      <w:bookmarkEnd w:id="710"/>
    </w:p>
    <w:p>
      <w:pPr>
        <w:spacing w:before="120" w:after="120"/>
        <w:ind w:firstLine="840" w:firstLineChars="400"/>
        <w:rPr>
          <w:color w:val="auto"/>
          <w:szCs w:val="21"/>
        </w:rPr>
      </w:pPr>
      <w:r>
        <w:rPr>
          <w:color w:val="auto"/>
          <w:szCs w:val="21"/>
        </w:rPr>
        <w:t>1）提交内容是否与要求一致；</w:t>
      </w:r>
    </w:p>
    <w:p>
      <w:pPr>
        <w:spacing w:before="120" w:after="120"/>
        <w:ind w:firstLine="840" w:firstLineChars="400"/>
        <w:rPr>
          <w:color w:val="auto"/>
          <w:szCs w:val="21"/>
        </w:rPr>
      </w:pPr>
      <w:r>
        <w:rPr>
          <w:color w:val="auto"/>
          <w:szCs w:val="21"/>
        </w:rPr>
        <w:t>2）提交成果格式是否与要求一致；</w:t>
      </w:r>
    </w:p>
    <w:p>
      <w:pPr>
        <w:spacing w:before="120" w:after="120"/>
        <w:ind w:firstLine="840" w:firstLineChars="400"/>
        <w:rPr>
          <w:color w:val="auto"/>
          <w:szCs w:val="21"/>
        </w:rPr>
      </w:pPr>
      <w:r>
        <w:rPr>
          <w:color w:val="auto"/>
          <w:szCs w:val="21"/>
        </w:rPr>
        <w:t>3）BIM</w:t>
      </w:r>
      <w:bookmarkStart w:id="711" w:name="_bookmark30"/>
      <w:bookmarkEnd w:id="711"/>
      <w:r>
        <w:rPr>
          <w:color w:val="auto"/>
          <w:szCs w:val="21"/>
        </w:rPr>
        <w:t>模型是否满足相应阶段LOD精度需求；</w:t>
      </w:r>
    </w:p>
    <w:p>
      <w:pPr>
        <w:spacing w:before="120" w:after="120"/>
        <w:ind w:firstLine="840" w:firstLineChars="400"/>
        <w:rPr>
          <w:color w:val="auto"/>
          <w:szCs w:val="21"/>
        </w:rPr>
      </w:pPr>
      <w:r>
        <w:rPr>
          <w:color w:val="auto"/>
          <w:szCs w:val="21"/>
        </w:rPr>
        <w:t>4）各阶段BIM模型与提交图纸相符；</w:t>
      </w:r>
    </w:p>
    <w:p>
      <w:pPr>
        <w:spacing w:before="120" w:after="120"/>
        <w:ind w:firstLine="840" w:firstLineChars="400"/>
        <w:rPr>
          <w:color w:val="auto"/>
          <w:szCs w:val="21"/>
        </w:rPr>
      </w:pPr>
      <w:r>
        <w:rPr>
          <w:color w:val="auto"/>
          <w:szCs w:val="21"/>
        </w:rPr>
        <w:t>5）现阶段BIM模型是否满足下一阶段应用条件及信息；</w:t>
      </w:r>
    </w:p>
    <w:p>
      <w:pPr>
        <w:spacing w:before="120" w:after="120"/>
        <w:ind w:firstLine="840" w:firstLineChars="400"/>
        <w:rPr>
          <w:color w:val="auto"/>
          <w:szCs w:val="21"/>
        </w:rPr>
      </w:pPr>
      <w:r>
        <w:rPr>
          <w:color w:val="auto"/>
          <w:szCs w:val="21"/>
        </w:rPr>
        <w:t>6）各阶段BIM模型应有符合当前阶段的基础信息。</w:t>
      </w:r>
    </w:p>
    <w:p>
      <w:pPr>
        <w:spacing w:before="120" w:after="120"/>
        <w:outlineLvl w:val="4"/>
        <w:rPr>
          <w:color w:val="auto"/>
          <w:szCs w:val="21"/>
        </w:rPr>
      </w:pPr>
      <w:bookmarkStart w:id="712" w:name="_Toc27636"/>
      <w:bookmarkStart w:id="713" w:name="_Toc828"/>
      <w:r>
        <w:rPr>
          <w:color w:val="auto"/>
          <w:szCs w:val="21"/>
        </w:rPr>
        <w:t>2  BIM模型建模审查要求</w:t>
      </w:r>
      <w:bookmarkEnd w:id="712"/>
      <w:bookmarkEnd w:id="713"/>
    </w:p>
    <w:p>
      <w:pPr>
        <w:spacing w:before="120" w:after="120"/>
        <w:ind w:firstLine="840" w:firstLineChars="400"/>
        <w:rPr>
          <w:color w:val="auto"/>
          <w:szCs w:val="21"/>
        </w:rPr>
      </w:pPr>
      <w:r>
        <w:rPr>
          <w:rFonts w:hint="eastAsia"/>
          <w:color w:val="auto"/>
          <w:szCs w:val="21"/>
        </w:rPr>
        <w:t>1）建筑专业建模：要求楼梯间、电梯间、管井、楼梯、空调机房、泵房、管廊尺寸、天花板高度等定位须准确、模型构件应按层拆分、楼板分区应按后浇带拆分等。</w:t>
      </w:r>
    </w:p>
    <w:p>
      <w:pPr>
        <w:spacing w:before="120" w:after="120"/>
        <w:ind w:firstLine="840" w:firstLineChars="400"/>
        <w:rPr>
          <w:color w:val="auto"/>
          <w:szCs w:val="21"/>
        </w:rPr>
      </w:pPr>
      <w:r>
        <w:rPr>
          <w:rFonts w:hint="eastAsia"/>
          <w:color w:val="auto"/>
          <w:szCs w:val="21"/>
        </w:rPr>
        <w:t>2）结构专业建模：要求梁、板、柱的截面尺寸与定位尺寸须与图纸一致；管廊内梁底标高需要与设计要求一致。</w:t>
      </w:r>
    </w:p>
    <w:p>
      <w:pPr>
        <w:spacing w:before="120" w:after="120"/>
        <w:ind w:firstLine="840" w:firstLineChars="400"/>
        <w:rPr>
          <w:color w:val="auto"/>
          <w:szCs w:val="21"/>
        </w:rPr>
      </w:pPr>
      <w:r>
        <w:rPr>
          <w:rFonts w:hint="eastAsia"/>
          <w:color w:val="auto"/>
          <w:szCs w:val="21"/>
        </w:rPr>
        <w:t>3）暖通专业建模要求：影响管线综合的一些设备、末端须按图纸要求建出，例如：风机盘管、风口等；暖通水系统建模要求同水专业建模要求一致。</w:t>
      </w:r>
    </w:p>
    <w:p>
      <w:pPr>
        <w:spacing w:before="120" w:after="120"/>
        <w:ind w:firstLine="840" w:firstLineChars="400"/>
        <w:rPr>
          <w:color w:val="auto"/>
          <w:szCs w:val="21"/>
        </w:rPr>
      </w:pPr>
      <w:r>
        <w:rPr>
          <w:rFonts w:hint="eastAsia"/>
          <w:color w:val="auto"/>
          <w:szCs w:val="21"/>
        </w:rPr>
        <w:t>4）给排水专业建模要求：一些需要增加坡度的水管须按图纸要求建出坡度。</w:t>
      </w:r>
    </w:p>
    <w:p>
      <w:pPr>
        <w:spacing w:before="120" w:after="120"/>
        <w:ind w:firstLine="840" w:firstLineChars="400"/>
        <w:rPr>
          <w:color w:val="auto"/>
          <w:szCs w:val="21"/>
        </w:rPr>
      </w:pPr>
      <w:r>
        <w:rPr>
          <w:rFonts w:hint="eastAsia"/>
          <w:color w:val="auto"/>
          <w:szCs w:val="21"/>
        </w:rPr>
        <w:t>5）电气专业：要求各系统名称须与图纸一致；桥架规格与图纸一致。</w:t>
      </w:r>
    </w:p>
    <w:p>
      <w:pPr>
        <w:pStyle w:val="585"/>
        <w:tabs>
          <w:tab w:val="left" w:pos="5424"/>
        </w:tabs>
        <w:spacing w:before="120" w:after="120" w:line="360" w:lineRule="auto"/>
        <w:ind w:left="0"/>
        <w:outlineLvl w:val="1"/>
        <w:rPr>
          <w:rFonts w:ascii="Times New Roman" w:hAnsi="Times New Roman" w:eastAsia="黑体"/>
          <w:b w:val="0"/>
          <w:bCs/>
          <w:color w:val="auto"/>
          <w:sz w:val="24"/>
          <w:szCs w:val="24"/>
        </w:rPr>
      </w:pPr>
      <w:bookmarkStart w:id="714" w:name="_Toc32337"/>
      <w:bookmarkStart w:id="715" w:name="_Toc24254"/>
      <w:bookmarkStart w:id="716" w:name="_Toc62460198"/>
      <w:bookmarkStart w:id="717" w:name="_Toc29471"/>
      <w:bookmarkStart w:id="718" w:name="_Toc15095"/>
      <w:r>
        <w:rPr>
          <w:rFonts w:ascii="Times New Roman" w:hAnsi="Times New Roman" w:eastAsia="黑体"/>
          <w:b w:val="0"/>
          <w:bCs/>
          <w:color w:val="auto"/>
          <w:sz w:val="24"/>
          <w:szCs w:val="24"/>
        </w:rPr>
        <w:t>进度控制</w:t>
      </w:r>
      <w:bookmarkEnd w:id="714"/>
      <w:bookmarkEnd w:id="715"/>
      <w:bookmarkEnd w:id="716"/>
      <w:bookmarkEnd w:id="717"/>
      <w:bookmarkEnd w:id="718"/>
    </w:p>
    <w:p>
      <w:pPr>
        <w:pStyle w:val="587"/>
        <w:numPr>
          <w:ilvl w:val="2"/>
          <w:numId w:val="3"/>
        </w:numPr>
        <w:spacing w:beforeLines="50" w:afterLines="50" w:line="360" w:lineRule="auto"/>
        <w:outlineLvl w:val="3"/>
        <w:rPr>
          <w:rFonts w:ascii="LNUHNF+SimSun" w:hAnsi="LNUHNF+SimSun" w:cs="宋体"/>
          <w:color w:val="auto"/>
          <w:szCs w:val="21"/>
        </w:rPr>
      </w:pPr>
      <w:bookmarkStart w:id="719" w:name="_Toc22052"/>
      <w:bookmarkStart w:id="720" w:name="_Toc28487"/>
      <w:r>
        <w:rPr>
          <w:rFonts w:ascii="LNUHNF+SimSun" w:hAnsi="LNUHNF+SimSun" w:cs="宋体"/>
          <w:color w:val="auto"/>
          <w:szCs w:val="21"/>
        </w:rPr>
        <w:t>在项目规划前期，代建局</w:t>
      </w:r>
      <w:r>
        <w:rPr>
          <w:rFonts w:hint="eastAsia" w:ascii="LNUHNF+SimSun" w:hAnsi="LNUHNF+SimSun" w:cs="宋体"/>
          <w:color w:val="auto"/>
          <w:szCs w:val="21"/>
        </w:rPr>
        <w:t>前期工作部或项目建设管理部</w:t>
      </w:r>
      <w:r>
        <w:rPr>
          <w:rFonts w:ascii="LNUHNF+SimSun" w:hAnsi="LNUHNF+SimSun" w:cs="宋体"/>
          <w:color w:val="auto"/>
          <w:szCs w:val="21"/>
        </w:rPr>
        <w:t>根据拟定项目进度计划，制定项目实施的BIM工作总实施计划。如《BIM实施导则》中附表2所示。</w:t>
      </w:r>
      <w:bookmarkEnd w:id="719"/>
      <w:bookmarkEnd w:id="720"/>
    </w:p>
    <w:p>
      <w:pPr>
        <w:pStyle w:val="587"/>
        <w:numPr>
          <w:ilvl w:val="2"/>
          <w:numId w:val="3"/>
        </w:numPr>
        <w:spacing w:beforeLines="50" w:afterLines="50" w:line="360" w:lineRule="auto"/>
        <w:outlineLvl w:val="3"/>
        <w:rPr>
          <w:rFonts w:ascii="LNUHNF+SimSun" w:hAnsi="LNUHNF+SimSun" w:cs="宋体"/>
          <w:color w:val="auto"/>
          <w:szCs w:val="21"/>
        </w:rPr>
      </w:pPr>
      <w:bookmarkStart w:id="721" w:name="_Toc32343"/>
      <w:bookmarkStart w:id="722" w:name="_Toc21236"/>
      <w:r>
        <w:rPr>
          <w:rFonts w:ascii="LNUHNF+SimSun" w:hAnsi="LNUHNF+SimSun" w:cs="宋体"/>
          <w:color w:val="auto"/>
          <w:szCs w:val="21"/>
        </w:rPr>
        <w:t>项目进度控制管理</w:t>
      </w:r>
      <w:bookmarkEnd w:id="721"/>
      <w:bookmarkEnd w:id="722"/>
    </w:p>
    <w:p>
      <w:pPr>
        <w:spacing w:before="120" w:after="120"/>
        <w:outlineLvl w:val="4"/>
        <w:rPr>
          <w:color w:val="auto"/>
          <w:szCs w:val="21"/>
        </w:rPr>
      </w:pPr>
      <w:bookmarkStart w:id="723" w:name="_Toc11440"/>
      <w:bookmarkStart w:id="724" w:name="_Toc8575"/>
      <w:r>
        <w:rPr>
          <w:color w:val="auto"/>
          <w:szCs w:val="21"/>
        </w:rPr>
        <w:t>1  BIM总协调方根据项目总实施进度制定各阶段BIM实施进度计划，确定模型及成果提交节点及时间；</w:t>
      </w:r>
      <w:bookmarkEnd w:id="723"/>
      <w:bookmarkEnd w:id="724"/>
    </w:p>
    <w:p>
      <w:pPr>
        <w:spacing w:before="120" w:after="120"/>
        <w:outlineLvl w:val="4"/>
        <w:rPr>
          <w:color w:val="auto"/>
          <w:szCs w:val="21"/>
        </w:rPr>
      </w:pPr>
      <w:bookmarkStart w:id="725" w:name="_Toc20468"/>
      <w:bookmarkStart w:id="726" w:name="_Toc22502"/>
      <w:r>
        <w:rPr>
          <w:color w:val="auto"/>
          <w:szCs w:val="21"/>
        </w:rPr>
        <w:t>2  各阶段BIM实施团队根据BIM总协调方制定BIM实施进度计划，要求在计划日期内在项目协同平台上提交BIM成果；</w:t>
      </w:r>
      <w:bookmarkEnd w:id="725"/>
      <w:bookmarkEnd w:id="726"/>
    </w:p>
    <w:p>
      <w:pPr>
        <w:spacing w:before="120" w:after="120"/>
        <w:outlineLvl w:val="4"/>
        <w:rPr>
          <w:color w:val="auto"/>
          <w:szCs w:val="21"/>
        </w:rPr>
      </w:pPr>
      <w:bookmarkStart w:id="727" w:name="_Toc31550"/>
      <w:bookmarkStart w:id="728" w:name="_Toc6390"/>
      <w:r>
        <w:rPr>
          <w:color w:val="auto"/>
          <w:szCs w:val="21"/>
        </w:rPr>
        <w:t>3  BIM总协调方审核BIM模型及成果是否满足交付规格及要求，没达到要求的应填写修改意见单并反馈至BIM实施单位，BIM实施单位修改后重新提交；</w:t>
      </w:r>
      <w:bookmarkEnd w:id="727"/>
      <w:bookmarkEnd w:id="728"/>
    </w:p>
    <w:p>
      <w:pPr>
        <w:spacing w:before="120" w:after="120"/>
        <w:outlineLvl w:val="4"/>
        <w:rPr>
          <w:color w:val="auto"/>
          <w:szCs w:val="21"/>
        </w:rPr>
      </w:pPr>
      <w:bookmarkStart w:id="729" w:name="_Toc2528"/>
      <w:bookmarkStart w:id="730" w:name="_Toc6674"/>
      <w:r>
        <w:rPr>
          <w:color w:val="auto"/>
          <w:szCs w:val="21"/>
        </w:rPr>
        <w:t>4  BIM实施计划应根据项目实施过程实现过程监督及偏差分析；</w:t>
      </w:r>
      <w:bookmarkEnd w:id="729"/>
      <w:bookmarkEnd w:id="730"/>
    </w:p>
    <w:p>
      <w:pPr>
        <w:spacing w:before="120" w:after="120"/>
        <w:outlineLvl w:val="4"/>
        <w:rPr>
          <w:color w:val="auto"/>
          <w:szCs w:val="21"/>
        </w:rPr>
      </w:pPr>
      <w:bookmarkStart w:id="731" w:name="_Toc26174"/>
      <w:bookmarkStart w:id="732" w:name="_Toc19820"/>
      <w:r>
        <w:rPr>
          <w:color w:val="auto"/>
          <w:szCs w:val="21"/>
        </w:rPr>
        <w:t>5  BIM实施进度没能按计划实施的，应追踪查明延误原因，及时纠正偏差并追究相关方责任。</w:t>
      </w:r>
      <w:bookmarkEnd w:id="731"/>
      <w:bookmarkEnd w:id="732"/>
    </w:p>
    <w:p>
      <w:pPr>
        <w:pStyle w:val="587"/>
        <w:numPr>
          <w:ilvl w:val="2"/>
          <w:numId w:val="3"/>
        </w:numPr>
        <w:spacing w:beforeLines="50" w:afterLines="50" w:line="360" w:lineRule="auto"/>
        <w:outlineLvl w:val="3"/>
        <w:rPr>
          <w:rFonts w:ascii="LNUHNF+SimSun" w:hAnsi="LNUHNF+SimSun" w:cs="宋体"/>
          <w:color w:val="auto"/>
          <w:szCs w:val="21"/>
        </w:rPr>
      </w:pPr>
      <w:bookmarkStart w:id="733" w:name="_Toc8577"/>
      <w:bookmarkStart w:id="734" w:name="_Toc28175"/>
      <w:r>
        <w:rPr>
          <w:rFonts w:ascii="LNUHNF+SimSun" w:hAnsi="LNUHNF+SimSun" w:cs="宋体"/>
          <w:color w:val="auto"/>
          <w:szCs w:val="21"/>
        </w:rPr>
        <w:t>项目进度控制审查方法</w:t>
      </w:r>
      <w:bookmarkEnd w:id="733"/>
      <w:bookmarkEnd w:id="734"/>
    </w:p>
    <w:p>
      <w:pPr>
        <w:spacing w:before="120" w:after="120"/>
        <w:outlineLvl w:val="4"/>
        <w:rPr>
          <w:color w:val="auto"/>
          <w:szCs w:val="21"/>
        </w:rPr>
      </w:pPr>
      <w:bookmarkStart w:id="735" w:name="_Toc9618"/>
      <w:bookmarkStart w:id="736" w:name="_Toc23939"/>
      <w:r>
        <w:rPr>
          <w:color w:val="auto"/>
          <w:szCs w:val="21"/>
        </w:rPr>
        <w:t>1  审核节点：日常工作（每周），项目阶段性节点；</w:t>
      </w:r>
      <w:bookmarkEnd w:id="735"/>
      <w:bookmarkEnd w:id="736"/>
    </w:p>
    <w:p>
      <w:pPr>
        <w:spacing w:before="120" w:after="120"/>
        <w:outlineLvl w:val="4"/>
        <w:rPr>
          <w:color w:val="auto"/>
          <w:szCs w:val="21"/>
        </w:rPr>
      </w:pPr>
      <w:bookmarkStart w:id="737" w:name="_Toc17156"/>
      <w:bookmarkStart w:id="738" w:name="_Toc22213"/>
      <w:r>
        <w:rPr>
          <w:color w:val="auto"/>
          <w:szCs w:val="21"/>
        </w:rPr>
        <w:t>2  审查依据：项目BIM实施进度计划；</w:t>
      </w:r>
      <w:bookmarkEnd w:id="737"/>
      <w:bookmarkEnd w:id="738"/>
    </w:p>
    <w:p>
      <w:pPr>
        <w:spacing w:before="120" w:after="120"/>
        <w:outlineLvl w:val="4"/>
        <w:rPr>
          <w:color w:val="auto"/>
          <w:szCs w:val="21"/>
        </w:rPr>
      </w:pPr>
      <w:bookmarkStart w:id="739" w:name="_Toc19504"/>
      <w:bookmarkStart w:id="740" w:name="_Toc8466"/>
      <w:r>
        <w:rPr>
          <w:color w:val="auto"/>
          <w:szCs w:val="21"/>
        </w:rPr>
        <w:t>3  审核形式：项目BIM协调周例会；</w:t>
      </w:r>
      <w:bookmarkEnd w:id="739"/>
      <w:bookmarkEnd w:id="740"/>
    </w:p>
    <w:p>
      <w:pPr>
        <w:spacing w:before="120" w:after="120"/>
        <w:outlineLvl w:val="4"/>
        <w:rPr>
          <w:color w:val="auto"/>
          <w:szCs w:val="21"/>
        </w:rPr>
      </w:pPr>
      <w:bookmarkStart w:id="741" w:name="_Toc14621"/>
      <w:bookmarkStart w:id="742" w:name="_Toc12503"/>
      <w:r>
        <w:rPr>
          <w:color w:val="auto"/>
          <w:szCs w:val="21"/>
        </w:rPr>
        <w:t>4  审核人员：BIM总协调方负责人、项目各参与方BIM负责人；</w:t>
      </w:r>
      <w:bookmarkEnd w:id="741"/>
      <w:bookmarkEnd w:id="742"/>
    </w:p>
    <w:p>
      <w:pPr>
        <w:spacing w:before="120" w:after="120"/>
        <w:outlineLvl w:val="4"/>
        <w:rPr>
          <w:color w:val="auto"/>
          <w:szCs w:val="21"/>
        </w:rPr>
      </w:pPr>
      <w:bookmarkStart w:id="743" w:name="_Toc148"/>
      <w:bookmarkStart w:id="744" w:name="_Toc21583"/>
      <w:r>
        <w:rPr>
          <w:color w:val="auto"/>
          <w:szCs w:val="21"/>
        </w:rPr>
        <w:t>5  审核内容：参照项目进度计划比对，审核项目子项模型完成进度审查（动态审核、节点审核）；</w:t>
      </w:r>
      <w:bookmarkEnd w:id="743"/>
      <w:bookmarkEnd w:id="744"/>
    </w:p>
    <w:p>
      <w:pPr>
        <w:spacing w:before="120" w:after="120"/>
        <w:outlineLvl w:val="4"/>
        <w:rPr>
          <w:color w:val="auto"/>
          <w:szCs w:val="21"/>
        </w:rPr>
      </w:pPr>
      <w:bookmarkStart w:id="745" w:name="_Toc24085"/>
      <w:bookmarkStart w:id="746" w:name="_Toc16337"/>
      <w:r>
        <w:rPr>
          <w:color w:val="auto"/>
          <w:szCs w:val="21"/>
        </w:rPr>
        <w:t>6  审核结论：进度调差，动态调整后期建模工作安排。</w:t>
      </w:r>
      <w:bookmarkEnd w:id="745"/>
      <w:bookmarkEnd w:id="746"/>
    </w:p>
    <w:p>
      <w:pPr>
        <w:spacing w:before="120" w:after="120"/>
        <w:rPr>
          <w:color w:val="auto"/>
        </w:rPr>
        <w:sectPr>
          <w:pgSz w:w="11910" w:h="16840"/>
          <w:pgMar w:top="1080" w:right="1020" w:bottom="1160" w:left="1020" w:header="0" w:footer="973" w:gutter="0"/>
          <w:cols w:space="720" w:num="1"/>
        </w:sectPr>
      </w:pPr>
    </w:p>
    <w:p>
      <w:pPr>
        <w:pStyle w:val="583"/>
        <w:spacing w:before="240" w:after="240"/>
        <w:outlineLvl w:val="0"/>
        <w:rPr>
          <w:b w:val="0"/>
          <w:bCs/>
          <w:color w:val="auto"/>
        </w:rPr>
      </w:pPr>
      <w:bookmarkStart w:id="747" w:name="_bookmark31"/>
      <w:bookmarkEnd w:id="747"/>
      <w:bookmarkStart w:id="748" w:name="_bookmark33"/>
      <w:bookmarkEnd w:id="748"/>
      <w:bookmarkStart w:id="749" w:name="_bookmark32"/>
      <w:bookmarkEnd w:id="749"/>
      <w:bookmarkStart w:id="750" w:name="_Toc32260"/>
      <w:bookmarkStart w:id="751" w:name="_Toc23806"/>
      <w:bookmarkStart w:id="752" w:name="_Toc16851"/>
      <w:bookmarkStart w:id="753" w:name="_Toc62460199"/>
      <w:bookmarkStart w:id="754" w:name="_Toc13516"/>
      <w:r>
        <w:rPr>
          <w:b w:val="0"/>
          <w:bCs/>
          <w:color w:val="auto"/>
        </w:rPr>
        <w:t>交付成果要求</w:t>
      </w:r>
      <w:bookmarkEnd w:id="750"/>
      <w:bookmarkEnd w:id="751"/>
      <w:bookmarkEnd w:id="752"/>
      <w:bookmarkEnd w:id="753"/>
      <w:bookmarkEnd w:id="754"/>
    </w:p>
    <w:p>
      <w:pPr>
        <w:pStyle w:val="585"/>
        <w:tabs>
          <w:tab w:val="left" w:pos="5424"/>
        </w:tabs>
        <w:spacing w:before="120" w:after="120" w:line="360" w:lineRule="auto"/>
        <w:ind w:left="0"/>
        <w:outlineLvl w:val="1"/>
        <w:rPr>
          <w:rFonts w:ascii="Times New Roman" w:hAnsi="Times New Roman" w:eastAsia="黑体"/>
          <w:b w:val="0"/>
          <w:bCs/>
          <w:color w:val="auto"/>
          <w:sz w:val="24"/>
          <w:szCs w:val="24"/>
        </w:rPr>
      </w:pPr>
      <w:bookmarkStart w:id="755" w:name="_Toc62460200"/>
      <w:bookmarkStart w:id="756" w:name="_Toc16820"/>
      <w:bookmarkStart w:id="757" w:name="_Toc29014"/>
      <w:bookmarkStart w:id="758" w:name="_Toc6663"/>
      <w:bookmarkStart w:id="759" w:name="_Toc526"/>
      <w:r>
        <w:rPr>
          <w:rFonts w:ascii="Times New Roman" w:hAnsi="Times New Roman" w:eastAsia="黑体"/>
          <w:b w:val="0"/>
          <w:bCs/>
          <w:color w:val="auto"/>
          <w:sz w:val="24"/>
          <w:szCs w:val="24"/>
        </w:rPr>
        <w:t>模型提交成果要求</w:t>
      </w:r>
      <w:bookmarkEnd w:id="755"/>
      <w:bookmarkEnd w:id="756"/>
      <w:bookmarkEnd w:id="757"/>
      <w:bookmarkEnd w:id="758"/>
      <w:bookmarkEnd w:id="759"/>
    </w:p>
    <w:p>
      <w:pPr>
        <w:pStyle w:val="587"/>
        <w:numPr>
          <w:ilvl w:val="0"/>
          <w:numId w:val="0"/>
        </w:numPr>
        <w:spacing w:beforeLines="50" w:afterLines="50" w:line="360" w:lineRule="auto"/>
        <w:ind w:firstLine="420" w:firstLineChars="200"/>
        <w:jc w:val="both"/>
        <w:outlineLvl w:val="9"/>
        <w:rPr>
          <w:rFonts w:ascii="LNUHNF+SimSun" w:hAnsi="LNUHNF+SimSun" w:cs="宋体"/>
          <w:color w:val="auto"/>
          <w:szCs w:val="21"/>
        </w:rPr>
      </w:pPr>
      <w:bookmarkStart w:id="760" w:name="_Toc2570"/>
      <w:bookmarkStart w:id="761" w:name="_Toc24207"/>
      <w:r>
        <w:rPr>
          <w:rFonts w:ascii="LNUHNF+SimSun" w:hAnsi="LNUHNF+SimSun" w:cs="宋体"/>
          <w:color w:val="auto"/>
          <w:szCs w:val="21"/>
        </w:rPr>
        <w:t>模型提交成果应符合</w:t>
      </w:r>
      <w:r>
        <w:rPr>
          <w:color w:val="auto"/>
          <w:szCs w:val="21"/>
        </w:rPr>
        <w:t>以下</w:t>
      </w:r>
      <w:r>
        <w:rPr>
          <w:rFonts w:ascii="LNUHNF+SimSun" w:hAnsi="LNUHNF+SimSun" w:cs="宋体"/>
          <w:color w:val="auto"/>
          <w:szCs w:val="21"/>
        </w:rPr>
        <w:t>要求:</w:t>
      </w:r>
      <w:bookmarkEnd w:id="760"/>
      <w:bookmarkEnd w:id="761"/>
    </w:p>
    <w:p>
      <w:pPr>
        <w:spacing w:before="120" w:after="120"/>
        <w:outlineLvl w:val="4"/>
        <w:rPr>
          <w:color w:val="auto"/>
          <w:szCs w:val="21"/>
        </w:rPr>
      </w:pPr>
      <w:bookmarkStart w:id="762" w:name="_Toc25408"/>
      <w:bookmarkStart w:id="763" w:name="_Toc1470"/>
      <w:r>
        <w:rPr>
          <w:color w:val="auto"/>
          <w:szCs w:val="21"/>
        </w:rPr>
        <w:t>1  项目各参与方应根据合同约定的BIM内容，按节点要求按时提交成果，并保证交付成果要求符合相关合同范围及标准要求；</w:t>
      </w:r>
      <w:bookmarkEnd w:id="762"/>
      <w:bookmarkEnd w:id="763"/>
    </w:p>
    <w:p>
      <w:pPr>
        <w:spacing w:before="120" w:after="120"/>
        <w:outlineLvl w:val="4"/>
        <w:rPr>
          <w:color w:val="auto"/>
          <w:szCs w:val="21"/>
        </w:rPr>
      </w:pPr>
      <w:bookmarkStart w:id="764" w:name="_Toc28996"/>
      <w:bookmarkStart w:id="765" w:name="_Toc11283"/>
      <w:r>
        <w:rPr>
          <w:color w:val="auto"/>
          <w:szCs w:val="21"/>
        </w:rPr>
        <w:t>2  项目各参与方在提交BIM成果时，参与方BIM负责人应将BIM成果交付函件、签收单、BIM成果文件一并提交BIM总协调方；</w:t>
      </w:r>
      <w:bookmarkEnd w:id="764"/>
      <w:bookmarkEnd w:id="765"/>
    </w:p>
    <w:p>
      <w:pPr>
        <w:spacing w:before="120" w:after="120"/>
        <w:outlineLvl w:val="4"/>
        <w:rPr>
          <w:color w:val="auto"/>
          <w:szCs w:val="21"/>
        </w:rPr>
      </w:pPr>
      <w:bookmarkStart w:id="766" w:name="_Toc12145"/>
      <w:bookmarkStart w:id="767" w:name="_Toc31263"/>
      <w:r>
        <w:rPr>
          <w:color w:val="auto"/>
          <w:szCs w:val="21"/>
        </w:rPr>
        <w:t>3  项目各参与方在项目BIM实施过程中提交的所有成果，应接受BIM总协调方的管理与监督。</w:t>
      </w:r>
      <w:bookmarkEnd w:id="766"/>
      <w:bookmarkEnd w:id="767"/>
    </w:p>
    <w:p>
      <w:pPr>
        <w:pStyle w:val="585"/>
        <w:tabs>
          <w:tab w:val="left" w:pos="5424"/>
        </w:tabs>
        <w:spacing w:before="120" w:after="120" w:line="360" w:lineRule="auto"/>
        <w:ind w:left="0"/>
        <w:outlineLvl w:val="1"/>
        <w:rPr>
          <w:rFonts w:ascii="Times New Roman" w:hAnsi="Times New Roman" w:eastAsia="黑体"/>
          <w:b w:val="0"/>
          <w:bCs/>
          <w:color w:val="auto"/>
          <w:sz w:val="24"/>
          <w:szCs w:val="24"/>
        </w:rPr>
      </w:pPr>
      <w:bookmarkStart w:id="768" w:name="_Toc14896"/>
      <w:bookmarkStart w:id="769" w:name="_Toc8482"/>
      <w:bookmarkStart w:id="770" w:name="_Toc10214"/>
      <w:bookmarkStart w:id="771" w:name="_Toc29000"/>
      <w:bookmarkStart w:id="772" w:name="_Toc62460201"/>
      <w:r>
        <w:rPr>
          <w:rFonts w:ascii="Times New Roman" w:hAnsi="Times New Roman" w:eastAsia="黑体"/>
          <w:b w:val="0"/>
          <w:bCs/>
          <w:color w:val="auto"/>
          <w:sz w:val="24"/>
          <w:szCs w:val="24"/>
        </w:rPr>
        <w:t>成果交付格式</w:t>
      </w:r>
      <w:bookmarkEnd w:id="768"/>
      <w:bookmarkEnd w:id="769"/>
      <w:bookmarkEnd w:id="770"/>
      <w:bookmarkEnd w:id="771"/>
      <w:bookmarkEnd w:id="772"/>
    </w:p>
    <w:p>
      <w:pPr>
        <w:pStyle w:val="587"/>
        <w:numPr>
          <w:ilvl w:val="0"/>
          <w:numId w:val="0"/>
        </w:numPr>
        <w:spacing w:beforeLines="50" w:afterLines="50" w:line="360" w:lineRule="auto"/>
        <w:ind w:firstLine="412" w:firstLineChars="200"/>
        <w:jc w:val="both"/>
        <w:outlineLvl w:val="9"/>
        <w:rPr>
          <w:color w:val="auto"/>
        </w:rPr>
      </w:pPr>
      <w:bookmarkStart w:id="773" w:name="_Toc5971"/>
      <w:bookmarkStart w:id="774" w:name="_Toc13211"/>
      <w:r>
        <w:rPr>
          <w:rFonts w:ascii="Times New Roman" w:hAnsi="Times New Roman" w:eastAsia="Times New Roman"/>
          <w:color w:val="auto"/>
          <w:spacing w:val="-2"/>
        </w:rPr>
        <w:t>BIM</w:t>
      </w:r>
      <w:r>
        <w:rPr>
          <w:color w:val="auto"/>
        </w:rPr>
        <w:t>应用成果需</w:t>
      </w:r>
      <w:r>
        <w:rPr>
          <w:rFonts w:ascii="LNUHNF+SimSun" w:hAnsi="LNUHNF+SimSun" w:cs="宋体"/>
          <w:color w:val="auto"/>
          <w:szCs w:val="21"/>
        </w:rPr>
        <w:t>提供</w:t>
      </w:r>
      <w:r>
        <w:rPr>
          <w:color w:val="auto"/>
        </w:rPr>
        <w:t>原始模型文件格式，对于同类文件格式应使用统一的版本，常用数据交付格式如下表所示：</w:t>
      </w:r>
      <w:bookmarkEnd w:id="773"/>
      <w:bookmarkEnd w:id="774"/>
    </w:p>
    <w:p>
      <w:pPr>
        <w:pStyle w:val="498"/>
        <w:spacing w:beforeLines="50" w:afterLines="50" w:line="360" w:lineRule="auto"/>
        <w:ind w:firstLine="360"/>
        <w:jc w:val="center"/>
        <w:rPr>
          <w:rFonts w:ascii="黑体" w:hAnsi="黑体" w:eastAsia="黑体" w:cs="黑体"/>
          <w:color w:val="auto"/>
          <w:sz w:val="18"/>
          <w:szCs w:val="18"/>
        </w:rPr>
      </w:pPr>
      <w:r>
        <w:rPr>
          <w:rFonts w:ascii="黑体" w:hAnsi="黑体" w:eastAsia="黑体" w:cs="黑体"/>
          <w:color w:val="auto"/>
          <w:sz w:val="18"/>
          <w:szCs w:val="18"/>
        </w:rPr>
        <w:t>表4.2  数据交付格式</w:t>
      </w:r>
    </w:p>
    <w:tbl>
      <w:tblPr>
        <w:tblStyle w:val="55"/>
        <w:tblW w:w="9960" w:type="dxa"/>
        <w:tblInd w:w="0" w:type="dxa"/>
        <w:tblLayout w:type="fixed"/>
        <w:tblCellMar>
          <w:top w:w="0" w:type="dxa"/>
          <w:left w:w="0" w:type="dxa"/>
          <w:bottom w:w="0" w:type="dxa"/>
          <w:right w:w="0" w:type="dxa"/>
        </w:tblCellMar>
      </w:tblPr>
      <w:tblGrid>
        <w:gridCol w:w="824"/>
        <w:gridCol w:w="1127"/>
        <w:gridCol w:w="2868"/>
        <w:gridCol w:w="1691"/>
        <w:gridCol w:w="3450"/>
      </w:tblGrid>
      <w:tr>
        <w:tblPrEx>
          <w:tblCellMar>
            <w:top w:w="0" w:type="dxa"/>
            <w:left w:w="0" w:type="dxa"/>
            <w:bottom w:w="0" w:type="dxa"/>
            <w:right w:w="0" w:type="dxa"/>
          </w:tblCellMar>
        </w:tblPrEx>
        <w:trPr>
          <w:trHeight w:val="454" w:hRule="atLeast"/>
        </w:trPr>
        <w:tc>
          <w:tcPr>
            <w:tcW w:w="824"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序号</w:t>
            </w:r>
          </w:p>
        </w:tc>
        <w:tc>
          <w:tcPr>
            <w:tcW w:w="1127" w:type="dxa"/>
            <w:tcBorders>
              <w:top w:val="single" w:color="000000" w:sz="4" w:space="0"/>
              <w:left w:val="single" w:color="000000" w:sz="4" w:space="0"/>
              <w:bottom w:val="single" w:color="000000" w:sz="4" w:space="0"/>
              <w:right w:val="single" w:color="000000" w:sz="4" w:space="0"/>
            </w:tcBorders>
            <w:noWrap/>
            <w:vAlign w:val="center"/>
          </w:tcPr>
          <w:p>
            <w:pPr>
              <w:pStyle w:val="480"/>
              <w:spacing w:before="50" w:after="50"/>
              <w:jc w:val="center"/>
              <w:rPr>
                <w:color w:val="auto"/>
                <w:sz w:val="18"/>
                <w:szCs w:val="18"/>
              </w:rPr>
            </w:pPr>
            <w:r>
              <w:rPr>
                <w:color w:val="auto"/>
                <w:sz w:val="18"/>
                <w:szCs w:val="18"/>
              </w:rPr>
              <w:t>内容</w:t>
            </w:r>
          </w:p>
        </w:tc>
        <w:tc>
          <w:tcPr>
            <w:tcW w:w="2868" w:type="dxa"/>
            <w:tcBorders>
              <w:top w:val="single" w:color="000000" w:sz="4" w:space="0"/>
              <w:left w:val="single" w:color="000000" w:sz="4" w:space="0"/>
              <w:bottom w:val="single" w:color="000000" w:sz="4" w:space="0"/>
              <w:right w:val="single" w:color="000000" w:sz="4" w:space="0"/>
            </w:tcBorders>
            <w:noWrap/>
            <w:vAlign w:val="center"/>
          </w:tcPr>
          <w:p>
            <w:pPr>
              <w:pStyle w:val="480"/>
              <w:spacing w:before="50" w:after="50"/>
              <w:jc w:val="center"/>
              <w:rPr>
                <w:color w:val="auto"/>
                <w:sz w:val="18"/>
                <w:szCs w:val="18"/>
              </w:rPr>
            </w:pPr>
            <w:r>
              <w:rPr>
                <w:color w:val="auto"/>
                <w:sz w:val="18"/>
                <w:szCs w:val="18"/>
              </w:rPr>
              <w:t>软件</w:t>
            </w:r>
          </w:p>
        </w:tc>
        <w:tc>
          <w:tcPr>
            <w:tcW w:w="1691" w:type="dxa"/>
            <w:tcBorders>
              <w:top w:val="single" w:color="000000" w:sz="4" w:space="0"/>
              <w:left w:val="single" w:color="000000" w:sz="4" w:space="0"/>
              <w:bottom w:val="single" w:color="000000" w:sz="4" w:space="0"/>
              <w:right w:val="single" w:color="000000" w:sz="4" w:space="0"/>
            </w:tcBorders>
            <w:noWrap/>
            <w:vAlign w:val="center"/>
          </w:tcPr>
          <w:p>
            <w:pPr>
              <w:pStyle w:val="480"/>
              <w:spacing w:before="50" w:after="50"/>
              <w:jc w:val="center"/>
              <w:rPr>
                <w:color w:val="auto"/>
                <w:sz w:val="18"/>
                <w:szCs w:val="18"/>
              </w:rPr>
            </w:pPr>
            <w:r>
              <w:rPr>
                <w:color w:val="auto"/>
                <w:sz w:val="18"/>
                <w:szCs w:val="18"/>
              </w:rPr>
              <w:t>交付格式</w:t>
            </w:r>
          </w:p>
        </w:tc>
        <w:tc>
          <w:tcPr>
            <w:tcW w:w="3450"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备注</w:t>
            </w:r>
          </w:p>
        </w:tc>
      </w:tr>
      <w:tr>
        <w:tblPrEx>
          <w:tblCellMar>
            <w:top w:w="0" w:type="dxa"/>
            <w:left w:w="0" w:type="dxa"/>
            <w:bottom w:w="0" w:type="dxa"/>
            <w:right w:w="0" w:type="dxa"/>
          </w:tblCellMar>
        </w:tblPrEx>
        <w:trPr>
          <w:trHeight w:val="454" w:hRule="atLeast"/>
        </w:trPr>
        <w:tc>
          <w:tcPr>
            <w:tcW w:w="824" w:type="dxa"/>
            <w:vMerge w:val="restart"/>
            <w:tcBorders>
              <w:top w:val="single" w:color="000000" w:sz="4" w:space="0"/>
              <w:left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1</w:t>
            </w:r>
          </w:p>
        </w:tc>
        <w:tc>
          <w:tcPr>
            <w:tcW w:w="1127" w:type="dxa"/>
            <w:vMerge w:val="restart"/>
            <w:tcBorders>
              <w:top w:val="single" w:color="000000" w:sz="4" w:space="0"/>
              <w:left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模型成果文件</w:t>
            </w:r>
          </w:p>
        </w:tc>
        <w:tc>
          <w:tcPr>
            <w:tcW w:w="2868"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AutodeskRevit</w:t>
            </w:r>
          </w:p>
        </w:tc>
        <w:tc>
          <w:tcPr>
            <w:tcW w:w="1691"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*.rvt</w:t>
            </w:r>
            <w:r>
              <w:rPr>
                <w:rFonts w:hint="eastAsia" w:cs="宋体"/>
                <w:color w:val="auto"/>
                <w:sz w:val="18"/>
                <w:szCs w:val="18"/>
                <w:lang w:eastAsia="en-US"/>
              </w:rPr>
              <w:t>、</w:t>
            </w:r>
            <w:r>
              <w:rPr>
                <w:rFonts w:cs="宋体"/>
                <w:color w:val="auto"/>
                <w:sz w:val="18"/>
                <w:szCs w:val="18"/>
                <w:lang w:eastAsia="en-US"/>
              </w:rPr>
              <w:t>*.rfa</w:t>
            </w:r>
          </w:p>
        </w:tc>
        <w:tc>
          <w:tcPr>
            <w:tcW w:w="3450"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p>
        </w:tc>
      </w:tr>
      <w:tr>
        <w:tblPrEx>
          <w:tblCellMar>
            <w:top w:w="0" w:type="dxa"/>
            <w:left w:w="0" w:type="dxa"/>
            <w:bottom w:w="0" w:type="dxa"/>
            <w:right w:w="0" w:type="dxa"/>
          </w:tblCellMar>
        </w:tblPrEx>
        <w:trPr>
          <w:trHeight w:val="454" w:hRule="atLeast"/>
        </w:trPr>
        <w:tc>
          <w:tcPr>
            <w:tcW w:w="824" w:type="dxa"/>
            <w:vMerge w:val="continue"/>
            <w:tcBorders>
              <w:left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p>
        </w:tc>
        <w:tc>
          <w:tcPr>
            <w:tcW w:w="1127" w:type="dxa"/>
            <w:vMerge w:val="continue"/>
            <w:tcBorders>
              <w:left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p>
        </w:tc>
        <w:tc>
          <w:tcPr>
            <w:tcW w:w="2868"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Catia</w:t>
            </w:r>
          </w:p>
        </w:tc>
        <w:tc>
          <w:tcPr>
            <w:tcW w:w="1691"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*.CATProduct</w:t>
            </w:r>
          </w:p>
        </w:tc>
        <w:tc>
          <w:tcPr>
            <w:tcW w:w="3450"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p>
        </w:tc>
      </w:tr>
      <w:tr>
        <w:tblPrEx>
          <w:tblCellMar>
            <w:top w:w="0" w:type="dxa"/>
            <w:left w:w="0" w:type="dxa"/>
            <w:bottom w:w="0" w:type="dxa"/>
            <w:right w:w="0" w:type="dxa"/>
          </w:tblCellMar>
        </w:tblPrEx>
        <w:trPr>
          <w:trHeight w:val="454" w:hRule="atLeast"/>
        </w:trPr>
        <w:tc>
          <w:tcPr>
            <w:tcW w:w="824" w:type="dxa"/>
            <w:vMerge w:val="continue"/>
            <w:tcBorders>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p>
        </w:tc>
        <w:tc>
          <w:tcPr>
            <w:tcW w:w="1127" w:type="dxa"/>
            <w:vMerge w:val="continue"/>
            <w:tcBorders>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p>
        </w:tc>
        <w:tc>
          <w:tcPr>
            <w:tcW w:w="2868"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Tekla</w:t>
            </w:r>
          </w:p>
        </w:tc>
        <w:tc>
          <w:tcPr>
            <w:tcW w:w="1691"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*.DB1</w:t>
            </w:r>
          </w:p>
        </w:tc>
        <w:tc>
          <w:tcPr>
            <w:tcW w:w="3450"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p>
        </w:tc>
      </w:tr>
      <w:tr>
        <w:tblPrEx>
          <w:tblCellMar>
            <w:top w:w="0" w:type="dxa"/>
            <w:left w:w="0" w:type="dxa"/>
            <w:bottom w:w="0" w:type="dxa"/>
            <w:right w:w="0" w:type="dxa"/>
          </w:tblCellMar>
        </w:tblPrEx>
        <w:trPr>
          <w:trHeight w:val="454" w:hRule="atLeast"/>
        </w:trPr>
        <w:tc>
          <w:tcPr>
            <w:tcW w:w="824" w:type="dxa"/>
            <w:vMerge w:val="restart"/>
            <w:tcBorders>
              <w:top w:val="single" w:color="000000" w:sz="4" w:space="0"/>
              <w:left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2</w:t>
            </w:r>
          </w:p>
        </w:tc>
        <w:tc>
          <w:tcPr>
            <w:tcW w:w="1127" w:type="dxa"/>
            <w:vMerge w:val="restart"/>
            <w:tcBorders>
              <w:top w:val="single" w:color="000000" w:sz="4" w:space="0"/>
              <w:left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浏览审核文件格式</w:t>
            </w:r>
          </w:p>
        </w:tc>
        <w:tc>
          <w:tcPr>
            <w:tcW w:w="2868"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Navisworks</w:t>
            </w:r>
          </w:p>
        </w:tc>
        <w:tc>
          <w:tcPr>
            <w:tcW w:w="1691"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*.nwd</w:t>
            </w:r>
          </w:p>
        </w:tc>
        <w:tc>
          <w:tcPr>
            <w:tcW w:w="3450"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p>
        </w:tc>
      </w:tr>
      <w:tr>
        <w:tblPrEx>
          <w:tblCellMar>
            <w:top w:w="0" w:type="dxa"/>
            <w:left w:w="0" w:type="dxa"/>
            <w:bottom w:w="0" w:type="dxa"/>
            <w:right w:w="0" w:type="dxa"/>
          </w:tblCellMar>
        </w:tblPrEx>
        <w:trPr>
          <w:trHeight w:val="454" w:hRule="atLeast"/>
        </w:trPr>
        <w:tc>
          <w:tcPr>
            <w:tcW w:w="824" w:type="dxa"/>
            <w:vMerge w:val="continue"/>
            <w:tcBorders>
              <w:left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p>
        </w:tc>
        <w:tc>
          <w:tcPr>
            <w:tcW w:w="1127" w:type="dxa"/>
            <w:vMerge w:val="continue"/>
            <w:tcBorders>
              <w:left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p>
        </w:tc>
        <w:tc>
          <w:tcPr>
            <w:tcW w:w="2868"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Bentleyi-model</w:t>
            </w:r>
          </w:p>
        </w:tc>
        <w:tc>
          <w:tcPr>
            <w:tcW w:w="1691"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*.i-model</w:t>
            </w:r>
          </w:p>
        </w:tc>
        <w:tc>
          <w:tcPr>
            <w:tcW w:w="3450"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p>
        </w:tc>
      </w:tr>
      <w:tr>
        <w:tblPrEx>
          <w:tblCellMar>
            <w:top w:w="0" w:type="dxa"/>
            <w:left w:w="0" w:type="dxa"/>
            <w:bottom w:w="0" w:type="dxa"/>
            <w:right w:w="0" w:type="dxa"/>
          </w:tblCellMar>
        </w:tblPrEx>
        <w:trPr>
          <w:trHeight w:val="454" w:hRule="atLeast"/>
        </w:trPr>
        <w:tc>
          <w:tcPr>
            <w:tcW w:w="824" w:type="dxa"/>
            <w:vMerge w:val="continue"/>
            <w:tcBorders>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p>
        </w:tc>
        <w:tc>
          <w:tcPr>
            <w:tcW w:w="1127" w:type="dxa"/>
            <w:vMerge w:val="continue"/>
            <w:tcBorders>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p>
        </w:tc>
        <w:tc>
          <w:tcPr>
            <w:tcW w:w="2868"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3dxml</w:t>
            </w:r>
          </w:p>
        </w:tc>
        <w:tc>
          <w:tcPr>
            <w:tcW w:w="1691"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*.3dxml</w:t>
            </w:r>
          </w:p>
        </w:tc>
        <w:tc>
          <w:tcPr>
            <w:tcW w:w="3450"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p>
        </w:tc>
      </w:tr>
      <w:tr>
        <w:tblPrEx>
          <w:tblCellMar>
            <w:top w:w="0" w:type="dxa"/>
            <w:left w:w="0" w:type="dxa"/>
            <w:bottom w:w="0" w:type="dxa"/>
            <w:right w:w="0" w:type="dxa"/>
          </w:tblCellMar>
        </w:tblPrEx>
        <w:trPr>
          <w:trHeight w:val="454" w:hRule="atLeast"/>
        </w:trPr>
        <w:tc>
          <w:tcPr>
            <w:tcW w:w="824" w:type="dxa"/>
            <w:vMerge w:val="restart"/>
            <w:tcBorders>
              <w:top w:val="single" w:color="000000" w:sz="4" w:space="0"/>
              <w:left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3</w:t>
            </w:r>
          </w:p>
        </w:tc>
        <w:tc>
          <w:tcPr>
            <w:tcW w:w="1127" w:type="dxa"/>
            <w:vMerge w:val="restart"/>
            <w:tcBorders>
              <w:top w:val="single" w:color="000000" w:sz="4" w:space="0"/>
              <w:left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媒体文件格式</w:t>
            </w:r>
          </w:p>
        </w:tc>
        <w:tc>
          <w:tcPr>
            <w:tcW w:w="2868" w:type="dxa"/>
            <w:vMerge w:val="restart"/>
            <w:tcBorders>
              <w:top w:val="single" w:color="000000" w:sz="4" w:space="0"/>
              <w:left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w:t>
            </w:r>
          </w:p>
        </w:tc>
        <w:tc>
          <w:tcPr>
            <w:tcW w:w="1691"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*.AVI</w:t>
            </w:r>
          </w:p>
        </w:tc>
        <w:tc>
          <w:tcPr>
            <w:tcW w:w="3450" w:type="dxa"/>
            <w:vMerge w:val="restart"/>
            <w:tcBorders>
              <w:top w:val="single" w:color="000000" w:sz="4" w:space="0"/>
              <w:left w:val="single" w:color="000000" w:sz="4" w:space="0"/>
              <w:right w:val="single" w:color="000000" w:sz="4" w:space="0"/>
            </w:tcBorders>
            <w:noWrap/>
            <w:vAlign w:val="center"/>
          </w:tcPr>
          <w:p>
            <w:pPr>
              <w:spacing w:before="120" w:after="120"/>
              <w:ind w:firstLine="360"/>
              <w:jc w:val="center"/>
              <w:rPr>
                <w:rFonts w:cs="宋体"/>
                <w:color w:val="auto"/>
                <w:sz w:val="18"/>
                <w:szCs w:val="18"/>
              </w:rPr>
            </w:pPr>
            <w:r>
              <w:rPr>
                <w:rFonts w:cs="宋体"/>
                <w:color w:val="auto"/>
                <w:sz w:val="18"/>
                <w:szCs w:val="18"/>
              </w:rPr>
              <w:t>原始分辨率不小于800*600,帧率不少于15帧/秒。内容时长应以充分说明所表达内容为准</w:t>
            </w:r>
            <w:r>
              <w:rPr>
                <w:rFonts w:hint="eastAsia" w:cs="宋体"/>
                <w:color w:val="auto"/>
                <w:sz w:val="18"/>
                <w:szCs w:val="18"/>
              </w:rPr>
              <w:t>。</w:t>
            </w:r>
          </w:p>
        </w:tc>
      </w:tr>
      <w:tr>
        <w:tblPrEx>
          <w:tblCellMar>
            <w:top w:w="0" w:type="dxa"/>
            <w:left w:w="0" w:type="dxa"/>
            <w:bottom w:w="0" w:type="dxa"/>
            <w:right w:w="0" w:type="dxa"/>
          </w:tblCellMar>
        </w:tblPrEx>
        <w:trPr>
          <w:trHeight w:val="454" w:hRule="atLeast"/>
        </w:trPr>
        <w:tc>
          <w:tcPr>
            <w:tcW w:w="824" w:type="dxa"/>
            <w:vMerge w:val="continue"/>
            <w:tcBorders>
              <w:left w:val="single" w:color="000000" w:sz="4" w:space="0"/>
              <w:right w:val="single" w:color="000000" w:sz="4" w:space="0"/>
            </w:tcBorders>
            <w:noWrap/>
            <w:vAlign w:val="center"/>
          </w:tcPr>
          <w:p>
            <w:pPr>
              <w:spacing w:before="120" w:after="120"/>
              <w:ind w:firstLine="360"/>
              <w:jc w:val="center"/>
              <w:rPr>
                <w:rFonts w:cs="宋体"/>
                <w:color w:val="auto"/>
                <w:sz w:val="18"/>
                <w:szCs w:val="18"/>
              </w:rPr>
            </w:pPr>
          </w:p>
        </w:tc>
        <w:tc>
          <w:tcPr>
            <w:tcW w:w="1127" w:type="dxa"/>
            <w:vMerge w:val="continue"/>
            <w:tcBorders>
              <w:left w:val="single" w:color="000000" w:sz="4" w:space="0"/>
              <w:right w:val="single" w:color="000000" w:sz="4" w:space="0"/>
            </w:tcBorders>
            <w:noWrap/>
            <w:vAlign w:val="center"/>
          </w:tcPr>
          <w:p>
            <w:pPr>
              <w:spacing w:before="120" w:after="120"/>
              <w:ind w:firstLine="360"/>
              <w:jc w:val="center"/>
              <w:rPr>
                <w:rFonts w:cs="宋体"/>
                <w:color w:val="auto"/>
                <w:sz w:val="18"/>
                <w:szCs w:val="18"/>
              </w:rPr>
            </w:pPr>
          </w:p>
        </w:tc>
        <w:tc>
          <w:tcPr>
            <w:tcW w:w="2868" w:type="dxa"/>
            <w:vMerge w:val="continue"/>
            <w:tcBorders>
              <w:left w:val="single" w:color="000000" w:sz="4" w:space="0"/>
              <w:right w:val="single" w:color="000000" w:sz="4" w:space="0"/>
            </w:tcBorders>
            <w:noWrap/>
            <w:vAlign w:val="center"/>
          </w:tcPr>
          <w:p>
            <w:pPr>
              <w:spacing w:before="120" w:after="120"/>
              <w:ind w:firstLine="360"/>
              <w:jc w:val="center"/>
              <w:rPr>
                <w:rFonts w:cs="宋体"/>
                <w:color w:val="auto"/>
                <w:sz w:val="18"/>
                <w:szCs w:val="18"/>
              </w:rPr>
            </w:pPr>
          </w:p>
        </w:tc>
        <w:tc>
          <w:tcPr>
            <w:tcW w:w="1691"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*.wmv</w:t>
            </w:r>
          </w:p>
        </w:tc>
        <w:tc>
          <w:tcPr>
            <w:tcW w:w="3450" w:type="dxa"/>
            <w:vMerge w:val="continue"/>
            <w:tcBorders>
              <w:left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p>
        </w:tc>
      </w:tr>
      <w:tr>
        <w:tblPrEx>
          <w:tblCellMar>
            <w:top w:w="0" w:type="dxa"/>
            <w:left w:w="0" w:type="dxa"/>
            <w:bottom w:w="0" w:type="dxa"/>
            <w:right w:w="0" w:type="dxa"/>
          </w:tblCellMar>
        </w:tblPrEx>
        <w:trPr>
          <w:trHeight w:val="454" w:hRule="atLeast"/>
        </w:trPr>
        <w:tc>
          <w:tcPr>
            <w:tcW w:w="824" w:type="dxa"/>
            <w:vMerge w:val="continue"/>
            <w:tcBorders>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p>
        </w:tc>
        <w:tc>
          <w:tcPr>
            <w:tcW w:w="1127" w:type="dxa"/>
            <w:vMerge w:val="continue"/>
            <w:tcBorders>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p>
        </w:tc>
        <w:tc>
          <w:tcPr>
            <w:tcW w:w="2868" w:type="dxa"/>
            <w:vMerge w:val="continue"/>
            <w:tcBorders>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p>
        </w:tc>
        <w:tc>
          <w:tcPr>
            <w:tcW w:w="1691"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*.MP4</w:t>
            </w:r>
          </w:p>
        </w:tc>
        <w:tc>
          <w:tcPr>
            <w:tcW w:w="3450" w:type="dxa"/>
            <w:vMerge w:val="continue"/>
            <w:tcBorders>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p>
        </w:tc>
      </w:tr>
      <w:tr>
        <w:tblPrEx>
          <w:tblCellMar>
            <w:top w:w="0" w:type="dxa"/>
            <w:left w:w="0" w:type="dxa"/>
            <w:bottom w:w="0" w:type="dxa"/>
            <w:right w:w="0" w:type="dxa"/>
          </w:tblCellMar>
        </w:tblPrEx>
        <w:trPr>
          <w:trHeight w:val="454" w:hRule="atLeast"/>
        </w:trPr>
        <w:tc>
          <w:tcPr>
            <w:tcW w:w="824" w:type="dxa"/>
            <w:vMerge w:val="restart"/>
            <w:tcBorders>
              <w:top w:val="single" w:color="000000" w:sz="4" w:space="0"/>
              <w:left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4</w:t>
            </w:r>
          </w:p>
        </w:tc>
        <w:tc>
          <w:tcPr>
            <w:tcW w:w="1127" w:type="dxa"/>
            <w:vMerge w:val="restart"/>
            <w:tcBorders>
              <w:top w:val="single" w:color="000000" w:sz="4" w:space="0"/>
              <w:left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图片文件</w:t>
            </w:r>
          </w:p>
        </w:tc>
        <w:tc>
          <w:tcPr>
            <w:tcW w:w="2868" w:type="dxa"/>
            <w:vMerge w:val="restart"/>
            <w:tcBorders>
              <w:top w:val="single" w:color="000000" w:sz="4" w:space="0"/>
              <w:left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w:t>
            </w:r>
          </w:p>
        </w:tc>
        <w:tc>
          <w:tcPr>
            <w:tcW w:w="1691"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*.jpeg</w:t>
            </w:r>
          </w:p>
        </w:tc>
        <w:tc>
          <w:tcPr>
            <w:tcW w:w="3450" w:type="dxa"/>
            <w:vMerge w:val="restart"/>
            <w:tcBorders>
              <w:top w:val="single" w:color="000000" w:sz="4" w:space="0"/>
              <w:left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分辨率不小于1280*720</w:t>
            </w:r>
          </w:p>
        </w:tc>
      </w:tr>
      <w:tr>
        <w:tblPrEx>
          <w:tblCellMar>
            <w:top w:w="0" w:type="dxa"/>
            <w:left w:w="0" w:type="dxa"/>
            <w:bottom w:w="0" w:type="dxa"/>
            <w:right w:w="0" w:type="dxa"/>
          </w:tblCellMar>
        </w:tblPrEx>
        <w:trPr>
          <w:trHeight w:val="454" w:hRule="atLeast"/>
        </w:trPr>
        <w:tc>
          <w:tcPr>
            <w:tcW w:w="824" w:type="dxa"/>
            <w:vMerge w:val="continue"/>
            <w:tcBorders>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p>
        </w:tc>
        <w:tc>
          <w:tcPr>
            <w:tcW w:w="1127" w:type="dxa"/>
            <w:vMerge w:val="continue"/>
            <w:tcBorders>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p>
        </w:tc>
        <w:tc>
          <w:tcPr>
            <w:tcW w:w="2868" w:type="dxa"/>
            <w:vMerge w:val="continue"/>
            <w:tcBorders>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p>
        </w:tc>
        <w:tc>
          <w:tcPr>
            <w:tcW w:w="1691"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*.png</w:t>
            </w:r>
          </w:p>
        </w:tc>
        <w:tc>
          <w:tcPr>
            <w:tcW w:w="3450" w:type="dxa"/>
            <w:vMerge w:val="continue"/>
            <w:tcBorders>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p>
        </w:tc>
      </w:tr>
      <w:tr>
        <w:tblPrEx>
          <w:tblCellMar>
            <w:top w:w="0" w:type="dxa"/>
            <w:left w:w="0" w:type="dxa"/>
            <w:bottom w:w="0" w:type="dxa"/>
            <w:right w:w="0" w:type="dxa"/>
          </w:tblCellMar>
        </w:tblPrEx>
        <w:trPr>
          <w:trHeight w:val="454" w:hRule="atLeast"/>
        </w:trPr>
        <w:tc>
          <w:tcPr>
            <w:tcW w:w="824" w:type="dxa"/>
            <w:vMerge w:val="restart"/>
            <w:tcBorders>
              <w:top w:val="single" w:color="000000" w:sz="4" w:space="0"/>
              <w:left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5</w:t>
            </w:r>
          </w:p>
        </w:tc>
        <w:tc>
          <w:tcPr>
            <w:tcW w:w="1127" w:type="dxa"/>
            <w:vMerge w:val="restart"/>
            <w:tcBorders>
              <w:top w:val="single" w:color="000000" w:sz="4" w:space="0"/>
              <w:left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办公文件</w:t>
            </w:r>
          </w:p>
        </w:tc>
        <w:tc>
          <w:tcPr>
            <w:tcW w:w="2868" w:type="dxa"/>
            <w:vMerge w:val="restart"/>
            <w:tcBorders>
              <w:top w:val="single" w:color="000000" w:sz="4" w:space="0"/>
              <w:left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Office</w:t>
            </w:r>
          </w:p>
        </w:tc>
        <w:tc>
          <w:tcPr>
            <w:tcW w:w="1691"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*.doc/*.docx</w:t>
            </w:r>
          </w:p>
        </w:tc>
        <w:tc>
          <w:tcPr>
            <w:tcW w:w="3450" w:type="dxa"/>
            <w:vMerge w:val="restart"/>
            <w:tcBorders>
              <w:top w:val="single" w:color="000000" w:sz="4" w:space="0"/>
              <w:left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p>
        </w:tc>
      </w:tr>
      <w:tr>
        <w:tblPrEx>
          <w:tblCellMar>
            <w:top w:w="0" w:type="dxa"/>
            <w:left w:w="0" w:type="dxa"/>
            <w:bottom w:w="0" w:type="dxa"/>
            <w:right w:w="0" w:type="dxa"/>
          </w:tblCellMar>
        </w:tblPrEx>
        <w:trPr>
          <w:trHeight w:val="454" w:hRule="atLeast"/>
        </w:trPr>
        <w:tc>
          <w:tcPr>
            <w:tcW w:w="824" w:type="dxa"/>
            <w:vMerge w:val="continue"/>
            <w:tcBorders>
              <w:left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p>
        </w:tc>
        <w:tc>
          <w:tcPr>
            <w:tcW w:w="1127" w:type="dxa"/>
            <w:vMerge w:val="continue"/>
            <w:tcBorders>
              <w:left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p>
        </w:tc>
        <w:tc>
          <w:tcPr>
            <w:tcW w:w="2868" w:type="dxa"/>
            <w:vMerge w:val="continue"/>
            <w:tcBorders>
              <w:left w:val="single" w:color="000000" w:sz="4" w:space="0"/>
              <w:right w:val="single" w:color="000000" w:sz="4" w:space="0"/>
            </w:tcBorders>
            <w:noWrap/>
            <w:vAlign w:val="center"/>
          </w:tcPr>
          <w:p>
            <w:pPr>
              <w:pStyle w:val="480"/>
              <w:spacing w:before="50" w:after="50"/>
              <w:jc w:val="center"/>
              <w:rPr>
                <w:color w:val="auto"/>
                <w:sz w:val="18"/>
                <w:szCs w:val="18"/>
              </w:rPr>
            </w:pPr>
          </w:p>
        </w:tc>
        <w:tc>
          <w:tcPr>
            <w:tcW w:w="1691" w:type="dxa"/>
            <w:tcBorders>
              <w:top w:val="single" w:color="000000" w:sz="4" w:space="0"/>
              <w:left w:val="single" w:color="000000" w:sz="4" w:space="0"/>
              <w:bottom w:val="single" w:color="000000" w:sz="4" w:space="0"/>
              <w:right w:val="single" w:color="000000" w:sz="4" w:space="0"/>
            </w:tcBorders>
            <w:noWrap/>
            <w:vAlign w:val="center"/>
          </w:tcPr>
          <w:p>
            <w:pPr>
              <w:pStyle w:val="480"/>
              <w:spacing w:before="50" w:after="50"/>
              <w:jc w:val="center"/>
              <w:rPr>
                <w:color w:val="auto"/>
                <w:sz w:val="18"/>
                <w:szCs w:val="18"/>
              </w:rPr>
            </w:pPr>
            <w:r>
              <w:rPr>
                <w:color w:val="auto"/>
                <w:sz w:val="18"/>
                <w:szCs w:val="18"/>
              </w:rPr>
              <w:t>*.xls/*.xlsx</w:t>
            </w:r>
          </w:p>
        </w:tc>
        <w:tc>
          <w:tcPr>
            <w:tcW w:w="3450" w:type="dxa"/>
            <w:vMerge w:val="continue"/>
            <w:tcBorders>
              <w:left w:val="single" w:color="000000" w:sz="4" w:space="0"/>
              <w:right w:val="single" w:color="000000" w:sz="4" w:space="0"/>
            </w:tcBorders>
            <w:noWrap/>
            <w:vAlign w:val="center"/>
          </w:tcPr>
          <w:p>
            <w:pPr>
              <w:spacing w:before="120" w:after="120"/>
              <w:ind w:firstLine="440"/>
              <w:jc w:val="center"/>
              <w:rPr>
                <w:color w:val="auto"/>
                <w:sz w:val="22"/>
                <w:lang w:eastAsia="en-US"/>
              </w:rPr>
            </w:pPr>
          </w:p>
        </w:tc>
      </w:tr>
      <w:tr>
        <w:tblPrEx>
          <w:tblCellMar>
            <w:top w:w="0" w:type="dxa"/>
            <w:left w:w="0" w:type="dxa"/>
            <w:bottom w:w="0" w:type="dxa"/>
            <w:right w:w="0" w:type="dxa"/>
          </w:tblCellMar>
        </w:tblPrEx>
        <w:trPr>
          <w:trHeight w:val="454" w:hRule="atLeast"/>
        </w:trPr>
        <w:tc>
          <w:tcPr>
            <w:tcW w:w="824" w:type="dxa"/>
            <w:vMerge w:val="continue"/>
            <w:tcBorders>
              <w:left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p>
        </w:tc>
        <w:tc>
          <w:tcPr>
            <w:tcW w:w="1127" w:type="dxa"/>
            <w:vMerge w:val="continue"/>
            <w:tcBorders>
              <w:left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p>
        </w:tc>
        <w:tc>
          <w:tcPr>
            <w:tcW w:w="2868" w:type="dxa"/>
            <w:vMerge w:val="continue"/>
            <w:tcBorders>
              <w:left w:val="single" w:color="000000" w:sz="4" w:space="0"/>
              <w:bottom w:val="single" w:color="000000" w:sz="4" w:space="0"/>
              <w:right w:val="single" w:color="000000" w:sz="4" w:space="0"/>
            </w:tcBorders>
            <w:noWrap/>
            <w:vAlign w:val="center"/>
          </w:tcPr>
          <w:p>
            <w:pPr>
              <w:pStyle w:val="480"/>
              <w:spacing w:before="50" w:after="50"/>
              <w:jc w:val="center"/>
              <w:rPr>
                <w:color w:val="auto"/>
                <w:sz w:val="18"/>
                <w:szCs w:val="18"/>
              </w:rPr>
            </w:pPr>
          </w:p>
        </w:tc>
        <w:tc>
          <w:tcPr>
            <w:tcW w:w="1691" w:type="dxa"/>
            <w:tcBorders>
              <w:top w:val="single" w:color="000000" w:sz="4" w:space="0"/>
              <w:left w:val="single" w:color="000000" w:sz="4" w:space="0"/>
              <w:bottom w:val="single" w:color="000000" w:sz="4" w:space="0"/>
              <w:right w:val="single" w:color="000000" w:sz="4" w:space="0"/>
            </w:tcBorders>
            <w:noWrap/>
            <w:vAlign w:val="center"/>
          </w:tcPr>
          <w:p>
            <w:pPr>
              <w:pStyle w:val="480"/>
              <w:spacing w:before="50" w:after="50"/>
              <w:jc w:val="center"/>
              <w:rPr>
                <w:color w:val="auto"/>
                <w:sz w:val="18"/>
                <w:szCs w:val="18"/>
              </w:rPr>
            </w:pPr>
            <w:r>
              <w:rPr>
                <w:color w:val="auto"/>
                <w:sz w:val="18"/>
                <w:szCs w:val="18"/>
              </w:rPr>
              <w:t>*.ppt/*.pptx</w:t>
            </w:r>
          </w:p>
        </w:tc>
        <w:tc>
          <w:tcPr>
            <w:tcW w:w="3450" w:type="dxa"/>
            <w:vMerge w:val="continue"/>
            <w:tcBorders>
              <w:left w:val="single" w:color="000000" w:sz="4" w:space="0"/>
              <w:right w:val="single" w:color="000000" w:sz="4" w:space="0"/>
            </w:tcBorders>
            <w:noWrap/>
            <w:vAlign w:val="center"/>
          </w:tcPr>
          <w:p>
            <w:pPr>
              <w:spacing w:before="120" w:after="120"/>
              <w:ind w:firstLine="440"/>
              <w:jc w:val="center"/>
              <w:rPr>
                <w:color w:val="auto"/>
                <w:sz w:val="22"/>
                <w:lang w:eastAsia="en-US"/>
              </w:rPr>
            </w:pPr>
          </w:p>
        </w:tc>
      </w:tr>
      <w:tr>
        <w:tblPrEx>
          <w:tblCellMar>
            <w:top w:w="0" w:type="dxa"/>
            <w:left w:w="0" w:type="dxa"/>
            <w:bottom w:w="0" w:type="dxa"/>
            <w:right w:w="0" w:type="dxa"/>
          </w:tblCellMar>
        </w:tblPrEx>
        <w:trPr>
          <w:trHeight w:val="454" w:hRule="atLeast"/>
        </w:trPr>
        <w:tc>
          <w:tcPr>
            <w:tcW w:w="824" w:type="dxa"/>
            <w:vMerge w:val="continue"/>
            <w:tcBorders>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p>
        </w:tc>
        <w:tc>
          <w:tcPr>
            <w:tcW w:w="1127" w:type="dxa"/>
            <w:vMerge w:val="continue"/>
            <w:tcBorders>
              <w:left w:val="single" w:color="000000" w:sz="4" w:space="0"/>
              <w:bottom w:val="single" w:color="000000" w:sz="4" w:space="0"/>
              <w:right w:val="single" w:color="000000" w:sz="4" w:space="0"/>
            </w:tcBorders>
            <w:noWrap/>
            <w:vAlign w:val="center"/>
          </w:tcPr>
          <w:p>
            <w:pPr>
              <w:spacing w:before="120" w:after="120"/>
              <w:ind w:firstLine="360"/>
              <w:jc w:val="center"/>
              <w:rPr>
                <w:rFonts w:cs="宋体"/>
                <w:color w:val="auto"/>
                <w:sz w:val="18"/>
                <w:szCs w:val="18"/>
                <w:lang w:eastAsia="en-US"/>
              </w:rPr>
            </w:pPr>
          </w:p>
        </w:tc>
        <w:tc>
          <w:tcPr>
            <w:tcW w:w="2868" w:type="dxa"/>
            <w:tcBorders>
              <w:top w:val="single" w:color="000000" w:sz="4" w:space="0"/>
              <w:left w:val="single" w:color="000000" w:sz="4" w:space="0"/>
              <w:bottom w:val="single" w:color="000000" w:sz="4" w:space="0"/>
              <w:right w:val="single" w:color="000000" w:sz="4" w:space="0"/>
            </w:tcBorders>
            <w:noWrap/>
            <w:vAlign w:val="center"/>
          </w:tcPr>
          <w:p>
            <w:pPr>
              <w:pStyle w:val="480"/>
              <w:spacing w:before="50" w:after="50"/>
              <w:jc w:val="center"/>
              <w:rPr>
                <w:color w:val="auto"/>
                <w:sz w:val="18"/>
                <w:szCs w:val="18"/>
              </w:rPr>
            </w:pPr>
            <w:r>
              <w:rPr>
                <w:color w:val="auto"/>
                <w:sz w:val="18"/>
                <w:szCs w:val="18"/>
              </w:rPr>
              <w:t>Adobe</w:t>
            </w:r>
          </w:p>
        </w:tc>
        <w:tc>
          <w:tcPr>
            <w:tcW w:w="1691" w:type="dxa"/>
            <w:tcBorders>
              <w:top w:val="single" w:color="000000" w:sz="4" w:space="0"/>
              <w:left w:val="single" w:color="000000" w:sz="4" w:space="0"/>
              <w:bottom w:val="single" w:color="000000" w:sz="4" w:space="0"/>
              <w:right w:val="single" w:color="000000" w:sz="4" w:space="0"/>
            </w:tcBorders>
            <w:noWrap/>
            <w:vAlign w:val="center"/>
          </w:tcPr>
          <w:p>
            <w:pPr>
              <w:pStyle w:val="480"/>
              <w:spacing w:before="50" w:after="50"/>
              <w:jc w:val="center"/>
              <w:rPr>
                <w:color w:val="auto"/>
                <w:sz w:val="18"/>
                <w:szCs w:val="18"/>
              </w:rPr>
            </w:pPr>
            <w:r>
              <w:rPr>
                <w:color w:val="auto"/>
                <w:sz w:val="18"/>
                <w:szCs w:val="18"/>
              </w:rPr>
              <w:t>*.pdf</w:t>
            </w:r>
          </w:p>
        </w:tc>
        <w:tc>
          <w:tcPr>
            <w:tcW w:w="3450" w:type="dxa"/>
            <w:vMerge w:val="continue"/>
            <w:tcBorders>
              <w:left w:val="single" w:color="000000" w:sz="4" w:space="0"/>
              <w:bottom w:val="single" w:color="000000" w:sz="4" w:space="0"/>
              <w:right w:val="single" w:color="000000" w:sz="4" w:space="0"/>
            </w:tcBorders>
            <w:noWrap/>
            <w:vAlign w:val="center"/>
          </w:tcPr>
          <w:p>
            <w:pPr>
              <w:spacing w:before="120" w:after="120"/>
              <w:ind w:firstLine="440"/>
              <w:jc w:val="center"/>
              <w:rPr>
                <w:color w:val="auto"/>
                <w:sz w:val="22"/>
                <w:lang w:eastAsia="en-US"/>
              </w:rPr>
            </w:pPr>
          </w:p>
        </w:tc>
      </w:tr>
    </w:tbl>
    <w:p>
      <w:pPr>
        <w:pStyle w:val="585"/>
        <w:tabs>
          <w:tab w:val="left" w:pos="5424"/>
        </w:tabs>
        <w:spacing w:before="120" w:after="120" w:line="360" w:lineRule="auto"/>
        <w:ind w:left="0"/>
        <w:outlineLvl w:val="1"/>
        <w:rPr>
          <w:rFonts w:ascii="Times New Roman" w:hAnsi="Times New Roman" w:eastAsia="黑体"/>
          <w:b w:val="0"/>
          <w:bCs/>
          <w:color w:val="auto"/>
          <w:sz w:val="24"/>
          <w:szCs w:val="24"/>
        </w:rPr>
      </w:pPr>
      <w:bookmarkStart w:id="775" w:name="_Toc16596"/>
      <w:bookmarkStart w:id="776" w:name="_Toc12756"/>
      <w:bookmarkStart w:id="777" w:name="_Toc142"/>
      <w:bookmarkStart w:id="778" w:name="_Toc15512"/>
      <w:bookmarkStart w:id="779" w:name="_Toc62460202"/>
      <w:r>
        <w:rPr>
          <w:rFonts w:ascii="Times New Roman" w:hAnsi="Times New Roman" w:eastAsia="黑体"/>
          <w:b w:val="0"/>
          <w:bCs/>
          <w:color w:val="auto"/>
          <w:sz w:val="24"/>
          <w:szCs w:val="24"/>
        </w:rPr>
        <w:t>成果交付内容</w:t>
      </w:r>
      <w:bookmarkEnd w:id="775"/>
      <w:bookmarkEnd w:id="776"/>
      <w:bookmarkEnd w:id="777"/>
      <w:bookmarkEnd w:id="778"/>
      <w:bookmarkEnd w:id="779"/>
    </w:p>
    <w:p>
      <w:pPr>
        <w:pStyle w:val="587"/>
        <w:numPr>
          <w:ilvl w:val="0"/>
          <w:numId w:val="0"/>
        </w:numPr>
        <w:spacing w:beforeLines="50" w:afterLines="50" w:line="360" w:lineRule="auto"/>
        <w:ind w:firstLine="420" w:firstLineChars="200"/>
        <w:jc w:val="both"/>
        <w:outlineLvl w:val="9"/>
        <w:rPr>
          <w:rFonts w:ascii="LNUHNF+SimSun" w:hAnsi="LNUHNF+SimSun" w:cs="宋体"/>
          <w:color w:val="auto"/>
          <w:szCs w:val="21"/>
        </w:rPr>
      </w:pPr>
      <w:bookmarkStart w:id="780" w:name="_Toc4457"/>
      <w:bookmarkStart w:id="781" w:name="_Toc30968"/>
      <w:r>
        <w:rPr>
          <w:rFonts w:ascii="LNUHNF+SimSun" w:hAnsi="LNUHNF+SimSun" w:cs="宋体"/>
          <w:color w:val="auto"/>
          <w:szCs w:val="21"/>
        </w:rPr>
        <w:t>BIM模型成果交付内容</w:t>
      </w:r>
      <w:r>
        <w:rPr>
          <w:color w:val="auto"/>
          <w:szCs w:val="21"/>
        </w:rPr>
        <w:t>包括</w:t>
      </w:r>
      <w:r>
        <w:rPr>
          <w:rFonts w:ascii="LNUHNF+SimSun" w:hAnsi="LNUHNF+SimSun" w:cs="宋体"/>
          <w:color w:val="auto"/>
          <w:szCs w:val="21"/>
        </w:rPr>
        <w:t>设计、施工两大类内容，如下表所示。</w:t>
      </w:r>
      <w:bookmarkEnd w:id="780"/>
      <w:bookmarkEnd w:id="781"/>
    </w:p>
    <w:p>
      <w:pPr>
        <w:pStyle w:val="498"/>
        <w:spacing w:beforeLines="50" w:afterLines="50" w:line="360" w:lineRule="auto"/>
        <w:ind w:firstLine="360"/>
        <w:jc w:val="center"/>
        <w:rPr>
          <w:rFonts w:ascii="黑体" w:hAnsi="黑体" w:eastAsia="黑体" w:cs="黑体"/>
          <w:color w:val="auto"/>
          <w:sz w:val="18"/>
          <w:szCs w:val="18"/>
        </w:rPr>
      </w:pPr>
      <w:r>
        <w:rPr>
          <w:rFonts w:ascii="黑体" w:hAnsi="黑体" w:eastAsia="黑体" w:cs="黑体"/>
          <w:color w:val="auto"/>
          <w:sz w:val="18"/>
          <w:szCs w:val="18"/>
        </w:rPr>
        <w:t>表4.3  成果交付内容</w:t>
      </w:r>
    </w:p>
    <w:tbl>
      <w:tblPr>
        <w:tblStyle w:val="55"/>
        <w:tblW w:w="100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58"/>
        <w:gridCol w:w="354"/>
        <w:gridCol w:w="602"/>
        <w:gridCol w:w="3796"/>
        <w:gridCol w:w="3291"/>
        <w:gridCol w:w="1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58" w:type="dxa"/>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序号</w:t>
            </w:r>
          </w:p>
        </w:tc>
        <w:tc>
          <w:tcPr>
            <w:tcW w:w="354" w:type="dxa"/>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阶段</w:t>
            </w:r>
          </w:p>
        </w:tc>
        <w:tc>
          <w:tcPr>
            <w:tcW w:w="602" w:type="dxa"/>
            <w:noWrap/>
            <w:vAlign w:val="center"/>
          </w:tcPr>
          <w:p>
            <w:pPr>
              <w:pStyle w:val="480"/>
              <w:jc w:val="center"/>
              <w:rPr>
                <w:color w:val="auto"/>
                <w:sz w:val="18"/>
                <w:szCs w:val="18"/>
                <w:lang w:eastAsia="zh-CN"/>
              </w:rPr>
            </w:pPr>
            <w:r>
              <w:rPr>
                <w:color w:val="auto"/>
                <w:sz w:val="18"/>
                <w:szCs w:val="18"/>
              </w:rPr>
              <w:t>交付</w:t>
            </w:r>
          </w:p>
          <w:p>
            <w:pPr>
              <w:pStyle w:val="480"/>
              <w:jc w:val="center"/>
              <w:rPr>
                <w:color w:val="auto"/>
                <w:sz w:val="18"/>
                <w:szCs w:val="18"/>
              </w:rPr>
            </w:pPr>
            <w:r>
              <w:rPr>
                <w:color w:val="auto"/>
                <w:sz w:val="18"/>
                <w:szCs w:val="18"/>
              </w:rPr>
              <w:t>单位</w:t>
            </w:r>
          </w:p>
        </w:tc>
        <w:tc>
          <w:tcPr>
            <w:tcW w:w="3796" w:type="dxa"/>
            <w:noWrap/>
            <w:vAlign w:val="center"/>
          </w:tcPr>
          <w:p>
            <w:pPr>
              <w:pStyle w:val="480"/>
              <w:spacing w:before="120" w:after="120"/>
              <w:jc w:val="center"/>
              <w:rPr>
                <w:color w:val="auto"/>
                <w:sz w:val="18"/>
                <w:szCs w:val="18"/>
              </w:rPr>
            </w:pPr>
            <w:r>
              <w:rPr>
                <w:color w:val="auto"/>
                <w:sz w:val="18"/>
                <w:szCs w:val="18"/>
              </w:rPr>
              <w:t>交付成果</w:t>
            </w:r>
          </w:p>
        </w:tc>
        <w:tc>
          <w:tcPr>
            <w:tcW w:w="3291" w:type="dxa"/>
            <w:noWrap/>
            <w:vAlign w:val="center"/>
          </w:tcPr>
          <w:p>
            <w:pPr>
              <w:pStyle w:val="480"/>
              <w:spacing w:before="120" w:after="120"/>
              <w:jc w:val="center"/>
              <w:rPr>
                <w:color w:val="auto"/>
                <w:sz w:val="18"/>
                <w:szCs w:val="18"/>
                <w:lang w:eastAsia="zh-CN"/>
              </w:rPr>
            </w:pPr>
            <w:r>
              <w:rPr>
                <w:rFonts w:hint="eastAsia"/>
                <w:color w:val="auto"/>
                <w:sz w:val="18"/>
                <w:szCs w:val="18"/>
                <w:lang w:eastAsia="zh-CN"/>
              </w:rPr>
              <w:t>交付格式</w:t>
            </w:r>
          </w:p>
        </w:tc>
        <w:tc>
          <w:tcPr>
            <w:tcW w:w="1622" w:type="dxa"/>
            <w:noWrap/>
            <w:vAlign w:val="center"/>
          </w:tcPr>
          <w:p>
            <w:pPr>
              <w:pStyle w:val="480"/>
              <w:spacing w:before="120" w:after="120"/>
              <w:jc w:val="center"/>
              <w:rPr>
                <w:color w:val="auto"/>
                <w:sz w:val="18"/>
                <w:szCs w:val="18"/>
                <w:lang w:eastAsia="zh-CN"/>
              </w:rPr>
            </w:pPr>
            <w:r>
              <w:rPr>
                <w:rFonts w:hint="eastAsia"/>
                <w:color w:val="auto"/>
                <w:sz w:val="18"/>
                <w:szCs w:val="18"/>
                <w:lang w:eastAsia="zh-CN"/>
              </w:rPr>
              <w:t>接收单位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2" w:hRule="atLeast"/>
        </w:trPr>
        <w:tc>
          <w:tcPr>
            <w:tcW w:w="358" w:type="dxa"/>
            <w:vMerge w:val="restart"/>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1</w:t>
            </w:r>
          </w:p>
        </w:tc>
        <w:tc>
          <w:tcPr>
            <w:tcW w:w="354" w:type="dxa"/>
            <w:vMerge w:val="restart"/>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设计阶段</w:t>
            </w:r>
          </w:p>
        </w:tc>
        <w:tc>
          <w:tcPr>
            <w:tcW w:w="602" w:type="dxa"/>
            <w:vMerge w:val="restart"/>
            <w:noWrap/>
            <w:vAlign w:val="center"/>
          </w:tcPr>
          <w:p>
            <w:pPr>
              <w:pStyle w:val="480"/>
              <w:jc w:val="center"/>
              <w:rPr>
                <w:color w:val="auto"/>
                <w:sz w:val="18"/>
                <w:szCs w:val="18"/>
              </w:rPr>
            </w:pPr>
            <w:r>
              <w:rPr>
                <w:color w:val="auto"/>
                <w:sz w:val="18"/>
                <w:szCs w:val="18"/>
              </w:rPr>
              <w:t>设计</w:t>
            </w:r>
          </w:p>
          <w:p>
            <w:pPr>
              <w:pStyle w:val="480"/>
              <w:jc w:val="center"/>
              <w:rPr>
                <w:color w:val="auto"/>
                <w:sz w:val="18"/>
                <w:szCs w:val="18"/>
              </w:rPr>
            </w:pPr>
            <w:r>
              <w:rPr>
                <w:color w:val="auto"/>
                <w:sz w:val="18"/>
                <w:szCs w:val="18"/>
              </w:rPr>
              <w:t>单位</w:t>
            </w:r>
          </w:p>
        </w:tc>
        <w:tc>
          <w:tcPr>
            <w:tcW w:w="3796" w:type="dxa"/>
            <w:noWrap/>
            <w:vAlign w:val="center"/>
          </w:tcPr>
          <w:p>
            <w:pPr>
              <w:spacing w:before="120" w:after="120"/>
              <w:ind w:firstLine="360"/>
              <w:rPr>
                <w:rFonts w:cs="宋体"/>
                <w:color w:val="auto"/>
                <w:sz w:val="18"/>
                <w:szCs w:val="18"/>
                <w:lang w:eastAsia="en-US"/>
              </w:rPr>
            </w:pPr>
            <w:r>
              <w:rPr>
                <w:rFonts w:cs="宋体"/>
                <w:color w:val="auto"/>
                <w:sz w:val="18"/>
                <w:szCs w:val="18"/>
                <w:lang w:eastAsia="en-US"/>
              </w:rPr>
              <w:t>1.各阶段设计模型</w:t>
            </w:r>
          </w:p>
        </w:tc>
        <w:tc>
          <w:tcPr>
            <w:tcW w:w="3291" w:type="dxa"/>
            <w:noWrap/>
            <w:vAlign w:val="center"/>
          </w:tcPr>
          <w:p>
            <w:pPr>
              <w:spacing w:before="120" w:after="120"/>
              <w:ind w:firstLine="360"/>
              <w:rPr>
                <w:rFonts w:cs="宋体"/>
                <w:color w:val="auto"/>
                <w:sz w:val="18"/>
                <w:szCs w:val="18"/>
              </w:rPr>
            </w:pPr>
            <w:r>
              <w:rPr>
                <w:rFonts w:hint="eastAsia" w:cs="宋体"/>
                <w:color w:val="auto"/>
                <w:sz w:val="18"/>
                <w:szCs w:val="18"/>
              </w:rPr>
              <w:t>相关BIM模型文件格式</w:t>
            </w:r>
          </w:p>
        </w:tc>
        <w:tc>
          <w:tcPr>
            <w:tcW w:w="1622" w:type="dxa"/>
            <w:vMerge w:val="restart"/>
            <w:noWrap/>
            <w:vAlign w:val="center"/>
          </w:tcPr>
          <w:p>
            <w:pPr>
              <w:spacing w:before="120" w:after="120"/>
              <w:ind w:firstLine="360"/>
              <w:jc w:val="center"/>
              <w:rPr>
                <w:rFonts w:cs="宋体"/>
                <w:color w:val="auto"/>
                <w:sz w:val="18"/>
                <w:szCs w:val="18"/>
                <w:lang w:eastAsia="en-US"/>
              </w:rPr>
            </w:pPr>
            <w:r>
              <w:rPr>
                <w:rFonts w:hint="eastAsia" w:cs="宋体"/>
                <w:color w:val="auto"/>
                <w:sz w:val="18"/>
                <w:szCs w:val="18"/>
                <w:lang w:eastAsia="en-US"/>
              </w:rPr>
              <w:t>前期工作部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2" w:hRule="atLeast"/>
        </w:trPr>
        <w:tc>
          <w:tcPr>
            <w:tcW w:w="358" w:type="dxa"/>
            <w:vMerge w:val="continue"/>
            <w:noWrap/>
            <w:vAlign w:val="center"/>
          </w:tcPr>
          <w:p>
            <w:pPr>
              <w:spacing w:before="120" w:after="120"/>
              <w:ind w:firstLine="440"/>
              <w:rPr>
                <w:color w:val="auto"/>
                <w:sz w:val="22"/>
                <w:lang w:eastAsia="en-US"/>
              </w:rPr>
            </w:pPr>
          </w:p>
        </w:tc>
        <w:tc>
          <w:tcPr>
            <w:tcW w:w="354" w:type="dxa"/>
            <w:vMerge w:val="continue"/>
            <w:noWrap/>
            <w:vAlign w:val="center"/>
          </w:tcPr>
          <w:p>
            <w:pPr>
              <w:spacing w:before="120" w:after="120"/>
              <w:ind w:firstLine="440"/>
              <w:rPr>
                <w:color w:val="auto"/>
                <w:sz w:val="22"/>
                <w:lang w:eastAsia="en-US"/>
              </w:rPr>
            </w:pPr>
          </w:p>
        </w:tc>
        <w:tc>
          <w:tcPr>
            <w:tcW w:w="602" w:type="dxa"/>
            <w:vMerge w:val="continue"/>
            <w:noWrap/>
            <w:vAlign w:val="center"/>
          </w:tcPr>
          <w:p>
            <w:pPr>
              <w:spacing w:before="120" w:after="120"/>
              <w:ind w:firstLine="440"/>
              <w:rPr>
                <w:color w:val="auto"/>
                <w:sz w:val="22"/>
                <w:lang w:eastAsia="en-US"/>
              </w:rPr>
            </w:pPr>
          </w:p>
        </w:tc>
        <w:tc>
          <w:tcPr>
            <w:tcW w:w="3796" w:type="dxa"/>
            <w:noWrap/>
            <w:vAlign w:val="center"/>
          </w:tcPr>
          <w:p>
            <w:pPr>
              <w:pStyle w:val="480"/>
              <w:spacing w:before="50" w:after="50"/>
              <w:jc w:val="both"/>
              <w:rPr>
                <w:color w:val="auto"/>
                <w:lang w:eastAsia="zh-CN"/>
              </w:rPr>
            </w:pPr>
            <w:r>
              <w:rPr>
                <w:color w:val="auto"/>
                <w:sz w:val="18"/>
                <w:szCs w:val="18"/>
                <w:lang w:eastAsia="zh-CN"/>
              </w:rPr>
              <w:t>2.BIM导出的二维图纸</w:t>
            </w:r>
          </w:p>
        </w:tc>
        <w:tc>
          <w:tcPr>
            <w:tcW w:w="3291" w:type="dxa"/>
            <w:noWrap/>
            <w:vAlign w:val="center"/>
          </w:tcPr>
          <w:p>
            <w:pPr>
              <w:pStyle w:val="480"/>
              <w:spacing w:before="50" w:after="50"/>
              <w:jc w:val="both"/>
              <w:rPr>
                <w:color w:val="auto"/>
                <w:sz w:val="18"/>
                <w:szCs w:val="18"/>
                <w:lang w:eastAsia="zh-CN"/>
              </w:rPr>
            </w:pPr>
            <w:r>
              <w:rPr>
                <w:rFonts w:hint="eastAsia"/>
                <w:color w:val="auto"/>
                <w:sz w:val="18"/>
                <w:szCs w:val="18"/>
                <w:lang w:eastAsia="zh-CN"/>
              </w:rPr>
              <w:t>DWG、PDF</w:t>
            </w:r>
          </w:p>
        </w:tc>
        <w:tc>
          <w:tcPr>
            <w:tcW w:w="1622" w:type="dxa"/>
            <w:vMerge w:val="continue"/>
            <w:noWrap/>
            <w:vAlign w:val="center"/>
          </w:tcPr>
          <w:p>
            <w:pPr>
              <w:spacing w:before="120" w:after="120"/>
              <w:ind w:firstLine="360"/>
              <w:jc w:val="center"/>
              <w:rPr>
                <w:rFonts w:cs="宋体"/>
                <w:color w:val="auto"/>
                <w:sz w:val="18"/>
                <w:szCs w:val="18"/>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2" w:hRule="atLeast"/>
        </w:trPr>
        <w:tc>
          <w:tcPr>
            <w:tcW w:w="358" w:type="dxa"/>
            <w:vMerge w:val="continue"/>
            <w:noWrap/>
            <w:vAlign w:val="center"/>
          </w:tcPr>
          <w:p>
            <w:pPr>
              <w:spacing w:before="120" w:after="120"/>
              <w:ind w:firstLine="360"/>
              <w:rPr>
                <w:rFonts w:cs="宋体"/>
                <w:color w:val="auto"/>
                <w:sz w:val="18"/>
                <w:szCs w:val="18"/>
                <w:lang w:eastAsia="en-US"/>
              </w:rPr>
            </w:pPr>
          </w:p>
        </w:tc>
        <w:tc>
          <w:tcPr>
            <w:tcW w:w="354" w:type="dxa"/>
            <w:vMerge w:val="continue"/>
            <w:noWrap/>
            <w:vAlign w:val="center"/>
          </w:tcPr>
          <w:p>
            <w:pPr>
              <w:spacing w:before="120" w:after="120"/>
              <w:ind w:firstLine="360"/>
              <w:rPr>
                <w:rFonts w:cs="宋体"/>
                <w:color w:val="auto"/>
                <w:sz w:val="18"/>
                <w:szCs w:val="18"/>
                <w:lang w:eastAsia="en-US"/>
              </w:rPr>
            </w:pPr>
          </w:p>
        </w:tc>
        <w:tc>
          <w:tcPr>
            <w:tcW w:w="602" w:type="dxa"/>
            <w:vMerge w:val="continue"/>
            <w:noWrap/>
            <w:vAlign w:val="center"/>
          </w:tcPr>
          <w:p>
            <w:pPr>
              <w:spacing w:before="120" w:after="120"/>
              <w:ind w:firstLine="360"/>
              <w:rPr>
                <w:rFonts w:cs="宋体"/>
                <w:color w:val="auto"/>
                <w:sz w:val="18"/>
                <w:szCs w:val="18"/>
                <w:lang w:eastAsia="en-US"/>
              </w:rPr>
            </w:pPr>
          </w:p>
        </w:tc>
        <w:tc>
          <w:tcPr>
            <w:tcW w:w="3796" w:type="dxa"/>
            <w:noWrap/>
            <w:vAlign w:val="center"/>
          </w:tcPr>
          <w:p>
            <w:pPr>
              <w:spacing w:before="120" w:after="120"/>
              <w:ind w:firstLine="360"/>
              <w:rPr>
                <w:rFonts w:cs="宋体"/>
                <w:color w:val="auto"/>
                <w:sz w:val="18"/>
                <w:szCs w:val="18"/>
              </w:rPr>
            </w:pPr>
            <w:r>
              <w:rPr>
                <w:rFonts w:cs="宋体"/>
                <w:color w:val="auto"/>
                <w:sz w:val="18"/>
                <w:szCs w:val="18"/>
              </w:rPr>
              <w:t>3.</w:t>
            </w:r>
            <w:r>
              <w:rPr>
                <w:rFonts w:hint="eastAsia" w:cs="宋体"/>
                <w:color w:val="auto"/>
                <w:sz w:val="18"/>
                <w:szCs w:val="18"/>
              </w:rPr>
              <w:t>设计</w:t>
            </w:r>
            <w:r>
              <w:rPr>
                <w:rFonts w:cs="宋体"/>
                <w:color w:val="auto"/>
                <w:sz w:val="18"/>
                <w:szCs w:val="18"/>
              </w:rPr>
              <w:t>阶段基于BIM的分析报告</w:t>
            </w:r>
          </w:p>
        </w:tc>
        <w:tc>
          <w:tcPr>
            <w:tcW w:w="3291" w:type="dxa"/>
            <w:noWrap/>
            <w:vAlign w:val="center"/>
          </w:tcPr>
          <w:p>
            <w:pPr>
              <w:spacing w:before="120" w:after="120"/>
              <w:ind w:firstLine="360"/>
              <w:rPr>
                <w:rFonts w:cs="宋体"/>
                <w:color w:val="auto"/>
                <w:sz w:val="18"/>
                <w:szCs w:val="18"/>
                <w:lang w:eastAsia="en-US"/>
              </w:rPr>
            </w:pPr>
            <w:r>
              <w:rPr>
                <w:rFonts w:hint="eastAsia" w:cs="宋体"/>
                <w:color w:val="auto"/>
                <w:sz w:val="18"/>
                <w:szCs w:val="18"/>
                <w:lang w:eastAsia="en-US"/>
              </w:rPr>
              <w:t>Word、Excel、PPT及相关图片格式等</w:t>
            </w:r>
          </w:p>
        </w:tc>
        <w:tc>
          <w:tcPr>
            <w:tcW w:w="1622" w:type="dxa"/>
            <w:vMerge w:val="continue"/>
            <w:noWrap/>
            <w:vAlign w:val="center"/>
          </w:tcPr>
          <w:p>
            <w:pPr>
              <w:spacing w:before="120" w:after="120"/>
              <w:ind w:firstLine="360"/>
              <w:jc w:val="center"/>
              <w:rPr>
                <w:rFonts w:cs="宋体"/>
                <w:color w:val="auto"/>
                <w:sz w:val="18"/>
                <w:szCs w:val="18"/>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2" w:hRule="atLeast"/>
        </w:trPr>
        <w:tc>
          <w:tcPr>
            <w:tcW w:w="358" w:type="dxa"/>
            <w:vMerge w:val="continue"/>
            <w:noWrap/>
            <w:vAlign w:val="center"/>
          </w:tcPr>
          <w:p>
            <w:pPr>
              <w:spacing w:before="120" w:after="120"/>
              <w:ind w:firstLine="360"/>
              <w:rPr>
                <w:rFonts w:cs="宋体"/>
                <w:color w:val="auto"/>
                <w:sz w:val="18"/>
                <w:szCs w:val="18"/>
                <w:lang w:eastAsia="en-US"/>
              </w:rPr>
            </w:pPr>
          </w:p>
        </w:tc>
        <w:tc>
          <w:tcPr>
            <w:tcW w:w="354" w:type="dxa"/>
            <w:vMerge w:val="continue"/>
            <w:noWrap/>
            <w:vAlign w:val="center"/>
          </w:tcPr>
          <w:p>
            <w:pPr>
              <w:spacing w:before="120" w:after="120"/>
              <w:ind w:firstLine="360"/>
              <w:rPr>
                <w:rFonts w:cs="宋体"/>
                <w:color w:val="auto"/>
                <w:sz w:val="18"/>
                <w:szCs w:val="18"/>
                <w:lang w:eastAsia="en-US"/>
              </w:rPr>
            </w:pPr>
          </w:p>
        </w:tc>
        <w:tc>
          <w:tcPr>
            <w:tcW w:w="602" w:type="dxa"/>
            <w:vMerge w:val="continue"/>
            <w:noWrap/>
            <w:vAlign w:val="center"/>
          </w:tcPr>
          <w:p>
            <w:pPr>
              <w:spacing w:before="120" w:after="120"/>
              <w:ind w:firstLine="360"/>
              <w:rPr>
                <w:rFonts w:cs="宋体"/>
                <w:color w:val="auto"/>
                <w:sz w:val="18"/>
                <w:szCs w:val="18"/>
                <w:lang w:eastAsia="en-US"/>
              </w:rPr>
            </w:pPr>
          </w:p>
        </w:tc>
        <w:tc>
          <w:tcPr>
            <w:tcW w:w="3796" w:type="dxa"/>
            <w:noWrap/>
            <w:vAlign w:val="center"/>
          </w:tcPr>
          <w:p>
            <w:pPr>
              <w:spacing w:before="120" w:after="120"/>
              <w:ind w:firstLine="360"/>
              <w:rPr>
                <w:rFonts w:cs="宋体"/>
                <w:color w:val="auto"/>
                <w:sz w:val="18"/>
                <w:szCs w:val="18"/>
              </w:rPr>
            </w:pPr>
            <w:r>
              <w:rPr>
                <w:rFonts w:cs="宋体"/>
                <w:color w:val="auto"/>
                <w:sz w:val="18"/>
                <w:szCs w:val="18"/>
              </w:rPr>
              <w:t>4.设计阶段工程量统计分析报告及工程量清单</w:t>
            </w:r>
          </w:p>
        </w:tc>
        <w:tc>
          <w:tcPr>
            <w:tcW w:w="3291" w:type="dxa"/>
            <w:noWrap/>
            <w:vAlign w:val="center"/>
          </w:tcPr>
          <w:p>
            <w:pPr>
              <w:spacing w:before="120" w:after="120"/>
              <w:ind w:firstLine="360"/>
              <w:rPr>
                <w:rFonts w:cs="宋体"/>
                <w:color w:val="auto"/>
                <w:sz w:val="18"/>
                <w:szCs w:val="18"/>
                <w:lang w:eastAsia="en-US"/>
              </w:rPr>
            </w:pPr>
            <w:r>
              <w:rPr>
                <w:rFonts w:hint="eastAsia" w:cs="宋体"/>
                <w:color w:val="auto"/>
                <w:sz w:val="18"/>
                <w:szCs w:val="18"/>
                <w:lang w:eastAsia="en-US"/>
              </w:rPr>
              <w:t>Word、Excel、PPT及相关图片格式等</w:t>
            </w:r>
          </w:p>
        </w:tc>
        <w:tc>
          <w:tcPr>
            <w:tcW w:w="1622" w:type="dxa"/>
            <w:vMerge w:val="continue"/>
            <w:noWrap/>
            <w:vAlign w:val="center"/>
          </w:tcPr>
          <w:p>
            <w:pPr>
              <w:spacing w:before="120" w:after="120"/>
              <w:ind w:firstLine="360"/>
              <w:jc w:val="center"/>
              <w:rPr>
                <w:rFonts w:cs="宋体"/>
                <w:color w:val="auto"/>
                <w:sz w:val="18"/>
                <w:szCs w:val="18"/>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2" w:hRule="atLeast"/>
        </w:trPr>
        <w:tc>
          <w:tcPr>
            <w:tcW w:w="358" w:type="dxa"/>
            <w:vMerge w:val="continue"/>
            <w:noWrap/>
            <w:vAlign w:val="center"/>
          </w:tcPr>
          <w:p>
            <w:pPr>
              <w:spacing w:before="120" w:after="120"/>
              <w:ind w:firstLine="360"/>
              <w:rPr>
                <w:rFonts w:cs="宋体"/>
                <w:color w:val="auto"/>
                <w:sz w:val="18"/>
                <w:szCs w:val="18"/>
                <w:lang w:eastAsia="en-US"/>
              </w:rPr>
            </w:pPr>
          </w:p>
        </w:tc>
        <w:tc>
          <w:tcPr>
            <w:tcW w:w="354" w:type="dxa"/>
            <w:vMerge w:val="continue"/>
            <w:noWrap/>
            <w:vAlign w:val="center"/>
          </w:tcPr>
          <w:p>
            <w:pPr>
              <w:spacing w:before="120" w:after="120"/>
              <w:ind w:firstLine="360"/>
              <w:rPr>
                <w:rFonts w:cs="宋体"/>
                <w:color w:val="auto"/>
                <w:sz w:val="18"/>
                <w:szCs w:val="18"/>
                <w:lang w:eastAsia="en-US"/>
              </w:rPr>
            </w:pPr>
          </w:p>
        </w:tc>
        <w:tc>
          <w:tcPr>
            <w:tcW w:w="602" w:type="dxa"/>
            <w:vMerge w:val="continue"/>
            <w:noWrap/>
            <w:vAlign w:val="center"/>
          </w:tcPr>
          <w:p>
            <w:pPr>
              <w:spacing w:before="120" w:after="120"/>
              <w:ind w:firstLine="360"/>
              <w:rPr>
                <w:rFonts w:cs="宋体"/>
                <w:color w:val="auto"/>
                <w:sz w:val="18"/>
                <w:szCs w:val="18"/>
                <w:lang w:eastAsia="en-US"/>
              </w:rPr>
            </w:pPr>
          </w:p>
        </w:tc>
        <w:tc>
          <w:tcPr>
            <w:tcW w:w="3796" w:type="dxa"/>
            <w:noWrap/>
            <w:vAlign w:val="center"/>
          </w:tcPr>
          <w:p>
            <w:pPr>
              <w:spacing w:before="120" w:after="120"/>
              <w:ind w:firstLine="360"/>
              <w:rPr>
                <w:rFonts w:cs="宋体"/>
                <w:color w:val="auto"/>
                <w:sz w:val="18"/>
                <w:szCs w:val="18"/>
                <w:lang w:eastAsia="en-US"/>
              </w:rPr>
            </w:pPr>
            <w:r>
              <w:rPr>
                <w:rFonts w:cs="宋体"/>
                <w:color w:val="auto"/>
                <w:sz w:val="18"/>
                <w:szCs w:val="18"/>
                <w:lang w:eastAsia="en-US"/>
              </w:rPr>
              <w:t>5.设计变更模型</w:t>
            </w:r>
          </w:p>
        </w:tc>
        <w:tc>
          <w:tcPr>
            <w:tcW w:w="3291" w:type="dxa"/>
            <w:noWrap/>
            <w:vAlign w:val="center"/>
          </w:tcPr>
          <w:p>
            <w:pPr>
              <w:spacing w:before="120" w:after="120"/>
              <w:ind w:firstLine="360"/>
              <w:rPr>
                <w:rFonts w:cs="宋体"/>
                <w:color w:val="auto"/>
                <w:sz w:val="18"/>
                <w:szCs w:val="18"/>
              </w:rPr>
            </w:pPr>
            <w:r>
              <w:rPr>
                <w:rFonts w:hint="eastAsia" w:cs="宋体"/>
                <w:color w:val="auto"/>
                <w:sz w:val="18"/>
                <w:szCs w:val="18"/>
              </w:rPr>
              <w:t>相关BIM模型文件格式</w:t>
            </w:r>
          </w:p>
        </w:tc>
        <w:tc>
          <w:tcPr>
            <w:tcW w:w="1622" w:type="dxa"/>
            <w:vMerge w:val="continue"/>
            <w:noWrap/>
            <w:vAlign w:val="center"/>
          </w:tcPr>
          <w:p>
            <w:pPr>
              <w:spacing w:before="120" w:after="120"/>
              <w:ind w:firstLine="360"/>
              <w:jc w:val="center"/>
              <w:rPr>
                <w:rFonts w:cs="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0" w:hRule="atLeast"/>
        </w:trPr>
        <w:tc>
          <w:tcPr>
            <w:tcW w:w="358" w:type="dxa"/>
            <w:vMerge w:val="restart"/>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2</w:t>
            </w:r>
          </w:p>
        </w:tc>
        <w:tc>
          <w:tcPr>
            <w:tcW w:w="354" w:type="dxa"/>
            <w:vMerge w:val="restart"/>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施工阶段</w:t>
            </w:r>
          </w:p>
        </w:tc>
        <w:tc>
          <w:tcPr>
            <w:tcW w:w="602" w:type="dxa"/>
            <w:vMerge w:val="restart"/>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施工总包及专业分包</w:t>
            </w:r>
          </w:p>
        </w:tc>
        <w:tc>
          <w:tcPr>
            <w:tcW w:w="3796" w:type="dxa"/>
            <w:noWrap/>
            <w:vAlign w:val="center"/>
          </w:tcPr>
          <w:p>
            <w:pPr>
              <w:spacing w:before="120" w:after="120"/>
              <w:ind w:firstLine="360"/>
              <w:rPr>
                <w:rFonts w:cs="宋体"/>
                <w:color w:val="auto"/>
                <w:sz w:val="18"/>
                <w:szCs w:val="18"/>
              </w:rPr>
            </w:pPr>
            <w:r>
              <w:rPr>
                <w:rFonts w:cs="宋体"/>
                <w:color w:val="auto"/>
                <w:sz w:val="18"/>
                <w:szCs w:val="18"/>
              </w:rPr>
              <w:t>1.管线综合分析报告及图纸深化</w:t>
            </w:r>
          </w:p>
        </w:tc>
        <w:tc>
          <w:tcPr>
            <w:tcW w:w="3291" w:type="dxa"/>
            <w:noWrap/>
            <w:vAlign w:val="center"/>
          </w:tcPr>
          <w:p>
            <w:pPr>
              <w:spacing w:before="120" w:after="120"/>
              <w:ind w:firstLine="360"/>
              <w:rPr>
                <w:rFonts w:cs="宋体"/>
                <w:color w:val="auto"/>
                <w:sz w:val="18"/>
                <w:szCs w:val="18"/>
                <w:lang w:eastAsia="en-US"/>
              </w:rPr>
            </w:pPr>
            <w:r>
              <w:rPr>
                <w:rFonts w:hint="eastAsia" w:cs="宋体"/>
                <w:color w:val="auto"/>
                <w:sz w:val="18"/>
                <w:szCs w:val="18"/>
                <w:lang w:eastAsia="en-US"/>
              </w:rPr>
              <w:t>Word、Excel、PPT及相关图片格式等</w:t>
            </w:r>
          </w:p>
        </w:tc>
        <w:tc>
          <w:tcPr>
            <w:tcW w:w="1622" w:type="dxa"/>
            <w:vMerge w:val="restart"/>
            <w:noWrap/>
            <w:vAlign w:val="center"/>
          </w:tcPr>
          <w:p>
            <w:pPr>
              <w:pStyle w:val="480"/>
              <w:spacing w:before="120" w:after="120"/>
              <w:jc w:val="center"/>
              <w:rPr>
                <w:color w:val="auto"/>
                <w:sz w:val="18"/>
                <w:szCs w:val="18"/>
                <w:lang w:eastAsia="zh-CN"/>
              </w:rPr>
            </w:pPr>
            <w:r>
              <w:rPr>
                <w:rFonts w:hint="eastAsia"/>
                <w:color w:val="auto"/>
                <w:sz w:val="18"/>
                <w:szCs w:val="18"/>
                <w:lang w:eastAsia="zh-CN"/>
              </w:rPr>
              <w:t>项目建设管理部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0" w:hRule="atLeast"/>
        </w:trPr>
        <w:tc>
          <w:tcPr>
            <w:tcW w:w="358" w:type="dxa"/>
            <w:vMerge w:val="continue"/>
            <w:noWrap/>
            <w:vAlign w:val="center"/>
          </w:tcPr>
          <w:p>
            <w:pPr>
              <w:pStyle w:val="480"/>
              <w:spacing w:before="120" w:after="120"/>
              <w:ind w:left="102"/>
              <w:jc w:val="both"/>
              <w:rPr>
                <w:color w:val="auto"/>
              </w:rPr>
            </w:pPr>
          </w:p>
        </w:tc>
        <w:tc>
          <w:tcPr>
            <w:tcW w:w="354" w:type="dxa"/>
            <w:vMerge w:val="continue"/>
            <w:noWrap/>
            <w:vAlign w:val="center"/>
          </w:tcPr>
          <w:p>
            <w:pPr>
              <w:pStyle w:val="480"/>
              <w:spacing w:before="120" w:after="120"/>
              <w:ind w:left="102"/>
              <w:jc w:val="both"/>
              <w:rPr>
                <w:color w:val="auto"/>
              </w:rPr>
            </w:pPr>
          </w:p>
        </w:tc>
        <w:tc>
          <w:tcPr>
            <w:tcW w:w="602" w:type="dxa"/>
            <w:vMerge w:val="continue"/>
            <w:noWrap/>
            <w:vAlign w:val="center"/>
          </w:tcPr>
          <w:p>
            <w:pPr>
              <w:pStyle w:val="480"/>
              <w:spacing w:before="120" w:after="120"/>
              <w:ind w:left="102"/>
              <w:jc w:val="both"/>
              <w:rPr>
                <w:color w:val="auto"/>
              </w:rPr>
            </w:pPr>
          </w:p>
        </w:tc>
        <w:tc>
          <w:tcPr>
            <w:tcW w:w="3796" w:type="dxa"/>
            <w:noWrap/>
            <w:vAlign w:val="center"/>
          </w:tcPr>
          <w:p>
            <w:pPr>
              <w:pStyle w:val="480"/>
              <w:spacing w:before="50" w:after="50"/>
              <w:jc w:val="both"/>
              <w:rPr>
                <w:color w:val="auto"/>
                <w:lang w:eastAsia="zh-CN"/>
              </w:rPr>
            </w:pPr>
            <w:r>
              <w:rPr>
                <w:color w:val="auto"/>
                <w:sz w:val="18"/>
                <w:szCs w:val="18"/>
                <w:lang w:eastAsia="zh-CN"/>
              </w:rPr>
              <w:t>2.施工场地布置</w:t>
            </w:r>
            <w:r>
              <w:rPr>
                <w:rFonts w:hint="eastAsia"/>
                <w:color w:val="auto"/>
                <w:sz w:val="18"/>
                <w:szCs w:val="18"/>
                <w:lang w:eastAsia="zh-CN"/>
              </w:rPr>
              <w:t>模型</w:t>
            </w:r>
            <w:r>
              <w:rPr>
                <w:color w:val="auto"/>
                <w:sz w:val="18"/>
                <w:szCs w:val="18"/>
                <w:lang w:eastAsia="zh-CN"/>
              </w:rPr>
              <w:t>（含场布方案文档）</w:t>
            </w:r>
          </w:p>
        </w:tc>
        <w:tc>
          <w:tcPr>
            <w:tcW w:w="3291" w:type="dxa"/>
            <w:noWrap/>
            <w:vAlign w:val="center"/>
          </w:tcPr>
          <w:p>
            <w:pPr>
              <w:pStyle w:val="480"/>
              <w:spacing w:before="50" w:after="50"/>
              <w:jc w:val="both"/>
              <w:rPr>
                <w:color w:val="auto"/>
                <w:sz w:val="18"/>
                <w:szCs w:val="18"/>
                <w:lang w:eastAsia="zh-CN"/>
              </w:rPr>
            </w:pPr>
            <w:r>
              <w:rPr>
                <w:rFonts w:hint="eastAsia"/>
                <w:color w:val="auto"/>
                <w:sz w:val="18"/>
                <w:szCs w:val="18"/>
                <w:lang w:eastAsia="zh-CN"/>
              </w:rPr>
              <w:t>Word、</w:t>
            </w:r>
            <w:r>
              <w:rPr>
                <w:color w:val="auto"/>
                <w:sz w:val="18"/>
                <w:szCs w:val="18"/>
                <w:lang w:eastAsia="zh-CN"/>
              </w:rPr>
              <w:t>相关BIM模型文件格式</w:t>
            </w:r>
          </w:p>
        </w:tc>
        <w:tc>
          <w:tcPr>
            <w:tcW w:w="1622" w:type="dxa"/>
            <w:vMerge w:val="continue"/>
            <w:noWrap/>
            <w:vAlign w:val="center"/>
          </w:tcPr>
          <w:p>
            <w:pPr>
              <w:pStyle w:val="480"/>
              <w:spacing w:before="120" w:after="120"/>
              <w:ind w:left="102"/>
              <w:jc w:val="both"/>
              <w:rPr>
                <w:color w:val="auto"/>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0" w:hRule="atLeast"/>
        </w:trPr>
        <w:tc>
          <w:tcPr>
            <w:tcW w:w="358" w:type="dxa"/>
            <w:vMerge w:val="continue"/>
            <w:noWrap/>
            <w:vAlign w:val="center"/>
          </w:tcPr>
          <w:p>
            <w:pPr>
              <w:pStyle w:val="480"/>
              <w:spacing w:before="120" w:after="120"/>
              <w:ind w:left="102"/>
              <w:jc w:val="both"/>
              <w:rPr>
                <w:color w:val="auto"/>
                <w:sz w:val="18"/>
                <w:szCs w:val="18"/>
                <w:lang w:eastAsia="zh-CN"/>
              </w:rPr>
            </w:pPr>
          </w:p>
        </w:tc>
        <w:tc>
          <w:tcPr>
            <w:tcW w:w="354" w:type="dxa"/>
            <w:vMerge w:val="continue"/>
            <w:noWrap/>
            <w:vAlign w:val="center"/>
          </w:tcPr>
          <w:p>
            <w:pPr>
              <w:pStyle w:val="480"/>
              <w:spacing w:before="120" w:after="120"/>
              <w:ind w:left="102"/>
              <w:jc w:val="both"/>
              <w:rPr>
                <w:color w:val="auto"/>
                <w:sz w:val="18"/>
                <w:szCs w:val="18"/>
                <w:lang w:eastAsia="zh-CN"/>
              </w:rPr>
            </w:pPr>
          </w:p>
        </w:tc>
        <w:tc>
          <w:tcPr>
            <w:tcW w:w="602" w:type="dxa"/>
            <w:vMerge w:val="continue"/>
            <w:noWrap/>
            <w:vAlign w:val="center"/>
          </w:tcPr>
          <w:p>
            <w:pPr>
              <w:pStyle w:val="480"/>
              <w:spacing w:before="120" w:after="120"/>
              <w:ind w:left="102"/>
              <w:jc w:val="both"/>
              <w:rPr>
                <w:color w:val="auto"/>
                <w:sz w:val="18"/>
                <w:szCs w:val="18"/>
                <w:lang w:eastAsia="zh-CN"/>
              </w:rPr>
            </w:pPr>
          </w:p>
        </w:tc>
        <w:tc>
          <w:tcPr>
            <w:tcW w:w="3796" w:type="dxa"/>
            <w:noWrap/>
            <w:vAlign w:val="center"/>
          </w:tcPr>
          <w:p>
            <w:pPr>
              <w:pStyle w:val="480"/>
              <w:spacing w:before="50" w:after="50"/>
              <w:jc w:val="both"/>
              <w:rPr>
                <w:color w:val="auto"/>
                <w:sz w:val="18"/>
                <w:szCs w:val="18"/>
                <w:lang w:eastAsia="zh-CN"/>
              </w:rPr>
            </w:pPr>
            <w:r>
              <w:rPr>
                <w:color w:val="auto"/>
                <w:sz w:val="18"/>
                <w:szCs w:val="18"/>
                <w:lang w:eastAsia="zh-CN"/>
              </w:rPr>
              <w:t>3.施工设备模拟（含设备清单文档）</w:t>
            </w:r>
          </w:p>
        </w:tc>
        <w:tc>
          <w:tcPr>
            <w:tcW w:w="3291" w:type="dxa"/>
            <w:noWrap/>
            <w:vAlign w:val="center"/>
          </w:tcPr>
          <w:p>
            <w:pPr>
              <w:pStyle w:val="480"/>
              <w:spacing w:before="50" w:after="50"/>
              <w:jc w:val="both"/>
              <w:rPr>
                <w:color w:val="auto"/>
                <w:sz w:val="18"/>
                <w:szCs w:val="18"/>
                <w:lang w:eastAsia="zh-CN"/>
              </w:rPr>
            </w:pPr>
            <w:r>
              <w:rPr>
                <w:rFonts w:hint="eastAsia"/>
                <w:color w:val="auto"/>
                <w:sz w:val="18"/>
                <w:szCs w:val="18"/>
                <w:lang w:eastAsia="zh-CN"/>
              </w:rPr>
              <w:t>Word、</w:t>
            </w:r>
            <w:r>
              <w:rPr>
                <w:color w:val="auto"/>
                <w:sz w:val="18"/>
                <w:szCs w:val="18"/>
                <w:lang w:eastAsia="zh-CN"/>
              </w:rPr>
              <w:t>相关BIM模型文件格式</w:t>
            </w:r>
          </w:p>
        </w:tc>
        <w:tc>
          <w:tcPr>
            <w:tcW w:w="1622" w:type="dxa"/>
            <w:vMerge w:val="continue"/>
            <w:noWrap/>
            <w:vAlign w:val="center"/>
          </w:tcPr>
          <w:p>
            <w:pPr>
              <w:pStyle w:val="480"/>
              <w:spacing w:before="120" w:after="120"/>
              <w:ind w:left="102"/>
              <w:jc w:val="both"/>
              <w:rPr>
                <w:color w:val="auto"/>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0" w:hRule="atLeast"/>
        </w:trPr>
        <w:tc>
          <w:tcPr>
            <w:tcW w:w="358" w:type="dxa"/>
            <w:vMerge w:val="continue"/>
            <w:noWrap/>
            <w:vAlign w:val="center"/>
          </w:tcPr>
          <w:p>
            <w:pPr>
              <w:pStyle w:val="480"/>
              <w:spacing w:before="120" w:after="120"/>
              <w:ind w:left="102"/>
              <w:jc w:val="both"/>
              <w:rPr>
                <w:color w:val="auto"/>
                <w:sz w:val="18"/>
                <w:szCs w:val="18"/>
                <w:lang w:eastAsia="zh-CN"/>
              </w:rPr>
            </w:pPr>
          </w:p>
        </w:tc>
        <w:tc>
          <w:tcPr>
            <w:tcW w:w="354" w:type="dxa"/>
            <w:vMerge w:val="continue"/>
            <w:noWrap/>
            <w:vAlign w:val="center"/>
          </w:tcPr>
          <w:p>
            <w:pPr>
              <w:pStyle w:val="480"/>
              <w:spacing w:before="120" w:after="120"/>
              <w:ind w:left="102"/>
              <w:jc w:val="both"/>
              <w:rPr>
                <w:color w:val="auto"/>
                <w:sz w:val="18"/>
                <w:szCs w:val="18"/>
                <w:lang w:eastAsia="zh-CN"/>
              </w:rPr>
            </w:pPr>
          </w:p>
        </w:tc>
        <w:tc>
          <w:tcPr>
            <w:tcW w:w="602" w:type="dxa"/>
            <w:vMerge w:val="continue"/>
            <w:noWrap/>
            <w:vAlign w:val="center"/>
          </w:tcPr>
          <w:p>
            <w:pPr>
              <w:pStyle w:val="480"/>
              <w:spacing w:before="120" w:after="120"/>
              <w:ind w:left="102"/>
              <w:jc w:val="both"/>
              <w:rPr>
                <w:color w:val="auto"/>
                <w:sz w:val="18"/>
                <w:szCs w:val="18"/>
                <w:lang w:eastAsia="zh-CN"/>
              </w:rPr>
            </w:pPr>
          </w:p>
        </w:tc>
        <w:tc>
          <w:tcPr>
            <w:tcW w:w="3796" w:type="dxa"/>
            <w:noWrap/>
            <w:vAlign w:val="center"/>
          </w:tcPr>
          <w:p>
            <w:pPr>
              <w:pStyle w:val="480"/>
              <w:spacing w:before="50" w:after="50"/>
              <w:jc w:val="both"/>
              <w:rPr>
                <w:color w:val="auto"/>
                <w:sz w:val="18"/>
                <w:szCs w:val="18"/>
                <w:lang w:eastAsia="zh-CN"/>
              </w:rPr>
            </w:pPr>
            <w:r>
              <w:rPr>
                <w:color w:val="auto"/>
                <w:sz w:val="18"/>
                <w:szCs w:val="18"/>
                <w:lang w:eastAsia="zh-CN"/>
              </w:rPr>
              <w:t>4.施工进度摸拟（含施工进度计划文档）</w:t>
            </w:r>
          </w:p>
        </w:tc>
        <w:tc>
          <w:tcPr>
            <w:tcW w:w="3291" w:type="dxa"/>
            <w:noWrap/>
            <w:vAlign w:val="center"/>
          </w:tcPr>
          <w:p>
            <w:pPr>
              <w:pStyle w:val="480"/>
              <w:spacing w:before="50" w:after="50"/>
              <w:jc w:val="both"/>
              <w:rPr>
                <w:color w:val="auto"/>
                <w:sz w:val="18"/>
                <w:szCs w:val="18"/>
                <w:lang w:eastAsia="zh-CN"/>
              </w:rPr>
            </w:pPr>
            <w:r>
              <w:rPr>
                <w:rFonts w:hint="eastAsia"/>
                <w:color w:val="auto"/>
                <w:sz w:val="18"/>
                <w:szCs w:val="18"/>
                <w:lang w:eastAsia="zh-CN"/>
              </w:rPr>
              <w:t>MP4、AVI等相关视频格式</w:t>
            </w:r>
          </w:p>
        </w:tc>
        <w:tc>
          <w:tcPr>
            <w:tcW w:w="1622" w:type="dxa"/>
            <w:vMerge w:val="continue"/>
            <w:noWrap/>
            <w:vAlign w:val="center"/>
          </w:tcPr>
          <w:p>
            <w:pPr>
              <w:pStyle w:val="480"/>
              <w:spacing w:before="120" w:after="120"/>
              <w:ind w:left="102"/>
              <w:jc w:val="both"/>
              <w:rPr>
                <w:color w:val="auto"/>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0" w:hRule="atLeast"/>
        </w:trPr>
        <w:tc>
          <w:tcPr>
            <w:tcW w:w="358" w:type="dxa"/>
            <w:vMerge w:val="continue"/>
            <w:noWrap/>
            <w:vAlign w:val="center"/>
          </w:tcPr>
          <w:p>
            <w:pPr>
              <w:pStyle w:val="480"/>
              <w:spacing w:before="120" w:after="120"/>
              <w:ind w:left="102"/>
              <w:jc w:val="both"/>
              <w:rPr>
                <w:color w:val="auto"/>
                <w:sz w:val="18"/>
                <w:szCs w:val="18"/>
                <w:lang w:eastAsia="zh-CN"/>
              </w:rPr>
            </w:pPr>
          </w:p>
        </w:tc>
        <w:tc>
          <w:tcPr>
            <w:tcW w:w="354" w:type="dxa"/>
            <w:vMerge w:val="continue"/>
            <w:noWrap/>
            <w:vAlign w:val="center"/>
          </w:tcPr>
          <w:p>
            <w:pPr>
              <w:pStyle w:val="480"/>
              <w:spacing w:before="120" w:after="120"/>
              <w:ind w:left="102"/>
              <w:jc w:val="both"/>
              <w:rPr>
                <w:color w:val="auto"/>
                <w:sz w:val="18"/>
                <w:szCs w:val="18"/>
                <w:lang w:eastAsia="zh-CN"/>
              </w:rPr>
            </w:pPr>
          </w:p>
        </w:tc>
        <w:tc>
          <w:tcPr>
            <w:tcW w:w="602" w:type="dxa"/>
            <w:vMerge w:val="continue"/>
            <w:noWrap/>
            <w:vAlign w:val="center"/>
          </w:tcPr>
          <w:p>
            <w:pPr>
              <w:pStyle w:val="480"/>
              <w:spacing w:before="120" w:after="120"/>
              <w:ind w:left="102"/>
              <w:jc w:val="both"/>
              <w:rPr>
                <w:color w:val="auto"/>
                <w:sz w:val="18"/>
                <w:szCs w:val="18"/>
                <w:lang w:eastAsia="zh-CN"/>
              </w:rPr>
            </w:pPr>
          </w:p>
        </w:tc>
        <w:tc>
          <w:tcPr>
            <w:tcW w:w="3796" w:type="dxa"/>
            <w:noWrap/>
            <w:vAlign w:val="center"/>
          </w:tcPr>
          <w:p>
            <w:pPr>
              <w:pStyle w:val="480"/>
              <w:spacing w:before="50" w:after="50"/>
              <w:jc w:val="both"/>
              <w:rPr>
                <w:color w:val="auto"/>
                <w:sz w:val="18"/>
                <w:szCs w:val="18"/>
                <w:lang w:eastAsia="zh-CN"/>
              </w:rPr>
            </w:pPr>
            <w:r>
              <w:rPr>
                <w:color w:val="auto"/>
                <w:sz w:val="18"/>
                <w:szCs w:val="18"/>
                <w:lang w:eastAsia="zh-CN"/>
              </w:rPr>
              <w:t>5.施工工艺模拟（含施工技术交底文档）</w:t>
            </w:r>
          </w:p>
        </w:tc>
        <w:tc>
          <w:tcPr>
            <w:tcW w:w="3291" w:type="dxa"/>
            <w:noWrap/>
            <w:vAlign w:val="center"/>
          </w:tcPr>
          <w:p>
            <w:pPr>
              <w:pStyle w:val="480"/>
              <w:spacing w:before="50" w:after="50"/>
              <w:jc w:val="both"/>
              <w:rPr>
                <w:color w:val="auto"/>
                <w:sz w:val="18"/>
                <w:szCs w:val="18"/>
                <w:lang w:eastAsia="zh-CN"/>
              </w:rPr>
            </w:pPr>
            <w:r>
              <w:rPr>
                <w:rFonts w:hint="eastAsia"/>
                <w:color w:val="auto"/>
                <w:sz w:val="18"/>
                <w:szCs w:val="18"/>
                <w:lang w:eastAsia="zh-CN"/>
              </w:rPr>
              <w:t>MP4、AVI等相关视频格式</w:t>
            </w:r>
          </w:p>
        </w:tc>
        <w:tc>
          <w:tcPr>
            <w:tcW w:w="1622" w:type="dxa"/>
            <w:vMerge w:val="continue"/>
            <w:noWrap/>
            <w:vAlign w:val="center"/>
          </w:tcPr>
          <w:p>
            <w:pPr>
              <w:pStyle w:val="480"/>
              <w:spacing w:before="120" w:after="120"/>
              <w:ind w:left="102"/>
              <w:jc w:val="both"/>
              <w:rPr>
                <w:color w:val="auto"/>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0" w:hRule="atLeast"/>
        </w:trPr>
        <w:tc>
          <w:tcPr>
            <w:tcW w:w="358" w:type="dxa"/>
            <w:vMerge w:val="continue"/>
            <w:noWrap/>
            <w:vAlign w:val="center"/>
          </w:tcPr>
          <w:p>
            <w:pPr>
              <w:pStyle w:val="480"/>
              <w:spacing w:before="120" w:after="120"/>
              <w:ind w:left="102"/>
              <w:jc w:val="both"/>
              <w:rPr>
                <w:color w:val="auto"/>
                <w:sz w:val="18"/>
                <w:szCs w:val="18"/>
                <w:lang w:eastAsia="zh-CN"/>
              </w:rPr>
            </w:pPr>
          </w:p>
        </w:tc>
        <w:tc>
          <w:tcPr>
            <w:tcW w:w="354" w:type="dxa"/>
            <w:vMerge w:val="continue"/>
            <w:noWrap/>
            <w:vAlign w:val="center"/>
          </w:tcPr>
          <w:p>
            <w:pPr>
              <w:pStyle w:val="480"/>
              <w:spacing w:before="120" w:after="120"/>
              <w:ind w:left="102"/>
              <w:jc w:val="both"/>
              <w:rPr>
                <w:color w:val="auto"/>
                <w:sz w:val="18"/>
                <w:szCs w:val="18"/>
                <w:lang w:eastAsia="zh-CN"/>
              </w:rPr>
            </w:pPr>
          </w:p>
        </w:tc>
        <w:tc>
          <w:tcPr>
            <w:tcW w:w="602" w:type="dxa"/>
            <w:vMerge w:val="continue"/>
            <w:noWrap/>
            <w:vAlign w:val="center"/>
          </w:tcPr>
          <w:p>
            <w:pPr>
              <w:pStyle w:val="480"/>
              <w:spacing w:before="120" w:after="120"/>
              <w:ind w:left="102"/>
              <w:jc w:val="both"/>
              <w:rPr>
                <w:color w:val="auto"/>
                <w:sz w:val="18"/>
                <w:szCs w:val="18"/>
                <w:lang w:eastAsia="zh-CN"/>
              </w:rPr>
            </w:pPr>
          </w:p>
        </w:tc>
        <w:tc>
          <w:tcPr>
            <w:tcW w:w="3796" w:type="dxa"/>
            <w:noWrap/>
            <w:vAlign w:val="center"/>
          </w:tcPr>
          <w:p>
            <w:pPr>
              <w:pStyle w:val="480"/>
              <w:spacing w:before="50" w:after="50"/>
              <w:jc w:val="both"/>
              <w:rPr>
                <w:color w:val="auto"/>
                <w:sz w:val="18"/>
                <w:szCs w:val="18"/>
                <w:lang w:eastAsia="zh-CN"/>
              </w:rPr>
            </w:pPr>
            <w:r>
              <w:rPr>
                <w:color w:val="auto"/>
                <w:sz w:val="18"/>
                <w:szCs w:val="18"/>
                <w:lang w:eastAsia="zh-CN"/>
              </w:rPr>
              <w:t>6.施工节点验收可视化视频展示</w:t>
            </w:r>
          </w:p>
        </w:tc>
        <w:tc>
          <w:tcPr>
            <w:tcW w:w="3291" w:type="dxa"/>
            <w:noWrap/>
            <w:vAlign w:val="center"/>
          </w:tcPr>
          <w:p>
            <w:pPr>
              <w:pStyle w:val="480"/>
              <w:spacing w:before="50" w:after="50"/>
              <w:jc w:val="both"/>
              <w:rPr>
                <w:color w:val="auto"/>
                <w:sz w:val="18"/>
                <w:szCs w:val="18"/>
                <w:lang w:eastAsia="zh-CN"/>
              </w:rPr>
            </w:pPr>
            <w:r>
              <w:rPr>
                <w:rFonts w:hint="eastAsia"/>
                <w:color w:val="auto"/>
                <w:sz w:val="18"/>
                <w:szCs w:val="18"/>
                <w:lang w:eastAsia="zh-CN"/>
              </w:rPr>
              <w:t>MP4、AVI等相关视频格式</w:t>
            </w:r>
          </w:p>
        </w:tc>
        <w:tc>
          <w:tcPr>
            <w:tcW w:w="1622" w:type="dxa"/>
            <w:vMerge w:val="continue"/>
            <w:noWrap/>
            <w:vAlign w:val="center"/>
          </w:tcPr>
          <w:p>
            <w:pPr>
              <w:pStyle w:val="480"/>
              <w:spacing w:before="120" w:after="120"/>
              <w:ind w:left="102"/>
              <w:jc w:val="both"/>
              <w:rPr>
                <w:color w:val="auto"/>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0" w:hRule="atLeast"/>
        </w:trPr>
        <w:tc>
          <w:tcPr>
            <w:tcW w:w="358" w:type="dxa"/>
            <w:vMerge w:val="continue"/>
            <w:noWrap/>
            <w:vAlign w:val="center"/>
          </w:tcPr>
          <w:p>
            <w:pPr>
              <w:pStyle w:val="480"/>
              <w:spacing w:before="120" w:after="120"/>
              <w:ind w:left="102"/>
              <w:jc w:val="both"/>
              <w:rPr>
                <w:color w:val="auto"/>
                <w:sz w:val="18"/>
                <w:szCs w:val="18"/>
                <w:lang w:eastAsia="zh-CN"/>
              </w:rPr>
            </w:pPr>
          </w:p>
        </w:tc>
        <w:tc>
          <w:tcPr>
            <w:tcW w:w="354" w:type="dxa"/>
            <w:vMerge w:val="continue"/>
            <w:noWrap/>
            <w:vAlign w:val="center"/>
          </w:tcPr>
          <w:p>
            <w:pPr>
              <w:pStyle w:val="480"/>
              <w:spacing w:before="120" w:after="120"/>
              <w:ind w:left="102"/>
              <w:jc w:val="both"/>
              <w:rPr>
                <w:color w:val="auto"/>
                <w:sz w:val="18"/>
                <w:szCs w:val="18"/>
                <w:lang w:eastAsia="zh-CN"/>
              </w:rPr>
            </w:pPr>
          </w:p>
        </w:tc>
        <w:tc>
          <w:tcPr>
            <w:tcW w:w="602" w:type="dxa"/>
            <w:vMerge w:val="continue"/>
            <w:noWrap/>
            <w:vAlign w:val="center"/>
          </w:tcPr>
          <w:p>
            <w:pPr>
              <w:pStyle w:val="480"/>
              <w:spacing w:before="120" w:after="120"/>
              <w:ind w:left="102"/>
              <w:jc w:val="both"/>
              <w:rPr>
                <w:color w:val="auto"/>
                <w:sz w:val="18"/>
                <w:szCs w:val="18"/>
                <w:lang w:eastAsia="zh-CN"/>
              </w:rPr>
            </w:pPr>
          </w:p>
        </w:tc>
        <w:tc>
          <w:tcPr>
            <w:tcW w:w="3796" w:type="dxa"/>
            <w:noWrap/>
            <w:vAlign w:val="center"/>
          </w:tcPr>
          <w:p>
            <w:pPr>
              <w:pStyle w:val="480"/>
              <w:spacing w:before="50" w:after="50"/>
              <w:jc w:val="both"/>
              <w:rPr>
                <w:color w:val="auto"/>
                <w:sz w:val="18"/>
                <w:szCs w:val="18"/>
                <w:lang w:eastAsia="zh-CN"/>
              </w:rPr>
            </w:pPr>
            <w:r>
              <w:rPr>
                <w:color w:val="auto"/>
                <w:sz w:val="18"/>
                <w:szCs w:val="18"/>
                <w:lang w:eastAsia="zh-CN"/>
              </w:rPr>
              <w:t>7.施工阶段工程量统计分析报告及工程量清单</w:t>
            </w:r>
          </w:p>
        </w:tc>
        <w:tc>
          <w:tcPr>
            <w:tcW w:w="3291" w:type="dxa"/>
            <w:noWrap/>
            <w:vAlign w:val="center"/>
          </w:tcPr>
          <w:p>
            <w:pPr>
              <w:pStyle w:val="480"/>
              <w:spacing w:before="50" w:after="50"/>
              <w:jc w:val="both"/>
              <w:rPr>
                <w:color w:val="auto"/>
                <w:sz w:val="18"/>
                <w:szCs w:val="18"/>
                <w:lang w:eastAsia="zh-CN"/>
              </w:rPr>
            </w:pPr>
            <w:r>
              <w:rPr>
                <w:rFonts w:hint="eastAsia"/>
                <w:color w:val="auto"/>
                <w:sz w:val="18"/>
                <w:szCs w:val="18"/>
                <w:lang w:eastAsia="zh-CN"/>
              </w:rPr>
              <w:t>Word、Excel、PPT及相关图片格式等</w:t>
            </w:r>
          </w:p>
        </w:tc>
        <w:tc>
          <w:tcPr>
            <w:tcW w:w="1622" w:type="dxa"/>
            <w:vMerge w:val="continue"/>
            <w:noWrap/>
            <w:vAlign w:val="center"/>
          </w:tcPr>
          <w:p>
            <w:pPr>
              <w:pStyle w:val="480"/>
              <w:spacing w:before="120" w:after="120"/>
              <w:ind w:left="102"/>
              <w:jc w:val="both"/>
              <w:rPr>
                <w:color w:val="auto"/>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0" w:hRule="atLeast"/>
        </w:trPr>
        <w:tc>
          <w:tcPr>
            <w:tcW w:w="358" w:type="dxa"/>
            <w:vMerge w:val="continue"/>
            <w:noWrap/>
            <w:vAlign w:val="center"/>
          </w:tcPr>
          <w:p>
            <w:pPr>
              <w:pStyle w:val="480"/>
              <w:spacing w:before="120" w:after="120"/>
              <w:ind w:left="102"/>
              <w:jc w:val="both"/>
              <w:rPr>
                <w:color w:val="auto"/>
                <w:sz w:val="18"/>
                <w:szCs w:val="18"/>
                <w:lang w:eastAsia="zh-CN"/>
              </w:rPr>
            </w:pPr>
          </w:p>
        </w:tc>
        <w:tc>
          <w:tcPr>
            <w:tcW w:w="354" w:type="dxa"/>
            <w:vMerge w:val="continue"/>
            <w:noWrap/>
            <w:vAlign w:val="center"/>
          </w:tcPr>
          <w:p>
            <w:pPr>
              <w:pStyle w:val="480"/>
              <w:spacing w:before="120" w:after="120"/>
              <w:ind w:left="102"/>
              <w:jc w:val="both"/>
              <w:rPr>
                <w:color w:val="auto"/>
                <w:sz w:val="18"/>
                <w:szCs w:val="18"/>
                <w:lang w:eastAsia="zh-CN"/>
              </w:rPr>
            </w:pPr>
          </w:p>
        </w:tc>
        <w:tc>
          <w:tcPr>
            <w:tcW w:w="602" w:type="dxa"/>
            <w:vMerge w:val="continue"/>
            <w:noWrap/>
            <w:vAlign w:val="center"/>
          </w:tcPr>
          <w:p>
            <w:pPr>
              <w:pStyle w:val="480"/>
              <w:spacing w:before="120" w:after="120"/>
              <w:ind w:left="102"/>
              <w:jc w:val="both"/>
              <w:rPr>
                <w:color w:val="auto"/>
                <w:sz w:val="18"/>
                <w:szCs w:val="18"/>
                <w:lang w:eastAsia="zh-CN"/>
              </w:rPr>
            </w:pPr>
          </w:p>
        </w:tc>
        <w:tc>
          <w:tcPr>
            <w:tcW w:w="3796" w:type="dxa"/>
            <w:noWrap/>
            <w:vAlign w:val="center"/>
          </w:tcPr>
          <w:p>
            <w:pPr>
              <w:pStyle w:val="480"/>
              <w:spacing w:before="50" w:after="50"/>
              <w:jc w:val="both"/>
              <w:rPr>
                <w:color w:val="auto"/>
                <w:sz w:val="18"/>
                <w:szCs w:val="18"/>
                <w:lang w:eastAsia="zh-CN"/>
              </w:rPr>
            </w:pPr>
            <w:r>
              <w:rPr>
                <w:color w:val="auto"/>
                <w:sz w:val="18"/>
                <w:szCs w:val="18"/>
                <w:lang w:eastAsia="zh-CN"/>
              </w:rPr>
              <w:t>8.施工阶段节点模型</w:t>
            </w:r>
          </w:p>
        </w:tc>
        <w:tc>
          <w:tcPr>
            <w:tcW w:w="3291" w:type="dxa"/>
            <w:noWrap/>
            <w:vAlign w:val="center"/>
          </w:tcPr>
          <w:p>
            <w:pPr>
              <w:pStyle w:val="480"/>
              <w:spacing w:before="50" w:after="50"/>
              <w:jc w:val="both"/>
              <w:rPr>
                <w:color w:val="auto"/>
                <w:sz w:val="18"/>
                <w:szCs w:val="18"/>
                <w:lang w:eastAsia="zh-CN"/>
              </w:rPr>
            </w:pPr>
            <w:r>
              <w:rPr>
                <w:rFonts w:hint="eastAsia"/>
                <w:color w:val="auto"/>
                <w:sz w:val="18"/>
                <w:szCs w:val="18"/>
                <w:lang w:eastAsia="zh-CN"/>
              </w:rPr>
              <w:t>相关BIM模型文件格式</w:t>
            </w:r>
          </w:p>
        </w:tc>
        <w:tc>
          <w:tcPr>
            <w:tcW w:w="1622" w:type="dxa"/>
            <w:vMerge w:val="continue"/>
            <w:noWrap/>
            <w:vAlign w:val="center"/>
          </w:tcPr>
          <w:p>
            <w:pPr>
              <w:pStyle w:val="480"/>
              <w:spacing w:before="120" w:after="120"/>
              <w:ind w:left="102"/>
              <w:jc w:val="both"/>
              <w:rPr>
                <w:color w:val="auto"/>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0" w:hRule="atLeast"/>
        </w:trPr>
        <w:tc>
          <w:tcPr>
            <w:tcW w:w="358" w:type="dxa"/>
            <w:vMerge w:val="continue"/>
            <w:noWrap/>
            <w:vAlign w:val="center"/>
          </w:tcPr>
          <w:p>
            <w:pPr>
              <w:pStyle w:val="480"/>
              <w:spacing w:before="120" w:after="120"/>
              <w:ind w:left="102"/>
              <w:jc w:val="both"/>
              <w:rPr>
                <w:color w:val="auto"/>
                <w:sz w:val="18"/>
                <w:szCs w:val="18"/>
                <w:lang w:eastAsia="zh-CN"/>
              </w:rPr>
            </w:pPr>
          </w:p>
        </w:tc>
        <w:tc>
          <w:tcPr>
            <w:tcW w:w="354" w:type="dxa"/>
            <w:vMerge w:val="continue"/>
            <w:noWrap/>
            <w:vAlign w:val="center"/>
          </w:tcPr>
          <w:p>
            <w:pPr>
              <w:pStyle w:val="480"/>
              <w:spacing w:before="120" w:after="120"/>
              <w:ind w:left="102"/>
              <w:jc w:val="both"/>
              <w:rPr>
                <w:color w:val="auto"/>
                <w:sz w:val="18"/>
                <w:szCs w:val="18"/>
                <w:lang w:eastAsia="zh-CN"/>
              </w:rPr>
            </w:pPr>
          </w:p>
        </w:tc>
        <w:tc>
          <w:tcPr>
            <w:tcW w:w="602" w:type="dxa"/>
            <w:vMerge w:val="continue"/>
            <w:noWrap/>
            <w:vAlign w:val="center"/>
          </w:tcPr>
          <w:p>
            <w:pPr>
              <w:pStyle w:val="480"/>
              <w:spacing w:before="120" w:after="120"/>
              <w:ind w:left="102"/>
              <w:jc w:val="both"/>
              <w:rPr>
                <w:color w:val="auto"/>
                <w:sz w:val="18"/>
                <w:szCs w:val="18"/>
                <w:lang w:eastAsia="zh-CN"/>
              </w:rPr>
            </w:pPr>
          </w:p>
        </w:tc>
        <w:tc>
          <w:tcPr>
            <w:tcW w:w="3796" w:type="dxa"/>
            <w:noWrap/>
            <w:vAlign w:val="center"/>
          </w:tcPr>
          <w:p>
            <w:pPr>
              <w:pStyle w:val="480"/>
              <w:spacing w:before="50" w:after="50"/>
              <w:jc w:val="both"/>
              <w:rPr>
                <w:color w:val="auto"/>
                <w:sz w:val="18"/>
                <w:szCs w:val="18"/>
                <w:lang w:eastAsia="zh-CN"/>
              </w:rPr>
            </w:pPr>
            <w:r>
              <w:rPr>
                <w:color w:val="auto"/>
                <w:sz w:val="18"/>
                <w:szCs w:val="18"/>
                <w:lang w:eastAsia="zh-CN"/>
              </w:rPr>
              <w:t>9.施工竣工模型</w:t>
            </w:r>
          </w:p>
        </w:tc>
        <w:tc>
          <w:tcPr>
            <w:tcW w:w="3291" w:type="dxa"/>
            <w:noWrap/>
            <w:vAlign w:val="center"/>
          </w:tcPr>
          <w:p>
            <w:pPr>
              <w:pStyle w:val="480"/>
              <w:spacing w:before="50" w:after="50"/>
              <w:jc w:val="both"/>
              <w:rPr>
                <w:color w:val="auto"/>
                <w:sz w:val="18"/>
                <w:szCs w:val="18"/>
                <w:lang w:eastAsia="zh-CN"/>
              </w:rPr>
            </w:pPr>
            <w:r>
              <w:rPr>
                <w:rFonts w:hint="eastAsia"/>
                <w:color w:val="auto"/>
                <w:sz w:val="18"/>
                <w:szCs w:val="18"/>
                <w:lang w:eastAsia="zh-CN"/>
              </w:rPr>
              <w:t>相关BIM模型文件格式</w:t>
            </w:r>
          </w:p>
        </w:tc>
        <w:tc>
          <w:tcPr>
            <w:tcW w:w="1622" w:type="dxa"/>
            <w:vMerge w:val="continue"/>
            <w:noWrap/>
            <w:vAlign w:val="center"/>
          </w:tcPr>
          <w:p>
            <w:pPr>
              <w:pStyle w:val="480"/>
              <w:spacing w:before="120" w:after="120"/>
              <w:ind w:left="102"/>
              <w:jc w:val="both"/>
              <w:rPr>
                <w:color w:val="auto"/>
                <w:sz w:val="18"/>
                <w:szCs w:val="18"/>
                <w:lang w:eastAsia="zh-CN"/>
              </w:rPr>
            </w:pPr>
          </w:p>
        </w:tc>
      </w:tr>
    </w:tbl>
    <w:p>
      <w:pPr>
        <w:pStyle w:val="585"/>
        <w:tabs>
          <w:tab w:val="left" w:pos="5424"/>
        </w:tabs>
        <w:spacing w:before="120" w:after="120" w:line="360" w:lineRule="auto"/>
        <w:ind w:left="0"/>
        <w:outlineLvl w:val="1"/>
        <w:rPr>
          <w:rFonts w:ascii="Times New Roman" w:hAnsi="Times New Roman" w:eastAsia="黑体"/>
          <w:b w:val="0"/>
          <w:bCs/>
          <w:color w:val="auto"/>
          <w:sz w:val="24"/>
          <w:szCs w:val="24"/>
        </w:rPr>
      </w:pPr>
      <w:bookmarkStart w:id="782" w:name="_Toc22236"/>
      <w:bookmarkStart w:id="783" w:name="_Toc24790"/>
      <w:bookmarkStart w:id="784" w:name="_Toc62460203"/>
      <w:bookmarkStart w:id="785" w:name="_Toc6244"/>
      <w:bookmarkStart w:id="786" w:name="_Toc13724"/>
      <w:r>
        <w:rPr>
          <w:rFonts w:hint="eastAsia" w:ascii="Times New Roman" w:hAnsi="Times New Roman" w:eastAsia="黑体"/>
          <w:b w:val="0"/>
          <w:bCs/>
          <w:color w:val="auto"/>
          <w:sz w:val="24"/>
          <w:szCs w:val="24"/>
        </w:rPr>
        <w:t>成果评价</w:t>
      </w:r>
      <w:bookmarkEnd w:id="782"/>
      <w:bookmarkEnd w:id="783"/>
      <w:bookmarkEnd w:id="784"/>
      <w:bookmarkEnd w:id="785"/>
      <w:bookmarkEnd w:id="786"/>
    </w:p>
    <w:p>
      <w:pPr>
        <w:pStyle w:val="587"/>
        <w:numPr>
          <w:ilvl w:val="0"/>
          <w:numId w:val="0"/>
        </w:numPr>
        <w:spacing w:beforeLines="50" w:afterLines="50" w:line="360" w:lineRule="auto"/>
        <w:ind w:firstLine="420" w:firstLineChars="200"/>
        <w:jc w:val="both"/>
        <w:outlineLvl w:val="9"/>
        <w:rPr>
          <w:rFonts w:ascii="LNUHNF+SimSun" w:hAnsi="LNUHNF+SimSun" w:cs="宋体"/>
          <w:color w:val="auto"/>
          <w:szCs w:val="21"/>
        </w:rPr>
      </w:pPr>
      <w:bookmarkStart w:id="787" w:name="_Toc11677"/>
      <w:bookmarkStart w:id="788" w:name="_Toc16674"/>
      <w:r>
        <w:rPr>
          <w:rFonts w:hint="eastAsia" w:ascii="LNUHNF+SimSun" w:hAnsi="LNUHNF+SimSun" w:cs="宋体"/>
          <w:color w:val="auto"/>
          <w:szCs w:val="21"/>
        </w:rPr>
        <w:t>BIM总协调方应对代建局项目的BIM成果进行评价，该评价可作为项目交付及结算的参考依据</w:t>
      </w:r>
      <w:r>
        <w:rPr>
          <w:rFonts w:ascii="LNUHNF+SimSun" w:hAnsi="LNUHNF+SimSun" w:cs="宋体"/>
          <w:color w:val="auto"/>
          <w:szCs w:val="21"/>
        </w:rPr>
        <w:t>。</w:t>
      </w:r>
      <w:bookmarkEnd w:id="787"/>
      <w:bookmarkEnd w:id="788"/>
    </w:p>
    <w:p>
      <w:pPr>
        <w:pStyle w:val="498"/>
        <w:spacing w:beforeLines="50" w:afterLines="50" w:line="360" w:lineRule="auto"/>
        <w:ind w:firstLine="360"/>
        <w:jc w:val="center"/>
        <w:rPr>
          <w:rFonts w:ascii="黑体" w:hAnsi="黑体" w:eastAsia="黑体" w:cs="黑体"/>
          <w:color w:val="auto"/>
          <w:sz w:val="18"/>
          <w:szCs w:val="18"/>
        </w:rPr>
      </w:pPr>
      <w:r>
        <w:rPr>
          <w:rFonts w:ascii="黑体" w:hAnsi="黑体" w:eastAsia="黑体" w:cs="黑体"/>
          <w:color w:val="auto"/>
          <w:sz w:val="18"/>
          <w:szCs w:val="18"/>
        </w:rPr>
        <w:t>表4.</w:t>
      </w:r>
      <w:r>
        <w:rPr>
          <w:rFonts w:hint="eastAsia" w:ascii="黑体" w:hAnsi="黑体" w:eastAsia="黑体" w:cs="黑体"/>
          <w:color w:val="auto"/>
          <w:sz w:val="18"/>
          <w:szCs w:val="18"/>
        </w:rPr>
        <w:t>4</w:t>
      </w:r>
      <w:r>
        <w:rPr>
          <w:rFonts w:ascii="黑体" w:hAnsi="黑体" w:eastAsia="黑体" w:cs="黑体"/>
          <w:color w:val="auto"/>
          <w:sz w:val="18"/>
          <w:szCs w:val="18"/>
        </w:rPr>
        <w:t xml:space="preserve">  成果交付</w:t>
      </w:r>
      <w:r>
        <w:rPr>
          <w:rFonts w:hint="eastAsia" w:ascii="黑体" w:hAnsi="黑体" w:eastAsia="黑体" w:cs="黑体"/>
          <w:color w:val="auto"/>
          <w:sz w:val="18"/>
          <w:szCs w:val="18"/>
        </w:rPr>
        <w:t>评价表</w:t>
      </w:r>
    </w:p>
    <w:tbl>
      <w:tblPr>
        <w:tblStyle w:val="5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70"/>
        <w:gridCol w:w="370"/>
        <w:gridCol w:w="9730"/>
        <w:gridCol w:w="6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4" w:type="pct"/>
            <w:noWrap/>
            <w:vAlign w:val="center"/>
          </w:tcPr>
          <w:p>
            <w:pPr>
              <w:pStyle w:val="480"/>
              <w:jc w:val="center"/>
              <w:rPr>
                <w:color w:val="auto"/>
                <w:sz w:val="18"/>
                <w:szCs w:val="18"/>
              </w:rPr>
            </w:pPr>
            <w:r>
              <w:rPr>
                <w:rFonts w:hint="eastAsia"/>
                <w:color w:val="auto"/>
                <w:sz w:val="18"/>
                <w:szCs w:val="18"/>
              </w:rPr>
              <w:t>序号</w:t>
            </w:r>
          </w:p>
        </w:tc>
        <w:tc>
          <w:tcPr>
            <w:tcW w:w="419" w:type="pct"/>
            <w:noWrap/>
            <w:vAlign w:val="center"/>
          </w:tcPr>
          <w:p>
            <w:pPr>
              <w:pStyle w:val="480"/>
              <w:jc w:val="center"/>
              <w:rPr>
                <w:color w:val="auto"/>
                <w:sz w:val="18"/>
                <w:szCs w:val="18"/>
                <w:lang w:eastAsia="zh-CN"/>
              </w:rPr>
            </w:pPr>
            <w:r>
              <w:rPr>
                <w:rFonts w:hint="eastAsia"/>
                <w:color w:val="auto"/>
                <w:sz w:val="18"/>
                <w:szCs w:val="18"/>
                <w:lang w:eastAsia="zh-CN"/>
              </w:rPr>
              <w:t>评级</w:t>
            </w:r>
          </w:p>
        </w:tc>
        <w:tc>
          <w:tcPr>
            <w:tcW w:w="1850" w:type="pct"/>
            <w:noWrap/>
            <w:vAlign w:val="center"/>
          </w:tcPr>
          <w:p>
            <w:pPr>
              <w:pStyle w:val="480"/>
              <w:spacing w:before="120" w:after="120"/>
              <w:jc w:val="center"/>
              <w:rPr>
                <w:color w:val="auto"/>
                <w:sz w:val="18"/>
                <w:szCs w:val="18"/>
                <w:lang w:eastAsia="zh-CN"/>
              </w:rPr>
            </w:pPr>
            <w:r>
              <w:rPr>
                <w:rFonts w:hint="eastAsia"/>
                <w:color w:val="auto"/>
                <w:sz w:val="18"/>
                <w:szCs w:val="18"/>
                <w:lang w:eastAsia="zh-CN"/>
              </w:rPr>
              <w:t>评价内容</w:t>
            </w:r>
          </w:p>
        </w:tc>
        <w:tc>
          <w:tcPr>
            <w:tcW w:w="2307" w:type="pct"/>
            <w:noWrap/>
            <w:vAlign w:val="center"/>
          </w:tcPr>
          <w:p>
            <w:pPr>
              <w:pStyle w:val="480"/>
              <w:spacing w:before="120" w:after="120"/>
              <w:jc w:val="center"/>
              <w:rPr>
                <w:color w:val="auto"/>
                <w:sz w:val="18"/>
                <w:szCs w:val="18"/>
                <w:lang w:eastAsia="zh-CN"/>
              </w:rPr>
            </w:pPr>
            <w:r>
              <w:rPr>
                <w:rFonts w:hint="eastAsia"/>
                <w:color w:val="auto"/>
                <w:sz w:val="18"/>
                <w:szCs w:val="18"/>
                <w:lang w:eastAsia="zh-CN"/>
              </w:rPr>
              <w:t>评价措施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4" w:type="pct"/>
            <w:noWrap/>
            <w:vAlign w:val="center"/>
          </w:tcPr>
          <w:p>
            <w:pPr>
              <w:pStyle w:val="480"/>
              <w:jc w:val="center"/>
              <w:rPr>
                <w:color w:val="auto"/>
                <w:sz w:val="18"/>
                <w:szCs w:val="18"/>
              </w:rPr>
            </w:pPr>
            <w:r>
              <w:rPr>
                <w:rFonts w:hint="eastAsia"/>
                <w:color w:val="auto"/>
                <w:sz w:val="18"/>
                <w:szCs w:val="18"/>
              </w:rPr>
              <w:t>1</w:t>
            </w:r>
          </w:p>
        </w:tc>
        <w:tc>
          <w:tcPr>
            <w:tcW w:w="419" w:type="pct"/>
            <w:noWrap/>
            <w:vAlign w:val="center"/>
          </w:tcPr>
          <w:p>
            <w:pPr>
              <w:pStyle w:val="480"/>
              <w:jc w:val="center"/>
              <w:rPr>
                <w:color w:val="auto"/>
                <w:sz w:val="18"/>
                <w:szCs w:val="18"/>
                <w:lang w:eastAsia="zh-CN"/>
              </w:rPr>
            </w:pPr>
            <w:r>
              <w:rPr>
                <w:rFonts w:hint="eastAsia"/>
                <w:color w:val="auto"/>
                <w:sz w:val="18"/>
                <w:szCs w:val="18"/>
                <w:lang w:eastAsia="zh-CN"/>
              </w:rPr>
              <w:t>A+</w:t>
            </w:r>
          </w:p>
        </w:tc>
        <w:tc>
          <w:tcPr>
            <w:tcW w:w="1850" w:type="pct"/>
            <w:noWrap/>
            <w:vAlign w:val="center"/>
          </w:tcPr>
          <w:p>
            <w:pPr>
              <w:pStyle w:val="480"/>
              <w:spacing w:line="360" w:lineRule="auto"/>
              <w:jc w:val="both"/>
              <w:rPr>
                <w:color w:val="auto"/>
                <w:sz w:val="18"/>
                <w:szCs w:val="18"/>
                <w:lang w:eastAsia="zh-CN"/>
              </w:rPr>
            </w:pPr>
            <w:r>
              <w:rPr>
                <w:rFonts w:hint="eastAsia"/>
                <w:color w:val="auto"/>
                <w:sz w:val="18"/>
                <w:szCs w:val="18"/>
                <w:lang w:eastAsia="zh-CN"/>
              </w:rPr>
              <w:t>1.按时按质完成约定成果；</w:t>
            </w:r>
          </w:p>
          <w:p>
            <w:pPr>
              <w:pStyle w:val="480"/>
              <w:spacing w:line="360" w:lineRule="auto"/>
              <w:jc w:val="both"/>
              <w:rPr>
                <w:color w:val="auto"/>
                <w:sz w:val="18"/>
                <w:szCs w:val="18"/>
                <w:lang w:eastAsia="zh-CN"/>
              </w:rPr>
            </w:pPr>
            <w:r>
              <w:rPr>
                <w:rFonts w:hint="eastAsia"/>
                <w:color w:val="auto"/>
                <w:sz w:val="18"/>
                <w:szCs w:val="18"/>
                <w:lang w:eastAsia="zh-CN"/>
              </w:rPr>
              <w:t>2.成果完整，内容丰富；</w:t>
            </w:r>
          </w:p>
          <w:p>
            <w:pPr>
              <w:pStyle w:val="480"/>
              <w:spacing w:line="360" w:lineRule="auto"/>
              <w:jc w:val="both"/>
              <w:rPr>
                <w:color w:val="auto"/>
                <w:sz w:val="18"/>
                <w:szCs w:val="18"/>
                <w:lang w:eastAsia="zh-CN"/>
              </w:rPr>
            </w:pPr>
            <w:r>
              <w:rPr>
                <w:rFonts w:hint="eastAsia"/>
                <w:color w:val="auto"/>
                <w:sz w:val="18"/>
                <w:szCs w:val="18"/>
                <w:lang w:eastAsia="zh-CN"/>
              </w:rPr>
              <w:t>3.已满足合同及相关使用方的要求；</w:t>
            </w:r>
          </w:p>
          <w:p>
            <w:pPr>
              <w:pStyle w:val="480"/>
              <w:spacing w:line="360" w:lineRule="auto"/>
              <w:jc w:val="both"/>
              <w:rPr>
                <w:color w:val="auto"/>
                <w:sz w:val="18"/>
                <w:szCs w:val="18"/>
                <w:lang w:eastAsia="zh-CN"/>
              </w:rPr>
            </w:pPr>
            <w:r>
              <w:rPr>
                <w:rFonts w:hint="eastAsia"/>
                <w:color w:val="auto"/>
                <w:sz w:val="18"/>
                <w:szCs w:val="18"/>
                <w:lang w:eastAsia="zh-CN"/>
              </w:rPr>
              <w:t>4.部分成果的实际应用效果超过预期，为项目带来实质性突破。（如创造效益、节约工期、提升社会知名度、科研创新等）</w:t>
            </w:r>
          </w:p>
        </w:tc>
        <w:tc>
          <w:tcPr>
            <w:tcW w:w="2307" w:type="pct"/>
            <w:noWrap/>
            <w:vAlign w:val="center"/>
          </w:tcPr>
          <w:p>
            <w:pPr>
              <w:pStyle w:val="480"/>
              <w:spacing w:line="360" w:lineRule="auto"/>
              <w:jc w:val="both"/>
              <w:rPr>
                <w:color w:val="auto"/>
                <w:sz w:val="18"/>
                <w:szCs w:val="18"/>
                <w:lang w:eastAsia="zh-CN"/>
              </w:rPr>
            </w:pPr>
            <w:r>
              <w:rPr>
                <w:rFonts w:hint="eastAsia"/>
                <w:color w:val="auto"/>
                <w:sz w:val="18"/>
                <w:szCs w:val="18"/>
                <w:lang w:eastAsia="zh-CN"/>
              </w:rPr>
              <w:t>1.成果满足要求，可开展项目交付及结算事宜；</w:t>
            </w:r>
          </w:p>
          <w:p>
            <w:pPr>
              <w:pStyle w:val="480"/>
              <w:spacing w:line="360" w:lineRule="auto"/>
              <w:jc w:val="both"/>
              <w:rPr>
                <w:color w:val="auto"/>
                <w:sz w:val="18"/>
                <w:szCs w:val="18"/>
                <w:lang w:eastAsia="zh-CN"/>
              </w:rPr>
            </w:pPr>
            <w:r>
              <w:rPr>
                <w:rFonts w:hint="eastAsia"/>
                <w:color w:val="auto"/>
                <w:sz w:val="18"/>
                <w:szCs w:val="18"/>
                <w:lang w:eastAsia="zh-CN"/>
              </w:rPr>
              <w:t>2.可对成果交付单位给予一定鼓励。如奖金、感谢信等。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4" w:type="pct"/>
            <w:noWrap/>
            <w:vAlign w:val="center"/>
          </w:tcPr>
          <w:p>
            <w:pPr>
              <w:pStyle w:val="480"/>
              <w:jc w:val="center"/>
              <w:rPr>
                <w:color w:val="auto"/>
                <w:sz w:val="18"/>
                <w:szCs w:val="18"/>
              </w:rPr>
            </w:pPr>
            <w:r>
              <w:rPr>
                <w:rFonts w:hint="eastAsia"/>
                <w:color w:val="auto"/>
                <w:sz w:val="18"/>
                <w:szCs w:val="18"/>
              </w:rPr>
              <w:t>2</w:t>
            </w:r>
          </w:p>
        </w:tc>
        <w:tc>
          <w:tcPr>
            <w:tcW w:w="419" w:type="pct"/>
            <w:noWrap/>
            <w:vAlign w:val="center"/>
          </w:tcPr>
          <w:p>
            <w:pPr>
              <w:pStyle w:val="480"/>
              <w:jc w:val="center"/>
              <w:rPr>
                <w:color w:val="auto"/>
                <w:sz w:val="18"/>
                <w:szCs w:val="18"/>
                <w:lang w:eastAsia="zh-CN"/>
              </w:rPr>
            </w:pPr>
            <w:r>
              <w:rPr>
                <w:rFonts w:hint="eastAsia"/>
                <w:color w:val="auto"/>
                <w:sz w:val="18"/>
                <w:szCs w:val="18"/>
                <w:lang w:eastAsia="zh-CN"/>
              </w:rPr>
              <w:t>A</w:t>
            </w:r>
          </w:p>
        </w:tc>
        <w:tc>
          <w:tcPr>
            <w:tcW w:w="1850" w:type="pct"/>
            <w:noWrap/>
            <w:vAlign w:val="center"/>
          </w:tcPr>
          <w:p>
            <w:pPr>
              <w:pStyle w:val="480"/>
              <w:spacing w:line="360" w:lineRule="auto"/>
              <w:jc w:val="both"/>
              <w:rPr>
                <w:color w:val="auto"/>
                <w:sz w:val="18"/>
                <w:szCs w:val="18"/>
                <w:lang w:eastAsia="zh-CN"/>
              </w:rPr>
            </w:pPr>
            <w:r>
              <w:rPr>
                <w:rFonts w:hint="eastAsia"/>
                <w:color w:val="auto"/>
                <w:sz w:val="18"/>
                <w:szCs w:val="18"/>
                <w:lang w:eastAsia="zh-CN"/>
              </w:rPr>
              <w:t>1.按时按质完成约定成果；</w:t>
            </w:r>
          </w:p>
          <w:p>
            <w:pPr>
              <w:pStyle w:val="480"/>
              <w:spacing w:line="360" w:lineRule="auto"/>
              <w:jc w:val="both"/>
              <w:rPr>
                <w:color w:val="auto"/>
                <w:sz w:val="18"/>
                <w:szCs w:val="18"/>
                <w:lang w:eastAsia="zh-CN"/>
              </w:rPr>
            </w:pPr>
            <w:r>
              <w:rPr>
                <w:rFonts w:hint="eastAsia"/>
                <w:color w:val="auto"/>
                <w:sz w:val="18"/>
                <w:szCs w:val="18"/>
                <w:lang w:eastAsia="zh-CN"/>
              </w:rPr>
              <w:t>2.成果完整，内容丰富；</w:t>
            </w:r>
          </w:p>
          <w:p>
            <w:pPr>
              <w:pStyle w:val="480"/>
              <w:spacing w:line="360" w:lineRule="auto"/>
              <w:jc w:val="both"/>
              <w:rPr>
                <w:color w:val="auto"/>
                <w:sz w:val="18"/>
                <w:szCs w:val="18"/>
                <w:lang w:eastAsia="zh-CN"/>
              </w:rPr>
            </w:pPr>
            <w:r>
              <w:rPr>
                <w:rFonts w:hint="eastAsia"/>
                <w:color w:val="auto"/>
                <w:sz w:val="18"/>
                <w:szCs w:val="18"/>
                <w:lang w:eastAsia="zh-CN"/>
              </w:rPr>
              <w:t>3.已满足合同及相关使用方的要求；</w:t>
            </w:r>
          </w:p>
        </w:tc>
        <w:tc>
          <w:tcPr>
            <w:tcW w:w="2307" w:type="pct"/>
            <w:noWrap/>
            <w:vAlign w:val="center"/>
          </w:tcPr>
          <w:p>
            <w:pPr>
              <w:pStyle w:val="480"/>
              <w:spacing w:line="360" w:lineRule="auto"/>
              <w:jc w:val="both"/>
              <w:rPr>
                <w:color w:val="auto"/>
                <w:sz w:val="18"/>
                <w:szCs w:val="18"/>
                <w:lang w:eastAsia="zh-CN"/>
              </w:rPr>
            </w:pPr>
            <w:r>
              <w:rPr>
                <w:rFonts w:hint="eastAsia"/>
                <w:color w:val="auto"/>
                <w:sz w:val="18"/>
                <w:szCs w:val="18"/>
                <w:lang w:eastAsia="zh-CN"/>
              </w:rPr>
              <w:t>1.成果满足要求，可开展项目交付及结算事宜。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4" w:type="pct"/>
            <w:noWrap/>
            <w:vAlign w:val="center"/>
          </w:tcPr>
          <w:p>
            <w:pPr>
              <w:pStyle w:val="480"/>
              <w:jc w:val="center"/>
              <w:rPr>
                <w:color w:val="auto"/>
                <w:sz w:val="18"/>
                <w:szCs w:val="18"/>
                <w:lang w:eastAsia="zh-CN"/>
              </w:rPr>
            </w:pPr>
            <w:r>
              <w:rPr>
                <w:rFonts w:hint="eastAsia"/>
                <w:color w:val="auto"/>
                <w:sz w:val="18"/>
                <w:szCs w:val="18"/>
                <w:lang w:eastAsia="zh-CN"/>
              </w:rPr>
              <w:t>3</w:t>
            </w:r>
          </w:p>
        </w:tc>
        <w:tc>
          <w:tcPr>
            <w:tcW w:w="419" w:type="pct"/>
            <w:noWrap/>
            <w:vAlign w:val="center"/>
          </w:tcPr>
          <w:p>
            <w:pPr>
              <w:pStyle w:val="480"/>
              <w:jc w:val="center"/>
              <w:rPr>
                <w:color w:val="auto"/>
                <w:sz w:val="18"/>
                <w:szCs w:val="18"/>
                <w:lang w:eastAsia="zh-CN"/>
              </w:rPr>
            </w:pPr>
            <w:r>
              <w:rPr>
                <w:rFonts w:hint="eastAsia"/>
                <w:color w:val="auto"/>
                <w:sz w:val="18"/>
                <w:szCs w:val="18"/>
                <w:lang w:eastAsia="zh-CN"/>
              </w:rPr>
              <w:t>B</w:t>
            </w:r>
          </w:p>
        </w:tc>
        <w:tc>
          <w:tcPr>
            <w:tcW w:w="1850" w:type="pct"/>
            <w:noWrap/>
            <w:vAlign w:val="center"/>
          </w:tcPr>
          <w:p>
            <w:pPr>
              <w:pStyle w:val="480"/>
              <w:spacing w:line="360" w:lineRule="auto"/>
              <w:jc w:val="both"/>
              <w:rPr>
                <w:color w:val="auto"/>
                <w:sz w:val="18"/>
                <w:szCs w:val="18"/>
                <w:lang w:eastAsia="zh-CN"/>
              </w:rPr>
            </w:pPr>
            <w:r>
              <w:rPr>
                <w:rFonts w:hint="eastAsia"/>
                <w:color w:val="auto"/>
                <w:sz w:val="18"/>
                <w:szCs w:val="18"/>
                <w:lang w:eastAsia="zh-CN"/>
              </w:rPr>
              <w:t>1.按时完成约定成果；</w:t>
            </w:r>
          </w:p>
          <w:p>
            <w:pPr>
              <w:pStyle w:val="480"/>
              <w:spacing w:line="360" w:lineRule="auto"/>
              <w:jc w:val="both"/>
              <w:rPr>
                <w:color w:val="auto"/>
                <w:sz w:val="18"/>
                <w:szCs w:val="18"/>
                <w:lang w:eastAsia="zh-CN"/>
              </w:rPr>
            </w:pPr>
            <w:r>
              <w:rPr>
                <w:rFonts w:hint="eastAsia"/>
                <w:color w:val="auto"/>
                <w:sz w:val="18"/>
                <w:szCs w:val="18"/>
                <w:lang w:eastAsia="zh-CN"/>
              </w:rPr>
              <w:t>2.部分成果完整，内容丰富；</w:t>
            </w:r>
          </w:p>
          <w:p>
            <w:pPr>
              <w:pStyle w:val="480"/>
              <w:spacing w:line="360" w:lineRule="auto"/>
              <w:jc w:val="both"/>
              <w:rPr>
                <w:color w:val="auto"/>
                <w:sz w:val="18"/>
                <w:szCs w:val="18"/>
                <w:lang w:eastAsia="zh-CN"/>
              </w:rPr>
            </w:pPr>
            <w:r>
              <w:rPr>
                <w:rFonts w:hint="eastAsia"/>
                <w:color w:val="auto"/>
                <w:sz w:val="18"/>
                <w:szCs w:val="18"/>
                <w:lang w:eastAsia="zh-CN"/>
              </w:rPr>
              <w:t>3.已满足合同及相关使用方的要求；</w:t>
            </w:r>
          </w:p>
        </w:tc>
        <w:tc>
          <w:tcPr>
            <w:tcW w:w="2307" w:type="pct"/>
            <w:noWrap/>
            <w:vAlign w:val="center"/>
          </w:tcPr>
          <w:p>
            <w:pPr>
              <w:pStyle w:val="480"/>
              <w:spacing w:line="360" w:lineRule="auto"/>
              <w:jc w:val="both"/>
              <w:rPr>
                <w:color w:val="auto"/>
                <w:sz w:val="18"/>
                <w:szCs w:val="18"/>
                <w:lang w:eastAsia="zh-CN"/>
              </w:rPr>
            </w:pPr>
            <w:r>
              <w:rPr>
                <w:rFonts w:hint="eastAsia"/>
                <w:color w:val="auto"/>
                <w:sz w:val="18"/>
                <w:szCs w:val="18"/>
                <w:lang w:eastAsia="zh-CN"/>
              </w:rPr>
              <w:t>1.由BIM总协调方提出修改意见，经修改完善后，组织成果交付评价。</w:t>
            </w:r>
          </w:p>
          <w:p>
            <w:pPr>
              <w:pStyle w:val="480"/>
              <w:spacing w:line="360" w:lineRule="auto"/>
              <w:jc w:val="both"/>
              <w:rPr>
                <w:color w:val="auto"/>
                <w:sz w:val="18"/>
                <w:szCs w:val="18"/>
                <w:lang w:eastAsia="zh-CN"/>
              </w:rPr>
            </w:pPr>
            <w:r>
              <w:rPr>
                <w:rFonts w:hint="eastAsia"/>
                <w:color w:val="auto"/>
                <w:sz w:val="18"/>
                <w:szCs w:val="18"/>
                <w:lang w:eastAsia="zh-CN"/>
              </w:rPr>
              <w:t>2.经评价，成果满足要求，可开展项目交付及结算事宜。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424" w:type="pct"/>
            <w:noWrap/>
            <w:vAlign w:val="center"/>
          </w:tcPr>
          <w:p>
            <w:pPr>
              <w:pStyle w:val="480"/>
              <w:jc w:val="center"/>
              <w:rPr>
                <w:color w:val="auto"/>
                <w:sz w:val="18"/>
                <w:szCs w:val="18"/>
                <w:lang w:eastAsia="zh-CN"/>
              </w:rPr>
            </w:pPr>
            <w:r>
              <w:rPr>
                <w:rFonts w:hint="eastAsia"/>
                <w:color w:val="auto"/>
                <w:sz w:val="18"/>
                <w:szCs w:val="18"/>
                <w:lang w:eastAsia="zh-CN"/>
              </w:rPr>
              <w:t>4</w:t>
            </w:r>
          </w:p>
        </w:tc>
        <w:tc>
          <w:tcPr>
            <w:tcW w:w="419" w:type="pct"/>
            <w:noWrap/>
            <w:vAlign w:val="center"/>
          </w:tcPr>
          <w:p>
            <w:pPr>
              <w:pStyle w:val="480"/>
              <w:jc w:val="center"/>
              <w:rPr>
                <w:color w:val="auto"/>
                <w:sz w:val="18"/>
                <w:szCs w:val="18"/>
                <w:lang w:eastAsia="zh-CN"/>
              </w:rPr>
            </w:pPr>
            <w:r>
              <w:rPr>
                <w:rFonts w:hint="eastAsia"/>
                <w:color w:val="auto"/>
                <w:sz w:val="18"/>
                <w:szCs w:val="18"/>
                <w:lang w:eastAsia="zh-CN"/>
              </w:rPr>
              <w:t>C</w:t>
            </w:r>
          </w:p>
        </w:tc>
        <w:tc>
          <w:tcPr>
            <w:tcW w:w="1850" w:type="pct"/>
            <w:noWrap/>
            <w:vAlign w:val="center"/>
          </w:tcPr>
          <w:p>
            <w:pPr>
              <w:pStyle w:val="480"/>
              <w:spacing w:line="360" w:lineRule="auto"/>
              <w:jc w:val="both"/>
              <w:rPr>
                <w:color w:val="auto"/>
                <w:sz w:val="18"/>
                <w:szCs w:val="18"/>
                <w:lang w:eastAsia="zh-CN"/>
              </w:rPr>
            </w:pPr>
            <w:r>
              <w:rPr>
                <w:rFonts w:hint="eastAsia"/>
                <w:color w:val="auto"/>
                <w:sz w:val="18"/>
                <w:szCs w:val="18"/>
                <w:lang w:eastAsia="zh-CN"/>
              </w:rPr>
              <w:t>1.未按时完成约定成果；</w:t>
            </w:r>
          </w:p>
          <w:p>
            <w:pPr>
              <w:pStyle w:val="480"/>
              <w:spacing w:line="360" w:lineRule="auto"/>
              <w:jc w:val="both"/>
              <w:rPr>
                <w:color w:val="auto"/>
                <w:sz w:val="18"/>
                <w:szCs w:val="18"/>
                <w:lang w:eastAsia="zh-CN"/>
              </w:rPr>
            </w:pPr>
            <w:r>
              <w:rPr>
                <w:rFonts w:hint="eastAsia"/>
                <w:color w:val="auto"/>
                <w:sz w:val="18"/>
                <w:szCs w:val="18"/>
                <w:lang w:eastAsia="zh-CN"/>
              </w:rPr>
              <w:t>2.成果不完整，缺少内容；</w:t>
            </w:r>
          </w:p>
          <w:p>
            <w:pPr>
              <w:pStyle w:val="480"/>
              <w:spacing w:line="360" w:lineRule="auto"/>
              <w:jc w:val="both"/>
              <w:rPr>
                <w:color w:val="auto"/>
                <w:sz w:val="18"/>
                <w:szCs w:val="18"/>
                <w:lang w:eastAsia="zh-CN"/>
              </w:rPr>
            </w:pPr>
            <w:r>
              <w:rPr>
                <w:rFonts w:hint="eastAsia"/>
                <w:color w:val="auto"/>
                <w:sz w:val="18"/>
                <w:szCs w:val="18"/>
                <w:lang w:eastAsia="zh-CN"/>
              </w:rPr>
              <w:t>3.未满足合同及相关使用方的要求；</w:t>
            </w:r>
          </w:p>
        </w:tc>
        <w:tc>
          <w:tcPr>
            <w:tcW w:w="2307" w:type="pct"/>
            <w:noWrap/>
            <w:vAlign w:val="center"/>
          </w:tcPr>
          <w:p>
            <w:pPr>
              <w:pStyle w:val="480"/>
              <w:spacing w:line="360" w:lineRule="auto"/>
              <w:jc w:val="both"/>
              <w:rPr>
                <w:color w:val="auto"/>
                <w:sz w:val="18"/>
                <w:szCs w:val="18"/>
                <w:lang w:eastAsia="zh-CN"/>
              </w:rPr>
            </w:pPr>
            <w:r>
              <w:rPr>
                <w:rFonts w:hint="eastAsia"/>
                <w:color w:val="auto"/>
                <w:sz w:val="18"/>
                <w:szCs w:val="18"/>
                <w:lang w:eastAsia="zh-CN"/>
              </w:rPr>
              <w:t>1.暂停项目BIM部分交付及结算事宜，责令整改；</w:t>
            </w:r>
          </w:p>
          <w:p>
            <w:pPr>
              <w:pStyle w:val="480"/>
              <w:spacing w:line="360" w:lineRule="auto"/>
              <w:jc w:val="both"/>
              <w:rPr>
                <w:color w:val="auto"/>
                <w:sz w:val="18"/>
                <w:szCs w:val="18"/>
                <w:lang w:eastAsia="zh-CN"/>
              </w:rPr>
            </w:pPr>
            <w:r>
              <w:rPr>
                <w:rFonts w:hint="eastAsia"/>
                <w:color w:val="auto"/>
                <w:sz w:val="18"/>
                <w:szCs w:val="18"/>
                <w:lang w:eastAsia="zh-CN"/>
              </w:rPr>
              <w:t>2.成果提交单位内部自检，待成果满足A级评价后，再组织相关单位进行成果评价。</w:t>
            </w:r>
          </w:p>
          <w:p>
            <w:pPr>
              <w:pStyle w:val="480"/>
              <w:spacing w:line="360" w:lineRule="auto"/>
              <w:jc w:val="both"/>
              <w:rPr>
                <w:color w:val="auto"/>
                <w:sz w:val="18"/>
                <w:szCs w:val="18"/>
                <w:lang w:eastAsia="zh-CN"/>
              </w:rPr>
            </w:pPr>
            <w:r>
              <w:rPr>
                <w:rFonts w:hint="eastAsia"/>
                <w:color w:val="auto"/>
                <w:sz w:val="18"/>
                <w:szCs w:val="18"/>
                <w:lang w:eastAsia="zh-CN"/>
              </w:rPr>
              <w:t>3.经评价，成果满足要求，可开展项目交付及结算事宜。</w:t>
            </w:r>
          </w:p>
        </w:tc>
      </w:tr>
    </w:tbl>
    <w:p>
      <w:pPr>
        <w:spacing w:before="120" w:after="120"/>
        <w:rPr>
          <w:rFonts w:cs="宋体"/>
          <w:color w:val="auto"/>
        </w:rPr>
      </w:pPr>
    </w:p>
    <w:p>
      <w:pPr>
        <w:pStyle w:val="42"/>
        <w:spacing w:before="120" w:after="120"/>
        <w:ind w:firstLine="480"/>
        <w:rPr>
          <w:rFonts w:ascii="宋体" w:hAnsi="宋体" w:cs="宋体"/>
          <w:color w:val="auto"/>
          <w:sz w:val="24"/>
        </w:rPr>
      </w:pPr>
    </w:p>
    <w:p>
      <w:pPr>
        <w:pStyle w:val="42"/>
        <w:spacing w:before="120" w:after="120"/>
        <w:ind w:firstLine="480"/>
        <w:rPr>
          <w:rFonts w:ascii="宋体" w:hAnsi="宋体" w:cs="宋体"/>
          <w:color w:val="auto"/>
          <w:sz w:val="24"/>
        </w:rPr>
        <w:sectPr>
          <w:pgSz w:w="11910" w:h="16840"/>
          <w:pgMar w:top="1040" w:right="1020" w:bottom="1160" w:left="920" w:header="0" w:footer="973" w:gutter="0"/>
          <w:cols w:space="720" w:num="1"/>
        </w:sectPr>
      </w:pPr>
    </w:p>
    <w:p>
      <w:pPr>
        <w:pStyle w:val="583"/>
        <w:spacing w:before="240" w:after="240"/>
        <w:outlineLvl w:val="0"/>
        <w:rPr>
          <w:b w:val="0"/>
          <w:bCs/>
          <w:color w:val="auto"/>
        </w:rPr>
      </w:pPr>
      <w:bookmarkStart w:id="789" w:name="_bookmark37"/>
      <w:bookmarkEnd w:id="789"/>
      <w:bookmarkStart w:id="790" w:name="_bookmark35"/>
      <w:bookmarkEnd w:id="790"/>
      <w:bookmarkStart w:id="791" w:name="_bookmark36"/>
      <w:bookmarkEnd w:id="791"/>
      <w:bookmarkStart w:id="792" w:name="_Toc30775"/>
      <w:bookmarkStart w:id="793" w:name="_Toc23775"/>
      <w:bookmarkStart w:id="794" w:name="_Toc4885"/>
      <w:bookmarkStart w:id="795" w:name="_Toc10273"/>
      <w:bookmarkStart w:id="796" w:name="_Toc62460204"/>
      <w:r>
        <w:rPr>
          <w:b w:val="0"/>
          <w:bCs/>
          <w:color w:val="auto"/>
        </w:rPr>
        <w:t>协同平台要求</w:t>
      </w:r>
      <w:bookmarkEnd w:id="792"/>
      <w:bookmarkEnd w:id="793"/>
      <w:bookmarkEnd w:id="794"/>
      <w:bookmarkEnd w:id="795"/>
      <w:bookmarkEnd w:id="796"/>
    </w:p>
    <w:p>
      <w:pPr>
        <w:pStyle w:val="587"/>
        <w:numPr>
          <w:ilvl w:val="0"/>
          <w:numId w:val="0"/>
        </w:numPr>
        <w:spacing w:beforeLines="50" w:afterLines="50" w:line="360" w:lineRule="auto"/>
        <w:ind w:firstLine="420" w:firstLineChars="200"/>
        <w:jc w:val="both"/>
        <w:outlineLvl w:val="9"/>
        <w:rPr>
          <w:rFonts w:ascii="宋体" w:hAnsi="宋体" w:cs="宋体"/>
          <w:color w:val="auto"/>
          <w:sz w:val="18"/>
          <w:szCs w:val="18"/>
        </w:rPr>
      </w:pPr>
      <w:bookmarkStart w:id="797" w:name="_Toc6824"/>
      <w:bookmarkStart w:id="798" w:name="_Toc13434"/>
      <w:r>
        <w:rPr>
          <w:color w:val="auto"/>
        </w:rPr>
        <w:t>在</w:t>
      </w:r>
      <w:r>
        <w:rPr>
          <w:rFonts w:ascii="Times New Roman" w:hAnsi="Times New Roman" w:eastAsia="Times New Roman"/>
          <w:color w:val="auto"/>
          <w:spacing w:val="-2"/>
        </w:rPr>
        <w:t>BIM</w:t>
      </w:r>
      <w:r>
        <w:rPr>
          <w:color w:val="auto"/>
        </w:rPr>
        <w:t>协同工作中，通过公用的</w:t>
      </w:r>
      <w:r>
        <w:rPr>
          <w:rFonts w:ascii="Times New Roman" w:hAnsi="Times New Roman" w:eastAsia="Times New Roman"/>
          <w:color w:val="auto"/>
          <w:spacing w:val="-2"/>
        </w:rPr>
        <w:t>BIM</w:t>
      </w:r>
      <w:r>
        <w:rPr>
          <w:color w:val="auto"/>
        </w:rPr>
        <w:t>协同平台确保</w:t>
      </w:r>
      <w:r>
        <w:rPr>
          <w:rFonts w:ascii="Times New Roman" w:hAnsi="Times New Roman" w:eastAsia="Times New Roman"/>
          <w:color w:val="auto"/>
          <w:spacing w:val="-2"/>
        </w:rPr>
        <w:t>BIM</w:t>
      </w:r>
      <w:r>
        <w:rPr>
          <w:color w:val="auto"/>
        </w:rPr>
        <w:t>模型数据的统一性与准确性，提升</w:t>
      </w:r>
      <w:r>
        <w:rPr>
          <w:rFonts w:ascii="Times New Roman" w:hAnsi="Times New Roman" w:eastAsia="Times New Roman"/>
          <w:color w:val="auto"/>
          <w:spacing w:val="-2"/>
        </w:rPr>
        <w:t>BIM</w:t>
      </w:r>
      <w:r>
        <w:rPr>
          <w:color w:val="auto"/>
        </w:rPr>
        <w:t>模型数据</w:t>
      </w:r>
      <w:r>
        <w:rPr>
          <w:color w:val="auto"/>
          <w:szCs w:val="21"/>
        </w:rPr>
        <w:t>传输</w:t>
      </w:r>
      <w:r>
        <w:rPr>
          <w:color w:val="auto"/>
        </w:rPr>
        <w:t>效率及质量，提高各参与方协作效率，为工程项目的设计、施工、运营、维护提供数字化基础。</w:t>
      </w:r>
      <w:bookmarkEnd w:id="797"/>
      <w:bookmarkEnd w:id="798"/>
    </w:p>
    <w:p>
      <w:pPr>
        <w:pStyle w:val="585"/>
        <w:tabs>
          <w:tab w:val="left" w:pos="5424"/>
        </w:tabs>
        <w:spacing w:before="120" w:after="120" w:line="360" w:lineRule="auto"/>
        <w:ind w:left="0"/>
        <w:outlineLvl w:val="1"/>
        <w:rPr>
          <w:rFonts w:ascii="Times New Roman" w:hAnsi="Times New Roman" w:eastAsia="黑体"/>
          <w:b w:val="0"/>
          <w:bCs/>
          <w:color w:val="auto"/>
          <w:sz w:val="24"/>
          <w:szCs w:val="24"/>
        </w:rPr>
      </w:pPr>
      <w:bookmarkStart w:id="799" w:name="_Toc31570"/>
      <w:bookmarkStart w:id="800" w:name="_Toc18039"/>
      <w:bookmarkStart w:id="801" w:name="_Toc62460205"/>
      <w:bookmarkStart w:id="802" w:name="_Toc3135"/>
      <w:bookmarkStart w:id="803" w:name="_Toc28285"/>
      <w:r>
        <w:rPr>
          <w:rFonts w:ascii="Times New Roman" w:hAnsi="Times New Roman" w:eastAsia="黑体"/>
          <w:b w:val="0"/>
          <w:bCs/>
          <w:color w:val="auto"/>
          <w:sz w:val="24"/>
          <w:szCs w:val="24"/>
        </w:rPr>
        <w:t>BIM协同平台架构</w:t>
      </w:r>
      <w:bookmarkEnd w:id="799"/>
      <w:bookmarkEnd w:id="800"/>
      <w:bookmarkEnd w:id="801"/>
      <w:bookmarkEnd w:id="802"/>
      <w:bookmarkEnd w:id="803"/>
    </w:p>
    <w:p>
      <w:pPr>
        <w:pStyle w:val="587"/>
        <w:numPr>
          <w:ilvl w:val="0"/>
          <w:numId w:val="0"/>
        </w:numPr>
        <w:spacing w:beforeLines="50" w:afterLines="50" w:line="360" w:lineRule="auto"/>
        <w:ind w:firstLine="420" w:firstLineChars="200"/>
        <w:jc w:val="both"/>
        <w:outlineLvl w:val="9"/>
        <w:rPr>
          <w:color w:val="auto"/>
        </w:rPr>
      </w:pPr>
      <w:bookmarkStart w:id="804" w:name="_Toc23760"/>
      <w:bookmarkStart w:id="805" w:name="_Toc1123"/>
      <w:r>
        <w:rPr>
          <w:rFonts w:ascii="Times New Roman" w:hAnsi="Times New Roman" w:eastAsia="Times New Roman"/>
          <w:color w:val="auto"/>
        </w:rPr>
        <w:t>BIM</w:t>
      </w:r>
      <w:r>
        <w:rPr>
          <w:color w:val="auto"/>
        </w:rPr>
        <w:t>协同管理需要在一定的网络环境下实现项目各参与方对</w:t>
      </w:r>
      <w:r>
        <w:rPr>
          <w:rFonts w:ascii="Times New Roman" w:hAnsi="Times New Roman" w:eastAsia="Times New Roman"/>
          <w:color w:val="auto"/>
          <w:spacing w:val="2"/>
        </w:rPr>
        <w:t>BIM</w:t>
      </w:r>
      <w:r>
        <w:rPr>
          <w:color w:val="auto"/>
          <w:spacing w:val="2"/>
        </w:rPr>
        <w:t>文件及相关过程文档实</w:t>
      </w:r>
      <w:r>
        <w:rPr>
          <w:color w:val="auto"/>
        </w:rPr>
        <w:t>时或者定时操作。鉴于当前</w:t>
      </w:r>
      <w:r>
        <w:rPr>
          <w:color w:val="auto"/>
          <w:szCs w:val="21"/>
        </w:rPr>
        <w:t>互联网</w:t>
      </w:r>
      <w:r>
        <w:rPr>
          <w:color w:val="auto"/>
        </w:rPr>
        <w:t>带宽所限，借助互联网异地实时协同暂时难以实现。基于上述情况，建议采用搭建项目服务器方式，实现一定时间间隔同步</w:t>
      </w:r>
      <w:r>
        <w:rPr>
          <w:color w:val="auto"/>
          <w:szCs w:val="21"/>
        </w:rPr>
        <w:t>项目管理</w:t>
      </w:r>
      <w:r>
        <w:rPr>
          <w:color w:val="auto"/>
        </w:rPr>
        <w:t>平台数据的协同方式，项目管理单位则使用云端管理协同平台项目数据，协同平台搭建架构如下图所示。</w:t>
      </w:r>
      <w:bookmarkEnd w:id="804"/>
      <w:bookmarkEnd w:id="805"/>
    </w:p>
    <w:p>
      <w:pPr>
        <w:spacing w:before="120" w:after="120"/>
        <w:ind w:firstLine="100"/>
        <w:rPr>
          <w:rFonts w:cs="宋体"/>
          <w:color w:val="auto"/>
          <w:sz w:val="5"/>
          <w:szCs w:val="5"/>
        </w:rPr>
      </w:pPr>
    </w:p>
    <w:p>
      <w:pPr>
        <w:spacing w:before="120" w:after="120"/>
        <w:ind w:firstLine="480"/>
        <w:jc w:val="center"/>
        <w:rPr>
          <w:rFonts w:cs="宋体"/>
          <w:color w:val="auto"/>
          <w:sz w:val="20"/>
        </w:rPr>
      </w:pPr>
      <w:r>
        <w:rPr>
          <w:rFonts w:ascii="宋体" w:hAnsi="宋体"/>
          <w:color w:val="auto"/>
          <w:sz w:val="24"/>
        </w:rPr>
        <w:drawing>
          <wp:inline distT="0" distB="0" distL="114300" distR="114300">
            <wp:extent cx="5829300" cy="3419475"/>
            <wp:effectExtent l="0" t="0" r="12700" b="952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10"/>
                    <a:stretch>
                      <a:fillRect/>
                    </a:stretch>
                  </pic:blipFill>
                  <pic:spPr>
                    <a:xfrm>
                      <a:off x="0" y="0"/>
                      <a:ext cx="5829300" cy="3419475"/>
                    </a:xfrm>
                    <a:prstGeom prst="rect">
                      <a:avLst/>
                    </a:prstGeom>
                    <a:noFill/>
                    <a:ln>
                      <a:noFill/>
                    </a:ln>
                  </pic:spPr>
                </pic:pic>
              </a:graphicData>
            </a:graphic>
          </wp:inline>
        </w:drawing>
      </w:r>
    </w:p>
    <w:p>
      <w:pPr>
        <w:pStyle w:val="498"/>
        <w:spacing w:beforeLines="50" w:afterLines="50" w:line="360" w:lineRule="auto"/>
        <w:ind w:firstLine="360"/>
        <w:jc w:val="center"/>
        <w:rPr>
          <w:rFonts w:ascii="黑体" w:hAnsi="黑体" w:eastAsia="黑体" w:cs="黑体"/>
          <w:color w:val="auto"/>
          <w:sz w:val="18"/>
          <w:szCs w:val="18"/>
        </w:rPr>
      </w:pPr>
      <w:r>
        <w:rPr>
          <w:rFonts w:ascii="黑体" w:hAnsi="黑体" w:eastAsia="黑体" w:cs="黑体"/>
          <w:color w:val="auto"/>
          <w:sz w:val="18"/>
          <w:szCs w:val="18"/>
        </w:rPr>
        <w:t>图5.1  协同平台搭建架构</w:t>
      </w:r>
    </w:p>
    <w:p>
      <w:pPr>
        <w:pStyle w:val="585"/>
        <w:tabs>
          <w:tab w:val="left" w:pos="5424"/>
        </w:tabs>
        <w:spacing w:before="120" w:after="120" w:line="360" w:lineRule="auto"/>
        <w:ind w:left="0"/>
        <w:outlineLvl w:val="1"/>
        <w:rPr>
          <w:rFonts w:ascii="Times New Roman" w:hAnsi="Times New Roman" w:eastAsia="黑体"/>
          <w:b w:val="0"/>
          <w:bCs/>
          <w:color w:val="auto"/>
          <w:sz w:val="24"/>
          <w:szCs w:val="24"/>
        </w:rPr>
      </w:pPr>
      <w:bookmarkStart w:id="806" w:name="_Toc29783"/>
      <w:bookmarkStart w:id="807" w:name="_Toc62460206"/>
      <w:bookmarkStart w:id="808" w:name="_Toc11931"/>
      <w:bookmarkStart w:id="809" w:name="_Toc7678"/>
      <w:bookmarkStart w:id="810" w:name="_Toc18576"/>
      <w:r>
        <w:rPr>
          <w:rFonts w:ascii="Times New Roman" w:hAnsi="Times New Roman" w:eastAsia="黑体"/>
          <w:b w:val="0"/>
          <w:bCs/>
          <w:color w:val="auto"/>
          <w:sz w:val="24"/>
          <w:szCs w:val="24"/>
        </w:rPr>
        <w:t>协同平台的功能</w:t>
      </w:r>
      <w:bookmarkEnd w:id="806"/>
      <w:bookmarkEnd w:id="807"/>
      <w:bookmarkEnd w:id="808"/>
      <w:bookmarkEnd w:id="809"/>
      <w:bookmarkEnd w:id="810"/>
    </w:p>
    <w:p>
      <w:pPr>
        <w:pStyle w:val="587"/>
        <w:numPr>
          <w:ilvl w:val="0"/>
          <w:numId w:val="0"/>
        </w:numPr>
        <w:spacing w:beforeLines="50" w:afterLines="50" w:line="360" w:lineRule="auto"/>
        <w:ind w:firstLine="412" w:firstLineChars="200"/>
        <w:jc w:val="both"/>
        <w:outlineLvl w:val="9"/>
        <w:rPr>
          <w:color w:val="auto"/>
        </w:rPr>
      </w:pPr>
      <w:bookmarkStart w:id="811" w:name="_Toc17576"/>
      <w:bookmarkStart w:id="812" w:name="_Toc22325"/>
      <w:r>
        <w:rPr>
          <w:rFonts w:ascii="Times New Roman" w:hAnsi="Times New Roman" w:eastAsia="Times New Roman"/>
          <w:color w:val="auto"/>
          <w:spacing w:val="-2"/>
        </w:rPr>
        <w:t>BIM</w:t>
      </w:r>
      <w:r>
        <w:rPr>
          <w:color w:val="auto"/>
        </w:rPr>
        <w:t>项目</w:t>
      </w:r>
      <w:r>
        <w:rPr>
          <w:color w:val="auto"/>
          <w:szCs w:val="21"/>
        </w:rPr>
        <w:t>协同</w:t>
      </w:r>
      <w:r>
        <w:rPr>
          <w:color w:val="auto"/>
        </w:rPr>
        <w:t>平台应</w:t>
      </w:r>
      <w:r>
        <w:rPr>
          <w:color w:val="auto"/>
          <w:szCs w:val="21"/>
        </w:rPr>
        <w:t>具有</w:t>
      </w:r>
      <w:r>
        <w:rPr>
          <w:color w:val="auto"/>
        </w:rPr>
        <w:t>良好的兼容性，能够实现数据和信息的有效共享。具体实现功能如下：</w:t>
      </w:r>
      <w:bookmarkEnd w:id="811"/>
      <w:bookmarkEnd w:id="812"/>
    </w:p>
    <w:p>
      <w:pPr>
        <w:spacing w:before="120" w:after="120"/>
        <w:outlineLvl w:val="4"/>
        <w:rPr>
          <w:color w:val="auto"/>
        </w:rPr>
      </w:pPr>
      <w:bookmarkStart w:id="813" w:name="_Toc19269"/>
      <w:bookmarkStart w:id="814" w:name="_Toc23003"/>
      <w:r>
        <w:rPr>
          <w:rFonts w:eastAsia="Times New Roman"/>
          <w:color w:val="auto"/>
        </w:rPr>
        <w:t xml:space="preserve">1  </w:t>
      </w:r>
      <w:r>
        <w:rPr>
          <w:color w:val="auto"/>
        </w:rPr>
        <w:t>模型及文档管理</w:t>
      </w:r>
      <w:bookmarkEnd w:id="813"/>
      <w:bookmarkEnd w:id="814"/>
    </w:p>
    <w:p>
      <w:pPr>
        <w:pStyle w:val="587"/>
        <w:numPr>
          <w:ilvl w:val="0"/>
          <w:numId w:val="0"/>
        </w:numPr>
        <w:spacing w:beforeLines="50" w:afterLines="50" w:line="360" w:lineRule="auto"/>
        <w:ind w:firstLine="420" w:firstLineChars="200"/>
        <w:jc w:val="both"/>
        <w:outlineLvl w:val="9"/>
        <w:rPr>
          <w:color w:val="auto"/>
        </w:rPr>
      </w:pPr>
      <w:bookmarkStart w:id="815" w:name="_Toc17877"/>
      <w:bookmarkStart w:id="816" w:name="_Toc23539"/>
      <w:r>
        <w:rPr>
          <w:color w:val="auto"/>
        </w:rPr>
        <w:t>将利用</w:t>
      </w:r>
      <w:r>
        <w:rPr>
          <w:rFonts w:ascii="Times New Roman" w:hAnsi="Times New Roman" w:eastAsia="Times New Roman"/>
          <w:color w:val="auto"/>
          <w:spacing w:val="-2"/>
        </w:rPr>
        <w:t>BIM</w:t>
      </w:r>
      <w:r>
        <w:rPr>
          <w:color w:val="auto"/>
          <w:spacing w:val="-6"/>
        </w:rPr>
        <w:t>模型发现的问题进行分类、统计，并做出相关分析；支持模型上传下载功能，</w:t>
      </w:r>
      <w:r>
        <w:rPr>
          <w:color w:val="auto"/>
        </w:rPr>
        <w:t>支持图纸的存放管理，支持文件更新改动自动通知及显示。</w:t>
      </w:r>
      <w:bookmarkEnd w:id="815"/>
      <w:bookmarkEnd w:id="816"/>
    </w:p>
    <w:p>
      <w:pPr>
        <w:spacing w:before="120" w:after="120"/>
        <w:outlineLvl w:val="4"/>
        <w:rPr>
          <w:rFonts w:eastAsia="Times New Roman"/>
          <w:color w:val="auto"/>
        </w:rPr>
      </w:pPr>
      <w:bookmarkStart w:id="817" w:name="_Toc1302"/>
      <w:bookmarkStart w:id="818" w:name="_Toc15562"/>
      <w:r>
        <w:rPr>
          <w:rFonts w:eastAsia="Times New Roman"/>
          <w:color w:val="auto"/>
        </w:rPr>
        <w:t xml:space="preserve">2  </w:t>
      </w:r>
      <w:r>
        <w:rPr>
          <w:rFonts w:hint="eastAsia" w:cs="宋体"/>
          <w:color w:val="auto"/>
        </w:rPr>
        <w:t>各参与单位信息交互及权限管理</w:t>
      </w:r>
      <w:bookmarkEnd w:id="817"/>
      <w:bookmarkEnd w:id="818"/>
    </w:p>
    <w:p>
      <w:pPr>
        <w:pStyle w:val="587"/>
        <w:numPr>
          <w:ilvl w:val="0"/>
          <w:numId w:val="0"/>
        </w:numPr>
        <w:spacing w:beforeLines="50" w:afterLines="50" w:line="360" w:lineRule="auto"/>
        <w:ind w:firstLine="420" w:firstLineChars="200"/>
        <w:jc w:val="both"/>
        <w:outlineLvl w:val="9"/>
        <w:rPr>
          <w:color w:val="auto"/>
        </w:rPr>
      </w:pPr>
      <w:bookmarkStart w:id="819" w:name="_bookmark38"/>
      <w:bookmarkEnd w:id="819"/>
      <w:bookmarkStart w:id="820" w:name="_Toc8276"/>
      <w:bookmarkStart w:id="821" w:name="_Toc24822"/>
      <w:r>
        <w:rPr>
          <w:color w:val="auto"/>
        </w:rPr>
        <w:t>集合各参与单位资料信息，支持各参与单位访问权限设定。</w:t>
      </w:r>
      <w:bookmarkEnd w:id="820"/>
      <w:bookmarkEnd w:id="821"/>
    </w:p>
    <w:p>
      <w:pPr>
        <w:spacing w:before="120" w:after="120"/>
        <w:outlineLvl w:val="4"/>
        <w:rPr>
          <w:rFonts w:eastAsia="Times New Roman"/>
          <w:color w:val="auto"/>
        </w:rPr>
      </w:pPr>
      <w:bookmarkStart w:id="822" w:name="_Toc22237"/>
      <w:bookmarkStart w:id="823" w:name="_Toc26485"/>
      <w:r>
        <w:rPr>
          <w:rFonts w:eastAsia="Times New Roman"/>
          <w:color w:val="auto"/>
        </w:rPr>
        <w:t xml:space="preserve">3  </w:t>
      </w:r>
      <w:r>
        <w:rPr>
          <w:rFonts w:hint="eastAsia" w:cs="宋体"/>
          <w:color w:val="auto"/>
        </w:rPr>
        <w:t>模型信息全面提取</w:t>
      </w:r>
      <w:bookmarkEnd w:id="822"/>
      <w:bookmarkEnd w:id="823"/>
    </w:p>
    <w:p>
      <w:pPr>
        <w:pStyle w:val="587"/>
        <w:numPr>
          <w:ilvl w:val="0"/>
          <w:numId w:val="0"/>
        </w:numPr>
        <w:spacing w:beforeLines="50" w:afterLines="50" w:line="360" w:lineRule="auto"/>
        <w:ind w:firstLine="420" w:firstLineChars="200"/>
        <w:jc w:val="both"/>
        <w:outlineLvl w:val="9"/>
        <w:rPr>
          <w:rFonts w:ascii="宋体" w:hAnsi="宋体" w:cs="宋体"/>
          <w:color w:val="auto"/>
          <w:sz w:val="6"/>
          <w:szCs w:val="6"/>
        </w:rPr>
      </w:pPr>
      <w:bookmarkStart w:id="824" w:name="_Toc5441"/>
      <w:bookmarkStart w:id="825" w:name="_Toc28931"/>
      <w:r>
        <w:rPr>
          <w:color w:val="auto"/>
        </w:rPr>
        <w:t>集成</w:t>
      </w:r>
      <w:r>
        <w:rPr>
          <w:rFonts w:ascii="Times New Roman" w:hAnsi="Times New Roman" w:eastAsia="Times New Roman"/>
          <w:color w:val="auto"/>
          <w:spacing w:val="-2"/>
        </w:rPr>
        <w:t>BIM</w:t>
      </w:r>
      <w:r>
        <w:rPr>
          <w:color w:val="auto"/>
        </w:rPr>
        <w:t>模型所</w:t>
      </w:r>
      <w:r>
        <w:rPr>
          <w:color w:val="auto"/>
          <w:szCs w:val="21"/>
        </w:rPr>
        <w:t>包含</w:t>
      </w:r>
      <w:r>
        <w:rPr>
          <w:color w:val="auto"/>
        </w:rPr>
        <w:t>的各项信息（</w:t>
      </w:r>
      <w:r>
        <w:rPr>
          <w:rFonts w:ascii="Times New Roman" w:hAnsi="Times New Roman" w:eastAsia="Times New Roman"/>
          <w:color w:val="auto"/>
        </w:rPr>
        <w:t>BIM</w:t>
      </w:r>
      <w:r>
        <w:rPr>
          <w:color w:val="auto"/>
          <w:spacing w:val="-4"/>
        </w:rPr>
        <w:t>软件包含的所有信息），包括修改记录、专项模</w:t>
      </w:r>
      <w:r>
        <w:rPr>
          <w:color w:val="auto"/>
        </w:rPr>
        <w:t>型信息、分析报告、变更信息、模型信息可视化、模型信息可分类统计、模型信息可批量输出等。</w:t>
      </w:r>
      <w:bookmarkEnd w:id="824"/>
      <w:bookmarkEnd w:id="825"/>
    </w:p>
    <w:p>
      <w:pPr>
        <w:spacing w:before="120" w:after="120"/>
        <w:outlineLvl w:val="4"/>
        <w:rPr>
          <w:rFonts w:eastAsia="Times New Roman"/>
          <w:color w:val="auto"/>
        </w:rPr>
      </w:pPr>
      <w:bookmarkStart w:id="826" w:name="_Toc23284"/>
      <w:bookmarkStart w:id="827" w:name="_Toc953"/>
      <w:r>
        <w:rPr>
          <w:rFonts w:eastAsia="Times New Roman"/>
          <w:color w:val="auto"/>
        </w:rPr>
        <w:t>4  BIM</w:t>
      </w:r>
      <w:r>
        <w:rPr>
          <w:rFonts w:hint="eastAsia" w:cs="宋体"/>
          <w:color w:val="auto"/>
        </w:rPr>
        <w:t>模型操控</w:t>
      </w:r>
      <w:bookmarkEnd w:id="826"/>
      <w:bookmarkEnd w:id="827"/>
    </w:p>
    <w:p>
      <w:pPr>
        <w:spacing w:before="120" w:after="120"/>
        <w:ind w:firstLine="840" w:firstLineChars="400"/>
        <w:rPr>
          <w:color w:val="auto"/>
        </w:rPr>
      </w:pPr>
      <w:r>
        <w:rPr>
          <w:rFonts w:hint="eastAsia"/>
          <w:color w:val="auto"/>
        </w:rPr>
        <w:t>1）</w:t>
      </w:r>
      <w:r>
        <w:rPr>
          <w:color w:val="auto"/>
        </w:rPr>
        <w:t>支持轻量化模型（可在普通办公用的计算机上流畅运行）并对分专业模型进行管理；</w:t>
      </w:r>
    </w:p>
    <w:p>
      <w:pPr>
        <w:spacing w:before="120" w:after="120"/>
        <w:ind w:firstLine="840" w:firstLineChars="400"/>
        <w:rPr>
          <w:color w:val="auto"/>
        </w:rPr>
      </w:pPr>
      <w:r>
        <w:rPr>
          <w:color w:val="auto"/>
        </w:rPr>
        <w:t>2</w:t>
      </w:r>
      <w:r>
        <w:rPr>
          <w:rFonts w:hint="eastAsia"/>
          <w:color w:val="auto"/>
        </w:rPr>
        <w:t>）</w:t>
      </w:r>
      <w:r>
        <w:rPr>
          <w:color w:val="auto"/>
        </w:rPr>
        <w:t>支持长度、面积、</w:t>
      </w:r>
      <w:r>
        <w:rPr>
          <w:color w:val="auto"/>
          <w:szCs w:val="21"/>
        </w:rPr>
        <w:t>体积</w:t>
      </w:r>
      <w:r>
        <w:rPr>
          <w:color w:val="auto"/>
        </w:rPr>
        <w:t>等测量，</w:t>
      </w:r>
      <w:r>
        <w:rPr>
          <w:rFonts w:hint="eastAsia"/>
          <w:color w:val="auto"/>
        </w:rPr>
        <w:t>对</w:t>
      </w:r>
      <w:r>
        <w:rPr>
          <w:color w:val="auto"/>
        </w:rPr>
        <w:t>模型任意位置的剖切</w:t>
      </w:r>
      <w:r>
        <w:rPr>
          <w:rFonts w:hint="eastAsia"/>
          <w:color w:val="auto"/>
        </w:rPr>
        <w:t>和</w:t>
      </w:r>
      <w:r>
        <w:rPr>
          <w:color w:val="auto"/>
        </w:rPr>
        <w:t>观察；</w:t>
      </w:r>
    </w:p>
    <w:p>
      <w:pPr>
        <w:spacing w:before="120" w:after="120"/>
        <w:ind w:firstLine="840" w:firstLineChars="400"/>
        <w:rPr>
          <w:color w:val="auto"/>
        </w:rPr>
      </w:pPr>
      <w:r>
        <w:rPr>
          <w:color w:val="auto"/>
        </w:rPr>
        <w:t>3</w:t>
      </w:r>
      <w:r>
        <w:rPr>
          <w:rFonts w:hint="eastAsia"/>
          <w:color w:val="auto"/>
        </w:rPr>
        <w:t>）</w:t>
      </w:r>
      <w:r>
        <w:rPr>
          <w:color w:val="auto"/>
        </w:rPr>
        <w:t>支持模型的组合装配，</w:t>
      </w:r>
      <w:r>
        <w:rPr>
          <w:color w:val="auto"/>
          <w:szCs w:val="21"/>
        </w:rPr>
        <w:t>预留</w:t>
      </w:r>
      <w:r>
        <w:rPr>
          <w:color w:val="auto"/>
        </w:rPr>
        <w:t>视点进行定点浏览模型等功能。</w:t>
      </w:r>
    </w:p>
    <w:p>
      <w:pPr>
        <w:spacing w:before="120" w:after="120"/>
        <w:outlineLvl w:val="4"/>
        <w:rPr>
          <w:rFonts w:cs="宋体"/>
          <w:color w:val="auto"/>
        </w:rPr>
      </w:pPr>
      <w:bookmarkStart w:id="828" w:name="_Toc23960"/>
      <w:bookmarkStart w:id="829" w:name="_Toc24325"/>
      <w:r>
        <w:rPr>
          <w:rFonts w:eastAsia="Times New Roman"/>
          <w:color w:val="auto"/>
        </w:rPr>
        <w:t xml:space="preserve">5  </w:t>
      </w:r>
      <w:r>
        <w:rPr>
          <w:rFonts w:hint="eastAsia" w:cs="宋体"/>
          <w:color w:val="auto"/>
        </w:rPr>
        <w:t>平台接口统一完整</w:t>
      </w:r>
      <w:bookmarkEnd w:id="828"/>
      <w:bookmarkEnd w:id="829"/>
    </w:p>
    <w:p>
      <w:pPr>
        <w:pStyle w:val="587"/>
        <w:numPr>
          <w:ilvl w:val="0"/>
          <w:numId w:val="0"/>
        </w:numPr>
        <w:spacing w:beforeLines="50" w:afterLines="50" w:line="360" w:lineRule="auto"/>
        <w:ind w:firstLine="420" w:firstLineChars="200"/>
        <w:jc w:val="both"/>
        <w:outlineLvl w:val="9"/>
        <w:rPr>
          <w:rFonts w:eastAsia="Times New Roman"/>
          <w:color w:val="auto"/>
        </w:rPr>
      </w:pPr>
      <w:bookmarkStart w:id="830" w:name="_Toc14739"/>
      <w:bookmarkStart w:id="831" w:name="_Toc19482"/>
      <w:r>
        <w:rPr>
          <w:rFonts w:hint="eastAsia" w:ascii="宋体" w:hAnsi="宋体" w:cs="宋体"/>
          <w:color w:val="auto"/>
        </w:rPr>
        <w:t>具有浏览器等软件完整</w:t>
      </w:r>
      <w:r>
        <w:rPr>
          <w:rFonts w:hint="eastAsia" w:ascii="宋体" w:hAnsi="宋体" w:cs="宋体"/>
          <w:color w:val="auto"/>
          <w:szCs w:val="24"/>
        </w:rPr>
        <w:t>接口</w:t>
      </w:r>
      <w:r>
        <w:rPr>
          <w:rFonts w:hint="eastAsia" w:ascii="宋体" w:hAnsi="宋体" w:cs="宋体"/>
          <w:color w:val="auto"/>
        </w:rPr>
        <w:t>。</w:t>
      </w:r>
      <w:bookmarkEnd w:id="830"/>
      <w:bookmarkEnd w:id="831"/>
    </w:p>
    <w:p>
      <w:pPr>
        <w:spacing w:before="120" w:after="120"/>
        <w:outlineLvl w:val="4"/>
        <w:rPr>
          <w:rFonts w:eastAsia="Times New Roman"/>
          <w:color w:val="auto"/>
        </w:rPr>
      </w:pPr>
      <w:bookmarkStart w:id="832" w:name="_Toc7303"/>
      <w:bookmarkStart w:id="833" w:name="_Toc7221"/>
      <w:r>
        <w:rPr>
          <w:rFonts w:hint="eastAsia" w:eastAsia="Times New Roman"/>
          <w:color w:val="auto"/>
        </w:rPr>
        <w:t>6</w:t>
      </w:r>
      <w:r>
        <w:rPr>
          <w:rFonts w:eastAsia="Times New Roman"/>
          <w:color w:val="auto"/>
        </w:rPr>
        <w:t xml:space="preserve">  BIM</w:t>
      </w:r>
      <w:r>
        <w:rPr>
          <w:rFonts w:hint="eastAsia" w:cs="宋体"/>
          <w:color w:val="auto"/>
        </w:rPr>
        <w:t>成果应用</w:t>
      </w:r>
      <w:bookmarkEnd w:id="832"/>
      <w:bookmarkEnd w:id="833"/>
    </w:p>
    <w:p>
      <w:pPr>
        <w:pStyle w:val="587"/>
        <w:numPr>
          <w:ilvl w:val="0"/>
          <w:numId w:val="0"/>
        </w:numPr>
        <w:spacing w:beforeLines="50" w:afterLines="50" w:line="360" w:lineRule="auto"/>
        <w:ind w:firstLine="420" w:firstLineChars="200"/>
        <w:jc w:val="both"/>
        <w:outlineLvl w:val="9"/>
        <w:rPr>
          <w:color w:val="auto"/>
        </w:rPr>
      </w:pPr>
      <w:bookmarkStart w:id="834" w:name="_Toc7233"/>
      <w:bookmarkStart w:id="835" w:name="_Toc13296"/>
      <w:r>
        <w:rPr>
          <w:color w:val="auto"/>
        </w:rPr>
        <w:t>可对</w:t>
      </w:r>
      <w:r>
        <w:rPr>
          <w:rFonts w:ascii="Times New Roman" w:hAnsi="Times New Roman" w:eastAsia="Times New Roman"/>
          <w:color w:val="auto"/>
          <w:spacing w:val="-2"/>
        </w:rPr>
        <w:t>BIM</w:t>
      </w:r>
      <w:r>
        <w:rPr>
          <w:color w:val="auto"/>
        </w:rPr>
        <w:t>成果进行浏览，输出批注、量度尺寸、构件的详细信息、工程量、漫游及模拟动画等</w:t>
      </w:r>
      <w:r>
        <w:rPr>
          <w:rFonts w:ascii="Times New Roman" w:hAnsi="Times New Roman" w:eastAsia="Times New Roman"/>
          <w:color w:val="auto"/>
          <w:spacing w:val="-2"/>
        </w:rPr>
        <w:t>BIM</w:t>
      </w:r>
      <w:r>
        <w:rPr>
          <w:color w:val="auto"/>
        </w:rPr>
        <w:t>成果。</w:t>
      </w:r>
      <w:bookmarkEnd w:id="834"/>
      <w:bookmarkEnd w:id="835"/>
    </w:p>
    <w:p>
      <w:pPr>
        <w:spacing w:before="120" w:after="120"/>
        <w:outlineLvl w:val="4"/>
        <w:rPr>
          <w:color w:val="auto"/>
        </w:rPr>
      </w:pPr>
      <w:bookmarkStart w:id="836" w:name="_Toc32285"/>
      <w:bookmarkStart w:id="837" w:name="_Toc26543"/>
      <w:r>
        <w:rPr>
          <w:rFonts w:eastAsia="Times New Roman"/>
          <w:color w:val="auto"/>
        </w:rPr>
        <w:t xml:space="preserve">7  </w:t>
      </w:r>
      <w:r>
        <w:rPr>
          <w:color w:val="auto"/>
        </w:rPr>
        <w:t>配备手机、平板电脑客户端</w:t>
      </w:r>
      <w:bookmarkEnd w:id="836"/>
      <w:bookmarkEnd w:id="837"/>
    </w:p>
    <w:p>
      <w:pPr>
        <w:pStyle w:val="587"/>
        <w:numPr>
          <w:ilvl w:val="0"/>
          <w:numId w:val="0"/>
        </w:numPr>
        <w:spacing w:beforeLines="50" w:afterLines="50" w:line="360" w:lineRule="auto"/>
        <w:ind w:firstLine="420" w:firstLineChars="200"/>
        <w:jc w:val="both"/>
        <w:outlineLvl w:val="9"/>
        <w:rPr>
          <w:rFonts w:ascii="宋体" w:hAnsi="宋体" w:cs="宋体"/>
          <w:color w:val="auto"/>
          <w:sz w:val="18"/>
          <w:szCs w:val="18"/>
        </w:rPr>
      </w:pPr>
      <w:bookmarkStart w:id="838" w:name="_Toc3232"/>
      <w:bookmarkStart w:id="839" w:name="_Toc15051"/>
      <w:r>
        <w:rPr>
          <w:color w:val="auto"/>
        </w:rPr>
        <w:t>可在手机、平板电脑等移动客户端实现上述查询功能。</w:t>
      </w:r>
      <w:bookmarkEnd w:id="838"/>
      <w:bookmarkEnd w:id="839"/>
    </w:p>
    <w:p>
      <w:pPr>
        <w:pStyle w:val="585"/>
        <w:tabs>
          <w:tab w:val="left" w:pos="5424"/>
        </w:tabs>
        <w:spacing w:before="120" w:after="120" w:line="360" w:lineRule="auto"/>
        <w:ind w:left="0"/>
        <w:outlineLvl w:val="1"/>
        <w:rPr>
          <w:rFonts w:ascii="Times New Roman" w:hAnsi="Times New Roman" w:eastAsia="黑体"/>
          <w:b w:val="0"/>
          <w:bCs/>
          <w:color w:val="auto"/>
          <w:sz w:val="24"/>
          <w:szCs w:val="24"/>
        </w:rPr>
      </w:pPr>
      <w:bookmarkStart w:id="840" w:name="_Toc62460207"/>
      <w:bookmarkStart w:id="841" w:name="_Toc2638"/>
      <w:bookmarkStart w:id="842" w:name="_Toc3533"/>
      <w:bookmarkStart w:id="843" w:name="_Toc11747"/>
      <w:bookmarkStart w:id="844" w:name="_Toc28223"/>
      <w:r>
        <w:rPr>
          <w:rFonts w:ascii="Times New Roman" w:hAnsi="Times New Roman" w:eastAsia="黑体"/>
          <w:b w:val="0"/>
          <w:bCs/>
          <w:color w:val="auto"/>
          <w:sz w:val="24"/>
          <w:szCs w:val="24"/>
        </w:rPr>
        <w:t>各参与方协同工作职责与工作内容</w:t>
      </w:r>
      <w:bookmarkEnd w:id="840"/>
      <w:bookmarkEnd w:id="841"/>
      <w:bookmarkEnd w:id="842"/>
      <w:bookmarkEnd w:id="843"/>
      <w:bookmarkEnd w:id="844"/>
    </w:p>
    <w:p>
      <w:pPr>
        <w:pStyle w:val="587"/>
        <w:numPr>
          <w:ilvl w:val="2"/>
          <w:numId w:val="3"/>
        </w:numPr>
        <w:spacing w:beforeLines="50" w:afterLines="50" w:line="360" w:lineRule="auto"/>
        <w:outlineLvl w:val="3"/>
        <w:rPr>
          <w:rFonts w:ascii="LNUHNF+SimSun" w:hAnsi="LNUHNF+SimSun" w:cs="宋体"/>
          <w:color w:val="auto"/>
          <w:szCs w:val="21"/>
        </w:rPr>
      </w:pPr>
      <w:bookmarkStart w:id="845" w:name="_Toc10647"/>
      <w:bookmarkStart w:id="846" w:name="_Toc1333"/>
      <w:r>
        <w:rPr>
          <w:rFonts w:ascii="LNUHNF+SimSun" w:hAnsi="LNUHNF+SimSun" w:cs="宋体"/>
          <w:color w:val="auto"/>
          <w:szCs w:val="21"/>
        </w:rPr>
        <w:t>平台提供单位</w:t>
      </w:r>
      <w:bookmarkEnd w:id="845"/>
      <w:bookmarkEnd w:id="846"/>
    </w:p>
    <w:p>
      <w:pPr>
        <w:spacing w:before="120" w:after="120"/>
        <w:outlineLvl w:val="4"/>
        <w:rPr>
          <w:color w:val="auto"/>
        </w:rPr>
      </w:pPr>
      <w:bookmarkStart w:id="847" w:name="_Toc19549"/>
      <w:bookmarkStart w:id="848" w:name="_Toc18430"/>
      <w:r>
        <w:rPr>
          <w:rFonts w:eastAsia="Times New Roman"/>
          <w:color w:val="auto"/>
        </w:rPr>
        <w:t xml:space="preserve">1  </w:t>
      </w:r>
      <w:r>
        <w:rPr>
          <w:color w:val="auto"/>
        </w:rPr>
        <w:t>参与单位</w:t>
      </w:r>
      <w:bookmarkEnd w:id="847"/>
      <w:bookmarkEnd w:id="848"/>
    </w:p>
    <w:p>
      <w:pPr>
        <w:pStyle w:val="587"/>
        <w:numPr>
          <w:ilvl w:val="0"/>
          <w:numId w:val="0"/>
        </w:numPr>
        <w:spacing w:beforeLines="50" w:afterLines="50" w:line="360" w:lineRule="auto"/>
        <w:ind w:firstLine="420" w:firstLineChars="200"/>
        <w:jc w:val="both"/>
        <w:outlineLvl w:val="9"/>
        <w:rPr>
          <w:color w:val="auto"/>
        </w:rPr>
      </w:pPr>
      <w:bookmarkStart w:id="849" w:name="_Toc18154"/>
      <w:bookmarkStart w:id="850" w:name="_Toc21568"/>
      <w:r>
        <w:rPr>
          <w:color w:val="auto"/>
        </w:rPr>
        <w:t>代建局指定的平台服务单位。</w:t>
      </w:r>
      <w:bookmarkEnd w:id="849"/>
      <w:bookmarkEnd w:id="850"/>
    </w:p>
    <w:p>
      <w:pPr>
        <w:spacing w:before="120" w:after="120"/>
        <w:outlineLvl w:val="4"/>
        <w:rPr>
          <w:color w:val="auto"/>
        </w:rPr>
      </w:pPr>
      <w:bookmarkStart w:id="851" w:name="_Toc21941"/>
      <w:bookmarkStart w:id="852" w:name="_Toc28019"/>
      <w:r>
        <w:rPr>
          <w:rFonts w:eastAsia="Times New Roman"/>
          <w:color w:val="auto"/>
        </w:rPr>
        <w:t xml:space="preserve">2  </w:t>
      </w:r>
      <w:r>
        <w:rPr>
          <w:color w:val="auto"/>
        </w:rPr>
        <w:t>工作</w:t>
      </w:r>
      <w:r>
        <w:rPr>
          <w:rFonts w:hint="eastAsia" w:cs="宋体"/>
          <w:color w:val="auto"/>
        </w:rPr>
        <w:t>职责</w:t>
      </w:r>
      <w:bookmarkEnd w:id="851"/>
      <w:bookmarkEnd w:id="852"/>
    </w:p>
    <w:p>
      <w:pPr>
        <w:spacing w:before="120" w:after="120"/>
        <w:ind w:firstLine="840" w:firstLineChars="400"/>
        <w:rPr>
          <w:color w:val="auto"/>
          <w:szCs w:val="21"/>
        </w:rPr>
      </w:pPr>
      <w:r>
        <w:rPr>
          <w:color w:val="auto"/>
          <w:szCs w:val="21"/>
        </w:rPr>
        <w:t>1）根据代建局需求与项目特点提供项目BIM协同平台的分区位置及平台容量，搭建一个高效稳定的BIM协同平台供各参与方使用；</w:t>
      </w:r>
    </w:p>
    <w:p>
      <w:pPr>
        <w:spacing w:before="120" w:after="120"/>
        <w:ind w:firstLine="840" w:firstLineChars="400"/>
        <w:rPr>
          <w:color w:val="auto"/>
          <w:szCs w:val="21"/>
        </w:rPr>
      </w:pPr>
      <w:r>
        <w:rPr>
          <w:color w:val="auto"/>
          <w:szCs w:val="21"/>
        </w:rPr>
        <w:t>2）解决各参与方在平台上工作所出现的问题；</w:t>
      </w:r>
    </w:p>
    <w:p>
      <w:pPr>
        <w:spacing w:before="120" w:after="120"/>
        <w:ind w:firstLine="840" w:firstLineChars="400"/>
        <w:rPr>
          <w:color w:val="auto"/>
          <w:szCs w:val="21"/>
        </w:rPr>
      </w:pPr>
      <w:r>
        <w:rPr>
          <w:color w:val="auto"/>
          <w:szCs w:val="21"/>
        </w:rPr>
        <w:t>3）根据用户需求优化平台功能。</w:t>
      </w:r>
    </w:p>
    <w:p>
      <w:pPr>
        <w:pStyle w:val="587"/>
        <w:numPr>
          <w:ilvl w:val="2"/>
          <w:numId w:val="3"/>
        </w:numPr>
        <w:spacing w:beforeLines="50" w:afterLines="50" w:line="360" w:lineRule="auto"/>
        <w:outlineLvl w:val="3"/>
        <w:rPr>
          <w:rFonts w:ascii="LNUHNF+SimSun" w:hAnsi="LNUHNF+SimSun" w:cs="宋体"/>
          <w:color w:val="auto"/>
          <w:szCs w:val="21"/>
        </w:rPr>
      </w:pPr>
      <w:bookmarkStart w:id="853" w:name="_Toc12901"/>
      <w:bookmarkStart w:id="854" w:name="_Toc15069"/>
      <w:r>
        <w:rPr>
          <w:rFonts w:ascii="LNUHNF+SimSun" w:hAnsi="LNUHNF+SimSun" w:cs="宋体"/>
          <w:color w:val="auto"/>
          <w:szCs w:val="21"/>
        </w:rPr>
        <w:t>平台管理单位</w:t>
      </w:r>
      <w:bookmarkEnd w:id="853"/>
      <w:bookmarkEnd w:id="854"/>
    </w:p>
    <w:p>
      <w:pPr>
        <w:spacing w:before="120" w:after="120"/>
        <w:outlineLvl w:val="4"/>
        <w:rPr>
          <w:color w:val="auto"/>
        </w:rPr>
      </w:pPr>
      <w:bookmarkStart w:id="855" w:name="_Toc20158"/>
      <w:bookmarkStart w:id="856" w:name="_Toc13274"/>
      <w:r>
        <w:rPr>
          <w:rFonts w:eastAsia="Times New Roman"/>
          <w:color w:val="auto"/>
        </w:rPr>
        <w:t xml:space="preserve">1  </w:t>
      </w:r>
      <w:r>
        <w:rPr>
          <w:color w:val="auto"/>
        </w:rPr>
        <w:t>参与单位</w:t>
      </w:r>
      <w:bookmarkEnd w:id="855"/>
      <w:bookmarkEnd w:id="856"/>
    </w:p>
    <w:p>
      <w:pPr>
        <w:pStyle w:val="587"/>
        <w:numPr>
          <w:ilvl w:val="0"/>
          <w:numId w:val="0"/>
        </w:numPr>
        <w:spacing w:beforeLines="50" w:afterLines="50" w:line="360" w:lineRule="auto"/>
        <w:ind w:firstLine="412" w:firstLineChars="200"/>
        <w:jc w:val="both"/>
        <w:outlineLvl w:val="9"/>
        <w:rPr>
          <w:color w:val="auto"/>
        </w:rPr>
      </w:pPr>
      <w:bookmarkStart w:id="857" w:name="_Toc30944"/>
      <w:bookmarkStart w:id="858" w:name="_Toc8495"/>
      <w:r>
        <w:rPr>
          <w:rFonts w:ascii="Times New Roman" w:hAnsi="Times New Roman" w:eastAsia="Times New Roman"/>
          <w:color w:val="auto"/>
          <w:spacing w:val="-2"/>
        </w:rPr>
        <w:t>BIM</w:t>
      </w:r>
      <w:r>
        <w:rPr>
          <w:color w:val="auto"/>
        </w:rPr>
        <w:t>总协调方</w:t>
      </w:r>
      <w:r>
        <w:rPr>
          <w:rFonts w:hint="eastAsia"/>
          <w:color w:val="auto"/>
        </w:rPr>
        <w:t>。</w:t>
      </w:r>
      <w:bookmarkEnd w:id="857"/>
      <w:bookmarkEnd w:id="858"/>
    </w:p>
    <w:p>
      <w:pPr>
        <w:spacing w:before="120" w:after="120"/>
        <w:outlineLvl w:val="4"/>
        <w:rPr>
          <w:color w:val="auto"/>
        </w:rPr>
      </w:pPr>
      <w:bookmarkStart w:id="859" w:name="_Toc24013"/>
      <w:bookmarkStart w:id="860" w:name="_Toc14409"/>
      <w:r>
        <w:rPr>
          <w:rFonts w:eastAsia="Times New Roman"/>
          <w:color w:val="auto"/>
        </w:rPr>
        <w:t xml:space="preserve">2  </w:t>
      </w:r>
      <w:r>
        <w:rPr>
          <w:color w:val="auto"/>
        </w:rPr>
        <w:t>工作职责</w:t>
      </w:r>
      <w:bookmarkEnd w:id="859"/>
      <w:bookmarkEnd w:id="860"/>
    </w:p>
    <w:p>
      <w:pPr>
        <w:spacing w:before="120" w:after="120"/>
        <w:ind w:firstLine="840" w:firstLineChars="400"/>
        <w:rPr>
          <w:color w:val="auto"/>
          <w:szCs w:val="21"/>
        </w:rPr>
      </w:pPr>
      <w:r>
        <w:rPr>
          <w:color w:val="auto"/>
          <w:szCs w:val="21"/>
        </w:rPr>
        <w:t>1）建立平台文件架构、申请项目平台权限及容量；</w:t>
      </w:r>
    </w:p>
    <w:p>
      <w:pPr>
        <w:spacing w:before="120" w:after="120"/>
        <w:ind w:firstLine="840" w:firstLineChars="400"/>
        <w:rPr>
          <w:color w:val="auto"/>
          <w:szCs w:val="21"/>
        </w:rPr>
      </w:pPr>
      <w:r>
        <w:rPr>
          <w:color w:val="auto"/>
          <w:szCs w:val="21"/>
        </w:rPr>
        <w:t>2）对平台使用方的权限进行管理及分配；</w:t>
      </w:r>
    </w:p>
    <w:p>
      <w:pPr>
        <w:spacing w:before="120" w:after="120"/>
        <w:ind w:firstLine="840" w:firstLineChars="400"/>
        <w:rPr>
          <w:color w:val="auto"/>
          <w:szCs w:val="21"/>
        </w:rPr>
      </w:pPr>
      <w:r>
        <w:rPr>
          <w:color w:val="auto"/>
          <w:szCs w:val="21"/>
        </w:rPr>
        <w:t>3）分阶段审核、定期备份、清理归档BIM成果；</w:t>
      </w:r>
    </w:p>
    <w:p>
      <w:pPr>
        <w:spacing w:before="120" w:after="120"/>
        <w:ind w:firstLine="840" w:firstLineChars="400"/>
        <w:rPr>
          <w:color w:val="auto"/>
          <w:szCs w:val="21"/>
        </w:rPr>
      </w:pPr>
      <w:r>
        <w:rPr>
          <w:color w:val="auto"/>
          <w:szCs w:val="21"/>
        </w:rPr>
        <w:t>4）对使用单位的BIM成果进行有效性检查，确保模型和项目实际工作同步进行。</w:t>
      </w:r>
    </w:p>
    <w:p>
      <w:pPr>
        <w:pStyle w:val="587"/>
        <w:numPr>
          <w:ilvl w:val="2"/>
          <w:numId w:val="3"/>
        </w:numPr>
        <w:spacing w:beforeLines="50" w:afterLines="50" w:line="360" w:lineRule="auto"/>
        <w:outlineLvl w:val="3"/>
        <w:rPr>
          <w:rFonts w:ascii="LNUHNF+SimSun" w:hAnsi="LNUHNF+SimSun" w:cs="宋体"/>
          <w:color w:val="auto"/>
          <w:szCs w:val="21"/>
        </w:rPr>
      </w:pPr>
      <w:bookmarkStart w:id="861" w:name="_Toc8830"/>
      <w:bookmarkStart w:id="862" w:name="_Toc23973"/>
      <w:r>
        <w:rPr>
          <w:rFonts w:ascii="LNUHNF+SimSun" w:hAnsi="LNUHNF+SimSun" w:cs="宋体"/>
          <w:color w:val="auto"/>
          <w:szCs w:val="21"/>
        </w:rPr>
        <w:t>平台使用单位</w:t>
      </w:r>
      <w:bookmarkEnd w:id="861"/>
      <w:bookmarkEnd w:id="862"/>
    </w:p>
    <w:p>
      <w:pPr>
        <w:spacing w:before="120" w:after="120"/>
        <w:outlineLvl w:val="4"/>
        <w:rPr>
          <w:color w:val="auto"/>
        </w:rPr>
      </w:pPr>
      <w:bookmarkStart w:id="863" w:name="_Toc2993"/>
      <w:bookmarkStart w:id="864" w:name="_Toc11205"/>
      <w:r>
        <w:rPr>
          <w:rFonts w:eastAsia="Times New Roman"/>
          <w:color w:val="auto"/>
        </w:rPr>
        <w:t xml:space="preserve">1  </w:t>
      </w:r>
      <w:r>
        <w:rPr>
          <w:color w:val="auto"/>
        </w:rPr>
        <w:t>参与单位</w:t>
      </w:r>
      <w:bookmarkEnd w:id="863"/>
      <w:bookmarkEnd w:id="864"/>
    </w:p>
    <w:p>
      <w:pPr>
        <w:pStyle w:val="587"/>
        <w:numPr>
          <w:ilvl w:val="0"/>
          <w:numId w:val="0"/>
        </w:numPr>
        <w:spacing w:beforeLines="50" w:afterLines="50" w:line="360" w:lineRule="auto"/>
        <w:ind w:firstLine="420" w:firstLineChars="200"/>
        <w:jc w:val="both"/>
        <w:outlineLvl w:val="9"/>
        <w:rPr>
          <w:color w:val="auto"/>
        </w:rPr>
      </w:pPr>
      <w:bookmarkStart w:id="865" w:name="_Toc19516"/>
      <w:bookmarkStart w:id="866" w:name="_Toc13620"/>
      <w:r>
        <w:rPr>
          <w:color w:val="auto"/>
        </w:rPr>
        <w:t>设计单位、施工单位、监理单位、咨询单位、运维单位</w:t>
      </w:r>
      <w:r>
        <w:rPr>
          <w:rFonts w:hint="eastAsia"/>
          <w:color w:val="auto"/>
        </w:rPr>
        <w:t>。</w:t>
      </w:r>
      <w:bookmarkEnd w:id="865"/>
      <w:bookmarkEnd w:id="866"/>
    </w:p>
    <w:p>
      <w:pPr>
        <w:spacing w:before="120" w:after="120"/>
        <w:outlineLvl w:val="4"/>
        <w:rPr>
          <w:color w:val="auto"/>
        </w:rPr>
      </w:pPr>
      <w:bookmarkStart w:id="867" w:name="_Toc10369"/>
      <w:bookmarkStart w:id="868" w:name="_Toc14848"/>
      <w:r>
        <w:rPr>
          <w:rFonts w:eastAsia="Times New Roman"/>
          <w:color w:val="auto"/>
        </w:rPr>
        <w:t xml:space="preserve">2  </w:t>
      </w:r>
      <w:r>
        <w:rPr>
          <w:color w:val="auto"/>
        </w:rPr>
        <w:t>工作职责</w:t>
      </w:r>
      <w:bookmarkEnd w:id="867"/>
      <w:bookmarkEnd w:id="868"/>
    </w:p>
    <w:p>
      <w:pPr>
        <w:spacing w:before="120" w:after="120"/>
        <w:ind w:firstLine="840" w:firstLineChars="400"/>
        <w:rPr>
          <w:color w:val="auto"/>
          <w:szCs w:val="21"/>
        </w:rPr>
      </w:pPr>
      <w:r>
        <w:rPr>
          <w:color w:val="auto"/>
          <w:szCs w:val="21"/>
        </w:rPr>
        <w:t>1）在BIM总协调方的统一管理下，遵守协同配合机制，在服务器上开展项目BIM实施工作；</w:t>
      </w:r>
    </w:p>
    <w:p>
      <w:pPr>
        <w:spacing w:before="120" w:after="120"/>
        <w:ind w:firstLine="840" w:firstLineChars="400"/>
        <w:rPr>
          <w:color w:val="auto"/>
          <w:szCs w:val="21"/>
        </w:rPr>
      </w:pPr>
      <w:r>
        <w:rPr>
          <w:color w:val="auto"/>
          <w:szCs w:val="21"/>
        </w:rPr>
        <w:t>2）定期向项目协同平台更新过程信息和成果文件；</w:t>
      </w:r>
    </w:p>
    <w:p>
      <w:pPr>
        <w:spacing w:before="120" w:after="120"/>
        <w:ind w:firstLine="840" w:firstLineChars="400"/>
        <w:rPr>
          <w:color w:val="auto"/>
          <w:szCs w:val="21"/>
        </w:rPr>
      </w:pPr>
      <w:r>
        <w:rPr>
          <w:color w:val="auto"/>
          <w:szCs w:val="21"/>
        </w:rPr>
        <w:t>3）根据项目实施情况，对协同平台提出优化建议。</w:t>
      </w:r>
    </w:p>
    <w:p>
      <w:pPr>
        <w:pStyle w:val="42"/>
        <w:spacing w:before="120" w:after="120"/>
        <w:ind w:firstLine="420"/>
        <w:rPr>
          <w:color w:val="auto"/>
        </w:rPr>
        <w:sectPr>
          <w:pgSz w:w="11910" w:h="16840"/>
          <w:pgMar w:top="1080" w:right="960" w:bottom="1160" w:left="1020" w:header="0" w:footer="973" w:gutter="0"/>
          <w:cols w:space="720" w:num="1"/>
        </w:sectPr>
      </w:pPr>
    </w:p>
    <w:p>
      <w:pPr>
        <w:pStyle w:val="583"/>
        <w:spacing w:before="240" w:after="240"/>
        <w:outlineLvl w:val="0"/>
        <w:rPr>
          <w:b w:val="0"/>
          <w:bCs/>
          <w:color w:val="auto"/>
        </w:rPr>
      </w:pPr>
      <w:bookmarkStart w:id="869" w:name="_bookmark39"/>
      <w:bookmarkEnd w:id="869"/>
      <w:bookmarkStart w:id="870" w:name="_bookmark40"/>
      <w:bookmarkEnd w:id="870"/>
      <w:bookmarkStart w:id="871" w:name="_Toc14292"/>
      <w:bookmarkStart w:id="872" w:name="_Toc24968"/>
      <w:bookmarkStart w:id="873" w:name="_Toc28077"/>
      <w:bookmarkStart w:id="874" w:name="_Toc29740"/>
      <w:bookmarkStart w:id="875" w:name="_Toc62460208"/>
      <w:r>
        <w:rPr>
          <w:b w:val="0"/>
          <w:bCs/>
          <w:color w:val="auto"/>
        </w:rPr>
        <w:t>软件标准</w:t>
      </w:r>
      <w:bookmarkEnd w:id="871"/>
      <w:bookmarkEnd w:id="872"/>
      <w:bookmarkEnd w:id="873"/>
      <w:bookmarkEnd w:id="874"/>
      <w:bookmarkEnd w:id="875"/>
    </w:p>
    <w:p>
      <w:pPr>
        <w:pStyle w:val="21"/>
        <w:spacing w:before="120" w:line="336" w:lineRule="auto"/>
        <w:ind w:left="232"/>
        <w:rPr>
          <w:color w:val="auto"/>
        </w:rPr>
      </w:pPr>
      <w:r>
        <w:rPr>
          <w:color w:val="auto"/>
        </w:rPr>
        <w:t>本导则</w:t>
      </w:r>
      <w:r>
        <w:rPr>
          <w:rFonts w:ascii="Times New Roman" w:hAnsi="Times New Roman" w:eastAsia="Times New Roman"/>
          <w:color w:val="auto"/>
          <w:spacing w:val="-2"/>
        </w:rPr>
        <w:t>BIM</w:t>
      </w:r>
      <w:r>
        <w:rPr>
          <w:color w:val="auto"/>
        </w:rPr>
        <w:t>模型和</w:t>
      </w:r>
      <w:r>
        <w:rPr>
          <w:rFonts w:ascii="Times New Roman" w:hAnsi="Times New Roman" w:eastAsia="Times New Roman"/>
          <w:color w:val="auto"/>
          <w:spacing w:val="-2"/>
        </w:rPr>
        <w:t>BIM</w:t>
      </w:r>
      <w:r>
        <w:rPr>
          <w:color w:val="auto"/>
          <w:spacing w:val="2"/>
        </w:rPr>
        <w:t>应用，不限于单一软件，软件的选择和使用遵循代建局项目特</w:t>
      </w:r>
      <w:r>
        <w:rPr>
          <w:color w:val="auto"/>
        </w:rPr>
        <w:t>点及要求制定，并充分考虑软件之间的格式交换和数据接口。</w:t>
      </w:r>
    </w:p>
    <w:p>
      <w:pPr>
        <w:pStyle w:val="21"/>
        <w:spacing w:before="120"/>
        <w:ind w:left="712"/>
        <w:rPr>
          <w:color w:val="auto"/>
        </w:rPr>
      </w:pPr>
      <w:r>
        <w:rPr>
          <w:color w:val="auto"/>
        </w:rPr>
        <w:t>对于一般项目</w:t>
      </w:r>
      <w:r>
        <w:rPr>
          <w:rFonts w:ascii="Times New Roman" w:hAnsi="Times New Roman" w:eastAsia="Times New Roman"/>
          <w:color w:val="auto"/>
          <w:spacing w:val="-2"/>
        </w:rPr>
        <w:t>BIM</w:t>
      </w:r>
      <w:r>
        <w:rPr>
          <w:color w:val="auto"/>
        </w:rPr>
        <w:t>软件使用可参考以下规定：</w:t>
      </w:r>
    </w:p>
    <w:p>
      <w:pPr>
        <w:pStyle w:val="498"/>
        <w:spacing w:beforeLines="50" w:afterLines="50" w:line="360" w:lineRule="auto"/>
        <w:ind w:firstLine="360"/>
        <w:jc w:val="center"/>
        <w:rPr>
          <w:rFonts w:hAnsi="宋体" w:cs="宋体"/>
          <w:color w:val="auto"/>
          <w:sz w:val="7"/>
          <w:szCs w:val="7"/>
        </w:rPr>
      </w:pPr>
      <w:r>
        <w:rPr>
          <w:rFonts w:ascii="黑体" w:hAnsi="黑体" w:eastAsia="黑体" w:cs="黑体"/>
          <w:color w:val="auto"/>
          <w:sz w:val="18"/>
          <w:szCs w:val="18"/>
        </w:rPr>
        <w:t>表6.1  BIM软件参考表</w:t>
      </w:r>
    </w:p>
    <w:tbl>
      <w:tblPr>
        <w:tblStyle w:val="55"/>
        <w:tblW w:w="10100" w:type="dxa"/>
        <w:tblInd w:w="0" w:type="dxa"/>
        <w:tblLayout w:type="fixed"/>
        <w:tblCellMar>
          <w:top w:w="0" w:type="dxa"/>
          <w:left w:w="0" w:type="dxa"/>
          <w:bottom w:w="0" w:type="dxa"/>
          <w:right w:w="0" w:type="dxa"/>
        </w:tblCellMar>
      </w:tblPr>
      <w:tblGrid>
        <w:gridCol w:w="718"/>
        <w:gridCol w:w="2879"/>
        <w:gridCol w:w="3283"/>
        <w:gridCol w:w="3220"/>
      </w:tblGrid>
      <w:tr>
        <w:tblPrEx>
          <w:tblCellMar>
            <w:top w:w="0" w:type="dxa"/>
            <w:left w:w="0" w:type="dxa"/>
            <w:bottom w:w="0" w:type="dxa"/>
            <w:right w:w="0" w:type="dxa"/>
          </w:tblCellMar>
        </w:tblPrEx>
        <w:trPr>
          <w:trHeight w:val="454" w:hRule="atLeast"/>
        </w:trPr>
        <w:tc>
          <w:tcPr>
            <w:tcW w:w="718"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序号</w:t>
            </w:r>
          </w:p>
        </w:tc>
        <w:tc>
          <w:tcPr>
            <w:tcW w:w="2879"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专业</w:t>
            </w:r>
          </w:p>
        </w:tc>
        <w:tc>
          <w:tcPr>
            <w:tcW w:w="3283"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类型</w:t>
            </w:r>
          </w:p>
        </w:tc>
        <w:tc>
          <w:tcPr>
            <w:tcW w:w="3220"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选用软件</w:t>
            </w:r>
          </w:p>
        </w:tc>
      </w:tr>
      <w:tr>
        <w:tblPrEx>
          <w:tblCellMar>
            <w:top w:w="0" w:type="dxa"/>
            <w:left w:w="0" w:type="dxa"/>
            <w:bottom w:w="0" w:type="dxa"/>
            <w:right w:w="0" w:type="dxa"/>
          </w:tblCellMar>
        </w:tblPrEx>
        <w:trPr>
          <w:trHeight w:val="454" w:hRule="atLeast"/>
        </w:trPr>
        <w:tc>
          <w:tcPr>
            <w:tcW w:w="718" w:type="dxa"/>
            <w:vMerge w:val="restart"/>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1</w:t>
            </w:r>
          </w:p>
        </w:tc>
        <w:tc>
          <w:tcPr>
            <w:tcW w:w="2879" w:type="dxa"/>
            <w:vMerge w:val="restart"/>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建筑专业</w:t>
            </w:r>
          </w:p>
        </w:tc>
        <w:tc>
          <w:tcPr>
            <w:tcW w:w="3283"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常规建筑</w:t>
            </w:r>
          </w:p>
        </w:tc>
        <w:tc>
          <w:tcPr>
            <w:tcW w:w="3220"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Revit</w:t>
            </w:r>
          </w:p>
        </w:tc>
      </w:tr>
      <w:tr>
        <w:tblPrEx>
          <w:tblCellMar>
            <w:top w:w="0" w:type="dxa"/>
            <w:left w:w="0" w:type="dxa"/>
            <w:bottom w:w="0" w:type="dxa"/>
            <w:right w:w="0" w:type="dxa"/>
          </w:tblCellMar>
        </w:tblPrEx>
        <w:trPr>
          <w:trHeight w:val="454" w:hRule="atLeast"/>
        </w:trPr>
        <w:tc>
          <w:tcPr>
            <w:tcW w:w="718" w:type="dxa"/>
            <w:vMerge w:val="continue"/>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p>
        </w:tc>
        <w:tc>
          <w:tcPr>
            <w:tcW w:w="2879" w:type="dxa"/>
            <w:vMerge w:val="continue"/>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p>
        </w:tc>
        <w:tc>
          <w:tcPr>
            <w:tcW w:w="3283" w:type="dxa"/>
            <w:vMerge w:val="restart"/>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left="631"/>
              <w:jc w:val="center"/>
              <w:rPr>
                <w:color w:val="auto"/>
                <w:sz w:val="18"/>
                <w:szCs w:val="18"/>
              </w:rPr>
            </w:pPr>
            <w:r>
              <w:rPr>
                <w:color w:val="auto"/>
                <w:sz w:val="18"/>
                <w:szCs w:val="18"/>
              </w:rPr>
              <w:t>异性曲面建筑外形</w:t>
            </w:r>
          </w:p>
        </w:tc>
        <w:tc>
          <w:tcPr>
            <w:tcW w:w="3220"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jc w:val="center"/>
              <w:rPr>
                <w:color w:val="auto"/>
                <w:sz w:val="18"/>
                <w:szCs w:val="18"/>
              </w:rPr>
            </w:pPr>
            <w:r>
              <w:rPr>
                <w:color w:val="auto"/>
                <w:sz w:val="18"/>
                <w:szCs w:val="18"/>
              </w:rPr>
              <w:t>Rhino</w:t>
            </w:r>
          </w:p>
        </w:tc>
      </w:tr>
      <w:tr>
        <w:tblPrEx>
          <w:tblCellMar>
            <w:top w:w="0" w:type="dxa"/>
            <w:left w:w="0" w:type="dxa"/>
            <w:bottom w:w="0" w:type="dxa"/>
            <w:right w:w="0" w:type="dxa"/>
          </w:tblCellMar>
        </w:tblPrEx>
        <w:trPr>
          <w:trHeight w:val="454" w:hRule="atLeast"/>
        </w:trPr>
        <w:tc>
          <w:tcPr>
            <w:tcW w:w="718" w:type="dxa"/>
            <w:vMerge w:val="continue"/>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p>
        </w:tc>
        <w:tc>
          <w:tcPr>
            <w:tcW w:w="2879" w:type="dxa"/>
            <w:vMerge w:val="continue"/>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p>
        </w:tc>
        <w:tc>
          <w:tcPr>
            <w:tcW w:w="3283" w:type="dxa"/>
            <w:vMerge w:val="continue"/>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p>
        </w:tc>
        <w:tc>
          <w:tcPr>
            <w:tcW w:w="3220"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jc w:val="center"/>
              <w:rPr>
                <w:color w:val="auto"/>
                <w:sz w:val="18"/>
                <w:szCs w:val="18"/>
              </w:rPr>
            </w:pPr>
            <w:r>
              <w:rPr>
                <w:color w:val="auto"/>
                <w:sz w:val="18"/>
                <w:szCs w:val="18"/>
              </w:rPr>
              <w:t>Catia</w:t>
            </w:r>
          </w:p>
        </w:tc>
      </w:tr>
      <w:tr>
        <w:tblPrEx>
          <w:tblCellMar>
            <w:top w:w="0" w:type="dxa"/>
            <w:left w:w="0" w:type="dxa"/>
            <w:bottom w:w="0" w:type="dxa"/>
            <w:right w:w="0" w:type="dxa"/>
          </w:tblCellMar>
        </w:tblPrEx>
        <w:trPr>
          <w:trHeight w:val="454" w:hRule="atLeast"/>
        </w:trPr>
        <w:tc>
          <w:tcPr>
            <w:tcW w:w="718" w:type="dxa"/>
            <w:vMerge w:val="restart"/>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2</w:t>
            </w:r>
          </w:p>
        </w:tc>
        <w:tc>
          <w:tcPr>
            <w:tcW w:w="2879" w:type="dxa"/>
            <w:vMerge w:val="restart"/>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结构专业</w:t>
            </w:r>
          </w:p>
        </w:tc>
        <w:tc>
          <w:tcPr>
            <w:tcW w:w="3283" w:type="dxa"/>
            <w:vMerge w:val="restart"/>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结构混凝土</w:t>
            </w:r>
          </w:p>
        </w:tc>
        <w:tc>
          <w:tcPr>
            <w:tcW w:w="3220"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Revit</w:t>
            </w:r>
          </w:p>
        </w:tc>
      </w:tr>
      <w:tr>
        <w:tblPrEx>
          <w:tblCellMar>
            <w:top w:w="0" w:type="dxa"/>
            <w:left w:w="0" w:type="dxa"/>
            <w:bottom w:w="0" w:type="dxa"/>
            <w:right w:w="0" w:type="dxa"/>
          </w:tblCellMar>
        </w:tblPrEx>
        <w:trPr>
          <w:trHeight w:val="454" w:hRule="atLeast"/>
        </w:trPr>
        <w:tc>
          <w:tcPr>
            <w:tcW w:w="718" w:type="dxa"/>
            <w:vMerge w:val="continue"/>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p>
        </w:tc>
        <w:tc>
          <w:tcPr>
            <w:tcW w:w="2879" w:type="dxa"/>
            <w:vMerge w:val="continue"/>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p>
        </w:tc>
        <w:tc>
          <w:tcPr>
            <w:tcW w:w="3283" w:type="dxa"/>
            <w:vMerge w:val="continue"/>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p>
        </w:tc>
        <w:tc>
          <w:tcPr>
            <w:tcW w:w="3220"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jc w:val="center"/>
              <w:rPr>
                <w:color w:val="auto"/>
                <w:sz w:val="18"/>
                <w:szCs w:val="18"/>
              </w:rPr>
            </w:pPr>
            <w:r>
              <w:rPr>
                <w:color w:val="auto"/>
                <w:sz w:val="18"/>
                <w:szCs w:val="18"/>
              </w:rPr>
              <w:t>PKPM</w:t>
            </w:r>
          </w:p>
        </w:tc>
      </w:tr>
      <w:tr>
        <w:tblPrEx>
          <w:tblCellMar>
            <w:top w:w="0" w:type="dxa"/>
            <w:left w:w="0" w:type="dxa"/>
            <w:bottom w:w="0" w:type="dxa"/>
            <w:right w:w="0" w:type="dxa"/>
          </w:tblCellMar>
        </w:tblPrEx>
        <w:trPr>
          <w:trHeight w:val="454" w:hRule="atLeast"/>
        </w:trPr>
        <w:tc>
          <w:tcPr>
            <w:tcW w:w="718" w:type="dxa"/>
            <w:vMerge w:val="continue"/>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p>
        </w:tc>
        <w:tc>
          <w:tcPr>
            <w:tcW w:w="2879" w:type="dxa"/>
            <w:vMerge w:val="continue"/>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p>
        </w:tc>
        <w:tc>
          <w:tcPr>
            <w:tcW w:w="3283" w:type="dxa"/>
            <w:vMerge w:val="continue"/>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p>
        </w:tc>
        <w:tc>
          <w:tcPr>
            <w:tcW w:w="3220"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jc w:val="center"/>
              <w:rPr>
                <w:color w:val="auto"/>
                <w:sz w:val="18"/>
                <w:szCs w:val="18"/>
              </w:rPr>
            </w:pPr>
            <w:r>
              <w:rPr>
                <w:color w:val="auto"/>
                <w:sz w:val="18"/>
                <w:szCs w:val="18"/>
              </w:rPr>
              <w:t>探索者</w:t>
            </w:r>
          </w:p>
        </w:tc>
      </w:tr>
      <w:tr>
        <w:tblPrEx>
          <w:tblCellMar>
            <w:top w:w="0" w:type="dxa"/>
            <w:left w:w="0" w:type="dxa"/>
            <w:bottom w:w="0" w:type="dxa"/>
            <w:right w:w="0" w:type="dxa"/>
          </w:tblCellMar>
        </w:tblPrEx>
        <w:trPr>
          <w:trHeight w:val="454" w:hRule="atLeast"/>
        </w:trPr>
        <w:tc>
          <w:tcPr>
            <w:tcW w:w="718" w:type="dxa"/>
            <w:vMerge w:val="continue"/>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p>
        </w:tc>
        <w:tc>
          <w:tcPr>
            <w:tcW w:w="2879" w:type="dxa"/>
            <w:vMerge w:val="continue"/>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p>
        </w:tc>
        <w:tc>
          <w:tcPr>
            <w:tcW w:w="3283" w:type="dxa"/>
            <w:vMerge w:val="restart"/>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1"/>
              <w:jc w:val="center"/>
              <w:rPr>
                <w:color w:val="auto"/>
                <w:sz w:val="18"/>
                <w:szCs w:val="18"/>
              </w:rPr>
            </w:pPr>
            <w:r>
              <w:rPr>
                <w:color w:val="auto"/>
                <w:sz w:val="18"/>
                <w:szCs w:val="18"/>
              </w:rPr>
              <w:t>钢结构</w:t>
            </w:r>
          </w:p>
        </w:tc>
        <w:tc>
          <w:tcPr>
            <w:tcW w:w="3220"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jc w:val="center"/>
              <w:rPr>
                <w:color w:val="auto"/>
                <w:sz w:val="18"/>
                <w:szCs w:val="18"/>
              </w:rPr>
            </w:pPr>
            <w:r>
              <w:rPr>
                <w:color w:val="auto"/>
                <w:sz w:val="18"/>
                <w:szCs w:val="18"/>
              </w:rPr>
              <w:t>Catia</w:t>
            </w:r>
          </w:p>
        </w:tc>
      </w:tr>
      <w:tr>
        <w:tblPrEx>
          <w:tblCellMar>
            <w:top w:w="0" w:type="dxa"/>
            <w:left w:w="0" w:type="dxa"/>
            <w:bottom w:w="0" w:type="dxa"/>
            <w:right w:w="0" w:type="dxa"/>
          </w:tblCellMar>
        </w:tblPrEx>
        <w:trPr>
          <w:trHeight w:val="454" w:hRule="atLeast"/>
        </w:trPr>
        <w:tc>
          <w:tcPr>
            <w:tcW w:w="718" w:type="dxa"/>
            <w:vMerge w:val="continue"/>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p>
        </w:tc>
        <w:tc>
          <w:tcPr>
            <w:tcW w:w="2879" w:type="dxa"/>
            <w:vMerge w:val="continue"/>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p>
        </w:tc>
        <w:tc>
          <w:tcPr>
            <w:tcW w:w="3283" w:type="dxa"/>
            <w:vMerge w:val="continue"/>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p>
        </w:tc>
        <w:tc>
          <w:tcPr>
            <w:tcW w:w="3220"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left="120"/>
              <w:jc w:val="center"/>
              <w:rPr>
                <w:color w:val="auto"/>
                <w:sz w:val="18"/>
                <w:szCs w:val="18"/>
              </w:rPr>
            </w:pPr>
            <w:r>
              <w:rPr>
                <w:color w:val="auto"/>
                <w:sz w:val="18"/>
                <w:szCs w:val="18"/>
              </w:rPr>
              <w:t>TeklaStructures(X-steel)</w:t>
            </w:r>
          </w:p>
        </w:tc>
      </w:tr>
      <w:tr>
        <w:tblPrEx>
          <w:tblCellMar>
            <w:top w:w="0" w:type="dxa"/>
            <w:left w:w="0" w:type="dxa"/>
            <w:bottom w:w="0" w:type="dxa"/>
            <w:right w:w="0" w:type="dxa"/>
          </w:tblCellMar>
        </w:tblPrEx>
        <w:trPr>
          <w:trHeight w:val="454" w:hRule="atLeast"/>
        </w:trPr>
        <w:tc>
          <w:tcPr>
            <w:tcW w:w="718" w:type="dxa"/>
            <w:vMerge w:val="continue"/>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p>
        </w:tc>
        <w:tc>
          <w:tcPr>
            <w:tcW w:w="2879" w:type="dxa"/>
            <w:vMerge w:val="continue"/>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p>
        </w:tc>
        <w:tc>
          <w:tcPr>
            <w:tcW w:w="3283" w:type="dxa"/>
            <w:vMerge w:val="continue"/>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p>
        </w:tc>
        <w:tc>
          <w:tcPr>
            <w:tcW w:w="3220"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jc w:val="center"/>
              <w:rPr>
                <w:color w:val="auto"/>
                <w:sz w:val="18"/>
                <w:szCs w:val="18"/>
              </w:rPr>
            </w:pPr>
            <w:r>
              <w:rPr>
                <w:color w:val="auto"/>
                <w:sz w:val="18"/>
                <w:szCs w:val="18"/>
              </w:rPr>
              <w:t>Revit</w:t>
            </w:r>
          </w:p>
        </w:tc>
      </w:tr>
      <w:tr>
        <w:tblPrEx>
          <w:tblCellMar>
            <w:top w:w="0" w:type="dxa"/>
            <w:left w:w="0" w:type="dxa"/>
            <w:bottom w:w="0" w:type="dxa"/>
            <w:right w:w="0" w:type="dxa"/>
          </w:tblCellMar>
        </w:tblPrEx>
        <w:trPr>
          <w:trHeight w:val="454" w:hRule="atLeast"/>
        </w:trPr>
        <w:tc>
          <w:tcPr>
            <w:tcW w:w="718" w:type="dxa"/>
            <w:vMerge w:val="restart"/>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3</w:t>
            </w:r>
          </w:p>
        </w:tc>
        <w:tc>
          <w:tcPr>
            <w:tcW w:w="2879" w:type="dxa"/>
            <w:vMerge w:val="restart"/>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机电专业</w:t>
            </w:r>
          </w:p>
        </w:tc>
        <w:tc>
          <w:tcPr>
            <w:tcW w:w="3283" w:type="dxa"/>
            <w:vMerge w:val="restart"/>
            <w:tcBorders>
              <w:top w:val="single" w:color="auto" w:sz="4" w:space="0"/>
              <w:left w:val="single" w:color="auto" w:sz="4" w:space="0"/>
              <w:bottom w:val="single" w:color="auto" w:sz="4" w:space="0"/>
              <w:right w:val="single" w:color="auto" w:sz="4" w:space="0"/>
              <w:tl2br w:val="single" w:color="auto" w:sz="4" w:space="0"/>
            </w:tcBorders>
            <w:noWrap/>
            <w:vAlign w:val="center"/>
          </w:tcPr>
          <w:p>
            <w:pPr>
              <w:spacing w:before="120" w:after="120"/>
              <w:ind w:firstLine="360"/>
              <w:jc w:val="center"/>
              <w:rPr>
                <w:rFonts w:cs="宋体"/>
                <w:color w:val="auto"/>
                <w:sz w:val="18"/>
                <w:szCs w:val="18"/>
                <w:lang w:eastAsia="en-US"/>
              </w:rPr>
            </w:pPr>
          </w:p>
        </w:tc>
        <w:tc>
          <w:tcPr>
            <w:tcW w:w="3220"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Revit</w:t>
            </w:r>
          </w:p>
        </w:tc>
      </w:tr>
      <w:tr>
        <w:tblPrEx>
          <w:tblCellMar>
            <w:top w:w="0" w:type="dxa"/>
            <w:left w:w="0" w:type="dxa"/>
            <w:bottom w:w="0" w:type="dxa"/>
            <w:right w:w="0" w:type="dxa"/>
          </w:tblCellMar>
        </w:tblPrEx>
        <w:trPr>
          <w:trHeight w:val="454" w:hRule="atLeast"/>
        </w:trPr>
        <w:tc>
          <w:tcPr>
            <w:tcW w:w="718" w:type="dxa"/>
            <w:vMerge w:val="continue"/>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p>
        </w:tc>
        <w:tc>
          <w:tcPr>
            <w:tcW w:w="2879" w:type="dxa"/>
            <w:vMerge w:val="continue"/>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p>
        </w:tc>
        <w:tc>
          <w:tcPr>
            <w:tcW w:w="3283" w:type="dxa"/>
            <w:vMerge w:val="continue"/>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p>
        </w:tc>
        <w:tc>
          <w:tcPr>
            <w:tcW w:w="3220"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jc w:val="center"/>
              <w:rPr>
                <w:color w:val="auto"/>
                <w:sz w:val="18"/>
                <w:szCs w:val="18"/>
              </w:rPr>
            </w:pPr>
            <w:r>
              <w:rPr>
                <w:color w:val="auto"/>
                <w:sz w:val="18"/>
                <w:szCs w:val="18"/>
              </w:rPr>
              <w:t>MagiCAD</w:t>
            </w:r>
          </w:p>
        </w:tc>
      </w:tr>
      <w:tr>
        <w:tblPrEx>
          <w:tblCellMar>
            <w:top w:w="0" w:type="dxa"/>
            <w:left w:w="0" w:type="dxa"/>
            <w:bottom w:w="0" w:type="dxa"/>
            <w:right w:w="0" w:type="dxa"/>
          </w:tblCellMar>
        </w:tblPrEx>
        <w:trPr>
          <w:trHeight w:val="454" w:hRule="atLeast"/>
        </w:trPr>
        <w:tc>
          <w:tcPr>
            <w:tcW w:w="718" w:type="dxa"/>
            <w:vMerge w:val="restart"/>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4</w:t>
            </w:r>
          </w:p>
        </w:tc>
        <w:tc>
          <w:tcPr>
            <w:tcW w:w="2879" w:type="dxa"/>
            <w:vMerge w:val="restart"/>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幕墙专业</w:t>
            </w:r>
          </w:p>
        </w:tc>
        <w:tc>
          <w:tcPr>
            <w:tcW w:w="3283" w:type="dxa"/>
            <w:vMerge w:val="restart"/>
            <w:tcBorders>
              <w:top w:val="single" w:color="auto" w:sz="4" w:space="0"/>
              <w:left w:val="single" w:color="auto" w:sz="4" w:space="0"/>
              <w:bottom w:val="single" w:color="auto" w:sz="4" w:space="0"/>
              <w:right w:val="single" w:color="auto" w:sz="4" w:space="0"/>
              <w:tl2br w:val="single" w:color="auto" w:sz="4" w:space="0"/>
            </w:tcBorders>
            <w:noWrap/>
            <w:vAlign w:val="center"/>
          </w:tcPr>
          <w:p>
            <w:pPr>
              <w:spacing w:before="120" w:after="120"/>
              <w:ind w:firstLine="360"/>
              <w:jc w:val="center"/>
              <w:rPr>
                <w:rFonts w:cs="宋体"/>
                <w:color w:val="auto"/>
                <w:sz w:val="18"/>
                <w:szCs w:val="18"/>
                <w:lang w:eastAsia="en-US"/>
              </w:rPr>
            </w:pPr>
          </w:p>
        </w:tc>
        <w:tc>
          <w:tcPr>
            <w:tcW w:w="3220"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Revit</w:t>
            </w:r>
          </w:p>
        </w:tc>
      </w:tr>
      <w:tr>
        <w:tblPrEx>
          <w:tblCellMar>
            <w:top w:w="0" w:type="dxa"/>
            <w:left w:w="0" w:type="dxa"/>
            <w:bottom w:w="0" w:type="dxa"/>
            <w:right w:w="0" w:type="dxa"/>
          </w:tblCellMar>
        </w:tblPrEx>
        <w:trPr>
          <w:trHeight w:val="454" w:hRule="atLeast"/>
        </w:trPr>
        <w:tc>
          <w:tcPr>
            <w:tcW w:w="718" w:type="dxa"/>
            <w:vMerge w:val="continue"/>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p>
        </w:tc>
        <w:tc>
          <w:tcPr>
            <w:tcW w:w="2879" w:type="dxa"/>
            <w:vMerge w:val="continue"/>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p>
        </w:tc>
        <w:tc>
          <w:tcPr>
            <w:tcW w:w="3283" w:type="dxa"/>
            <w:vMerge w:val="continue"/>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p>
        </w:tc>
        <w:tc>
          <w:tcPr>
            <w:tcW w:w="3220"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jc w:val="center"/>
              <w:rPr>
                <w:color w:val="auto"/>
                <w:sz w:val="18"/>
                <w:szCs w:val="18"/>
              </w:rPr>
            </w:pPr>
            <w:r>
              <w:rPr>
                <w:color w:val="auto"/>
                <w:sz w:val="18"/>
                <w:szCs w:val="18"/>
              </w:rPr>
              <w:t>Rhino</w:t>
            </w:r>
          </w:p>
        </w:tc>
      </w:tr>
      <w:tr>
        <w:tblPrEx>
          <w:tblCellMar>
            <w:top w:w="0" w:type="dxa"/>
            <w:left w:w="0" w:type="dxa"/>
            <w:bottom w:w="0" w:type="dxa"/>
            <w:right w:w="0" w:type="dxa"/>
          </w:tblCellMar>
        </w:tblPrEx>
        <w:trPr>
          <w:trHeight w:val="454" w:hRule="atLeast"/>
        </w:trPr>
        <w:tc>
          <w:tcPr>
            <w:tcW w:w="718" w:type="dxa"/>
            <w:vMerge w:val="continue"/>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p>
        </w:tc>
        <w:tc>
          <w:tcPr>
            <w:tcW w:w="2879" w:type="dxa"/>
            <w:vMerge w:val="continue"/>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p>
        </w:tc>
        <w:tc>
          <w:tcPr>
            <w:tcW w:w="3283" w:type="dxa"/>
            <w:vMerge w:val="continue"/>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p>
        </w:tc>
        <w:tc>
          <w:tcPr>
            <w:tcW w:w="3220"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jc w:val="center"/>
              <w:rPr>
                <w:color w:val="auto"/>
                <w:sz w:val="18"/>
                <w:szCs w:val="18"/>
              </w:rPr>
            </w:pPr>
            <w:r>
              <w:rPr>
                <w:color w:val="auto"/>
                <w:sz w:val="18"/>
                <w:szCs w:val="18"/>
              </w:rPr>
              <w:t>Catia</w:t>
            </w:r>
          </w:p>
        </w:tc>
      </w:tr>
    </w:tbl>
    <w:p>
      <w:pPr>
        <w:spacing w:before="120" w:after="120"/>
        <w:ind w:firstLine="400"/>
        <w:rPr>
          <w:rFonts w:cs="宋体"/>
          <w:color w:val="auto"/>
          <w:sz w:val="20"/>
        </w:rPr>
      </w:pPr>
    </w:p>
    <w:p>
      <w:pPr>
        <w:spacing w:before="120" w:after="120"/>
        <w:rPr>
          <w:rFonts w:cs="宋体"/>
          <w:color w:val="auto"/>
        </w:rPr>
        <w:sectPr>
          <w:pgSz w:w="11910" w:h="16840"/>
          <w:pgMar w:top="1100" w:right="900" w:bottom="1160" w:left="900" w:header="0" w:footer="973" w:gutter="0"/>
          <w:cols w:space="720" w:num="1"/>
        </w:sectPr>
      </w:pPr>
    </w:p>
    <w:p>
      <w:pPr>
        <w:spacing w:before="120" w:after="120"/>
        <w:rPr>
          <w:rFonts w:cs="宋体"/>
          <w:color w:val="auto"/>
        </w:rPr>
      </w:pPr>
      <w:bookmarkStart w:id="876" w:name="_bookmark41"/>
      <w:bookmarkEnd w:id="876"/>
    </w:p>
    <w:p>
      <w:pPr>
        <w:pStyle w:val="583"/>
        <w:numPr>
          <w:ilvl w:val="0"/>
          <w:numId w:val="0"/>
        </w:numPr>
        <w:spacing w:before="240" w:after="240"/>
        <w:outlineLvl w:val="0"/>
        <w:rPr>
          <w:b w:val="0"/>
          <w:bCs/>
          <w:color w:val="auto"/>
        </w:rPr>
      </w:pPr>
      <w:bookmarkStart w:id="877" w:name="_Toc10348"/>
      <w:bookmarkStart w:id="878" w:name="_Toc195"/>
      <w:bookmarkStart w:id="879" w:name="_Toc28308"/>
      <w:bookmarkStart w:id="880" w:name="_Toc62460209"/>
      <w:bookmarkStart w:id="881" w:name="_Toc5720"/>
      <w:r>
        <w:rPr>
          <w:b w:val="0"/>
          <w:bCs/>
          <w:color w:val="auto"/>
        </w:rPr>
        <w:t>附表</w:t>
      </w:r>
      <w:bookmarkEnd w:id="877"/>
      <w:bookmarkEnd w:id="878"/>
      <w:bookmarkEnd w:id="879"/>
      <w:bookmarkEnd w:id="880"/>
      <w:bookmarkEnd w:id="881"/>
    </w:p>
    <w:p>
      <w:pPr>
        <w:pStyle w:val="585"/>
        <w:numPr>
          <w:ilvl w:val="0"/>
          <w:numId w:val="0"/>
        </w:numPr>
        <w:spacing w:before="120" w:after="120" w:line="360" w:lineRule="auto"/>
        <w:outlineLvl w:val="1"/>
        <w:rPr>
          <w:rFonts w:ascii="Times New Roman" w:hAnsi="Times New Roman" w:eastAsia="黑体"/>
          <w:b w:val="0"/>
          <w:bCs/>
          <w:color w:val="auto"/>
          <w:sz w:val="24"/>
          <w:szCs w:val="24"/>
        </w:rPr>
      </w:pPr>
      <w:bookmarkStart w:id="882" w:name="_Toc62460210"/>
      <w:bookmarkStart w:id="883" w:name="_Toc23506"/>
      <w:bookmarkStart w:id="884" w:name="_Toc18640"/>
      <w:bookmarkStart w:id="885" w:name="_Toc11664"/>
      <w:bookmarkStart w:id="886" w:name="_Toc20010"/>
      <w:r>
        <w:rPr>
          <w:rFonts w:ascii="Times New Roman" w:hAnsi="Times New Roman" w:eastAsia="黑体"/>
          <w:b w:val="0"/>
          <w:bCs/>
          <w:color w:val="auto"/>
          <w:sz w:val="24"/>
          <w:szCs w:val="24"/>
        </w:rPr>
        <w:t>附表1  BIM项目工作职责分配表</w:t>
      </w:r>
      <w:bookmarkEnd w:id="882"/>
      <w:bookmarkEnd w:id="883"/>
      <w:bookmarkEnd w:id="884"/>
      <w:bookmarkEnd w:id="885"/>
      <w:bookmarkEnd w:id="886"/>
    </w:p>
    <w:tbl>
      <w:tblPr>
        <w:tblStyle w:val="55"/>
        <w:tblW w:w="9884" w:type="dxa"/>
        <w:jc w:val="center"/>
        <w:tblLayout w:type="fixed"/>
        <w:tblCellMar>
          <w:top w:w="0" w:type="dxa"/>
          <w:left w:w="0" w:type="dxa"/>
          <w:bottom w:w="0" w:type="dxa"/>
          <w:right w:w="0" w:type="dxa"/>
        </w:tblCellMar>
      </w:tblPr>
      <w:tblGrid>
        <w:gridCol w:w="1060"/>
        <w:gridCol w:w="2859"/>
        <w:gridCol w:w="1025"/>
        <w:gridCol w:w="1014"/>
        <w:gridCol w:w="873"/>
        <w:gridCol w:w="846"/>
        <w:gridCol w:w="750"/>
        <w:gridCol w:w="726"/>
        <w:gridCol w:w="731"/>
      </w:tblGrid>
      <w:tr>
        <w:tblPrEx>
          <w:tblCellMar>
            <w:top w:w="0" w:type="dxa"/>
            <w:left w:w="0" w:type="dxa"/>
            <w:bottom w:w="0" w:type="dxa"/>
            <w:right w:w="0" w:type="dxa"/>
          </w:tblCellMar>
        </w:tblPrEx>
        <w:trPr>
          <w:trHeight w:val="454" w:hRule="atLeast"/>
          <w:jc w:val="center"/>
        </w:trPr>
        <w:tc>
          <w:tcPr>
            <w:tcW w:w="1060"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r>
              <w:rPr>
                <w:color w:val="auto"/>
                <w:sz w:val="18"/>
                <w:szCs w:val="18"/>
                <w:lang w:eastAsia="en-US"/>
              </w:rPr>
              <w:t>标注:</w:t>
            </w:r>
          </w:p>
        </w:tc>
        <w:tc>
          <w:tcPr>
            <w:tcW w:w="8824" w:type="dxa"/>
            <w:gridSpan w:val="8"/>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rPr>
                <w:color w:val="auto"/>
                <w:sz w:val="18"/>
                <w:szCs w:val="18"/>
                <w:lang w:eastAsia="en-US"/>
              </w:rPr>
            </w:pPr>
            <w:r>
              <w:rPr>
                <w:color w:val="auto"/>
                <w:sz w:val="18"/>
                <w:szCs w:val="18"/>
                <w:lang w:eastAsia="en-US"/>
              </w:rPr>
              <w:t>P=执行主要责任</w:t>
            </w:r>
          </w:p>
        </w:tc>
      </w:tr>
      <w:tr>
        <w:tblPrEx>
          <w:tblCellMar>
            <w:top w:w="0" w:type="dxa"/>
            <w:left w:w="0" w:type="dxa"/>
            <w:bottom w:w="0" w:type="dxa"/>
            <w:right w:w="0" w:type="dxa"/>
          </w:tblCellMar>
        </w:tblPrEx>
        <w:trPr>
          <w:trHeight w:val="454" w:hRule="atLeast"/>
          <w:jc w:val="center"/>
        </w:trPr>
        <w:tc>
          <w:tcPr>
            <w:tcW w:w="1060"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c>
          <w:tcPr>
            <w:tcW w:w="8824" w:type="dxa"/>
            <w:gridSpan w:val="8"/>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rPr>
                <w:color w:val="auto"/>
                <w:sz w:val="18"/>
                <w:szCs w:val="18"/>
                <w:lang w:eastAsia="en-US"/>
              </w:rPr>
            </w:pPr>
            <w:r>
              <w:rPr>
                <w:color w:val="auto"/>
                <w:sz w:val="18"/>
                <w:szCs w:val="18"/>
                <w:lang w:eastAsia="en-US"/>
              </w:rPr>
              <w:t>S=协办次要责任</w:t>
            </w:r>
          </w:p>
        </w:tc>
      </w:tr>
      <w:tr>
        <w:tblPrEx>
          <w:tblCellMar>
            <w:top w:w="0" w:type="dxa"/>
            <w:left w:w="0" w:type="dxa"/>
            <w:bottom w:w="0" w:type="dxa"/>
            <w:right w:w="0" w:type="dxa"/>
          </w:tblCellMar>
        </w:tblPrEx>
        <w:trPr>
          <w:trHeight w:val="454" w:hRule="atLeast"/>
          <w:jc w:val="center"/>
        </w:trPr>
        <w:tc>
          <w:tcPr>
            <w:tcW w:w="1060"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c>
          <w:tcPr>
            <w:tcW w:w="8824" w:type="dxa"/>
            <w:gridSpan w:val="8"/>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rPr>
                <w:color w:val="auto"/>
                <w:sz w:val="18"/>
                <w:szCs w:val="18"/>
                <w:lang w:eastAsia="en-US"/>
              </w:rPr>
            </w:pPr>
            <w:r>
              <w:rPr>
                <w:color w:val="auto"/>
                <w:sz w:val="18"/>
                <w:szCs w:val="18"/>
                <w:lang w:eastAsia="en-US"/>
              </w:rPr>
              <w:t>R=审核</w:t>
            </w:r>
          </w:p>
        </w:tc>
      </w:tr>
      <w:tr>
        <w:tblPrEx>
          <w:tblCellMar>
            <w:top w:w="0" w:type="dxa"/>
            <w:left w:w="0" w:type="dxa"/>
            <w:bottom w:w="0" w:type="dxa"/>
            <w:right w:w="0" w:type="dxa"/>
          </w:tblCellMar>
        </w:tblPrEx>
        <w:trPr>
          <w:trHeight w:val="454" w:hRule="atLeast"/>
          <w:jc w:val="center"/>
        </w:trPr>
        <w:tc>
          <w:tcPr>
            <w:tcW w:w="1060"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c>
          <w:tcPr>
            <w:tcW w:w="8824" w:type="dxa"/>
            <w:gridSpan w:val="8"/>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rPr>
                <w:color w:val="auto"/>
                <w:sz w:val="18"/>
                <w:szCs w:val="18"/>
                <w:lang w:eastAsia="en-US"/>
              </w:rPr>
            </w:pPr>
            <w:r>
              <w:rPr>
                <w:color w:val="auto"/>
                <w:sz w:val="18"/>
                <w:szCs w:val="18"/>
                <w:lang w:eastAsia="en-US"/>
              </w:rPr>
              <w:t>I=建模</w:t>
            </w:r>
          </w:p>
        </w:tc>
      </w:tr>
      <w:tr>
        <w:tblPrEx>
          <w:tblCellMar>
            <w:top w:w="0" w:type="dxa"/>
            <w:left w:w="0" w:type="dxa"/>
            <w:bottom w:w="0" w:type="dxa"/>
            <w:right w:w="0" w:type="dxa"/>
          </w:tblCellMar>
        </w:tblPrEx>
        <w:trPr>
          <w:trHeight w:val="454" w:hRule="atLeast"/>
          <w:jc w:val="center"/>
        </w:trPr>
        <w:tc>
          <w:tcPr>
            <w:tcW w:w="1060"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c>
          <w:tcPr>
            <w:tcW w:w="8824" w:type="dxa"/>
            <w:gridSpan w:val="8"/>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rPr>
                <w:color w:val="auto"/>
                <w:sz w:val="18"/>
                <w:szCs w:val="18"/>
                <w:lang w:eastAsia="en-US"/>
              </w:rPr>
            </w:pPr>
            <w:r>
              <w:rPr>
                <w:color w:val="auto"/>
                <w:sz w:val="18"/>
                <w:szCs w:val="18"/>
                <w:lang w:eastAsia="en-US"/>
              </w:rPr>
              <w:t>O=应用</w:t>
            </w:r>
          </w:p>
        </w:tc>
      </w:tr>
      <w:tr>
        <w:trPr>
          <w:trHeight w:val="454" w:hRule="atLeast"/>
          <w:jc w:val="center"/>
        </w:trPr>
        <w:tc>
          <w:tcPr>
            <w:tcW w:w="1060"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c>
          <w:tcPr>
            <w:tcW w:w="8824" w:type="dxa"/>
            <w:gridSpan w:val="8"/>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rPr>
                <w:color w:val="auto"/>
                <w:sz w:val="18"/>
                <w:szCs w:val="18"/>
                <w:lang w:eastAsia="en-US"/>
              </w:rPr>
            </w:pPr>
            <w:r>
              <w:rPr>
                <w:color w:val="auto"/>
                <w:sz w:val="18"/>
                <w:szCs w:val="18"/>
                <w:lang w:eastAsia="en-US"/>
              </w:rPr>
              <w:t>A=需要时参与</w:t>
            </w:r>
          </w:p>
        </w:tc>
      </w:tr>
      <w:tr>
        <w:tblPrEx>
          <w:tblCellMar>
            <w:top w:w="0" w:type="dxa"/>
            <w:left w:w="0" w:type="dxa"/>
            <w:bottom w:w="0" w:type="dxa"/>
            <w:right w:w="0" w:type="dxa"/>
          </w:tblCellMar>
        </w:tblPrEx>
        <w:trPr>
          <w:trHeight w:val="454" w:hRule="atLeast"/>
          <w:jc w:val="center"/>
        </w:trPr>
        <w:tc>
          <w:tcPr>
            <w:tcW w:w="1060" w:type="dxa"/>
            <w:vMerge w:val="restart"/>
            <w:tcBorders>
              <w:top w:val="single" w:color="000000" w:sz="4" w:space="0"/>
              <w:left w:val="single" w:color="000000" w:sz="4" w:space="0"/>
              <w:right w:val="single" w:color="000000" w:sz="4" w:space="0"/>
            </w:tcBorders>
            <w:noWrap/>
            <w:vAlign w:val="center"/>
          </w:tcPr>
          <w:p>
            <w:pPr>
              <w:spacing w:before="120" w:after="120"/>
              <w:ind w:firstLine="360"/>
              <w:jc w:val="center"/>
              <w:rPr>
                <w:color w:val="auto"/>
                <w:sz w:val="18"/>
                <w:szCs w:val="18"/>
                <w:lang w:eastAsia="en-US"/>
              </w:rPr>
            </w:pPr>
            <w:r>
              <w:rPr>
                <w:color w:val="auto"/>
                <w:sz w:val="18"/>
                <w:szCs w:val="18"/>
                <w:lang w:eastAsia="en-US"/>
              </w:rPr>
              <w:t>1</w:t>
            </w:r>
          </w:p>
        </w:tc>
        <w:tc>
          <w:tcPr>
            <w:tcW w:w="2859" w:type="dxa"/>
            <w:vMerge w:val="restart"/>
            <w:tcBorders>
              <w:top w:val="single" w:color="000000" w:sz="4" w:space="0"/>
              <w:left w:val="single" w:color="000000" w:sz="4" w:space="0"/>
              <w:right w:val="single" w:color="000000" w:sz="4" w:space="0"/>
            </w:tcBorders>
            <w:noWrap/>
            <w:vAlign w:val="center"/>
          </w:tcPr>
          <w:p>
            <w:pPr>
              <w:spacing w:before="120" w:after="120"/>
              <w:ind w:firstLine="360"/>
              <w:jc w:val="center"/>
              <w:rPr>
                <w:color w:val="auto"/>
                <w:sz w:val="18"/>
                <w:szCs w:val="18"/>
                <w:lang w:eastAsia="en-US"/>
              </w:rPr>
            </w:pPr>
            <w:r>
              <w:rPr>
                <w:color w:val="auto"/>
                <w:sz w:val="18"/>
                <w:szCs w:val="18"/>
                <w:lang w:eastAsia="en-US"/>
              </w:rPr>
              <w:t>BIM前期准备</w:t>
            </w:r>
          </w:p>
        </w:tc>
        <w:tc>
          <w:tcPr>
            <w:tcW w:w="2039" w:type="dxa"/>
            <w:gridSpan w:val="2"/>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r>
              <w:rPr>
                <w:color w:val="auto"/>
                <w:sz w:val="18"/>
                <w:szCs w:val="18"/>
                <w:lang w:eastAsia="en-US"/>
              </w:rPr>
              <w:t>甲方</w:t>
            </w:r>
          </w:p>
        </w:tc>
        <w:tc>
          <w:tcPr>
            <w:tcW w:w="3926" w:type="dxa"/>
            <w:gridSpan w:val="5"/>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r>
              <w:rPr>
                <w:color w:val="auto"/>
                <w:sz w:val="18"/>
                <w:szCs w:val="18"/>
                <w:lang w:eastAsia="en-US"/>
              </w:rPr>
              <w:t>参与方</w:t>
            </w:r>
          </w:p>
        </w:tc>
      </w:tr>
      <w:tr>
        <w:tblPrEx>
          <w:tblCellMar>
            <w:top w:w="0" w:type="dxa"/>
            <w:left w:w="0" w:type="dxa"/>
            <w:bottom w:w="0" w:type="dxa"/>
            <w:right w:w="0" w:type="dxa"/>
          </w:tblCellMar>
        </w:tblPrEx>
        <w:trPr>
          <w:trHeight w:val="454" w:hRule="atLeast"/>
          <w:jc w:val="center"/>
        </w:trPr>
        <w:tc>
          <w:tcPr>
            <w:tcW w:w="1060" w:type="dxa"/>
            <w:vMerge w:val="continue"/>
            <w:tcBorders>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c>
          <w:tcPr>
            <w:tcW w:w="2859" w:type="dxa"/>
            <w:vMerge w:val="continue"/>
            <w:tcBorders>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c>
          <w:tcPr>
            <w:tcW w:w="1025"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ind w:left="176"/>
              <w:jc w:val="center"/>
              <w:rPr>
                <w:rFonts w:ascii="Times New Roman" w:hAnsi="Times New Roman"/>
                <w:color w:val="auto"/>
                <w:sz w:val="18"/>
                <w:szCs w:val="18"/>
              </w:rPr>
            </w:pPr>
            <w:r>
              <w:rPr>
                <w:rFonts w:hint="eastAsia" w:ascii="Times New Roman" w:hAnsi="Times New Roman"/>
                <w:color w:val="auto"/>
                <w:sz w:val="18"/>
                <w:szCs w:val="18"/>
                <w:lang w:eastAsia="zh-CN"/>
              </w:rPr>
              <w:t>代建局前期工作部</w:t>
            </w:r>
          </w:p>
        </w:tc>
        <w:tc>
          <w:tcPr>
            <w:tcW w:w="1014"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ind w:right="1"/>
              <w:jc w:val="center"/>
              <w:rPr>
                <w:rFonts w:ascii="Times New Roman" w:hAnsi="Times New Roman"/>
                <w:color w:val="auto"/>
                <w:sz w:val="18"/>
                <w:szCs w:val="18"/>
                <w:lang w:eastAsia="zh-CN"/>
              </w:rPr>
            </w:pPr>
            <w:r>
              <w:rPr>
                <w:rFonts w:hint="eastAsia" w:ascii="Times New Roman" w:hAnsi="Times New Roman"/>
                <w:color w:val="auto"/>
                <w:sz w:val="18"/>
                <w:szCs w:val="18"/>
                <w:lang w:eastAsia="zh-CN"/>
              </w:rPr>
              <w:t>代建局</w:t>
            </w:r>
            <w:r>
              <w:rPr>
                <w:rFonts w:ascii="Times New Roman" w:hAnsi="Times New Roman"/>
                <w:color w:val="auto"/>
                <w:sz w:val="18"/>
                <w:szCs w:val="18"/>
                <w:lang w:eastAsia="zh-CN"/>
              </w:rPr>
              <w:t>BIM</w:t>
            </w:r>
            <w:r>
              <w:rPr>
                <w:rFonts w:hint="eastAsia" w:ascii="Times New Roman" w:hAnsi="Times New Roman"/>
                <w:color w:val="auto"/>
                <w:sz w:val="18"/>
                <w:szCs w:val="18"/>
                <w:lang w:eastAsia="zh-CN"/>
              </w:rPr>
              <w:t>技术应用管理领导小组</w:t>
            </w:r>
          </w:p>
        </w:tc>
        <w:tc>
          <w:tcPr>
            <w:tcW w:w="873" w:type="dxa"/>
            <w:tcBorders>
              <w:top w:val="single" w:color="000000" w:sz="4" w:space="0"/>
              <w:left w:val="single" w:color="000000" w:sz="4" w:space="0"/>
              <w:bottom w:val="single" w:color="000000" w:sz="4" w:space="0"/>
              <w:right w:val="single" w:color="000000" w:sz="4" w:space="0"/>
            </w:tcBorders>
            <w:noWrap/>
          </w:tcPr>
          <w:p>
            <w:pPr>
              <w:pStyle w:val="480"/>
              <w:spacing w:before="120" w:after="120"/>
              <w:ind w:right="1"/>
              <w:jc w:val="center"/>
              <w:rPr>
                <w:rFonts w:ascii="Times New Roman" w:hAnsi="Times New Roman"/>
                <w:color w:val="auto"/>
                <w:sz w:val="18"/>
                <w:szCs w:val="18"/>
              </w:rPr>
            </w:pPr>
            <w:r>
              <w:rPr>
                <w:rFonts w:ascii="Times New Roman" w:hAnsi="Times New Roman"/>
                <w:color w:val="auto"/>
                <w:sz w:val="18"/>
                <w:szCs w:val="18"/>
              </w:rPr>
              <w:t>BIM</w:t>
            </w:r>
          </w:p>
          <w:p>
            <w:pPr>
              <w:spacing w:before="120" w:after="120"/>
              <w:ind w:firstLine="360"/>
              <w:jc w:val="center"/>
              <w:rPr>
                <w:color w:val="auto"/>
                <w:sz w:val="18"/>
                <w:szCs w:val="18"/>
                <w:lang w:eastAsia="en-US"/>
              </w:rPr>
            </w:pPr>
            <w:r>
              <w:rPr>
                <w:rFonts w:ascii="Times New Roman" w:hAnsi="Times New Roman"/>
                <w:color w:val="auto"/>
                <w:sz w:val="18"/>
                <w:szCs w:val="18"/>
                <w:lang w:eastAsia="en-US"/>
              </w:rPr>
              <w:t>总协调</w:t>
            </w:r>
          </w:p>
        </w:tc>
        <w:tc>
          <w:tcPr>
            <w:tcW w:w="846" w:type="dxa"/>
            <w:tcBorders>
              <w:top w:val="single" w:color="000000" w:sz="4" w:space="0"/>
              <w:left w:val="single" w:color="000000" w:sz="4" w:space="0"/>
              <w:bottom w:val="single" w:color="000000" w:sz="4" w:space="0"/>
              <w:right w:val="single" w:color="000000" w:sz="4" w:space="0"/>
            </w:tcBorders>
            <w:noWrap/>
          </w:tcPr>
          <w:p>
            <w:pPr>
              <w:spacing w:before="120" w:after="120"/>
              <w:ind w:firstLine="360"/>
              <w:jc w:val="center"/>
              <w:rPr>
                <w:color w:val="auto"/>
                <w:sz w:val="18"/>
                <w:szCs w:val="18"/>
                <w:lang w:eastAsia="en-US"/>
              </w:rPr>
            </w:pPr>
          </w:p>
        </w:tc>
        <w:tc>
          <w:tcPr>
            <w:tcW w:w="750" w:type="dxa"/>
            <w:tcBorders>
              <w:top w:val="single" w:color="000000" w:sz="4" w:space="0"/>
              <w:left w:val="single" w:color="000000" w:sz="4" w:space="0"/>
              <w:bottom w:val="single" w:color="000000" w:sz="4" w:space="0"/>
              <w:right w:val="single" w:color="000000" w:sz="4" w:space="0"/>
            </w:tcBorders>
            <w:noWrap/>
          </w:tcPr>
          <w:p>
            <w:pPr>
              <w:spacing w:before="120" w:after="120"/>
              <w:ind w:firstLine="360"/>
              <w:jc w:val="center"/>
              <w:rPr>
                <w:color w:val="auto"/>
                <w:sz w:val="18"/>
                <w:szCs w:val="18"/>
                <w:lang w:eastAsia="en-US"/>
              </w:rPr>
            </w:pPr>
          </w:p>
        </w:tc>
        <w:tc>
          <w:tcPr>
            <w:tcW w:w="726" w:type="dxa"/>
            <w:tcBorders>
              <w:top w:val="single" w:color="000000" w:sz="4" w:space="0"/>
              <w:left w:val="single" w:color="000000" w:sz="4" w:space="0"/>
              <w:bottom w:val="single" w:color="000000" w:sz="4" w:space="0"/>
              <w:right w:val="single" w:color="000000" w:sz="4" w:space="0"/>
            </w:tcBorders>
            <w:noWrap/>
          </w:tcPr>
          <w:p>
            <w:pPr>
              <w:spacing w:before="120" w:after="120"/>
              <w:ind w:firstLine="360"/>
              <w:jc w:val="center"/>
              <w:rPr>
                <w:color w:val="auto"/>
                <w:sz w:val="18"/>
                <w:szCs w:val="18"/>
                <w:lang w:eastAsia="en-US"/>
              </w:rPr>
            </w:pPr>
          </w:p>
        </w:tc>
        <w:tc>
          <w:tcPr>
            <w:tcW w:w="731" w:type="dxa"/>
            <w:tcBorders>
              <w:top w:val="single" w:color="000000" w:sz="4" w:space="0"/>
              <w:left w:val="single" w:color="000000" w:sz="4" w:space="0"/>
              <w:bottom w:val="single" w:color="000000" w:sz="4" w:space="0"/>
              <w:right w:val="single" w:color="000000" w:sz="4" w:space="0"/>
            </w:tcBorders>
            <w:noWrap/>
          </w:tcPr>
          <w:p>
            <w:pPr>
              <w:spacing w:before="120" w:after="120"/>
              <w:ind w:firstLine="360"/>
              <w:jc w:val="center"/>
              <w:rPr>
                <w:color w:val="auto"/>
                <w:sz w:val="18"/>
                <w:szCs w:val="18"/>
                <w:lang w:eastAsia="en-US"/>
              </w:rPr>
            </w:pPr>
          </w:p>
        </w:tc>
      </w:tr>
      <w:tr>
        <w:tblPrEx>
          <w:tblCellMar>
            <w:top w:w="0" w:type="dxa"/>
            <w:left w:w="0" w:type="dxa"/>
            <w:bottom w:w="0" w:type="dxa"/>
            <w:right w:w="0" w:type="dxa"/>
          </w:tblCellMar>
        </w:tblPrEx>
        <w:trPr>
          <w:trHeight w:val="454" w:hRule="atLeast"/>
          <w:jc w:val="center"/>
        </w:trPr>
        <w:tc>
          <w:tcPr>
            <w:tcW w:w="1060"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r>
              <w:rPr>
                <w:color w:val="auto"/>
                <w:sz w:val="18"/>
                <w:szCs w:val="18"/>
                <w:lang w:eastAsia="en-US"/>
              </w:rPr>
              <w:t>1.1</w:t>
            </w:r>
          </w:p>
        </w:tc>
        <w:tc>
          <w:tcPr>
            <w:tcW w:w="2859"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rPr>
            </w:pPr>
            <w:r>
              <w:rPr>
                <w:color w:val="auto"/>
                <w:sz w:val="18"/>
                <w:szCs w:val="18"/>
              </w:rPr>
              <w:t>BIM项目实施可行性分析</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r>
              <w:rPr>
                <w:color w:val="auto"/>
                <w:sz w:val="18"/>
                <w:szCs w:val="18"/>
                <w:lang w:eastAsia="en-US"/>
              </w:rPr>
              <w:t>P</w:t>
            </w:r>
          </w:p>
        </w:tc>
        <w:tc>
          <w:tcPr>
            <w:tcW w:w="1014"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p>
        </w:tc>
        <w:tc>
          <w:tcPr>
            <w:tcW w:w="873"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p>
        </w:tc>
        <w:tc>
          <w:tcPr>
            <w:tcW w:w="846"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p>
        </w:tc>
        <w:tc>
          <w:tcPr>
            <w:tcW w:w="750"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p>
        </w:tc>
        <w:tc>
          <w:tcPr>
            <w:tcW w:w="726"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p>
        </w:tc>
        <w:tc>
          <w:tcPr>
            <w:tcW w:w="731"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r>
      <w:tr>
        <w:tblPrEx>
          <w:tblCellMar>
            <w:top w:w="0" w:type="dxa"/>
            <w:left w:w="0" w:type="dxa"/>
            <w:bottom w:w="0" w:type="dxa"/>
            <w:right w:w="0" w:type="dxa"/>
          </w:tblCellMar>
        </w:tblPrEx>
        <w:trPr>
          <w:trHeight w:val="454" w:hRule="atLeast"/>
          <w:jc w:val="center"/>
        </w:trPr>
        <w:tc>
          <w:tcPr>
            <w:tcW w:w="1060"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r>
              <w:rPr>
                <w:color w:val="auto"/>
                <w:sz w:val="18"/>
                <w:szCs w:val="18"/>
                <w:lang w:eastAsia="en-US"/>
              </w:rPr>
              <w:t>1.2</w:t>
            </w:r>
          </w:p>
        </w:tc>
        <w:tc>
          <w:tcPr>
            <w:tcW w:w="2859"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r>
              <w:rPr>
                <w:rFonts w:hint="eastAsia"/>
                <w:color w:val="auto"/>
                <w:sz w:val="18"/>
                <w:szCs w:val="18"/>
                <w:lang w:eastAsia="en-US"/>
              </w:rPr>
              <w:t>落实B</w:t>
            </w:r>
            <w:r>
              <w:rPr>
                <w:color w:val="auto"/>
                <w:sz w:val="18"/>
                <w:szCs w:val="18"/>
                <w:lang w:eastAsia="en-US"/>
              </w:rPr>
              <w:t>IM</w:t>
            </w:r>
            <w:r>
              <w:rPr>
                <w:rFonts w:hint="eastAsia"/>
                <w:color w:val="auto"/>
                <w:sz w:val="18"/>
                <w:szCs w:val="18"/>
                <w:lang w:eastAsia="en-US"/>
              </w:rPr>
              <w:t>资金情况</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r>
              <w:rPr>
                <w:color w:val="auto"/>
                <w:sz w:val="18"/>
                <w:szCs w:val="18"/>
                <w:lang w:eastAsia="en-US"/>
              </w:rPr>
              <w:t>P</w:t>
            </w:r>
          </w:p>
        </w:tc>
        <w:tc>
          <w:tcPr>
            <w:tcW w:w="1014"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p>
        </w:tc>
        <w:tc>
          <w:tcPr>
            <w:tcW w:w="873"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p>
        </w:tc>
        <w:tc>
          <w:tcPr>
            <w:tcW w:w="846"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p>
        </w:tc>
        <w:tc>
          <w:tcPr>
            <w:tcW w:w="750"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p>
        </w:tc>
        <w:tc>
          <w:tcPr>
            <w:tcW w:w="726"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p>
        </w:tc>
        <w:tc>
          <w:tcPr>
            <w:tcW w:w="731"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r>
      <w:tr>
        <w:tblPrEx>
          <w:tblCellMar>
            <w:top w:w="0" w:type="dxa"/>
            <w:left w:w="0" w:type="dxa"/>
            <w:bottom w:w="0" w:type="dxa"/>
            <w:right w:w="0" w:type="dxa"/>
          </w:tblCellMar>
        </w:tblPrEx>
        <w:trPr>
          <w:trHeight w:val="454" w:hRule="atLeast"/>
          <w:jc w:val="center"/>
        </w:trPr>
        <w:tc>
          <w:tcPr>
            <w:tcW w:w="1060"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r>
              <w:rPr>
                <w:color w:val="auto"/>
                <w:sz w:val="18"/>
                <w:szCs w:val="18"/>
                <w:lang w:eastAsia="en-US"/>
              </w:rPr>
              <w:t>1.3</w:t>
            </w:r>
          </w:p>
        </w:tc>
        <w:tc>
          <w:tcPr>
            <w:tcW w:w="2859"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r>
              <w:rPr>
                <w:color w:val="auto"/>
                <w:sz w:val="18"/>
                <w:szCs w:val="18"/>
                <w:lang w:eastAsia="en-US"/>
              </w:rPr>
              <w:t>制定BIM实施目标</w:t>
            </w:r>
          </w:p>
        </w:tc>
        <w:tc>
          <w:tcPr>
            <w:tcW w:w="2039" w:type="dxa"/>
            <w:gridSpan w:val="2"/>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color w:val="auto"/>
                <w:sz w:val="18"/>
                <w:szCs w:val="18"/>
                <w:lang w:eastAsia="zh-CN"/>
              </w:rPr>
            </w:pPr>
            <w:r>
              <w:rPr>
                <w:rFonts w:hint="eastAsia"/>
                <w:color w:val="auto"/>
                <w:sz w:val="18"/>
                <w:szCs w:val="18"/>
                <w:lang w:eastAsia="zh-CN"/>
              </w:rPr>
              <w:t>P</w:t>
            </w:r>
          </w:p>
        </w:tc>
        <w:tc>
          <w:tcPr>
            <w:tcW w:w="873"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lang w:eastAsia="zh-CN"/>
              </w:rPr>
            </w:pPr>
          </w:p>
        </w:tc>
        <w:tc>
          <w:tcPr>
            <w:tcW w:w="846"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lang w:eastAsia="zh-CN"/>
              </w:rPr>
            </w:pPr>
          </w:p>
        </w:tc>
        <w:tc>
          <w:tcPr>
            <w:tcW w:w="750"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lang w:eastAsia="zh-CN"/>
              </w:rPr>
            </w:pPr>
          </w:p>
        </w:tc>
        <w:tc>
          <w:tcPr>
            <w:tcW w:w="726"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lang w:eastAsia="zh-CN"/>
              </w:rPr>
            </w:pPr>
          </w:p>
        </w:tc>
        <w:tc>
          <w:tcPr>
            <w:tcW w:w="731"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r>
      <w:tr>
        <w:tblPrEx>
          <w:tblCellMar>
            <w:top w:w="0" w:type="dxa"/>
            <w:left w:w="0" w:type="dxa"/>
            <w:bottom w:w="0" w:type="dxa"/>
            <w:right w:w="0" w:type="dxa"/>
          </w:tblCellMar>
        </w:tblPrEx>
        <w:trPr>
          <w:trHeight w:val="454" w:hRule="atLeast"/>
          <w:jc w:val="center"/>
        </w:trPr>
        <w:tc>
          <w:tcPr>
            <w:tcW w:w="1060"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r>
              <w:rPr>
                <w:color w:val="auto"/>
                <w:sz w:val="18"/>
                <w:szCs w:val="18"/>
                <w:lang w:eastAsia="en-US"/>
              </w:rPr>
              <w:t>1.4</w:t>
            </w:r>
          </w:p>
        </w:tc>
        <w:tc>
          <w:tcPr>
            <w:tcW w:w="2859"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r>
              <w:rPr>
                <w:color w:val="auto"/>
                <w:sz w:val="18"/>
                <w:szCs w:val="18"/>
                <w:lang w:eastAsia="en-US"/>
              </w:rPr>
              <w:t>确定BIM组织方式</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r>
              <w:rPr>
                <w:color w:val="auto"/>
                <w:sz w:val="18"/>
                <w:szCs w:val="18"/>
                <w:lang w:eastAsia="en-US"/>
              </w:rPr>
              <w:t>P</w:t>
            </w:r>
          </w:p>
        </w:tc>
        <w:tc>
          <w:tcPr>
            <w:tcW w:w="1014"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lang w:eastAsia="zh-CN"/>
              </w:rPr>
            </w:pPr>
          </w:p>
        </w:tc>
        <w:tc>
          <w:tcPr>
            <w:tcW w:w="873"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p>
        </w:tc>
        <w:tc>
          <w:tcPr>
            <w:tcW w:w="846"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p>
        </w:tc>
        <w:tc>
          <w:tcPr>
            <w:tcW w:w="750"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p>
        </w:tc>
        <w:tc>
          <w:tcPr>
            <w:tcW w:w="726"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p>
        </w:tc>
        <w:tc>
          <w:tcPr>
            <w:tcW w:w="731"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r>
      <w:tr>
        <w:tblPrEx>
          <w:tblCellMar>
            <w:top w:w="0" w:type="dxa"/>
            <w:left w:w="0" w:type="dxa"/>
            <w:bottom w:w="0" w:type="dxa"/>
            <w:right w:w="0" w:type="dxa"/>
          </w:tblCellMar>
        </w:tblPrEx>
        <w:trPr>
          <w:trHeight w:val="454" w:hRule="atLeast"/>
          <w:jc w:val="center"/>
        </w:trPr>
        <w:tc>
          <w:tcPr>
            <w:tcW w:w="1060"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r>
              <w:rPr>
                <w:color w:val="auto"/>
                <w:sz w:val="18"/>
                <w:szCs w:val="18"/>
                <w:lang w:eastAsia="en-US"/>
              </w:rPr>
              <w:t>1.5</w:t>
            </w:r>
          </w:p>
        </w:tc>
        <w:tc>
          <w:tcPr>
            <w:tcW w:w="2859"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r>
              <w:rPr>
                <w:color w:val="auto"/>
                <w:sz w:val="18"/>
                <w:szCs w:val="18"/>
                <w:lang w:eastAsia="en-US"/>
              </w:rPr>
              <w:t>确定相关单位职责</w:t>
            </w:r>
          </w:p>
        </w:tc>
        <w:tc>
          <w:tcPr>
            <w:tcW w:w="2039" w:type="dxa"/>
            <w:gridSpan w:val="2"/>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r>
              <w:rPr>
                <w:color w:val="auto"/>
                <w:sz w:val="18"/>
                <w:szCs w:val="18"/>
              </w:rPr>
              <w:t>P</w:t>
            </w:r>
          </w:p>
        </w:tc>
        <w:tc>
          <w:tcPr>
            <w:tcW w:w="873"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lang w:eastAsia="zh-CN"/>
              </w:rPr>
            </w:pPr>
            <w:r>
              <w:rPr>
                <w:rFonts w:hint="eastAsia" w:ascii="Times New Roman" w:hAnsi="Times New Roman"/>
                <w:color w:val="auto"/>
                <w:sz w:val="18"/>
                <w:szCs w:val="18"/>
                <w:lang w:eastAsia="zh-CN"/>
              </w:rPr>
              <w:t>S</w:t>
            </w:r>
          </w:p>
        </w:tc>
        <w:tc>
          <w:tcPr>
            <w:tcW w:w="846"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p>
        </w:tc>
        <w:tc>
          <w:tcPr>
            <w:tcW w:w="750"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p>
        </w:tc>
        <w:tc>
          <w:tcPr>
            <w:tcW w:w="726"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p>
        </w:tc>
        <w:tc>
          <w:tcPr>
            <w:tcW w:w="731"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r>
      <w:tr>
        <w:trPr>
          <w:trHeight w:val="454" w:hRule="atLeast"/>
          <w:jc w:val="center"/>
        </w:trPr>
        <w:tc>
          <w:tcPr>
            <w:tcW w:w="1060"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r>
              <w:rPr>
                <w:color w:val="auto"/>
                <w:sz w:val="18"/>
                <w:szCs w:val="18"/>
                <w:lang w:eastAsia="en-US"/>
              </w:rPr>
              <w:t>1.6</w:t>
            </w:r>
          </w:p>
        </w:tc>
        <w:tc>
          <w:tcPr>
            <w:tcW w:w="2859"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r>
              <w:rPr>
                <w:color w:val="auto"/>
                <w:sz w:val="18"/>
                <w:szCs w:val="18"/>
                <w:lang w:eastAsia="en-US"/>
              </w:rPr>
              <w:t>确定BIM实施大纲</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c>
          <w:tcPr>
            <w:tcW w:w="1014"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r>
              <w:rPr>
                <w:color w:val="auto"/>
                <w:sz w:val="18"/>
                <w:szCs w:val="18"/>
              </w:rPr>
              <w:t>R</w:t>
            </w:r>
          </w:p>
        </w:tc>
        <w:tc>
          <w:tcPr>
            <w:tcW w:w="873"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r>
              <w:rPr>
                <w:rFonts w:ascii="Times New Roman" w:hAnsi="Times New Roman"/>
                <w:color w:val="auto"/>
                <w:sz w:val="18"/>
                <w:szCs w:val="18"/>
              </w:rPr>
              <w:t>P</w:t>
            </w:r>
          </w:p>
        </w:tc>
        <w:tc>
          <w:tcPr>
            <w:tcW w:w="846"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p>
        </w:tc>
        <w:tc>
          <w:tcPr>
            <w:tcW w:w="750"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p>
        </w:tc>
        <w:tc>
          <w:tcPr>
            <w:tcW w:w="726"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p>
        </w:tc>
        <w:tc>
          <w:tcPr>
            <w:tcW w:w="731"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r>
      <w:tr>
        <w:tblPrEx>
          <w:tblCellMar>
            <w:top w:w="0" w:type="dxa"/>
            <w:left w:w="0" w:type="dxa"/>
            <w:bottom w:w="0" w:type="dxa"/>
            <w:right w:w="0" w:type="dxa"/>
          </w:tblCellMar>
        </w:tblPrEx>
        <w:trPr>
          <w:trHeight w:val="454" w:hRule="atLeast"/>
          <w:jc w:val="center"/>
        </w:trPr>
        <w:tc>
          <w:tcPr>
            <w:tcW w:w="1060"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r>
              <w:rPr>
                <w:color w:val="auto"/>
                <w:sz w:val="18"/>
                <w:szCs w:val="18"/>
                <w:lang w:eastAsia="en-US"/>
              </w:rPr>
              <w:t>1.7</w:t>
            </w:r>
          </w:p>
        </w:tc>
        <w:tc>
          <w:tcPr>
            <w:tcW w:w="2859"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rPr>
            </w:pPr>
            <w:r>
              <w:rPr>
                <w:color w:val="auto"/>
                <w:sz w:val="18"/>
                <w:szCs w:val="18"/>
              </w:rPr>
              <w:t>制定BIM实施总体计划</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rPr>
            </w:pPr>
          </w:p>
        </w:tc>
        <w:tc>
          <w:tcPr>
            <w:tcW w:w="1014"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r>
              <w:rPr>
                <w:color w:val="auto"/>
                <w:sz w:val="18"/>
                <w:szCs w:val="18"/>
              </w:rPr>
              <w:t>R</w:t>
            </w:r>
          </w:p>
        </w:tc>
        <w:tc>
          <w:tcPr>
            <w:tcW w:w="873"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r>
              <w:rPr>
                <w:rFonts w:ascii="Times New Roman" w:hAnsi="Times New Roman"/>
                <w:color w:val="auto"/>
                <w:sz w:val="18"/>
                <w:szCs w:val="18"/>
              </w:rPr>
              <w:t>P</w:t>
            </w:r>
          </w:p>
        </w:tc>
        <w:tc>
          <w:tcPr>
            <w:tcW w:w="846"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p>
        </w:tc>
        <w:tc>
          <w:tcPr>
            <w:tcW w:w="750"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p>
        </w:tc>
        <w:tc>
          <w:tcPr>
            <w:tcW w:w="726"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p>
        </w:tc>
        <w:tc>
          <w:tcPr>
            <w:tcW w:w="731"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r>
      <w:tr>
        <w:tblPrEx>
          <w:tblCellMar>
            <w:top w:w="0" w:type="dxa"/>
            <w:left w:w="0" w:type="dxa"/>
            <w:bottom w:w="0" w:type="dxa"/>
            <w:right w:w="0" w:type="dxa"/>
          </w:tblCellMar>
        </w:tblPrEx>
        <w:trPr>
          <w:trHeight w:val="454" w:hRule="atLeast"/>
          <w:jc w:val="center"/>
        </w:trPr>
        <w:tc>
          <w:tcPr>
            <w:tcW w:w="1060"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r>
              <w:rPr>
                <w:color w:val="auto"/>
                <w:sz w:val="18"/>
                <w:szCs w:val="18"/>
                <w:lang w:eastAsia="en-US"/>
              </w:rPr>
              <w:t>1.8</w:t>
            </w:r>
          </w:p>
        </w:tc>
        <w:tc>
          <w:tcPr>
            <w:tcW w:w="2859"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r>
              <w:rPr>
                <w:color w:val="auto"/>
                <w:sz w:val="18"/>
                <w:szCs w:val="18"/>
                <w:lang w:eastAsia="en-US"/>
              </w:rPr>
              <w:t>开通项目协同平台</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c>
          <w:tcPr>
            <w:tcW w:w="1014"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r>
              <w:rPr>
                <w:color w:val="auto"/>
                <w:sz w:val="18"/>
                <w:szCs w:val="18"/>
              </w:rPr>
              <w:t>P</w:t>
            </w:r>
          </w:p>
        </w:tc>
        <w:tc>
          <w:tcPr>
            <w:tcW w:w="873"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r>
              <w:rPr>
                <w:rFonts w:ascii="Times New Roman" w:hAnsi="Times New Roman"/>
                <w:color w:val="auto"/>
                <w:sz w:val="18"/>
                <w:szCs w:val="18"/>
              </w:rPr>
              <w:t>S</w:t>
            </w:r>
          </w:p>
        </w:tc>
        <w:tc>
          <w:tcPr>
            <w:tcW w:w="846"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p>
        </w:tc>
        <w:tc>
          <w:tcPr>
            <w:tcW w:w="750"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p>
        </w:tc>
        <w:tc>
          <w:tcPr>
            <w:tcW w:w="726"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p>
        </w:tc>
        <w:tc>
          <w:tcPr>
            <w:tcW w:w="731"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r>
      <w:tr>
        <w:tblPrEx>
          <w:tblCellMar>
            <w:top w:w="0" w:type="dxa"/>
            <w:left w:w="0" w:type="dxa"/>
            <w:bottom w:w="0" w:type="dxa"/>
            <w:right w:w="0" w:type="dxa"/>
          </w:tblCellMar>
        </w:tblPrEx>
        <w:trPr>
          <w:trHeight w:val="454" w:hRule="atLeast"/>
          <w:jc w:val="center"/>
        </w:trPr>
        <w:tc>
          <w:tcPr>
            <w:tcW w:w="1060" w:type="dxa"/>
            <w:vMerge w:val="restart"/>
            <w:tcBorders>
              <w:top w:val="single" w:color="000000" w:sz="4" w:space="0"/>
              <w:left w:val="single" w:color="000000" w:sz="4" w:space="0"/>
              <w:right w:val="single" w:color="000000" w:sz="4" w:space="0"/>
            </w:tcBorders>
            <w:noWrap/>
            <w:vAlign w:val="center"/>
          </w:tcPr>
          <w:p>
            <w:pPr>
              <w:spacing w:before="120" w:after="120"/>
              <w:ind w:firstLine="360"/>
              <w:jc w:val="center"/>
              <w:rPr>
                <w:color w:val="auto"/>
                <w:sz w:val="18"/>
                <w:szCs w:val="18"/>
                <w:lang w:eastAsia="en-US"/>
              </w:rPr>
            </w:pPr>
            <w:r>
              <w:rPr>
                <w:color w:val="auto"/>
                <w:sz w:val="18"/>
                <w:szCs w:val="18"/>
                <w:lang w:eastAsia="en-US"/>
              </w:rPr>
              <w:t>2</w:t>
            </w:r>
          </w:p>
        </w:tc>
        <w:tc>
          <w:tcPr>
            <w:tcW w:w="2859" w:type="dxa"/>
            <w:vMerge w:val="restart"/>
            <w:tcBorders>
              <w:top w:val="single" w:color="000000" w:sz="4" w:space="0"/>
              <w:left w:val="single" w:color="000000" w:sz="4" w:space="0"/>
              <w:right w:val="single" w:color="000000" w:sz="4" w:space="0"/>
            </w:tcBorders>
            <w:noWrap/>
            <w:vAlign w:val="center"/>
          </w:tcPr>
          <w:p>
            <w:pPr>
              <w:spacing w:before="120" w:after="120"/>
              <w:ind w:firstLine="360"/>
              <w:jc w:val="center"/>
              <w:rPr>
                <w:color w:val="auto"/>
                <w:sz w:val="18"/>
                <w:szCs w:val="18"/>
                <w:lang w:eastAsia="en-US"/>
              </w:rPr>
            </w:pPr>
            <w:r>
              <w:rPr>
                <w:color w:val="auto"/>
                <w:sz w:val="18"/>
                <w:szCs w:val="18"/>
                <w:lang w:eastAsia="en-US"/>
              </w:rPr>
              <w:t>BIM设计阶段</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r>
              <w:rPr>
                <w:color w:val="auto"/>
                <w:sz w:val="18"/>
                <w:szCs w:val="18"/>
                <w:lang w:eastAsia="en-US"/>
              </w:rPr>
              <w:t>甲方</w:t>
            </w:r>
          </w:p>
        </w:tc>
        <w:tc>
          <w:tcPr>
            <w:tcW w:w="4940" w:type="dxa"/>
            <w:gridSpan w:val="6"/>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r>
              <w:rPr>
                <w:color w:val="auto"/>
                <w:sz w:val="18"/>
                <w:szCs w:val="18"/>
                <w:lang w:eastAsia="en-US"/>
              </w:rPr>
              <w:t>参与方</w:t>
            </w:r>
          </w:p>
        </w:tc>
      </w:tr>
      <w:tr>
        <w:tblPrEx>
          <w:tblCellMar>
            <w:top w:w="0" w:type="dxa"/>
            <w:left w:w="0" w:type="dxa"/>
            <w:bottom w:w="0" w:type="dxa"/>
            <w:right w:w="0" w:type="dxa"/>
          </w:tblCellMar>
        </w:tblPrEx>
        <w:trPr>
          <w:trHeight w:val="454" w:hRule="atLeast"/>
          <w:jc w:val="center"/>
        </w:trPr>
        <w:tc>
          <w:tcPr>
            <w:tcW w:w="1060" w:type="dxa"/>
            <w:vMerge w:val="continue"/>
            <w:tcBorders>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c>
          <w:tcPr>
            <w:tcW w:w="2859" w:type="dxa"/>
            <w:vMerge w:val="continue"/>
            <w:tcBorders>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c>
          <w:tcPr>
            <w:tcW w:w="1025"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lang w:eastAsia="zh-CN"/>
              </w:rPr>
            </w:pPr>
            <w:r>
              <w:rPr>
                <w:rFonts w:hint="eastAsia" w:ascii="Times New Roman" w:hAnsi="Times New Roman"/>
                <w:color w:val="auto"/>
                <w:sz w:val="18"/>
                <w:szCs w:val="18"/>
                <w:lang w:eastAsia="zh-CN"/>
              </w:rPr>
              <w:t>代建局前期工作部、</w:t>
            </w:r>
          </w:p>
          <w:p>
            <w:pPr>
              <w:pStyle w:val="480"/>
              <w:spacing w:before="120" w:after="120"/>
              <w:jc w:val="center"/>
              <w:rPr>
                <w:rFonts w:ascii="Times New Roman" w:hAnsi="Times New Roman"/>
                <w:color w:val="auto"/>
                <w:sz w:val="18"/>
                <w:szCs w:val="18"/>
                <w:lang w:eastAsia="zh-CN"/>
              </w:rPr>
            </w:pPr>
            <w:r>
              <w:rPr>
                <w:rFonts w:ascii="Times New Roman" w:hAnsi="Times New Roman"/>
                <w:color w:val="auto"/>
                <w:sz w:val="18"/>
                <w:szCs w:val="18"/>
                <w:lang w:eastAsia="zh-CN"/>
              </w:rPr>
              <w:t>BIM总协调</w:t>
            </w:r>
          </w:p>
        </w:tc>
        <w:tc>
          <w:tcPr>
            <w:tcW w:w="1014"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r>
              <w:rPr>
                <w:rFonts w:ascii="Times New Roman" w:hAnsi="Times New Roman"/>
                <w:color w:val="auto"/>
                <w:sz w:val="18"/>
                <w:szCs w:val="18"/>
              </w:rPr>
              <w:t>设计</w:t>
            </w:r>
          </w:p>
        </w:tc>
        <w:tc>
          <w:tcPr>
            <w:tcW w:w="873"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ind w:left="210"/>
              <w:jc w:val="center"/>
              <w:rPr>
                <w:rFonts w:ascii="Times New Roman" w:hAnsi="Times New Roman"/>
                <w:color w:val="auto"/>
                <w:sz w:val="18"/>
                <w:szCs w:val="18"/>
              </w:rPr>
            </w:pPr>
          </w:p>
        </w:tc>
        <w:tc>
          <w:tcPr>
            <w:tcW w:w="846"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ascii="Times New Roman" w:hAnsi="Times New Roman"/>
                <w:color w:val="auto"/>
                <w:sz w:val="18"/>
                <w:szCs w:val="18"/>
                <w:lang w:eastAsia="en-US"/>
              </w:rPr>
            </w:pPr>
          </w:p>
        </w:tc>
        <w:tc>
          <w:tcPr>
            <w:tcW w:w="750"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ascii="Times New Roman" w:hAnsi="Times New Roman"/>
                <w:color w:val="auto"/>
                <w:sz w:val="18"/>
                <w:szCs w:val="18"/>
                <w:lang w:eastAsia="en-US"/>
              </w:rPr>
            </w:pPr>
          </w:p>
        </w:tc>
        <w:tc>
          <w:tcPr>
            <w:tcW w:w="726"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ascii="Times New Roman" w:hAnsi="Times New Roman"/>
                <w:color w:val="auto"/>
                <w:sz w:val="18"/>
                <w:szCs w:val="18"/>
                <w:lang w:eastAsia="en-US"/>
              </w:rPr>
            </w:pPr>
          </w:p>
        </w:tc>
        <w:tc>
          <w:tcPr>
            <w:tcW w:w="731"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rFonts w:ascii="Times New Roman" w:hAnsi="Times New Roman"/>
                <w:color w:val="auto"/>
                <w:sz w:val="18"/>
                <w:szCs w:val="18"/>
                <w:lang w:eastAsia="en-US"/>
              </w:rPr>
            </w:pPr>
          </w:p>
        </w:tc>
      </w:tr>
      <w:tr>
        <w:tblPrEx>
          <w:tblCellMar>
            <w:top w:w="0" w:type="dxa"/>
            <w:left w:w="0" w:type="dxa"/>
            <w:bottom w:w="0" w:type="dxa"/>
            <w:right w:w="0" w:type="dxa"/>
          </w:tblCellMar>
        </w:tblPrEx>
        <w:trPr>
          <w:trHeight w:val="454" w:hRule="atLeast"/>
          <w:jc w:val="center"/>
        </w:trPr>
        <w:tc>
          <w:tcPr>
            <w:tcW w:w="1060"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r>
              <w:rPr>
                <w:color w:val="auto"/>
                <w:sz w:val="18"/>
                <w:szCs w:val="18"/>
                <w:lang w:eastAsia="en-US"/>
              </w:rPr>
              <w:t>2.1</w:t>
            </w:r>
          </w:p>
        </w:tc>
        <w:tc>
          <w:tcPr>
            <w:tcW w:w="2859"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rPr>
            </w:pPr>
            <w:r>
              <w:rPr>
                <w:color w:val="auto"/>
                <w:sz w:val="18"/>
                <w:szCs w:val="18"/>
              </w:rPr>
              <w:t>制定设计阶段实施细则</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r>
              <w:rPr>
                <w:color w:val="auto"/>
                <w:sz w:val="18"/>
                <w:szCs w:val="18"/>
                <w:lang w:eastAsia="en-US"/>
              </w:rPr>
              <w:t>P</w:t>
            </w:r>
          </w:p>
        </w:tc>
        <w:tc>
          <w:tcPr>
            <w:tcW w:w="1014"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r>
              <w:rPr>
                <w:rFonts w:ascii="Times New Roman" w:hAnsi="Times New Roman"/>
                <w:color w:val="auto"/>
                <w:sz w:val="18"/>
                <w:szCs w:val="18"/>
              </w:rPr>
              <w:t>S</w:t>
            </w:r>
          </w:p>
        </w:tc>
        <w:tc>
          <w:tcPr>
            <w:tcW w:w="873"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p>
        </w:tc>
        <w:tc>
          <w:tcPr>
            <w:tcW w:w="846"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p>
        </w:tc>
        <w:tc>
          <w:tcPr>
            <w:tcW w:w="750"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p>
        </w:tc>
        <w:tc>
          <w:tcPr>
            <w:tcW w:w="726"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p>
        </w:tc>
        <w:tc>
          <w:tcPr>
            <w:tcW w:w="731"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p>
        </w:tc>
      </w:tr>
      <w:tr>
        <w:tblPrEx>
          <w:tblCellMar>
            <w:top w:w="0" w:type="dxa"/>
            <w:left w:w="0" w:type="dxa"/>
            <w:bottom w:w="0" w:type="dxa"/>
            <w:right w:w="0" w:type="dxa"/>
          </w:tblCellMar>
        </w:tblPrEx>
        <w:trPr>
          <w:trHeight w:val="454" w:hRule="atLeast"/>
          <w:jc w:val="center"/>
        </w:trPr>
        <w:tc>
          <w:tcPr>
            <w:tcW w:w="1060"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r>
              <w:rPr>
                <w:color w:val="auto"/>
                <w:sz w:val="18"/>
                <w:szCs w:val="18"/>
                <w:lang w:eastAsia="en-US"/>
              </w:rPr>
              <w:t>2.2</w:t>
            </w:r>
          </w:p>
        </w:tc>
        <w:tc>
          <w:tcPr>
            <w:tcW w:w="2859"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r>
              <w:rPr>
                <w:color w:val="auto"/>
                <w:sz w:val="18"/>
                <w:szCs w:val="18"/>
                <w:lang w:eastAsia="en-US"/>
              </w:rPr>
              <w:t>分配设计协同权限</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r>
              <w:rPr>
                <w:color w:val="auto"/>
                <w:sz w:val="18"/>
                <w:szCs w:val="18"/>
                <w:lang w:eastAsia="en-US"/>
              </w:rPr>
              <w:t>P</w:t>
            </w:r>
          </w:p>
        </w:tc>
        <w:tc>
          <w:tcPr>
            <w:tcW w:w="1014"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r>
              <w:rPr>
                <w:rFonts w:ascii="Times New Roman" w:hAnsi="Times New Roman"/>
                <w:color w:val="auto"/>
                <w:sz w:val="18"/>
                <w:szCs w:val="18"/>
              </w:rPr>
              <w:t>A</w:t>
            </w:r>
          </w:p>
        </w:tc>
        <w:tc>
          <w:tcPr>
            <w:tcW w:w="873"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p>
        </w:tc>
        <w:tc>
          <w:tcPr>
            <w:tcW w:w="846"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p>
        </w:tc>
        <w:tc>
          <w:tcPr>
            <w:tcW w:w="750"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p>
        </w:tc>
        <w:tc>
          <w:tcPr>
            <w:tcW w:w="726"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p>
        </w:tc>
        <w:tc>
          <w:tcPr>
            <w:tcW w:w="731"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p>
        </w:tc>
      </w:tr>
      <w:tr>
        <w:tblPrEx>
          <w:tblCellMar>
            <w:top w:w="0" w:type="dxa"/>
            <w:left w:w="0" w:type="dxa"/>
            <w:bottom w:w="0" w:type="dxa"/>
            <w:right w:w="0" w:type="dxa"/>
          </w:tblCellMar>
        </w:tblPrEx>
        <w:trPr>
          <w:trHeight w:val="454" w:hRule="atLeast"/>
          <w:jc w:val="center"/>
        </w:trPr>
        <w:tc>
          <w:tcPr>
            <w:tcW w:w="1060"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r>
              <w:rPr>
                <w:color w:val="auto"/>
                <w:sz w:val="18"/>
                <w:szCs w:val="18"/>
                <w:lang w:eastAsia="en-US"/>
              </w:rPr>
              <w:t>2.3</w:t>
            </w:r>
          </w:p>
        </w:tc>
        <w:tc>
          <w:tcPr>
            <w:tcW w:w="2859"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r>
              <w:rPr>
                <w:color w:val="auto"/>
                <w:sz w:val="18"/>
                <w:szCs w:val="18"/>
                <w:lang w:eastAsia="en-US"/>
              </w:rPr>
              <w:t>搭建方案模型</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r>
              <w:rPr>
                <w:color w:val="auto"/>
                <w:sz w:val="18"/>
                <w:szCs w:val="18"/>
                <w:lang w:eastAsia="en-US"/>
              </w:rPr>
              <w:t>R</w:t>
            </w:r>
          </w:p>
        </w:tc>
        <w:tc>
          <w:tcPr>
            <w:tcW w:w="1014"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r>
              <w:rPr>
                <w:rFonts w:ascii="Times New Roman" w:hAnsi="Times New Roman"/>
                <w:color w:val="auto"/>
                <w:sz w:val="18"/>
                <w:szCs w:val="18"/>
              </w:rPr>
              <w:t>P/I</w:t>
            </w:r>
          </w:p>
        </w:tc>
        <w:tc>
          <w:tcPr>
            <w:tcW w:w="873"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p>
        </w:tc>
        <w:tc>
          <w:tcPr>
            <w:tcW w:w="846"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p>
        </w:tc>
        <w:tc>
          <w:tcPr>
            <w:tcW w:w="750"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p>
        </w:tc>
        <w:tc>
          <w:tcPr>
            <w:tcW w:w="726"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p>
        </w:tc>
        <w:tc>
          <w:tcPr>
            <w:tcW w:w="731"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p>
        </w:tc>
      </w:tr>
      <w:tr>
        <w:tblPrEx>
          <w:tblCellMar>
            <w:top w:w="0" w:type="dxa"/>
            <w:left w:w="0" w:type="dxa"/>
            <w:bottom w:w="0" w:type="dxa"/>
            <w:right w:w="0" w:type="dxa"/>
          </w:tblCellMar>
        </w:tblPrEx>
        <w:trPr>
          <w:trHeight w:val="454" w:hRule="atLeast"/>
          <w:jc w:val="center"/>
        </w:trPr>
        <w:tc>
          <w:tcPr>
            <w:tcW w:w="1060"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r>
              <w:rPr>
                <w:color w:val="auto"/>
                <w:sz w:val="18"/>
                <w:szCs w:val="18"/>
                <w:lang w:eastAsia="en-US"/>
              </w:rPr>
              <w:t>2.4</w:t>
            </w:r>
          </w:p>
        </w:tc>
        <w:tc>
          <w:tcPr>
            <w:tcW w:w="2859"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rPr>
            </w:pPr>
            <w:r>
              <w:rPr>
                <w:color w:val="auto"/>
                <w:sz w:val="18"/>
                <w:szCs w:val="18"/>
              </w:rPr>
              <w:t>方案BIM分析及应用</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r>
              <w:rPr>
                <w:color w:val="auto"/>
                <w:sz w:val="18"/>
                <w:szCs w:val="18"/>
                <w:lang w:eastAsia="en-US"/>
              </w:rPr>
              <w:t>S</w:t>
            </w:r>
          </w:p>
        </w:tc>
        <w:tc>
          <w:tcPr>
            <w:tcW w:w="1014"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r>
              <w:rPr>
                <w:rFonts w:ascii="Times New Roman" w:hAnsi="Times New Roman"/>
                <w:color w:val="auto"/>
                <w:sz w:val="18"/>
                <w:szCs w:val="18"/>
              </w:rPr>
              <w:t>P/O</w:t>
            </w:r>
          </w:p>
        </w:tc>
        <w:tc>
          <w:tcPr>
            <w:tcW w:w="873"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p>
        </w:tc>
        <w:tc>
          <w:tcPr>
            <w:tcW w:w="846"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p>
        </w:tc>
        <w:tc>
          <w:tcPr>
            <w:tcW w:w="750"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p>
        </w:tc>
        <w:tc>
          <w:tcPr>
            <w:tcW w:w="726"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p>
        </w:tc>
        <w:tc>
          <w:tcPr>
            <w:tcW w:w="731"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p>
        </w:tc>
      </w:tr>
      <w:tr>
        <w:tblPrEx>
          <w:tblCellMar>
            <w:top w:w="0" w:type="dxa"/>
            <w:left w:w="0" w:type="dxa"/>
            <w:bottom w:w="0" w:type="dxa"/>
            <w:right w:w="0" w:type="dxa"/>
          </w:tblCellMar>
        </w:tblPrEx>
        <w:trPr>
          <w:trHeight w:val="454" w:hRule="atLeast"/>
          <w:jc w:val="center"/>
        </w:trPr>
        <w:tc>
          <w:tcPr>
            <w:tcW w:w="1060"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r>
              <w:rPr>
                <w:color w:val="auto"/>
                <w:sz w:val="18"/>
                <w:szCs w:val="18"/>
                <w:lang w:eastAsia="en-US"/>
              </w:rPr>
              <w:t>2.5</w:t>
            </w:r>
          </w:p>
        </w:tc>
        <w:tc>
          <w:tcPr>
            <w:tcW w:w="2859"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r>
              <w:rPr>
                <w:color w:val="auto"/>
                <w:sz w:val="18"/>
                <w:szCs w:val="18"/>
                <w:lang w:eastAsia="en-US"/>
              </w:rPr>
              <w:t>提交方案成果</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r>
              <w:rPr>
                <w:color w:val="auto"/>
                <w:sz w:val="18"/>
                <w:szCs w:val="18"/>
                <w:lang w:eastAsia="en-US"/>
              </w:rPr>
              <w:t>R</w:t>
            </w:r>
          </w:p>
        </w:tc>
        <w:tc>
          <w:tcPr>
            <w:tcW w:w="1014"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r>
              <w:rPr>
                <w:rFonts w:ascii="Times New Roman" w:hAnsi="Times New Roman"/>
                <w:color w:val="auto"/>
                <w:sz w:val="18"/>
                <w:szCs w:val="18"/>
              </w:rPr>
              <w:t>P</w:t>
            </w:r>
          </w:p>
        </w:tc>
        <w:tc>
          <w:tcPr>
            <w:tcW w:w="873"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p>
        </w:tc>
        <w:tc>
          <w:tcPr>
            <w:tcW w:w="846"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p>
        </w:tc>
        <w:tc>
          <w:tcPr>
            <w:tcW w:w="750"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p>
        </w:tc>
        <w:tc>
          <w:tcPr>
            <w:tcW w:w="726"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p>
        </w:tc>
        <w:tc>
          <w:tcPr>
            <w:tcW w:w="731"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p>
        </w:tc>
      </w:tr>
      <w:tr>
        <w:tblPrEx>
          <w:tblCellMar>
            <w:top w:w="0" w:type="dxa"/>
            <w:left w:w="0" w:type="dxa"/>
            <w:bottom w:w="0" w:type="dxa"/>
            <w:right w:w="0" w:type="dxa"/>
          </w:tblCellMar>
        </w:tblPrEx>
        <w:trPr>
          <w:trHeight w:val="454" w:hRule="atLeast"/>
          <w:jc w:val="center"/>
        </w:trPr>
        <w:tc>
          <w:tcPr>
            <w:tcW w:w="1060"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r>
              <w:rPr>
                <w:color w:val="auto"/>
                <w:sz w:val="18"/>
                <w:szCs w:val="18"/>
                <w:lang w:eastAsia="en-US"/>
              </w:rPr>
              <w:t>2.6</w:t>
            </w:r>
          </w:p>
        </w:tc>
        <w:tc>
          <w:tcPr>
            <w:tcW w:w="2859"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r>
              <w:rPr>
                <w:color w:val="auto"/>
                <w:sz w:val="18"/>
                <w:szCs w:val="18"/>
                <w:lang w:eastAsia="en-US"/>
              </w:rPr>
              <w:t>初设阶段模型</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r>
              <w:rPr>
                <w:color w:val="auto"/>
                <w:sz w:val="18"/>
                <w:szCs w:val="18"/>
                <w:lang w:eastAsia="en-US"/>
              </w:rPr>
              <w:t>R</w:t>
            </w:r>
          </w:p>
        </w:tc>
        <w:tc>
          <w:tcPr>
            <w:tcW w:w="1014"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r>
              <w:rPr>
                <w:rFonts w:ascii="Times New Roman" w:hAnsi="Times New Roman"/>
                <w:color w:val="auto"/>
                <w:sz w:val="18"/>
                <w:szCs w:val="18"/>
              </w:rPr>
              <w:t>P/I</w:t>
            </w:r>
          </w:p>
        </w:tc>
        <w:tc>
          <w:tcPr>
            <w:tcW w:w="873"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p>
        </w:tc>
        <w:tc>
          <w:tcPr>
            <w:tcW w:w="846"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p>
        </w:tc>
        <w:tc>
          <w:tcPr>
            <w:tcW w:w="750"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p>
        </w:tc>
        <w:tc>
          <w:tcPr>
            <w:tcW w:w="726"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p>
        </w:tc>
        <w:tc>
          <w:tcPr>
            <w:tcW w:w="731"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p>
        </w:tc>
      </w:tr>
      <w:tr>
        <w:tblPrEx>
          <w:tblCellMar>
            <w:top w:w="0" w:type="dxa"/>
            <w:left w:w="0" w:type="dxa"/>
            <w:bottom w:w="0" w:type="dxa"/>
            <w:right w:w="0" w:type="dxa"/>
          </w:tblCellMar>
        </w:tblPrEx>
        <w:trPr>
          <w:trHeight w:val="454" w:hRule="atLeast"/>
          <w:jc w:val="center"/>
        </w:trPr>
        <w:tc>
          <w:tcPr>
            <w:tcW w:w="1060"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r>
              <w:rPr>
                <w:color w:val="auto"/>
                <w:sz w:val="18"/>
                <w:szCs w:val="18"/>
                <w:lang w:eastAsia="en-US"/>
              </w:rPr>
              <w:t>2.7</w:t>
            </w:r>
          </w:p>
        </w:tc>
        <w:tc>
          <w:tcPr>
            <w:tcW w:w="2859"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rPr>
            </w:pPr>
            <w:r>
              <w:rPr>
                <w:color w:val="auto"/>
                <w:sz w:val="18"/>
                <w:szCs w:val="18"/>
              </w:rPr>
              <w:t>初步设计BIM分析及应用</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r>
              <w:rPr>
                <w:color w:val="auto"/>
                <w:sz w:val="18"/>
                <w:szCs w:val="18"/>
                <w:lang w:eastAsia="en-US"/>
              </w:rPr>
              <w:t>S</w:t>
            </w:r>
          </w:p>
        </w:tc>
        <w:tc>
          <w:tcPr>
            <w:tcW w:w="1014"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r>
              <w:rPr>
                <w:rFonts w:ascii="Times New Roman" w:hAnsi="Times New Roman"/>
                <w:color w:val="auto"/>
                <w:sz w:val="18"/>
                <w:szCs w:val="18"/>
              </w:rPr>
              <w:t>P/O</w:t>
            </w:r>
          </w:p>
        </w:tc>
        <w:tc>
          <w:tcPr>
            <w:tcW w:w="873"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p>
        </w:tc>
        <w:tc>
          <w:tcPr>
            <w:tcW w:w="846"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p>
        </w:tc>
        <w:tc>
          <w:tcPr>
            <w:tcW w:w="750"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p>
        </w:tc>
        <w:tc>
          <w:tcPr>
            <w:tcW w:w="726"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p>
        </w:tc>
        <w:tc>
          <w:tcPr>
            <w:tcW w:w="731"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p>
        </w:tc>
      </w:tr>
      <w:tr>
        <w:tblPrEx>
          <w:tblCellMar>
            <w:top w:w="0" w:type="dxa"/>
            <w:left w:w="0" w:type="dxa"/>
            <w:bottom w:w="0" w:type="dxa"/>
            <w:right w:w="0" w:type="dxa"/>
          </w:tblCellMar>
        </w:tblPrEx>
        <w:trPr>
          <w:trHeight w:val="454" w:hRule="atLeast"/>
          <w:jc w:val="center"/>
        </w:trPr>
        <w:tc>
          <w:tcPr>
            <w:tcW w:w="1060"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r>
              <w:rPr>
                <w:color w:val="auto"/>
                <w:sz w:val="18"/>
                <w:szCs w:val="18"/>
                <w:lang w:eastAsia="en-US"/>
              </w:rPr>
              <w:t>2.8</w:t>
            </w:r>
          </w:p>
        </w:tc>
        <w:tc>
          <w:tcPr>
            <w:tcW w:w="2859"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r>
              <w:rPr>
                <w:color w:val="auto"/>
                <w:sz w:val="18"/>
                <w:szCs w:val="18"/>
                <w:lang w:eastAsia="en-US"/>
              </w:rPr>
              <w:t>提交初步设计成果</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r>
              <w:rPr>
                <w:color w:val="auto"/>
                <w:sz w:val="18"/>
                <w:szCs w:val="18"/>
                <w:lang w:eastAsia="en-US"/>
              </w:rPr>
              <w:t>R</w:t>
            </w:r>
          </w:p>
        </w:tc>
        <w:tc>
          <w:tcPr>
            <w:tcW w:w="1014"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r>
              <w:rPr>
                <w:rFonts w:ascii="Times New Roman" w:hAnsi="Times New Roman"/>
                <w:color w:val="auto"/>
                <w:sz w:val="18"/>
                <w:szCs w:val="18"/>
              </w:rPr>
              <w:t>P</w:t>
            </w:r>
          </w:p>
        </w:tc>
        <w:tc>
          <w:tcPr>
            <w:tcW w:w="873"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p>
        </w:tc>
        <w:tc>
          <w:tcPr>
            <w:tcW w:w="846"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p>
        </w:tc>
        <w:tc>
          <w:tcPr>
            <w:tcW w:w="750"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c>
          <w:tcPr>
            <w:tcW w:w="726"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c>
          <w:tcPr>
            <w:tcW w:w="731"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r>
      <w:tr>
        <w:tblPrEx>
          <w:tblCellMar>
            <w:top w:w="0" w:type="dxa"/>
            <w:left w:w="0" w:type="dxa"/>
            <w:bottom w:w="0" w:type="dxa"/>
            <w:right w:w="0" w:type="dxa"/>
          </w:tblCellMar>
        </w:tblPrEx>
        <w:trPr>
          <w:trHeight w:val="454" w:hRule="atLeast"/>
          <w:jc w:val="center"/>
        </w:trPr>
        <w:tc>
          <w:tcPr>
            <w:tcW w:w="1060"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r>
              <w:rPr>
                <w:color w:val="auto"/>
                <w:sz w:val="18"/>
                <w:szCs w:val="18"/>
                <w:lang w:eastAsia="en-US"/>
              </w:rPr>
              <w:t>2.9</w:t>
            </w:r>
          </w:p>
        </w:tc>
        <w:tc>
          <w:tcPr>
            <w:tcW w:w="2859"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r>
              <w:rPr>
                <w:color w:val="auto"/>
                <w:sz w:val="18"/>
                <w:szCs w:val="18"/>
                <w:lang w:eastAsia="en-US"/>
              </w:rPr>
              <w:t>施工图模型</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r>
              <w:rPr>
                <w:color w:val="auto"/>
                <w:sz w:val="18"/>
                <w:szCs w:val="18"/>
                <w:lang w:eastAsia="en-US"/>
              </w:rPr>
              <w:t>R</w:t>
            </w:r>
          </w:p>
        </w:tc>
        <w:tc>
          <w:tcPr>
            <w:tcW w:w="1014"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r>
              <w:rPr>
                <w:rFonts w:ascii="Times New Roman" w:hAnsi="Times New Roman"/>
                <w:color w:val="auto"/>
                <w:sz w:val="18"/>
                <w:szCs w:val="18"/>
              </w:rPr>
              <w:t>P/I</w:t>
            </w:r>
          </w:p>
        </w:tc>
        <w:tc>
          <w:tcPr>
            <w:tcW w:w="873"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p>
        </w:tc>
        <w:tc>
          <w:tcPr>
            <w:tcW w:w="846"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p>
        </w:tc>
        <w:tc>
          <w:tcPr>
            <w:tcW w:w="750"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c>
          <w:tcPr>
            <w:tcW w:w="726"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c>
          <w:tcPr>
            <w:tcW w:w="731"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r>
      <w:tr>
        <w:tblPrEx>
          <w:tblCellMar>
            <w:top w:w="0" w:type="dxa"/>
            <w:left w:w="0" w:type="dxa"/>
            <w:bottom w:w="0" w:type="dxa"/>
            <w:right w:w="0" w:type="dxa"/>
          </w:tblCellMar>
        </w:tblPrEx>
        <w:trPr>
          <w:trHeight w:val="454" w:hRule="atLeast"/>
          <w:jc w:val="center"/>
        </w:trPr>
        <w:tc>
          <w:tcPr>
            <w:tcW w:w="1060"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r>
              <w:rPr>
                <w:color w:val="auto"/>
                <w:sz w:val="18"/>
                <w:szCs w:val="18"/>
                <w:lang w:eastAsia="en-US"/>
              </w:rPr>
              <w:t>2.10</w:t>
            </w:r>
          </w:p>
        </w:tc>
        <w:tc>
          <w:tcPr>
            <w:tcW w:w="2859"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r>
              <w:rPr>
                <w:color w:val="auto"/>
                <w:sz w:val="18"/>
                <w:szCs w:val="18"/>
                <w:lang w:eastAsia="en-US"/>
              </w:rPr>
              <w:t>设计信息录入</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r>
              <w:rPr>
                <w:color w:val="auto"/>
                <w:sz w:val="18"/>
                <w:szCs w:val="18"/>
                <w:lang w:eastAsia="en-US"/>
              </w:rPr>
              <w:t>R</w:t>
            </w:r>
          </w:p>
        </w:tc>
        <w:tc>
          <w:tcPr>
            <w:tcW w:w="1014"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r>
              <w:rPr>
                <w:rFonts w:ascii="Times New Roman" w:hAnsi="Times New Roman"/>
                <w:color w:val="auto"/>
                <w:sz w:val="18"/>
                <w:szCs w:val="18"/>
              </w:rPr>
              <w:t>P/I</w:t>
            </w:r>
          </w:p>
        </w:tc>
        <w:tc>
          <w:tcPr>
            <w:tcW w:w="873"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p>
        </w:tc>
        <w:tc>
          <w:tcPr>
            <w:tcW w:w="846"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p>
        </w:tc>
        <w:tc>
          <w:tcPr>
            <w:tcW w:w="750"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c>
          <w:tcPr>
            <w:tcW w:w="726"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c>
          <w:tcPr>
            <w:tcW w:w="731"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r>
      <w:tr>
        <w:tblPrEx>
          <w:tblCellMar>
            <w:top w:w="0" w:type="dxa"/>
            <w:left w:w="0" w:type="dxa"/>
            <w:bottom w:w="0" w:type="dxa"/>
            <w:right w:w="0" w:type="dxa"/>
          </w:tblCellMar>
        </w:tblPrEx>
        <w:trPr>
          <w:trHeight w:val="454" w:hRule="atLeast"/>
          <w:jc w:val="center"/>
        </w:trPr>
        <w:tc>
          <w:tcPr>
            <w:tcW w:w="1060"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r>
              <w:rPr>
                <w:color w:val="auto"/>
                <w:sz w:val="18"/>
                <w:szCs w:val="18"/>
                <w:lang w:eastAsia="en-US"/>
              </w:rPr>
              <w:t>2.11</w:t>
            </w:r>
          </w:p>
        </w:tc>
        <w:tc>
          <w:tcPr>
            <w:tcW w:w="2859"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r>
              <w:rPr>
                <w:color w:val="auto"/>
                <w:sz w:val="18"/>
                <w:szCs w:val="18"/>
                <w:lang w:eastAsia="en-US"/>
              </w:rPr>
              <w:t>提交施工图成果</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r>
              <w:rPr>
                <w:color w:val="auto"/>
                <w:sz w:val="18"/>
                <w:szCs w:val="18"/>
                <w:lang w:eastAsia="en-US"/>
              </w:rPr>
              <w:t>R</w:t>
            </w:r>
          </w:p>
        </w:tc>
        <w:tc>
          <w:tcPr>
            <w:tcW w:w="1014"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r>
              <w:rPr>
                <w:rFonts w:ascii="Times New Roman" w:hAnsi="Times New Roman"/>
                <w:color w:val="auto"/>
                <w:sz w:val="18"/>
                <w:szCs w:val="18"/>
              </w:rPr>
              <w:t>P</w:t>
            </w:r>
          </w:p>
        </w:tc>
        <w:tc>
          <w:tcPr>
            <w:tcW w:w="873"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p>
        </w:tc>
        <w:tc>
          <w:tcPr>
            <w:tcW w:w="846"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p>
        </w:tc>
        <w:tc>
          <w:tcPr>
            <w:tcW w:w="750"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c>
          <w:tcPr>
            <w:tcW w:w="726"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color w:val="auto"/>
                <w:sz w:val="18"/>
                <w:szCs w:val="18"/>
              </w:rPr>
            </w:pPr>
          </w:p>
        </w:tc>
        <w:tc>
          <w:tcPr>
            <w:tcW w:w="731"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r>
      <w:tr>
        <w:tblPrEx>
          <w:tblCellMar>
            <w:top w:w="0" w:type="dxa"/>
            <w:left w:w="0" w:type="dxa"/>
            <w:bottom w:w="0" w:type="dxa"/>
            <w:right w:w="0" w:type="dxa"/>
          </w:tblCellMar>
        </w:tblPrEx>
        <w:trPr>
          <w:trHeight w:val="454" w:hRule="atLeast"/>
          <w:jc w:val="center"/>
        </w:trPr>
        <w:tc>
          <w:tcPr>
            <w:tcW w:w="1060" w:type="dxa"/>
            <w:vMerge w:val="restart"/>
            <w:tcBorders>
              <w:top w:val="single" w:color="000000" w:sz="4" w:space="0"/>
              <w:left w:val="single" w:color="000000" w:sz="4" w:space="0"/>
              <w:right w:val="single" w:color="000000" w:sz="4" w:space="0"/>
            </w:tcBorders>
            <w:noWrap/>
            <w:vAlign w:val="center"/>
          </w:tcPr>
          <w:p>
            <w:pPr>
              <w:spacing w:before="120" w:after="120"/>
              <w:ind w:firstLine="360"/>
              <w:jc w:val="center"/>
              <w:rPr>
                <w:color w:val="auto"/>
                <w:sz w:val="18"/>
                <w:szCs w:val="18"/>
                <w:lang w:eastAsia="en-US"/>
              </w:rPr>
            </w:pPr>
            <w:r>
              <w:rPr>
                <w:color w:val="auto"/>
                <w:sz w:val="18"/>
                <w:szCs w:val="18"/>
                <w:lang w:eastAsia="en-US"/>
              </w:rPr>
              <w:t>3</w:t>
            </w:r>
          </w:p>
        </w:tc>
        <w:tc>
          <w:tcPr>
            <w:tcW w:w="2859" w:type="dxa"/>
            <w:vMerge w:val="restart"/>
            <w:tcBorders>
              <w:top w:val="single" w:color="000000" w:sz="4" w:space="0"/>
              <w:left w:val="single" w:color="000000" w:sz="4" w:space="0"/>
              <w:right w:val="single" w:color="000000" w:sz="4" w:space="0"/>
            </w:tcBorders>
            <w:noWrap/>
            <w:vAlign w:val="center"/>
          </w:tcPr>
          <w:p>
            <w:pPr>
              <w:spacing w:before="120" w:after="120"/>
              <w:ind w:firstLine="360"/>
              <w:jc w:val="center"/>
              <w:rPr>
                <w:color w:val="auto"/>
                <w:sz w:val="18"/>
                <w:szCs w:val="18"/>
                <w:lang w:eastAsia="en-US"/>
              </w:rPr>
            </w:pPr>
            <w:r>
              <w:rPr>
                <w:color w:val="auto"/>
                <w:sz w:val="18"/>
                <w:szCs w:val="18"/>
                <w:lang w:eastAsia="en-US"/>
              </w:rPr>
              <w:t>BIM施工阶段</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r>
              <w:rPr>
                <w:color w:val="auto"/>
                <w:sz w:val="18"/>
                <w:szCs w:val="18"/>
                <w:lang w:eastAsia="en-US"/>
              </w:rPr>
              <w:t>甲方</w:t>
            </w:r>
          </w:p>
        </w:tc>
        <w:tc>
          <w:tcPr>
            <w:tcW w:w="4940" w:type="dxa"/>
            <w:gridSpan w:val="6"/>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r>
              <w:rPr>
                <w:color w:val="auto"/>
                <w:sz w:val="18"/>
                <w:szCs w:val="18"/>
                <w:lang w:eastAsia="en-US"/>
              </w:rPr>
              <w:t>参与方</w:t>
            </w:r>
          </w:p>
        </w:tc>
      </w:tr>
      <w:tr>
        <w:tblPrEx>
          <w:tblCellMar>
            <w:top w:w="0" w:type="dxa"/>
            <w:left w:w="0" w:type="dxa"/>
            <w:bottom w:w="0" w:type="dxa"/>
            <w:right w:w="0" w:type="dxa"/>
          </w:tblCellMar>
        </w:tblPrEx>
        <w:trPr>
          <w:trHeight w:val="454" w:hRule="atLeast"/>
          <w:jc w:val="center"/>
        </w:trPr>
        <w:tc>
          <w:tcPr>
            <w:tcW w:w="1060" w:type="dxa"/>
            <w:vMerge w:val="continue"/>
            <w:tcBorders>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c>
          <w:tcPr>
            <w:tcW w:w="2859" w:type="dxa"/>
            <w:vMerge w:val="continue"/>
            <w:tcBorders>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c>
          <w:tcPr>
            <w:tcW w:w="1025"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lang w:eastAsia="zh-CN"/>
              </w:rPr>
            </w:pPr>
            <w:r>
              <w:rPr>
                <w:rFonts w:hint="eastAsia" w:ascii="Times New Roman" w:hAnsi="Times New Roman"/>
                <w:color w:val="auto"/>
                <w:sz w:val="18"/>
                <w:szCs w:val="18"/>
                <w:lang w:eastAsia="zh-CN"/>
              </w:rPr>
              <w:t>代建局项目建设管理部、</w:t>
            </w:r>
          </w:p>
          <w:p>
            <w:pPr>
              <w:pStyle w:val="480"/>
              <w:spacing w:before="120" w:after="120"/>
              <w:jc w:val="center"/>
              <w:rPr>
                <w:rFonts w:ascii="Times New Roman" w:hAnsi="Times New Roman"/>
                <w:color w:val="auto"/>
                <w:sz w:val="18"/>
                <w:szCs w:val="18"/>
              </w:rPr>
            </w:pPr>
            <w:r>
              <w:rPr>
                <w:rFonts w:ascii="Times New Roman" w:hAnsi="Times New Roman"/>
                <w:color w:val="auto"/>
                <w:sz w:val="18"/>
                <w:szCs w:val="18"/>
              </w:rPr>
              <w:t>BIM总协调</w:t>
            </w:r>
          </w:p>
        </w:tc>
        <w:tc>
          <w:tcPr>
            <w:tcW w:w="1014"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r>
              <w:rPr>
                <w:rFonts w:ascii="Times New Roman" w:hAnsi="Times New Roman"/>
                <w:color w:val="auto"/>
                <w:sz w:val="18"/>
                <w:szCs w:val="18"/>
              </w:rPr>
              <w:t>设计</w:t>
            </w:r>
          </w:p>
        </w:tc>
        <w:tc>
          <w:tcPr>
            <w:tcW w:w="873"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r>
              <w:rPr>
                <w:rFonts w:ascii="Times New Roman" w:hAnsi="Times New Roman"/>
                <w:color w:val="auto"/>
                <w:sz w:val="18"/>
                <w:szCs w:val="18"/>
              </w:rPr>
              <w:t>监理</w:t>
            </w:r>
          </w:p>
        </w:tc>
        <w:tc>
          <w:tcPr>
            <w:tcW w:w="846"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r>
              <w:rPr>
                <w:rFonts w:ascii="Times New Roman" w:hAnsi="Times New Roman"/>
                <w:color w:val="auto"/>
                <w:sz w:val="18"/>
                <w:szCs w:val="18"/>
              </w:rPr>
              <w:t>总包</w:t>
            </w:r>
          </w:p>
        </w:tc>
        <w:tc>
          <w:tcPr>
            <w:tcW w:w="750"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r>
              <w:rPr>
                <w:rFonts w:ascii="Times New Roman" w:hAnsi="Times New Roman"/>
                <w:color w:val="auto"/>
                <w:sz w:val="18"/>
                <w:szCs w:val="18"/>
              </w:rPr>
              <w:t>分包</w:t>
            </w:r>
          </w:p>
        </w:tc>
        <w:tc>
          <w:tcPr>
            <w:tcW w:w="726"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r>
              <w:rPr>
                <w:rFonts w:ascii="Times New Roman" w:hAnsi="Times New Roman"/>
                <w:color w:val="auto"/>
                <w:sz w:val="18"/>
                <w:szCs w:val="18"/>
              </w:rPr>
              <w:t>厂家</w:t>
            </w:r>
          </w:p>
        </w:tc>
        <w:tc>
          <w:tcPr>
            <w:tcW w:w="731"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r>
              <w:rPr>
                <w:rFonts w:ascii="Times New Roman" w:hAnsi="Times New Roman"/>
                <w:color w:val="auto"/>
                <w:sz w:val="18"/>
                <w:szCs w:val="18"/>
              </w:rPr>
              <w:t>造价</w:t>
            </w:r>
          </w:p>
        </w:tc>
      </w:tr>
      <w:tr>
        <w:tblPrEx>
          <w:tblCellMar>
            <w:top w:w="0" w:type="dxa"/>
            <w:left w:w="0" w:type="dxa"/>
            <w:bottom w:w="0" w:type="dxa"/>
            <w:right w:w="0" w:type="dxa"/>
          </w:tblCellMar>
        </w:tblPrEx>
        <w:trPr>
          <w:trHeight w:val="454" w:hRule="atLeast"/>
          <w:jc w:val="center"/>
        </w:trPr>
        <w:tc>
          <w:tcPr>
            <w:tcW w:w="1060"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r>
              <w:rPr>
                <w:color w:val="auto"/>
                <w:sz w:val="18"/>
                <w:szCs w:val="18"/>
                <w:lang w:eastAsia="en-US"/>
              </w:rPr>
              <w:t>3.1</w:t>
            </w:r>
          </w:p>
        </w:tc>
        <w:tc>
          <w:tcPr>
            <w:tcW w:w="2859"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rPr>
            </w:pPr>
            <w:r>
              <w:rPr>
                <w:color w:val="auto"/>
                <w:sz w:val="18"/>
                <w:szCs w:val="18"/>
              </w:rPr>
              <w:t>制定施工阶段实施细则</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r>
              <w:rPr>
                <w:color w:val="auto"/>
                <w:sz w:val="18"/>
                <w:szCs w:val="18"/>
                <w:lang w:eastAsia="en-US"/>
              </w:rPr>
              <w:t>P</w:t>
            </w:r>
          </w:p>
        </w:tc>
        <w:tc>
          <w:tcPr>
            <w:tcW w:w="1014"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p>
        </w:tc>
        <w:tc>
          <w:tcPr>
            <w:tcW w:w="873"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r>
              <w:rPr>
                <w:rFonts w:ascii="Times New Roman" w:hAnsi="Times New Roman"/>
                <w:color w:val="auto"/>
                <w:sz w:val="18"/>
                <w:szCs w:val="18"/>
              </w:rPr>
              <w:t>R</w:t>
            </w:r>
          </w:p>
        </w:tc>
        <w:tc>
          <w:tcPr>
            <w:tcW w:w="846"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r>
              <w:rPr>
                <w:rFonts w:ascii="Times New Roman" w:hAnsi="Times New Roman"/>
                <w:color w:val="auto"/>
                <w:sz w:val="18"/>
                <w:szCs w:val="18"/>
              </w:rPr>
              <w:t>S</w:t>
            </w:r>
          </w:p>
        </w:tc>
        <w:tc>
          <w:tcPr>
            <w:tcW w:w="750"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r>
              <w:rPr>
                <w:rFonts w:ascii="Times New Roman" w:hAnsi="Times New Roman"/>
                <w:color w:val="auto"/>
                <w:sz w:val="18"/>
                <w:szCs w:val="18"/>
              </w:rPr>
              <w:t>S</w:t>
            </w:r>
          </w:p>
        </w:tc>
        <w:tc>
          <w:tcPr>
            <w:tcW w:w="726"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p>
        </w:tc>
        <w:tc>
          <w:tcPr>
            <w:tcW w:w="731"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p>
        </w:tc>
      </w:tr>
      <w:tr>
        <w:tblPrEx>
          <w:tblCellMar>
            <w:top w:w="0" w:type="dxa"/>
            <w:left w:w="0" w:type="dxa"/>
            <w:bottom w:w="0" w:type="dxa"/>
            <w:right w:w="0" w:type="dxa"/>
          </w:tblCellMar>
        </w:tblPrEx>
        <w:trPr>
          <w:trHeight w:val="454" w:hRule="atLeast"/>
          <w:jc w:val="center"/>
        </w:trPr>
        <w:tc>
          <w:tcPr>
            <w:tcW w:w="1060"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r>
              <w:rPr>
                <w:color w:val="auto"/>
                <w:sz w:val="18"/>
                <w:szCs w:val="18"/>
                <w:lang w:eastAsia="en-US"/>
              </w:rPr>
              <w:t>3.2</w:t>
            </w:r>
          </w:p>
        </w:tc>
        <w:tc>
          <w:tcPr>
            <w:tcW w:w="2859"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rPr>
            </w:pPr>
            <w:r>
              <w:rPr>
                <w:color w:val="auto"/>
                <w:sz w:val="18"/>
                <w:szCs w:val="18"/>
              </w:rPr>
              <w:t>分配施工阶段协同权限</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r>
              <w:rPr>
                <w:color w:val="auto"/>
                <w:sz w:val="18"/>
                <w:szCs w:val="18"/>
                <w:lang w:eastAsia="en-US"/>
              </w:rPr>
              <w:t>P</w:t>
            </w:r>
          </w:p>
        </w:tc>
        <w:tc>
          <w:tcPr>
            <w:tcW w:w="1014"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p>
        </w:tc>
        <w:tc>
          <w:tcPr>
            <w:tcW w:w="873"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p>
        </w:tc>
        <w:tc>
          <w:tcPr>
            <w:tcW w:w="846"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p>
        </w:tc>
        <w:tc>
          <w:tcPr>
            <w:tcW w:w="750"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p>
        </w:tc>
        <w:tc>
          <w:tcPr>
            <w:tcW w:w="726"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r>
              <w:rPr>
                <w:rFonts w:ascii="Times New Roman" w:hAnsi="Times New Roman"/>
                <w:color w:val="auto"/>
                <w:sz w:val="18"/>
                <w:szCs w:val="18"/>
              </w:rPr>
              <w:t>A</w:t>
            </w:r>
          </w:p>
        </w:tc>
        <w:tc>
          <w:tcPr>
            <w:tcW w:w="731"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p>
        </w:tc>
      </w:tr>
      <w:tr>
        <w:tblPrEx>
          <w:tblCellMar>
            <w:top w:w="0" w:type="dxa"/>
            <w:left w:w="0" w:type="dxa"/>
            <w:bottom w:w="0" w:type="dxa"/>
            <w:right w:w="0" w:type="dxa"/>
          </w:tblCellMar>
        </w:tblPrEx>
        <w:trPr>
          <w:trHeight w:val="454" w:hRule="atLeast"/>
          <w:jc w:val="center"/>
        </w:trPr>
        <w:tc>
          <w:tcPr>
            <w:tcW w:w="1060"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r>
              <w:rPr>
                <w:color w:val="auto"/>
                <w:sz w:val="18"/>
                <w:szCs w:val="18"/>
                <w:lang w:eastAsia="en-US"/>
              </w:rPr>
              <w:t>3.2</w:t>
            </w:r>
          </w:p>
        </w:tc>
        <w:tc>
          <w:tcPr>
            <w:tcW w:w="2859"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r>
              <w:rPr>
                <w:color w:val="auto"/>
                <w:sz w:val="18"/>
                <w:szCs w:val="18"/>
                <w:lang w:eastAsia="en-US"/>
              </w:rPr>
              <w:t>施工图模型审查交底</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r>
              <w:rPr>
                <w:color w:val="auto"/>
                <w:sz w:val="18"/>
                <w:szCs w:val="18"/>
                <w:lang w:eastAsia="en-US"/>
              </w:rPr>
              <w:t>S</w:t>
            </w:r>
          </w:p>
        </w:tc>
        <w:tc>
          <w:tcPr>
            <w:tcW w:w="1014"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r>
              <w:rPr>
                <w:rFonts w:ascii="Times New Roman" w:hAnsi="Times New Roman"/>
                <w:color w:val="auto"/>
                <w:sz w:val="18"/>
                <w:szCs w:val="18"/>
              </w:rPr>
              <w:t>P</w:t>
            </w:r>
          </w:p>
        </w:tc>
        <w:tc>
          <w:tcPr>
            <w:tcW w:w="873"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r>
              <w:rPr>
                <w:rFonts w:ascii="Times New Roman" w:hAnsi="Times New Roman"/>
                <w:color w:val="auto"/>
                <w:sz w:val="18"/>
                <w:szCs w:val="18"/>
              </w:rPr>
              <w:t>R</w:t>
            </w:r>
          </w:p>
        </w:tc>
        <w:tc>
          <w:tcPr>
            <w:tcW w:w="846"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r>
              <w:rPr>
                <w:rFonts w:ascii="Times New Roman" w:hAnsi="Times New Roman"/>
                <w:color w:val="auto"/>
                <w:sz w:val="18"/>
                <w:szCs w:val="18"/>
              </w:rPr>
              <w:t>R</w:t>
            </w:r>
          </w:p>
        </w:tc>
        <w:tc>
          <w:tcPr>
            <w:tcW w:w="750"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r>
              <w:rPr>
                <w:rFonts w:ascii="Times New Roman" w:hAnsi="Times New Roman"/>
                <w:color w:val="auto"/>
                <w:sz w:val="18"/>
                <w:szCs w:val="18"/>
              </w:rPr>
              <w:t>S</w:t>
            </w:r>
          </w:p>
        </w:tc>
        <w:tc>
          <w:tcPr>
            <w:tcW w:w="726"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r>
              <w:rPr>
                <w:rFonts w:ascii="Times New Roman" w:hAnsi="Times New Roman"/>
                <w:color w:val="auto"/>
                <w:sz w:val="18"/>
                <w:szCs w:val="18"/>
              </w:rPr>
              <w:t>A</w:t>
            </w:r>
          </w:p>
        </w:tc>
        <w:tc>
          <w:tcPr>
            <w:tcW w:w="731"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r>
              <w:rPr>
                <w:rFonts w:ascii="Times New Roman" w:hAnsi="Times New Roman"/>
                <w:color w:val="auto"/>
                <w:sz w:val="18"/>
                <w:szCs w:val="18"/>
              </w:rPr>
              <w:t>R</w:t>
            </w:r>
          </w:p>
        </w:tc>
      </w:tr>
      <w:tr>
        <w:trPr>
          <w:trHeight w:val="454" w:hRule="atLeast"/>
          <w:jc w:val="center"/>
        </w:trPr>
        <w:tc>
          <w:tcPr>
            <w:tcW w:w="1060"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r>
              <w:rPr>
                <w:color w:val="auto"/>
                <w:sz w:val="18"/>
                <w:szCs w:val="18"/>
                <w:lang w:eastAsia="en-US"/>
              </w:rPr>
              <w:t>3.3</w:t>
            </w:r>
          </w:p>
        </w:tc>
        <w:tc>
          <w:tcPr>
            <w:tcW w:w="2859"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r>
              <w:rPr>
                <w:color w:val="auto"/>
                <w:sz w:val="18"/>
                <w:szCs w:val="18"/>
                <w:lang w:eastAsia="en-US"/>
              </w:rPr>
              <w:t>施工深化设计模型</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r>
              <w:rPr>
                <w:color w:val="auto"/>
                <w:sz w:val="18"/>
                <w:szCs w:val="18"/>
                <w:lang w:eastAsia="en-US"/>
              </w:rPr>
              <w:t>S</w:t>
            </w:r>
          </w:p>
        </w:tc>
        <w:tc>
          <w:tcPr>
            <w:tcW w:w="1014"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r>
              <w:rPr>
                <w:rFonts w:ascii="Times New Roman" w:hAnsi="Times New Roman"/>
                <w:color w:val="auto"/>
                <w:sz w:val="18"/>
                <w:szCs w:val="18"/>
              </w:rPr>
              <w:t>S</w:t>
            </w:r>
          </w:p>
        </w:tc>
        <w:tc>
          <w:tcPr>
            <w:tcW w:w="873"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r>
              <w:rPr>
                <w:rFonts w:ascii="Times New Roman" w:hAnsi="Times New Roman"/>
                <w:color w:val="auto"/>
                <w:sz w:val="18"/>
                <w:szCs w:val="18"/>
              </w:rPr>
              <w:t>R</w:t>
            </w:r>
          </w:p>
        </w:tc>
        <w:tc>
          <w:tcPr>
            <w:tcW w:w="846"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r>
              <w:rPr>
                <w:rFonts w:ascii="Times New Roman" w:hAnsi="Times New Roman"/>
                <w:color w:val="auto"/>
                <w:sz w:val="18"/>
                <w:szCs w:val="18"/>
              </w:rPr>
              <w:t>P/I</w:t>
            </w:r>
          </w:p>
        </w:tc>
        <w:tc>
          <w:tcPr>
            <w:tcW w:w="750"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r>
              <w:rPr>
                <w:rFonts w:ascii="Times New Roman" w:hAnsi="Times New Roman"/>
                <w:color w:val="auto"/>
                <w:sz w:val="18"/>
                <w:szCs w:val="18"/>
              </w:rPr>
              <w:t>S/I</w:t>
            </w:r>
          </w:p>
        </w:tc>
        <w:tc>
          <w:tcPr>
            <w:tcW w:w="726"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r>
              <w:rPr>
                <w:rFonts w:ascii="Times New Roman" w:hAnsi="Times New Roman"/>
                <w:color w:val="auto"/>
                <w:sz w:val="18"/>
                <w:szCs w:val="18"/>
              </w:rPr>
              <w:t>A</w:t>
            </w:r>
          </w:p>
        </w:tc>
        <w:tc>
          <w:tcPr>
            <w:tcW w:w="731"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r>
              <w:rPr>
                <w:rFonts w:ascii="Times New Roman" w:hAnsi="Times New Roman"/>
                <w:color w:val="auto"/>
                <w:sz w:val="18"/>
                <w:szCs w:val="18"/>
              </w:rPr>
              <w:t>R</w:t>
            </w:r>
          </w:p>
        </w:tc>
      </w:tr>
      <w:tr>
        <w:tblPrEx>
          <w:tblCellMar>
            <w:top w:w="0" w:type="dxa"/>
            <w:left w:w="0" w:type="dxa"/>
            <w:bottom w:w="0" w:type="dxa"/>
            <w:right w:w="0" w:type="dxa"/>
          </w:tblCellMar>
        </w:tblPrEx>
        <w:trPr>
          <w:trHeight w:val="454" w:hRule="atLeast"/>
          <w:jc w:val="center"/>
        </w:trPr>
        <w:tc>
          <w:tcPr>
            <w:tcW w:w="1060"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440"/>
              <w:jc w:val="center"/>
              <w:rPr>
                <w:color w:val="auto"/>
                <w:sz w:val="18"/>
                <w:szCs w:val="18"/>
                <w:lang w:eastAsia="en-US"/>
              </w:rPr>
            </w:pPr>
            <w:r>
              <w:rPr>
                <w:color w:val="auto"/>
                <w:sz w:val="22"/>
                <w:lang w:eastAsia="en-US"/>
              </w:rPr>
              <w:t>3.4</w:t>
            </w:r>
          </w:p>
        </w:tc>
        <w:tc>
          <w:tcPr>
            <w:tcW w:w="2859"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440"/>
              <w:jc w:val="center"/>
              <w:rPr>
                <w:color w:val="auto"/>
                <w:sz w:val="18"/>
                <w:szCs w:val="18"/>
              </w:rPr>
            </w:pPr>
            <w:r>
              <w:rPr>
                <w:rFonts w:eastAsia="Times New Roman"/>
                <w:color w:val="auto"/>
                <w:sz w:val="22"/>
                <w:szCs w:val="21"/>
              </w:rPr>
              <w:t>BIM</w:t>
            </w:r>
            <w:r>
              <w:rPr>
                <w:color w:val="auto"/>
                <w:sz w:val="22"/>
                <w:szCs w:val="21"/>
              </w:rPr>
              <w:t>施工管理及技术应用</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433"/>
              <w:jc w:val="center"/>
              <w:rPr>
                <w:color w:val="auto"/>
                <w:sz w:val="18"/>
                <w:szCs w:val="18"/>
                <w:lang w:eastAsia="en-US"/>
              </w:rPr>
            </w:pPr>
            <w:r>
              <w:rPr>
                <w:color w:val="auto"/>
                <w:w w:val="99"/>
                <w:sz w:val="22"/>
                <w:lang w:eastAsia="en-US"/>
              </w:rPr>
              <w:t>S</w:t>
            </w:r>
          </w:p>
        </w:tc>
        <w:tc>
          <w:tcPr>
            <w:tcW w:w="1014"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p>
        </w:tc>
        <w:tc>
          <w:tcPr>
            <w:tcW w:w="873"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r>
              <w:rPr>
                <w:rFonts w:ascii="Times New Roman" w:hAnsi="Times New Roman"/>
                <w:color w:val="auto"/>
                <w:sz w:val="18"/>
                <w:szCs w:val="18"/>
              </w:rPr>
              <w:t>R</w:t>
            </w:r>
          </w:p>
        </w:tc>
        <w:tc>
          <w:tcPr>
            <w:tcW w:w="846"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r>
              <w:rPr>
                <w:rFonts w:ascii="Times New Roman" w:hAnsi="Times New Roman"/>
                <w:color w:val="auto"/>
                <w:sz w:val="18"/>
                <w:szCs w:val="18"/>
              </w:rPr>
              <w:t>O</w:t>
            </w:r>
          </w:p>
        </w:tc>
        <w:tc>
          <w:tcPr>
            <w:tcW w:w="750"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r>
              <w:rPr>
                <w:rFonts w:ascii="Times New Roman" w:hAnsi="Times New Roman"/>
                <w:color w:val="auto"/>
                <w:sz w:val="18"/>
                <w:szCs w:val="18"/>
              </w:rPr>
              <w:t>O</w:t>
            </w:r>
          </w:p>
        </w:tc>
        <w:tc>
          <w:tcPr>
            <w:tcW w:w="726"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r>
              <w:rPr>
                <w:rFonts w:ascii="Times New Roman" w:hAnsi="Times New Roman"/>
                <w:color w:val="auto"/>
                <w:sz w:val="18"/>
                <w:szCs w:val="18"/>
              </w:rPr>
              <w:t>A</w:t>
            </w:r>
          </w:p>
        </w:tc>
        <w:tc>
          <w:tcPr>
            <w:tcW w:w="731"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p>
        </w:tc>
      </w:tr>
      <w:tr>
        <w:tblPrEx>
          <w:tblCellMar>
            <w:top w:w="0" w:type="dxa"/>
            <w:left w:w="0" w:type="dxa"/>
            <w:bottom w:w="0" w:type="dxa"/>
            <w:right w:w="0" w:type="dxa"/>
          </w:tblCellMar>
        </w:tblPrEx>
        <w:trPr>
          <w:trHeight w:val="454" w:hRule="atLeast"/>
          <w:jc w:val="center"/>
        </w:trPr>
        <w:tc>
          <w:tcPr>
            <w:tcW w:w="1060"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440"/>
              <w:jc w:val="center"/>
              <w:rPr>
                <w:color w:val="auto"/>
                <w:sz w:val="18"/>
                <w:szCs w:val="18"/>
                <w:lang w:eastAsia="en-US"/>
              </w:rPr>
            </w:pPr>
            <w:r>
              <w:rPr>
                <w:color w:val="auto"/>
                <w:sz w:val="22"/>
                <w:lang w:eastAsia="en-US"/>
              </w:rPr>
              <w:t>3.5</w:t>
            </w:r>
          </w:p>
        </w:tc>
        <w:tc>
          <w:tcPr>
            <w:tcW w:w="2859"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440"/>
              <w:jc w:val="center"/>
              <w:rPr>
                <w:color w:val="auto"/>
                <w:sz w:val="18"/>
                <w:szCs w:val="18"/>
              </w:rPr>
            </w:pPr>
            <w:r>
              <w:rPr>
                <w:rFonts w:eastAsia="Times New Roman"/>
                <w:color w:val="auto"/>
                <w:sz w:val="22"/>
                <w:szCs w:val="21"/>
              </w:rPr>
              <w:t>BIM</w:t>
            </w:r>
            <w:r>
              <w:rPr>
                <w:color w:val="auto"/>
                <w:sz w:val="22"/>
                <w:szCs w:val="21"/>
              </w:rPr>
              <w:t>模型变更及调整</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433"/>
              <w:jc w:val="center"/>
              <w:rPr>
                <w:color w:val="auto"/>
                <w:sz w:val="18"/>
                <w:szCs w:val="18"/>
                <w:lang w:eastAsia="en-US"/>
              </w:rPr>
            </w:pPr>
            <w:r>
              <w:rPr>
                <w:color w:val="auto"/>
                <w:w w:val="99"/>
                <w:sz w:val="22"/>
                <w:lang w:eastAsia="en-US"/>
              </w:rPr>
              <w:t>R</w:t>
            </w:r>
          </w:p>
        </w:tc>
        <w:tc>
          <w:tcPr>
            <w:tcW w:w="1014"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r>
              <w:rPr>
                <w:rFonts w:ascii="Times New Roman" w:hAnsi="Times New Roman"/>
                <w:color w:val="auto"/>
                <w:sz w:val="18"/>
                <w:szCs w:val="18"/>
              </w:rPr>
              <w:t>R</w:t>
            </w:r>
          </w:p>
        </w:tc>
        <w:tc>
          <w:tcPr>
            <w:tcW w:w="873"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r>
              <w:rPr>
                <w:rFonts w:ascii="Times New Roman" w:hAnsi="Times New Roman"/>
                <w:color w:val="auto"/>
                <w:sz w:val="18"/>
                <w:szCs w:val="18"/>
              </w:rPr>
              <w:t>R</w:t>
            </w:r>
          </w:p>
        </w:tc>
        <w:tc>
          <w:tcPr>
            <w:tcW w:w="846"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r>
              <w:rPr>
                <w:rFonts w:ascii="Times New Roman" w:hAnsi="Times New Roman"/>
                <w:color w:val="auto"/>
                <w:sz w:val="18"/>
                <w:szCs w:val="18"/>
              </w:rPr>
              <w:t>P/I</w:t>
            </w:r>
          </w:p>
        </w:tc>
        <w:tc>
          <w:tcPr>
            <w:tcW w:w="750"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r>
              <w:rPr>
                <w:rFonts w:ascii="Times New Roman" w:hAnsi="Times New Roman"/>
                <w:color w:val="auto"/>
                <w:sz w:val="18"/>
                <w:szCs w:val="18"/>
              </w:rPr>
              <w:t>S/I</w:t>
            </w:r>
          </w:p>
        </w:tc>
        <w:tc>
          <w:tcPr>
            <w:tcW w:w="726"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r>
              <w:rPr>
                <w:rFonts w:ascii="Times New Roman" w:hAnsi="Times New Roman"/>
                <w:color w:val="auto"/>
                <w:sz w:val="18"/>
                <w:szCs w:val="18"/>
              </w:rPr>
              <w:t>A</w:t>
            </w:r>
          </w:p>
        </w:tc>
        <w:tc>
          <w:tcPr>
            <w:tcW w:w="731"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r>
              <w:rPr>
                <w:rFonts w:ascii="Times New Roman" w:hAnsi="Times New Roman"/>
                <w:color w:val="auto"/>
                <w:sz w:val="18"/>
                <w:szCs w:val="18"/>
              </w:rPr>
              <w:t>R</w:t>
            </w:r>
          </w:p>
        </w:tc>
      </w:tr>
      <w:tr>
        <w:tblPrEx>
          <w:tblCellMar>
            <w:top w:w="0" w:type="dxa"/>
            <w:left w:w="0" w:type="dxa"/>
            <w:bottom w:w="0" w:type="dxa"/>
            <w:right w:w="0" w:type="dxa"/>
          </w:tblCellMar>
        </w:tblPrEx>
        <w:trPr>
          <w:trHeight w:val="454" w:hRule="atLeast"/>
          <w:jc w:val="center"/>
        </w:trPr>
        <w:tc>
          <w:tcPr>
            <w:tcW w:w="1060"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440"/>
              <w:jc w:val="center"/>
              <w:rPr>
                <w:color w:val="auto"/>
                <w:sz w:val="18"/>
                <w:szCs w:val="18"/>
                <w:lang w:eastAsia="en-US"/>
              </w:rPr>
            </w:pPr>
            <w:r>
              <w:rPr>
                <w:color w:val="auto"/>
                <w:sz w:val="22"/>
                <w:lang w:eastAsia="en-US"/>
              </w:rPr>
              <w:t>3.6</w:t>
            </w:r>
          </w:p>
        </w:tc>
        <w:tc>
          <w:tcPr>
            <w:tcW w:w="2859"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440"/>
              <w:jc w:val="center"/>
              <w:rPr>
                <w:color w:val="auto"/>
                <w:sz w:val="18"/>
                <w:szCs w:val="18"/>
                <w:lang w:eastAsia="en-US"/>
              </w:rPr>
            </w:pPr>
            <w:r>
              <w:rPr>
                <w:color w:val="auto"/>
                <w:sz w:val="22"/>
                <w:szCs w:val="21"/>
                <w:lang w:eastAsia="en-US"/>
              </w:rPr>
              <w:t>施工阶段信息添加</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433"/>
              <w:jc w:val="center"/>
              <w:rPr>
                <w:color w:val="auto"/>
                <w:sz w:val="18"/>
                <w:szCs w:val="18"/>
                <w:lang w:eastAsia="en-US"/>
              </w:rPr>
            </w:pPr>
            <w:r>
              <w:rPr>
                <w:color w:val="auto"/>
                <w:w w:val="99"/>
                <w:sz w:val="22"/>
                <w:lang w:eastAsia="en-US"/>
              </w:rPr>
              <w:t>R</w:t>
            </w:r>
          </w:p>
        </w:tc>
        <w:tc>
          <w:tcPr>
            <w:tcW w:w="1014"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p>
        </w:tc>
        <w:tc>
          <w:tcPr>
            <w:tcW w:w="873"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r>
              <w:rPr>
                <w:rFonts w:ascii="Times New Roman" w:hAnsi="Times New Roman"/>
                <w:color w:val="auto"/>
                <w:sz w:val="18"/>
                <w:szCs w:val="18"/>
              </w:rPr>
              <w:t>R</w:t>
            </w:r>
          </w:p>
        </w:tc>
        <w:tc>
          <w:tcPr>
            <w:tcW w:w="846"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r>
              <w:rPr>
                <w:rFonts w:ascii="Times New Roman" w:hAnsi="Times New Roman"/>
                <w:color w:val="auto"/>
                <w:sz w:val="18"/>
                <w:szCs w:val="18"/>
              </w:rPr>
              <w:t>P/I</w:t>
            </w:r>
          </w:p>
        </w:tc>
        <w:tc>
          <w:tcPr>
            <w:tcW w:w="750"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r>
              <w:rPr>
                <w:rFonts w:ascii="Times New Roman" w:hAnsi="Times New Roman"/>
                <w:color w:val="auto"/>
                <w:sz w:val="18"/>
                <w:szCs w:val="18"/>
              </w:rPr>
              <w:t>S/I</w:t>
            </w:r>
          </w:p>
        </w:tc>
        <w:tc>
          <w:tcPr>
            <w:tcW w:w="726"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r>
              <w:rPr>
                <w:rFonts w:ascii="Times New Roman" w:hAnsi="Times New Roman"/>
                <w:color w:val="auto"/>
                <w:sz w:val="18"/>
                <w:szCs w:val="18"/>
              </w:rPr>
              <w:t>A</w:t>
            </w:r>
          </w:p>
        </w:tc>
        <w:tc>
          <w:tcPr>
            <w:tcW w:w="731"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p>
        </w:tc>
      </w:tr>
      <w:tr>
        <w:tblPrEx>
          <w:tblCellMar>
            <w:top w:w="0" w:type="dxa"/>
            <w:left w:w="0" w:type="dxa"/>
            <w:bottom w:w="0" w:type="dxa"/>
            <w:right w:w="0" w:type="dxa"/>
          </w:tblCellMar>
        </w:tblPrEx>
        <w:trPr>
          <w:trHeight w:val="454" w:hRule="atLeast"/>
          <w:jc w:val="center"/>
        </w:trPr>
        <w:tc>
          <w:tcPr>
            <w:tcW w:w="1060"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440"/>
              <w:jc w:val="center"/>
              <w:rPr>
                <w:color w:val="auto"/>
                <w:sz w:val="18"/>
                <w:szCs w:val="18"/>
                <w:lang w:eastAsia="en-US"/>
              </w:rPr>
            </w:pPr>
            <w:r>
              <w:rPr>
                <w:color w:val="auto"/>
                <w:sz w:val="22"/>
                <w:lang w:eastAsia="en-US"/>
              </w:rPr>
              <w:t>3.7</w:t>
            </w:r>
          </w:p>
        </w:tc>
        <w:tc>
          <w:tcPr>
            <w:tcW w:w="2859"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440"/>
              <w:jc w:val="center"/>
              <w:rPr>
                <w:color w:val="auto"/>
                <w:sz w:val="18"/>
                <w:szCs w:val="18"/>
                <w:lang w:eastAsia="en-US"/>
              </w:rPr>
            </w:pPr>
            <w:r>
              <w:rPr>
                <w:color w:val="auto"/>
                <w:sz w:val="22"/>
                <w:szCs w:val="21"/>
                <w:lang w:eastAsia="en-US"/>
              </w:rPr>
              <w:t>完成竣工模型</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433"/>
              <w:jc w:val="center"/>
              <w:rPr>
                <w:color w:val="auto"/>
                <w:sz w:val="18"/>
                <w:szCs w:val="18"/>
                <w:lang w:eastAsia="en-US"/>
              </w:rPr>
            </w:pPr>
            <w:r>
              <w:rPr>
                <w:color w:val="auto"/>
                <w:w w:val="99"/>
                <w:sz w:val="22"/>
                <w:lang w:eastAsia="en-US"/>
              </w:rPr>
              <w:t>R</w:t>
            </w:r>
          </w:p>
        </w:tc>
        <w:tc>
          <w:tcPr>
            <w:tcW w:w="1014"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r>
              <w:rPr>
                <w:rFonts w:ascii="Times New Roman" w:hAnsi="Times New Roman"/>
                <w:color w:val="auto"/>
                <w:sz w:val="18"/>
                <w:szCs w:val="18"/>
              </w:rPr>
              <w:t>S</w:t>
            </w:r>
          </w:p>
        </w:tc>
        <w:tc>
          <w:tcPr>
            <w:tcW w:w="873"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r>
              <w:rPr>
                <w:rFonts w:ascii="Times New Roman" w:hAnsi="Times New Roman"/>
                <w:color w:val="auto"/>
                <w:sz w:val="18"/>
                <w:szCs w:val="18"/>
              </w:rPr>
              <w:t>R</w:t>
            </w:r>
          </w:p>
        </w:tc>
        <w:tc>
          <w:tcPr>
            <w:tcW w:w="846"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r>
              <w:rPr>
                <w:rFonts w:ascii="Times New Roman" w:hAnsi="Times New Roman"/>
                <w:color w:val="auto"/>
                <w:sz w:val="18"/>
                <w:szCs w:val="18"/>
              </w:rPr>
              <w:t>P</w:t>
            </w:r>
          </w:p>
        </w:tc>
        <w:tc>
          <w:tcPr>
            <w:tcW w:w="750"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r>
              <w:rPr>
                <w:rFonts w:ascii="Times New Roman" w:hAnsi="Times New Roman"/>
                <w:color w:val="auto"/>
                <w:sz w:val="18"/>
                <w:szCs w:val="18"/>
              </w:rPr>
              <w:t>P</w:t>
            </w:r>
          </w:p>
        </w:tc>
        <w:tc>
          <w:tcPr>
            <w:tcW w:w="726"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r>
              <w:rPr>
                <w:rFonts w:ascii="Times New Roman" w:hAnsi="Times New Roman"/>
                <w:color w:val="auto"/>
                <w:sz w:val="18"/>
                <w:szCs w:val="18"/>
              </w:rPr>
              <w:t>A</w:t>
            </w:r>
          </w:p>
        </w:tc>
        <w:tc>
          <w:tcPr>
            <w:tcW w:w="731"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p>
        </w:tc>
      </w:tr>
      <w:tr>
        <w:tblPrEx>
          <w:tblCellMar>
            <w:top w:w="0" w:type="dxa"/>
            <w:left w:w="0" w:type="dxa"/>
            <w:bottom w:w="0" w:type="dxa"/>
            <w:right w:w="0" w:type="dxa"/>
          </w:tblCellMar>
        </w:tblPrEx>
        <w:trPr>
          <w:trHeight w:val="454" w:hRule="atLeast"/>
          <w:jc w:val="center"/>
        </w:trPr>
        <w:tc>
          <w:tcPr>
            <w:tcW w:w="1060" w:type="dxa"/>
            <w:vMerge w:val="restart"/>
            <w:tcBorders>
              <w:top w:val="single" w:color="000000" w:sz="4" w:space="0"/>
              <w:left w:val="single" w:color="000000" w:sz="4" w:space="0"/>
              <w:right w:val="single" w:color="000000" w:sz="4" w:space="0"/>
            </w:tcBorders>
            <w:noWrap/>
            <w:vAlign w:val="center"/>
          </w:tcPr>
          <w:p>
            <w:pPr>
              <w:spacing w:before="120" w:after="120"/>
              <w:ind w:firstLine="433"/>
              <w:jc w:val="center"/>
              <w:rPr>
                <w:color w:val="auto"/>
                <w:sz w:val="18"/>
                <w:szCs w:val="18"/>
                <w:lang w:eastAsia="en-US"/>
              </w:rPr>
            </w:pPr>
            <w:r>
              <w:rPr>
                <w:color w:val="auto"/>
                <w:w w:val="99"/>
                <w:sz w:val="22"/>
                <w:lang w:eastAsia="en-US"/>
              </w:rPr>
              <w:t>4</w:t>
            </w:r>
          </w:p>
        </w:tc>
        <w:tc>
          <w:tcPr>
            <w:tcW w:w="2859" w:type="dxa"/>
            <w:vMerge w:val="restart"/>
            <w:tcBorders>
              <w:top w:val="single" w:color="000000" w:sz="4" w:space="0"/>
              <w:left w:val="single" w:color="000000" w:sz="4" w:space="0"/>
              <w:right w:val="single" w:color="000000" w:sz="4" w:space="0"/>
            </w:tcBorders>
            <w:noWrap/>
            <w:vAlign w:val="center"/>
          </w:tcPr>
          <w:p>
            <w:pPr>
              <w:spacing w:before="120" w:after="120"/>
              <w:ind w:firstLine="440"/>
              <w:jc w:val="center"/>
              <w:rPr>
                <w:color w:val="auto"/>
                <w:sz w:val="18"/>
                <w:szCs w:val="18"/>
                <w:lang w:eastAsia="en-US"/>
              </w:rPr>
            </w:pPr>
            <w:r>
              <w:rPr>
                <w:color w:val="auto"/>
                <w:sz w:val="22"/>
                <w:szCs w:val="21"/>
                <w:lang w:eastAsia="en-US"/>
              </w:rPr>
              <w:t>运维阶段</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440"/>
              <w:jc w:val="center"/>
              <w:rPr>
                <w:color w:val="auto"/>
                <w:sz w:val="18"/>
                <w:szCs w:val="18"/>
                <w:lang w:eastAsia="en-US"/>
              </w:rPr>
            </w:pPr>
            <w:r>
              <w:rPr>
                <w:color w:val="auto"/>
                <w:sz w:val="22"/>
                <w:szCs w:val="21"/>
                <w:lang w:eastAsia="en-US"/>
              </w:rPr>
              <w:t>甲方</w:t>
            </w:r>
          </w:p>
        </w:tc>
        <w:tc>
          <w:tcPr>
            <w:tcW w:w="4940" w:type="dxa"/>
            <w:gridSpan w:val="6"/>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440"/>
              <w:jc w:val="center"/>
              <w:rPr>
                <w:color w:val="auto"/>
                <w:sz w:val="18"/>
                <w:szCs w:val="18"/>
                <w:lang w:eastAsia="en-US"/>
              </w:rPr>
            </w:pPr>
            <w:r>
              <w:rPr>
                <w:color w:val="auto"/>
                <w:sz w:val="22"/>
                <w:szCs w:val="21"/>
                <w:lang w:eastAsia="en-US"/>
              </w:rPr>
              <w:t>参与方</w:t>
            </w:r>
          </w:p>
        </w:tc>
      </w:tr>
      <w:tr>
        <w:trPr>
          <w:trHeight w:val="454" w:hRule="atLeast"/>
          <w:jc w:val="center"/>
        </w:trPr>
        <w:tc>
          <w:tcPr>
            <w:tcW w:w="1060" w:type="dxa"/>
            <w:vMerge w:val="continue"/>
            <w:tcBorders>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c>
          <w:tcPr>
            <w:tcW w:w="2859" w:type="dxa"/>
            <w:vMerge w:val="continue"/>
            <w:tcBorders>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c>
          <w:tcPr>
            <w:tcW w:w="1025"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440"/>
              <w:jc w:val="center"/>
              <w:rPr>
                <w:color w:val="auto"/>
                <w:sz w:val="22"/>
                <w:szCs w:val="21"/>
              </w:rPr>
            </w:pPr>
            <w:r>
              <w:rPr>
                <w:color w:val="auto"/>
                <w:sz w:val="22"/>
                <w:szCs w:val="21"/>
              </w:rPr>
              <w:t>代建局</w:t>
            </w:r>
            <w:r>
              <w:rPr>
                <w:rFonts w:hint="eastAsia"/>
                <w:color w:val="auto"/>
                <w:sz w:val="22"/>
                <w:szCs w:val="21"/>
              </w:rPr>
              <w:t>项目建设管理部、</w:t>
            </w:r>
          </w:p>
          <w:p>
            <w:pPr>
              <w:spacing w:before="120" w:after="120"/>
              <w:ind w:firstLine="440"/>
              <w:jc w:val="center"/>
              <w:rPr>
                <w:color w:val="auto"/>
                <w:sz w:val="22"/>
                <w:szCs w:val="21"/>
                <w:lang w:eastAsia="en-US"/>
              </w:rPr>
            </w:pPr>
            <w:r>
              <w:rPr>
                <w:color w:val="auto"/>
                <w:sz w:val="22"/>
                <w:szCs w:val="21"/>
                <w:lang w:eastAsia="en-US"/>
              </w:rPr>
              <w:t>运营方</w:t>
            </w:r>
          </w:p>
        </w:tc>
        <w:tc>
          <w:tcPr>
            <w:tcW w:w="1014"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440"/>
              <w:jc w:val="center"/>
              <w:rPr>
                <w:color w:val="auto"/>
                <w:sz w:val="22"/>
                <w:szCs w:val="21"/>
                <w:lang w:eastAsia="en-US"/>
              </w:rPr>
            </w:pPr>
            <w:r>
              <w:rPr>
                <w:color w:val="auto"/>
                <w:sz w:val="22"/>
                <w:szCs w:val="21"/>
                <w:lang w:eastAsia="en-US"/>
              </w:rPr>
              <w:t>BIM</w:t>
            </w:r>
          </w:p>
          <w:p>
            <w:pPr>
              <w:spacing w:before="120" w:after="120"/>
              <w:ind w:firstLine="440"/>
              <w:jc w:val="center"/>
              <w:rPr>
                <w:color w:val="auto"/>
                <w:sz w:val="22"/>
                <w:szCs w:val="21"/>
                <w:lang w:eastAsia="en-US"/>
              </w:rPr>
            </w:pPr>
            <w:r>
              <w:rPr>
                <w:color w:val="auto"/>
                <w:sz w:val="22"/>
                <w:szCs w:val="21"/>
                <w:lang w:eastAsia="en-US"/>
              </w:rPr>
              <w:t>总协调</w:t>
            </w:r>
          </w:p>
        </w:tc>
        <w:tc>
          <w:tcPr>
            <w:tcW w:w="873"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c>
          <w:tcPr>
            <w:tcW w:w="846"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c>
          <w:tcPr>
            <w:tcW w:w="750"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c>
          <w:tcPr>
            <w:tcW w:w="726"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c>
          <w:tcPr>
            <w:tcW w:w="731"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r>
      <w:tr>
        <w:tblPrEx>
          <w:tblCellMar>
            <w:top w:w="0" w:type="dxa"/>
            <w:left w:w="0" w:type="dxa"/>
            <w:bottom w:w="0" w:type="dxa"/>
            <w:right w:w="0" w:type="dxa"/>
          </w:tblCellMar>
        </w:tblPrEx>
        <w:trPr>
          <w:trHeight w:val="454" w:hRule="atLeast"/>
          <w:jc w:val="center"/>
        </w:trPr>
        <w:tc>
          <w:tcPr>
            <w:tcW w:w="1060"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440"/>
              <w:jc w:val="center"/>
              <w:rPr>
                <w:color w:val="auto"/>
                <w:sz w:val="18"/>
                <w:szCs w:val="18"/>
                <w:lang w:eastAsia="en-US"/>
              </w:rPr>
            </w:pPr>
            <w:r>
              <w:rPr>
                <w:color w:val="auto"/>
                <w:sz w:val="22"/>
                <w:lang w:eastAsia="en-US"/>
              </w:rPr>
              <w:t>4.1</w:t>
            </w:r>
          </w:p>
        </w:tc>
        <w:tc>
          <w:tcPr>
            <w:tcW w:w="2859"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440"/>
              <w:jc w:val="center"/>
              <w:rPr>
                <w:color w:val="auto"/>
                <w:sz w:val="18"/>
                <w:szCs w:val="18"/>
                <w:lang w:eastAsia="en-US"/>
              </w:rPr>
            </w:pPr>
            <w:r>
              <w:rPr>
                <w:color w:val="auto"/>
                <w:sz w:val="22"/>
                <w:szCs w:val="21"/>
                <w:lang w:eastAsia="en-US"/>
              </w:rPr>
              <w:t>搭建运维平台</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r>
              <w:rPr>
                <w:rFonts w:ascii="Times New Roman" w:hAnsi="Times New Roman"/>
                <w:color w:val="auto"/>
                <w:sz w:val="18"/>
                <w:szCs w:val="18"/>
              </w:rPr>
              <w:t>P</w:t>
            </w:r>
          </w:p>
        </w:tc>
        <w:tc>
          <w:tcPr>
            <w:tcW w:w="1014"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r>
              <w:rPr>
                <w:rFonts w:ascii="Times New Roman" w:hAnsi="Times New Roman"/>
                <w:color w:val="auto"/>
                <w:sz w:val="18"/>
                <w:szCs w:val="18"/>
              </w:rPr>
              <w:t>S</w:t>
            </w:r>
          </w:p>
        </w:tc>
        <w:tc>
          <w:tcPr>
            <w:tcW w:w="873"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c>
          <w:tcPr>
            <w:tcW w:w="846"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c>
          <w:tcPr>
            <w:tcW w:w="750"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c>
          <w:tcPr>
            <w:tcW w:w="726"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c>
          <w:tcPr>
            <w:tcW w:w="731"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r>
      <w:tr>
        <w:tblPrEx>
          <w:tblCellMar>
            <w:top w:w="0" w:type="dxa"/>
            <w:left w:w="0" w:type="dxa"/>
            <w:bottom w:w="0" w:type="dxa"/>
            <w:right w:w="0" w:type="dxa"/>
          </w:tblCellMar>
        </w:tblPrEx>
        <w:trPr>
          <w:trHeight w:val="454" w:hRule="atLeast"/>
          <w:jc w:val="center"/>
        </w:trPr>
        <w:tc>
          <w:tcPr>
            <w:tcW w:w="1060"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440"/>
              <w:jc w:val="center"/>
              <w:rPr>
                <w:color w:val="auto"/>
                <w:sz w:val="18"/>
                <w:szCs w:val="18"/>
                <w:lang w:eastAsia="en-US"/>
              </w:rPr>
            </w:pPr>
            <w:r>
              <w:rPr>
                <w:color w:val="auto"/>
                <w:sz w:val="22"/>
                <w:lang w:eastAsia="en-US"/>
              </w:rPr>
              <w:t>4.2</w:t>
            </w:r>
          </w:p>
        </w:tc>
        <w:tc>
          <w:tcPr>
            <w:tcW w:w="2859"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440"/>
              <w:jc w:val="center"/>
              <w:rPr>
                <w:color w:val="auto"/>
                <w:sz w:val="18"/>
                <w:szCs w:val="18"/>
                <w:lang w:eastAsia="en-US"/>
              </w:rPr>
            </w:pPr>
            <w:r>
              <w:rPr>
                <w:color w:val="auto"/>
                <w:sz w:val="22"/>
                <w:szCs w:val="21"/>
                <w:lang w:eastAsia="en-US"/>
              </w:rPr>
              <w:t>交付竣工运维模型</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r>
              <w:rPr>
                <w:rFonts w:ascii="Times New Roman" w:hAnsi="Times New Roman"/>
                <w:color w:val="auto"/>
                <w:sz w:val="18"/>
                <w:szCs w:val="18"/>
              </w:rPr>
              <w:t>O</w:t>
            </w:r>
          </w:p>
        </w:tc>
        <w:tc>
          <w:tcPr>
            <w:tcW w:w="1014" w:type="dxa"/>
            <w:tcBorders>
              <w:top w:val="single" w:color="000000" w:sz="4" w:space="0"/>
              <w:left w:val="single" w:color="000000" w:sz="4" w:space="0"/>
              <w:bottom w:val="single" w:color="000000" w:sz="4" w:space="0"/>
              <w:right w:val="single" w:color="000000" w:sz="4" w:space="0"/>
            </w:tcBorders>
            <w:noWrap/>
            <w:vAlign w:val="center"/>
          </w:tcPr>
          <w:p>
            <w:pPr>
              <w:pStyle w:val="480"/>
              <w:spacing w:before="120" w:after="120"/>
              <w:jc w:val="center"/>
              <w:rPr>
                <w:rFonts w:ascii="Times New Roman" w:hAnsi="Times New Roman"/>
                <w:color w:val="auto"/>
                <w:sz w:val="18"/>
                <w:szCs w:val="18"/>
              </w:rPr>
            </w:pPr>
            <w:r>
              <w:rPr>
                <w:rFonts w:ascii="Times New Roman" w:hAnsi="Times New Roman"/>
                <w:color w:val="auto"/>
                <w:sz w:val="18"/>
                <w:szCs w:val="18"/>
              </w:rPr>
              <w:t>P</w:t>
            </w:r>
          </w:p>
        </w:tc>
        <w:tc>
          <w:tcPr>
            <w:tcW w:w="873"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c>
          <w:tcPr>
            <w:tcW w:w="846"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c>
          <w:tcPr>
            <w:tcW w:w="750"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c>
          <w:tcPr>
            <w:tcW w:w="726"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c>
          <w:tcPr>
            <w:tcW w:w="731"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r>
    </w:tbl>
    <w:p>
      <w:pPr>
        <w:pStyle w:val="21"/>
        <w:spacing w:before="120" w:line="336" w:lineRule="auto"/>
        <w:ind w:left="232"/>
        <w:rPr>
          <w:color w:val="auto"/>
        </w:rPr>
      </w:pPr>
      <w:r>
        <w:rPr>
          <w:color w:val="auto"/>
        </w:rPr>
        <w:t>注：《BIM工作职责分配表》根据项目实际情况，由项目的BIM总协调方做出调整，并提交代建局</w:t>
      </w:r>
      <w:r>
        <w:rPr>
          <w:rFonts w:hint="eastAsia"/>
          <w:color w:val="auto"/>
        </w:rPr>
        <w:t>BIM技术应用管理领导小组</w:t>
      </w:r>
      <w:r>
        <w:rPr>
          <w:color w:val="auto"/>
        </w:rPr>
        <w:t>审核通过。</w:t>
      </w:r>
    </w:p>
    <w:p>
      <w:pPr>
        <w:spacing w:before="120" w:after="120" w:line="336" w:lineRule="auto"/>
        <w:rPr>
          <w:color w:val="auto"/>
        </w:rPr>
        <w:sectPr>
          <w:pgSz w:w="11910" w:h="16840"/>
          <w:pgMar w:top="1040" w:right="1020" w:bottom="1160" w:left="1000" w:header="0" w:footer="973" w:gutter="0"/>
          <w:cols w:space="720" w:num="1"/>
        </w:sectPr>
      </w:pPr>
    </w:p>
    <w:p>
      <w:pPr>
        <w:spacing w:before="120" w:after="120"/>
        <w:ind w:firstLine="240"/>
        <w:rPr>
          <w:rFonts w:cs="宋体"/>
          <w:color w:val="auto"/>
          <w:sz w:val="12"/>
          <w:szCs w:val="12"/>
        </w:rPr>
      </w:pPr>
    </w:p>
    <w:p>
      <w:pPr>
        <w:pStyle w:val="585"/>
        <w:numPr>
          <w:ilvl w:val="0"/>
          <w:numId w:val="0"/>
        </w:numPr>
        <w:spacing w:before="120" w:after="120" w:line="360" w:lineRule="auto"/>
        <w:outlineLvl w:val="1"/>
        <w:rPr>
          <w:rFonts w:ascii="Times New Roman" w:hAnsi="Times New Roman" w:eastAsia="黑体"/>
          <w:b w:val="0"/>
          <w:bCs/>
          <w:color w:val="auto"/>
          <w:sz w:val="24"/>
          <w:szCs w:val="24"/>
        </w:rPr>
      </w:pPr>
      <w:bookmarkStart w:id="887" w:name="_bookmark42"/>
      <w:bookmarkEnd w:id="887"/>
      <w:bookmarkStart w:id="888" w:name="_Toc26224"/>
      <w:bookmarkStart w:id="889" w:name="_Toc545"/>
      <w:bookmarkStart w:id="890" w:name="_Toc10207"/>
      <w:bookmarkStart w:id="891" w:name="_Toc2582"/>
      <w:bookmarkStart w:id="892" w:name="_Toc62460211"/>
      <w:r>
        <w:rPr>
          <w:rFonts w:ascii="Times New Roman" w:hAnsi="Times New Roman" w:eastAsia="黑体"/>
          <w:b w:val="0"/>
          <w:bCs/>
          <w:color w:val="auto"/>
          <w:sz w:val="24"/>
          <w:szCs w:val="24"/>
        </w:rPr>
        <w:t>附表2  各阶段BIM实施总计划样表</w:t>
      </w:r>
      <w:bookmarkEnd w:id="888"/>
      <w:bookmarkEnd w:id="889"/>
      <w:bookmarkEnd w:id="890"/>
      <w:bookmarkEnd w:id="891"/>
      <w:bookmarkEnd w:id="892"/>
    </w:p>
    <w:p>
      <w:pPr>
        <w:pStyle w:val="498"/>
        <w:spacing w:beforeLines="50" w:afterLines="50" w:line="360" w:lineRule="auto"/>
        <w:ind w:firstLine="360"/>
        <w:jc w:val="center"/>
        <w:rPr>
          <w:rFonts w:ascii="黑体" w:hAnsi="黑体" w:eastAsia="黑体" w:cs="黑体"/>
          <w:color w:val="auto"/>
          <w:sz w:val="18"/>
          <w:szCs w:val="18"/>
        </w:rPr>
      </w:pPr>
      <w:r>
        <w:rPr>
          <w:rFonts w:hint="eastAsia" w:ascii="黑体" w:hAnsi="黑体" w:eastAsia="黑体" w:cs="黑体"/>
          <w:color w:val="auto"/>
          <w:sz w:val="18"/>
          <w:szCs w:val="18"/>
        </w:rPr>
        <w:t>附</w:t>
      </w:r>
      <w:r>
        <w:rPr>
          <w:rFonts w:ascii="黑体" w:hAnsi="黑体" w:eastAsia="黑体" w:cs="黑体"/>
          <w:color w:val="auto"/>
          <w:sz w:val="18"/>
          <w:szCs w:val="18"/>
        </w:rPr>
        <w:t>表2-1  设计阶段BIM实施计划样表</w:t>
      </w:r>
    </w:p>
    <w:tbl>
      <w:tblPr>
        <w:tblStyle w:val="55"/>
        <w:tblW w:w="14330" w:type="dxa"/>
        <w:tblInd w:w="0" w:type="dxa"/>
        <w:tblLayout w:type="fixed"/>
        <w:tblCellMar>
          <w:top w:w="0" w:type="dxa"/>
          <w:left w:w="0" w:type="dxa"/>
          <w:bottom w:w="0" w:type="dxa"/>
          <w:right w:w="0" w:type="dxa"/>
        </w:tblCellMar>
      </w:tblPr>
      <w:tblGrid>
        <w:gridCol w:w="799"/>
        <w:gridCol w:w="690"/>
        <w:gridCol w:w="782"/>
        <w:gridCol w:w="1103"/>
        <w:gridCol w:w="903"/>
        <w:gridCol w:w="903"/>
        <w:gridCol w:w="903"/>
        <w:gridCol w:w="946"/>
        <w:gridCol w:w="903"/>
        <w:gridCol w:w="903"/>
        <w:gridCol w:w="903"/>
        <w:gridCol w:w="911"/>
        <w:gridCol w:w="903"/>
        <w:gridCol w:w="903"/>
        <w:gridCol w:w="903"/>
        <w:gridCol w:w="972"/>
      </w:tblGrid>
      <w:tr>
        <w:tblPrEx>
          <w:tblCellMar>
            <w:top w:w="0" w:type="dxa"/>
            <w:left w:w="0" w:type="dxa"/>
            <w:bottom w:w="0" w:type="dxa"/>
            <w:right w:w="0" w:type="dxa"/>
          </w:tblCellMar>
        </w:tblPrEx>
        <w:trPr>
          <w:trHeight w:val="454" w:hRule="atLeast"/>
        </w:trPr>
        <w:tc>
          <w:tcPr>
            <w:tcW w:w="799" w:type="dxa"/>
            <w:vMerge w:val="restart"/>
            <w:tcBorders>
              <w:top w:val="single" w:color="000000" w:sz="4" w:space="0"/>
              <w:left w:val="single" w:color="000000" w:sz="4" w:space="0"/>
              <w:right w:val="single" w:color="000000" w:sz="4" w:space="0"/>
            </w:tcBorders>
            <w:noWrap/>
            <w:vAlign w:val="center"/>
          </w:tcPr>
          <w:p>
            <w:pPr>
              <w:spacing w:before="120" w:after="120"/>
              <w:ind w:firstLine="360"/>
              <w:jc w:val="center"/>
              <w:rPr>
                <w:color w:val="auto"/>
                <w:sz w:val="18"/>
                <w:szCs w:val="18"/>
                <w:lang w:eastAsia="en-US"/>
              </w:rPr>
            </w:pPr>
            <w:r>
              <w:rPr>
                <w:color w:val="auto"/>
                <w:sz w:val="18"/>
                <w:szCs w:val="18"/>
                <w:lang w:eastAsia="en-US"/>
              </w:rPr>
              <w:t>项目阶段</w:t>
            </w:r>
          </w:p>
        </w:tc>
        <w:tc>
          <w:tcPr>
            <w:tcW w:w="690" w:type="dxa"/>
            <w:vMerge w:val="restart"/>
            <w:tcBorders>
              <w:top w:val="single" w:color="000000" w:sz="4" w:space="0"/>
              <w:left w:val="single" w:color="000000" w:sz="4" w:space="0"/>
              <w:right w:val="single" w:color="000000" w:sz="4" w:space="0"/>
            </w:tcBorders>
            <w:noWrap/>
            <w:vAlign w:val="center"/>
          </w:tcPr>
          <w:p>
            <w:pPr>
              <w:spacing w:before="120" w:after="120"/>
              <w:ind w:firstLine="360"/>
              <w:jc w:val="center"/>
              <w:rPr>
                <w:color w:val="auto"/>
                <w:sz w:val="18"/>
                <w:szCs w:val="18"/>
                <w:lang w:eastAsia="en-US"/>
              </w:rPr>
            </w:pPr>
            <w:r>
              <w:rPr>
                <w:color w:val="auto"/>
                <w:sz w:val="18"/>
                <w:szCs w:val="18"/>
                <w:lang w:eastAsia="en-US"/>
              </w:rPr>
              <w:t>实施</w:t>
            </w:r>
          </w:p>
          <w:p>
            <w:pPr>
              <w:spacing w:before="120" w:after="120"/>
              <w:ind w:firstLine="360"/>
              <w:jc w:val="center"/>
              <w:rPr>
                <w:color w:val="auto"/>
                <w:sz w:val="18"/>
                <w:szCs w:val="18"/>
                <w:lang w:eastAsia="en-US"/>
              </w:rPr>
            </w:pPr>
            <w:r>
              <w:rPr>
                <w:color w:val="auto"/>
                <w:sz w:val="18"/>
                <w:szCs w:val="18"/>
                <w:lang w:eastAsia="en-US"/>
              </w:rPr>
              <w:t>单位</w:t>
            </w:r>
          </w:p>
        </w:tc>
        <w:tc>
          <w:tcPr>
            <w:tcW w:w="782" w:type="dxa"/>
            <w:vMerge w:val="restart"/>
            <w:tcBorders>
              <w:top w:val="single" w:color="000000" w:sz="4" w:space="0"/>
              <w:left w:val="single" w:color="000000" w:sz="4" w:space="0"/>
              <w:right w:val="single" w:color="000000" w:sz="4" w:space="0"/>
            </w:tcBorders>
            <w:noWrap/>
            <w:vAlign w:val="center"/>
          </w:tcPr>
          <w:p>
            <w:pPr>
              <w:spacing w:before="120" w:after="120"/>
              <w:ind w:firstLine="360"/>
              <w:jc w:val="center"/>
              <w:rPr>
                <w:color w:val="auto"/>
                <w:sz w:val="18"/>
                <w:szCs w:val="18"/>
                <w:lang w:eastAsia="en-US"/>
              </w:rPr>
            </w:pPr>
            <w:r>
              <w:rPr>
                <w:color w:val="auto"/>
                <w:sz w:val="18"/>
                <w:szCs w:val="18"/>
                <w:lang w:eastAsia="en-US"/>
              </w:rPr>
              <w:t>BIM</w:t>
            </w:r>
          </w:p>
          <w:p>
            <w:pPr>
              <w:spacing w:before="120" w:after="120"/>
              <w:ind w:firstLine="360"/>
              <w:jc w:val="center"/>
              <w:rPr>
                <w:color w:val="auto"/>
                <w:sz w:val="18"/>
                <w:szCs w:val="18"/>
                <w:lang w:eastAsia="en-US"/>
              </w:rPr>
            </w:pPr>
            <w:r>
              <w:rPr>
                <w:color w:val="auto"/>
                <w:sz w:val="18"/>
                <w:szCs w:val="18"/>
                <w:lang w:eastAsia="en-US"/>
              </w:rPr>
              <w:t>模型深度</w:t>
            </w:r>
          </w:p>
        </w:tc>
        <w:tc>
          <w:tcPr>
            <w:tcW w:w="1103" w:type="dxa"/>
            <w:vMerge w:val="restart"/>
            <w:tcBorders>
              <w:top w:val="single" w:color="000000" w:sz="4" w:space="0"/>
              <w:left w:val="single" w:color="000000" w:sz="4" w:space="0"/>
              <w:right w:val="single" w:color="000000" w:sz="4" w:space="0"/>
            </w:tcBorders>
            <w:noWrap/>
            <w:vAlign w:val="center"/>
          </w:tcPr>
          <w:p>
            <w:pPr>
              <w:spacing w:before="120" w:after="120"/>
              <w:ind w:firstLine="360"/>
              <w:jc w:val="center"/>
              <w:rPr>
                <w:color w:val="auto"/>
                <w:sz w:val="18"/>
                <w:szCs w:val="18"/>
                <w:lang w:eastAsia="en-US"/>
              </w:rPr>
            </w:pPr>
            <w:r>
              <w:rPr>
                <w:color w:val="auto"/>
                <w:sz w:val="18"/>
                <w:szCs w:val="18"/>
                <w:lang w:eastAsia="en-US"/>
              </w:rPr>
              <w:t>工作范围</w:t>
            </w:r>
          </w:p>
        </w:tc>
        <w:tc>
          <w:tcPr>
            <w:tcW w:w="3655" w:type="dxa"/>
            <w:gridSpan w:val="4"/>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r>
              <w:rPr>
                <w:color w:val="auto"/>
                <w:sz w:val="18"/>
                <w:szCs w:val="18"/>
                <w:lang w:eastAsia="en-US"/>
              </w:rPr>
              <w:t>方案模型阶段</w:t>
            </w:r>
          </w:p>
        </w:tc>
        <w:tc>
          <w:tcPr>
            <w:tcW w:w="3620" w:type="dxa"/>
            <w:gridSpan w:val="4"/>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r>
              <w:rPr>
                <w:color w:val="auto"/>
                <w:sz w:val="18"/>
                <w:szCs w:val="18"/>
                <w:lang w:eastAsia="en-US"/>
              </w:rPr>
              <w:t>初设模型阶段</w:t>
            </w:r>
          </w:p>
        </w:tc>
        <w:tc>
          <w:tcPr>
            <w:tcW w:w="3681" w:type="dxa"/>
            <w:gridSpan w:val="4"/>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r>
              <w:rPr>
                <w:color w:val="auto"/>
                <w:sz w:val="18"/>
                <w:szCs w:val="18"/>
                <w:lang w:eastAsia="en-US"/>
              </w:rPr>
              <w:t>施工图模型阶段</w:t>
            </w:r>
          </w:p>
        </w:tc>
      </w:tr>
      <w:tr>
        <w:tblPrEx>
          <w:tblCellMar>
            <w:top w:w="0" w:type="dxa"/>
            <w:left w:w="0" w:type="dxa"/>
            <w:bottom w:w="0" w:type="dxa"/>
            <w:right w:w="0" w:type="dxa"/>
          </w:tblCellMar>
        </w:tblPrEx>
        <w:trPr>
          <w:trHeight w:val="454" w:hRule="atLeast"/>
        </w:trPr>
        <w:tc>
          <w:tcPr>
            <w:tcW w:w="799" w:type="dxa"/>
            <w:vMerge w:val="continue"/>
            <w:tcBorders>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c>
          <w:tcPr>
            <w:tcW w:w="690" w:type="dxa"/>
            <w:vMerge w:val="continue"/>
            <w:tcBorders>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c>
          <w:tcPr>
            <w:tcW w:w="782" w:type="dxa"/>
            <w:vMerge w:val="continue"/>
            <w:tcBorders>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c>
          <w:tcPr>
            <w:tcW w:w="1103" w:type="dxa"/>
            <w:vMerge w:val="continue"/>
            <w:tcBorders>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c>
          <w:tcPr>
            <w:tcW w:w="903"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r>
              <w:rPr>
                <w:color w:val="auto"/>
                <w:sz w:val="18"/>
                <w:szCs w:val="18"/>
                <w:lang w:eastAsia="en-US"/>
              </w:rPr>
              <w:t>预计开始时间</w:t>
            </w:r>
          </w:p>
        </w:tc>
        <w:tc>
          <w:tcPr>
            <w:tcW w:w="903"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r>
              <w:rPr>
                <w:color w:val="auto"/>
                <w:sz w:val="18"/>
                <w:szCs w:val="18"/>
                <w:lang w:eastAsia="en-US"/>
              </w:rPr>
              <w:t>预计结束时间</w:t>
            </w:r>
          </w:p>
        </w:tc>
        <w:tc>
          <w:tcPr>
            <w:tcW w:w="903"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rPr>
            </w:pPr>
            <w:r>
              <w:rPr>
                <w:color w:val="auto"/>
                <w:sz w:val="18"/>
                <w:szCs w:val="18"/>
              </w:rPr>
              <w:t>预计完成耗时（工作日）</w:t>
            </w:r>
          </w:p>
        </w:tc>
        <w:tc>
          <w:tcPr>
            <w:tcW w:w="946"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r>
              <w:rPr>
                <w:color w:val="auto"/>
                <w:sz w:val="18"/>
                <w:szCs w:val="18"/>
                <w:lang w:eastAsia="en-US"/>
              </w:rPr>
              <w:t>完成内容</w:t>
            </w:r>
          </w:p>
        </w:tc>
        <w:tc>
          <w:tcPr>
            <w:tcW w:w="903"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r>
              <w:rPr>
                <w:color w:val="auto"/>
                <w:sz w:val="18"/>
                <w:szCs w:val="18"/>
                <w:lang w:eastAsia="en-US"/>
              </w:rPr>
              <w:t>预计开始时间</w:t>
            </w:r>
          </w:p>
        </w:tc>
        <w:tc>
          <w:tcPr>
            <w:tcW w:w="903"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r>
              <w:rPr>
                <w:color w:val="auto"/>
                <w:sz w:val="18"/>
                <w:szCs w:val="18"/>
                <w:lang w:eastAsia="en-US"/>
              </w:rPr>
              <w:t>预计结束时间</w:t>
            </w:r>
          </w:p>
        </w:tc>
        <w:tc>
          <w:tcPr>
            <w:tcW w:w="903"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rPr>
            </w:pPr>
            <w:r>
              <w:rPr>
                <w:color w:val="auto"/>
                <w:sz w:val="18"/>
                <w:szCs w:val="18"/>
              </w:rPr>
              <w:t>预计完成耗时（工作日）</w:t>
            </w:r>
          </w:p>
        </w:tc>
        <w:tc>
          <w:tcPr>
            <w:tcW w:w="911"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r>
              <w:rPr>
                <w:color w:val="auto"/>
                <w:sz w:val="18"/>
                <w:szCs w:val="18"/>
                <w:lang w:eastAsia="en-US"/>
              </w:rPr>
              <w:t>完成内容</w:t>
            </w:r>
          </w:p>
        </w:tc>
        <w:tc>
          <w:tcPr>
            <w:tcW w:w="903"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r>
              <w:rPr>
                <w:color w:val="auto"/>
                <w:sz w:val="18"/>
                <w:szCs w:val="18"/>
                <w:lang w:eastAsia="en-US"/>
              </w:rPr>
              <w:t>预计开始时间</w:t>
            </w:r>
          </w:p>
        </w:tc>
        <w:tc>
          <w:tcPr>
            <w:tcW w:w="903"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r>
              <w:rPr>
                <w:color w:val="auto"/>
                <w:sz w:val="18"/>
                <w:szCs w:val="18"/>
                <w:lang w:eastAsia="en-US"/>
              </w:rPr>
              <w:t>预计结束时间</w:t>
            </w:r>
          </w:p>
        </w:tc>
        <w:tc>
          <w:tcPr>
            <w:tcW w:w="903"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rPr>
            </w:pPr>
            <w:r>
              <w:rPr>
                <w:color w:val="auto"/>
                <w:sz w:val="18"/>
                <w:szCs w:val="18"/>
              </w:rPr>
              <w:t>预计完成耗时（工作日）</w:t>
            </w:r>
          </w:p>
        </w:tc>
        <w:tc>
          <w:tcPr>
            <w:tcW w:w="972"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r>
              <w:rPr>
                <w:color w:val="auto"/>
                <w:sz w:val="18"/>
                <w:szCs w:val="18"/>
                <w:lang w:eastAsia="en-US"/>
              </w:rPr>
              <w:t>完成内容</w:t>
            </w:r>
          </w:p>
        </w:tc>
      </w:tr>
      <w:tr>
        <w:tblPrEx>
          <w:tblCellMar>
            <w:top w:w="0" w:type="dxa"/>
            <w:left w:w="0" w:type="dxa"/>
            <w:bottom w:w="0" w:type="dxa"/>
            <w:right w:w="0" w:type="dxa"/>
          </w:tblCellMar>
        </w:tblPrEx>
        <w:trPr>
          <w:trHeight w:val="454" w:hRule="atLeast"/>
        </w:trPr>
        <w:tc>
          <w:tcPr>
            <w:tcW w:w="799"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c>
          <w:tcPr>
            <w:tcW w:w="690"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c>
          <w:tcPr>
            <w:tcW w:w="782"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c>
          <w:tcPr>
            <w:tcW w:w="1103"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c>
          <w:tcPr>
            <w:tcW w:w="903"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c>
          <w:tcPr>
            <w:tcW w:w="903"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c>
          <w:tcPr>
            <w:tcW w:w="903"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c>
          <w:tcPr>
            <w:tcW w:w="946"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c>
          <w:tcPr>
            <w:tcW w:w="903"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c>
          <w:tcPr>
            <w:tcW w:w="903"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c>
          <w:tcPr>
            <w:tcW w:w="903"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c>
          <w:tcPr>
            <w:tcW w:w="911"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c>
          <w:tcPr>
            <w:tcW w:w="903"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c>
          <w:tcPr>
            <w:tcW w:w="903"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c>
          <w:tcPr>
            <w:tcW w:w="903"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c>
          <w:tcPr>
            <w:tcW w:w="972"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r>
      <w:tr>
        <w:tblPrEx>
          <w:tblCellMar>
            <w:top w:w="0" w:type="dxa"/>
            <w:left w:w="0" w:type="dxa"/>
            <w:bottom w:w="0" w:type="dxa"/>
            <w:right w:w="0" w:type="dxa"/>
          </w:tblCellMar>
        </w:tblPrEx>
        <w:trPr>
          <w:trHeight w:val="454" w:hRule="atLeast"/>
        </w:trPr>
        <w:tc>
          <w:tcPr>
            <w:tcW w:w="799"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c>
          <w:tcPr>
            <w:tcW w:w="690"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c>
          <w:tcPr>
            <w:tcW w:w="782"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c>
          <w:tcPr>
            <w:tcW w:w="1103"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c>
          <w:tcPr>
            <w:tcW w:w="903"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c>
          <w:tcPr>
            <w:tcW w:w="903"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c>
          <w:tcPr>
            <w:tcW w:w="903"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c>
          <w:tcPr>
            <w:tcW w:w="946"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c>
          <w:tcPr>
            <w:tcW w:w="903"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c>
          <w:tcPr>
            <w:tcW w:w="903"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c>
          <w:tcPr>
            <w:tcW w:w="903"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c>
          <w:tcPr>
            <w:tcW w:w="911"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c>
          <w:tcPr>
            <w:tcW w:w="903"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c>
          <w:tcPr>
            <w:tcW w:w="903"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c>
          <w:tcPr>
            <w:tcW w:w="903"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c>
          <w:tcPr>
            <w:tcW w:w="972"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r>
    </w:tbl>
    <w:p>
      <w:pPr>
        <w:pStyle w:val="498"/>
        <w:spacing w:beforeLines="50" w:afterLines="50" w:line="360" w:lineRule="auto"/>
        <w:ind w:firstLine="360"/>
        <w:jc w:val="center"/>
        <w:rPr>
          <w:rFonts w:ascii="黑体" w:hAnsi="黑体" w:eastAsia="黑体" w:cs="黑体"/>
          <w:color w:val="auto"/>
          <w:sz w:val="18"/>
          <w:szCs w:val="18"/>
        </w:rPr>
      </w:pPr>
      <w:r>
        <w:rPr>
          <w:rFonts w:hint="eastAsia" w:ascii="黑体" w:hAnsi="黑体" w:eastAsia="黑体" w:cs="黑体"/>
          <w:color w:val="auto"/>
          <w:sz w:val="18"/>
          <w:szCs w:val="18"/>
        </w:rPr>
        <w:t>附</w:t>
      </w:r>
      <w:r>
        <w:rPr>
          <w:rFonts w:ascii="黑体" w:hAnsi="黑体" w:eastAsia="黑体" w:cs="黑体"/>
          <w:color w:val="auto"/>
          <w:sz w:val="18"/>
          <w:szCs w:val="18"/>
        </w:rPr>
        <w:t>表2-2  施工阶段BIM实施计划样表</w:t>
      </w:r>
    </w:p>
    <w:tbl>
      <w:tblPr>
        <w:tblStyle w:val="55"/>
        <w:tblW w:w="14330" w:type="dxa"/>
        <w:tblInd w:w="0" w:type="dxa"/>
        <w:tblLayout w:type="fixed"/>
        <w:tblCellMar>
          <w:top w:w="0" w:type="dxa"/>
          <w:left w:w="0" w:type="dxa"/>
          <w:bottom w:w="0" w:type="dxa"/>
          <w:right w:w="0" w:type="dxa"/>
        </w:tblCellMar>
      </w:tblPr>
      <w:tblGrid>
        <w:gridCol w:w="799"/>
        <w:gridCol w:w="690"/>
        <w:gridCol w:w="782"/>
        <w:gridCol w:w="1103"/>
        <w:gridCol w:w="903"/>
        <w:gridCol w:w="903"/>
        <w:gridCol w:w="903"/>
        <w:gridCol w:w="946"/>
        <w:gridCol w:w="903"/>
        <w:gridCol w:w="903"/>
        <w:gridCol w:w="903"/>
        <w:gridCol w:w="911"/>
        <w:gridCol w:w="903"/>
        <w:gridCol w:w="903"/>
        <w:gridCol w:w="903"/>
        <w:gridCol w:w="972"/>
      </w:tblGrid>
      <w:tr>
        <w:tblPrEx>
          <w:tblCellMar>
            <w:top w:w="0" w:type="dxa"/>
            <w:left w:w="0" w:type="dxa"/>
            <w:bottom w:w="0" w:type="dxa"/>
            <w:right w:w="0" w:type="dxa"/>
          </w:tblCellMar>
        </w:tblPrEx>
        <w:trPr>
          <w:trHeight w:val="454" w:hRule="atLeast"/>
        </w:trPr>
        <w:tc>
          <w:tcPr>
            <w:tcW w:w="799" w:type="dxa"/>
            <w:vMerge w:val="restart"/>
            <w:tcBorders>
              <w:top w:val="single" w:color="000000" w:sz="4" w:space="0"/>
              <w:left w:val="single" w:color="000000" w:sz="4" w:space="0"/>
              <w:right w:val="single" w:color="000000" w:sz="4" w:space="0"/>
            </w:tcBorders>
            <w:noWrap/>
            <w:vAlign w:val="center"/>
          </w:tcPr>
          <w:p>
            <w:pPr>
              <w:spacing w:before="120" w:after="120"/>
              <w:ind w:firstLine="360"/>
              <w:jc w:val="center"/>
              <w:rPr>
                <w:color w:val="auto"/>
                <w:sz w:val="18"/>
                <w:szCs w:val="18"/>
                <w:lang w:eastAsia="en-US"/>
              </w:rPr>
            </w:pPr>
            <w:r>
              <w:rPr>
                <w:color w:val="auto"/>
                <w:sz w:val="18"/>
                <w:szCs w:val="18"/>
                <w:lang w:eastAsia="en-US"/>
              </w:rPr>
              <w:t>项目阶段</w:t>
            </w:r>
          </w:p>
        </w:tc>
        <w:tc>
          <w:tcPr>
            <w:tcW w:w="690" w:type="dxa"/>
            <w:vMerge w:val="restart"/>
            <w:tcBorders>
              <w:top w:val="single" w:color="000000" w:sz="4" w:space="0"/>
              <w:left w:val="single" w:color="000000" w:sz="4" w:space="0"/>
              <w:right w:val="single" w:color="000000" w:sz="4" w:space="0"/>
            </w:tcBorders>
            <w:noWrap/>
            <w:vAlign w:val="center"/>
          </w:tcPr>
          <w:p>
            <w:pPr>
              <w:spacing w:before="120" w:after="120"/>
              <w:ind w:firstLine="360"/>
              <w:jc w:val="center"/>
              <w:rPr>
                <w:color w:val="auto"/>
                <w:sz w:val="18"/>
                <w:szCs w:val="18"/>
                <w:lang w:eastAsia="en-US"/>
              </w:rPr>
            </w:pPr>
            <w:r>
              <w:rPr>
                <w:color w:val="auto"/>
                <w:sz w:val="18"/>
                <w:szCs w:val="18"/>
                <w:lang w:eastAsia="en-US"/>
              </w:rPr>
              <w:t>实施</w:t>
            </w:r>
          </w:p>
          <w:p>
            <w:pPr>
              <w:spacing w:before="120" w:after="120"/>
              <w:ind w:firstLine="360"/>
              <w:jc w:val="center"/>
              <w:rPr>
                <w:color w:val="auto"/>
                <w:sz w:val="18"/>
                <w:szCs w:val="18"/>
                <w:lang w:eastAsia="en-US"/>
              </w:rPr>
            </w:pPr>
            <w:r>
              <w:rPr>
                <w:color w:val="auto"/>
                <w:sz w:val="18"/>
                <w:szCs w:val="18"/>
                <w:lang w:eastAsia="en-US"/>
              </w:rPr>
              <w:t>单位</w:t>
            </w:r>
          </w:p>
        </w:tc>
        <w:tc>
          <w:tcPr>
            <w:tcW w:w="782" w:type="dxa"/>
            <w:vMerge w:val="restart"/>
            <w:tcBorders>
              <w:top w:val="single" w:color="000000" w:sz="4" w:space="0"/>
              <w:left w:val="single" w:color="000000" w:sz="4" w:space="0"/>
              <w:right w:val="single" w:color="000000" w:sz="4" w:space="0"/>
            </w:tcBorders>
            <w:noWrap/>
            <w:vAlign w:val="center"/>
          </w:tcPr>
          <w:p>
            <w:pPr>
              <w:spacing w:before="120" w:after="120"/>
              <w:ind w:firstLine="360"/>
              <w:jc w:val="center"/>
              <w:rPr>
                <w:color w:val="auto"/>
                <w:sz w:val="18"/>
                <w:szCs w:val="18"/>
                <w:lang w:eastAsia="en-US"/>
              </w:rPr>
            </w:pPr>
            <w:r>
              <w:rPr>
                <w:color w:val="auto"/>
                <w:sz w:val="18"/>
                <w:szCs w:val="18"/>
                <w:lang w:eastAsia="en-US"/>
              </w:rPr>
              <w:t>BIM模型</w:t>
            </w:r>
          </w:p>
          <w:p>
            <w:pPr>
              <w:spacing w:before="120" w:after="120"/>
              <w:ind w:firstLine="360"/>
              <w:jc w:val="center"/>
              <w:rPr>
                <w:color w:val="auto"/>
                <w:sz w:val="18"/>
                <w:szCs w:val="18"/>
                <w:lang w:eastAsia="en-US"/>
              </w:rPr>
            </w:pPr>
            <w:r>
              <w:rPr>
                <w:color w:val="auto"/>
                <w:sz w:val="18"/>
                <w:szCs w:val="18"/>
                <w:lang w:eastAsia="en-US"/>
              </w:rPr>
              <w:t>深度</w:t>
            </w:r>
          </w:p>
        </w:tc>
        <w:tc>
          <w:tcPr>
            <w:tcW w:w="1103" w:type="dxa"/>
            <w:vMerge w:val="restart"/>
            <w:tcBorders>
              <w:top w:val="single" w:color="000000" w:sz="4" w:space="0"/>
              <w:left w:val="single" w:color="000000" w:sz="4" w:space="0"/>
              <w:right w:val="single" w:color="000000" w:sz="4" w:space="0"/>
            </w:tcBorders>
            <w:noWrap/>
            <w:vAlign w:val="center"/>
          </w:tcPr>
          <w:p>
            <w:pPr>
              <w:spacing w:before="120" w:after="120"/>
              <w:ind w:firstLine="360"/>
              <w:jc w:val="center"/>
              <w:rPr>
                <w:color w:val="auto"/>
                <w:sz w:val="18"/>
                <w:szCs w:val="18"/>
                <w:lang w:eastAsia="en-US"/>
              </w:rPr>
            </w:pPr>
            <w:r>
              <w:rPr>
                <w:color w:val="auto"/>
                <w:sz w:val="18"/>
                <w:szCs w:val="18"/>
                <w:lang w:eastAsia="en-US"/>
              </w:rPr>
              <w:t>工作范围</w:t>
            </w:r>
          </w:p>
        </w:tc>
        <w:tc>
          <w:tcPr>
            <w:tcW w:w="3655" w:type="dxa"/>
            <w:gridSpan w:val="4"/>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r>
              <w:rPr>
                <w:color w:val="auto"/>
                <w:sz w:val="18"/>
                <w:szCs w:val="18"/>
                <w:lang w:eastAsia="en-US"/>
              </w:rPr>
              <w:t>深化模型阶段</w:t>
            </w:r>
          </w:p>
        </w:tc>
        <w:tc>
          <w:tcPr>
            <w:tcW w:w="3620" w:type="dxa"/>
            <w:gridSpan w:val="4"/>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r>
              <w:rPr>
                <w:color w:val="auto"/>
                <w:sz w:val="18"/>
                <w:szCs w:val="18"/>
                <w:lang w:eastAsia="en-US"/>
              </w:rPr>
              <w:t>模型应用阶段</w:t>
            </w:r>
          </w:p>
        </w:tc>
        <w:tc>
          <w:tcPr>
            <w:tcW w:w="3681" w:type="dxa"/>
            <w:gridSpan w:val="4"/>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r>
              <w:rPr>
                <w:color w:val="auto"/>
                <w:sz w:val="18"/>
                <w:szCs w:val="18"/>
                <w:lang w:eastAsia="en-US"/>
              </w:rPr>
              <w:t>竣工模型阶段</w:t>
            </w:r>
          </w:p>
        </w:tc>
      </w:tr>
      <w:tr>
        <w:tblPrEx>
          <w:tblCellMar>
            <w:top w:w="0" w:type="dxa"/>
            <w:left w:w="0" w:type="dxa"/>
            <w:bottom w:w="0" w:type="dxa"/>
            <w:right w:w="0" w:type="dxa"/>
          </w:tblCellMar>
        </w:tblPrEx>
        <w:trPr>
          <w:trHeight w:val="1544" w:hRule="atLeast"/>
        </w:trPr>
        <w:tc>
          <w:tcPr>
            <w:tcW w:w="799" w:type="dxa"/>
            <w:vMerge w:val="continue"/>
            <w:tcBorders>
              <w:left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c>
          <w:tcPr>
            <w:tcW w:w="690" w:type="dxa"/>
            <w:vMerge w:val="continue"/>
            <w:tcBorders>
              <w:left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c>
          <w:tcPr>
            <w:tcW w:w="782" w:type="dxa"/>
            <w:vMerge w:val="continue"/>
            <w:tcBorders>
              <w:left w:val="single" w:color="000000" w:sz="4" w:space="0"/>
              <w:right w:val="single" w:color="000000" w:sz="4" w:space="0"/>
            </w:tcBorders>
            <w:noWrap/>
            <w:vAlign w:val="center"/>
          </w:tcPr>
          <w:p>
            <w:pPr>
              <w:pStyle w:val="480"/>
              <w:spacing w:before="120" w:after="120"/>
              <w:ind w:left="170"/>
              <w:jc w:val="center"/>
              <w:rPr>
                <w:rFonts w:ascii="Times New Roman" w:hAnsi="Times New Roman"/>
                <w:color w:val="auto"/>
                <w:sz w:val="18"/>
                <w:szCs w:val="18"/>
              </w:rPr>
            </w:pPr>
          </w:p>
        </w:tc>
        <w:tc>
          <w:tcPr>
            <w:tcW w:w="1103" w:type="dxa"/>
            <w:vMerge w:val="continue"/>
            <w:tcBorders>
              <w:left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c>
          <w:tcPr>
            <w:tcW w:w="903" w:type="dxa"/>
            <w:tcBorders>
              <w:top w:val="single" w:color="000000" w:sz="4" w:space="0"/>
              <w:left w:val="single" w:color="000000" w:sz="4" w:space="0"/>
              <w:right w:val="single" w:color="000000" w:sz="4" w:space="0"/>
            </w:tcBorders>
            <w:noWrap/>
            <w:vAlign w:val="center"/>
          </w:tcPr>
          <w:p>
            <w:pPr>
              <w:spacing w:before="120" w:after="120"/>
              <w:ind w:firstLine="360"/>
              <w:jc w:val="center"/>
              <w:rPr>
                <w:color w:val="auto"/>
                <w:sz w:val="18"/>
                <w:szCs w:val="18"/>
                <w:lang w:eastAsia="en-US"/>
              </w:rPr>
            </w:pPr>
            <w:r>
              <w:rPr>
                <w:color w:val="auto"/>
                <w:sz w:val="18"/>
                <w:szCs w:val="18"/>
                <w:lang w:eastAsia="en-US"/>
              </w:rPr>
              <w:t>预计开始时间</w:t>
            </w:r>
          </w:p>
        </w:tc>
        <w:tc>
          <w:tcPr>
            <w:tcW w:w="903" w:type="dxa"/>
            <w:tcBorders>
              <w:top w:val="single" w:color="000000" w:sz="4" w:space="0"/>
              <w:left w:val="single" w:color="000000" w:sz="4" w:space="0"/>
              <w:right w:val="single" w:color="000000" w:sz="4" w:space="0"/>
            </w:tcBorders>
            <w:noWrap/>
            <w:vAlign w:val="center"/>
          </w:tcPr>
          <w:p>
            <w:pPr>
              <w:spacing w:before="120" w:after="120"/>
              <w:ind w:firstLine="360"/>
              <w:jc w:val="center"/>
              <w:rPr>
                <w:color w:val="auto"/>
                <w:sz w:val="18"/>
                <w:szCs w:val="18"/>
                <w:lang w:eastAsia="en-US"/>
              </w:rPr>
            </w:pPr>
            <w:r>
              <w:rPr>
                <w:color w:val="auto"/>
                <w:sz w:val="18"/>
                <w:szCs w:val="18"/>
                <w:lang w:eastAsia="en-US"/>
              </w:rPr>
              <w:t>预计结束时间</w:t>
            </w:r>
          </w:p>
        </w:tc>
        <w:tc>
          <w:tcPr>
            <w:tcW w:w="903" w:type="dxa"/>
            <w:tcBorders>
              <w:top w:val="single" w:color="000000" w:sz="4" w:space="0"/>
              <w:left w:val="single" w:color="000000" w:sz="4" w:space="0"/>
              <w:right w:val="single" w:color="000000" w:sz="4" w:space="0"/>
            </w:tcBorders>
            <w:noWrap/>
            <w:vAlign w:val="center"/>
          </w:tcPr>
          <w:p>
            <w:pPr>
              <w:spacing w:before="120" w:after="120"/>
              <w:ind w:firstLine="360"/>
              <w:jc w:val="center"/>
              <w:rPr>
                <w:color w:val="auto"/>
                <w:sz w:val="18"/>
                <w:szCs w:val="18"/>
              </w:rPr>
            </w:pPr>
            <w:r>
              <w:rPr>
                <w:color w:val="auto"/>
                <w:sz w:val="18"/>
                <w:szCs w:val="18"/>
              </w:rPr>
              <w:t>预计完成耗时（工作日）</w:t>
            </w:r>
          </w:p>
        </w:tc>
        <w:tc>
          <w:tcPr>
            <w:tcW w:w="946" w:type="dxa"/>
            <w:tcBorders>
              <w:top w:val="single" w:color="000000" w:sz="4" w:space="0"/>
              <w:left w:val="single" w:color="000000" w:sz="4" w:space="0"/>
              <w:right w:val="single" w:color="000000" w:sz="4" w:space="0"/>
            </w:tcBorders>
            <w:noWrap/>
            <w:vAlign w:val="center"/>
          </w:tcPr>
          <w:p>
            <w:pPr>
              <w:spacing w:before="120" w:after="120"/>
              <w:ind w:firstLine="360"/>
              <w:jc w:val="center"/>
              <w:rPr>
                <w:color w:val="auto"/>
                <w:sz w:val="18"/>
                <w:szCs w:val="18"/>
                <w:lang w:eastAsia="en-US"/>
              </w:rPr>
            </w:pPr>
            <w:r>
              <w:rPr>
                <w:color w:val="auto"/>
                <w:sz w:val="18"/>
                <w:szCs w:val="18"/>
                <w:lang w:eastAsia="en-US"/>
              </w:rPr>
              <w:t>完成内容</w:t>
            </w:r>
          </w:p>
        </w:tc>
        <w:tc>
          <w:tcPr>
            <w:tcW w:w="903" w:type="dxa"/>
            <w:tcBorders>
              <w:top w:val="single" w:color="000000" w:sz="4" w:space="0"/>
              <w:left w:val="single" w:color="000000" w:sz="4" w:space="0"/>
              <w:right w:val="single" w:color="000000" w:sz="4" w:space="0"/>
            </w:tcBorders>
            <w:noWrap/>
            <w:vAlign w:val="center"/>
          </w:tcPr>
          <w:p>
            <w:pPr>
              <w:spacing w:before="120" w:after="120"/>
              <w:ind w:firstLine="360"/>
              <w:jc w:val="center"/>
              <w:rPr>
                <w:color w:val="auto"/>
                <w:sz w:val="18"/>
                <w:szCs w:val="18"/>
                <w:lang w:eastAsia="en-US"/>
              </w:rPr>
            </w:pPr>
            <w:r>
              <w:rPr>
                <w:color w:val="auto"/>
                <w:sz w:val="18"/>
                <w:szCs w:val="18"/>
                <w:lang w:eastAsia="en-US"/>
              </w:rPr>
              <w:t>预计开始时间</w:t>
            </w:r>
          </w:p>
        </w:tc>
        <w:tc>
          <w:tcPr>
            <w:tcW w:w="903" w:type="dxa"/>
            <w:tcBorders>
              <w:top w:val="single" w:color="000000" w:sz="4" w:space="0"/>
              <w:left w:val="single" w:color="000000" w:sz="4" w:space="0"/>
              <w:right w:val="single" w:color="000000" w:sz="4" w:space="0"/>
            </w:tcBorders>
            <w:noWrap/>
            <w:vAlign w:val="center"/>
          </w:tcPr>
          <w:p>
            <w:pPr>
              <w:spacing w:before="120" w:after="120"/>
              <w:ind w:firstLine="360"/>
              <w:jc w:val="center"/>
              <w:rPr>
                <w:color w:val="auto"/>
                <w:sz w:val="18"/>
                <w:szCs w:val="18"/>
                <w:lang w:eastAsia="en-US"/>
              </w:rPr>
            </w:pPr>
            <w:r>
              <w:rPr>
                <w:color w:val="auto"/>
                <w:sz w:val="18"/>
                <w:szCs w:val="18"/>
                <w:lang w:eastAsia="en-US"/>
              </w:rPr>
              <w:t>预计结束时间</w:t>
            </w:r>
          </w:p>
        </w:tc>
        <w:tc>
          <w:tcPr>
            <w:tcW w:w="903" w:type="dxa"/>
            <w:tcBorders>
              <w:top w:val="single" w:color="000000" w:sz="4" w:space="0"/>
              <w:left w:val="single" w:color="000000" w:sz="4" w:space="0"/>
              <w:right w:val="single" w:color="000000" w:sz="4" w:space="0"/>
            </w:tcBorders>
            <w:noWrap/>
            <w:vAlign w:val="center"/>
          </w:tcPr>
          <w:p>
            <w:pPr>
              <w:spacing w:before="120" w:after="120"/>
              <w:ind w:firstLine="360"/>
              <w:jc w:val="center"/>
              <w:rPr>
                <w:color w:val="auto"/>
                <w:sz w:val="18"/>
                <w:szCs w:val="18"/>
              </w:rPr>
            </w:pPr>
            <w:r>
              <w:rPr>
                <w:color w:val="auto"/>
                <w:sz w:val="18"/>
                <w:szCs w:val="18"/>
              </w:rPr>
              <w:t>预计完成耗时（工作日）</w:t>
            </w:r>
          </w:p>
        </w:tc>
        <w:tc>
          <w:tcPr>
            <w:tcW w:w="911" w:type="dxa"/>
            <w:tcBorders>
              <w:top w:val="single" w:color="000000" w:sz="4" w:space="0"/>
              <w:left w:val="single" w:color="000000" w:sz="4" w:space="0"/>
              <w:right w:val="single" w:color="000000" w:sz="4" w:space="0"/>
            </w:tcBorders>
            <w:noWrap/>
            <w:vAlign w:val="center"/>
          </w:tcPr>
          <w:p>
            <w:pPr>
              <w:spacing w:before="120" w:after="120"/>
              <w:ind w:firstLine="360"/>
              <w:jc w:val="center"/>
              <w:rPr>
                <w:color w:val="auto"/>
                <w:sz w:val="18"/>
                <w:szCs w:val="18"/>
                <w:lang w:eastAsia="en-US"/>
              </w:rPr>
            </w:pPr>
            <w:r>
              <w:rPr>
                <w:color w:val="auto"/>
                <w:sz w:val="18"/>
                <w:szCs w:val="18"/>
                <w:lang w:eastAsia="en-US"/>
              </w:rPr>
              <w:t>完成内容</w:t>
            </w:r>
          </w:p>
        </w:tc>
        <w:tc>
          <w:tcPr>
            <w:tcW w:w="903" w:type="dxa"/>
            <w:tcBorders>
              <w:top w:val="single" w:color="000000" w:sz="4" w:space="0"/>
              <w:left w:val="single" w:color="000000" w:sz="4" w:space="0"/>
              <w:right w:val="single" w:color="000000" w:sz="4" w:space="0"/>
            </w:tcBorders>
            <w:noWrap/>
            <w:vAlign w:val="center"/>
          </w:tcPr>
          <w:p>
            <w:pPr>
              <w:spacing w:before="120" w:after="120"/>
              <w:ind w:firstLine="360"/>
              <w:jc w:val="center"/>
              <w:rPr>
                <w:color w:val="auto"/>
                <w:sz w:val="18"/>
                <w:szCs w:val="18"/>
                <w:lang w:eastAsia="en-US"/>
              </w:rPr>
            </w:pPr>
            <w:r>
              <w:rPr>
                <w:color w:val="auto"/>
                <w:sz w:val="18"/>
                <w:szCs w:val="18"/>
                <w:lang w:eastAsia="en-US"/>
              </w:rPr>
              <w:t>预计开始时间</w:t>
            </w:r>
          </w:p>
        </w:tc>
        <w:tc>
          <w:tcPr>
            <w:tcW w:w="903" w:type="dxa"/>
            <w:tcBorders>
              <w:top w:val="single" w:color="000000" w:sz="4" w:space="0"/>
              <w:left w:val="single" w:color="000000" w:sz="4" w:space="0"/>
              <w:right w:val="single" w:color="000000" w:sz="4" w:space="0"/>
            </w:tcBorders>
            <w:noWrap/>
            <w:vAlign w:val="center"/>
          </w:tcPr>
          <w:p>
            <w:pPr>
              <w:spacing w:before="120" w:after="120"/>
              <w:ind w:firstLine="360"/>
              <w:jc w:val="center"/>
              <w:rPr>
                <w:color w:val="auto"/>
                <w:sz w:val="18"/>
                <w:szCs w:val="18"/>
                <w:lang w:eastAsia="en-US"/>
              </w:rPr>
            </w:pPr>
            <w:r>
              <w:rPr>
                <w:color w:val="auto"/>
                <w:sz w:val="18"/>
                <w:szCs w:val="18"/>
                <w:lang w:eastAsia="en-US"/>
              </w:rPr>
              <w:t>预计结束时间</w:t>
            </w:r>
          </w:p>
        </w:tc>
        <w:tc>
          <w:tcPr>
            <w:tcW w:w="903" w:type="dxa"/>
            <w:tcBorders>
              <w:top w:val="single" w:color="000000" w:sz="4" w:space="0"/>
              <w:left w:val="single" w:color="000000" w:sz="4" w:space="0"/>
              <w:right w:val="single" w:color="000000" w:sz="4" w:space="0"/>
            </w:tcBorders>
            <w:noWrap/>
            <w:vAlign w:val="center"/>
          </w:tcPr>
          <w:p>
            <w:pPr>
              <w:spacing w:before="120" w:after="120"/>
              <w:ind w:firstLine="360"/>
              <w:jc w:val="center"/>
              <w:rPr>
                <w:color w:val="auto"/>
                <w:sz w:val="18"/>
                <w:szCs w:val="18"/>
              </w:rPr>
            </w:pPr>
            <w:r>
              <w:rPr>
                <w:color w:val="auto"/>
                <w:sz w:val="18"/>
                <w:szCs w:val="18"/>
              </w:rPr>
              <w:t>预计完成耗时（工作日）</w:t>
            </w:r>
          </w:p>
        </w:tc>
        <w:tc>
          <w:tcPr>
            <w:tcW w:w="972" w:type="dxa"/>
            <w:tcBorders>
              <w:top w:val="single" w:color="000000" w:sz="4" w:space="0"/>
              <w:left w:val="single" w:color="000000" w:sz="4" w:space="0"/>
              <w:right w:val="single" w:color="000000" w:sz="4" w:space="0"/>
            </w:tcBorders>
            <w:noWrap/>
            <w:vAlign w:val="center"/>
          </w:tcPr>
          <w:p>
            <w:pPr>
              <w:spacing w:before="120" w:after="120"/>
              <w:ind w:firstLine="360"/>
              <w:jc w:val="center"/>
              <w:rPr>
                <w:color w:val="auto"/>
                <w:sz w:val="18"/>
                <w:szCs w:val="18"/>
                <w:lang w:eastAsia="en-US"/>
              </w:rPr>
            </w:pPr>
            <w:r>
              <w:rPr>
                <w:color w:val="auto"/>
                <w:sz w:val="18"/>
                <w:szCs w:val="18"/>
                <w:lang w:eastAsia="en-US"/>
              </w:rPr>
              <w:t>完成内容</w:t>
            </w:r>
          </w:p>
        </w:tc>
      </w:tr>
      <w:tr>
        <w:tblPrEx>
          <w:tblCellMar>
            <w:top w:w="0" w:type="dxa"/>
            <w:left w:w="0" w:type="dxa"/>
            <w:bottom w:w="0" w:type="dxa"/>
            <w:right w:w="0" w:type="dxa"/>
          </w:tblCellMar>
        </w:tblPrEx>
        <w:trPr>
          <w:trHeight w:val="454" w:hRule="atLeast"/>
        </w:trPr>
        <w:tc>
          <w:tcPr>
            <w:tcW w:w="799"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c>
          <w:tcPr>
            <w:tcW w:w="690"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c>
          <w:tcPr>
            <w:tcW w:w="782"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c>
          <w:tcPr>
            <w:tcW w:w="1103"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c>
          <w:tcPr>
            <w:tcW w:w="903"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c>
          <w:tcPr>
            <w:tcW w:w="903"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c>
          <w:tcPr>
            <w:tcW w:w="903"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c>
          <w:tcPr>
            <w:tcW w:w="946"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c>
          <w:tcPr>
            <w:tcW w:w="903"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c>
          <w:tcPr>
            <w:tcW w:w="903"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c>
          <w:tcPr>
            <w:tcW w:w="903"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c>
          <w:tcPr>
            <w:tcW w:w="911"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c>
          <w:tcPr>
            <w:tcW w:w="903"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c>
          <w:tcPr>
            <w:tcW w:w="903"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c>
          <w:tcPr>
            <w:tcW w:w="903"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c>
          <w:tcPr>
            <w:tcW w:w="972"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r>
      <w:tr>
        <w:tblPrEx>
          <w:tblCellMar>
            <w:top w:w="0" w:type="dxa"/>
            <w:left w:w="0" w:type="dxa"/>
            <w:bottom w:w="0" w:type="dxa"/>
            <w:right w:w="0" w:type="dxa"/>
          </w:tblCellMar>
        </w:tblPrEx>
        <w:trPr>
          <w:trHeight w:val="454" w:hRule="atLeast"/>
        </w:trPr>
        <w:tc>
          <w:tcPr>
            <w:tcW w:w="799"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c>
          <w:tcPr>
            <w:tcW w:w="690"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c>
          <w:tcPr>
            <w:tcW w:w="782"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c>
          <w:tcPr>
            <w:tcW w:w="1103"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c>
          <w:tcPr>
            <w:tcW w:w="903"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c>
          <w:tcPr>
            <w:tcW w:w="903"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c>
          <w:tcPr>
            <w:tcW w:w="903"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c>
          <w:tcPr>
            <w:tcW w:w="946"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c>
          <w:tcPr>
            <w:tcW w:w="903"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c>
          <w:tcPr>
            <w:tcW w:w="903"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c>
          <w:tcPr>
            <w:tcW w:w="903"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c>
          <w:tcPr>
            <w:tcW w:w="911"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c>
          <w:tcPr>
            <w:tcW w:w="903"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c>
          <w:tcPr>
            <w:tcW w:w="903"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c>
          <w:tcPr>
            <w:tcW w:w="903"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c>
          <w:tcPr>
            <w:tcW w:w="972"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firstLine="360"/>
              <w:jc w:val="center"/>
              <w:rPr>
                <w:color w:val="auto"/>
                <w:sz w:val="18"/>
                <w:szCs w:val="18"/>
                <w:lang w:eastAsia="en-US"/>
              </w:rPr>
            </w:pPr>
          </w:p>
        </w:tc>
      </w:tr>
    </w:tbl>
    <w:p>
      <w:pPr>
        <w:spacing w:before="120" w:after="120"/>
        <w:rPr>
          <w:color w:val="auto"/>
        </w:rPr>
        <w:sectPr>
          <w:pgSz w:w="16840" w:h="11910" w:orient="landscape"/>
          <w:pgMar w:top="1100" w:right="1580" w:bottom="1140" w:left="920" w:header="0" w:footer="953" w:gutter="0"/>
          <w:cols w:space="720" w:num="1"/>
        </w:sectPr>
      </w:pPr>
    </w:p>
    <w:p>
      <w:pPr>
        <w:pStyle w:val="585"/>
        <w:numPr>
          <w:ilvl w:val="0"/>
          <w:numId w:val="0"/>
        </w:numPr>
        <w:spacing w:before="120" w:after="120" w:line="360" w:lineRule="auto"/>
        <w:outlineLvl w:val="1"/>
        <w:rPr>
          <w:rFonts w:ascii="Times New Roman" w:hAnsi="Times New Roman" w:eastAsia="黑体"/>
          <w:b w:val="0"/>
          <w:bCs/>
          <w:color w:val="auto"/>
          <w:sz w:val="24"/>
          <w:szCs w:val="24"/>
        </w:rPr>
      </w:pPr>
      <w:bookmarkStart w:id="893" w:name="_bookmark43"/>
      <w:bookmarkEnd w:id="893"/>
      <w:bookmarkStart w:id="894" w:name="_Toc27049"/>
      <w:bookmarkStart w:id="895" w:name="_Toc13313"/>
      <w:bookmarkStart w:id="896" w:name="_Toc31084"/>
      <w:bookmarkStart w:id="897" w:name="_Toc62460212"/>
      <w:bookmarkStart w:id="898" w:name="_Toc19692"/>
      <w:r>
        <w:rPr>
          <w:rFonts w:ascii="Times New Roman" w:hAnsi="Times New Roman" w:eastAsia="黑体"/>
          <w:b w:val="0"/>
          <w:bCs/>
          <w:color w:val="auto"/>
          <w:sz w:val="24"/>
          <w:szCs w:val="24"/>
        </w:rPr>
        <w:t>附表3  各阶段BIM</w:t>
      </w:r>
      <w:r>
        <w:rPr>
          <w:rFonts w:hint="eastAsia" w:ascii="Times New Roman" w:hAnsi="Times New Roman" w:eastAsia="黑体"/>
          <w:b w:val="0"/>
          <w:bCs/>
          <w:color w:val="auto"/>
          <w:sz w:val="24"/>
          <w:szCs w:val="24"/>
        </w:rPr>
        <w:t>模型精度</w:t>
      </w:r>
      <w:r>
        <w:rPr>
          <w:rFonts w:ascii="Times New Roman" w:hAnsi="Times New Roman" w:eastAsia="黑体"/>
          <w:b w:val="0"/>
          <w:bCs/>
          <w:color w:val="auto"/>
          <w:sz w:val="24"/>
          <w:szCs w:val="24"/>
        </w:rPr>
        <w:t>要求</w:t>
      </w:r>
      <w:bookmarkEnd w:id="894"/>
      <w:bookmarkEnd w:id="895"/>
      <w:bookmarkEnd w:id="896"/>
      <w:bookmarkEnd w:id="897"/>
      <w:bookmarkEnd w:id="898"/>
    </w:p>
    <w:p>
      <w:pPr>
        <w:spacing w:before="120" w:after="120"/>
        <w:outlineLvl w:val="4"/>
        <w:rPr>
          <w:color w:val="auto"/>
        </w:rPr>
      </w:pPr>
      <w:bookmarkStart w:id="899" w:name="_Toc20053"/>
      <w:bookmarkStart w:id="900" w:name="_Toc10665"/>
      <w:r>
        <w:rPr>
          <w:color w:val="auto"/>
        </w:rPr>
        <w:t>1  建筑专业</w:t>
      </w:r>
      <w:bookmarkEnd w:id="899"/>
      <w:bookmarkEnd w:id="900"/>
    </w:p>
    <w:tbl>
      <w:tblPr>
        <w:tblStyle w:val="55"/>
        <w:tblW w:w="14801" w:type="dxa"/>
        <w:tblInd w:w="111" w:type="dxa"/>
        <w:tblLayout w:type="fixed"/>
        <w:tblCellMar>
          <w:top w:w="0" w:type="dxa"/>
          <w:left w:w="0" w:type="dxa"/>
          <w:bottom w:w="0" w:type="dxa"/>
          <w:right w:w="0" w:type="dxa"/>
        </w:tblCellMar>
      </w:tblPr>
      <w:tblGrid>
        <w:gridCol w:w="1221"/>
        <w:gridCol w:w="568"/>
        <w:gridCol w:w="1335"/>
        <w:gridCol w:w="2427"/>
        <w:gridCol w:w="2427"/>
        <w:gridCol w:w="2427"/>
        <w:gridCol w:w="2427"/>
        <w:gridCol w:w="1969"/>
      </w:tblGrid>
      <w:tr>
        <w:trPr>
          <w:cantSplit/>
          <w:trHeight w:val="454" w:hRule="atLeast"/>
          <w:tblHeader/>
        </w:trPr>
        <w:tc>
          <w:tcPr>
            <w:tcW w:w="1221" w:type="dxa"/>
            <w:vMerge w:val="restart"/>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专业</w:t>
            </w:r>
          </w:p>
        </w:tc>
        <w:tc>
          <w:tcPr>
            <w:tcW w:w="1903" w:type="dxa"/>
            <w:gridSpan w:val="2"/>
            <w:vMerge w:val="restart"/>
            <w:tcBorders>
              <w:top w:val="single" w:color="auto" w:sz="4" w:space="0"/>
              <w:left w:val="single" w:color="auto" w:sz="4" w:space="0"/>
              <w:bottom w:val="single" w:color="auto" w:sz="4" w:space="0"/>
              <w:right w:val="single" w:color="auto" w:sz="4" w:space="0"/>
              <w:tl2br w:val="single" w:color="auto" w:sz="4" w:space="0"/>
            </w:tcBorders>
            <w:noWrap/>
            <w:vAlign w:val="center"/>
          </w:tcPr>
          <w:p>
            <w:pPr>
              <w:spacing w:before="120" w:after="120"/>
              <w:ind w:firstLine="360"/>
              <w:jc w:val="right"/>
              <w:rPr>
                <w:rFonts w:cs="宋体"/>
                <w:color w:val="auto"/>
                <w:sz w:val="18"/>
                <w:szCs w:val="18"/>
                <w:lang w:eastAsia="en-US"/>
              </w:rPr>
            </w:pPr>
            <w:r>
              <w:rPr>
                <w:rFonts w:cs="宋体"/>
                <w:color w:val="auto"/>
                <w:sz w:val="18"/>
                <w:szCs w:val="18"/>
                <w:lang w:eastAsia="en-US"/>
              </w:rPr>
              <w:t>详细等级</w:t>
            </w:r>
          </w:p>
          <w:p>
            <w:pPr>
              <w:spacing w:before="120" w:after="120"/>
              <w:ind w:firstLine="360"/>
              <w:jc w:val="center"/>
              <w:rPr>
                <w:rFonts w:cs="宋体"/>
                <w:color w:val="auto"/>
                <w:sz w:val="18"/>
                <w:szCs w:val="18"/>
                <w:lang w:eastAsia="en-US"/>
              </w:rPr>
            </w:pPr>
          </w:p>
          <w:p>
            <w:pPr>
              <w:spacing w:before="120" w:after="120"/>
              <w:ind w:firstLine="360"/>
              <w:jc w:val="left"/>
              <w:rPr>
                <w:rFonts w:cs="宋体"/>
                <w:color w:val="auto"/>
                <w:sz w:val="18"/>
                <w:szCs w:val="18"/>
                <w:lang w:eastAsia="en-US"/>
              </w:rPr>
            </w:pPr>
            <w:r>
              <w:rPr>
                <w:rFonts w:cs="宋体"/>
                <w:color w:val="auto"/>
                <w:sz w:val="18"/>
                <w:szCs w:val="18"/>
                <w:lang w:eastAsia="en-US"/>
              </w:rPr>
              <w:t>子项</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eastAsia="Times New Roman"/>
                <w:color w:val="auto"/>
                <w:sz w:val="18"/>
                <w:szCs w:val="18"/>
                <w:lang w:eastAsia="en-US"/>
              </w:rPr>
            </w:pPr>
            <w:r>
              <w:rPr>
                <w:rFonts w:cs="宋体"/>
                <w:color w:val="auto"/>
                <w:sz w:val="18"/>
                <w:szCs w:val="18"/>
                <w:lang w:eastAsia="en-US"/>
              </w:rPr>
              <w:t>LOD100</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eastAsia="Times New Roman"/>
                <w:color w:val="auto"/>
                <w:sz w:val="18"/>
                <w:szCs w:val="18"/>
                <w:lang w:eastAsia="en-US"/>
              </w:rPr>
            </w:pPr>
            <w:r>
              <w:rPr>
                <w:rFonts w:cs="宋体"/>
                <w:color w:val="auto"/>
                <w:sz w:val="18"/>
                <w:szCs w:val="18"/>
                <w:lang w:eastAsia="en-US"/>
              </w:rPr>
              <w:t>LOD200</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eastAsia="Times New Roman"/>
                <w:color w:val="auto"/>
                <w:sz w:val="18"/>
                <w:szCs w:val="18"/>
                <w:lang w:eastAsia="en-US"/>
              </w:rPr>
            </w:pPr>
            <w:r>
              <w:rPr>
                <w:color w:val="auto"/>
                <w:sz w:val="18"/>
                <w:szCs w:val="18"/>
                <w:lang w:eastAsia="en-US"/>
              </w:rPr>
              <w:t>LOD300</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eastAsia="Times New Roman"/>
                <w:color w:val="auto"/>
                <w:sz w:val="18"/>
                <w:szCs w:val="18"/>
                <w:lang w:eastAsia="en-US"/>
              </w:rPr>
            </w:pPr>
            <w:r>
              <w:rPr>
                <w:rFonts w:cs="宋体"/>
                <w:color w:val="auto"/>
                <w:sz w:val="18"/>
                <w:szCs w:val="18"/>
                <w:lang w:eastAsia="en-US"/>
              </w:rPr>
              <w:t>LOD400</w:t>
            </w:r>
          </w:p>
        </w:tc>
        <w:tc>
          <w:tcPr>
            <w:tcW w:w="1969"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eastAsia="Times New Roman"/>
                <w:color w:val="auto"/>
                <w:sz w:val="18"/>
                <w:szCs w:val="18"/>
                <w:lang w:eastAsia="en-US"/>
              </w:rPr>
            </w:pPr>
            <w:r>
              <w:rPr>
                <w:rFonts w:cs="宋体"/>
                <w:color w:val="auto"/>
                <w:sz w:val="18"/>
                <w:szCs w:val="18"/>
                <w:lang w:eastAsia="en-US"/>
              </w:rPr>
              <w:t>LOD500</w:t>
            </w:r>
          </w:p>
        </w:tc>
      </w:tr>
      <w:tr>
        <w:tblPrEx>
          <w:tblCellMar>
            <w:top w:w="0" w:type="dxa"/>
            <w:left w:w="0" w:type="dxa"/>
            <w:bottom w:w="0" w:type="dxa"/>
            <w:right w:w="0" w:type="dxa"/>
          </w:tblCellMar>
        </w:tblPrEx>
        <w:trPr>
          <w:cantSplit/>
          <w:trHeight w:val="454" w:hRule="atLeast"/>
          <w:tblHeader/>
        </w:trPr>
        <w:tc>
          <w:tcPr>
            <w:tcW w:w="1221" w:type="dxa"/>
            <w:vMerge w:val="continue"/>
            <w:tcBorders>
              <w:top w:val="single" w:color="auto" w:sz="4" w:space="0"/>
              <w:left w:val="single" w:color="auto" w:sz="4" w:space="0"/>
              <w:bottom w:val="single" w:color="auto" w:sz="4" w:space="0"/>
              <w:right w:val="single" w:color="auto" w:sz="4" w:space="0"/>
            </w:tcBorders>
            <w:noWrap/>
            <w:textDirection w:val="tbRl"/>
            <w:vAlign w:val="center"/>
          </w:tcPr>
          <w:p>
            <w:pPr>
              <w:spacing w:before="120" w:after="120"/>
              <w:ind w:firstLine="360"/>
              <w:jc w:val="center"/>
              <w:rPr>
                <w:color w:val="auto"/>
                <w:sz w:val="18"/>
                <w:szCs w:val="18"/>
                <w:lang w:eastAsia="en-US"/>
              </w:rPr>
            </w:pPr>
          </w:p>
        </w:tc>
        <w:tc>
          <w:tcPr>
            <w:tcW w:w="1903" w:type="dxa"/>
            <w:gridSpan w:val="2"/>
            <w:vMerge w:val="continue"/>
            <w:tcBorders>
              <w:top w:val="single" w:color="auto" w:sz="4" w:space="0"/>
              <w:left w:val="single" w:color="auto" w:sz="4" w:space="0"/>
              <w:bottom w:val="single" w:color="auto" w:sz="4" w:space="0"/>
              <w:right w:val="single" w:color="auto" w:sz="4" w:space="0"/>
              <w:tl2br w:val="single" w:color="auto" w:sz="4" w:space="0"/>
            </w:tcBorders>
            <w:noWrap/>
            <w:vAlign w:val="center"/>
          </w:tcPr>
          <w:p>
            <w:pPr>
              <w:spacing w:before="120" w:after="120"/>
              <w:ind w:firstLine="360"/>
              <w:jc w:val="center"/>
              <w:rPr>
                <w:color w:val="auto"/>
                <w:sz w:val="18"/>
                <w:szCs w:val="18"/>
                <w:lang w:eastAsia="en-US"/>
              </w:rPr>
            </w:pP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方案设计模型</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rPr>
            </w:pPr>
            <w:r>
              <w:rPr>
                <w:rFonts w:cs="宋体"/>
                <w:color w:val="auto"/>
                <w:sz w:val="18"/>
                <w:szCs w:val="18"/>
              </w:rPr>
              <w:t>扩初设计模型(扩初图纸）</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施工图模型</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施工深化模型</w:t>
            </w:r>
          </w:p>
        </w:tc>
        <w:tc>
          <w:tcPr>
            <w:tcW w:w="1969"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竣工模型</w:t>
            </w:r>
          </w:p>
        </w:tc>
      </w:tr>
      <w:tr>
        <w:tblPrEx>
          <w:tblCellMar>
            <w:top w:w="0" w:type="dxa"/>
            <w:left w:w="0" w:type="dxa"/>
            <w:bottom w:w="0" w:type="dxa"/>
            <w:right w:w="0" w:type="dxa"/>
          </w:tblCellMar>
        </w:tblPrEx>
        <w:trPr>
          <w:cantSplit/>
          <w:trHeight w:val="454" w:hRule="atLeast"/>
        </w:trPr>
        <w:tc>
          <w:tcPr>
            <w:tcW w:w="1221" w:type="dxa"/>
            <w:vMerge w:val="restart"/>
            <w:tcBorders>
              <w:top w:val="single" w:color="auto" w:sz="4" w:space="0"/>
              <w:left w:val="single" w:color="auto" w:sz="4" w:space="0"/>
              <w:right w:val="single" w:color="auto" w:sz="4" w:space="0"/>
            </w:tcBorders>
            <w:noWrap/>
            <w:vAlign w:val="center"/>
          </w:tcPr>
          <w:p>
            <w:pPr>
              <w:pStyle w:val="480"/>
              <w:spacing w:before="120" w:after="120"/>
              <w:ind w:right="4"/>
              <w:jc w:val="center"/>
              <w:rPr>
                <w:color w:val="auto"/>
                <w:sz w:val="18"/>
                <w:szCs w:val="18"/>
              </w:rPr>
            </w:pPr>
            <w:r>
              <w:rPr>
                <w:color w:val="auto"/>
                <w:sz w:val="18"/>
                <w:szCs w:val="18"/>
              </w:rPr>
              <w:t>建筑</w:t>
            </w:r>
          </w:p>
        </w:tc>
        <w:tc>
          <w:tcPr>
            <w:tcW w:w="568"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001</w:t>
            </w:r>
          </w:p>
        </w:tc>
        <w:tc>
          <w:tcPr>
            <w:tcW w:w="1335"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阳台</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rPr>
            </w:pPr>
            <w:r>
              <w:rPr>
                <w:rFonts w:cs="宋体"/>
                <w:color w:val="auto"/>
                <w:sz w:val="18"/>
                <w:szCs w:val="18"/>
              </w:rPr>
              <w:t>非几何数据，仅线、面积。</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rPr>
            </w:pPr>
            <w:r>
              <w:rPr>
                <w:rFonts w:cs="宋体"/>
                <w:color w:val="auto"/>
                <w:sz w:val="18"/>
                <w:szCs w:val="18"/>
              </w:rPr>
              <w:t>阳台的形状，大概尺寸</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rPr>
                <w:rFonts w:cs="宋体"/>
                <w:color w:val="auto"/>
                <w:sz w:val="18"/>
                <w:szCs w:val="18"/>
              </w:rPr>
            </w:pPr>
            <w:r>
              <w:rPr>
                <w:rFonts w:cs="宋体"/>
                <w:color w:val="auto"/>
                <w:sz w:val="18"/>
                <w:szCs w:val="18"/>
              </w:rPr>
              <w:t>精确尺寸的模型实体，包含形状、方位和材质信息。</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rPr>
                <w:rFonts w:cs="宋体"/>
                <w:color w:val="auto"/>
                <w:sz w:val="18"/>
                <w:szCs w:val="18"/>
              </w:rPr>
            </w:pPr>
            <w:r>
              <w:rPr>
                <w:rFonts w:cs="宋体"/>
                <w:color w:val="auto"/>
                <w:sz w:val="18"/>
                <w:szCs w:val="18"/>
              </w:rPr>
              <w:t>实际尺寸的模型实体，包含形状、方位和材质信息。</w:t>
            </w:r>
          </w:p>
        </w:tc>
        <w:tc>
          <w:tcPr>
            <w:tcW w:w="1969"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实际安装的阳台模型</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noWrap/>
            <w:textDirection w:val="tbRl"/>
            <w:vAlign w:val="center"/>
          </w:tcPr>
          <w:p>
            <w:pPr>
              <w:pStyle w:val="480"/>
              <w:spacing w:before="120" w:after="120"/>
              <w:ind w:right="582"/>
              <w:jc w:val="center"/>
              <w:rPr>
                <w:color w:val="auto"/>
                <w:sz w:val="18"/>
                <w:szCs w:val="18"/>
              </w:rPr>
            </w:pPr>
          </w:p>
        </w:tc>
        <w:tc>
          <w:tcPr>
            <w:tcW w:w="568"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002</w:t>
            </w:r>
          </w:p>
        </w:tc>
        <w:tc>
          <w:tcPr>
            <w:tcW w:w="1335"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left="243"/>
              <w:jc w:val="center"/>
              <w:rPr>
                <w:color w:val="auto"/>
                <w:sz w:val="18"/>
                <w:szCs w:val="18"/>
              </w:rPr>
            </w:pPr>
            <w:r>
              <w:rPr>
                <w:color w:val="auto"/>
                <w:sz w:val="18"/>
                <w:szCs w:val="18"/>
              </w:rPr>
              <w:t>空调机位</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rPr>
            </w:pPr>
            <w:r>
              <w:rPr>
                <w:rFonts w:cs="宋体"/>
                <w:color w:val="auto"/>
                <w:sz w:val="18"/>
                <w:szCs w:val="18"/>
              </w:rPr>
              <w:t>非几何数据，仅线、面积。</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rPr>
            </w:pPr>
            <w:r>
              <w:rPr>
                <w:rFonts w:cs="宋体"/>
                <w:color w:val="auto"/>
                <w:sz w:val="18"/>
                <w:szCs w:val="18"/>
              </w:rPr>
              <w:t>基本形状、大概尺寸、方位</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rPr>
                <w:rFonts w:cs="宋体"/>
                <w:color w:val="auto"/>
                <w:sz w:val="18"/>
                <w:szCs w:val="18"/>
              </w:rPr>
            </w:pPr>
            <w:r>
              <w:rPr>
                <w:rFonts w:cs="宋体"/>
                <w:color w:val="auto"/>
                <w:sz w:val="18"/>
                <w:szCs w:val="18"/>
              </w:rPr>
              <w:t>精确尺寸的模型实体，包含形状、方位和材质信息。</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rPr>
                <w:rFonts w:cs="宋体"/>
                <w:color w:val="auto"/>
                <w:sz w:val="18"/>
                <w:szCs w:val="18"/>
              </w:rPr>
            </w:pPr>
            <w:r>
              <w:rPr>
                <w:rFonts w:cs="宋体"/>
                <w:color w:val="auto"/>
                <w:sz w:val="18"/>
                <w:szCs w:val="18"/>
              </w:rPr>
              <w:t>实际尺寸的模型实体，包含形状、方位和材质信息。</w:t>
            </w:r>
          </w:p>
        </w:tc>
        <w:tc>
          <w:tcPr>
            <w:tcW w:w="1969"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left="244"/>
              <w:jc w:val="center"/>
              <w:rPr>
                <w:color w:val="auto"/>
                <w:sz w:val="18"/>
                <w:szCs w:val="18"/>
              </w:rPr>
            </w:pPr>
            <w:r>
              <w:rPr>
                <w:color w:val="auto"/>
                <w:sz w:val="18"/>
                <w:szCs w:val="18"/>
              </w:rPr>
              <w:t>实际安装的模型</w:t>
            </w:r>
          </w:p>
        </w:tc>
      </w:tr>
      <w:tr>
        <w:tblPrEx>
          <w:tblCellMar>
            <w:top w:w="0" w:type="dxa"/>
            <w:left w:w="0" w:type="dxa"/>
            <w:bottom w:w="0" w:type="dxa"/>
            <w:right w:w="0" w:type="dxa"/>
          </w:tblCellMar>
        </w:tblPrEx>
        <w:trPr>
          <w:cantSplit/>
          <w:trHeight w:val="1526" w:hRule="atLeast"/>
        </w:trPr>
        <w:tc>
          <w:tcPr>
            <w:tcW w:w="1221" w:type="dxa"/>
            <w:vMerge w:val="continue"/>
            <w:tcBorders>
              <w:left w:val="single" w:color="auto" w:sz="4" w:space="0"/>
              <w:right w:val="single" w:color="auto" w:sz="4" w:space="0"/>
            </w:tcBorders>
            <w:noWrap/>
            <w:textDirection w:val="tbRl"/>
            <w:vAlign w:val="center"/>
          </w:tcPr>
          <w:p>
            <w:pPr>
              <w:pStyle w:val="480"/>
              <w:spacing w:before="120" w:after="120"/>
              <w:ind w:right="582"/>
              <w:jc w:val="center"/>
              <w:rPr>
                <w:color w:val="auto"/>
                <w:sz w:val="18"/>
                <w:szCs w:val="18"/>
              </w:rPr>
            </w:pPr>
          </w:p>
        </w:tc>
        <w:tc>
          <w:tcPr>
            <w:tcW w:w="568"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003</w:t>
            </w:r>
          </w:p>
        </w:tc>
        <w:tc>
          <w:tcPr>
            <w:tcW w:w="1335"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left="243"/>
              <w:jc w:val="center"/>
              <w:rPr>
                <w:color w:val="auto"/>
                <w:sz w:val="18"/>
                <w:szCs w:val="18"/>
              </w:rPr>
            </w:pPr>
            <w:r>
              <w:rPr>
                <w:color w:val="auto"/>
                <w:sz w:val="18"/>
                <w:szCs w:val="18"/>
              </w:rPr>
              <w:t>空调百叶</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rPr>
            </w:pPr>
            <w:r>
              <w:rPr>
                <w:rFonts w:cs="宋体"/>
                <w:color w:val="auto"/>
                <w:sz w:val="18"/>
                <w:szCs w:val="18"/>
              </w:rPr>
              <w:t>非几何数据，仅线、面积。</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基本形状、大概尺寸</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rPr>
                <w:rFonts w:cs="宋体"/>
                <w:color w:val="auto"/>
                <w:sz w:val="18"/>
                <w:szCs w:val="18"/>
              </w:rPr>
            </w:pPr>
            <w:r>
              <w:rPr>
                <w:rFonts w:cs="宋体"/>
                <w:color w:val="auto"/>
                <w:sz w:val="18"/>
                <w:szCs w:val="18"/>
              </w:rPr>
              <w:t>精确尺寸的模型实体，包含形状、方位和材质信息。</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rPr>
                <w:rFonts w:cs="宋体"/>
                <w:color w:val="auto"/>
                <w:sz w:val="18"/>
                <w:szCs w:val="18"/>
              </w:rPr>
            </w:pPr>
            <w:r>
              <w:rPr>
                <w:rFonts w:cs="宋体"/>
                <w:color w:val="auto"/>
                <w:sz w:val="18"/>
                <w:szCs w:val="18"/>
              </w:rPr>
              <w:t>实际尺寸的模型实体，包含形状、方位和材质信息。</w:t>
            </w:r>
          </w:p>
        </w:tc>
        <w:tc>
          <w:tcPr>
            <w:tcW w:w="1969"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left="244"/>
              <w:jc w:val="center"/>
              <w:rPr>
                <w:color w:val="auto"/>
                <w:sz w:val="18"/>
                <w:szCs w:val="18"/>
              </w:rPr>
            </w:pPr>
            <w:r>
              <w:rPr>
                <w:color w:val="auto"/>
                <w:sz w:val="18"/>
                <w:szCs w:val="18"/>
              </w:rPr>
              <w:t>实际安装的模型</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noWrap/>
            <w:textDirection w:val="tbRl"/>
            <w:vAlign w:val="center"/>
          </w:tcPr>
          <w:p>
            <w:pPr>
              <w:pStyle w:val="480"/>
              <w:spacing w:before="120" w:after="120"/>
              <w:ind w:right="582"/>
              <w:jc w:val="center"/>
              <w:rPr>
                <w:color w:val="auto"/>
                <w:sz w:val="18"/>
                <w:szCs w:val="18"/>
              </w:rPr>
            </w:pPr>
          </w:p>
        </w:tc>
        <w:tc>
          <w:tcPr>
            <w:tcW w:w="568"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004</w:t>
            </w:r>
          </w:p>
        </w:tc>
        <w:tc>
          <w:tcPr>
            <w:tcW w:w="1335"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left="346"/>
              <w:jc w:val="center"/>
              <w:rPr>
                <w:color w:val="auto"/>
                <w:sz w:val="18"/>
                <w:szCs w:val="18"/>
              </w:rPr>
            </w:pPr>
            <w:r>
              <w:rPr>
                <w:color w:val="auto"/>
                <w:sz w:val="18"/>
                <w:szCs w:val="18"/>
              </w:rPr>
              <w:t>窗百叶</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rPr>
            </w:pPr>
            <w:r>
              <w:rPr>
                <w:rFonts w:cs="宋体"/>
                <w:color w:val="auto"/>
                <w:sz w:val="18"/>
                <w:szCs w:val="18"/>
              </w:rPr>
              <w:t>非几何数据，仅线、面积。</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基本形状、大概尺寸</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rPr>
                <w:rFonts w:cs="宋体"/>
                <w:color w:val="auto"/>
                <w:sz w:val="18"/>
                <w:szCs w:val="18"/>
              </w:rPr>
            </w:pPr>
            <w:r>
              <w:rPr>
                <w:rFonts w:cs="宋体"/>
                <w:color w:val="auto"/>
                <w:sz w:val="18"/>
                <w:szCs w:val="18"/>
              </w:rPr>
              <w:t>精确尺寸的模型实体，包含形状、方位和材质信息。</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rPr>
                <w:rFonts w:cs="宋体"/>
                <w:color w:val="auto"/>
                <w:sz w:val="18"/>
                <w:szCs w:val="18"/>
              </w:rPr>
            </w:pPr>
            <w:r>
              <w:rPr>
                <w:rFonts w:cs="宋体"/>
                <w:color w:val="auto"/>
                <w:sz w:val="18"/>
                <w:szCs w:val="18"/>
              </w:rPr>
              <w:t>实际尺寸的模型实体，包含形状、方位和材质信息。</w:t>
            </w:r>
          </w:p>
        </w:tc>
        <w:tc>
          <w:tcPr>
            <w:tcW w:w="1969"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line="272" w:lineRule="exact"/>
              <w:ind w:left="453" w:right="454"/>
              <w:jc w:val="center"/>
              <w:rPr>
                <w:color w:val="auto"/>
                <w:sz w:val="18"/>
                <w:szCs w:val="18"/>
                <w:lang w:eastAsia="zh-CN"/>
              </w:rPr>
            </w:pPr>
            <w:r>
              <w:rPr>
                <w:color w:val="auto"/>
                <w:sz w:val="18"/>
                <w:szCs w:val="18"/>
                <w:lang w:eastAsia="zh-CN"/>
              </w:rPr>
              <w:t>实际安装的窗百叶模型</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noWrap/>
            <w:textDirection w:val="tbRl"/>
            <w:vAlign w:val="center"/>
          </w:tcPr>
          <w:p>
            <w:pPr>
              <w:pStyle w:val="480"/>
              <w:spacing w:before="120" w:after="120"/>
              <w:ind w:right="582"/>
              <w:jc w:val="center"/>
              <w:rPr>
                <w:color w:val="auto"/>
                <w:sz w:val="18"/>
                <w:szCs w:val="18"/>
                <w:lang w:eastAsia="zh-CN"/>
              </w:rPr>
            </w:pPr>
          </w:p>
        </w:tc>
        <w:tc>
          <w:tcPr>
            <w:tcW w:w="568"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005</w:t>
            </w:r>
          </w:p>
        </w:tc>
        <w:tc>
          <w:tcPr>
            <w:tcW w:w="1335"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2"/>
              <w:jc w:val="center"/>
              <w:rPr>
                <w:color w:val="auto"/>
                <w:sz w:val="18"/>
                <w:szCs w:val="18"/>
              </w:rPr>
            </w:pPr>
            <w:r>
              <w:rPr>
                <w:color w:val="auto"/>
                <w:sz w:val="18"/>
                <w:szCs w:val="18"/>
              </w:rPr>
              <w:t>雨篷</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rPr>
            </w:pPr>
            <w:r>
              <w:rPr>
                <w:rFonts w:cs="宋体"/>
                <w:color w:val="auto"/>
                <w:sz w:val="18"/>
                <w:szCs w:val="18"/>
              </w:rPr>
              <w:t>非几何数据，仅线、面积。</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基本形状、大概尺寸</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rPr>
                <w:rFonts w:cs="宋体"/>
                <w:color w:val="auto"/>
                <w:sz w:val="18"/>
                <w:szCs w:val="18"/>
              </w:rPr>
            </w:pPr>
            <w:r>
              <w:rPr>
                <w:rFonts w:cs="宋体"/>
                <w:color w:val="auto"/>
                <w:sz w:val="18"/>
                <w:szCs w:val="18"/>
              </w:rPr>
              <w:t>精确尺寸的模型实体，包含形状、方位和材质信息。</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rPr>
                <w:rFonts w:cs="宋体"/>
                <w:color w:val="auto"/>
                <w:sz w:val="18"/>
                <w:szCs w:val="18"/>
              </w:rPr>
            </w:pPr>
            <w:r>
              <w:rPr>
                <w:rFonts w:cs="宋体"/>
                <w:color w:val="auto"/>
                <w:sz w:val="18"/>
                <w:szCs w:val="18"/>
              </w:rPr>
              <w:t>实际尺寸的模型实体，包含形状、方位和材质信息。</w:t>
            </w:r>
          </w:p>
        </w:tc>
        <w:tc>
          <w:tcPr>
            <w:tcW w:w="1969"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line="272" w:lineRule="exact"/>
              <w:ind w:left="873" w:right="140" w:hanging="735"/>
              <w:jc w:val="center"/>
              <w:rPr>
                <w:color w:val="auto"/>
                <w:sz w:val="18"/>
                <w:szCs w:val="18"/>
              </w:rPr>
            </w:pPr>
            <w:r>
              <w:rPr>
                <w:color w:val="auto"/>
                <w:sz w:val="18"/>
                <w:szCs w:val="18"/>
              </w:rPr>
              <w:t>实际安装的雨棚模型</w:t>
            </w:r>
          </w:p>
        </w:tc>
      </w:tr>
      <w:tr>
        <w:tblPrEx>
          <w:tblCellMar>
            <w:top w:w="0" w:type="dxa"/>
            <w:left w:w="0" w:type="dxa"/>
            <w:bottom w:w="0" w:type="dxa"/>
            <w:right w:w="0" w:type="dxa"/>
          </w:tblCellMar>
        </w:tblPrEx>
        <w:trPr>
          <w:cantSplit/>
          <w:trHeight w:val="1524" w:hRule="atLeast"/>
        </w:trPr>
        <w:tc>
          <w:tcPr>
            <w:tcW w:w="1221" w:type="dxa"/>
            <w:vMerge w:val="continue"/>
            <w:tcBorders>
              <w:left w:val="single" w:color="auto" w:sz="4" w:space="0"/>
              <w:right w:val="single" w:color="auto" w:sz="4" w:space="0"/>
            </w:tcBorders>
            <w:noWrap/>
            <w:textDirection w:val="tbRl"/>
            <w:vAlign w:val="center"/>
          </w:tcPr>
          <w:p>
            <w:pPr>
              <w:pStyle w:val="480"/>
              <w:spacing w:before="120" w:after="120"/>
              <w:ind w:right="582"/>
              <w:jc w:val="center"/>
              <w:rPr>
                <w:color w:val="auto"/>
                <w:sz w:val="18"/>
                <w:szCs w:val="18"/>
              </w:rPr>
            </w:pPr>
          </w:p>
        </w:tc>
        <w:tc>
          <w:tcPr>
            <w:tcW w:w="568"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006</w:t>
            </w:r>
          </w:p>
        </w:tc>
        <w:tc>
          <w:tcPr>
            <w:tcW w:w="1335"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2"/>
              <w:jc w:val="center"/>
              <w:rPr>
                <w:color w:val="auto"/>
                <w:sz w:val="18"/>
                <w:szCs w:val="18"/>
              </w:rPr>
            </w:pPr>
            <w:r>
              <w:rPr>
                <w:color w:val="auto"/>
                <w:sz w:val="18"/>
                <w:szCs w:val="18"/>
              </w:rPr>
              <w:t>檐沟</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rPr>
            </w:pPr>
            <w:r>
              <w:rPr>
                <w:rFonts w:cs="宋体"/>
                <w:color w:val="auto"/>
                <w:sz w:val="18"/>
                <w:szCs w:val="18"/>
              </w:rPr>
              <w:t>非几何数据，仅线、面积。</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基本形状、大概尺寸</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rPr>
                <w:rFonts w:cs="宋体"/>
                <w:color w:val="auto"/>
                <w:sz w:val="18"/>
                <w:szCs w:val="18"/>
              </w:rPr>
            </w:pPr>
            <w:r>
              <w:rPr>
                <w:rFonts w:cs="宋体"/>
                <w:color w:val="auto"/>
                <w:sz w:val="18"/>
                <w:szCs w:val="18"/>
              </w:rPr>
              <w:t>精确尺寸的模型实体，包含形状、方位和材质信息。</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rPr>
                <w:rFonts w:cs="宋体"/>
                <w:color w:val="auto"/>
                <w:sz w:val="18"/>
                <w:szCs w:val="18"/>
              </w:rPr>
            </w:pPr>
            <w:r>
              <w:rPr>
                <w:rFonts w:cs="宋体"/>
                <w:color w:val="auto"/>
                <w:sz w:val="18"/>
                <w:szCs w:val="18"/>
              </w:rPr>
              <w:t>实际尺寸的模型实体，包含形状、方位和材质信息。</w:t>
            </w:r>
          </w:p>
        </w:tc>
        <w:tc>
          <w:tcPr>
            <w:tcW w:w="1969"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left="244"/>
              <w:jc w:val="center"/>
              <w:rPr>
                <w:color w:val="auto"/>
                <w:sz w:val="18"/>
                <w:szCs w:val="18"/>
              </w:rPr>
            </w:pPr>
            <w:r>
              <w:rPr>
                <w:color w:val="auto"/>
                <w:sz w:val="18"/>
                <w:szCs w:val="18"/>
              </w:rPr>
              <w:t>实际安装的模型</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noWrap/>
            <w:textDirection w:val="tbRl"/>
            <w:vAlign w:val="center"/>
          </w:tcPr>
          <w:p>
            <w:pPr>
              <w:pStyle w:val="480"/>
              <w:spacing w:before="120" w:after="120"/>
              <w:ind w:right="582"/>
              <w:jc w:val="center"/>
              <w:rPr>
                <w:color w:val="auto"/>
                <w:sz w:val="18"/>
                <w:szCs w:val="18"/>
              </w:rPr>
            </w:pPr>
          </w:p>
        </w:tc>
        <w:tc>
          <w:tcPr>
            <w:tcW w:w="568"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007</w:t>
            </w:r>
          </w:p>
        </w:tc>
        <w:tc>
          <w:tcPr>
            <w:tcW w:w="1335"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外立面幕墙</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rPr>
            </w:pPr>
            <w:r>
              <w:rPr>
                <w:rFonts w:cs="宋体"/>
                <w:color w:val="auto"/>
                <w:sz w:val="18"/>
                <w:szCs w:val="18"/>
              </w:rPr>
              <w:t>非几何数据，仅线、面积。</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基本形状、大概尺寸</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rPr>
                <w:rFonts w:cs="宋体"/>
                <w:color w:val="auto"/>
                <w:sz w:val="18"/>
                <w:szCs w:val="18"/>
              </w:rPr>
            </w:pPr>
            <w:r>
              <w:rPr>
                <w:rFonts w:cs="宋体"/>
                <w:color w:val="auto"/>
                <w:sz w:val="18"/>
                <w:szCs w:val="18"/>
              </w:rPr>
              <w:t>精确尺寸的模型实体，包含形状、方位和材质信息。</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rPr>
                <w:rFonts w:cs="宋体"/>
                <w:color w:val="auto"/>
                <w:sz w:val="18"/>
                <w:szCs w:val="18"/>
              </w:rPr>
            </w:pPr>
            <w:r>
              <w:rPr>
                <w:rFonts w:cs="宋体"/>
                <w:color w:val="auto"/>
                <w:sz w:val="18"/>
                <w:szCs w:val="18"/>
              </w:rPr>
              <w:t>实际尺寸的模型实体，包含形状、方位和材质信息。</w:t>
            </w:r>
          </w:p>
        </w:tc>
        <w:tc>
          <w:tcPr>
            <w:tcW w:w="1969"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基本形状、大概尺寸</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noWrap/>
            <w:textDirection w:val="tbRl"/>
            <w:vAlign w:val="center"/>
          </w:tcPr>
          <w:p>
            <w:pPr>
              <w:pStyle w:val="480"/>
              <w:spacing w:before="120" w:after="120"/>
              <w:ind w:right="582"/>
              <w:jc w:val="center"/>
              <w:rPr>
                <w:color w:val="auto"/>
                <w:sz w:val="18"/>
                <w:szCs w:val="18"/>
              </w:rPr>
            </w:pPr>
          </w:p>
        </w:tc>
        <w:tc>
          <w:tcPr>
            <w:tcW w:w="568"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008</w:t>
            </w:r>
          </w:p>
        </w:tc>
        <w:tc>
          <w:tcPr>
            <w:tcW w:w="1335"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墙体</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rPr>
            </w:pPr>
            <w:r>
              <w:rPr>
                <w:rFonts w:cs="宋体"/>
                <w:color w:val="auto"/>
                <w:sz w:val="18"/>
                <w:szCs w:val="18"/>
              </w:rPr>
              <w:t>非几何数据，仅线、面积。</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rPr>
            </w:pPr>
            <w:r>
              <w:rPr>
                <w:rFonts w:cs="宋体"/>
                <w:color w:val="auto"/>
                <w:sz w:val="18"/>
                <w:szCs w:val="18"/>
              </w:rPr>
              <w:t>一块通用的墙，给一个一</w:t>
            </w:r>
          </w:p>
          <w:p>
            <w:pPr>
              <w:spacing w:before="120" w:after="120"/>
              <w:ind w:firstLine="360"/>
              <w:jc w:val="center"/>
              <w:rPr>
                <w:rFonts w:cs="宋体"/>
                <w:color w:val="auto"/>
                <w:sz w:val="18"/>
                <w:szCs w:val="18"/>
              </w:rPr>
            </w:pPr>
            <w:r>
              <w:rPr>
                <w:rFonts w:cs="宋体"/>
                <w:color w:val="auto"/>
                <w:sz w:val="18"/>
                <w:szCs w:val="18"/>
              </w:rPr>
              <w:t>般的厚度，其他特性有一个取值范围；</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rPr>
            </w:pPr>
            <w:r>
              <w:rPr>
                <w:rFonts w:cs="宋体"/>
                <w:color w:val="auto"/>
                <w:sz w:val="18"/>
                <w:szCs w:val="18"/>
              </w:rPr>
              <w:t>模型已包括墙体类型和精确厚度，其他诸如成本、STC特性已经确定；</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rPr>
            </w:pPr>
            <w:r>
              <w:rPr>
                <w:rFonts w:cs="宋体"/>
                <w:color w:val="auto"/>
                <w:sz w:val="18"/>
                <w:szCs w:val="18"/>
              </w:rPr>
              <w:t>模型已包括墙体类型和精确厚度，其他诸如成本、STC特性已经确定；</w:t>
            </w:r>
          </w:p>
        </w:tc>
        <w:tc>
          <w:tcPr>
            <w:tcW w:w="1969"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实际安装的墙体模型</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noWrap/>
            <w:textDirection w:val="tbRl"/>
            <w:vAlign w:val="center"/>
          </w:tcPr>
          <w:p>
            <w:pPr>
              <w:pStyle w:val="480"/>
              <w:spacing w:before="120" w:after="120"/>
              <w:ind w:right="582"/>
              <w:jc w:val="center"/>
              <w:rPr>
                <w:color w:val="auto"/>
                <w:sz w:val="18"/>
                <w:szCs w:val="18"/>
              </w:rPr>
            </w:pPr>
          </w:p>
        </w:tc>
        <w:tc>
          <w:tcPr>
            <w:tcW w:w="568"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009</w:t>
            </w:r>
          </w:p>
        </w:tc>
        <w:tc>
          <w:tcPr>
            <w:tcW w:w="1335"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楼板</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rPr>
            </w:pPr>
            <w:r>
              <w:rPr>
                <w:rFonts w:cs="宋体"/>
                <w:color w:val="auto"/>
                <w:sz w:val="18"/>
                <w:szCs w:val="18"/>
              </w:rPr>
              <w:t>非几何数据，仅线、面积、体积区域。</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rPr>
            </w:pPr>
            <w:r>
              <w:rPr>
                <w:rFonts w:cs="宋体"/>
                <w:color w:val="auto"/>
                <w:sz w:val="18"/>
                <w:szCs w:val="18"/>
              </w:rPr>
              <w:t>一块完整的模型，一般的厚度已确定</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rPr>
            </w:pPr>
            <w:r>
              <w:rPr>
                <w:rFonts w:cs="宋体"/>
                <w:color w:val="auto"/>
                <w:sz w:val="18"/>
                <w:szCs w:val="18"/>
              </w:rPr>
              <w:t>楼板的类型、精确厚度</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rPr>
            </w:pPr>
            <w:r>
              <w:rPr>
                <w:rFonts w:cs="宋体"/>
                <w:color w:val="auto"/>
                <w:sz w:val="18"/>
                <w:szCs w:val="18"/>
              </w:rPr>
              <w:t>楼板的类型、精确厚度</w:t>
            </w:r>
          </w:p>
        </w:tc>
        <w:tc>
          <w:tcPr>
            <w:tcW w:w="1969"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实际安装的楼板模型</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noWrap/>
            <w:textDirection w:val="tbRl"/>
            <w:vAlign w:val="center"/>
          </w:tcPr>
          <w:p>
            <w:pPr>
              <w:spacing w:before="120" w:after="120"/>
              <w:ind w:firstLine="360"/>
              <w:jc w:val="center"/>
              <w:rPr>
                <w:color w:val="auto"/>
                <w:sz w:val="18"/>
                <w:szCs w:val="18"/>
                <w:lang w:eastAsia="en-US"/>
              </w:rPr>
            </w:pPr>
          </w:p>
        </w:tc>
        <w:tc>
          <w:tcPr>
            <w:tcW w:w="568"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010</w:t>
            </w:r>
          </w:p>
        </w:tc>
        <w:tc>
          <w:tcPr>
            <w:tcW w:w="1335"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屋顶</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rPr>
            </w:pPr>
            <w:r>
              <w:rPr>
                <w:rFonts w:cs="宋体"/>
                <w:color w:val="auto"/>
                <w:sz w:val="18"/>
                <w:szCs w:val="18"/>
              </w:rPr>
              <w:t>非几何数据，仅线、面积。</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rPr>
            </w:pPr>
            <w:r>
              <w:rPr>
                <w:rFonts w:cs="宋体"/>
                <w:color w:val="auto"/>
                <w:sz w:val="18"/>
                <w:szCs w:val="18"/>
              </w:rPr>
              <w:t>屋顶的大致3D模型以及形状尺寸</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rPr>
            </w:pPr>
            <w:r>
              <w:rPr>
                <w:rFonts w:cs="宋体"/>
                <w:color w:val="auto"/>
                <w:sz w:val="18"/>
                <w:szCs w:val="18"/>
              </w:rPr>
              <w:t>屋顶的类型以及其他特性</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rPr>
            </w:pPr>
            <w:r>
              <w:rPr>
                <w:rFonts w:cs="宋体"/>
                <w:color w:val="auto"/>
                <w:sz w:val="18"/>
                <w:szCs w:val="18"/>
              </w:rPr>
              <w:t>屋顶的类型以及其他特性</w:t>
            </w:r>
          </w:p>
        </w:tc>
        <w:tc>
          <w:tcPr>
            <w:tcW w:w="1969"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实际安装的屋顶模型</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noWrap/>
            <w:textDirection w:val="tbRl"/>
            <w:vAlign w:val="center"/>
          </w:tcPr>
          <w:p>
            <w:pPr>
              <w:spacing w:before="120" w:after="120"/>
              <w:ind w:firstLine="360"/>
              <w:jc w:val="center"/>
              <w:rPr>
                <w:color w:val="auto"/>
                <w:sz w:val="18"/>
                <w:szCs w:val="18"/>
                <w:lang w:eastAsia="en-US"/>
              </w:rPr>
            </w:pPr>
          </w:p>
        </w:tc>
        <w:tc>
          <w:tcPr>
            <w:tcW w:w="568"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011</w:t>
            </w:r>
          </w:p>
        </w:tc>
        <w:tc>
          <w:tcPr>
            <w:tcW w:w="1335"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门</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rPr>
            </w:pPr>
            <w:r>
              <w:rPr>
                <w:rFonts w:cs="宋体"/>
                <w:color w:val="auto"/>
                <w:sz w:val="18"/>
                <w:szCs w:val="18"/>
              </w:rPr>
              <w:t>非几何数据，仅线、面积。</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rPr>
            </w:pPr>
            <w:r>
              <w:rPr>
                <w:rFonts w:cs="宋体"/>
                <w:color w:val="auto"/>
                <w:sz w:val="18"/>
                <w:szCs w:val="18"/>
              </w:rPr>
              <w:t>门的形状以及尺寸，大致</w:t>
            </w:r>
          </w:p>
          <w:p>
            <w:pPr>
              <w:spacing w:before="120" w:after="120"/>
              <w:ind w:firstLine="360"/>
              <w:jc w:val="center"/>
              <w:rPr>
                <w:rFonts w:cs="宋体"/>
                <w:color w:val="auto"/>
                <w:sz w:val="18"/>
                <w:szCs w:val="18"/>
                <w:lang w:eastAsia="en-US"/>
              </w:rPr>
            </w:pPr>
            <w:r>
              <w:rPr>
                <w:rFonts w:cs="宋体"/>
                <w:color w:val="auto"/>
                <w:sz w:val="18"/>
                <w:szCs w:val="18"/>
                <w:lang w:eastAsia="en-US"/>
              </w:rPr>
              <w:t>3D模型</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rPr>
            </w:pPr>
            <w:r>
              <w:rPr>
                <w:rFonts w:cs="宋体"/>
                <w:color w:val="auto"/>
                <w:sz w:val="18"/>
                <w:szCs w:val="18"/>
              </w:rPr>
              <w:t>门的精确尺寸、类型的确定</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rPr>
            </w:pPr>
            <w:r>
              <w:rPr>
                <w:rFonts w:cs="宋体"/>
                <w:color w:val="auto"/>
                <w:sz w:val="18"/>
                <w:szCs w:val="18"/>
              </w:rPr>
              <w:t>门的实际尺寸、类型的确定</w:t>
            </w:r>
          </w:p>
        </w:tc>
        <w:tc>
          <w:tcPr>
            <w:tcW w:w="1969"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实际安装的门窗模型</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noWrap/>
            <w:textDirection w:val="tbRl"/>
            <w:vAlign w:val="center"/>
          </w:tcPr>
          <w:p>
            <w:pPr>
              <w:spacing w:before="120" w:after="120"/>
              <w:ind w:firstLine="360"/>
              <w:jc w:val="center"/>
              <w:rPr>
                <w:color w:val="auto"/>
                <w:sz w:val="18"/>
                <w:szCs w:val="18"/>
                <w:lang w:eastAsia="en-US"/>
              </w:rPr>
            </w:pPr>
          </w:p>
        </w:tc>
        <w:tc>
          <w:tcPr>
            <w:tcW w:w="568"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012</w:t>
            </w:r>
          </w:p>
        </w:tc>
        <w:tc>
          <w:tcPr>
            <w:tcW w:w="1335"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窗</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rPr>
            </w:pPr>
            <w:r>
              <w:rPr>
                <w:rFonts w:cs="宋体"/>
                <w:color w:val="auto"/>
                <w:sz w:val="18"/>
                <w:szCs w:val="18"/>
              </w:rPr>
              <w:t>非几何数据，仅线、面积。</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rPr>
            </w:pPr>
            <w:r>
              <w:rPr>
                <w:rFonts w:cs="宋体"/>
                <w:color w:val="auto"/>
                <w:sz w:val="18"/>
                <w:szCs w:val="18"/>
              </w:rPr>
              <w:t>窗的形状以及尺寸，大致</w:t>
            </w:r>
          </w:p>
          <w:p>
            <w:pPr>
              <w:spacing w:before="120" w:after="120"/>
              <w:ind w:firstLine="360"/>
              <w:jc w:val="center"/>
              <w:rPr>
                <w:rFonts w:cs="宋体"/>
                <w:color w:val="auto"/>
                <w:sz w:val="18"/>
                <w:szCs w:val="18"/>
                <w:lang w:eastAsia="en-US"/>
              </w:rPr>
            </w:pPr>
            <w:r>
              <w:rPr>
                <w:rFonts w:cs="宋体"/>
                <w:color w:val="auto"/>
                <w:sz w:val="18"/>
                <w:szCs w:val="18"/>
                <w:lang w:eastAsia="en-US"/>
              </w:rPr>
              <w:t>3D模型</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rPr>
            </w:pPr>
            <w:r>
              <w:rPr>
                <w:rFonts w:cs="宋体"/>
                <w:color w:val="auto"/>
                <w:sz w:val="18"/>
                <w:szCs w:val="18"/>
              </w:rPr>
              <w:t>窗的精确尺寸、类型的确定</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rPr>
            </w:pPr>
            <w:r>
              <w:rPr>
                <w:rFonts w:cs="宋体"/>
                <w:color w:val="auto"/>
                <w:sz w:val="18"/>
                <w:szCs w:val="18"/>
              </w:rPr>
              <w:t>窗的实际尺寸、类型的确定</w:t>
            </w:r>
          </w:p>
        </w:tc>
        <w:tc>
          <w:tcPr>
            <w:tcW w:w="1969"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实际安装的门窗模型</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noWrap/>
            <w:textDirection w:val="tbRl"/>
            <w:vAlign w:val="center"/>
          </w:tcPr>
          <w:p>
            <w:pPr>
              <w:spacing w:before="120" w:after="120"/>
              <w:ind w:firstLine="360"/>
              <w:jc w:val="center"/>
              <w:rPr>
                <w:color w:val="auto"/>
                <w:sz w:val="18"/>
                <w:szCs w:val="18"/>
                <w:lang w:eastAsia="en-US"/>
              </w:rPr>
            </w:pPr>
          </w:p>
        </w:tc>
        <w:tc>
          <w:tcPr>
            <w:tcW w:w="568"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013</w:t>
            </w:r>
          </w:p>
        </w:tc>
        <w:tc>
          <w:tcPr>
            <w:tcW w:w="1335"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天花板</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rPr>
            </w:pPr>
            <w:r>
              <w:rPr>
                <w:rFonts w:cs="宋体"/>
                <w:color w:val="auto"/>
                <w:sz w:val="18"/>
                <w:szCs w:val="18"/>
              </w:rPr>
              <w:t>非几何数据，仅线、面积。</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rPr>
            </w:pPr>
            <w:r>
              <w:rPr>
                <w:rFonts w:cs="宋体"/>
                <w:color w:val="auto"/>
                <w:sz w:val="18"/>
                <w:szCs w:val="18"/>
              </w:rPr>
              <w:t>基本形状、大概尺寸的模型</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rPr>
            </w:pPr>
            <w:r>
              <w:rPr>
                <w:rFonts w:cs="宋体"/>
                <w:color w:val="auto"/>
                <w:sz w:val="18"/>
                <w:szCs w:val="18"/>
              </w:rPr>
              <w:t>材质类型、天花板的精确厚度</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rPr>
            </w:pPr>
            <w:r>
              <w:rPr>
                <w:rFonts w:cs="宋体"/>
                <w:color w:val="auto"/>
                <w:sz w:val="18"/>
                <w:szCs w:val="18"/>
              </w:rPr>
              <w:t>材质类型、天花板的精确厚度</w:t>
            </w:r>
          </w:p>
        </w:tc>
        <w:tc>
          <w:tcPr>
            <w:tcW w:w="1969"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rPr>
            </w:pPr>
            <w:r>
              <w:rPr>
                <w:rFonts w:cs="宋体"/>
                <w:color w:val="auto"/>
                <w:sz w:val="18"/>
                <w:szCs w:val="18"/>
              </w:rPr>
              <w:t>实际安装的天花板模型</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noWrap/>
            <w:textDirection w:val="tbRl"/>
            <w:vAlign w:val="center"/>
          </w:tcPr>
          <w:p>
            <w:pPr>
              <w:spacing w:before="120" w:after="120"/>
              <w:ind w:firstLine="360"/>
              <w:jc w:val="center"/>
              <w:rPr>
                <w:color w:val="auto"/>
                <w:sz w:val="18"/>
                <w:szCs w:val="18"/>
              </w:rPr>
            </w:pPr>
          </w:p>
        </w:tc>
        <w:tc>
          <w:tcPr>
            <w:tcW w:w="568"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014</w:t>
            </w:r>
          </w:p>
        </w:tc>
        <w:tc>
          <w:tcPr>
            <w:tcW w:w="1335"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扶手</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非几何数据，仅线。</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rPr>
            </w:pPr>
            <w:r>
              <w:rPr>
                <w:rFonts w:cs="宋体"/>
                <w:color w:val="auto"/>
                <w:sz w:val="18"/>
                <w:szCs w:val="18"/>
              </w:rPr>
              <w:t>大致形状、大概尺寸的模型</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扶手的材质选定</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扶手的材质选定</w:t>
            </w:r>
          </w:p>
        </w:tc>
        <w:tc>
          <w:tcPr>
            <w:tcW w:w="1969"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实际安装的扶手模型</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noWrap/>
            <w:textDirection w:val="tbRl"/>
            <w:vAlign w:val="center"/>
          </w:tcPr>
          <w:p>
            <w:pPr>
              <w:spacing w:before="120" w:after="120"/>
              <w:ind w:firstLine="360"/>
              <w:jc w:val="center"/>
              <w:rPr>
                <w:color w:val="auto"/>
                <w:sz w:val="18"/>
                <w:szCs w:val="18"/>
                <w:lang w:eastAsia="en-US"/>
              </w:rPr>
            </w:pPr>
          </w:p>
        </w:tc>
        <w:tc>
          <w:tcPr>
            <w:tcW w:w="568"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015</w:t>
            </w:r>
          </w:p>
        </w:tc>
        <w:tc>
          <w:tcPr>
            <w:tcW w:w="1335"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坡道</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非几何数据，仅线。</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rPr>
            </w:pPr>
            <w:r>
              <w:rPr>
                <w:rFonts w:cs="宋体"/>
                <w:color w:val="auto"/>
                <w:sz w:val="18"/>
                <w:szCs w:val="18"/>
              </w:rPr>
              <w:t>大致形状、大概尺寸的模型</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坡道的精确厚度、坡度的精确程度</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坡道的精确厚度、坡度的精确程度</w:t>
            </w:r>
          </w:p>
        </w:tc>
        <w:tc>
          <w:tcPr>
            <w:tcW w:w="1969"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实际安装的坡道模型</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noWrap/>
            <w:textDirection w:val="tbRl"/>
            <w:vAlign w:val="center"/>
          </w:tcPr>
          <w:p>
            <w:pPr>
              <w:spacing w:before="120" w:after="120"/>
              <w:ind w:firstLine="360"/>
              <w:jc w:val="center"/>
              <w:rPr>
                <w:color w:val="auto"/>
                <w:sz w:val="18"/>
                <w:szCs w:val="18"/>
                <w:lang w:eastAsia="en-US"/>
              </w:rPr>
            </w:pPr>
          </w:p>
        </w:tc>
        <w:tc>
          <w:tcPr>
            <w:tcW w:w="568"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016</w:t>
            </w:r>
          </w:p>
        </w:tc>
        <w:tc>
          <w:tcPr>
            <w:tcW w:w="1335"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楼梯</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非几何数据，仅线。</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rPr>
            </w:pPr>
            <w:r>
              <w:rPr>
                <w:rFonts w:cs="宋体"/>
                <w:color w:val="auto"/>
                <w:sz w:val="18"/>
                <w:szCs w:val="18"/>
              </w:rPr>
              <w:t>大致形状、大概尺寸的模型</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rPr>
            </w:pPr>
            <w:r>
              <w:rPr>
                <w:rFonts w:cs="宋体"/>
                <w:color w:val="auto"/>
                <w:sz w:val="18"/>
                <w:szCs w:val="18"/>
              </w:rPr>
              <w:t>楼梯踏步的精确厚度、台阶的精确程度</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rPr>
            </w:pPr>
            <w:r>
              <w:rPr>
                <w:rFonts w:cs="宋体"/>
                <w:color w:val="auto"/>
                <w:sz w:val="18"/>
                <w:szCs w:val="18"/>
              </w:rPr>
              <w:t>楼梯踏步的精确厚度、台阶的精确程度</w:t>
            </w:r>
          </w:p>
        </w:tc>
        <w:tc>
          <w:tcPr>
            <w:tcW w:w="1969"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实际安装的楼梯模型</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noWrap/>
            <w:textDirection w:val="tbRl"/>
            <w:vAlign w:val="center"/>
          </w:tcPr>
          <w:p>
            <w:pPr>
              <w:spacing w:before="120" w:after="120"/>
              <w:ind w:firstLine="360"/>
              <w:jc w:val="center"/>
              <w:rPr>
                <w:color w:val="auto"/>
                <w:sz w:val="18"/>
                <w:szCs w:val="18"/>
                <w:lang w:eastAsia="en-US"/>
              </w:rPr>
            </w:pPr>
          </w:p>
        </w:tc>
        <w:tc>
          <w:tcPr>
            <w:tcW w:w="568"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017</w:t>
            </w:r>
          </w:p>
        </w:tc>
        <w:tc>
          <w:tcPr>
            <w:tcW w:w="1335"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红线</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非几何数据，仅线。</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rPr>
            </w:pPr>
            <w:r>
              <w:rPr>
                <w:rFonts w:cs="宋体"/>
                <w:color w:val="auto"/>
                <w:sz w:val="18"/>
                <w:szCs w:val="18"/>
              </w:rPr>
              <w:t>具体形状、具体尺寸的模型</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rPr>
            </w:pPr>
            <w:r>
              <w:rPr>
                <w:rFonts w:cs="宋体"/>
                <w:color w:val="auto"/>
                <w:sz w:val="18"/>
                <w:szCs w:val="18"/>
              </w:rPr>
              <w:t>具体形状、具体尺寸的模型</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rPr>
            </w:pPr>
            <w:r>
              <w:rPr>
                <w:rFonts w:cs="宋体"/>
                <w:color w:val="auto"/>
                <w:sz w:val="18"/>
                <w:szCs w:val="18"/>
              </w:rPr>
              <w:t>具体形状、具体尺寸的模型</w:t>
            </w:r>
          </w:p>
        </w:tc>
        <w:tc>
          <w:tcPr>
            <w:tcW w:w="1969"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实际安装的坡道模型</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bottom w:val="single" w:color="auto" w:sz="4" w:space="0"/>
              <w:right w:val="single" w:color="auto" w:sz="4" w:space="0"/>
            </w:tcBorders>
            <w:noWrap/>
            <w:textDirection w:val="tbRl"/>
            <w:vAlign w:val="center"/>
          </w:tcPr>
          <w:p>
            <w:pPr>
              <w:spacing w:before="120" w:after="120"/>
              <w:ind w:firstLine="360"/>
              <w:jc w:val="center"/>
              <w:rPr>
                <w:color w:val="auto"/>
                <w:sz w:val="18"/>
                <w:szCs w:val="18"/>
                <w:lang w:eastAsia="en-US"/>
              </w:rPr>
            </w:pPr>
          </w:p>
        </w:tc>
        <w:tc>
          <w:tcPr>
            <w:tcW w:w="13580" w:type="dxa"/>
            <w:gridSpan w:val="7"/>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color w:val="auto"/>
                <w:sz w:val="22"/>
              </w:rPr>
            </w:pPr>
            <w:r>
              <w:rPr>
                <w:rFonts w:hint="eastAsia" w:cs="宋体"/>
                <w:color w:val="auto"/>
                <w:sz w:val="18"/>
                <w:szCs w:val="18"/>
              </w:rPr>
              <w:t>注：上述模型精度要求仅作参考，具体精度内容应参考相关合同、行业标准、地方标准的要求。</w:t>
            </w:r>
          </w:p>
        </w:tc>
      </w:tr>
    </w:tbl>
    <w:p>
      <w:pPr>
        <w:spacing w:before="120" w:after="120" w:line="272" w:lineRule="exact"/>
        <w:rPr>
          <w:rFonts w:cs="宋体"/>
          <w:color w:val="auto"/>
          <w:szCs w:val="21"/>
        </w:rPr>
        <w:sectPr>
          <w:pgSz w:w="16840" w:h="11910" w:orient="landscape"/>
          <w:pgMar w:top="1100" w:right="900" w:bottom="1140" w:left="900" w:header="0" w:footer="953" w:gutter="0"/>
          <w:cols w:space="720" w:num="1"/>
        </w:sectPr>
      </w:pPr>
    </w:p>
    <w:p>
      <w:pPr>
        <w:spacing w:before="120" w:after="120"/>
        <w:outlineLvl w:val="4"/>
        <w:rPr>
          <w:color w:val="auto"/>
        </w:rPr>
      </w:pPr>
      <w:bookmarkStart w:id="901" w:name="_Toc10117"/>
      <w:bookmarkStart w:id="902" w:name="_Toc5084"/>
      <w:r>
        <w:rPr>
          <w:color w:val="auto"/>
        </w:rPr>
        <w:t>2  结构专业</w:t>
      </w:r>
      <w:bookmarkEnd w:id="901"/>
      <w:bookmarkEnd w:id="902"/>
    </w:p>
    <w:tbl>
      <w:tblPr>
        <w:tblStyle w:val="55"/>
        <w:tblW w:w="14801" w:type="dxa"/>
        <w:tblInd w:w="111" w:type="dxa"/>
        <w:tblLayout w:type="fixed"/>
        <w:tblCellMar>
          <w:top w:w="0" w:type="dxa"/>
          <w:left w:w="0" w:type="dxa"/>
          <w:bottom w:w="0" w:type="dxa"/>
          <w:right w:w="0" w:type="dxa"/>
        </w:tblCellMar>
      </w:tblPr>
      <w:tblGrid>
        <w:gridCol w:w="1221"/>
        <w:gridCol w:w="568"/>
        <w:gridCol w:w="1335"/>
        <w:gridCol w:w="2427"/>
        <w:gridCol w:w="2427"/>
        <w:gridCol w:w="2427"/>
        <w:gridCol w:w="2427"/>
        <w:gridCol w:w="1969"/>
      </w:tblGrid>
      <w:tr>
        <w:tblPrEx>
          <w:tblCellMar>
            <w:top w:w="0" w:type="dxa"/>
            <w:left w:w="0" w:type="dxa"/>
            <w:bottom w:w="0" w:type="dxa"/>
            <w:right w:w="0" w:type="dxa"/>
          </w:tblCellMar>
        </w:tblPrEx>
        <w:trPr>
          <w:cantSplit/>
          <w:trHeight w:val="454" w:hRule="atLeast"/>
          <w:tblHeader/>
        </w:trPr>
        <w:tc>
          <w:tcPr>
            <w:tcW w:w="1221" w:type="dxa"/>
            <w:vMerge w:val="restart"/>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专业</w:t>
            </w:r>
          </w:p>
        </w:tc>
        <w:tc>
          <w:tcPr>
            <w:tcW w:w="1903" w:type="dxa"/>
            <w:gridSpan w:val="2"/>
            <w:vMerge w:val="restart"/>
            <w:tcBorders>
              <w:top w:val="single" w:color="auto" w:sz="4" w:space="0"/>
              <w:left w:val="single" w:color="auto" w:sz="4" w:space="0"/>
              <w:bottom w:val="single" w:color="auto" w:sz="4" w:space="0"/>
              <w:right w:val="single" w:color="auto" w:sz="4" w:space="0"/>
              <w:tl2br w:val="single" w:color="auto" w:sz="4" w:space="0"/>
            </w:tcBorders>
            <w:noWrap/>
            <w:vAlign w:val="center"/>
          </w:tcPr>
          <w:p>
            <w:pPr>
              <w:spacing w:before="120" w:after="120"/>
              <w:ind w:firstLine="360"/>
              <w:jc w:val="right"/>
              <w:rPr>
                <w:rFonts w:cs="宋体"/>
                <w:color w:val="auto"/>
                <w:sz w:val="18"/>
                <w:szCs w:val="18"/>
                <w:lang w:eastAsia="en-US"/>
              </w:rPr>
            </w:pPr>
            <w:r>
              <w:rPr>
                <w:rFonts w:cs="宋体"/>
                <w:color w:val="auto"/>
                <w:sz w:val="18"/>
                <w:szCs w:val="18"/>
                <w:lang w:eastAsia="en-US"/>
              </w:rPr>
              <w:t>详细等级</w:t>
            </w:r>
          </w:p>
          <w:p>
            <w:pPr>
              <w:spacing w:before="120" w:after="120"/>
              <w:ind w:firstLine="360"/>
              <w:jc w:val="center"/>
              <w:rPr>
                <w:rFonts w:cs="宋体"/>
                <w:color w:val="auto"/>
                <w:sz w:val="18"/>
                <w:szCs w:val="18"/>
                <w:lang w:eastAsia="en-US"/>
              </w:rPr>
            </w:pPr>
          </w:p>
          <w:p>
            <w:pPr>
              <w:spacing w:before="120" w:after="120"/>
              <w:ind w:firstLine="360"/>
              <w:jc w:val="left"/>
              <w:rPr>
                <w:rFonts w:cs="宋体"/>
                <w:color w:val="auto"/>
                <w:sz w:val="18"/>
                <w:szCs w:val="18"/>
                <w:lang w:eastAsia="en-US"/>
              </w:rPr>
            </w:pPr>
            <w:r>
              <w:rPr>
                <w:rFonts w:cs="宋体"/>
                <w:color w:val="auto"/>
                <w:sz w:val="18"/>
                <w:szCs w:val="18"/>
                <w:lang w:eastAsia="en-US"/>
              </w:rPr>
              <w:t>子项</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eastAsia="Times New Roman"/>
                <w:color w:val="auto"/>
                <w:sz w:val="18"/>
                <w:szCs w:val="18"/>
                <w:lang w:eastAsia="en-US"/>
              </w:rPr>
            </w:pPr>
            <w:r>
              <w:rPr>
                <w:rFonts w:cs="宋体"/>
                <w:color w:val="auto"/>
                <w:sz w:val="18"/>
                <w:szCs w:val="18"/>
                <w:lang w:eastAsia="en-US"/>
              </w:rPr>
              <w:t>LOD100</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eastAsia="Times New Roman"/>
                <w:color w:val="auto"/>
                <w:sz w:val="18"/>
                <w:szCs w:val="18"/>
                <w:lang w:eastAsia="en-US"/>
              </w:rPr>
            </w:pPr>
            <w:r>
              <w:rPr>
                <w:rFonts w:cs="宋体"/>
                <w:color w:val="auto"/>
                <w:sz w:val="18"/>
                <w:szCs w:val="18"/>
                <w:lang w:eastAsia="en-US"/>
              </w:rPr>
              <w:t>LOD200</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eastAsia="Times New Roman"/>
                <w:color w:val="auto"/>
                <w:sz w:val="18"/>
                <w:szCs w:val="18"/>
                <w:lang w:eastAsia="en-US"/>
              </w:rPr>
            </w:pPr>
            <w:r>
              <w:rPr>
                <w:color w:val="auto"/>
                <w:sz w:val="18"/>
                <w:szCs w:val="18"/>
                <w:lang w:eastAsia="en-US"/>
              </w:rPr>
              <w:t>LOD300</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eastAsia="Times New Roman"/>
                <w:color w:val="auto"/>
                <w:sz w:val="18"/>
                <w:szCs w:val="18"/>
                <w:lang w:eastAsia="en-US"/>
              </w:rPr>
            </w:pPr>
            <w:r>
              <w:rPr>
                <w:rFonts w:cs="宋体"/>
                <w:color w:val="auto"/>
                <w:sz w:val="18"/>
                <w:szCs w:val="18"/>
                <w:lang w:eastAsia="en-US"/>
              </w:rPr>
              <w:t>LOD400</w:t>
            </w:r>
          </w:p>
        </w:tc>
        <w:tc>
          <w:tcPr>
            <w:tcW w:w="1969"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eastAsia="Times New Roman"/>
                <w:color w:val="auto"/>
                <w:sz w:val="18"/>
                <w:szCs w:val="18"/>
                <w:lang w:eastAsia="en-US"/>
              </w:rPr>
            </w:pPr>
            <w:r>
              <w:rPr>
                <w:rFonts w:cs="宋体"/>
                <w:color w:val="auto"/>
                <w:sz w:val="18"/>
                <w:szCs w:val="18"/>
                <w:lang w:eastAsia="en-US"/>
              </w:rPr>
              <w:t>LOD500</w:t>
            </w:r>
          </w:p>
        </w:tc>
      </w:tr>
      <w:tr>
        <w:tblPrEx>
          <w:tblCellMar>
            <w:top w:w="0" w:type="dxa"/>
            <w:left w:w="0" w:type="dxa"/>
            <w:bottom w:w="0" w:type="dxa"/>
            <w:right w:w="0" w:type="dxa"/>
          </w:tblCellMar>
        </w:tblPrEx>
        <w:trPr>
          <w:cantSplit/>
          <w:trHeight w:val="454" w:hRule="atLeast"/>
          <w:tblHeader/>
        </w:trPr>
        <w:tc>
          <w:tcPr>
            <w:tcW w:w="1221" w:type="dxa"/>
            <w:vMerge w:val="continue"/>
            <w:tcBorders>
              <w:top w:val="single" w:color="auto" w:sz="4" w:space="0"/>
              <w:left w:val="single" w:color="auto" w:sz="4" w:space="0"/>
              <w:bottom w:val="single" w:color="auto" w:sz="4" w:space="0"/>
              <w:right w:val="single" w:color="auto" w:sz="4" w:space="0"/>
            </w:tcBorders>
            <w:noWrap/>
            <w:textDirection w:val="tbRl"/>
            <w:vAlign w:val="center"/>
          </w:tcPr>
          <w:p>
            <w:pPr>
              <w:spacing w:before="120" w:after="120"/>
              <w:ind w:firstLine="360"/>
              <w:jc w:val="center"/>
              <w:rPr>
                <w:color w:val="auto"/>
                <w:sz w:val="18"/>
                <w:szCs w:val="18"/>
                <w:lang w:eastAsia="en-US"/>
              </w:rPr>
            </w:pPr>
          </w:p>
        </w:tc>
        <w:tc>
          <w:tcPr>
            <w:tcW w:w="1903" w:type="dxa"/>
            <w:gridSpan w:val="2"/>
            <w:vMerge w:val="continue"/>
            <w:tcBorders>
              <w:top w:val="single" w:color="auto" w:sz="4" w:space="0"/>
              <w:left w:val="single" w:color="auto" w:sz="4" w:space="0"/>
              <w:bottom w:val="single" w:color="auto" w:sz="4" w:space="0"/>
              <w:right w:val="single" w:color="auto" w:sz="4" w:space="0"/>
              <w:tl2br w:val="single" w:color="auto" w:sz="4" w:space="0"/>
            </w:tcBorders>
            <w:noWrap/>
            <w:vAlign w:val="center"/>
          </w:tcPr>
          <w:p>
            <w:pPr>
              <w:spacing w:before="120" w:after="120"/>
              <w:ind w:firstLine="360"/>
              <w:jc w:val="center"/>
              <w:rPr>
                <w:color w:val="auto"/>
                <w:sz w:val="18"/>
                <w:szCs w:val="18"/>
                <w:lang w:eastAsia="en-US"/>
              </w:rPr>
            </w:pP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方案设计模型</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rPr>
            </w:pPr>
            <w:r>
              <w:rPr>
                <w:rFonts w:cs="宋体"/>
                <w:color w:val="auto"/>
                <w:sz w:val="18"/>
                <w:szCs w:val="18"/>
              </w:rPr>
              <w:t>扩初设计模型(扩初图纸）</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施工图模型</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施工深化模型</w:t>
            </w:r>
          </w:p>
        </w:tc>
        <w:tc>
          <w:tcPr>
            <w:tcW w:w="1969"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竣工模型</w:t>
            </w:r>
          </w:p>
        </w:tc>
      </w:tr>
      <w:tr>
        <w:tblPrEx>
          <w:tblCellMar>
            <w:top w:w="0" w:type="dxa"/>
            <w:left w:w="0" w:type="dxa"/>
            <w:bottom w:w="0" w:type="dxa"/>
            <w:right w:w="0" w:type="dxa"/>
          </w:tblCellMar>
        </w:tblPrEx>
        <w:trPr>
          <w:cantSplit/>
          <w:trHeight w:val="454" w:hRule="atLeast"/>
        </w:trPr>
        <w:tc>
          <w:tcPr>
            <w:tcW w:w="1221" w:type="dxa"/>
            <w:vMerge w:val="restart"/>
            <w:tcBorders>
              <w:top w:val="single" w:color="auto" w:sz="4" w:space="0"/>
              <w:left w:val="single" w:color="auto" w:sz="4" w:space="0"/>
              <w:right w:val="single" w:color="auto" w:sz="4" w:space="0"/>
            </w:tcBorders>
            <w:noWrap/>
            <w:vAlign w:val="center"/>
          </w:tcPr>
          <w:p>
            <w:pPr>
              <w:pStyle w:val="480"/>
              <w:spacing w:before="120" w:after="120"/>
              <w:ind w:right="4"/>
              <w:jc w:val="center"/>
              <w:rPr>
                <w:color w:val="auto"/>
                <w:sz w:val="18"/>
                <w:szCs w:val="18"/>
              </w:rPr>
            </w:pPr>
            <w:r>
              <w:rPr>
                <w:rFonts w:hint="eastAsia"/>
                <w:color w:val="auto"/>
                <w:sz w:val="18"/>
                <w:szCs w:val="18"/>
                <w:lang w:eastAsia="zh-CN"/>
              </w:rPr>
              <w:t>结构</w:t>
            </w:r>
          </w:p>
        </w:tc>
        <w:tc>
          <w:tcPr>
            <w:tcW w:w="568"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color w:val="auto"/>
                <w:sz w:val="18"/>
                <w:szCs w:val="18"/>
                <w:lang w:eastAsia="en-US"/>
              </w:rPr>
              <w:t>001</w:t>
            </w:r>
          </w:p>
        </w:tc>
        <w:tc>
          <w:tcPr>
            <w:tcW w:w="1335"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混凝土结构柱</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rPr>
            </w:pPr>
            <w:r>
              <w:rPr>
                <w:rFonts w:cs="宋体"/>
                <w:color w:val="auto"/>
                <w:sz w:val="18"/>
                <w:szCs w:val="18"/>
              </w:rPr>
              <w:t>无模型，成本或其他性能系可按单位楼面面积的某个数值计入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大概尺寸</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rPr>
            </w:pPr>
            <w:r>
              <w:rPr>
                <w:rFonts w:cs="宋体"/>
                <w:color w:val="auto"/>
                <w:sz w:val="18"/>
                <w:szCs w:val="18"/>
              </w:rPr>
              <w:t>材质与类型，精确尺寸</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rPr>
            </w:pPr>
            <w:r>
              <w:rPr>
                <w:rFonts w:cs="宋体"/>
                <w:color w:val="auto"/>
                <w:sz w:val="18"/>
                <w:szCs w:val="18"/>
              </w:rPr>
              <w:t>材质与类型，实际尺寸</w:t>
            </w:r>
          </w:p>
        </w:tc>
        <w:tc>
          <w:tcPr>
            <w:tcW w:w="1969"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实际安装的柱模型</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noWrap/>
            <w:textDirection w:val="tbRl"/>
            <w:vAlign w:val="center"/>
          </w:tcPr>
          <w:p>
            <w:pPr>
              <w:pStyle w:val="480"/>
              <w:spacing w:before="120" w:after="120"/>
              <w:ind w:right="582"/>
              <w:jc w:val="center"/>
              <w:rPr>
                <w:color w:val="auto"/>
                <w:sz w:val="18"/>
                <w:szCs w:val="18"/>
              </w:rPr>
            </w:pPr>
          </w:p>
        </w:tc>
        <w:tc>
          <w:tcPr>
            <w:tcW w:w="568"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color w:val="auto"/>
                <w:sz w:val="18"/>
                <w:szCs w:val="18"/>
                <w:lang w:eastAsia="en-US"/>
              </w:rPr>
              <w:t>002</w:t>
            </w:r>
          </w:p>
        </w:tc>
        <w:tc>
          <w:tcPr>
            <w:tcW w:w="1335"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left="243"/>
              <w:jc w:val="center"/>
              <w:rPr>
                <w:color w:val="auto"/>
                <w:sz w:val="18"/>
                <w:szCs w:val="18"/>
              </w:rPr>
            </w:pPr>
            <w:r>
              <w:rPr>
                <w:color w:val="auto"/>
                <w:sz w:val="18"/>
                <w:szCs w:val="18"/>
              </w:rPr>
              <w:t>混凝土结构梁</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rPr>
            </w:pPr>
            <w:r>
              <w:rPr>
                <w:rFonts w:cs="宋体"/>
                <w:color w:val="auto"/>
                <w:sz w:val="18"/>
                <w:szCs w:val="18"/>
              </w:rPr>
              <w:t>无模型，成本或其他性能系可按单位楼面面积的某个数值计入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大概尺寸</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rPr>
            </w:pPr>
            <w:r>
              <w:rPr>
                <w:rFonts w:cs="宋体"/>
                <w:color w:val="auto"/>
                <w:sz w:val="18"/>
                <w:szCs w:val="18"/>
              </w:rPr>
              <w:t>材质与类型，精确尺寸</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rPr>
            </w:pPr>
            <w:r>
              <w:rPr>
                <w:rFonts w:cs="宋体"/>
                <w:color w:val="auto"/>
                <w:sz w:val="18"/>
                <w:szCs w:val="18"/>
              </w:rPr>
              <w:t>材质与类型，实际尺寸</w:t>
            </w:r>
          </w:p>
        </w:tc>
        <w:tc>
          <w:tcPr>
            <w:tcW w:w="1969"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实际安装的梁模型</w:t>
            </w:r>
          </w:p>
        </w:tc>
      </w:tr>
      <w:tr>
        <w:tblPrEx>
          <w:tblCellMar>
            <w:top w:w="0" w:type="dxa"/>
            <w:left w:w="0" w:type="dxa"/>
            <w:bottom w:w="0" w:type="dxa"/>
            <w:right w:w="0" w:type="dxa"/>
          </w:tblCellMar>
        </w:tblPrEx>
        <w:trPr>
          <w:cantSplit/>
          <w:trHeight w:val="1526" w:hRule="atLeast"/>
        </w:trPr>
        <w:tc>
          <w:tcPr>
            <w:tcW w:w="1221" w:type="dxa"/>
            <w:vMerge w:val="continue"/>
            <w:tcBorders>
              <w:left w:val="single" w:color="auto" w:sz="4" w:space="0"/>
              <w:right w:val="single" w:color="auto" w:sz="4" w:space="0"/>
            </w:tcBorders>
            <w:noWrap/>
            <w:textDirection w:val="tbRl"/>
            <w:vAlign w:val="center"/>
          </w:tcPr>
          <w:p>
            <w:pPr>
              <w:pStyle w:val="480"/>
              <w:spacing w:before="120" w:after="120"/>
              <w:ind w:right="582"/>
              <w:jc w:val="center"/>
              <w:rPr>
                <w:color w:val="auto"/>
                <w:sz w:val="18"/>
                <w:szCs w:val="18"/>
              </w:rPr>
            </w:pPr>
          </w:p>
        </w:tc>
        <w:tc>
          <w:tcPr>
            <w:tcW w:w="568"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color w:val="auto"/>
                <w:sz w:val="18"/>
                <w:szCs w:val="18"/>
                <w:lang w:eastAsia="en-US"/>
              </w:rPr>
              <w:t>003</w:t>
            </w:r>
          </w:p>
        </w:tc>
        <w:tc>
          <w:tcPr>
            <w:tcW w:w="1335"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left="243"/>
              <w:jc w:val="center"/>
              <w:rPr>
                <w:color w:val="auto"/>
                <w:sz w:val="18"/>
                <w:szCs w:val="18"/>
              </w:rPr>
            </w:pPr>
            <w:r>
              <w:rPr>
                <w:color w:val="auto"/>
                <w:sz w:val="18"/>
                <w:szCs w:val="18"/>
              </w:rPr>
              <w:t>预留洞</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rPr>
            </w:pPr>
            <w:r>
              <w:rPr>
                <w:rFonts w:cs="宋体"/>
                <w:color w:val="auto"/>
                <w:sz w:val="18"/>
                <w:szCs w:val="18"/>
              </w:rPr>
              <w:t>无模型，成本或其他性能系可按单位楼面面积的某个数值计入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大概尺寸</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精确尺寸，标高信息</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实际尺寸，标高信息</w:t>
            </w:r>
          </w:p>
        </w:tc>
        <w:tc>
          <w:tcPr>
            <w:tcW w:w="1969"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实际预留洞口</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noWrap/>
            <w:textDirection w:val="tbRl"/>
            <w:vAlign w:val="center"/>
          </w:tcPr>
          <w:p>
            <w:pPr>
              <w:pStyle w:val="480"/>
              <w:spacing w:before="120" w:after="120"/>
              <w:ind w:right="582"/>
              <w:jc w:val="center"/>
              <w:rPr>
                <w:color w:val="auto"/>
                <w:sz w:val="18"/>
                <w:szCs w:val="18"/>
              </w:rPr>
            </w:pPr>
          </w:p>
        </w:tc>
        <w:tc>
          <w:tcPr>
            <w:tcW w:w="568"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color w:val="auto"/>
                <w:sz w:val="18"/>
                <w:szCs w:val="18"/>
                <w:lang w:eastAsia="en-US"/>
              </w:rPr>
              <w:t>004</w:t>
            </w:r>
          </w:p>
        </w:tc>
        <w:tc>
          <w:tcPr>
            <w:tcW w:w="1335"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left="346"/>
              <w:jc w:val="center"/>
              <w:rPr>
                <w:color w:val="auto"/>
                <w:sz w:val="18"/>
                <w:szCs w:val="18"/>
              </w:rPr>
            </w:pPr>
            <w:r>
              <w:rPr>
                <w:color w:val="auto"/>
                <w:sz w:val="18"/>
                <w:szCs w:val="18"/>
              </w:rPr>
              <w:t>剪力墙</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rPr>
            </w:pPr>
            <w:r>
              <w:rPr>
                <w:rFonts w:cs="宋体"/>
                <w:color w:val="auto"/>
                <w:sz w:val="18"/>
                <w:szCs w:val="18"/>
              </w:rPr>
              <w:t>无模型，成本或其他性能系可按单位楼面面积的某个数值计入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大概尺寸</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rPr>
            </w:pPr>
            <w:r>
              <w:rPr>
                <w:rFonts w:cs="宋体"/>
                <w:color w:val="auto"/>
                <w:sz w:val="18"/>
                <w:szCs w:val="18"/>
              </w:rPr>
              <w:t>墙体的类型、精确厚度、尺寸</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rPr>
            </w:pPr>
            <w:r>
              <w:rPr>
                <w:rFonts w:cs="宋体"/>
                <w:color w:val="auto"/>
                <w:sz w:val="18"/>
                <w:szCs w:val="18"/>
              </w:rPr>
              <w:t>墙体的类型、实际厚度、尺寸</w:t>
            </w:r>
          </w:p>
        </w:tc>
        <w:tc>
          <w:tcPr>
            <w:tcW w:w="1969"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实际安装的墙体模型</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noWrap/>
            <w:textDirection w:val="tbRl"/>
            <w:vAlign w:val="center"/>
          </w:tcPr>
          <w:p>
            <w:pPr>
              <w:pStyle w:val="480"/>
              <w:spacing w:before="120" w:after="120"/>
              <w:ind w:right="582"/>
              <w:jc w:val="center"/>
              <w:rPr>
                <w:color w:val="auto"/>
                <w:sz w:val="18"/>
                <w:szCs w:val="18"/>
                <w:lang w:eastAsia="zh-CN"/>
              </w:rPr>
            </w:pPr>
          </w:p>
        </w:tc>
        <w:tc>
          <w:tcPr>
            <w:tcW w:w="568"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color w:val="auto"/>
                <w:sz w:val="18"/>
                <w:szCs w:val="18"/>
                <w:lang w:eastAsia="en-US"/>
              </w:rPr>
              <w:t>005</w:t>
            </w:r>
          </w:p>
        </w:tc>
        <w:tc>
          <w:tcPr>
            <w:tcW w:w="1335"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2"/>
              <w:jc w:val="center"/>
              <w:rPr>
                <w:color w:val="auto"/>
                <w:sz w:val="18"/>
                <w:szCs w:val="18"/>
              </w:rPr>
            </w:pPr>
            <w:r>
              <w:rPr>
                <w:color w:val="auto"/>
                <w:sz w:val="18"/>
                <w:szCs w:val="18"/>
              </w:rPr>
              <w:t>楼梯</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rPr>
            </w:pPr>
            <w:r>
              <w:rPr>
                <w:rFonts w:cs="宋体"/>
                <w:color w:val="auto"/>
                <w:sz w:val="18"/>
                <w:szCs w:val="18"/>
              </w:rPr>
              <w:t>无模型，成本或其他性能系可按单位楼面面积的某个数值计入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rPr>
            </w:pPr>
            <w:r>
              <w:rPr>
                <w:rFonts w:cs="宋体"/>
                <w:color w:val="auto"/>
                <w:sz w:val="18"/>
                <w:szCs w:val="18"/>
              </w:rPr>
              <w:t>楼梯的基本尺寸、形状</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rPr>
            </w:pPr>
            <w:r>
              <w:rPr>
                <w:rFonts w:cs="宋体"/>
                <w:color w:val="auto"/>
                <w:sz w:val="18"/>
                <w:szCs w:val="18"/>
              </w:rPr>
              <w:t>楼梯的类型、精确厚度、具体形状</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rPr>
            </w:pPr>
            <w:r>
              <w:rPr>
                <w:rFonts w:cs="宋体"/>
                <w:color w:val="auto"/>
                <w:sz w:val="18"/>
                <w:szCs w:val="18"/>
              </w:rPr>
              <w:t>楼梯的类型、实际厚度、具体形状</w:t>
            </w:r>
          </w:p>
        </w:tc>
        <w:tc>
          <w:tcPr>
            <w:tcW w:w="1969"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实际安装的楼梯模型</w:t>
            </w:r>
          </w:p>
        </w:tc>
      </w:tr>
      <w:tr>
        <w:tblPrEx>
          <w:tblCellMar>
            <w:top w:w="0" w:type="dxa"/>
            <w:left w:w="0" w:type="dxa"/>
            <w:bottom w:w="0" w:type="dxa"/>
            <w:right w:w="0" w:type="dxa"/>
          </w:tblCellMar>
        </w:tblPrEx>
        <w:trPr>
          <w:cantSplit/>
          <w:trHeight w:val="1524" w:hRule="atLeast"/>
        </w:trPr>
        <w:tc>
          <w:tcPr>
            <w:tcW w:w="1221" w:type="dxa"/>
            <w:vMerge w:val="continue"/>
            <w:tcBorders>
              <w:left w:val="single" w:color="auto" w:sz="4" w:space="0"/>
              <w:right w:val="single" w:color="auto" w:sz="4" w:space="0"/>
            </w:tcBorders>
            <w:noWrap/>
            <w:textDirection w:val="tbRl"/>
            <w:vAlign w:val="center"/>
          </w:tcPr>
          <w:p>
            <w:pPr>
              <w:pStyle w:val="480"/>
              <w:spacing w:before="120" w:after="120"/>
              <w:ind w:right="582"/>
              <w:jc w:val="center"/>
              <w:rPr>
                <w:color w:val="auto"/>
                <w:sz w:val="18"/>
                <w:szCs w:val="18"/>
              </w:rPr>
            </w:pPr>
          </w:p>
        </w:tc>
        <w:tc>
          <w:tcPr>
            <w:tcW w:w="568"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color w:val="auto"/>
                <w:sz w:val="18"/>
                <w:szCs w:val="18"/>
                <w:lang w:eastAsia="en-US"/>
              </w:rPr>
              <w:t>006</w:t>
            </w:r>
          </w:p>
        </w:tc>
        <w:tc>
          <w:tcPr>
            <w:tcW w:w="1335"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2"/>
              <w:jc w:val="center"/>
              <w:rPr>
                <w:color w:val="auto"/>
                <w:sz w:val="18"/>
                <w:szCs w:val="18"/>
              </w:rPr>
            </w:pPr>
            <w:r>
              <w:rPr>
                <w:color w:val="auto"/>
                <w:sz w:val="18"/>
                <w:szCs w:val="18"/>
              </w:rPr>
              <w:t>楼板</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rPr>
            </w:pPr>
            <w:r>
              <w:rPr>
                <w:rFonts w:cs="宋体"/>
                <w:color w:val="auto"/>
                <w:sz w:val="18"/>
                <w:szCs w:val="18"/>
              </w:rPr>
              <w:t>无模型，成本或其他性能系可按单位楼面面积的某个数</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大致厚度</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精确厚度、楼板类型</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实际厚度、楼板类型</w:t>
            </w:r>
          </w:p>
        </w:tc>
        <w:tc>
          <w:tcPr>
            <w:tcW w:w="1969"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实际安装的楼板模型</w:t>
            </w:r>
          </w:p>
        </w:tc>
      </w:tr>
      <w:tr>
        <w:tblPrEx>
          <w:tblCellMar>
            <w:top w:w="0" w:type="dxa"/>
            <w:left w:w="0" w:type="dxa"/>
            <w:bottom w:w="0" w:type="dxa"/>
            <w:right w:w="0" w:type="dxa"/>
          </w:tblCellMar>
        </w:tblPrEx>
        <w:trPr>
          <w:cantSplit/>
          <w:trHeight w:val="1524" w:hRule="atLeast"/>
        </w:trPr>
        <w:tc>
          <w:tcPr>
            <w:tcW w:w="1221" w:type="dxa"/>
            <w:vMerge w:val="continue"/>
            <w:tcBorders>
              <w:left w:val="single" w:color="auto" w:sz="4" w:space="0"/>
              <w:right w:val="single" w:color="auto" w:sz="4" w:space="0"/>
            </w:tcBorders>
            <w:noWrap/>
            <w:textDirection w:val="tbRl"/>
            <w:vAlign w:val="center"/>
          </w:tcPr>
          <w:p>
            <w:pPr>
              <w:pStyle w:val="480"/>
              <w:spacing w:before="120" w:after="120"/>
              <w:ind w:right="582"/>
              <w:jc w:val="center"/>
              <w:rPr>
                <w:color w:val="auto"/>
                <w:sz w:val="18"/>
                <w:szCs w:val="18"/>
              </w:rPr>
            </w:pPr>
          </w:p>
        </w:tc>
        <w:tc>
          <w:tcPr>
            <w:tcW w:w="568"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color w:val="auto"/>
                <w:sz w:val="18"/>
                <w:szCs w:val="18"/>
                <w:lang w:eastAsia="en-US"/>
              </w:rPr>
            </w:pPr>
            <w:r>
              <w:rPr>
                <w:rFonts w:hint="eastAsia"/>
                <w:color w:val="auto"/>
                <w:sz w:val="18"/>
                <w:szCs w:val="18"/>
                <w:lang w:eastAsia="en-US"/>
              </w:rPr>
              <w:t>007</w:t>
            </w:r>
          </w:p>
        </w:tc>
        <w:tc>
          <w:tcPr>
            <w:tcW w:w="1335"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hint="eastAsia" w:cs="宋体"/>
                <w:color w:val="auto"/>
                <w:sz w:val="18"/>
                <w:szCs w:val="18"/>
                <w:lang w:eastAsia="en-US"/>
              </w:rPr>
              <w:t>钢结构</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rPr>
            </w:pPr>
            <w:r>
              <w:rPr>
                <w:rFonts w:cs="宋体"/>
                <w:color w:val="auto"/>
                <w:sz w:val="18"/>
                <w:szCs w:val="18"/>
              </w:rPr>
              <w:t>无模型，成本或其他性能系可按单位楼面面积的某个数值计入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rPr>
            </w:pPr>
            <w:r>
              <w:rPr>
                <w:rFonts w:cs="宋体"/>
                <w:color w:val="auto"/>
                <w:sz w:val="18"/>
                <w:szCs w:val="18"/>
              </w:rPr>
              <w:t>大致形状，尺寸，位置</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rPr>
            </w:pPr>
            <w:r>
              <w:rPr>
                <w:rFonts w:cs="宋体"/>
                <w:color w:val="auto"/>
                <w:sz w:val="18"/>
                <w:szCs w:val="18"/>
              </w:rPr>
              <w:t>精确形状、尺寸、坐标位置</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rPr>
            </w:pPr>
            <w:r>
              <w:rPr>
                <w:rFonts w:cs="宋体"/>
                <w:color w:val="auto"/>
                <w:sz w:val="18"/>
                <w:szCs w:val="18"/>
              </w:rPr>
              <w:t>实际形状、尺寸、坐标位置</w:t>
            </w:r>
          </w:p>
        </w:tc>
        <w:tc>
          <w:tcPr>
            <w:tcW w:w="1969"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实际安装的模型</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noWrap/>
            <w:textDirection w:val="tbRl"/>
            <w:vAlign w:val="center"/>
          </w:tcPr>
          <w:p>
            <w:pPr>
              <w:pStyle w:val="480"/>
              <w:spacing w:before="120" w:after="120"/>
              <w:ind w:right="582"/>
              <w:jc w:val="center"/>
              <w:rPr>
                <w:color w:val="auto"/>
                <w:sz w:val="18"/>
                <w:szCs w:val="18"/>
              </w:rPr>
            </w:pPr>
          </w:p>
        </w:tc>
        <w:tc>
          <w:tcPr>
            <w:tcW w:w="568"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color w:val="auto"/>
                <w:sz w:val="18"/>
                <w:szCs w:val="18"/>
                <w:lang w:eastAsia="en-US"/>
              </w:rPr>
              <w:t>00</w:t>
            </w:r>
            <w:r>
              <w:rPr>
                <w:rFonts w:hint="eastAsia"/>
                <w:color w:val="auto"/>
                <w:sz w:val="18"/>
                <w:szCs w:val="18"/>
                <w:lang w:eastAsia="en-US"/>
              </w:rPr>
              <w:t>8</w:t>
            </w:r>
          </w:p>
        </w:tc>
        <w:tc>
          <w:tcPr>
            <w:tcW w:w="1335"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钢节点连接样式</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rPr>
            </w:pPr>
            <w:r>
              <w:rPr>
                <w:rFonts w:cs="宋体"/>
                <w:color w:val="auto"/>
                <w:sz w:val="18"/>
                <w:szCs w:val="18"/>
              </w:rPr>
              <w:t>无模型，成本或其他性能系可按单位楼面面积的某个数值计入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rPr>
            </w:pPr>
            <w:r>
              <w:rPr>
                <w:rFonts w:cs="宋体"/>
                <w:color w:val="auto"/>
                <w:sz w:val="18"/>
                <w:szCs w:val="18"/>
              </w:rPr>
              <w:t>无模型，成本或其他性能系可按单位楼面面积的某个数值计入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rPr>
            </w:pPr>
            <w:r>
              <w:rPr>
                <w:rFonts w:cs="宋体"/>
                <w:color w:val="auto"/>
                <w:sz w:val="18"/>
                <w:szCs w:val="18"/>
              </w:rPr>
              <w:t>无模型，成本或其他性能系可按单位楼面面积的某个数值计入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rPr>
            </w:pPr>
            <w:r>
              <w:rPr>
                <w:rFonts w:cs="宋体"/>
                <w:color w:val="auto"/>
                <w:sz w:val="18"/>
                <w:szCs w:val="18"/>
              </w:rPr>
              <w:t>无模型，成本或其他性能系可按单位楼面面积的某个数值计入</w:t>
            </w:r>
          </w:p>
        </w:tc>
        <w:tc>
          <w:tcPr>
            <w:tcW w:w="1969"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line="240" w:lineRule="exact"/>
              <w:ind w:right="1"/>
              <w:jc w:val="center"/>
              <w:rPr>
                <w:color w:val="auto"/>
                <w:sz w:val="18"/>
                <w:szCs w:val="18"/>
                <w:lang w:eastAsia="zh-CN"/>
              </w:rPr>
            </w:pPr>
            <w:r>
              <w:rPr>
                <w:color w:val="auto"/>
                <w:sz w:val="18"/>
                <w:szCs w:val="18"/>
                <w:lang w:eastAsia="zh-CN"/>
              </w:rPr>
              <w:t>无模型，成本或其</w:t>
            </w:r>
          </w:p>
          <w:p>
            <w:pPr>
              <w:spacing w:before="120" w:after="120"/>
              <w:ind w:firstLine="360"/>
              <w:jc w:val="center"/>
              <w:rPr>
                <w:rFonts w:cs="宋体"/>
                <w:color w:val="auto"/>
                <w:sz w:val="18"/>
                <w:szCs w:val="18"/>
              </w:rPr>
            </w:pPr>
            <w:r>
              <w:rPr>
                <w:rFonts w:cs="宋体"/>
                <w:color w:val="auto"/>
                <w:sz w:val="18"/>
                <w:szCs w:val="18"/>
              </w:rPr>
              <w:t>他性能系可按单位楼面面积的某个数值计入</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noWrap/>
            <w:textDirection w:val="tbRl"/>
            <w:vAlign w:val="center"/>
          </w:tcPr>
          <w:p>
            <w:pPr>
              <w:pStyle w:val="480"/>
              <w:spacing w:before="120" w:after="120"/>
              <w:ind w:right="582"/>
              <w:jc w:val="center"/>
              <w:rPr>
                <w:color w:val="auto"/>
                <w:sz w:val="18"/>
                <w:szCs w:val="18"/>
                <w:lang w:eastAsia="zh-CN"/>
              </w:rPr>
            </w:pPr>
          </w:p>
        </w:tc>
        <w:tc>
          <w:tcPr>
            <w:tcW w:w="568"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color w:val="auto"/>
                <w:sz w:val="18"/>
                <w:szCs w:val="18"/>
                <w:lang w:eastAsia="en-US"/>
              </w:rPr>
              <w:t>00</w:t>
            </w:r>
            <w:r>
              <w:rPr>
                <w:rFonts w:hint="eastAsia"/>
                <w:color w:val="auto"/>
                <w:sz w:val="18"/>
                <w:szCs w:val="18"/>
                <w:lang w:eastAsia="en-US"/>
              </w:rPr>
              <w:t>9</w:t>
            </w:r>
          </w:p>
        </w:tc>
        <w:tc>
          <w:tcPr>
            <w:tcW w:w="1335"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基坑</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rPr>
            </w:pPr>
            <w:r>
              <w:rPr>
                <w:rFonts w:cs="宋体"/>
                <w:color w:val="auto"/>
                <w:sz w:val="18"/>
                <w:szCs w:val="18"/>
              </w:rPr>
              <w:t>无模型，成本或其他性能系可按单位楼面面积的某个数值计入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rPr>
            </w:pPr>
            <w:r>
              <w:rPr>
                <w:rFonts w:cs="宋体"/>
                <w:color w:val="auto"/>
                <w:sz w:val="18"/>
                <w:szCs w:val="18"/>
              </w:rPr>
              <w:t>大致形状，尺寸，位置</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rPr>
            </w:pPr>
            <w:r>
              <w:rPr>
                <w:rFonts w:cs="宋体"/>
                <w:color w:val="auto"/>
                <w:sz w:val="18"/>
                <w:szCs w:val="18"/>
              </w:rPr>
              <w:t>精确形状、尺寸、坐标位置</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rPr>
            </w:pPr>
            <w:r>
              <w:rPr>
                <w:rFonts w:cs="宋体"/>
                <w:color w:val="auto"/>
                <w:sz w:val="18"/>
                <w:szCs w:val="18"/>
              </w:rPr>
              <w:t>实际形状、尺寸、坐标位置</w:t>
            </w:r>
          </w:p>
        </w:tc>
        <w:tc>
          <w:tcPr>
            <w:tcW w:w="1969"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实际安装的模型</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bottom w:val="single" w:color="auto" w:sz="4" w:space="0"/>
              <w:right w:val="single" w:color="auto" w:sz="4" w:space="0"/>
            </w:tcBorders>
            <w:noWrap/>
            <w:textDirection w:val="tbRl"/>
            <w:vAlign w:val="center"/>
          </w:tcPr>
          <w:p>
            <w:pPr>
              <w:pStyle w:val="480"/>
              <w:spacing w:before="120" w:after="120"/>
              <w:ind w:right="582"/>
              <w:jc w:val="center"/>
              <w:rPr>
                <w:color w:val="auto"/>
                <w:sz w:val="18"/>
                <w:szCs w:val="18"/>
                <w:lang w:eastAsia="zh-CN"/>
              </w:rPr>
            </w:pPr>
          </w:p>
        </w:tc>
        <w:tc>
          <w:tcPr>
            <w:tcW w:w="13580" w:type="dxa"/>
            <w:gridSpan w:val="7"/>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rPr>
            </w:pPr>
            <w:r>
              <w:rPr>
                <w:rFonts w:hint="eastAsia" w:cs="宋体"/>
                <w:color w:val="auto"/>
                <w:sz w:val="18"/>
                <w:szCs w:val="18"/>
              </w:rPr>
              <w:t>注：上述模型精度要求仅作参考，具体精度内容应参考相关合同、行业标准、地方标准的要求。</w:t>
            </w:r>
          </w:p>
        </w:tc>
      </w:tr>
    </w:tbl>
    <w:p>
      <w:pPr>
        <w:spacing w:before="120" w:after="120"/>
        <w:ind w:firstLine="260"/>
        <w:rPr>
          <w:rFonts w:cs="宋体"/>
          <w:color w:val="auto"/>
          <w:sz w:val="13"/>
          <w:szCs w:val="13"/>
        </w:rPr>
        <w:sectPr>
          <w:pgSz w:w="16840" w:h="11910" w:orient="landscape"/>
          <w:pgMar w:top="1080" w:right="900" w:bottom="1140" w:left="920" w:header="0" w:footer="953" w:gutter="0"/>
          <w:cols w:space="720" w:num="1"/>
        </w:sectPr>
      </w:pPr>
    </w:p>
    <w:p>
      <w:pPr>
        <w:spacing w:before="120" w:after="120"/>
        <w:outlineLvl w:val="4"/>
        <w:rPr>
          <w:color w:val="auto"/>
        </w:rPr>
      </w:pPr>
      <w:bookmarkStart w:id="903" w:name="_Toc20332"/>
      <w:bookmarkStart w:id="904" w:name="_Toc21431"/>
      <w:r>
        <w:rPr>
          <w:color w:val="auto"/>
        </w:rPr>
        <w:t>3  暖通专业</w:t>
      </w:r>
      <w:bookmarkEnd w:id="903"/>
      <w:bookmarkEnd w:id="904"/>
    </w:p>
    <w:tbl>
      <w:tblPr>
        <w:tblStyle w:val="55"/>
        <w:tblW w:w="14801" w:type="dxa"/>
        <w:tblInd w:w="111" w:type="dxa"/>
        <w:tblLayout w:type="fixed"/>
        <w:tblCellMar>
          <w:top w:w="0" w:type="dxa"/>
          <w:left w:w="0" w:type="dxa"/>
          <w:bottom w:w="0" w:type="dxa"/>
          <w:right w:w="0" w:type="dxa"/>
        </w:tblCellMar>
      </w:tblPr>
      <w:tblGrid>
        <w:gridCol w:w="1221"/>
        <w:gridCol w:w="568"/>
        <w:gridCol w:w="1335"/>
        <w:gridCol w:w="2427"/>
        <w:gridCol w:w="2427"/>
        <w:gridCol w:w="2427"/>
        <w:gridCol w:w="2427"/>
        <w:gridCol w:w="1969"/>
      </w:tblGrid>
      <w:tr>
        <w:tblPrEx>
          <w:tblCellMar>
            <w:top w:w="0" w:type="dxa"/>
            <w:left w:w="0" w:type="dxa"/>
            <w:bottom w:w="0" w:type="dxa"/>
            <w:right w:w="0" w:type="dxa"/>
          </w:tblCellMar>
        </w:tblPrEx>
        <w:trPr>
          <w:cantSplit/>
          <w:trHeight w:val="454" w:hRule="atLeast"/>
          <w:tblHeader/>
        </w:trPr>
        <w:tc>
          <w:tcPr>
            <w:tcW w:w="1221" w:type="dxa"/>
            <w:vMerge w:val="restart"/>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专业</w:t>
            </w:r>
          </w:p>
        </w:tc>
        <w:tc>
          <w:tcPr>
            <w:tcW w:w="1903" w:type="dxa"/>
            <w:gridSpan w:val="2"/>
            <w:vMerge w:val="restart"/>
            <w:tcBorders>
              <w:top w:val="single" w:color="auto" w:sz="4" w:space="0"/>
              <w:left w:val="single" w:color="auto" w:sz="4" w:space="0"/>
              <w:bottom w:val="single" w:color="auto" w:sz="4" w:space="0"/>
              <w:right w:val="single" w:color="auto" w:sz="4" w:space="0"/>
              <w:tl2br w:val="single" w:color="auto" w:sz="4" w:space="0"/>
            </w:tcBorders>
            <w:noWrap/>
            <w:vAlign w:val="center"/>
          </w:tcPr>
          <w:p>
            <w:pPr>
              <w:spacing w:before="120" w:after="120"/>
              <w:ind w:firstLine="360"/>
              <w:jc w:val="right"/>
              <w:rPr>
                <w:rFonts w:cs="宋体"/>
                <w:color w:val="auto"/>
                <w:sz w:val="18"/>
                <w:szCs w:val="18"/>
                <w:lang w:eastAsia="en-US"/>
              </w:rPr>
            </w:pPr>
            <w:r>
              <w:rPr>
                <w:rFonts w:cs="宋体"/>
                <w:color w:val="auto"/>
                <w:sz w:val="18"/>
                <w:szCs w:val="18"/>
                <w:lang w:eastAsia="en-US"/>
              </w:rPr>
              <w:t>详细等级</w:t>
            </w:r>
          </w:p>
          <w:p>
            <w:pPr>
              <w:spacing w:before="120" w:after="120"/>
              <w:ind w:firstLine="360"/>
              <w:jc w:val="center"/>
              <w:rPr>
                <w:rFonts w:cs="宋体"/>
                <w:color w:val="auto"/>
                <w:sz w:val="18"/>
                <w:szCs w:val="18"/>
                <w:lang w:eastAsia="en-US"/>
              </w:rPr>
            </w:pPr>
          </w:p>
          <w:p>
            <w:pPr>
              <w:spacing w:before="120" w:after="120"/>
              <w:ind w:firstLine="360"/>
              <w:jc w:val="left"/>
              <w:rPr>
                <w:rFonts w:cs="宋体"/>
                <w:color w:val="auto"/>
                <w:sz w:val="18"/>
                <w:szCs w:val="18"/>
                <w:lang w:eastAsia="en-US"/>
              </w:rPr>
            </w:pPr>
            <w:r>
              <w:rPr>
                <w:rFonts w:cs="宋体"/>
                <w:color w:val="auto"/>
                <w:sz w:val="18"/>
                <w:szCs w:val="18"/>
                <w:lang w:eastAsia="en-US"/>
              </w:rPr>
              <w:t>子项</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eastAsia="Times New Roman"/>
                <w:color w:val="auto"/>
                <w:sz w:val="18"/>
                <w:szCs w:val="18"/>
                <w:lang w:eastAsia="en-US"/>
              </w:rPr>
            </w:pPr>
            <w:r>
              <w:rPr>
                <w:rFonts w:cs="宋体"/>
                <w:color w:val="auto"/>
                <w:sz w:val="18"/>
                <w:szCs w:val="18"/>
                <w:lang w:eastAsia="en-US"/>
              </w:rPr>
              <w:t>LOD100</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eastAsia="Times New Roman"/>
                <w:color w:val="auto"/>
                <w:sz w:val="18"/>
                <w:szCs w:val="18"/>
                <w:lang w:eastAsia="en-US"/>
              </w:rPr>
            </w:pPr>
            <w:r>
              <w:rPr>
                <w:rFonts w:cs="宋体"/>
                <w:color w:val="auto"/>
                <w:sz w:val="18"/>
                <w:szCs w:val="18"/>
                <w:lang w:eastAsia="en-US"/>
              </w:rPr>
              <w:t>LOD200</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eastAsia="Times New Roman"/>
                <w:color w:val="auto"/>
                <w:sz w:val="18"/>
                <w:szCs w:val="18"/>
                <w:lang w:eastAsia="en-US"/>
              </w:rPr>
            </w:pPr>
            <w:r>
              <w:rPr>
                <w:color w:val="auto"/>
                <w:sz w:val="18"/>
                <w:szCs w:val="18"/>
                <w:lang w:eastAsia="en-US"/>
              </w:rPr>
              <w:t>LOD300</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eastAsia="Times New Roman"/>
                <w:color w:val="auto"/>
                <w:sz w:val="18"/>
                <w:szCs w:val="18"/>
                <w:lang w:eastAsia="en-US"/>
              </w:rPr>
            </w:pPr>
            <w:r>
              <w:rPr>
                <w:rFonts w:cs="宋体"/>
                <w:color w:val="auto"/>
                <w:sz w:val="18"/>
                <w:szCs w:val="18"/>
                <w:lang w:eastAsia="en-US"/>
              </w:rPr>
              <w:t>LOD400</w:t>
            </w:r>
          </w:p>
        </w:tc>
        <w:tc>
          <w:tcPr>
            <w:tcW w:w="1969"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eastAsia="Times New Roman"/>
                <w:color w:val="auto"/>
                <w:sz w:val="18"/>
                <w:szCs w:val="18"/>
                <w:lang w:eastAsia="en-US"/>
              </w:rPr>
            </w:pPr>
            <w:r>
              <w:rPr>
                <w:rFonts w:cs="宋体"/>
                <w:color w:val="auto"/>
                <w:sz w:val="18"/>
                <w:szCs w:val="18"/>
                <w:lang w:eastAsia="en-US"/>
              </w:rPr>
              <w:t>LOD500</w:t>
            </w:r>
          </w:p>
        </w:tc>
      </w:tr>
      <w:tr>
        <w:tblPrEx>
          <w:tblCellMar>
            <w:top w:w="0" w:type="dxa"/>
            <w:left w:w="0" w:type="dxa"/>
            <w:bottom w:w="0" w:type="dxa"/>
            <w:right w:w="0" w:type="dxa"/>
          </w:tblCellMar>
        </w:tblPrEx>
        <w:trPr>
          <w:cantSplit/>
          <w:trHeight w:val="454" w:hRule="atLeast"/>
          <w:tblHeader/>
        </w:trPr>
        <w:tc>
          <w:tcPr>
            <w:tcW w:w="1221" w:type="dxa"/>
            <w:vMerge w:val="continue"/>
            <w:tcBorders>
              <w:top w:val="single" w:color="auto" w:sz="4" w:space="0"/>
              <w:left w:val="single" w:color="auto" w:sz="4" w:space="0"/>
              <w:bottom w:val="single" w:color="auto" w:sz="4" w:space="0"/>
              <w:right w:val="single" w:color="auto" w:sz="4" w:space="0"/>
            </w:tcBorders>
            <w:noWrap/>
            <w:textDirection w:val="tbRl"/>
            <w:vAlign w:val="center"/>
          </w:tcPr>
          <w:p>
            <w:pPr>
              <w:spacing w:before="120" w:after="120"/>
              <w:ind w:firstLine="360"/>
              <w:jc w:val="center"/>
              <w:rPr>
                <w:color w:val="auto"/>
                <w:sz w:val="18"/>
                <w:szCs w:val="18"/>
                <w:lang w:eastAsia="en-US"/>
              </w:rPr>
            </w:pPr>
          </w:p>
        </w:tc>
        <w:tc>
          <w:tcPr>
            <w:tcW w:w="1903" w:type="dxa"/>
            <w:gridSpan w:val="2"/>
            <w:vMerge w:val="continue"/>
            <w:tcBorders>
              <w:top w:val="single" w:color="auto" w:sz="4" w:space="0"/>
              <w:left w:val="single" w:color="auto" w:sz="4" w:space="0"/>
              <w:bottom w:val="single" w:color="auto" w:sz="4" w:space="0"/>
              <w:right w:val="single" w:color="auto" w:sz="4" w:space="0"/>
              <w:tl2br w:val="single" w:color="auto" w:sz="4" w:space="0"/>
            </w:tcBorders>
            <w:noWrap/>
            <w:vAlign w:val="center"/>
          </w:tcPr>
          <w:p>
            <w:pPr>
              <w:spacing w:before="120" w:after="120"/>
              <w:ind w:firstLine="360"/>
              <w:jc w:val="center"/>
              <w:rPr>
                <w:color w:val="auto"/>
                <w:sz w:val="18"/>
                <w:szCs w:val="18"/>
                <w:lang w:eastAsia="en-US"/>
              </w:rPr>
            </w:pP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方案设计模型</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rPr>
            </w:pPr>
            <w:r>
              <w:rPr>
                <w:rFonts w:cs="宋体"/>
                <w:color w:val="auto"/>
                <w:sz w:val="18"/>
                <w:szCs w:val="18"/>
              </w:rPr>
              <w:t>扩初设计模型(扩初图纸）</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施工图模型</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施工深化模型</w:t>
            </w:r>
          </w:p>
        </w:tc>
        <w:tc>
          <w:tcPr>
            <w:tcW w:w="1969"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竣工模型</w:t>
            </w:r>
          </w:p>
        </w:tc>
      </w:tr>
      <w:tr>
        <w:tblPrEx>
          <w:tblCellMar>
            <w:top w:w="0" w:type="dxa"/>
            <w:left w:w="0" w:type="dxa"/>
            <w:bottom w:w="0" w:type="dxa"/>
            <w:right w:w="0" w:type="dxa"/>
          </w:tblCellMar>
        </w:tblPrEx>
        <w:trPr>
          <w:cantSplit/>
          <w:trHeight w:val="454" w:hRule="atLeast"/>
        </w:trPr>
        <w:tc>
          <w:tcPr>
            <w:tcW w:w="1221" w:type="dxa"/>
            <w:vMerge w:val="restart"/>
            <w:tcBorders>
              <w:top w:val="single" w:color="auto" w:sz="4" w:space="0"/>
              <w:left w:val="single" w:color="auto" w:sz="4" w:space="0"/>
              <w:right w:val="single" w:color="auto" w:sz="4" w:space="0"/>
            </w:tcBorders>
            <w:noWrap/>
            <w:vAlign w:val="center"/>
          </w:tcPr>
          <w:p>
            <w:pPr>
              <w:pStyle w:val="480"/>
              <w:spacing w:before="120" w:after="120"/>
              <w:ind w:right="4"/>
              <w:jc w:val="center"/>
              <w:rPr>
                <w:color w:val="auto"/>
                <w:sz w:val="18"/>
                <w:szCs w:val="18"/>
              </w:rPr>
            </w:pPr>
            <w:r>
              <w:rPr>
                <w:rFonts w:hint="eastAsia"/>
                <w:color w:val="auto"/>
                <w:sz w:val="18"/>
                <w:szCs w:val="18"/>
                <w:lang w:eastAsia="zh-CN"/>
              </w:rPr>
              <w:t>暖通</w:t>
            </w:r>
          </w:p>
        </w:tc>
        <w:tc>
          <w:tcPr>
            <w:tcW w:w="568"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rPr>
            </w:pPr>
            <w:r>
              <w:rPr>
                <w:color w:val="auto"/>
                <w:sz w:val="18"/>
                <w:szCs w:val="18"/>
              </w:rPr>
              <w:t>001</w:t>
            </w:r>
          </w:p>
        </w:tc>
        <w:tc>
          <w:tcPr>
            <w:tcW w:w="1335"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rPr>
            </w:pPr>
            <w:r>
              <w:rPr>
                <w:color w:val="auto"/>
                <w:sz w:val="18"/>
                <w:szCs w:val="18"/>
              </w:rPr>
              <w:t>冷热源设备</w:t>
            </w:r>
          </w:p>
        </w:tc>
        <w:tc>
          <w:tcPr>
            <w:tcW w:w="2427"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line="239" w:lineRule="exact"/>
              <w:ind w:left="142"/>
              <w:jc w:val="center"/>
              <w:rPr>
                <w:color w:val="auto"/>
                <w:sz w:val="18"/>
                <w:szCs w:val="18"/>
                <w:lang w:eastAsia="zh-CN"/>
              </w:rPr>
            </w:pPr>
            <w:r>
              <w:rPr>
                <w:color w:val="auto"/>
                <w:sz w:val="18"/>
                <w:szCs w:val="18"/>
                <w:lang w:eastAsia="zh-CN"/>
              </w:rPr>
              <w:t>无模型，成本或其他性能系可按单位楼面面积的某个数值计入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lang w:eastAsia="zh-CN"/>
              </w:rPr>
            </w:pPr>
            <w:r>
              <w:rPr>
                <w:color w:val="auto"/>
                <w:sz w:val="18"/>
                <w:szCs w:val="18"/>
                <w:lang w:eastAsia="zh-CN"/>
              </w:rPr>
              <w:t>类似形状、大概尺寸、位置、用途</w:t>
            </w:r>
          </w:p>
        </w:tc>
        <w:tc>
          <w:tcPr>
            <w:tcW w:w="2427"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lang w:eastAsia="zh-CN"/>
              </w:rPr>
            </w:pPr>
            <w:r>
              <w:rPr>
                <w:color w:val="auto"/>
                <w:sz w:val="18"/>
                <w:szCs w:val="18"/>
                <w:lang w:eastAsia="zh-CN"/>
              </w:rPr>
              <w:t>类似形状、大概尺寸、位置、用途</w:t>
            </w:r>
          </w:p>
        </w:tc>
        <w:tc>
          <w:tcPr>
            <w:tcW w:w="2427"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lang w:eastAsia="zh-CN"/>
              </w:rPr>
            </w:pPr>
            <w:r>
              <w:rPr>
                <w:color w:val="auto"/>
                <w:sz w:val="18"/>
                <w:szCs w:val="18"/>
                <w:lang w:eastAsia="zh-CN"/>
              </w:rPr>
              <w:t>具体形状、精确尺寸、设备编号、位置、用途</w:t>
            </w:r>
          </w:p>
        </w:tc>
        <w:tc>
          <w:tcPr>
            <w:tcW w:w="1969"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line="239" w:lineRule="exact"/>
              <w:ind w:left="121"/>
              <w:jc w:val="center"/>
              <w:rPr>
                <w:color w:val="auto"/>
                <w:sz w:val="18"/>
                <w:szCs w:val="18"/>
                <w:lang w:eastAsia="zh-CN"/>
              </w:rPr>
            </w:pPr>
            <w:r>
              <w:rPr>
                <w:color w:val="auto"/>
                <w:sz w:val="18"/>
                <w:szCs w:val="18"/>
                <w:lang w:eastAsia="zh-CN"/>
              </w:rPr>
              <w:t>设备型号、精确尺寸、编号、位置、用途</w:t>
            </w:r>
          </w:p>
        </w:tc>
      </w:tr>
      <w:tr>
        <w:trPr>
          <w:cantSplit/>
          <w:trHeight w:val="454" w:hRule="atLeast"/>
        </w:trPr>
        <w:tc>
          <w:tcPr>
            <w:tcW w:w="1221" w:type="dxa"/>
            <w:vMerge w:val="continue"/>
            <w:tcBorders>
              <w:left w:val="single" w:color="auto" w:sz="4" w:space="0"/>
              <w:right w:val="single" w:color="auto" w:sz="4" w:space="0"/>
            </w:tcBorders>
            <w:noWrap/>
            <w:textDirection w:val="tbRl"/>
            <w:vAlign w:val="center"/>
          </w:tcPr>
          <w:p>
            <w:pPr>
              <w:pStyle w:val="480"/>
              <w:spacing w:before="120" w:after="120"/>
              <w:ind w:right="582"/>
              <w:jc w:val="center"/>
              <w:rPr>
                <w:color w:val="auto"/>
                <w:sz w:val="18"/>
                <w:szCs w:val="18"/>
                <w:lang w:eastAsia="zh-CN"/>
              </w:rPr>
            </w:pPr>
          </w:p>
        </w:tc>
        <w:tc>
          <w:tcPr>
            <w:tcW w:w="568"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rPr>
            </w:pPr>
            <w:r>
              <w:rPr>
                <w:color w:val="auto"/>
                <w:sz w:val="18"/>
                <w:szCs w:val="18"/>
              </w:rPr>
              <w:t>002</w:t>
            </w:r>
          </w:p>
        </w:tc>
        <w:tc>
          <w:tcPr>
            <w:tcW w:w="1335"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rPr>
            </w:pPr>
            <w:r>
              <w:rPr>
                <w:color w:val="auto"/>
                <w:sz w:val="18"/>
                <w:szCs w:val="18"/>
              </w:rPr>
              <w:t>空调设备</w:t>
            </w:r>
          </w:p>
        </w:tc>
        <w:tc>
          <w:tcPr>
            <w:tcW w:w="2427"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lang w:eastAsia="zh-CN"/>
              </w:rPr>
            </w:pPr>
            <w:r>
              <w:rPr>
                <w:color w:val="auto"/>
                <w:sz w:val="18"/>
                <w:szCs w:val="18"/>
                <w:lang w:eastAsia="zh-CN"/>
              </w:rPr>
              <w:t>无模型，成本或其他性能系可按单位楼面面积的某个数值计入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lang w:eastAsia="zh-CN"/>
              </w:rPr>
            </w:pPr>
            <w:r>
              <w:rPr>
                <w:color w:val="auto"/>
                <w:sz w:val="18"/>
                <w:szCs w:val="18"/>
                <w:lang w:eastAsia="zh-CN"/>
              </w:rPr>
              <w:t>类似形状、大概尺寸、位置、用途</w:t>
            </w:r>
          </w:p>
        </w:tc>
        <w:tc>
          <w:tcPr>
            <w:tcW w:w="2427"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lang w:eastAsia="zh-CN"/>
              </w:rPr>
            </w:pPr>
            <w:r>
              <w:rPr>
                <w:color w:val="auto"/>
                <w:sz w:val="18"/>
                <w:szCs w:val="18"/>
                <w:lang w:eastAsia="zh-CN"/>
              </w:rPr>
              <w:t>类似形状、大概尺寸、位置、用途</w:t>
            </w:r>
          </w:p>
        </w:tc>
        <w:tc>
          <w:tcPr>
            <w:tcW w:w="2427"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lang w:eastAsia="zh-CN"/>
              </w:rPr>
            </w:pPr>
            <w:r>
              <w:rPr>
                <w:color w:val="auto"/>
                <w:sz w:val="18"/>
                <w:szCs w:val="18"/>
                <w:lang w:eastAsia="zh-CN"/>
              </w:rPr>
              <w:t>具体形状、精确尺寸、设备编号、位置、用途</w:t>
            </w:r>
          </w:p>
        </w:tc>
        <w:tc>
          <w:tcPr>
            <w:tcW w:w="1969"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line="239" w:lineRule="exact"/>
              <w:ind w:left="121"/>
              <w:jc w:val="center"/>
              <w:rPr>
                <w:color w:val="auto"/>
                <w:sz w:val="18"/>
                <w:szCs w:val="18"/>
                <w:lang w:eastAsia="zh-CN"/>
              </w:rPr>
            </w:pPr>
            <w:r>
              <w:rPr>
                <w:color w:val="auto"/>
                <w:sz w:val="18"/>
                <w:szCs w:val="18"/>
                <w:lang w:eastAsia="zh-CN"/>
              </w:rPr>
              <w:t>设备型号、精确尺寸、编号、位置、用途</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noWrap/>
            <w:textDirection w:val="tbRl"/>
            <w:vAlign w:val="center"/>
          </w:tcPr>
          <w:p>
            <w:pPr>
              <w:pStyle w:val="480"/>
              <w:spacing w:before="120" w:after="120"/>
              <w:ind w:right="582"/>
              <w:jc w:val="center"/>
              <w:rPr>
                <w:color w:val="auto"/>
                <w:sz w:val="18"/>
                <w:szCs w:val="18"/>
                <w:lang w:eastAsia="zh-CN"/>
              </w:rPr>
            </w:pPr>
          </w:p>
        </w:tc>
        <w:tc>
          <w:tcPr>
            <w:tcW w:w="568"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rPr>
            </w:pPr>
            <w:r>
              <w:rPr>
                <w:color w:val="auto"/>
                <w:sz w:val="18"/>
                <w:szCs w:val="18"/>
              </w:rPr>
              <w:t>003</w:t>
            </w:r>
          </w:p>
        </w:tc>
        <w:tc>
          <w:tcPr>
            <w:tcW w:w="1335"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rPr>
            </w:pPr>
            <w:r>
              <w:rPr>
                <w:color w:val="auto"/>
                <w:sz w:val="18"/>
                <w:szCs w:val="18"/>
              </w:rPr>
              <w:t>风机</w:t>
            </w:r>
          </w:p>
        </w:tc>
        <w:tc>
          <w:tcPr>
            <w:tcW w:w="2427"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lang w:eastAsia="zh-CN"/>
              </w:rPr>
            </w:pPr>
            <w:r>
              <w:rPr>
                <w:color w:val="auto"/>
                <w:sz w:val="18"/>
                <w:szCs w:val="18"/>
                <w:lang w:eastAsia="zh-CN"/>
              </w:rPr>
              <w:t>无模型，成本或其他性能系可按单位楼面面积的某个数值计入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lang w:eastAsia="zh-CN"/>
              </w:rPr>
            </w:pPr>
            <w:r>
              <w:rPr>
                <w:color w:val="auto"/>
                <w:sz w:val="18"/>
                <w:szCs w:val="18"/>
                <w:lang w:eastAsia="zh-CN"/>
              </w:rPr>
              <w:t>类似形状、大概尺寸、位置、用途</w:t>
            </w:r>
          </w:p>
        </w:tc>
        <w:tc>
          <w:tcPr>
            <w:tcW w:w="2427"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lang w:eastAsia="zh-CN"/>
              </w:rPr>
            </w:pPr>
            <w:r>
              <w:rPr>
                <w:color w:val="auto"/>
                <w:sz w:val="18"/>
                <w:szCs w:val="18"/>
                <w:lang w:eastAsia="zh-CN"/>
              </w:rPr>
              <w:t>类似形状、大概尺寸、位置、用途</w:t>
            </w:r>
          </w:p>
        </w:tc>
        <w:tc>
          <w:tcPr>
            <w:tcW w:w="2427"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lang w:eastAsia="zh-CN"/>
              </w:rPr>
            </w:pPr>
            <w:r>
              <w:rPr>
                <w:color w:val="auto"/>
                <w:sz w:val="18"/>
                <w:szCs w:val="18"/>
                <w:lang w:eastAsia="zh-CN"/>
              </w:rPr>
              <w:t>具体形状、精确尺寸、设备编号、位置、用途</w:t>
            </w:r>
          </w:p>
        </w:tc>
        <w:tc>
          <w:tcPr>
            <w:tcW w:w="1969"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line="239" w:lineRule="exact"/>
              <w:ind w:left="121"/>
              <w:jc w:val="center"/>
              <w:rPr>
                <w:color w:val="auto"/>
                <w:sz w:val="18"/>
                <w:szCs w:val="18"/>
                <w:lang w:eastAsia="zh-CN"/>
              </w:rPr>
            </w:pPr>
            <w:r>
              <w:rPr>
                <w:color w:val="auto"/>
                <w:sz w:val="18"/>
                <w:szCs w:val="18"/>
                <w:lang w:eastAsia="zh-CN"/>
              </w:rPr>
              <w:t>设备型号、精确尺寸、编号、位置、用途</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noWrap/>
            <w:textDirection w:val="tbRl"/>
            <w:vAlign w:val="center"/>
          </w:tcPr>
          <w:p>
            <w:pPr>
              <w:pStyle w:val="480"/>
              <w:spacing w:before="120" w:after="120"/>
              <w:ind w:right="582"/>
              <w:jc w:val="center"/>
              <w:rPr>
                <w:color w:val="auto"/>
                <w:sz w:val="18"/>
                <w:szCs w:val="18"/>
                <w:lang w:eastAsia="zh-CN"/>
              </w:rPr>
            </w:pPr>
          </w:p>
        </w:tc>
        <w:tc>
          <w:tcPr>
            <w:tcW w:w="568"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004</w:t>
            </w:r>
          </w:p>
        </w:tc>
        <w:tc>
          <w:tcPr>
            <w:tcW w:w="1335"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left="346" w:right="4"/>
              <w:jc w:val="center"/>
              <w:rPr>
                <w:color w:val="auto"/>
                <w:sz w:val="18"/>
                <w:szCs w:val="18"/>
              </w:rPr>
            </w:pPr>
            <w:r>
              <w:rPr>
                <w:color w:val="auto"/>
                <w:sz w:val="18"/>
                <w:szCs w:val="18"/>
              </w:rPr>
              <w:t>风机盘管</w:t>
            </w:r>
          </w:p>
        </w:tc>
        <w:tc>
          <w:tcPr>
            <w:tcW w:w="2427"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line="238" w:lineRule="exact"/>
              <w:ind w:left="142" w:right="4"/>
              <w:jc w:val="center"/>
              <w:rPr>
                <w:color w:val="auto"/>
                <w:sz w:val="18"/>
                <w:szCs w:val="18"/>
                <w:lang w:eastAsia="zh-CN"/>
              </w:rPr>
            </w:pPr>
            <w:r>
              <w:rPr>
                <w:color w:val="auto"/>
                <w:sz w:val="18"/>
                <w:szCs w:val="18"/>
                <w:lang w:eastAsia="zh-CN"/>
              </w:rPr>
              <w:t>无模型，成本或其他性能系可按单位楼面面积的某个数值计入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类似形状、大概尺寸、位置、用途</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类似形状、大概尺寸、位置、用途</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具体形状、精确尺寸、设备编号、位置、用途</w:t>
            </w:r>
          </w:p>
        </w:tc>
        <w:tc>
          <w:tcPr>
            <w:tcW w:w="1969"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line="239" w:lineRule="exact"/>
              <w:ind w:left="121"/>
              <w:jc w:val="center"/>
              <w:rPr>
                <w:color w:val="auto"/>
                <w:sz w:val="18"/>
                <w:szCs w:val="18"/>
                <w:lang w:eastAsia="zh-CN"/>
              </w:rPr>
            </w:pPr>
            <w:r>
              <w:rPr>
                <w:color w:val="auto"/>
                <w:sz w:val="18"/>
                <w:szCs w:val="18"/>
                <w:lang w:eastAsia="zh-CN"/>
              </w:rPr>
              <w:t>设备型号、精确尺寸、编号、位置、用途</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noWrap/>
            <w:textDirection w:val="tbRl"/>
            <w:vAlign w:val="center"/>
          </w:tcPr>
          <w:p>
            <w:pPr>
              <w:pStyle w:val="480"/>
              <w:spacing w:before="120" w:after="120"/>
              <w:ind w:right="582"/>
              <w:jc w:val="center"/>
              <w:rPr>
                <w:color w:val="auto"/>
                <w:sz w:val="18"/>
                <w:szCs w:val="18"/>
                <w:lang w:eastAsia="zh-CN"/>
              </w:rPr>
            </w:pPr>
          </w:p>
        </w:tc>
        <w:tc>
          <w:tcPr>
            <w:tcW w:w="568"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005</w:t>
            </w:r>
          </w:p>
        </w:tc>
        <w:tc>
          <w:tcPr>
            <w:tcW w:w="1335"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rPr>
            </w:pPr>
            <w:r>
              <w:rPr>
                <w:color w:val="auto"/>
                <w:sz w:val="18"/>
                <w:szCs w:val="18"/>
              </w:rPr>
              <w:t>新风风管</w:t>
            </w:r>
          </w:p>
        </w:tc>
        <w:tc>
          <w:tcPr>
            <w:tcW w:w="2427"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line="239" w:lineRule="exact"/>
              <w:ind w:left="142" w:right="4"/>
              <w:jc w:val="center"/>
              <w:rPr>
                <w:color w:val="auto"/>
                <w:sz w:val="18"/>
                <w:szCs w:val="18"/>
                <w:lang w:eastAsia="zh-CN"/>
              </w:rPr>
            </w:pPr>
            <w:r>
              <w:rPr>
                <w:color w:val="auto"/>
                <w:sz w:val="18"/>
                <w:szCs w:val="18"/>
                <w:lang w:eastAsia="zh-CN"/>
              </w:rPr>
              <w:t>无模型，成本或其他性能系可按单位楼面面积的某个数值计入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大概尺寸</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具有精确尺寸、定位、管材</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具有实际尺寸、位置、管材</w:t>
            </w:r>
          </w:p>
        </w:tc>
        <w:tc>
          <w:tcPr>
            <w:tcW w:w="1969"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line="239" w:lineRule="exact"/>
              <w:ind w:left="121"/>
              <w:jc w:val="center"/>
              <w:rPr>
                <w:color w:val="auto"/>
                <w:sz w:val="18"/>
                <w:szCs w:val="18"/>
                <w:lang w:eastAsia="zh-CN"/>
              </w:rPr>
            </w:pPr>
            <w:r>
              <w:rPr>
                <w:color w:val="auto"/>
                <w:sz w:val="18"/>
                <w:szCs w:val="18"/>
                <w:lang w:eastAsia="zh-CN"/>
              </w:rPr>
              <w:t>精确尺寸，管材，连接件最终尺寸</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noWrap/>
            <w:textDirection w:val="tbRl"/>
            <w:vAlign w:val="center"/>
          </w:tcPr>
          <w:p>
            <w:pPr>
              <w:pStyle w:val="480"/>
              <w:spacing w:before="120" w:after="120"/>
              <w:ind w:right="582"/>
              <w:jc w:val="center"/>
              <w:rPr>
                <w:color w:val="auto"/>
                <w:sz w:val="18"/>
                <w:szCs w:val="18"/>
                <w:lang w:eastAsia="zh-CN"/>
              </w:rPr>
            </w:pPr>
          </w:p>
        </w:tc>
        <w:tc>
          <w:tcPr>
            <w:tcW w:w="568"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006</w:t>
            </w:r>
          </w:p>
        </w:tc>
        <w:tc>
          <w:tcPr>
            <w:tcW w:w="1335"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rPr>
            </w:pPr>
            <w:r>
              <w:rPr>
                <w:color w:val="auto"/>
                <w:sz w:val="18"/>
                <w:szCs w:val="18"/>
              </w:rPr>
              <w:t>回风风管</w:t>
            </w:r>
          </w:p>
        </w:tc>
        <w:tc>
          <w:tcPr>
            <w:tcW w:w="2427"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line="239" w:lineRule="exact"/>
              <w:ind w:left="142" w:right="4"/>
              <w:jc w:val="center"/>
              <w:rPr>
                <w:color w:val="auto"/>
                <w:sz w:val="18"/>
                <w:szCs w:val="18"/>
                <w:lang w:eastAsia="zh-CN"/>
              </w:rPr>
            </w:pPr>
            <w:r>
              <w:rPr>
                <w:color w:val="auto"/>
                <w:sz w:val="18"/>
                <w:szCs w:val="18"/>
                <w:lang w:eastAsia="zh-CN"/>
              </w:rPr>
              <w:t>无模型，成本或其他性</w:t>
            </w:r>
          </w:p>
          <w:p>
            <w:pPr>
              <w:spacing w:before="120" w:after="120"/>
              <w:ind w:right="4" w:firstLine="360"/>
              <w:jc w:val="center"/>
              <w:rPr>
                <w:rFonts w:cs="宋体"/>
                <w:color w:val="auto"/>
                <w:sz w:val="18"/>
                <w:szCs w:val="18"/>
              </w:rPr>
            </w:pPr>
            <w:r>
              <w:rPr>
                <w:rFonts w:cs="宋体"/>
                <w:color w:val="auto"/>
                <w:sz w:val="18"/>
                <w:szCs w:val="18"/>
              </w:rPr>
              <w:t>能系可按单位楼面面积的某个数值计入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大概尺寸</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具有精确尺寸、定位、管材</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具有实际尺寸、位置、管材</w:t>
            </w:r>
          </w:p>
        </w:tc>
        <w:tc>
          <w:tcPr>
            <w:tcW w:w="1969"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line="239" w:lineRule="exact"/>
              <w:ind w:left="121"/>
              <w:jc w:val="center"/>
              <w:rPr>
                <w:color w:val="auto"/>
                <w:sz w:val="18"/>
                <w:szCs w:val="18"/>
                <w:lang w:eastAsia="zh-CN"/>
              </w:rPr>
            </w:pPr>
            <w:r>
              <w:rPr>
                <w:color w:val="auto"/>
                <w:sz w:val="18"/>
                <w:szCs w:val="18"/>
                <w:lang w:eastAsia="zh-CN"/>
              </w:rPr>
              <w:t>精确尺寸，管材，连接件最终尺寸</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noWrap/>
            <w:textDirection w:val="tbRl"/>
            <w:vAlign w:val="center"/>
          </w:tcPr>
          <w:p>
            <w:pPr>
              <w:pStyle w:val="480"/>
              <w:spacing w:before="120" w:after="120"/>
              <w:ind w:right="582"/>
              <w:jc w:val="center"/>
              <w:rPr>
                <w:color w:val="auto"/>
                <w:sz w:val="18"/>
                <w:szCs w:val="18"/>
                <w:lang w:eastAsia="zh-CN"/>
              </w:rPr>
            </w:pPr>
          </w:p>
        </w:tc>
        <w:tc>
          <w:tcPr>
            <w:tcW w:w="568"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007</w:t>
            </w:r>
          </w:p>
        </w:tc>
        <w:tc>
          <w:tcPr>
            <w:tcW w:w="1335"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排风排烟风管</w:t>
            </w:r>
          </w:p>
        </w:tc>
        <w:tc>
          <w:tcPr>
            <w:tcW w:w="2427"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line="240" w:lineRule="exact"/>
              <w:ind w:left="142" w:right="4"/>
              <w:jc w:val="center"/>
              <w:rPr>
                <w:color w:val="auto"/>
                <w:sz w:val="18"/>
                <w:szCs w:val="18"/>
                <w:lang w:eastAsia="zh-CN"/>
              </w:rPr>
            </w:pPr>
            <w:r>
              <w:rPr>
                <w:color w:val="auto"/>
                <w:sz w:val="18"/>
                <w:szCs w:val="18"/>
                <w:lang w:eastAsia="zh-CN"/>
              </w:rPr>
              <w:t>无模型，成本或其他性能系可按单位楼面面积的某个数值计入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大概尺寸</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具有精确尺寸、定位、管材</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具有实际尺寸、位置、管材</w:t>
            </w:r>
          </w:p>
        </w:tc>
        <w:tc>
          <w:tcPr>
            <w:tcW w:w="1969"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line="239" w:lineRule="exact"/>
              <w:ind w:left="121"/>
              <w:jc w:val="center"/>
              <w:rPr>
                <w:color w:val="auto"/>
                <w:sz w:val="18"/>
                <w:szCs w:val="18"/>
                <w:lang w:eastAsia="zh-CN"/>
              </w:rPr>
            </w:pPr>
            <w:r>
              <w:rPr>
                <w:color w:val="auto"/>
                <w:sz w:val="18"/>
                <w:szCs w:val="18"/>
                <w:lang w:eastAsia="zh-CN"/>
              </w:rPr>
              <w:t>精确尺寸，管材，连接件最终尺寸</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noWrap/>
            <w:textDirection w:val="tbRl"/>
            <w:vAlign w:val="center"/>
          </w:tcPr>
          <w:p>
            <w:pPr>
              <w:pStyle w:val="480"/>
              <w:spacing w:before="120" w:after="120"/>
              <w:ind w:right="582"/>
              <w:jc w:val="center"/>
              <w:rPr>
                <w:color w:val="auto"/>
                <w:sz w:val="18"/>
                <w:szCs w:val="18"/>
                <w:lang w:eastAsia="zh-CN"/>
              </w:rPr>
            </w:pPr>
          </w:p>
        </w:tc>
        <w:tc>
          <w:tcPr>
            <w:tcW w:w="568"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008</w:t>
            </w:r>
          </w:p>
        </w:tc>
        <w:tc>
          <w:tcPr>
            <w:tcW w:w="1335"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冷热媒水管</w:t>
            </w:r>
          </w:p>
        </w:tc>
        <w:tc>
          <w:tcPr>
            <w:tcW w:w="2427"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line="239" w:lineRule="exact"/>
              <w:ind w:left="142" w:right="4"/>
              <w:jc w:val="center"/>
              <w:rPr>
                <w:color w:val="auto"/>
                <w:sz w:val="18"/>
                <w:szCs w:val="18"/>
                <w:lang w:eastAsia="zh-CN"/>
              </w:rPr>
            </w:pPr>
            <w:r>
              <w:rPr>
                <w:color w:val="auto"/>
                <w:sz w:val="18"/>
                <w:szCs w:val="18"/>
                <w:lang w:eastAsia="zh-CN"/>
              </w:rPr>
              <w:t>无模型，成本或其他性能系可按单位楼面面积的某个数值计入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大概尺寸</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具有精确尺寸、定位、管材</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具有实际尺寸、位置、管材</w:t>
            </w:r>
          </w:p>
        </w:tc>
        <w:tc>
          <w:tcPr>
            <w:tcW w:w="1969"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line="239" w:lineRule="exact"/>
              <w:ind w:left="121"/>
              <w:jc w:val="center"/>
              <w:rPr>
                <w:color w:val="auto"/>
                <w:sz w:val="18"/>
                <w:szCs w:val="18"/>
                <w:lang w:eastAsia="zh-CN"/>
              </w:rPr>
            </w:pPr>
            <w:r>
              <w:rPr>
                <w:color w:val="auto"/>
                <w:sz w:val="18"/>
                <w:szCs w:val="18"/>
                <w:lang w:eastAsia="zh-CN"/>
              </w:rPr>
              <w:t>精确尺寸，管材，连接件最终尺寸</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noWrap/>
            <w:textDirection w:val="tbRl"/>
            <w:vAlign w:val="center"/>
          </w:tcPr>
          <w:p>
            <w:pPr>
              <w:pStyle w:val="480"/>
              <w:spacing w:before="120" w:after="120"/>
              <w:ind w:right="582"/>
              <w:jc w:val="center"/>
              <w:rPr>
                <w:color w:val="auto"/>
                <w:sz w:val="18"/>
                <w:szCs w:val="18"/>
                <w:lang w:eastAsia="zh-CN"/>
              </w:rPr>
            </w:pPr>
          </w:p>
        </w:tc>
        <w:tc>
          <w:tcPr>
            <w:tcW w:w="568"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009</w:t>
            </w:r>
          </w:p>
        </w:tc>
        <w:tc>
          <w:tcPr>
            <w:tcW w:w="1335"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水泵</w:t>
            </w:r>
          </w:p>
        </w:tc>
        <w:tc>
          <w:tcPr>
            <w:tcW w:w="2427"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line="240" w:lineRule="exact"/>
              <w:ind w:left="142" w:right="4"/>
              <w:jc w:val="center"/>
              <w:rPr>
                <w:color w:val="auto"/>
                <w:sz w:val="18"/>
                <w:szCs w:val="18"/>
                <w:lang w:eastAsia="zh-CN"/>
              </w:rPr>
            </w:pPr>
            <w:r>
              <w:rPr>
                <w:color w:val="auto"/>
                <w:sz w:val="18"/>
                <w:szCs w:val="18"/>
                <w:lang w:eastAsia="zh-CN"/>
              </w:rPr>
              <w:t>无模型，成本或其他性能系可按单位楼面面积的某个数值计入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类似形状、大概尺寸、位置、用途</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类似形状、大概尺寸、位置、用途</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具体形状、精确尺寸、设备编号、位置、用途</w:t>
            </w:r>
          </w:p>
        </w:tc>
        <w:tc>
          <w:tcPr>
            <w:tcW w:w="1969"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line="240" w:lineRule="exact"/>
              <w:ind w:left="121" w:right="4"/>
              <w:jc w:val="center"/>
              <w:rPr>
                <w:color w:val="auto"/>
                <w:sz w:val="18"/>
                <w:szCs w:val="18"/>
                <w:lang w:eastAsia="zh-CN"/>
              </w:rPr>
            </w:pPr>
            <w:r>
              <w:rPr>
                <w:color w:val="auto"/>
                <w:sz w:val="18"/>
                <w:szCs w:val="18"/>
                <w:lang w:eastAsia="zh-CN"/>
              </w:rPr>
              <w:t>设备型号、精确尺寸、编号、位置、用途</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noWrap/>
            <w:textDirection w:val="tbRl"/>
            <w:vAlign w:val="center"/>
          </w:tcPr>
          <w:p>
            <w:pPr>
              <w:pStyle w:val="480"/>
              <w:spacing w:before="120" w:after="120"/>
              <w:ind w:right="582"/>
              <w:jc w:val="center"/>
              <w:rPr>
                <w:color w:val="auto"/>
                <w:sz w:val="18"/>
                <w:szCs w:val="18"/>
                <w:lang w:eastAsia="zh-CN"/>
              </w:rPr>
            </w:pPr>
          </w:p>
        </w:tc>
        <w:tc>
          <w:tcPr>
            <w:tcW w:w="568"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color w:val="auto"/>
                <w:sz w:val="18"/>
                <w:szCs w:val="18"/>
                <w:lang w:eastAsia="en-US"/>
              </w:rPr>
              <w:t>010</w:t>
            </w:r>
          </w:p>
        </w:tc>
        <w:tc>
          <w:tcPr>
            <w:tcW w:w="1335"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排烟阀、防火阀</w:t>
            </w:r>
          </w:p>
        </w:tc>
        <w:tc>
          <w:tcPr>
            <w:tcW w:w="2427"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line="239" w:lineRule="exact"/>
              <w:ind w:left="158" w:hanging="56"/>
              <w:jc w:val="center"/>
              <w:rPr>
                <w:color w:val="auto"/>
                <w:sz w:val="18"/>
                <w:szCs w:val="18"/>
                <w:lang w:eastAsia="zh-CN"/>
              </w:rPr>
            </w:pPr>
            <w:r>
              <w:rPr>
                <w:color w:val="auto"/>
                <w:spacing w:val="-9"/>
                <w:sz w:val="18"/>
                <w:szCs w:val="18"/>
                <w:lang w:eastAsia="zh-CN"/>
              </w:rPr>
              <w:t>无模型，成本或其他性能</w:t>
            </w:r>
            <w:r>
              <w:rPr>
                <w:color w:val="auto"/>
                <w:sz w:val="18"/>
                <w:szCs w:val="18"/>
                <w:lang w:eastAsia="zh-CN"/>
              </w:rPr>
              <w:t>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类似形状</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具体规格形状，阀门类型，用途</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具体规格形状，阀门类型，用途</w:t>
            </w:r>
          </w:p>
        </w:tc>
        <w:tc>
          <w:tcPr>
            <w:tcW w:w="1969"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line="240" w:lineRule="exact"/>
              <w:ind w:left="121" w:right="4"/>
              <w:jc w:val="center"/>
              <w:rPr>
                <w:color w:val="auto"/>
                <w:sz w:val="18"/>
                <w:szCs w:val="18"/>
                <w:lang w:eastAsia="zh-CN"/>
              </w:rPr>
            </w:pPr>
            <w:r>
              <w:rPr>
                <w:color w:val="auto"/>
                <w:spacing w:val="-4"/>
                <w:sz w:val="18"/>
                <w:szCs w:val="18"/>
                <w:lang w:eastAsia="zh-CN"/>
              </w:rPr>
              <w:t>厂家、型号、编号、</w:t>
            </w:r>
            <w:r>
              <w:rPr>
                <w:color w:val="auto"/>
                <w:sz w:val="18"/>
                <w:szCs w:val="18"/>
                <w:lang w:eastAsia="zh-CN"/>
              </w:rPr>
              <w:t>位置</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noWrap/>
            <w:textDirection w:val="tbRl"/>
            <w:vAlign w:val="center"/>
          </w:tcPr>
          <w:p>
            <w:pPr>
              <w:pStyle w:val="480"/>
              <w:spacing w:before="120" w:after="120"/>
              <w:ind w:right="582"/>
              <w:jc w:val="center"/>
              <w:rPr>
                <w:color w:val="auto"/>
                <w:sz w:val="18"/>
                <w:szCs w:val="18"/>
                <w:lang w:eastAsia="zh-CN"/>
              </w:rPr>
            </w:pPr>
          </w:p>
        </w:tc>
        <w:tc>
          <w:tcPr>
            <w:tcW w:w="568"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color w:val="auto"/>
                <w:sz w:val="18"/>
                <w:szCs w:val="18"/>
                <w:lang w:eastAsia="en-US"/>
              </w:rPr>
              <w:t>011</w:t>
            </w:r>
          </w:p>
        </w:tc>
        <w:tc>
          <w:tcPr>
            <w:tcW w:w="1335"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各类阀门</w:t>
            </w:r>
          </w:p>
        </w:tc>
        <w:tc>
          <w:tcPr>
            <w:tcW w:w="2427"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line="240" w:lineRule="exact"/>
              <w:ind w:left="142" w:right="4"/>
              <w:jc w:val="center"/>
              <w:rPr>
                <w:color w:val="auto"/>
                <w:sz w:val="18"/>
                <w:szCs w:val="18"/>
                <w:lang w:eastAsia="zh-CN"/>
              </w:rPr>
            </w:pPr>
            <w:r>
              <w:rPr>
                <w:color w:val="auto"/>
                <w:spacing w:val="-9"/>
                <w:sz w:val="18"/>
                <w:szCs w:val="18"/>
                <w:lang w:eastAsia="zh-CN"/>
              </w:rPr>
              <w:t>无模型，成本或其他性能</w:t>
            </w:r>
            <w:r>
              <w:rPr>
                <w:color w:val="auto"/>
                <w:sz w:val="18"/>
                <w:szCs w:val="18"/>
                <w:lang w:eastAsia="zh-CN"/>
              </w:rPr>
              <w:t>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类似形状</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具体规格形状，阀门类型，用途</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具体规格形状，阀门类型，用途</w:t>
            </w:r>
          </w:p>
        </w:tc>
        <w:tc>
          <w:tcPr>
            <w:tcW w:w="1969"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line="240" w:lineRule="exact"/>
              <w:ind w:left="121" w:right="4"/>
              <w:jc w:val="center"/>
              <w:rPr>
                <w:color w:val="auto"/>
                <w:sz w:val="18"/>
                <w:szCs w:val="18"/>
                <w:lang w:eastAsia="zh-CN"/>
              </w:rPr>
            </w:pPr>
            <w:r>
              <w:rPr>
                <w:color w:val="auto"/>
                <w:spacing w:val="-4"/>
                <w:sz w:val="18"/>
                <w:szCs w:val="18"/>
                <w:lang w:eastAsia="zh-CN"/>
              </w:rPr>
              <w:t>厂家、型号、编号、</w:t>
            </w:r>
            <w:r>
              <w:rPr>
                <w:color w:val="auto"/>
                <w:sz w:val="18"/>
                <w:szCs w:val="18"/>
                <w:lang w:eastAsia="zh-CN"/>
              </w:rPr>
              <w:t>位置</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noWrap/>
            <w:textDirection w:val="tbRl"/>
            <w:vAlign w:val="center"/>
          </w:tcPr>
          <w:p>
            <w:pPr>
              <w:pStyle w:val="480"/>
              <w:spacing w:before="120" w:after="120"/>
              <w:ind w:right="582"/>
              <w:jc w:val="center"/>
              <w:rPr>
                <w:color w:val="auto"/>
                <w:sz w:val="18"/>
                <w:szCs w:val="18"/>
                <w:lang w:eastAsia="zh-CN"/>
              </w:rPr>
            </w:pPr>
          </w:p>
        </w:tc>
        <w:tc>
          <w:tcPr>
            <w:tcW w:w="568"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color w:val="auto"/>
                <w:sz w:val="18"/>
                <w:szCs w:val="18"/>
                <w:lang w:eastAsia="en-US"/>
              </w:rPr>
              <w:t>012</w:t>
            </w:r>
          </w:p>
        </w:tc>
        <w:tc>
          <w:tcPr>
            <w:tcW w:w="1335"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散流器</w:t>
            </w:r>
          </w:p>
        </w:tc>
        <w:tc>
          <w:tcPr>
            <w:tcW w:w="2427"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line="240" w:lineRule="exact"/>
              <w:ind w:left="142" w:right="4"/>
              <w:jc w:val="center"/>
              <w:rPr>
                <w:color w:val="auto"/>
                <w:sz w:val="18"/>
                <w:szCs w:val="18"/>
                <w:lang w:eastAsia="zh-CN"/>
              </w:rPr>
            </w:pPr>
            <w:r>
              <w:rPr>
                <w:color w:val="auto"/>
                <w:spacing w:val="-9"/>
                <w:sz w:val="18"/>
                <w:szCs w:val="18"/>
                <w:lang w:eastAsia="zh-CN"/>
              </w:rPr>
              <w:t>无模型，成本或其他性能</w:t>
            </w:r>
            <w:r>
              <w:rPr>
                <w:color w:val="auto"/>
                <w:sz w:val="18"/>
                <w:szCs w:val="18"/>
                <w:lang w:eastAsia="zh-CN"/>
              </w:rPr>
              <w:t>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类似形状、大概尺寸、位置、用途</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类似形状、大概尺寸、位置、用途</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24"/>
              <w:jc w:val="center"/>
              <w:rPr>
                <w:rFonts w:cs="宋体"/>
                <w:color w:val="auto"/>
                <w:sz w:val="18"/>
                <w:szCs w:val="18"/>
              </w:rPr>
            </w:pPr>
            <w:r>
              <w:rPr>
                <w:rFonts w:cs="宋体"/>
                <w:color w:val="auto"/>
                <w:spacing w:val="-9"/>
                <w:sz w:val="18"/>
                <w:szCs w:val="18"/>
              </w:rPr>
              <w:t>具体形状、精确尺寸、设</w:t>
            </w:r>
            <w:r>
              <w:rPr>
                <w:rFonts w:cs="宋体"/>
                <w:color w:val="auto"/>
                <w:sz w:val="18"/>
                <w:szCs w:val="18"/>
              </w:rPr>
              <w:t>备编号、位置、用途</w:t>
            </w:r>
          </w:p>
        </w:tc>
        <w:tc>
          <w:tcPr>
            <w:tcW w:w="1969"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line="239" w:lineRule="exact"/>
              <w:ind w:left="139"/>
              <w:jc w:val="center"/>
              <w:rPr>
                <w:color w:val="auto"/>
                <w:sz w:val="18"/>
                <w:szCs w:val="18"/>
                <w:lang w:eastAsia="zh-CN"/>
              </w:rPr>
            </w:pPr>
            <w:r>
              <w:rPr>
                <w:color w:val="auto"/>
                <w:sz w:val="18"/>
                <w:szCs w:val="18"/>
                <w:lang w:eastAsia="zh-CN"/>
              </w:rPr>
              <w:t>设备型号、精确尺寸、编号、位置、用途</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noWrap/>
            <w:textDirection w:val="tbRl"/>
            <w:vAlign w:val="center"/>
          </w:tcPr>
          <w:p>
            <w:pPr>
              <w:pStyle w:val="480"/>
              <w:spacing w:before="120" w:after="120"/>
              <w:ind w:right="582"/>
              <w:jc w:val="center"/>
              <w:rPr>
                <w:color w:val="auto"/>
                <w:sz w:val="18"/>
                <w:szCs w:val="18"/>
                <w:lang w:eastAsia="zh-CN"/>
              </w:rPr>
            </w:pPr>
          </w:p>
        </w:tc>
        <w:tc>
          <w:tcPr>
            <w:tcW w:w="568"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color w:val="auto"/>
                <w:sz w:val="18"/>
                <w:szCs w:val="18"/>
                <w:lang w:eastAsia="en-US"/>
              </w:rPr>
              <w:t>013</w:t>
            </w:r>
          </w:p>
        </w:tc>
        <w:tc>
          <w:tcPr>
            <w:tcW w:w="1335"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排风口</w:t>
            </w:r>
          </w:p>
        </w:tc>
        <w:tc>
          <w:tcPr>
            <w:tcW w:w="2427"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line="240" w:lineRule="exact"/>
              <w:ind w:left="142" w:right="4"/>
              <w:jc w:val="center"/>
              <w:rPr>
                <w:color w:val="auto"/>
                <w:sz w:val="18"/>
                <w:szCs w:val="18"/>
                <w:lang w:eastAsia="zh-CN"/>
              </w:rPr>
            </w:pPr>
            <w:r>
              <w:rPr>
                <w:color w:val="auto"/>
                <w:spacing w:val="-9"/>
                <w:sz w:val="18"/>
                <w:szCs w:val="18"/>
                <w:lang w:eastAsia="zh-CN"/>
              </w:rPr>
              <w:t>无模型，成本或其他性能</w:t>
            </w:r>
            <w:r>
              <w:rPr>
                <w:color w:val="auto"/>
                <w:sz w:val="18"/>
                <w:szCs w:val="18"/>
                <w:lang w:eastAsia="zh-CN"/>
              </w:rPr>
              <w:t>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类似形状、大概尺寸、位置、用途</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类似形状、大概尺寸、位置、用途</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24"/>
              <w:jc w:val="center"/>
              <w:rPr>
                <w:rFonts w:cs="宋体"/>
                <w:color w:val="auto"/>
                <w:sz w:val="18"/>
                <w:szCs w:val="18"/>
              </w:rPr>
            </w:pPr>
            <w:r>
              <w:rPr>
                <w:rFonts w:cs="宋体"/>
                <w:color w:val="auto"/>
                <w:spacing w:val="-9"/>
                <w:sz w:val="18"/>
                <w:szCs w:val="18"/>
              </w:rPr>
              <w:t>具体形状、精确尺寸、设</w:t>
            </w:r>
            <w:r>
              <w:rPr>
                <w:rFonts w:cs="宋体"/>
                <w:color w:val="auto"/>
                <w:sz w:val="18"/>
                <w:szCs w:val="18"/>
              </w:rPr>
              <w:t>备编号、位置、用途</w:t>
            </w:r>
          </w:p>
        </w:tc>
        <w:tc>
          <w:tcPr>
            <w:tcW w:w="1969"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line="240" w:lineRule="exact"/>
              <w:ind w:left="139"/>
              <w:jc w:val="center"/>
              <w:rPr>
                <w:color w:val="auto"/>
                <w:sz w:val="18"/>
                <w:szCs w:val="18"/>
                <w:lang w:eastAsia="zh-CN"/>
              </w:rPr>
            </w:pPr>
            <w:r>
              <w:rPr>
                <w:color w:val="auto"/>
                <w:sz w:val="18"/>
                <w:szCs w:val="18"/>
                <w:lang w:eastAsia="zh-CN"/>
              </w:rPr>
              <w:t>设备型号、精确尺寸、编号、位置、用途</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noWrap/>
            <w:textDirection w:val="tbRl"/>
            <w:vAlign w:val="center"/>
          </w:tcPr>
          <w:p>
            <w:pPr>
              <w:pStyle w:val="480"/>
              <w:spacing w:before="120" w:after="120"/>
              <w:ind w:right="582"/>
              <w:jc w:val="center"/>
              <w:rPr>
                <w:color w:val="auto"/>
                <w:sz w:val="18"/>
                <w:szCs w:val="18"/>
                <w:lang w:eastAsia="zh-CN"/>
              </w:rPr>
            </w:pPr>
          </w:p>
        </w:tc>
        <w:tc>
          <w:tcPr>
            <w:tcW w:w="568"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color w:val="auto"/>
                <w:sz w:val="18"/>
                <w:szCs w:val="18"/>
                <w:lang w:eastAsia="en-US"/>
              </w:rPr>
              <w:t>014</w:t>
            </w:r>
          </w:p>
        </w:tc>
        <w:tc>
          <w:tcPr>
            <w:tcW w:w="1335"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回风口</w:t>
            </w:r>
          </w:p>
        </w:tc>
        <w:tc>
          <w:tcPr>
            <w:tcW w:w="2427"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line="240" w:lineRule="exact"/>
              <w:ind w:left="142" w:right="4"/>
              <w:jc w:val="center"/>
              <w:rPr>
                <w:color w:val="auto"/>
                <w:sz w:val="18"/>
                <w:szCs w:val="18"/>
                <w:lang w:eastAsia="zh-CN"/>
              </w:rPr>
            </w:pPr>
            <w:r>
              <w:rPr>
                <w:color w:val="auto"/>
                <w:spacing w:val="-9"/>
                <w:sz w:val="18"/>
                <w:szCs w:val="18"/>
                <w:lang w:eastAsia="zh-CN"/>
              </w:rPr>
              <w:t>无模型，成本或其他性能</w:t>
            </w:r>
            <w:r>
              <w:rPr>
                <w:color w:val="auto"/>
                <w:sz w:val="18"/>
                <w:szCs w:val="18"/>
                <w:lang w:eastAsia="zh-CN"/>
              </w:rPr>
              <w:t>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类似形状、大概尺寸、位置、用途</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类似形状、大概尺寸、位置、用途</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24"/>
              <w:jc w:val="center"/>
              <w:rPr>
                <w:rFonts w:cs="宋体"/>
                <w:color w:val="auto"/>
                <w:sz w:val="18"/>
                <w:szCs w:val="18"/>
              </w:rPr>
            </w:pPr>
            <w:r>
              <w:rPr>
                <w:rFonts w:cs="宋体"/>
                <w:color w:val="auto"/>
                <w:spacing w:val="-9"/>
                <w:sz w:val="18"/>
                <w:szCs w:val="18"/>
              </w:rPr>
              <w:t>具体形状、精确尺寸、设</w:t>
            </w:r>
            <w:r>
              <w:rPr>
                <w:rFonts w:cs="宋体"/>
                <w:color w:val="auto"/>
                <w:sz w:val="18"/>
                <w:szCs w:val="18"/>
              </w:rPr>
              <w:t>备编号、位置、用途</w:t>
            </w:r>
          </w:p>
        </w:tc>
        <w:tc>
          <w:tcPr>
            <w:tcW w:w="1969"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line="240" w:lineRule="exact"/>
              <w:ind w:left="139"/>
              <w:jc w:val="center"/>
              <w:rPr>
                <w:color w:val="auto"/>
                <w:sz w:val="18"/>
                <w:szCs w:val="18"/>
                <w:lang w:eastAsia="zh-CN"/>
              </w:rPr>
            </w:pPr>
            <w:r>
              <w:rPr>
                <w:color w:val="auto"/>
                <w:sz w:val="18"/>
                <w:szCs w:val="18"/>
                <w:lang w:eastAsia="zh-CN"/>
              </w:rPr>
              <w:t>设备型号、精确尺寸、编号、位置、用途</w:t>
            </w:r>
          </w:p>
        </w:tc>
      </w:tr>
      <w:tr>
        <w:trPr>
          <w:cantSplit/>
          <w:trHeight w:val="454" w:hRule="atLeast"/>
        </w:trPr>
        <w:tc>
          <w:tcPr>
            <w:tcW w:w="1221" w:type="dxa"/>
            <w:vMerge w:val="continue"/>
            <w:tcBorders>
              <w:left w:val="single" w:color="auto" w:sz="4" w:space="0"/>
              <w:right w:val="single" w:color="auto" w:sz="4" w:space="0"/>
            </w:tcBorders>
            <w:noWrap/>
            <w:textDirection w:val="tbRl"/>
            <w:vAlign w:val="center"/>
          </w:tcPr>
          <w:p>
            <w:pPr>
              <w:pStyle w:val="480"/>
              <w:spacing w:before="120" w:after="120"/>
              <w:ind w:right="582"/>
              <w:jc w:val="center"/>
              <w:rPr>
                <w:color w:val="auto"/>
                <w:sz w:val="18"/>
                <w:szCs w:val="18"/>
                <w:lang w:eastAsia="zh-CN"/>
              </w:rPr>
            </w:pPr>
          </w:p>
        </w:tc>
        <w:tc>
          <w:tcPr>
            <w:tcW w:w="568"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color w:val="auto"/>
                <w:sz w:val="18"/>
                <w:szCs w:val="18"/>
                <w:lang w:eastAsia="en-US"/>
              </w:rPr>
              <w:t>015</w:t>
            </w:r>
          </w:p>
        </w:tc>
        <w:tc>
          <w:tcPr>
            <w:tcW w:w="1335"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静压箱</w:t>
            </w:r>
          </w:p>
        </w:tc>
        <w:tc>
          <w:tcPr>
            <w:tcW w:w="2427"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line="240" w:lineRule="exact"/>
              <w:ind w:left="142" w:right="4"/>
              <w:jc w:val="center"/>
              <w:rPr>
                <w:color w:val="auto"/>
                <w:sz w:val="18"/>
                <w:szCs w:val="18"/>
                <w:lang w:eastAsia="zh-CN"/>
              </w:rPr>
            </w:pPr>
            <w:r>
              <w:rPr>
                <w:color w:val="auto"/>
                <w:spacing w:val="-9"/>
                <w:sz w:val="18"/>
                <w:szCs w:val="18"/>
                <w:lang w:eastAsia="zh-CN"/>
              </w:rPr>
              <w:t>无模型，成本或其他性能</w:t>
            </w:r>
            <w:r>
              <w:rPr>
                <w:color w:val="auto"/>
                <w:sz w:val="18"/>
                <w:szCs w:val="18"/>
                <w:lang w:eastAsia="zh-CN"/>
              </w:rPr>
              <w:t>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line="240" w:lineRule="exact"/>
              <w:ind w:left="142" w:right="4"/>
              <w:jc w:val="center"/>
              <w:rPr>
                <w:color w:val="auto"/>
                <w:sz w:val="18"/>
                <w:szCs w:val="18"/>
                <w:lang w:eastAsia="zh-CN"/>
              </w:rPr>
            </w:pPr>
            <w:r>
              <w:rPr>
                <w:color w:val="auto"/>
                <w:sz w:val="18"/>
                <w:szCs w:val="18"/>
                <w:lang w:eastAsia="zh-CN"/>
              </w:rPr>
              <w:t>类似形状、大概尺寸、位置、用途</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类似形状、大概尺寸、位置、用途</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24"/>
              <w:jc w:val="center"/>
              <w:rPr>
                <w:rFonts w:cs="宋体"/>
                <w:color w:val="auto"/>
                <w:sz w:val="18"/>
                <w:szCs w:val="18"/>
              </w:rPr>
            </w:pPr>
            <w:r>
              <w:rPr>
                <w:rFonts w:cs="宋体"/>
                <w:color w:val="auto"/>
                <w:spacing w:val="-9"/>
                <w:sz w:val="18"/>
                <w:szCs w:val="18"/>
              </w:rPr>
              <w:t>具体形状、精确尺寸、设</w:t>
            </w:r>
            <w:r>
              <w:rPr>
                <w:rFonts w:cs="宋体"/>
                <w:color w:val="auto"/>
                <w:sz w:val="18"/>
                <w:szCs w:val="18"/>
              </w:rPr>
              <w:t>备编号、位置、用途</w:t>
            </w:r>
          </w:p>
        </w:tc>
        <w:tc>
          <w:tcPr>
            <w:tcW w:w="1969"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line="239" w:lineRule="exact"/>
              <w:ind w:left="139"/>
              <w:jc w:val="center"/>
              <w:rPr>
                <w:color w:val="auto"/>
                <w:sz w:val="18"/>
                <w:szCs w:val="18"/>
                <w:lang w:eastAsia="zh-CN"/>
              </w:rPr>
            </w:pPr>
            <w:r>
              <w:rPr>
                <w:color w:val="auto"/>
                <w:sz w:val="18"/>
                <w:szCs w:val="18"/>
                <w:lang w:eastAsia="zh-CN"/>
              </w:rPr>
              <w:t>设备型号、精确尺</w:t>
            </w:r>
          </w:p>
          <w:p>
            <w:pPr>
              <w:pStyle w:val="480"/>
              <w:spacing w:before="120" w:after="120" w:line="240" w:lineRule="exact"/>
              <w:ind w:left="121" w:right="4"/>
              <w:jc w:val="center"/>
              <w:rPr>
                <w:color w:val="auto"/>
                <w:sz w:val="18"/>
                <w:szCs w:val="18"/>
                <w:lang w:eastAsia="zh-CN"/>
              </w:rPr>
            </w:pPr>
            <w:r>
              <w:rPr>
                <w:color w:val="auto"/>
                <w:sz w:val="18"/>
                <w:szCs w:val="18"/>
                <w:lang w:eastAsia="zh-CN"/>
              </w:rPr>
              <w:t>寸、编号、位置、用途</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bottom w:val="single" w:color="auto" w:sz="4" w:space="0"/>
              <w:right w:val="single" w:color="auto" w:sz="4" w:space="0"/>
            </w:tcBorders>
            <w:noWrap/>
            <w:textDirection w:val="tbRl"/>
            <w:vAlign w:val="center"/>
          </w:tcPr>
          <w:p>
            <w:pPr>
              <w:pStyle w:val="480"/>
              <w:spacing w:before="120" w:after="120"/>
              <w:ind w:right="582"/>
              <w:jc w:val="center"/>
              <w:rPr>
                <w:color w:val="auto"/>
                <w:sz w:val="18"/>
                <w:szCs w:val="18"/>
                <w:lang w:eastAsia="zh-CN"/>
              </w:rPr>
            </w:pPr>
          </w:p>
        </w:tc>
        <w:tc>
          <w:tcPr>
            <w:tcW w:w="13580" w:type="dxa"/>
            <w:gridSpan w:val="7"/>
            <w:tcBorders>
              <w:top w:val="single" w:color="auto" w:sz="4" w:space="0"/>
              <w:left w:val="single" w:color="auto" w:sz="4" w:space="0"/>
              <w:bottom w:val="single" w:color="auto" w:sz="4" w:space="0"/>
              <w:right w:val="single" w:color="auto" w:sz="4" w:space="0"/>
            </w:tcBorders>
            <w:noWrap/>
            <w:vAlign w:val="center"/>
          </w:tcPr>
          <w:p>
            <w:pPr>
              <w:pStyle w:val="480"/>
              <w:spacing w:before="120" w:after="120" w:line="240" w:lineRule="exact"/>
              <w:ind w:left="121" w:right="4"/>
              <w:jc w:val="center"/>
              <w:rPr>
                <w:color w:val="auto"/>
                <w:sz w:val="18"/>
                <w:szCs w:val="18"/>
                <w:lang w:eastAsia="zh-CN"/>
              </w:rPr>
            </w:pPr>
            <w:r>
              <w:rPr>
                <w:rFonts w:hint="eastAsia"/>
                <w:color w:val="auto"/>
                <w:sz w:val="18"/>
                <w:szCs w:val="18"/>
                <w:lang w:eastAsia="zh-CN"/>
              </w:rPr>
              <w:t>注：上述模型精度要求仅作参考，具体精度内容应参考相关合同、行业标准、地方标准的要求。</w:t>
            </w:r>
          </w:p>
        </w:tc>
      </w:tr>
    </w:tbl>
    <w:p>
      <w:pPr>
        <w:spacing w:before="120" w:after="120"/>
        <w:rPr>
          <w:rFonts w:cs="宋体"/>
          <w:color w:val="auto"/>
          <w:szCs w:val="21"/>
        </w:rPr>
        <w:sectPr>
          <w:pgSz w:w="16840" w:h="11910" w:orient="landscape"/>
          <w:pgMar w:top="1100" w:right="900" w:bottom="1140" w:left="900" w:header="0" w:footer="953" w:gutter="0"/>
          <w:cols w:space="720" w:num="1"/>
        </w:sectPr>
      </w:pPr>
    </w:p>
    <w:p>
      <w:pPr>
        <w:spacing w:before="120" w:after="120"/>
        <w:outlineLvl w:val="4"/>
        <w:rPr>
          <w:color w:val="auto"/>
        </w:rPr>
      </w:pPr>
      <w:bookmarkStart w:id="905" w:name="_Toc20989"/>
      <w:bookmarkStart w:id="906" w:name="_Toc19380"/>
      <w:r>
        <w:rPr>
          <w:rFonts w:eastAsia="Times New Roman"/>
          <w:color w:val="auto"/>
        </w:rPr>
        <w:t xml:space="preserve">4  </w:t>
      </w:r>
      <w:r>
        <w:rPr>
          <w:color w:val="auto"/>
        </w:rPr>
        <w:t>给排水专业</w:t>
      </w:r>
      <w:bookmarkEnd w:id="905"/>
      <w:bookmarkEnd w:id="906"/>
    </w:p>
    <w:tbl>
      <w:tblPr>
        <w:tblStyle w:val="55"/>
        <w:tblW w:w="14801" w:type="dxa"/>
        <w:tblInd w:w="111" w:type="dxa"/>
        <w:tblLayout w:type="fixed"/>
        <w:tblCellMar>
          <w:top w:w="0" w:type="dxa"/>
          <w:left w:w="0" w:type="dxa"/>
          <w:bottom w:w="0" w:type="dxa"/>
          <w:right w:w="0" w:type="dxa"/>
        </w:tblCellMar>
      </w:tblPr>
      <w:tblGrid>
        <w:gridCol w:w="1221"/>
        <w:gridCol w:w="568"/>
        <w:gridCol w:w="1335"/>
        <w:gridCol w:w="2427"/>
        <w:gridCol w:w="2427"/>
        <w:gridCol w:w="2427"/>
        <w:gridCol w:w="2427"/>
        <w:gridCol w:w="1969"/>
      </w:tblGrid>
      <w:tr>
        <w:tblPrEx>
          <w:tblCellMar>
            <w:top w:w="0" w:type="dxa"/>
            <w:left w:w="0" w:type="dxa"/>
            <w:bottom w:w="0" w:type="dxa"/>
            <w:right w:w="0" w:type="dxa"/>
          </w:tblCellMar>
        </w:tblPrEx>
        <w:trPr>
          <w:cantSplit/>
          <w:trHeight w:val="454" w:hRule="atLeast"/>
          <w:tblHeader/>
        </w:trPr>
        <w:tc>
          <w:tcPr>
            <w:tcW w:w="1221" w:type="dxa"/>
            <w:vMerge w:val="restart"/>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专业</w:t>
            </w:r>
          </w:p>
        </w:tc>
        <w:tc>
          <w:tcPr>
            <w:tcW w:w="1903" w:type="dxa"/>
            <w:gridSpan w:val="2"/>
            <w:vMerge w:val="restart"/>
            <w:tcBorders>
              <w:top w:val="single" w:color="auto" w:sz="4" w:space="0"/>
              <w:left w:val="single" w:color="auto" w:sz="4" w:space="0"/>
              <w:bottom w:val="single" w:color="auto" w:sz="4" w:space="0"/>
              <w:right w:val="single" w:color="auto" w:sz="4" w:space="0"/>
              <w:tl2br w:val="single" w:color="auto" w:sz="4" w:space="0"/>
            </w:tcBorders>
            <w:noWrap/>
            <w:vAlign w:val="center"/>
          </w:tcPr>
          <w:p>
            <w:pPr>
              <w:spacing w:before="120" w:after="120"/>
              <w:ind w:firstLine="360"/>
              <w:jc w:val="right"/>
              <w:rPr>
                <w:rFonts w:cs="宋体"/>
                <w:color w:val="auto"/>
                <w:sz w:val="18"/>
                <w:szCs w:val="18"/>
                <w:lang w:eastAsia="en-US"/>
              </w:rPr>
            </w:pPr>
            <w:r>
              <w:rPr>
                <w:rFonts w:cs="宋体"/>
                <w:color w:val="auto"/>
                <w:sz w:val="18"/>
                <w:szCs w:val="18"/>
                <w:lang w:eastAsia="en-US"/>
              </w:rPr>
              <w:t>详细等级</w:t>
            </w:r>
          </w:p>
          <w:p>
            <w:pPr>
              <w:spacing w:before="120" w:after="120"/>
              <w:ind w:firstLine="360"/>
              <w:jc w:val="center"/>
              <w:rPr>
                <w:rFonts w:cs="宋体"/>
                <w:color w:val="auto"/>
                <w:sz w:val="18"/>
                <w:szCs w:val="18"/>
                <w:lang w:eastAsia="en-US"/>
              </w:rPr>
            </w:pPr>
          </w:p>
          <w:p>
            <w:pPr>
              <w:spacing w:before="120" w:after="120"/>
              <w:ind w:firstLine="360"/>
              <w:jc w:val="left"/>
              <w:rPr>
                <w:rFonts w:cs="宋体"/>
                <w:color w:val="auto"/>
                <w:sz w:val="18"/>
                <w:szCs w:val="18"/>
                <w:lang w:eastAsia="en-US"/>
              </w:rPr>
            </w:pPr>
            <w:r>
              <w:rPr>
                <w:rFonts w:cs="宋体"/>
                <w:color w:val="auto"/>
                <w:sz w:val="18"/>
                <w:szCs w:val="18"/>
                <w:lang w:eastAsia="en-US"/>
              </w:rPr>
              <w:t>子项</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eastAsia="Times New Roman"/>
                <w:color w:val="auto"/>
                <w:sz w:val="18"/>
                <w:szCs w:val="18"/>
                <w:lang w:eastAsia="en-US"/>
              </w:rPr>
            </w:pPr>
            <w:r>
              <w:rPr>
                <w:rFonts w:cs="宋体"/>
                <w:color w:val="auto"/>
                <w:sz w:val="18"/>
                <w:szCs w:val="18"/>
                <w:lang w:eastAsia="en-US"/>
              </w:rPr>
              <w:t>LOD100</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eastAsia="Times New Roman"/>
                <w:color w:val="auto"/>
                <w:sz w:val="18"/>
                <w:szCs w:val="18"/>
                <w:lang w:eastAsia="en-US"/>
              </w:rPr>
            </w:pPr>
            <w:r>
              <w:rPr>
                <w:rFonts w:cs="宋体"/>
                <w:color w:val="auto"/>
                <w:sz w:val="18"/>
                <w:szCs w:val="18"/>
                <w:lang w:eastAsia="en-US"/>
              </w:rPr>
              <w:t>LOD200</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eastAsia="Times New Roman"/>
                <w:color w:val="auto"/>
                <w:sz w:val="18"/>
                <w:szCs w:val="18"/>
                <w:lang w:eastAsia="en-US"/>
              </w:rPr>
            </w:pPr>
            <w:r>
              <w:rPr>
                <w:color w:val="auto"/>
                <w:sz w:val="18"/>
                <w:szCs w:val="18"/>
                <w:lang w:eastAsia="en-US"/>
              </w:rPr>
              <w:t>LOD300</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eastAsia="Times New Roman"/>
                <w:color w:val="auto"/>
                <w:sz w:val="18"/>
                <w:szCs w:val="18"/>
                <w:lang w:eastAsia="en-US"/>
              </w:rPr>
            </w:pPr>
            <w:r>
              <w:rPr>
                <w:rFonts w:cs="宋体"/>
                <w:color w:val="auto"/>
                <w:sz w:val="18"/>
                <w:szCs w:val="18"/>
                <w:lang w:eastAsia="en-US"/>
              </w:rPr>
              <w:t>LOD400</w:t>
            </w:r>
          </w:p>
        </w:tc>
        <w:tc>
          <w:tcPr>
            <w:tcW w:w="1969"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eastAsia="Times New Roman"/>
                <w:color w:val="auto"/>
                <w:sz w:val="18"/>
                <w:szCs w:val="18"/>
                <w:lang w:eastAsia="en-US"/>
              </w:rPr>
            </w:pPr>
            <w:r>
              <w:rPr>
                <w:rFonts w:cs="宋体"/>
                <w:color w:val="auto"/>
                <w:sz w:val="18"/>
                <w:szCs w:val="18"/>
                <w:lang w:eastAsia="en-US"/>
              </w:rPr>
              <w:t>LOD500</w:t>
            </w:r>
          </w:p>
        </w:tc>
      </w:tr>
      <w:tr>
        <w:tblPrEx>
          <w:tblCellMar>
            <w:top w:w="0" w:type="dxa"/>
            <w:left w:w="0" w:type="dxa"/>
            <w:bottom w:w="0" w:type="dxa"/>
            <w:right w:w="0" w:type="dxa"/>
          </w:tblCellMar>
        </w:tblPrEx>
        <w:trPr>
          <w:cantSplit/>
          <w:trHeight w:val="454" w:hRule="atLeast"/>
          <w:tblHeader/>
        </w:trPr>
        <w:tc>
          <w:tcPr>
            <w:tcW w:w="1221" w:type="dxa"/>
            <w:vMerge w:val="continue"/>
            <w:tcBorders>
              <w:top w:val="single" w:color="auto" w:sz="4" w:space="0"/>
              <w:left w:val="single" w:color="auto" w:sz="4" w:space="0"/>
              <w:bottom w:val="single" w:color="auto" w:sz="4" w:space="0"/>
              <w:right w:val="single" w:color="auto" w:sz="4" w:space="0"/>
            </w:tcBorders>
            <w:noWrap/>
            <w:textDirection w:val="tbRl"/>
            <w:vAlign w:val="center"/>
          </w:tcPr>
          <w:p>
            <w:pPr>
              <w:spacing w:before="120" w:after="120"/>
              <w:ind w:firstLine="360"/>
              <w:jc w:val="center"/>
              <w:rPr>
                <w:color w:val="auto"/>
                <w:sz w:val="18"/>
                <w:szCs w:val="18"/>
                <w:lang w:eastAsia="en-US"/>
              </w:rPr>
            </w:pPr>
          </w:p>
        </w:tc>
        <w:tc>
          <w:tcPr>
            <w:tcW w:w="1903" w:type="dxa"/>
            <w:gridSpan w:val="2"/>
            <w:vMerge w:val="continue"/>
            <w:tcBorders>
              <w:top w:val="single" w:color="auto" w:sz="4" w:space="0"/>
              <w:left w:val="single" w:color="auto" w:sz="4" w:space="0"/>
              <w:bottom w:val="single" w:color="auto" w:sz="4" w:space="0"/>
              <w:right w:val="single" w:color="auto" w:sz="4" w:space="0"/>
              <w:tl2br w:val="single" w:color="auto" w:sz="4" w:space="0"/>
            </w:tcBorders>
            <w:noWrap/>
            <w:vAlign w:val="center"/>
          </w:tcPr>
          <w:p>
            <w:pPr>
              <w:spacing w:before="120" w:after="120"/>
              <w:ind w:firstLine="360"/>
              <w:jc w:val="center"/>
              <w:rPr>
                <w:color w:val="auto"/>
                <w:sz w:val="18"/>
                <w:szCs w:val="18"/>
                <w:lang w:eastAsia="en-US"/>
              </w:rPr>
            </w:pP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方案设计模型</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rPr>
            </w:pPr>
            <w:r>
              <w:rPr>
                <w:rFonts w:cs="宋体"/>
                <w:color w:val="auto"/>
                <w:sz w:val="18"/>
                <w:szCs w:val="18"/>
              </w:rPr>
              <w:t>扩初设计模型(扩初图纸）</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施工图模型</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施工深化模型</w:t>
            </w:r>
          </w:p>
        </w:tc>
        <w:tc>
          <w:tcPr>
            <w:tcW w:w="1969"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竣工模型</w:t>
            </w:r>
          </w:p>
        </w:tc>
      </w:tr>
      <w:tr>
        <w:tblPrEx>
          <w:tblCellMar>
            <w:top w:w="0" w:type="dxa"/>
            <w:left w:w="0" w:type="dxa"/>
            <w:bottom w:w="0" w:type="dxa"/>
            <w:right w:w="0" w:type="dxa"/>
          </w:tblCellMar>
        </w:tblPrEx>
        <w:trPr>
          <w:cantSplit/>
          <w:trHeight w:val="454" w:hRule="atLeast"/>
        </w:trPr>
        <w:tc>
          <w:tcPr>
            <w:tcW w:w="1221" w:type="dxa"/>
            <w:vMerge w:val="restart"/>
            <w:tcBorders>
              <w:top w:val="single" w:color="auto" w:sz="4" w:space="0"/>
              <w:left w:val="single" w:color="auto" w:sz="4" w:space="0"/>
              <w:right w:val="single" w:color="auto" w:sz="4" w:space="0"/>
            </w:tcBorders>
            <w:noWrap/>
            <w:vAlign w:val="center"/>
          </w:tcPr>
          <w:p>
            <w:pPr>
              <w:pStyle w:val="480"/>
              <w:spacing w:before="120" w:after="120"/>
              <w:ind w:right="4"/>
              <w:jc w:val="center"/>
              <w:rPr>
                <w:color w:val="auto"/>
                <w:sz w:val="18"/>
                <w:szCs w:val="18"/>
              </w:rPr>
            </w:pPr>
            <w:r>
              <w:rPr>
                <w:rFonts w:hint="eastAsia"/>
                <w:color w:val="auto"/>
                <w:sz w:val="18"/>
                <w:szCs w:val="18"/>
                <w:lang w:eastAsia="zh-CN"/>
              </w:rPr>
              <w:t>给排水</w:t>
            </w:r>
          </w:p>
        </w:tc>
        <w:tc>
          <w:tcPr>
            <w:tcW w:w="568"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rPr>
            </w:pPr>
            <w:r>
              <w:rPr>
                <w:color w:val="auto"/>
                <w:sz w:val="18"/>
                <w:szCs w:val="18"/>
              </w:rPr>
              <w:t>001</w:t>
            </w:r>
          </w:p>
        </w:tc>
        <w:tc>
          <w:tcPr>
            <w:tcW w:w="1335"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rPr>
            </w:pPr>
            <w:r>
              <w:rPr>
                <w:color w:val="auto"/>
                <w:sz w:val="18"/>
                <w:szCs w:val="18"/>
              </w:rPr>
              <w:t>给水主管</w:t>
            </w:r>
          </w:p>
        </w:tc>
        <w:tc>
          <w:tcPr>
            <w:tcW w:w="2427"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line="239" w:lineRule="exact"/>
              <w:ind w:left="142"/>
              <w:jc w:val="center"/>
              <w:rPr>
                <w:color w:val="auto"/>
                <w:sz w:val="18"/>
                <w:szCs w:val="18"/>
                <w:lang w:eastAsia="zh-CN"/>
              </w:rPr>
            </w:pPr>
            <w:r>
              <w:rPr>
                <w:color w:val="auto"/>
                <w:sz w:val="18"/>
                <w:szCs w:val="18"/>
                <w:lang w:eastAsia="zh-CN"/>
              </w:rPr>
              <w:t>无模型，成本或其他性能系可按单位楼面面积的某个数值计入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lang w:eastAsia="zh-CN"/>
              </w:rPr>
            </w:pPr>
            <w:r>
              <w:rPr>
                <w:color w:val="auto"/>
                <w:sz w:val="18"/>
                <w:szCs w:val="18"/>
                <w:lang w:eastAsia="zh-CN"/>
              </w:rPr>
              <w:t>大概尺寸</w:t>
            </w:r>
          </w:p>
        </w:tc>
        <w:tc>
          <w:tcPr>
            <w:tcW w:w="2427"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lang w:eastAsia="zh-CN"/>
              </w:rPr>
            </w:pPr>
            <w:r>
              <w:rPr>
                <w:color w:val="auto"/>
                <w:sz w:val="18"/>
                <w:szCs w:val="18"/>
                <w:lang w:eastAsia="zh-CN"/>
              </w:rPr>
              <w:t>精确尺寸、管材</w:t>
            </w:r>
          </w:p>
        </w:tc>
        <w:tc>
          <w:tcPr>
            <w:tcW w:w="2427"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lang w:eastAsia="zh-CN"/>
              </w:rPr>
            </w:pPr>
            <w:r>
              <w:rPr>
                <w:color w:val="auto"/>
                <w:sz w:val="18"/>
                <w:szCs w:val="18"/>
                <w:lang w:eastAsia="zh-CN"/>
              </w:rPr>
              <w:t>实际尺寸、管材</w:t>
            </w:r>
          </w:p>
        </w:tc>
        <w:tc>
          <w:tcPr>
            <w:tcW w:w="1969"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line="239" w:lineRule="exact"/>
              <w:ind w:left="121"/>
              <w:jc w:val="center"/>
              <w:rPr>
                <w:color w:val="auto"/>
                <w:sz w:val="18"/>
                <w:szCs w:val="18"/>
                <w:lang w:eastAsia="zh-CN"/>
              </w:rPr>
            </w:pPr>
            <w:r>
              <w:rPr>
                <w:color w:val="auto"/>
                <w:sz w:val="18"/>
                <w:szCs w:val="18"/>
                <w:lang w:eastAsia="zh-CN"/>
              </w:rPr>
              <w:t>实际尺寸，管材，连接件最终尺寸</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noWrap/>
            <w:textDirection w:val="tbRl"/>
            <w:vAlign w:val="center"/>
          </w:tcPr>
          <w:p>
            <w:pPr>
              <w:pStyle w:val="480"/>
              <w:spacing w:before="120" w:after="120"/>
              <w:ind w:right="582"/>
              <w:jc w:val="center"/>
              <w:rPr>
                <w:color w:val="auto"/>
                <w:sz w:val="18"/>
                <w:szCs w:val="18"/>
                <w:lang w:eastAsia="zh-CN"/>
              </w:rPr>
            </w:pPr>
          </w:p>
        </w:tc>
        <w:tc>
          <w:tcPr>
            <w:tcW w:w="568"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rPr>
            </w:pPr>
            <w:r>
              <w:rPr>
                <w:color w:val="auto"/>
                <w:sz w:val="18"/>
                <w:szCs w:val="18"/>
              </w:rPr>
              <w:t>002</w:t>
            </w:r>
          </w:p>
        </w:tc>
        <w:tc>
          <w:tcPr>
            <w:tcW w:w="1335"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rPr>
            </w:pPr>
            <w:r>
              <w:rPr>
                <w:color w:val="auto"/>
                <w:sz w:val="18"/>
                <w:szCs w:val="18"/>
              </w:rPr>
              <w:t>污水管及管道坡度</w:t>
            </w:r>
          </w:p>
        </w:tc>
        <w:tc>
          <w:tcPr>
            <w:tcW w:w="2427" w:type="dxa"/>
            <w:tcBorders>
              <w:top w:val="single" w:color="auto" w:sz="4" w:space="0"/>
              <w:left w:val="single" w:color="auto" w:sz="4" w:space="0"/>
              <w:bottom w:val="single" w:color="auto" w:sz="4" w:space="0"/>
              <w:right w:val="single" w:color="auto" w:sz="4" w:space="0"/>
            </w:tcBorders>
            <w:noWrap/>
          </w:tcPr>
          <w:p>
            <w:pPr>
              <w:pStyle w:val="480"/>
              <w:spacing w:before="120" w:after="120"/>
              <w:ind w:right="4"/>
              <w:jc w:val="center"/>
              <w:rPr>
                <w:color w:val="auto"/>
                <w:sz w:val="18"/>
                <w:szCs w:val="18"/>
                <w:lang w:eastAsia="zh-CN"/>
              </w:rPr>
            </w:pPr>
            <w:r>
              <w:rPr>
                <w:color w:val="auto"/>
                <w:sz w:val="18"/>
                <w:szCs w:val="18"/>
                <w:lang w:eastAsia="zh-CN"/>
              </w:rPr>
              <w:t>无模型，成本或其他性能系可按单位楼面面积的某个数值计入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lang w:eastAsia="zh-CN"/>
              </w:rPr>
            </w:pPr>
            <w:r>
              <w:rPr>
                <w:color w:val="auto"/>
                <w:sz w:val="18"/>
                <w:szCs w:val="18"/>
                <w:lang w:eastAsia="zh-CN"/>
              </w:rPr>
              <w:t>大概尺寸</w:t>
            </w:r>
          </w:p>
        </w:tc>
        <w:tc>
          <w:tcPr>
            <w:tcW w:w="2427"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lang w:eastAsia="zh-CN"/>
              </w:rPr>
            </w:pPr>
            <w:r>
              <w:rPr>
                <w:color w:val="auto"/>
                <w:sz w:val="18"/>
                <w:szCs w:val="18"/>
                <w:lang w:eastAsia="zh-CN"/>
              </w:rPr>
              <w:t>精确尺寸、管材</w:t>
            </w:r>
          </w:p>
        </w:tc>
        <w:tc>
          <w:tcPr>
            <w:tcW w:w="2427"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lang w:eastAsia="zh-CN"/>
              </w:rPr>
            </w:pPr>
            <w:r>
              <w:rPr>
                <w:color w:val="auto"/>
                <w:sz w:val="18"/>
                <w:szCs w:val="18"/>
                <w:lang w:eastAsia="zh-CN"/>
              </w:rPr>
              <w:t>实际尺寸、管材</w:t>
            </w:r>
          </w:p>
        </w:tc>
        <w:tc>
          <w:tcPr>
            <w:tcW w:w="1969"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line="239" w:lineRule="exact"/>
              <w:ind w:left="121"/>
              <w:jc w:val="center"/>
              <w:rPr>
                <w:color w:val="auto"/>
                <w:sz w:val="18"/>
                <w:szCs w:val="18"/>
                <w:lang w:eastAsia="zh-CN"/>
              </w:rPr>
            </w:pPr>
            <w:r>
              <w:rPr>
                <w:color w:val="auto"/>
                <w:sz w:val="18"/>
                <w:szCs w:val="18"/>
                <w:lang w:eastAsia="zh-CN"/>
              </w:rPr>
              <w:t>实际尺寸，管材，连接件最终尺寸</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noWrap/>
            <w:textDirection w:val="tbRl"/>
            <w:vAlign w:val="center"/>
          </w:tcPr>
          <w:p>
            <w:pPr>
              <w:pStyle w:val="480"/>
              <w:spacing w:before="120" w:after="120"/>
              <w:ind w:right="582"/>
              <w:jc w:val="center"/>
              <w:rPr>
                <w:color w:val="auto"/>
                <w:sz w:val="18"/>
                <w:szCs w:val="18"/>
                <w:lang w:eastAsia="zh-CN"/>
              </w:rPr>
            </w:pPr>
          </w:p>
        </w:tc>
        <w:tc>
          <w:tcPr>
            <w:tcW w:w="568"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rPr>
            </w:pPr>
            <w:r>
              <w:rPr>
                <w:color w:val="auto"/>
                <w:sz w:val="18"/>
                <w:szCs w:val="18"/>
              </w:rPr>
              <w:t>003</w:t>
            </w:r>
          </w:p>
        </w:tc>
        <w:tc>
          <w:tcPr>
            <w:tcW w:w="1335"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rPr>
            </w:pPr>
            <w:r>
              <w:rPr>
                <w:color w:val="auto"/>
                <w:sz w:val="18"/>
                <w:szCs w:val="18"/>
              </w:rPr>
              <w:t>雨水管</w:t>
            </w:r>
          </w:p>
        </w:tc>
        <w:tc>
          <w:tcPr>
            <w:tcW w:w="2427" w:type="dxa"/>
            <w:tcBorders>
              <w:top w:val="single" w:color="auto" w:sz="4" w:space="0"/>
              <w:left w:val="single" w:color="auto" w:sz="4" w:space="0"/>
              <w:bottom w:val="single" w:color="auto" w:sz="4" w:space="0"/>
              <w:right w:val="single" w:color="auto" w:sz="4" w:space="0"/>
            </w:tcBorders>
            <w:noWrap/>
          </w:tcPr>
          <w:p>
            <w:pPr>
              <w:pStyle w:val="480"/>
              <w:spacing w:before="120" w:after="120"/>
              <w:ind w:right="4"/>
              <w:jc w:val="center"/>
              <w:rPr>
                <w:color w:val="auto"/>
                <w:sz w:val="18"/>
                <w:szCs w:val="18"/>
                <w:lang w:eastAsia="zh-CN"/>
              </w:rPr>
            </w:pPr>
            <w:r>
              <w:rPr>
                <w:color w:val="auto"/>
                <w:sz w:val="18"/>
                <w:szCs w:val="18"/>
                <w:lang w:eastAsia="zh-CN"/>
              </w:rPr>
              <w:t>无模型，成本或其他性能系可按单位楼面面积的某个数值计入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lang w:eastAsia="zh-CN"/>
              </w:rPr>
            </w:pPr>
            <w:r>
              <w:rPr>
                <w:color w:val="auto"/>
                <w:sz w:val="18"/>
                <w:szCs w:val="18"/>
                <w:lang w:eastAsia="zh-CN"/>
              </w:rPr>
              <w:t>大概尺寸</w:t>
            </w:r>
          </w:p>
        </w:tc>
        <w:tc>
          <w:tcPr>
            <w:tcW w:w="2427"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lang w:eastAsia="zh-CN"/>
              </w:rPr>
            </w:pPr>
            <w:r>
              <w:rPr>
                <w:color w:val="auto"/>
                <w:sz w:val="18"/>
                <w:szCs w:val="18"/>
                <w:lang w:eastAsia="zh-CN"/>
              </w:rPr>
              <w:t>精确尺寸、管材</w:t>
            </w:r>
          </w:p>
        </w:tc>
        <w:tc>
          <w:tcPr>
            <w:tcW w:w="2427"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lang w:eastAsia="zh-CN"/>
              </w:rPr>
            </w:pPr>
            <w:r>
              <w:rPr>
                <w:color w:val="auto"/>
                <w:sz w:val="18"/>
                <w:szCs w:val="18"/>
                <w:lang w:eastAsia="zh-CN"/>
              </w:rPr>
              <w:t>实际尺寸、管材</w:t>
            </w:r>
          </w:p>
        </w:tc>
        <w:tc>
          <w:tcPr>
            <w:tcW w:w="1969"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line="239" w:lineRule="exact"/>
              <w:ind w:left="121"/>
              <w:jc w:val="center"/>
              <w:rPr>
                <w:color w:val="auto"/>
                <w:sz w:val="18"/>
                <w:szCs w:val="18"/>
                <w:lang w:eastAsia="zh-CN"/>
              </w:rPr>
            </w:pPr>
            <w:r>
              <w:rPr>
                <w:color w:val="auto"/>
                <w:sz w:val="18"/>
                <w:szCs w:val="18"/>
                <w:lang w:eastAsia="zh-CN"/>
              </w:rPr>
              <w:t>实际尺寸，管材，连接件最终尺寸</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noWrap/>
            <w:textDirection w:val="tbRl"/>
            <w:vAlign w:val="center"/>
          </w:tcPr>
          <w:p>
            <w:pPr>
              <w:pStyle w:val="480"/>
              <w:spacing w:before="120" w:after="120"/>
              <w:ind w:right="582"/>
              <w:jc w:val="center"/>
              <w:rPr>
                <w:color w:val="auto"/>
                <w:sz w:val="18"/>
                <w:szCs w:val="18"/>
                <w:lang w:eastAsia="zh-CN"/>
              </w:rPr>
            </w:pPr>
          </w:p>
        </w:tc>
        <w:tc>
          <w:tcPr>
            <w:tcW w:w="568"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004</w:t>
            </w:r>
          </w:p>
        </w:tc>
        <w:tc>
          <w:tcPr>
            <w:tcW w:w="1335"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left="346" w:right="4"/>
              <w:jc w:val="center"/>
              <w:rPr>
                <w:color w:val="auto"/>
                <w:sz w:val="18"/>
                <w:szCs w:val="18"/>
              </w:rPr>
            </w:pPr>
            <w:r>
              <w:rPr>
                <w:color w:val="auto"/>
                <w:sz w:val="18"/>
                <w:szCs w:val="18"/>
              </w:rPr>
              <w:t>煤气管</w:t>
            </w:r>
          </w:p>
        </w:tc>
        <w:tc>
          <w:tcPr>
            <w:tcW w:w="2427" w:type="dxa"/>
            <w:tcBorders>
              <w:top w:val="single" w:color="auto" w:sz="4" w:space="0"/>
              <w:left w:val="single" w:color="auto" w:sz="4" w:space="0"/>
              <w:bottom w:val="single" w:color="auto" w:sz="4" w:space="0"/>
              <w:right w:val="single" w:color="auto" w:sz="4" w:space="0"/>
            </w:tcBorders>
            <w:noWrap/>
          </w:tcPr>
          <w:p>
            <w:pPr>
              <w:pStyle w:val="480"/>
              <w:spacing w:before="120" w:after="120" w:line="238" w:lineRule="exact"/>
              <w:ind w:left="142" w:right="4"/>
              <w:jc w:val="center"/>
              <w:rPr>
                <w:color w:val="auto"/>
                <w:sz w:val="18"/>
                <w:szCs w:val="18"/>
                <w:lang w:eastAsia="zh-CN"/>
              </w:rPr>
            </w:pPr>
            <w:r>
              <w:rPr>
                <w:color w:val="auto"/>
                <w:sz w:val="18"/>
                <w:szCs w:val="18"/>
                <w:lang w:eastAsia="zh-CN"/>
              </w:rPr>
              <w:t>无模型，成本或其他性能系可按单位楼面面积的某个数值计入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大概尺寸</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精确尺寸、管材</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实际尺寸、管材</w:t>
            </w:r>
          </w:p>
        </w:tc>
        <w:tc>
          <w:tcPr>
            <w:tcW w:w="1969"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line="239" w:lineRule="exact"/>
              <w:ind w:left="121"/>
              <w:jc w:val="center"/>
              <w:rPr>
                <w:color w:val="auto"/>
                <w:sz w:val="18"/>
                <w:szCs w:val="18"/>
                <w:lang w:eastAsia="zh-CN"/>
              </w:rPr>
            </w:pPr>
            <w:r>
              <w:rPr>
                <w:color w:val="auto"/>
                <w:sz w:val="18"/>
                <w:szCs w:val="18"/>
                <w:lang w:eastAsia="zh-CN"/>
              </w:rPr>
              <w:t>实际尺寸，管材，连接件最终尺寸</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noWrap/>
            <w:textDirection w:val="tbRl"/>
            <w:vAlign w:val="center"/>
          </w:tcPr>
          <w:p>
            <w:pPr>
              <w:pStyle w:val="480"/>
              <w:spacing w:before="120" w:after="120"/>
              <w:ind w:right="582"/>
              <w:jc w:val="center"/>
              <w:rPr>
                <w:color w:val="auto"/>
                <w:sz w:val="18"/>
                <w:szCs w:val="18"/>
                <w:lang w:eastAsia="zh-CN"/>
              </w:rPr>
            </w:pPr>
          </w:p>
        </w:tc>
        <w:tc>
          <w:tcPr>
            <w:tcW w:w="568"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005</w:t>
            </w:r>
          </w:p>
        </w:tc>
        <w:tc>
          <w:tcPr>
            <w:tcW w:w="1335"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rPr>
            </w:pPr>
            <w:r>
              <w:rPr>
                <w:color w:val="auto"/>
                <w:sz w:val="18"/>
                <w:szCs w:val="18"/>
              </w:rPr>
              <w:t>热力管</w:t>
            </w:r>
          </w:p>
        </w:tc>
        <w:tc>
          <w:tcPr>
            <w:tcW w:w="2427" w:type="dxa"/>
            <w:tcBorders>
              <w:top w:val="single" w:color="auto" w:sz="4" w:space="0"/>
              <w:left w:val="single" w:color="auto" w:sz="4" w:space="0"/>
              <w:bottom w:val="single" w:color="auto" w:sz="4" w:space="0"/>
              <w:right w:val="single" w:color="auto" w:sz="4" w:space="0"/>
            </w:tcBorders>
            <w:noWrap/>
          </w:tcPr>
          <w:p>
            <w:pPr>
              <w:pStyle w:val="480"/>
              <w:spacing w:before="120" w:after="120" w:line="239" w:lineRule="exact"/>
              <w:ind w:left="142" w:right="4"/>
              <w:jc w:val="center"/>
              <w:rPr>
                <w:color w:val="auto"/>
                <w:sz w:val="18"/>
                <w:szCs w:val="18"/>
                <w:lang w:eastAsia="zh-CN"/>
              </w:rPr>
            </w:pPr>
            <w:r>
              <w:rPr>
                <w:color w:val="auto"/>
                <w:sz w:val="18"/>
                <w:szCs w:val="18"/>
                <w:lang w:eastAsia="zh-CN"/>
              </w:rPr>
              <w:t>无模型，成本或其他性能系可按单位楼面面积的某个数值计入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大概尺寸</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精确尺寸、管材</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实际尺寸、管材</w:t>
            </w:r>
          </w:p>
        </w:tc>
        <w:tc>
          <w:tcPr>
            <w:tcW w:w="1969"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line="239" w:lineRule="exact"/>
              <w:ind w:left="121"/>
              <w:jc w:val="center"/>
              <w:rPr>
                <w:color w:val="auto"/>
                <w:sz w:val="18"/>
                <w:szCs w:val="18"/>
                <w:lang w:eastAsia="zh-CN"/>
              </w:rPr>
            </w:pPr>
            <w:r>
              <w:rPr>
                <w:color w:val="auto"/>
                <w:sz w:val="18"/>
                <w:szCs w:val="18"/>
                <w:lang w:eastAsia="zh-CN"/>
              </w:rPr>
              <w:t>实际尺寸，管材，连接件最终尺寸</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noWrap/>
            <w:textDirection w:val="tbRl"/>
            <w:vAlign w:val="center"/>
          </w:tcPr>
          <w:p>
            <w:pPr>
              <w:pStyle w:val="480"/>
              <w:spacing w:before="120" w:after="120"/>
              <w:ind w:right="582"/>
              <w:jc w:val="center"/>
              <w:rPr>
                <w:color w:val="auto"/>
                <w:sz w:val="18"/>
                <w:szCs w:val="18"/>
                <w:lang w:eastAsia="zh-CN"/>
              </w:rPr>
            </w:pPr>
          </w:p>
        </w:tc>
        <w:tc>
          <w:tcPr>
            <w:tcW w:w="568"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006</w:t>
            </w:r>
          </w:p>
        </w:tc>
        <w:tc>
          <w:tcPr>
            <w:tcW w:w="1335"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rPr>
            </w:pPr>
            <w:r>
              <w:rPr>
                <w:color w:val="auto"/>
                <w:sz w:val="18"/>
                <w:szCs w:val="18"/>
              </w:rPr>
              <w:t>消防水管</w:t>
            </w:r>
          </w:p>
        </w:tc>
        <w:tc>
          <w:tcPr>
            <w:tcW w:w="2427" w:type="dxa"/>
            <w:tcBorders>
              <w:top w:val="single" w:color="auto" w:sz="4" w:space="0"/>
              <w:left w:val="single" w:color="auto" w:sz="4" w:space="0"/>
              <w:bottom w:val="single" w:color="auto" w:sz="4" w:space="0"/>
              <w:right w:val="single" w:color="auto" w:sz="4" w:space="0"/>
            </w:tcBorders>
            <w:noWrap/>
          </w:tcPr>
          <w:p>
            <w:pPr>
              <w:spacing w:before="120" w:after="120"/>
              <w:ind w:right="4" w:firstLine="360"/>
              <w:jc w:val="center"/>
              <w:rPr>
                <w:rFonts w:cs="宋体"/>
                <w:color w:val="auto"/>
                <w:sz w:val="18"/>
                <w:szCs w:val="18"/>
              </w:rPr>
            </w:pPr>
            <w:r>
              <w:rPr>
                <w:rFonts w:cs="宋体"/>
                <w:color w:val="auto"/>
                <w:sz w:val="18"/>
                <w:szCs w:val="18"/>
              </w:rPr>
              <w:t>无模型，成本或其他性能系可按单位楼面面积的某个数值计入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大概尺寸</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精确尺寸、管材</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实际尺寸、管材</w:t>
            </w:r>
          </w:p>
        </w:tc>
        <w:tc>
          <w:tcPr>
            <w:tcW w:w="1969"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line="239" w:lineRule="exact"/>
              <w:ind w:left="121"/>
              <w:jc w:val="center"/>
              <w:rPr>
                <w:color w:val="auto"/>
                <w:sz w:val="18"/>
                <w:szCs w:val="18"/>
                <w:lang w:eastAsia="zh-CN"/>
              </w:rPr>
            </w:pPr>
            <w:r>
              <w:rPr>
                <w:color w:val="auto"/>
                <w:sz w:val="18"/>
                <w:szCs w:val="18"/>
                <w:lang w:eastAsia="zh-CN"/>
              </w:rPr>
              <w:t>实际尺寸，管材，连接件最终尺寸</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noWrap/>
            <w:textDirection w:val="tbRl"/>
            <w:vAlign w:val="center"/>
          </w:tcPr>
          <w:p>
            <w:pPr>
              <w:pStyle w:val="480"/>
              <w:spacing w:before="120" w:after="120"/>
              <w:ind w:right="582"/>
              <w:jc w:val="center"/>
              <w:rPr>
                <w:color w:val="auto"/>
                <w:sz w:val="18"/>
                <w:szCs w:val="18"/>
                <w:lang w:eastAsia="zh-CN"/>
              </w:rPr>
            </w:pPr>
          </w:p>
        </w:tc>
        <w:tc>
          <w:tcPr>
            <w:tcW w:w="568"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007</w:t>
            </w:r>
          </w:p>
        </w:tc>
        <w:tc>
          <w:tcPr>
            <w:tcW w:w="1335"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给排水泵及消防泵</w:t>
            </w:r>
          </w:p>
        </w:tc>
        <w:tc>
          <w:tcPr>
            <w:tcW w:w="2427" w:type="dxa"/>
            <w:tcBorders>
              <w:top w:val="single" w:color="auto" w:sz="4" w:space="0"/>
              <w:left w:val="single" w:color="auto" w:sz="4" w:space="0"/>
              <w:bottom w:val="single" w:color="auto" w:sz="4" w:space="0"/>
              <w:right w:val="single" w:color="auto" w:sz="4" w:space="0"/>
            </w:tcBorders>
            <w:noWrap/>
          </w:tcPr>
          <w:p>
            <w:pPr>
              <w:pStyle w:val="480"/>
              <w:spacing w:before="120" w:after="120" w:line="240" w:lineRule="exact"/>
              <w:ind w:left="142" w:right="4"/>
              <w:jc w:val="center"/>
              <w:rPr>
                <w:color w:val="auto"/>
                <w:sz w:val="18"/>
                <w:szCs w:val="18"/>
                <w:lang w:eastAsia="zh-CN"/>
              </w:rPr>
            </w:pPr>
            <w:r>
              <w:rPr>
                <w:color w:val="auto"/>
                <w:sz w:val="18"/>
                <w:szCs w:val="18"/>
                <w:lang w:eastAsia="zh-CN"/>
              </w:rPr>
              <w:t>无模型，成本或其他性能系可按单位楼面面积的某个数值计入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类似形状、大概尺寸、位置、用途</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类似形状、大概尺寸、位置、用途</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形状、实际尺寸、设备编号、位置、用途</w:t>
            </w:r>
          </w:p>
        </w:tc>
        <w:tc>
          <w:tcPr>
            <w:tcW w:w="1969"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line="240" w:lineRule="exact"/>
              <w:ind w:left="121"/>
              <w:jc w:val="center"/>
              <w:rPr>
                <w:color w:val="auto"/>
                <w:sz w:val="18"/>
                <w:szCs w:val="18"/>
                <w:lang w:eastAsia="zh-CN"/>
              </w:rPr>
            </w:pPr>
            <w:r>
              <w:rPr>
                <w:color w:val="auto"/>
                <w:sz w:val="18"/>
                <w:szCs w:val="18"/>
                <w:lang w:eastAsia="zh-CN"/>
              </w:rPr>
              <w:t>设备型号、实际尺寸、编号、位置、用途</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noWrap/>
            <w:textDirection w:val="tbRl"/>
            <w:vAlign w:val="center"/>
          </w:tcPr>
          <w:p>
            <w:pPr>
              <w:pStyle w:val="480"/>
              <w:spacing w:before="120" w:after="120"/>
              <w:ind w:right="582"/>
              <w:jc w:val="center"/>
              <w:rPr>
                <w:color w:val="auto"/>
                <w:sz w:val="18"/>
                <w:szCs w:val="18"/>
                <w:lang w:eastAsia="zh-CN"/>
              </w:rPr>
            </w:pPr>
          </w:p>
        </w:tc>
        <w:tc>
          <w:tcPr>
            <w:tcW w:w="568"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008</w:t>
            </w:r>
          </w:p>
        </w:tc>
        <w:tc>
          <w:tcPr>
            <w:tcW w:w="1335"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水箱</w:t>
            </w:r>
          </w:p>
        </w:tc>
        <w:tc>
          <w:tcPr>
            <w:tcW w:w="2427" w:type="dxa"/>
            <w:tcBorders>
              <w:top w:val="single" w:color="auto" w:sz="4" w:space="0"/>
              <w:left w:val="single" w:color="auto" w:sz="4" w:space="0"/>
              <w:bottom w:val="single" w:color="auto" w:sz="4" w:space="0"/>
              <w:right w:val="single" w:color="auto" w:sz="4" w:space="0"/>
            </w:tcBorders>
            <w:noWrap/>
          </w:tcPr>
          <w:p>
            <w:pPr>
              <w:pStyle w:val="480"/>
              <w:spacing w:before="120" w:after="120" w:line="239" w:lineRule="exact"/>
              <w:ind w:left="142" w:right="4"/>
              <w:jc w:val="center"/>
              <w:rPr>
                <w:color w:val="auto"/>
                <w:sz w:val="18"/>
                <w:szCs w:val="18"/>
                <w:lang w:eastAsia="zh-CN"/>
              </w:rPr>
            </w:pPr>
            <w:r>
              <w:rPr>
                <w:color w:val="auto"/>
                <w:sz w:val="18"/>
                <w:szCs w:val="18"/>
                <w:lang w:eastAsia="zh-CN"/>
              </w:rPr>
              <w:t>无模型，成本或其他性能系可按单位楼面面积的某个数值计入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类似形状、大概尺寸、位置、用途</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类似形状、大概尺寸、位置、用途</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形状、实际尺寸、设备编号、位置、用途</w:t>
            </w:r>
          </w:p>
        </w:tc>
        <w:tc>
          <w:tcPr>
            <w:tcW w:w="1969"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line="239" w:lineRule="exact"/>
              <w:ind w:left="121"/>
              <w:jc w:val="center"/>
              <w:rPr>
                <w:color w:val="auto"/>
                <w:sz w:val="18"/>
                <w:szCs w:val="18"/>
                <w:lang w:eastAsia="zh-CN"/>
              </w:rPr>
            </w:pPr>
            <w:r>
              <w:rPr>
                <w:color w:val="auto"/>
                <w:sz w:val="18"/>
                <w:szCs w:val="18"/>
                <w:lang w:eastAsia="zh-CN"/>
              </w:rPr>
              <w:t>设备型号、实际尺寸、编号、位置、用途</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noWrap/>
            <w:textDirection w:val="tbRl"/>
            <w:vAlign w:val="center"/>
          </w:tcPr>
          <w:p>
            <w:pPr>
              <w:pStyle w:val="480"/>
              <w:spacing w:before="120" w:after="120"/>
              <w:ind w:right="582"/>
              <w:jc w:val="center"/>
              <w:rPr>
                <w:color w:val="auto"/>
                <w:sz w:val="18"/>
                <w:szCs w:val="18"/>
                <w:lang w:eastAsia="zh-CN"/>
              </w:rPr>
            </w:pPr>
          </w:p>
        </w:tc>
        <w:tc>
          <w:tcPr>
            <w:tcW w:w="568"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009</w:t>
            </w:r>
          </w:p>
        </w:tc>
        <w:tc>
          <w:tcPr>
            <w:tcW w:w="1335"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喷淋</w:t>
            </w:r>
          </w:p>
        </w:tc>
        <w:tc>
          <w:tcPr>
            <w:tcW w:w="2427" w:type="dxa"/>
            <w:tcBorders>
              <w:top w:val="single" w:color="auto" w:sz="4" w:space="0"/>
              <w:left w:val="single" w:color="auto" w:sz="4" w:space="0"/>
              <w:bottom w:val="single" w:color="auto" w:sz="4" w:space="0"/>
              <w:right w:val="single" w:color="auto" w:sz="4" w:space="0"/>
            </w:tcBorders>
            <w:noWrap/>
          </w:tcPr>
          <w:p>
            <w:pPr>
              <w:pStyle w:val="480"/>
              <w:spacing w:before="120" w:after="120" w:line="240" w:lineRule="exact"/>
              <w:ind w:left="142" w:right="4"/>
              <w:jc w:val="center"/>
              <w:rPr>
                <w:color w:val="auto"/>
                <w:sz w:val="18"/>
                <w:szCs w:val="18"/>
                <w:lang w:eastAsia="zh-CN"/>
              </w:rPr>
            </w:pPr>
            <w:r>
              <w:rPr>
                <w:color w:val="auto"/>
                <w:sz w:val="18"/>
                <w:szCs w:val="18"/>
                <w:lang w:eastAsia="zh-CN"/>
              </w:rPr>
              <w:t>无模型，成本或其他性能系可按单位楼面面积的某个数值计入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类似形状、大概尺寸、位置、用途</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类似形状、大概尺寸、位置、用途</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形状、实际尺寸、设备编号、位置、用途</w:t>
            </w:r>
          </w:p>
        </w:tc>
        <w:tc>
          <w:tcPr>
            <w:tcW w:w="1969"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line="240" w:lineRule="exact"/>
              <w:ind w:left="121" w:right="4"/>
              <w:jc w:val="center"/>
              <w:rPr>
                <w:color w:val="auto"/>
                <w:sz w:val="18"/>
                <w:szCs w:val="18"/>
                <w:lang w:eastAsia="zh-CN"/>
              </w:rPr>
            </w:pPr>
            <w:r>
              <w:rPr>
                <w:color w:val="auto"/>
                <w:sz w:val="18"/>
                <w:szCs w:val="18"/>
                <w:lang w:eastAsia="zh-CN"/>
              </w:rPr>
              <w:t>设备型号、实际尺寸、编号、位置、用途</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noWrap/>
            <w:textDirection w:val="tbRl"/>
            <w:vAlign w:val="center"/>
          </w:tcPr>
          <w:p>
            <w:pPr>
              <w:pStyle w:val="480"/>
              <w:spacing w:before="120" w:after="120"/>
              <w:ind w:right="582"/>
              <w:jc w:val="center"/>
              <w:rPr>
                <w:color w:val="auto"/>
                <w:sz w:val="18"/>
                <w:szCs w:val="18"/>
                <w:lang w:eastAsia="zh-CN"/>
              </w:rPr>
            </w:pPr>
          </w:p>
        </w:tc>
        <w:tc>
          <w:tcPr>
            <w:tcW w:w="568"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color w:val="auto"/>
                <w:sz w:val="18"/>
                <w:szCs w:val="18"/>
                <w:lang w:eastAsia="en-US"/>
              </w:rPr>
              <w:t>010</w:t>
            </w:r>
          </w:p>
        </w:tc>
        <w:tc>
          <w:tcPr>
            <w:tcW w:w="1335"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消火栓</w:t>
            </w:r>
          </w:p>
        </w:tc>
        <w:tc>
          <w:tcPr>
            <w:tcW w:w="2427" w:type="dxa"/>
            <w:tcBorders>
              <w:top w:val="single" w:color="auto" w:sz="4" w:space="0"/>
              <w:left w:val="single" w:color="auto" w:sz="4" w:space="0"/>
              <w:bottom w:val="single" w:color="auto" w:sz="4" w:space="0"/>
              <w:right w:val="single" w:color="auto" w:sz="4" w:space="0"/>
            </w:tcBorders>
            <w:noWrap/>
          </w:tcPr>
          <w:p>
            <w:pPr>
              <w:pStyle w:val="480"/>
              <w:spacing w:before="120" w:after="120" w:line="239" w:lineRule="exact"/>
              <w:ind w:left="158" w:hanging="56"/>
              <w:jc w:val="center"/>
              <w:rPr>
                <w:color w:val="auto"/>
                <w:sz w:val="18"/>
                <w:szCs w:val="18"/>
                <w:lang w:eastAsia="zh-CN"/>
              </w:rPr>
            </w:pPr>
            <w:r>
              <w:rPr>
                <w:color w:val="auto"/>
                <w:sz w:val="18"/>
                <w:szCs w:val="18"/>
                <w:lang w:eastAsia="zh-CN"/>
              </w:rPr>
              <w:t>无模型，成本或其他性能系可按单位楼面面积的某个数值计入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类似形状、大概尺寸、位置、用途</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类似形状、大概尺寸、位置、用途</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形状、实际尺寸、设备编号、位置、用途</w:t>
            </w:r>
          </w:p>
        </w:tc>
        <w:tc>
          <w:tcPr>
            <w:tcW w:w="1969"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line="240" w:lineRule="exact"/>
              <w:ind w:left="121" w:right="4"/>
              <w:jc w:val="center"/>
              <w:rPr>
                <w:color w:val="auto"/>
                <w:sz w:val="18"/>
                <w:szCs w:val="18"/>
                <w:lang w:eastAsia="zh-CN"/>
              </w:rPr>
            </w:pPr>
            <w:r>
              <w:rPr>
                <w:color w:val="auto"/>
                <w:sz w:val="18"/>
                <w:szCs w:val="18"/>
                <w:lang w:eastAsia="zh-CN"/>
              </w:rPr>
              <w:t>设备型号、实际尺寸、编号、位置、用途</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bottom w:val="single" w:color="auto" w:sz="4" w:space="0"/>
              <w:right w:val="single" w:color="auto" w:sz="4" w:space="0"/>
            </w:tcBorders>
            <w:noWrap/>
            <w:textDirection w:val="tbRl"/>
            <w:vAlign w:val="center"/>
          </w:tcPr>
          <w:p>
            <w:pPr>
              <w:pStyle w:val="480"/>
              <w:spacing w:before="120" w:after="120"/>
              <w:ind w:right="582"/>
              <w:jc w:val="center"/>
              <w:rPr>
                <w:color w:val="auto"/>
                <w:sz w:val="18"/>
                <w:szCs w:val="18"/>
                <w:lang w:eastAsia="zh-CN"/>
              </w:rPr>
            </w:pPr>
          </w:p>
        </w:tc>
        <w:tc>
          <w:tcPr>
            <w:tcW w:w="13580" w:type="dxa"/>
            <w:gridSpan w:val="7"/>
            <w:tcBorders>
              <w:top w:val="single" w:color="auto" w:sz="4" w:space="0"/>
              <w:left w:val="single" w:color="auto" w:sz="4" w:space="0"/>
              <w:bottom w:val="single" w:color="auto" w:sz="4" w:space="0"/>
              <w:right w:val="single" w:color="auto" w:sz="4" w:space="0"/>
            </w:tcBorders>
            <w:noWrap/>
            <w:vAlign w:val="center"/>
          </w:tcPr>
          <w:p>
            <w:pPr>
              <w:pStyle w:val="480"/>
              <w:spacing w:before="120" w:after="120" w:line="240" w:lineRule="exact"/>
              <w:ind w:left="121" w:right="4"/>
              <w:jc w:val="center"/>
              <w:rPr>
                <w:color w:val="auto"/>
                <w:sz w:val="18"/>
                <w:szCs w:val="18"/>
                <w:lang w:eastAsia="zh-CN"/>
              </w:rPr>
            </w:pPr>
            <w:r>
              <w:rPr>
                <w:rFonts w:hint="eastAsia"/>
                <w:color w:val="auto"/>
                <w:sz w:val="18"/>
                <w:szCs w:val="18"/>
                <w:lang w:eastAsia="zh-CN"/>
              </w:rPr>
              <w:t>注：上述模型精度要求仅作参考，具体精度内容应参考相关合同、行业标准、地方标准的要求。</w:t>
            </w:r>
          </w:p>
        </w:tc>
      </w:tr>
    </w:tbl>
    <w:p>
      <w:pPr>
        <w:spacing w:before="120" w:after="120" w:line="272" w:lineRule="exact"/>
        <w:rPr>
          <w:rFonts w:cs="宋体"/>
          <w:color w:val="auto"/>
          <w:szCs w:val="21"/>
        </w:rPr>
        <w:sectPr>
          <w:pgSz w:w="16840" w:h="11910" w:orient="landscape"/>
          <w:pgMar w:top="1100" w:right="900" w:bottom="1140" w:left="920" w:header="0" w:footer="953" w:gutter="0"/>
          <w:cols w:space="720" w:num="1"/>
        </w:sectPr>
      </w:pPr>
    </w:p>
    <w:p>
      <w:pPr>
        <w:spacing w:before="120" w:after="120"/>
        <w:outlineLvl w:val="4"/>
        <w:rPr>
          <w:color w:val="auto"/>
        </w:rPr>
      </w:pPr>
      <w:bookmarkStart w:id="907" w:name="_Toc12689"/>
      <w:bookmarkStart w:id="908" w:name="_Toc30895"/>
      <w:r>
        <w:rPr>
          <w:rFonts w:eastAsia="Times New Roman"/>
          <w:color w:val="auto"/>
        </w:rPr>
        <w:t xml:space="preserve">5  </w:t>
      </w:r>
      <w:r>
        <w:rPr>
          <w:color w:val="auto"/>
        </w:rPr>
        <w:t>电气专业</w:t>
      </w:r>
      <w:bookmarkEnd w:id="907"/>
      <w:bookmarkEnd w:id="908"/>
    </w:p>
    <w:tbl>
      <w:tblPr>
        <w:tblStyle w:val="55"/>
        <w:tblW w:w="14801" w:type="dxa"/>
        <w:tblInd w:w="111" w:type="dxa"/>
        <w:tblLayout w:type="fixed"/>
        <w:tblCellMar>
          <w:top w:w="0" w:type="dxa"/>
          <w:left w:w="0" w:type="dxa"/>
          <w:bottom w:w="0" w:type="dxa"/>
          <w:right w:w="0" w:type="dxa"/>
        </w:tblCellMar>
      </w:tblPr>
      <w:tblGrid>
        <w:gridCol w:w="1221"/>
        <w:gridCol w:w="568"/>
        <w:gridCol w:w="1335"/>
        <w:gridCol w:w="2427"/>
        <w:gridCol w:w="2427"/>
        <w:gridCol w:w="2427"/>
        <w:gridCol w:w="2427"/>
        <w:gridCol w:w="1969"/>
      </w:tblGrid>
      <w:tr>
        <w:tblPrEx>
          <w:tblCellMar>
            <w:top w:w="0" w:type="dxa"/>
            <w:left w:w="0" w:type="dxa"/>
            <w:bottom w:w="0" w:type="dxa"/>
            <w:right w:w="0" w:type="dxa"/>
          </w:tblCellMar>
        </w:tblPrEx>
        <w:trPr>
          <w:cantSplit/>
          <w:trHeight w:val="454" w:hRule="atLeast"/>
          <w:tblHeader/>
        </w:trPr>
        <w:tc>
          <w:tcPr>
            <w:tcW w:w="1221" w:type="dxa"/>
            <w:vMerge w:val="restart"/>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专业</w:t>
            </w:r>
          </w:p>
        </w:tc>
        <w:tc>
          <w:tcPr>
            <w:tcW w:w="1903" w:type="dxa"/>
            <w:gridSpan w:val="2"/>
            <w:vMerge w:val="restart"/>
            <w:tcBorders>
              <w:top w:val="single" w:color="auto" w:sz="4" w:space="0"/>
              <w:left w:val="single" w:color="auto" w:sz="4" w:space="0"/>
              <w:bottom w:val="single" w:color="auto" w:sz="4" w:space="0"/>
              <w:right w:val="single" w:color="auto" w:sz="4" w:space="0"/>
              <w:tl2br w:val="single" w:color="auto" w:sz="4" w:space="0"/>
            </w:tcBorders>
            <w:noWrap/>
            <w:vAlign w:val="center"/>
          </w:tcPr>
          <w:p>
            <w:pPr>
              <w:spacing w:before="120" w:after="120"/>
              <w:ind w:firstLine="360"/>
              <w:jc w:val="right"/>
              <w:rPr>
                <w:rFonts w:cs="宋体"/>
                <w:color w:val="auto"/>
                <w:sz w:val="18"/>
                <w:szCs w:val="18"/>
                <w:lang w:eastAsia="en-US"/>
              </w:rPr>
            </w:pPr>
            <w:r>
              <w:rPr>
                <w:rFonts w:cs="宋体"/>
                <w:color w:val="auto"/>
                <w:sz w:val="18"/>
                <w:szCs w:val="18"/>
                <w:lang w:eastAsia="en-US"/>
              </w:rPr>
              <w:t>详细等级</w:t>
            </w:r>
          </w:p>
          <w:p>
            <w:pPr>
              <w:spacing w:before="120" w:after="120"/>
              <w:ind w:firstLine="360"/>
              <w:jc w:val="center"/>
              <w:rPr>
                <w:rFonts w:cs="宋体"/>
                <w:color w:val="auto"/>
                <w:sz w:val="18"/>
                <w:szCs w:val="18"/>
                <w:lang w:eastAsia="en-US"/>
              </w:rPr>
            </w:pPr>
          </w:p>
          <w:p>
            <w:pPr>
              <w:spacing w:before="120" w:after="120"/>
              <w:ind w:firstLine="360"/>
              <w:jc w:val="left"/>
              <w:rPr>
                <w:rFonts w:cs="宋体"/>
                <w:color w:val="auto"/>
                <w:sz w:val="18"/>
                <w:szCs w:val="18"/>
                <w:lang w:eastAsia="en-US"/>
              </w:rPr>
            </w:pPr>
            <w:r>
              <w:rPr>
                <w:rFonts w:cs="宋体"/>
                <w:color w:val="auto"/>
                <w:sz w:val="18"/>
                <w:szCs w:val="18"/>
                <w:lang w:eastAsia="en-US"/>
              </w:rPr>
              <w:t>子项</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eastAsia="Times New Roman"/>
                <w:color w:val="auto"/>
                <w:sz w:val="18"/>
                <w:szCs w:val="18"/>
                <w:lang w:eastAsia="en-US"/>
              </w:rPr>
            </w:pPr>
            <w:r>
              <w:rPr>
                <w:rFonts w:cs="宋体"/>
                <w:color w:val="auto"/>
                <w:sz w:val="18"/>
                <w:szCs w:val="18"/>
                <w:lang w:eastAsia="en-US"/>
              </w:rPr>
              <w:t>LOD100</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eastAsia="Times New Roman"/>
                <w:color w:val="auto"/>
                <w:sz w:val="18"/>
                <w:szCs w:val="18"/>
                <w:lang w:eastAsia="en-US"/>
              </w:rPr>
            </w:pPr>
            <w:r>
              <w:rPr>
                <w:rFonts w:cs="宋体"/>
                <w:color w:val="auto"/>
                <w:sz w:val="18"/>
                <w:szCs w:val="18"/>
                <w:lang w:eastAsia="en-US"/>
              </w:rPr>
              <w:t>LOD200</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eastAsia="Times New Roman"/>
                <w:color w:val="auto"/>
                <w:sz w:val="18"/>
                <w:szCs w:val="18"/>
                <w:lang w:eastAsia="en-US"/>
              </w:rPr>
            </w:pPr>
            <w:r>
              <w:rPr>
                <w:color w:val="auto"/>
                <w:sz w:val="18"/>
                <w:szCs w:val="18"/>
                <w:lang w:eastAsia="en-US"/>
              </w:rPr>
              <w:t>LOD300</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eastAsia="Times New Roman"/>
                <w:color w:val="auto"/>
                <w:sz w:val="18"/>
                <w:szCs w:val="18"/>
                <w:lang w:eastAsia="en-US"/>
              </w:rPr>
            </w:pPr>
            <w:r>
              <w:rPr>
                <w:rFonts w:cs="宋体"/>
                <w:color w:val="auto"/>
                <w:sz w:val="18"/>
                <w:szCs w:val="18"/>
                <w:lang w:eastAsia="en-US"/>
              </w:rPr>
              <w:t>LOD400</w:t>
            </w:r>
          </w:p>
        </w:tc>
        <w:tc>
          <w:tcPr>
            <w:tcW w:w="1969"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eastAsia="Times New Roman"/>
                <w:color w:val="auto"/>
                <w:sz w:val="18"/>
                <w:szCs w:val="18"/>
                <w:lang w:eastAsia="en-US"/>
              </w:rPr>
            </w:pPr>
            <w:r>
              <w:rPr>
                <w:rFonts w:cs="宋体"/>
                <w:color w:val="auto"/>
                <w:sz w:val="18"/>
                <w:szCs w:val="18"/>
                <w:lang w:eastAsia="en-US"/>
              </w:rPr>
              <w:t>LOD500</w:t>
            </w:r>
          </w:p>
        </w:tc>
      </w:tr>
      <w:tr>
        <w:tblPrEx>
          <w:tblCellMar>
            <w:top w:w="0" w:type="dxa"/>
            <w:left w:w="0" w:type="dxa"/>
            <w:bottom w:w="0" w:type="dxa"/>
            <w:right w:w="0" w:type="dxa"/>
          </w:tblCellMar>
        </w:tblPrEx>
        <w:trPr>
          <w:cantSplit/>
          <w:trHeight w:val="454" w:hRule="atLeast"/>
          <w:tblHeader/>
        </w:trPr>
        <w:tc>
          <w:tcPr>
            <w:tcW w:w="1221" w:type="dxa"/>
            <w:vMerge w:val="continue"/>
            <w:tcBorders>
              <w:top w:val="single" w:color="auto" w:sz="4" w:space="0"/>
              <w:left w:val="single" w:color="auto" w:sz="4" w:space="0"/>
              <w:bottom w:val="single" w:color="auto" w:sz="4" w:space="0"/>
              <w:right w:val="single" w:color="auto" w:sz="4" w:space="0"/>
            </w:tcBorders>
            <w:noWrap/>
            <w:textDirection w:val="tbRl"/>
            <w:vAlign w:val="center"/>
          </w:tcPr>
          <w:p>
            <w:pPr>
              <w:spacing w:before="120" w:after="120"/>
              <w:ind w:firstLine="360"/>
              <w:jc w:val="center"/>
              <w:rPr>
                <w:color w:val="auto"/>
                <w:sz w:val="18"/>
                <w:szCs w:val="18"/>
                <w:lang w:eastAsia="en-US"/>
              </w:rPr>
            </w:pPr>
          </w:p>
        </w:tc>
        <w:tc>
          <w:tcPr>
            <w:tcW w:w="1903" w:type="dxa"/>
            <w:gridSpan w:val="2"/>
            <w:vMerge w:val="continue"/>
            <w:tcBorders>
              <w:top w:val="single" w:color="auto" w:sz="4" w:space="0"/>
              <w:left w:val="single" w:color="auto" w:sz="4" w:space="0"/>
              <w:bottom w:val="single" w:color="auto" w:sz="4" w:space="0"/>
              <w:right w:val="single" w:color="auto" w:sz="4" w:space="0"/>
              <w:tl2br w:val="single" w:color="auto" w:sz="4" w:space="0"/>
            </w:tcBorders>
            <w:noWrap/>
            <w:vAlign w:val="center"/>
          </w:tcPr>
          <w:p>
            <w:pPr>
              <w:spacing w:before="120" w:after="120"/>
              <w:ind w:firstLine="360"/>
              <w:jc w:val="center"/>
              <w:rPr>
                <w:color w:val="auto"/>
                <w:sz w:val="18"/>
                <w:szCs w:val="18"/>
                <w:lang w:eastAsia="en-US"/>
              </w:rPr>
            </w:pP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方案设计模型</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rPr>
            </w:pPr>
            <w:r>
              <w:rPr>
                <w:rFonts w:cs="宋体"/>
                <w:color w:val="auto"/>
                <w:sz w:val="18"/>
                <w:szCs w:val="18"/>
              </w:rPr>
              <w:t>扩初设计模型(扩初图纸）</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施工图模型</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施工深化模型</w:t>
            </w:r>
          </w:p>
        </w:tc>
        <w:tc>
          <w:tcPr>
            <w:tcW w:w="1969"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竣工模型</w:t>
            </w:r>
          </w:p>
        </w:tc>
      </w:tr>
      <w:tr>
        <w:tblPrEx>
          <w:tblCellMar>
            <w:top w:w="0" w:type="dxa"/>
            <w:left w:w="0" w:type="dxa"/>
            <w:bottom w:w="0" w:type="dxa"/>
            <w:right w:w="0" w:type="dxa"/>
          </w:tblCellMar>
        </w:tblPrEx>
        <w:trPr>
          <w:cantSplit/>
          <w:trHeight w:val="454" w:hRule="atLeast"/>
        </w:trPr>
        <w:tc>
          <w:tcPr>
            <w:tcW w:w="1221" w:type="dxa"/>
            <w:vMerge w:val="restart"/>
            <w:tcBorders>
              <w:top w:val="single" w:color="auto" w:sz="4" w:space="0"/>
              <w:left w:val="single" w:color="auto" w:sz="4" w:space="0"/>
              <w:right w:val="single" w:color="auto" w:sz="4" w:space="0"/>
            </w:tcBorders>
            <w:noWrap/>
            <w:vAlign w:val="center"/>
          </w:tcPr>
          <w:p>
            <w:pPr>
              <w:pStyle w:val="480"/>
              <w:spacing w:before="120" w:after="120"/>
              <w:ind w:right="4"/>
              <w:jc w:val="center"/>
              <w:rPr>
                <w:color w:val="auto"/>
                <w:sz w:val="18"/>
                <w:szCs w:val="18"/>
              </w:rPr>
            </w:pPr>
            <w:r>
              <w:rPr>
                <w:rFonts w:hint="eastAsia"/>
                <w:color w:val="auto"/>
                <w:sz w:val="18"/>
                <w:szCs w:val="18"/>
                <w:lang w:eastAsia="zh-CN"/>
              </w:rPr>
              <w:t>电气</w:t>
            </w:r>
          </w:p>
        </w:tc>
        <w:tc>
          <w:tcPr>
            <w:tcW w:w="568"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rPr>
            </w:pPr>
            <w:r>
              <w:rPr>
                <w:color w:val="auto"/>
                <w:sz w:val="18"/>
                <w:szCs w:val="18"/>
              </w:rPr>
              <w:t>001</w:t>
            </w:r>
          </w:p>
        </w:tc>
        <w:tc>
          <w:tcPr>
            <w:tcW w:w="1335"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color w:val="auto"/>
                <w:sz w:val="18"/>
                <w:szCs w:val="18"/>
                <w:lang w:eastAsia="en-US"/>
              </w:rPr>
            </w:pPr>
            <w:r>
              <w:rPr>
                <w:color w:val="auto"/>
                <w:sz w:val="18"/>
                <w:szCs w:val="18"/>
                <w:lang w:eastAsia="en-US"/>
              </w:rPr>
              <w:t>强电线槽</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24"/>
              <w:jc w:val="center"/>
              <w:rPr>
                <w:rFonts w:cs="宋体"/>
                <w:color w:val="auto"/>
                <w:sz w:val="18"/>
                <w:szCs w:val="18"/>
              </w:rPr>
            </w:pPr>
            <w:r>
              <w:rPr>
                <w:rFonts w:cs="宋体"/>
                <w:color w:val="auto"/>
                <w:spacing w:val="-9"/>
                <w:sz w:val="18"/>
                <w:szCs w:val="18"/>
              </w:rPr>
              <w:t>无模型，成本或其他性能</w:t>
            </w:r>
            <w:r>
              <w:rPr>
                <w:rFonts w:cs="宋体"/>
                <w:color w:val="auto"/>
                <w:sz w:val="18"/>
                <w:szCs w:val="18"/>
              </w:rPr>
              <w:t>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大概尺寸</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精确尺寸、管材</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实际尺寸、管材</w:t>
            </w:r>
          </w:p>
        </w:tc>
        <w:tc>
          <w:tcPr>
            <w:tcW w:w="1969"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实际尺寸，管材，连接件最终尺寸</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noWrap/>
            <w:textDirection w:val="tbRl"/>
            <w:vAlign w:val="center"/>
          </w:tcPr>
          <w:p>
            <w:pPr>
              <w:pStyle w:val="480"/>
              <w:spacing w:before="120" w:after="120"/>
              <w:ind w:right="582"/>
              <w:jc w:val="center"/>
              <w:rPr>
                <w:color w:val="auto"/>
                <w:sz w:val="18"/>
                <w:szCs w:val="18"/>
                <w:lang w:eastAsia="zh-CN"/>
              </w:rPr>
            </w:pPr>
          </w:p>
        </w:tc>
        <w:tc>
          <w:tcPr>
            <w:tcW w:w="568"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rPr>
            </w:pPr>
            <w:r>
              <w:rPr>
                <w:color w:val="auto"/>
                <w:sz w:val="18"/>
                <w:szCs w:val="18"/>
              </w:rPr>
              <w:t>002</w:t>
            </w:r>
          </w:p>
        </w:tc>
        <w:tc>
          <w:tcPr>
            <w:tcW w:w="1335"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color w:val="auto"/>
                <w:sz w:val="18"/>
                <w:szCs w:val="18"/>
                <w:lang w:eastAsia="en-US"/>
              </w:rPr>
            </w:pPr>
            <w:r>
              <w:rPr>
                <w:color w:val="auto"/>
                <w:sz w:val="18"/>
                <w:szCs w:val="18"/>
                <w:lang w:eastAsia="en-US"/>
              </w:rPr>
              <w:t>变压器</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24"/>
              <w:jc w:val="center"/>
              <w:rPr>
                <w:rFonts w:cs="宋体"/>
                <w:color w:val="auto"/>
                <w:sz w:val="18"/>
                <w:szCs w:val="18"/>
              </w:rPr>
            </w:pPr>
            <w:r>
              <w:rPr>
                <w:rFonts w:cs="宋体"/>
                <w:color w:val="auto"/>
                <w:spacing w:val="-9"/>
                <w:sz w:val="18"/>
                <w:szCs w:val="18"/>
              </w:rPr>
              <w:t>无模型，成本或其他性能</w:t>
            </w:r>
            <w:r>
              <w:rPr>
                <w:rFonts w:cs="宋体"/>
                <w:color w:val="auto"/>
                <w:sz w:val="18"/>
                <w:szCs w:val="18"/>
              </w:rPr>
              <w:t>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lang w:eastAsia="zh-CN"/>
              </w:rPr>
            </w:pPr>
            <w:r>
              <w:rPr>
                <w:color w:val="auto"/>
                <w:sz w:val="18"/>
                <w:szCs w:val="18"/>
              </w:rPr>
              <w:t>大概尺寸</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无模型，成本或其他性能</w:t>
            </w:r>
          </w:p>
          <w:p>
            <w:pPr>
              <w:spacing w:before="120" w:after="120"/>
              <w:ind w:right="4" w:firstLine="360"/>
              <w:jc w:val="center"/>
              <w:rPr>
                <w:rFonts w:cs="宋体"/>
                <w:color w:val="auto"/>
                <w:sz w:val="18"/>
                <w:szCs w:val="18"/>
              </w:rPr>
            </w:pPr>
            <w:r>
              <w:rPr>
                <w:rFonts w:cs="宋体"/>
                <w:color w:val="auto"/>
                <w:sz w:val="18"/>
                <w:szCs w:val="18"/>
              </w:rPr>
              <w:t>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lang w:eastAsia="zh-CN"/>
              </w:rPr>
            </w:pPr>
            <w:r>
              <w:rPr>
                <w:color w:val="auto"/>
                <w:sz w:val="18"/>
                <w:szCs w:val="18"/>
                <w:lang w:eastAsia="zh-CN"/>
              </w:rPr>
              <w:t>实际尺寸、容量、型号</w:t>
            </w:r>
          </w:p>
        </w:tc>
        <w:tc>
          <w:tcPr>
            <w:tcW w:w="1969"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实际尺寸、容量、型号</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noWrap/>
            <w:textDirection w:val="tbRl"/>
            <w:vAlign w:val="center"/>
          </w:tcPr>
          <w:p>
            <w:pPr>
              <w:pStyle w:val="480"/>
              <w:spacing w:before="120" w:after="120"/>
              <w:ind w:right="582"/>
              <w:jc w:val="center"/>
              <w:rPr>
                <w:color w:val="auto"/>
                <w:sz w:val="18"/>
                <w:szCs w:val="18"/>
                <w:lang w:eastAsia="zh-CN"/>
              </w:rPr>
            </w:pPr>
          </w:p>
        </w:tc>
        <w:tc>
          <w:tcPr>
            <w:tcW w:w="568"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rPr>
            </w:pPr>
            <w:r>
              <w:rPr>
                <w:color w:val="auto"/>
                <w:sz w:val="18"/>
                <w:szCs w:val="18"/>
              </w:rPr>
              <w:t>003</w:t>
            </w:r>
          </w:p>
        </w:tc>
        <w:tc>
          <w:tcPr>
            <w:tcW w:w="1335"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color w:val="auto"/>
                <w:sz w:val="18"/>
                <w:szCs w:val="18"/>
                <w:lang w:eastAsia="en-US"/>
              </w:rPr>
            </w:pPr>
            <w:r>
              <w:rPr>
                <w:color w:val="auto"/>
                <w:sz w:val="18"/>
                <w:szCs w:val="18"/>
                <w:lang w:eastAsia="en-US"/>
              </w:rPr>
              <w:t>配电箱</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24"/>
              <w:jc w:val="center"/>
              <w:rPr>
                <w:rFonts w:cs="宋体"/>
                <w:color w:val="auto"/>
                <w:sz w:val="18"/>
                <w:szCs w:val="18"/>
              </w:rPr>
            </w:pPr>
            <w:r>
              <w:rPr>
                <w:rFonts w:cs="宋体"/>
                <w:color w:val="auto"/>
                <w:spacing w:val="-9"/>
                <w:sz w:val="18"/>
                <w:szCs w:val="18"/>
              </w:rPr>
              <w:t>无模型，成本或其他性能</w:t>
            </w:r>
            <w:r>
              <w:rPr>
                <w:rFonts w:cs="宋体"/>
                <w:color w:val="auto"/>
                <w:sz w:val="18"/>
                <w:szCs w:val="18"/>
              </w:rPr>
              <w:t>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大概尺寸</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大致尺寸、位置、用途、编号</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实际尺寸、管材</w:t>
            </w:r>
          </w:p>
        </w:tc>
        <w:tc>
          <w:tcPr>
            <w:tcW w:w="1969"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设备型号、实际尺寸、编号、位置、用途</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noWrap/>
            <w:textDirection w:val="tbRl"/>
            <w:vAlign w:val="center"/>
          </w:tcPr>
          <w:p>
            <w:pPr>
              <w:pStyle w:val="480"/>
              <w:spacing w:before="120" w:after="120"/>
              <w:ind w:right="582"/>
              <w:jc w:val="center"/>
              <w:rPr>
                <w:color w:val="auto"/>
                <w:sz w:val="18"/>
                <w:szCs w:val="18"/>
                <w:lang w:eastAsia="zh-CN"/>
              </w:rPr>
            </w:pPr>
          </w:p>
        </w:tc>
        <w:tc>
          <w:tcPr>
            <w:tcW w:w="568"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004</w:t>
            </w:r>
          </w:p>
        </w:tc>
        <w:tc>
          <w:tcPr>
            <w:tcW w:w="1335"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color w:val="auto"/>
                <w:sz w:val="18"/>
                <w:szCs w:val="18"/>
                <w:lang w:eastAsia="en-US"/>
              </w:rPr>
            </w:pPr>
            <w:r>
              <w:rPr>
                <w:color w:val="auto"/>
                <w:sz w:val="18"/>
                <w:szCs w:val="18"/>
                <w:lang w:eastAsia="en-US"/>
              </w:rPr>
              <w:t>控制柜</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24"/>
              <w:jc w:val="center"/>
              <w:rPr>
                <w:rFonts w:cs="宋体"/>
                <w:color w:val="auto"/>
                <w:sz w:val="18"/>
                <w:szCs w:val="18"/>
              </w:rPr>
            </w:pPr>
            <w:r>
              <w:rPr>
                <w:rFonts w:cs="宋体"/>
                <w:color w:val="auto"/>
                <w:spacing w:val="-9"/>
                <w:sz w:val="18"/>
                <w:szCs w:val="18"/>
              </w:rPr>
              <w:t>无模型，成本或其他性能</w:t>
            </w:r>
            <w:r>
              <w:rPr>
                <w:rFonts w:cs="宋体"/>
                <w:color w:val="auto"/>
                <w:sz w:val="18"/>
                <w:szCs w:val="18"/>
              </w:rPr>
              <w:t>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无模型，成本或其他性能</w:t>
            </w:r>
          </w:p>
          <w:p>
            <w:pPr>
              <w:spacing w:before="120" w:after="120"/>
              <w:ind w:right="4" w:firstLine="360"/>
              <w:jc w:val="center"/>
              <w:rPr>
                <w:rFonts w:cs="宋体"/>
                <w:color w:val="auto"/>
                <w:sz w:val="18"/>
                <w:szCs w:val="18"/>
              </w:rPr>
            </w:pPr>
            <w:r>
              <w:rPr>
                <w:rFonts w:cs="宋体"/>
                <w:color w:val="auto"/>
                <w:sz w:val="18"/>
                <w:szCs w:val="18"/>
              </w:rPr>
              <w:t>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大致尺寸、位置、用途、编号</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实际尺寸、位置、用途、编号</w:t>
            </w:r>
          </w:p>
        </w:tc>
        <w:tc>
          <w:tcPr>
            <w:tcW w:w="1969"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设备型号、实际尺寸、编号、位置、用途</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noWrap/>
            <w:textDirection w:val="tbRl"/>
            <w:vAlign w:val="center"/>
          </w:tcPr>
          <w:p>
            <w:pPr>
              <w:pStyle w:val="480"/>
              <w:spacing w:before="120" w:after="120"/>
              <w:ind w:right="582"/>
              <w:jc w:val="center"/>
              <w:rPr>
                <w:color w:val="auto"/>
                <w:sz w:val="18"/>
                <w:szCs w:val="18"/>
                <w:lang w:eastAsia="zh-CN"/>
              </w:rPr>
            </w:pPr>
          </w:p>
        </w:tc>
        <w:tc>
          <w:tcPr>
            <w:tcW w:w="568"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005</w:t>
            </w:r>
          </w:p>
        </w:tc>
        <w:tc>
          <w:tcPr>
            <w:tcW w:w="1335"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color w:val="auto"/>
                <w:sz w:val="18"/>
                <w:szCs w:val="18"/>
                <w:lang w:eastAsia="en-US"/>
              </w:rPr>
            </w:pPr>
            <w:r>
              <w:rPr>
                <w:color w:val="auto"/>
                <w:sz w:val="18"/>
                <w:szCs w:val="18"/>
                <w:lang w:eastAsia="en-US"/>
              </w:rPr>
              <w:t>灯具</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24"/>
              <w:jc w:val="center"/>
              <w:rPr>
                <w:rFonts w:cs="宋体"/>
                <w:color w:val="auto"/>
                <w:sz w:val="18"/>
                <w:szCs w:val="18"/>
              </w:rPr>
            </w:pPr>
            <w:r>
              <w:rPr>
                <w:rFonts w:cs="宋体"/>
                <w:color w:val="auto"/>
                <w:spacing w:val="-9"/>
                <w:sz w:val="18"/>
                <w:szCs w:val="18"/>
              </w:rPr>
              <w:t>无模型，成本或其他性能</w:t>
            </w:r>
            <w:r>
              <w:rPr>
                <w:rFonts w:cs="宋体"/>
                <w:color w:val="auto"/>
                <w:sz w:val="18"/>
                <w:szCs w:val="18"/>
              </w:rPr>
              <w:t>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无模型，成本或其他性能</w:t>
            </w:r>
          </w:p>
          <w:p>
            <w:pPr>
              <w:spacing w:before="120" w:after="120"/>
              <w:ind w:right="4" w:firstLine="360"/>
              <w:jc w:val="center"/>
              <w:rPr>
                <w:rFonts w:cs="宋体"/>
                <w:color w:val="auto"/>
                <w:sz w:val="18"/>
                <w:szCs w:val="18"/>
              </w:rPr>
            </w:pPr>
            <w:r>
              <w:rPr>
                <w:rFonts w:cs="宋体"/>
                <w:color w:val="auto"/>
                <w:sz w:val="18"/>
                <w:szCs w:val="18"/>
              </w:rPr>
              <w:t>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无模型，成本或其他性能</w:t>
            </w:r>
          </w:p>
          <w:p>
            <w:pPr>
              <w:spacing w:before="120" w:after="120"/>
              <w:ind w:right="4" w:firstLine="360"/>
              <w:jc w:val="center"/>
              <w:rPr>
                <w:rFonts w:cs="宋体"/>
                <w:color w:val="auto"/>
                <w:sz w:val="18"/>
                <w:szCs w:val="18"/>
              </w:rPr>
            </w:pPr>
            <w:r>
              <w:rPr>
                <w:rFonts w:cs="宋体"/>
                <w:color w:val="auto"/>
                <w:sz w:val="18"/>
                <w:szCs w:val="18"/>
              </w:rPr>
              <w:t>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类似形状、大概尺寸、位置、用途</w:t>
            </w:r>
          </w:p>
        </w:tc>
        <w:tc>
          <w:tcPr>
            <w:tcW w:w="1969"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设备型号、实际尺寸、编号、位置、用途</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noWrap/>
            <w:textDirection w:val="tbRl"/>
            <w:vAlign w:val="center"/>
          </w:tcPr>
          <w:p>
            <w:pPr>
              <w:pStyle w:val="480"/>
              <w:spacing w:before="120" w:after="120"/>
              <w:ind w:right="582"/>
              <w:jc w:val="center"/>
              <w:rPr>
                <w:color w:val="auto"/>
                <w:sz w:val="18"/>
                <w:szCs w:val="18"/>
                <w:lang w:eastAsia="zh-CN"/>
              </w:rPr>
            </w:pPr>
          </w:p>
        </w:tc>
        <w:tc>
          <w:tcPr>
            <w:tcW w:w="568"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006</w:t>
            </w:r>
          </w:p>
        </w:tc>
        <w:tc>
          <w:tcPr>
            <w:tcW w:w="1335"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color w:val="auto"/>
                <w:sz w:val="18"/>
                <w:szCs w:val="18"/>
                <w:lang w:eastAsia="en-US"/>
              </w:rPr>
            </w:pPr>
            <w:r>
              <w:rPr>
                <w:color w:val="auto"/>
                <w:sz w:val="18"/>
                <w:szCs w:val="18"/>
                <w:lang w:eastAsia="en-US"/>
              </w:rPr>
              <w:t>插座</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24"/>
              <w:jc w:val="center"/>
              <w:rPr>
                <w:rFonts w:cs="宋体"/>
                <w:color w:val="auto"/>
                <w:sz w:val="18"/>
                <w:szCs w:val="18"/>
              </w:rPr>
            </w:pPr>
            <w:r>
              <w:rPr>
                <w:rFonts w:cs="宋体"/>
                <w:color w:val="auto"/>
                <w:spacing w:val="-9"/>
                <w:sz w:val="18"/>
                <w:szCs w:val="18"/>
              </w:rPr>
              <w:t>无模型，成本或其他性能</w:t>
            </w:r>
            <w:r>
              <w:rPr>
                <w:rFonts w:cs="宋体"/>
                <w:color w:val="auto"/>
                <w:sz w:val="18"/>
                <w:szCs w:val="18"/>
              </w:rPr>
              <w:t>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无模型，成本或其他性能</w:t>
            </w:r>
          </w:p>
          <w:p>
            <w:pPr>
              <w:spacing w:before="120" w:after="120"/>
              <w:ind w:right="4" w:firstLine="360"/>
              <w:jc w:val="center"/>
              <w:rPr>
                <w:rFonts w:cs="宋体"/>
                <w:color w:val="auto"/>
                <w:sz w:val="18"/>
                <w:szCs w:val="18"/>
              </w:rPr>
            </w:pPr>
            <w:r>
              <w:rPr>
                <w:rFonts w:cs="宋体"/>
                <w:color w:val="auto"/>
                <w:sz w:val="18"/>
                <w:szCs w:val="18"/>
              </w:rPr>
              <w:t>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无模型，成本或其他性能</w:t>
            </w:r>
          </w:p>
          <w:p>
            <w:pPr>
              <w:spacing w:before="120" w:after="120"/>
              <w:ind w:right="4" w:firstLine="360"/>
              <w:jc w:val="center"/>
              <w:rPr>
                <w:rFonts w:cs="宋体"/>
                <w:color w:val="auto"/>
                <w:sz w:val="18"/>
                <w:szCs w:val="18"/>
              </w:rPr>
            </w:pPr>
            <w:r>
              <w:rPr>
                <w:rFonts w:cs="宋体"/>
                <w:color w:val="auto"/>
                <w:sz w:val="18"/>
                <w:szCs w:val="18"/>
              </w:rPr>
              <w:t>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精确尺寸、设备编号、位置、用途</w:t>
            </w:r>
          </w:p>
        </w:tc>
        <w:tc>
          <w:tcPr>
            <w:tcW w:w="1969"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设备型号、实际尺</w:t>
            </w:r>
          </w:p>
          <w:p>
            <w:pPr>
              <w:spacing w:before="120" w:after="120"/>
              <w:ind w:right="4" w:firstLine="360"/>
              <w:jc w:val="center"/>
              <w:rPr>
                <w:rFonts w:cs="宋体"/>
                <w:color w:val="auto"/>
                <w:sz w:val="18"/>
                <w:szCs w:val="18"/>
              </w:rPr>
            </w:pPr>
            <w:r>
              <w:rPr>
                <w:rFonts w:cs="宋体"/>
                <w:color w:val="auto"/>
                <w:sz w:val="18"/>
                <w:szCs w:val="18"/>
              </w:rPr>
              <w:t>寸、编号、位置、用途</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noWrap/>
            <w:textDirection w:val="tbRl"/>
            <w:vAlign w:val="center"/>
          </w:tcPr>
          <w:p>
            <w:pPr>
              <w:pStyle w:val="480"/>
              <w:spacing w:before="120" w:after="120"/>
              <w:ind w:right="582"/>
              <w:jc w:val="center"/>
              <w:rPr>
                <w:color w:val="auto"/>
                <w:sz w:val="18"/>
                <w:szCs w:val="18"/>
                <w:lang w:eastAsia="zh-CN"/>
              </w:rPr>
            </w:pPr>
          </w:p>
        </w:tc>
        <w:tc>
          <w:tcPr>
            <w:tcW w:w="568"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007</w:t>
            </w:r>
          </w:p>
        </w:tc>
        <w:tc>
          <w:tcPr>
            <w:tcW w:w="1335"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color w:val="auto"/>
                <w:sz w:val="18"/>
                <w:szCs w:val="18"/>
                <w:lang w:eastAsia="en-US"/>
              </w:rPr>
            </w:pPr>
            <w:r>
              <w:rPr>
                <w:color w:val="auto"/>
                <w:sz w:val="18"/>
                <w:szCs w:val="18"/>
                <w:lang w:eastAsia="en-US"/>
              </w:rPr>
              <w:t>弱电线槽</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24"/>
              <w:jc w:val="center"/>
              <w:rPr>
                <w:rFonts w:cs="宋体"/>
                <w:color w:val="auto"/>
                <w:sz w:val="18"/>
                <w:szCs w:val="18"/>
              </w:rPr>
            </w:pPr>
            <w:r>
              <w:rPr>
                <w:rFonts w:cs="宋体"/>
                <w:color w:val="auto"/>
                <w:spacing w:val="-9"/>
                <w:sz w:val="18"/>
                <w:szCs w:val="18"/>
              </w:rPr>
              <w:t>无模型，成本或其他性能</w:t>
            </w:r>
            <w:r>
              <w:rPr>
                <w:rFonts w:cs="宋体"/>
                <w:color w:val="auto"/>
                <w:sz w:val="18"/>
                <w:szCs w:val="18"/>
              </w:rPr>
              <w:t>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大概尺寸</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精确尺寸、管材</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精确尺寸、管材</w:t>
            </w:r>
          </w:p>
        </w:tc>
        <w:tc>
          <w:tcPr>
            <w:tcW w:w="1969"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实际尺寸，管材，连接件最终尺寸</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noWrap/>
            <w:textDirection w:val="tbRl"/>
            <w:vAlign w:val="center"/>
          </w:tcPr>
          <w:p>
            <w:pPr>
              <w:pStyle w:val="480"/>
              <w:spacing w:before="120" w:after="120"/>
              <w:ind w:right="582"/>
              <w:jc w:val="center"/>
              <w:rPr>
                <w:color w:val="auto"/>
                <w:sz w:val="18"/>
                <w:szCs w:val="18"/>
                <w:lang w:eastAsia="zh-CN"/>
              </w:rPr>
            </w:pPr>
          </w:p>
        </w:tc>
        <w:tc>
          <w:tcPr>
            <w:tcW w:w="568"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008</w:t>
            </w:r>
          </w:p>
        </w:tc>
        <w:tc>
          <w:tcPr>
            <w:tcW w:w="1335"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color w:val="auto"/>
                <w:sz w:val="18"/>
                <w:szCs w:val="18"/>
                <w:lang w:eastAsia="en-US"/>
              </w:rPr>
            </w:pPr>
            <w:r>
              <w:rPr>
                <w:color w:val="auto"/>
                <w:sz w:val="18"/>
                <w:szCs w:val="18"/>
                <w:lang w:eastAsia="en-US"/>
              </w:rPr>
              <w:t>音箱</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24"/>
              <w:jc w:val="center"/>
              <w:rPr>
                <w:rFonts w:cs="宋体"/>
                <w:color w:val="auto"/>
                <w:sz w:val="18"/>
                <w:szCs w:val="18"/>
              </w:rPr>
            </w:pPr>
            <w:r>
              <w:rPr>
                <w:rFonts w:cs="宋体"/>
                <w:color w:val="auto"/>
                <w:spacing w:val="-9"/>
                <w:sz w:val="18"/>
                <w:szCs w:val="18"/>
              </w:rPr>
              <w:t>无模型，成本或其他性能</w:t>
            </w:r>
            <w:r>
              <w:rPr>
                <w:rFonts w:cs="宋体"/>
                <w:color w:val="auto"/>
                <w:sz w:val="18"/>
                <w:szCs w:val="18"/>
              </w:rPr>
              <w:t>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无模型，成本或其他性能系可按单位楼面面积的某个数值计入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无模型，成本或其他性能系可按单位楼面面积的某个数值计入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类似形状、大概尺寸、位置、用途</w:t>
            </w:r>
          </w:p>
        </w:tc>
        <w:tc>
          <w:tcPr>
            <w:tcW w:w="1969"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设备型号、实际尺寸、编号、位置、用途</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noWrap/>
            <w:textDirection w:val="tbRl"/>
            <w:vAlign w:val="center"/>
          </w:tcPr>
          <w:p>
            <w:pPr>
              <w:pStyle w:val="480"/>
              <w:spacing w:before="120" w:after="120"/>
              <w:ind w:right="582"/>
              <w:jc w:val="center"/>
              <w:rPr>
                <w:color w:val="auto"/>
                <w:sz w:val="18"/>
                <w:szCs w:val="18"/>
                <w:lang w:eastAsia="zh-CN"/>
              </w:rPr>
            </w:pPr>
          </w:p>
        </w:tc>
        <w:tc>
          <w:tcPr>
            <w:tcW w:w="568"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009</w:t>
            </w:r>
          </w:p>
        </w:tc>
        <w:tc>
          <w:tcPr>
            <w:tcW w:w="1335"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color w:val="auto"/>
                <w:sz w:val="18"/>
                <w:szCs w:val="18"/>
                <w:lang w:eastAsia="en-US"/>
              </w:rPr>
            </w:pPr>
            <w:r>
              <w:rPr>
                <w:color w:val="auto"/>
                <w:sz w:val="18"/>
                <w:szCs w:val="18"/>
                <w:lang w:eastAsia="en-US"/>
              </w:rPr>
              <w:t>信息点</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24"/>
              <w:jc w:val="center"/>
              <w:rPr>
                <w:rFonts w:cs="宋体"/>
                <w:color w:val="auto"/>
                <w:sz w:val="18"/>
                <w:szCs w:val="18"/>
              </w:rPr>
            </w:pPr>
            <w:r>
              <w:rPr>
                <w:rFonts w:cs="宋体"/>
                <w:color w:val="auto"/>
                <w:spacing w:val="-9"/>
                <w:sz w:val="18"/>
                <w:szCs w:val="18"/>
              </w:rPr>
              <w:t>无模型，成本或其他性能</w:t>
            </w:r>
            <w:r>
              <w:rPr>
                <w:rFonts w:cs="宋体"/>
                <w:color w:val="auto"/>
                <w:sz w:val="18"/>
                <w:szCs w:val="18"/>
              </w:rPr>
              <w:t>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无模型，成本或其他性能系可按单位楼面面积的某个数值计入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无模型，成本或其他性能</w:t>
            </w:r>
          </w:p>
          <w:p>
            <w:pPr>
              <w:spacing w:before="120" w:after="120"/>
              <w:ind w:right="4" w:firstLine="360"/>
              <w:jc w:val="center"/>
              <w:rPr>
                <w:rFonts w:cs="宋体"/>
                <w:color w:val="auto"/>
                <w:sz w:val="18"/>
                <w:szCs w:val="18"/>
              </w:rPr>
            </w:pPr>
            <w:r>
              <w:rPr>
                <w:rFonts w:cs="宋体"/>
                <w:color w:val="auto"/>
                <w:sz w:val="18"/>
                <w:szCs w:val="18"/>
              </w:rPr>
              <w:t>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类似形状、大概尺寸、位置、用途</w:t>
            </w:r>
          </w:p>
        </w:tc>
        <w:tc>
          <w:tcPr>
            <w:tcW w:w="1969"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设备型号、实际尺寸、编号、位置、用途</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noWrap/>
            <w:textDirection w:val="tbRl"/>
            <w:vAlign w:val="center"/>
          </w:tcPr>
          <w:p>
            <w:pPr>
              <w:pStyle w:val="480"/>
              <w:spacing w:before="120" w:after="120"/>
              <w:ind w:right="582"/>
              <w:jc w:val="center"/>
              <w:rPr>
                <w:color w:val="auto"/>
                <w:sz w:val="18"/>
                <w:szCs w:val="18"/>
                <w:lang w:eastAsia="zh-CN"/>
              </w:rPr>
            </w:pPr>
          </w:p>
        </w:tc>
        <w:tc>
          <w:tcPr>
            <w:tcW w:w="568"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color w:val="auto"/>
                <w:sz w:val="18"/>
                <w:szCs w:val="18"/>
                <w:lang w:eastAsia="en-US"/>
              </w:rPr>
              <w:t>010</w:t>
            </w:r>
          </w:p>
        </w:tc>
        <w:tc>
          <w:tcPr>
            <w:tcW w:w="1335"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color w:val="auto"/>
                <w:sz w:val="18"/>
                <w:szCs w:val="18"/>
                <w:lang w:eastAsia="en-US"/>
              </w:rPr>
            </w:pPr>
            <w:r>
              <w:rPr>
                <w:color w:val="auto"/>
                <w:sz w:val="18"/>
                <w:szCs w:val="18"/>
                <w:lang w:eastAsia="en-US"/>
              </w:rPr>
              <w:t>强电线槽</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24"/>
              <w:jc w:val="center"/>
              <w:rPr>
                <w:rFonts w:cs="宋体"/>
                <w:color w:val="auto"/>
                <w:sz w:val="18"/>
                <w:szCs w:val="18"/>
              </w:rPr>
            </w:pPr>
            <w:r>
              <w:rPr>
                <w:rFonts w:cs="宋体"/>
                <w:color w:val="auto"/>
                <w:spacing w:val="-9"/>
                <w:sz w:val="18"/>
                <w:szCs w:val="18"/>
              </w:rPr>
              <w:t>无模型，成本或其他性能</w:t>
            </w:r>
            <w:r>
              <w:rPr>
                <w:rFonts w:cs="宋体"/>
                <w:color w:val="auto"/>
                <w:sz w:val="18"/>
                <w:szCs w:val="18"/>
              </w:rPr>
              <w:t>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大概尺寸</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精确尺寸、管材</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实际尺寸、管材</w:t>
            </w:r>
          </w:p>
        </w:tc>
        <w:tc>
          <w:tcPr>
            <w:tcW w:w="1969"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实际尺寸，管材，连接件最终尺寸</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noWrap/>
            <w:textDirection w:val="tbRl"/>
            <w:vAlign w:val="center"/>
          </w:tcPr>
          <w:p>
            <w:pPr>
              <w:pStyle w:val="480"/>
              <w:spacing w:before="120" w:after="120"/>
              <w:ind w:right="582"/>
              <w:jc w:val="center"/>
              <w:rPr>
                <w:color w:val="auto"/>
                <w:sz w:val="18"/>
                <w:szCs w:val="18"/>
                <w:lang w:eastAsia="zh-CN"/>
              </w:rPr>
            </w:pPr>
          </w:p>
        </w:tc>
        <w:tc>
          <w:tcPr>
            <w:tcW w:w="568"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color w:val="auto"/>
                <w:sz w:val="18"/>
                <w:szCs w:val="18"/>
                <w:lang w:eastAsia="en-US"/>
              </w:rPr>
              <w:t>011</w:t>
            </w:r>
          </w:p>
        </w:tc>
        <w:tc>
          <w:tcPr>
            <w:tcW w:w="1335"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color w:val="auto"/>
                <w:sz w:val="18"/>
                <w:szCs w:val="18"/>
                <w:lang w:eastAsia="en-US"/>
              </w:rPr>
            </w:pPr>
            <w:r>
              <w:rPr>
                <w:color w:val="auto"/>
                <w:sz w:val="18"/>
                <w:szCs w:val="18"/>
                <w:lang w:eastAsia="en-US"/>
              </w:rPr>
              <w:t>摄像机</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24"/>
              <w:jc w:val="center"/>
              <w:rPr>
                <w:rFonts w:cs="宋体"/>
                <w:color w:val="auto"/>
                <w:sz w:val="18"/>
                <w:szCs w:val="18"/>
              </w:rPr>
            </w:pPr>
            <w:r>
              <w:rPr>
                <w:rFonts w:cs="宋体"/>
                <w:color w:val="auto"/>
                <w:spacing w:val="-9"/>
                <w:sz w:val="18"/>
                <w:szCs w:val="18"/>
              </w:rPr>
              <w:t>无模型，</w:t>
            </w:r>
            <w:r>
              <w:rPr>
                <w:rFonts w:cs="宋体"/>
                <w:color w:val="auto"/>
                <w:sz w:val="18"/>
                <w:szCs w:val="18"/>
              </w:rPr>
              <w:t>成本</w:t>
            </w:r>
            <w:r>
              <w:rPr>
                <w:rFonts w:cs="宋体"/>
                <w:color w:val="auto"/>
                <w:spacing w:val="-9"/>
                <w:sz w:val="18"/>
                <w:szCs w:val="18"/>
              </w:rPr>
              <w:t>或其他性能</w:t>
            </w:r>
            <w:r>
              <w:rPr>
                <w:rFonts w:cs="宋体"/>
                <w:color w:val="auto"/>
                <w:sz w:val="18"/>
                <w:szCs w:val="18"/>
              </w:rPr>
              <w:t>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无模型，成本或其他性能系可按单位楼面面积的某个数值计入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无模型，成本或其他性能系可按单位楼面面积的某个数值计入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类似形状、大概尺寸、位置、用途</w:t>
            </w:r>
          </w:p>
        </w:tc>
        <w:tc>
          <w:tcPr>
            <w:tcW w:w="1969"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设备型号、精确尺寸、编号、位置、用途</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noWrap/>
            <w:textDirection w:val="tbRl"/>
            <w:vAlign w:val="center"/>
          </w:tcPr>
          <w:p>
            <w:pPr>
              <w:pStyle w:val="480"/>
              <w:spacing w:before="120" w:after="120"/>
              <w:ind w:right="582"/>
              <w:jc w:val="center"/>
              <w:rPr>
                <w:color w:val="auto"/>
                <w:sz w:val="18"/>
                <w:szCs w:val="18"/>
                <w:lang w:eastAsia="zh-CN"/>
              </w:rPr>
            </w:pPr>
          </w:p>
        </w:tc>
        <w:tc>
          <w:tcPr>
            <w:tcW w:w="568"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color w:val="auto"/>
                <w:sz w:val="18"/>
                <w:szCs w:val="18"/>
                <w:lang w:eastAsia="en-US"/>
              </w:rPr>
              <w:t>012</w:t>
            </w:r>
          </w:p>
        </w:tc>
        <w:tc>
          <w:tcPr>
            <w:tcW w:w="1335"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color w:val="auto"/>
                <w:sz w:val="18"/>
                <w:szCs w:val="18"/>
                <w:lang w:eastAsia="en-US"/>
              </w:rPr>
            </w:pPr>
            <w:r>
              <w:rPr>
                <w:color w:val="auto"/>
                <w:sz w:val="18"/>
                <w:szCs w:val="18"/>
                <w:lang w:eastAsia="en-US"/>
              </w:rPr>
              <w:t>探测器</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24"/>
              <w:jc w:val="center"/>
              <w:rPr>
                <w:rFonts w:cs="宋体"/>
                <w:color w:val="auto"/>
                <w:sz w:val="18"/>
                <w:szCs w:val="18"/>
              </w:rPr>
            </w:pPr>
            <w:r>
              <w:rPr>
                <w:rFonts w:cs="宋体"/>
                <w:color w:val="auto"/>
                <w:spacing w:val="-9"/>
                <w:sz w:val="18"/>
                <w:szCs w:val="18"/>
              </w:rPr>
              <w:t>无模型，成本或其他性能</w:t>
            </w:r>
            <w:r>
              <w:rPr>
                <w:rFonts w:cs="宋体"/>
                <w:color w:val="auto"/>
                <w:sz w:val="18"/>
                <w:szCs w:val="18"/>
              </w:rPr>
              <w:t>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无模型，成本或其他性能系可按单位楼面面积的某个数值计入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无模型，成本或其他性能系可按单位楼面面积的某个数值计入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类似形状、大概尺寸、位置、用途</w:t>
            </w:r>
          </w:p>
        </w:tc>
        <w:tc>
          <w:tcPr>
            <w:tcW w:w="1969"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设备型号、精确尺寸、编号、位置、用途</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noWrap/>
            <w:textDirection w:val="tbRl"/>
            <w:vAlign w:val="center"/>
          </w:tcPr>
          <w:p>
            <w:pPr>
              <w:pStyle w:val="480"/>
              <w:spacing w:before="120" w:after="120"/>
              <w:ind w:right="582"/>
              <w:jc w:val="center"/>
              <w:rPr>
                <w:color w:val="auto"/>
                <w:sz w:val="18"/>
                <w:szCs w:val="18"/>
                <w:lang w:eastAsia="zh-CN"/>
              </w:rPr>
            </w:pPr>
          </w:p>
        </w:tc>
        <w:tc>
          <w:tcPr>
            <w:tcW w:w="568"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color w:val="auto"/>
                <w:sz w:val="18"/>
                <w:szCs w:val="18"/>
                <w:lang w:eastAsia="en-US"/>
              </w:rPr>
              <w:t>013</w:t>
            </w:r>
          </w:p>
        </w:tc>
        <w:tc>
          <w:tcPr>
            <w:tcW w:w="1335"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color w:val="auto"/>
                <w:sz w:val="18"/>
                <w:szCs w:val="18"/>
                <w:lang w:eastAsia="en-US"/>
              </w:rPr>
            </w:pPr>
            <w:r>
              <w:rPr>
                <w:color w:val="auto"/>
                <w:sz w:val="18"/>
                <w:szCs w:val="18"/>
                <w:lang w:eastAsia="en-US"/>
              </w:rPr>
              <w:t>接线箱</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24"/>
              <w:jc w:val="center"/>
              <w:rPr>
                <w:rFonts w:cs="宋体"/>
                <w:color w:val="auto"/>
                <w:sz w:val="18"/>
                <w:szCs w:val="18"/>
              </w:rPr>
            </w:pPr>
            <w:r>
              <w:rPr>
                <w:rFonts w:cs="宋体"/>
                <w:color w:val="auto"/>
                <w:spacing w:val="-9"/>
                <w:sz w:val="18"/>
                <w:szCs w:val="18"/>
              </w:rPr>
              <w:t>无模型，成本或其他性能</w:t>
            </w:r>
            <w:r>
              <w:rPr>
                <w:rFonts w:cs="宋体"/>
                <w:color w:val="auto"/>
                <w:sz w:val="18"/>
                <w:szCs w:val="18"/>
              </w:rPr>
              <w:t>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无模型，成本或其他性能系可按单位楼面面积的某个数值计入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无模型，成本或其他性能系可按单位楼面面积的某个数值计入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具有精确尺寸、位置、用途</w:t>
            </w:r>
          </w:p>
        </w:tc>
        <w:tc>
          <w:tcPr>
            <w:tcW w:w="1969"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设备型号、精确尺寸、编号、位置、用途</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bottom w:val="single" w:color="auto" w:sz="4" w:space="0"/>
              <w:right w:val="single" w:color="auto" w:sz="4" w:space="0"/>
            </w:tcBorders>
            <w:noWrap/>
            <w:textDirection w:val="tbRl"/>
            <w:vAlign w:val="center"/>
          </w:tcPr>
          <w:p>
            <w:pPr>
              <w:pStyle w:val="480"/>
              <w:spacing w:before="120" w:after="120"/>
              <w:ind w:right="582"/>
              <w:jc w:val="center"/>
              <w:rPr>
                <w:color w:val="auto"/>
                <w:sz w:val="18"/>
                <w:szCs w:val="18"/>
                <w:lang w:eastAsia="zh-CN"/>
              </w:rPr>
            </w:pPr>
          </w:p>
        </w:tc>
        <w:tc>
          <w:tcPr>
            <w:tcW w:w="13580" w:type="dxa"/>
            <w:gridSpan w:val="7"/>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hint="eastAsia" w:cs="宋体"/>
                <w:color w:val="auto"/>
                <w:sz w:val="18"/>
                <w:szCs w:val="18"/>
              </w:rPr>
              <w:t>注：上述模型精度要求仅作参考，具体精度内容应参考相关合同、行业标准、地方标准的要求。</w:t>
            </w:r>
          </w:p>
        </w:tc>
      </w:tr>
    </w:tbl>
    <w:p>
      <w:pPr>
        <w:spacing w:before="120" w:after="120" w:line="272" w:lineRule="exact"/>
        <w:rPr>
          <w:rFonts w:cs="宋体"/>
          <w:color w:val="auto"/>
          <w:szCs w:val="21"/>
        </w:rPr>
        <w:sectPr>
          <w:pgSz w:w="16840" w:h="11910" w:orient="landscape"/>
          <w:pgMar w:top="1080" w:right="900" w:bottom="1140" w:left="900" w:header="0" w:footer="953" w:gutter="0"/>
          <w:cols w:space="720" w:num="1"/>
        </w:sectPr>
      </w:pPr>
    </w:p>
    <w:p>
      <w:pPr>
        <w:spacing w:before="120" w:after="120"/>
        <w:ind w:firstLine="140"/>
        <w:rPr>
          <w:rFonts w:eastAsia="Times New Roman"/>
          <w:color w:val="auto"/>
          <w:sz w:val="7"/>
          <w:szCs w:val="7"/>
        </w:rPr>
      </w:pPr>
    </w:p>
    <w:p>
      <w:pPr>
        <w:spacing w:before="120" w:after="120"/>
        <w:outlineLvl w:val="4"/>
        <w:rPr>
          <w:color w:val="auto"/>
        </w:rPr>
      </w:pPr>
      <w:bookmarkStart w:id="909" w:name="_Toc3015"/>
      <w:bookmarkStart w:id="910" w:name="_Toc2841"/>
      <w:r>
        <w:rPr>
          <w:color w:val="auto"/>
        </w:rPr>
        <w:t>6 室外管线专业</w:t>
      </w:r>
      <w:bookmarkEnd w:id="909"/>
      <w:bookmarkEnd w:id="910"/>
    </w:p>
    <w:tbl>
      <w:tblPr>
        <w:tblStyle w:val="55"/>
        <w:tblW w:w="14801" w:type="dxa"/>
        <w:tblInd w:w="111" w:type="dxa"/>
        <w:tblLayout w:type="fixed"/>
        <w:tblCellMar>
          <w:top w:w="0" w:type="dxa"/>
          <w:left w:w="0" w:type="dxa"/>
          <w:bottom w:w="0" w:type="dxa"/>
          <w:right w:w="0" w:type="dxa"/>
        </w:tblCellMar>
      </w:tblPr>
      <w:tblGrid>
        <w:gridCol w:w="1221"/>
        <w:gridCol w:w="568"/>
        <w:gridCol w:w="1335"/>
        <w:gridCol w:w="2427"/>
        <w:gridCol w:w="2427"/>
        <w:gridCol w:w="2427"/>
        <w:gridCol w:w="2427"/>
        <w:gridCol w:w="1969"/>
      </w:tblGrid>
      <w:tr>
        <w:tblPrEx>
          <w:tblCellMar>
            <w:top w:w="0" w:type="dxa"/>
            <w:left w:w="0" w:type="dxa"/>
            <w:bottom w:w="0" w:type="dxa"/>
            <w:right w:w="0" w:type="dxa"/>
          </w:tblCellMar>
        </w:tblPrEx>
        <w:trPr>
          <w:cantSplit/>
          <w:trHeight w:val="454" w:hRule="atLeast"/>
          <w:tblHeader/>
        </w:trPr>
        <w:tc>
          <w:tcPr>
            <w:tcW w:w="1221" w:type="dxa"/>
            <w:vMerge w:val="restart"/>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专业</w:t>
            </w:r>
          </w:p>
        </w:tc>
        <w:tc>
          <w:tcPr>
            <w:tcW w:w="1903" w:type="dxa"/>
            <w:gridSpan w:val="2"/>
            <w:vMerge w:val="restart"/>
            <w:tcBorders>
              <w:top w:val="single" w:color="auto" w:sz="4" w:space="0"/>
              <w:left w:val="single" w:color="auto" w:sz="4" w:space="0"/>
              <w:bottom w:val="single" w:color="auto" w:sz="4" w:space="0"/>
              <w:right w:val="single" w:color="auto" w:sz="4" w:space="0"/>
              <w:tl2br w:val="single" w:color="auto" w:sz="4" w:space="0"/>
            </w:tcBorders>
            <w:noWrap/>
            <w:vAlign w:val="center"/>
          </w:tcPr>
          <w:p>
            <w:pPr>
              <w:spacing w:before="120" w:after="120"/>
              <w:ind w:firstLine="360"/>
              <w:jc w:val="right"/>
              <w:rPr>
                <w:rFonts w:cs="宋体"/>
                <w:color w:val="auto"/>
                <w:sz w:val="18"/>
                <w:szCs w:val="18"/>
                <w:lang w:eastAsia="en-US"/>
              </w:rPr>
            </w:pPr>
            <w:r>
              <w:rPr>
                <w:rFonts w:cs="宋体"/>
                <w:color w:val="auto"/>
                <w:sz w:val="18"/>
                <w:szCs w:val="18"/>
                <w:lang w:eastAsia="en-US"/>
              </w:rPr>
              <w:t>详细等级</w:t>
            </w:r>
          </w:p>
          <w:p>
            <w:pPr>
              <w:spacing w:before="120" w:after="120"/>
              <w:ind w:firstLine="360"/>
              <w:jc w:val="center"/>
              <w:rPr>
                <w:rFonts w:cs="宋体"/>
                <w:color w:val="auto"/>
                <w:sz w:val="18"/>
                <w:szCs w:val="18"/>
                <w:lang w:eastAsia="en-US"/>
              </w:rPr>
            </w:pPr>
          </w:p>
          <w:p>
            <w:pPr>
              <w:spacing w:before="120" w:after="120"/>
              <w:ind w:firstLine="360"/>
              <w:jc w:val="left"/>
              <w:rPr>
                <w:rFonts w:cs="宋体"/>
                <w:color w:val="auto"/>
                <w:sz w:val="18"/>
                <w:szCs w:val="18"/>
                <w:lang w:eastAsia="en-US"/>
              </w:rPr>
            </w:pPr>
            <w:r>
              <w:rPr>
                <w:rFonts w:cs="宋体"/>
                <w:color w:val="auto"/>
                <w:sz w:val="18"/>
                <w:szCs w:val="18"/>
                <w:lang w:eastAsia="en-US"/>
              </w:rPr>
              <w:t>子项</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eastAsia="Times New Roman"/>
                <w:color w:val="auto"/>
                <w:sz w:val="18"/>
                <w:szCs w:val="18"/>
                <w:lang w:eastAsia="en-US"/>
              </w:rPr>
            </w:pPr>
            <w:r>
              <w:rPr>
                <w:rFonts w:cs="宋体"/>
                <w:color w:val="auto"/>
                <w:sz w:val="18"/>
                <w:szCs w:val="18"/>
                <w:lang w:eastAsia="en-US"/>
              </w:rPr>
              <w:t>LOD100</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eastAsia="Times New Roman"/>
                <w:color w:val="auto"/>
                <w:sz w:val="18"/>
                <w:szCs w:val="18"/>
                <w:lang w:eastAsia="en-US"/>
              </w:rPr>
            </w:pPr>
            <w:r>
              <w:rPr>
                <w:rFonts w:cs="宋体"/>
                <w:color w:val="auto"/>
                <w:sz w:val="18"/>
                <w:szCs w:val="18"/>
                <w:lang w:eastAsia="en-US"/>
              </w:rPr>
              <w:t>LOD200</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eastAsia="Times New Roman"/>
                <w:color w:val="auto"/>
                <w:sz w:val="18"/>
                <w:szCs w:val="18"/>
                <w:lang w:eastAsia="en-US"/>
              </w:rPr>
            </w:pPr>
            <w:r>
              <w:rPr>
                <w:color w:val="auto"/>
                <w:sz w:val="18"/>
                <w:szCs w:val="18"/>
                <w:lang w:eastAsia="en-US"/>
              </w:rPr>
              <w:t>LOD300</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eastAsia="Times New Roman"/>
                <w:color w:val="auto"/>
                <w:sz w:val="18"/>
                <w:szCs w:val="18"/>
                <w:lang w:eastAsia="en-US"/>
              </w:rPr>
            </w:pPr>
            <w:r>
              <w:rPr>
                <w:rFonts w:cs="宋体"/>
                <w:color w:val="auto"/>
                <w:sz w:val="18"/>
                <w:szCs w:val="18"/>
                <w:lang w:eastAsia="en-US"/>
              </w:rPr>
              <w:t>LOD400</w:t>
            </w:r>
          </w:p>
        </w:tc>
        <w:tc>
          <w:tcPr>
            <w:tcW w:w="1969"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eastAsia="Times New Roman"/>
                <w:color w:val="auto"/>
                <w:sz w:val="18"/>
                <w:szCs w:val="18"/>
                <w:lang w:eastAsia="en-US"/>
              </w:rPr>
            </w:pPr>
            <w:r>
              <w:rPr>
                <w:rFonts w:cs="宋体"/>
                <w:color w:val="auto"/>
                <w:sz w:val="18"/>
                <w:szCs w:val="18"/>
                <w:lang w:eastAsia="en-US"/>
              </w:rPr>
              <w:t>LOD500</w:t>
            </w:r>
          </w:p>
        </w:tc>
      </w:tr>
      <w:tr>
        <w:tblPrEx>
          <w:tblCellMar>
            <w:top w:w="0" w:type="dxa"/>
            <w:left w:w="0" w:type="dxa"/>
            <w:bottom w:w="0" w:type="dxa"/>
            <w:right w:w="0" w:type="dxa"/>
          </w:tblCellMar>
        </w:tblPrEx>
        <w:trPr>
          <w:cantSplit/>
          <w:trHeight w:val="454" w:hRule="atLeast"/>
          <w:tblHeader/>
        </w:trPr>
        <w:tc>
          <w:tcPr>
            <w:tcW w:w="1221" w:type="dxa"/>
            <w:vMerge w:val="continue"/>
            <w:tcBorders>
              <w:top w:val="single" w:color="auto" w:sz="4" w:space="0"/>
              <w:left w:val="single" w:color="auto" w:sz="4" w:space="0"/>
              <w:bottom w:val="single" w:color="auto" w:sz="4" w:space="0"/>
              <w:right w:val="single" w:color="auto" w:sz="4" w:space="0"/>
            </w:tcBorders>
            <w:noWrap/>
            <w:textDirection w:val="tbRl"/>
            <w:vAlign w:val="center"/>
          </w:tcPr>
          <w:p>
            <w:pPr>
              <w:spacing w:before="120" w:after="120"/>
              <w:ind w:firstLine="360"/>
              <w:jc w:val="center"/>
              <w:rPr>
                <w:color w:val="auto"/>
                <w:sz w:val="18"/>
                <w:szCs w:val="18"/>
                <w:lang w:eastAsia="en-US"/>
              </w:rPr>
            </w:pPr>
          </w:p>
        </w:tc>
        <w:tc>
          <w:tcPr>
            <w:tcW w:w="1903" w:type="dxa"/>
            <w:gridSpan w:val="2"/>
            <w:vMerge w:val="continue"/>
            <w:tcBorders>
              <w:top w:val="single" w:color="auto" w:sz="4" w:space="0"/>
              <w:left w:val="single" w:color="auto" w:sz="4" w:space="0"/>
              <w:bottom w:val="single" w:color="auto" w:sz="4" w:space="0"/>
              <w:right w:val="single" w:color="auto" w:sz="4" w:space="0"/>
              <w:tl2br w:val="single" w:color="auto" w:sz="4" w:space="0"/>
            </w:tcBorders>
            <w:noWrap/>
            <w:vAlign w:val="center"/>
          </w:tcPr>
          <w:p>
            <w:pPr>
              <w:spacing w:before="120" w:after="120"/>
              <w:ind w:firstLine="360"/>
              <w:jc w:val="center"/>
              <w:rPr>
                <w:color w:val="auto"/>
                <w:sz w:val="18"/>
                <w:szCs w:val="18"/>
                <w:lang w:eastAsia="en-US"/>
              </w:rPr>
            </w:pP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方案设计模型</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rPr>
            </w:pPr>
            <w:r>
              <w:rPr>
                <w:rFonts w:cs="宋体"/>
                <w:color w:val="auto"/>
                <w:sz w:val="18"/>
                <w:szCs w:val="18"/>
              </w:rPr>
              <w:t>扩初设计模型(扩初图纸）</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施工图模型</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施工深化模型</w:t>
            </w:r>
          </w:p>
        </w:tc>
        <w:tc>
          <w:tcPr>
            <w:tcW w:w="1969"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竣工模型</w:t>
            </w:r>
          </w:p>
        </w:tc>
      </w:tr>
      <w:tr>
        <w:tblPrEx>
          <w:tblCellMar>
            <w:top w:w="0" w:type="dxa"/>
            <w:left w:w="0" w:type="dxa"/>
            <w:bottom w:w="0" w:type="dxa"/>
            <w:right w:w="0" w:type="dxa"/>
          </w:tblCellMar>
        </w:tblPrEx>
        <w:trPr>
          <w:cantSplit/>
          <w:trHeight w:val="454" w:hRule="atLeast"/>
        </w:trPr>
        <w:tc>
          <w:tcPr>
            <w:tcW w:w="1221" w:type="dxa"/>
            <w:vMerge w:val="restart"/>
            <w:tcBorders>
              <w:top w:val="single" w:color="auto" w:sz="4" w:space="0"/>
              <w:left w:val="single" w:color="auto" w:sz="4" w:space="0"/>
              <w:right w:val="single" w:color="auto" w:sz="4" w:space="0"/>
            </w:tcBorders>
            <w:noWrap/>
            <w:vAlign w:val="center"/>
          </w:tcPr>
          <w:p>
            <w:pPr>
              <w:pStyle w:val="480"/>
              <w:spacing w:before="120" w:after="120"/>
              <w:ind w:right="4"/>
              <w:jc w:val="center"/>
              <w:rPr>
                <w:color w:val="auto"/>
                <w:sz w:val="18"/>
                <w:szCs w:val="18"/>
              </w:rPr>
            </w:pPr>
            <w:r>
              <w:rPr>
                <w:rFonts w:hint="eastAsia"/>
                <w:color w:val="auto"/>
                <w:sz w:val="18"/>
                <w:szCs w:val="18"/>
                <w:lang w:eastAsia="zh-CN"/>
              </w:rPr>
              <w:t>室外管线</w:t>
            </w:r>
          </w:p>
        </w:tc>
        <w:tc>
          <w:tcPr>
            <w:tcW w:w="568"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rPr>
            </w:pPr>
            <w:r>
              <w:rPr>
                <w:color w:val="auto"/>
                <w:sz w:val="18"/>
                <w:szCs w:val="18"/>
              </w:rPr>
              <w:t>001</w:t>
            </w:r>
          </w:p>
        </w:tc>
        <w:tc>
          <w:tcPr>
            <w:tcW w:w="1335"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rPr>
            </w:pPr>
            <w:r>
              <w:rPr>
                <w:color w:val="auto"/>
                <w:sz w:val="18"/>
                <w:szCs w:val="18"/>
              </w:rPr>
              <w:t>市政给水</w:t>
            </w:r>
          </w:p>
        </w:tc>
        <w:tc>
          <w:tcPr>
            <w:tcW w:w="2427"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lang w:eastAsia="zh-CN"/>
              </w:rPr>
            </w:pPr>
            <w:r>
              <w:rPr>
                <w:color w:val="auto"/>
                <w:sz w:val="18"/>
                <w:szCs w:val="18"/>
                <w:lang w:eastAsia="zh-CN"/>
              </w:rPr>
              <w:t>无模型，成本或其他性能系可按单位楼面面积的某个数值计入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rPr>
            </w:pPr>
            <w:r>
              <w:rPr>
                <w:color w:val="auto"/>
                <w:sz w:val="18"/>
                <w:szCs w:val="18"/>
              </w:rPr>
              <w:t>大概尺寸、位置、用途</w:t>
            </w:r>
          </w:p>
        </w:tc>
        <w:tc>
          <w:tcPr>
            <w:tcW w:w="2427"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rPr>
            </w:pPr>
            <w:r>
              <w:rPr>
                <w:color w:val="auto"/>
                <w:sz w:val="18"/>
                <w:szCs w:val="18"/>
              </w:rPr>
              <w:t>精确尺寸、管材</w:t>
            </w:r>
          </w:p>
        </w:tc>
        <w:tc>
          <w:tcPr>
            <w:tcW w:w="2427"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rPr>
            </w:pPr>
            <w:r>
              <w:rPr>
                <w:color w:val="auto"/>
                <w:sz w:val="18"/>
                <w:szCs w:val="18"/>
              </w:rPr>
              <w:t>实际尺寸、管材</w:t>
            </w:r>
          </w:p>
        </w:tc>
        <w:tc>
          <w:tcPr>
            <w:tcW w:w="1969"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lang w:eastAsia="zh-CN"/>
              </w:rPr>
            </w:pPr>
            <w:r>
              <w:rPr>
                <w:color w:val="auto"/>
                <w:sz w:val="18"/>
                <w:szCs w:val="18"/>
                <w:lang w:eastAsia="zh-CN"/>
              </w:rPr>
              <w:t>实际尺寸，管材，连接件最终尺寸，以及节点计入详细模型</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noWrap/>
            <w:textDirection w:val="tbRl"/>
            <w:vAlign w:val="center"/>
          </w:tcPr>
          <w:p>
            <w:pPr>
              <w:pStyle w:val="480"/>
              <w:spacing w:before="120" w:after="120"/>
              <w:ind w:right="582"/>
              <w:jc w:val="center"/>
              <w:rPr>
                <w:color w:val="auto"/>
                <w:sz w:val="18"/>
                <w:szCs w:val="18"/>
                <w:lang w:eastAsia="zh-CN"/>
              </w:rPr>
            </w:pPr>
          </w:p>
        </w:tc>
        <w:tc>
          <w:tcPr>
            <w:tcW w:w="568"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rPr>
            </w:pPr>
            <w:r>
              <w:rPr>
                <w:color w:val="auto"/>
                <w:sz w:val="18"/>
                <w:szCs w:val="18"/>
              </w:rPr>
              <w:t>002</w:t>
            </w:r>
          </w:p>
        </w:tc>
        <w:tc>
          <w:tcPr>
            <w:tcW w:w="1335"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rPr>
            </w:pPr>
            <w:r>
              <w:rPr>
                <w:color w:val="auto"/>
                <w:sz w:val="18"/>
                <w:szCs w:val="18"/>
              </w:rPr>
              <w:t>市政排水</w:t>
            </w:r>
          </w:p>
        </w:tc>
        <w:tc>
          <w:tcPr>
            <w:tcW w:w="2427"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lang w:eastAsia="zh-CN"/>
              </w:rPr>
            </w:pPr>
            <w:r>
              <w:rPr>
                <w:color w:val="auto"/>
                <w:sz w:val="18"/>
                <w:szCs w:val="18"/>
                <w:lang w:eastAsia="zh-CN"/>
              </w:rPr>
              <w:t>无模型，成本或其他性能系可按单位楼面面积的某个数值计入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rPr>
            </w:pPr>
            <w:r>
              <w:rPr>
                <w:color w:val="auto"/>
                <w:sz w:val="18"/>
                <w:szCs w:val="18"/>
              </w:rPr>
              <w:t>大概尺寸、位置、用途</w:t>
            </w:r>
          </w:p>
        </w:tc>
        <w:tc>
          <w:tcPr>
            <w:tcW w:w="2427"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rPr>
            </w:pPr>
            <w:r>
              <w:rPr>
                <w:color w:val="auto"/>
                <w:sz w:val="18"/>
                <w:szCs w:val="18"/>
              </w:rPr>
              <w:t>精确尺寸、管材</w:t>
            </w:r>
          </w:p>
        </w:tc>
        <w:tc>
          <w:tcPr>
            <w:tcW w:w="2427"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rPr>
            </w:pPr>
            <w:r>
              <w:rPr>
                <w:color w:val="auto"/>
                <w:sz w:val="18"/>
                <w:szCs w:val="18"/>
              </w:rPr>
              <w:t>实际尺寸、管材</w:t>
            </w:r>
          </w:p>
        </w:tc>
        <w:tc>
          <w:tcPr>
            <w:tcW w:w="1969"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lang w:eastAsia="zh-CN"/>
              </w:rPr>
            </w:pPr>
            <w:r>
              <w:rPr>
                <w:color w:val="auto"/>
                <w:sz w:val="18"/>
                <w:szCs w:val="18"/>
                <w:lang w:eastAsia="zh-CN"/>
              </w:rPr>
              <w:t>实际尺寸，管材，连接件最终尺寸，以及节点计入详细模型</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noWrap/>
            <w:textDirection w:val="tbRl"/>
            <w:vAlign w:val="center"/>
          </w:tcPr>
          <w:p>
            <w:pPr>
              <w:pStyle w:val="480"/>
              <w:spacing w:before="120" w:after="120"/>
              <w:ind w:right="582"/>
              <w:jc w:val="center"/>
              <w:rPr>
                <w:color w:val="auto"/>
                <w:sz w:val="18"/>
                <w:szCs w:val="18"/>
                <w:lang w:eastAsia="zh-CN"/>
              </w:rPr>
            </w:pPr>
          </w:p>
        </w:tc>
        <w:tc>
          <w:tcPr>
            <w:tcW w:w="568"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rPr>
            </w:pPr>
            <w:r>
              <w:rPr>
                <w:color w:val="auto"/>
                <w:sz w:val="18"/>
                <w:szCs w:val="18"/>
              </w:rPr>
              <w:t>003</w:t>
            </w:r>
          </w:p>
        </w:tc>
        <w:tc>
          <w:tcPr>
            <w:tcW w:w="1335"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rPr>
            </w:pPr>
            <w:r>
              <w:rPr>
                <w:color w:val="auto"/>
                <w:sz w:val="18"/>
                <w:szCs w:val="18"/>
              </w:rPr>
              <w:t>市政供电</w:t>
            </w:r>
          </w:p>
        </w:tc>
        <w:tc>
          <w:tcPr>
            <w:tcW w:w="2427"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lang w:eastAsia="zh-CN"/>
              </w:rPr>
            </w:pPr>
            <w:r>
              <w:rPr>
                <w:color w:val="auto"/>
                <w:sz w:val="18"/>
                <w:szCs w:val="18"/>
                <w:lang w:eastAsia="zh-CN"/>
              </w:rPr>
              <w:t>无模型，成本或其他性能系可按单位楼面面积的某个数值计入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rPr>
            </w:pPr>
            <w:r>
              <w:rPr>
                <w:color w:val="auto"/>
                <w:sz w:val="18"/>
                <w:szCs w:val="18"/>
              </w:rPr>
              <w:t>大概尺寸、位置、用途</w:t>
            </w:r>
          </w:p>
        </w:tc>
        <w:tc>
          <w:tcPr>
            <w:tcW w:w="2427"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rPr>
            </w:pPr>
            <w:r>
              <w:rPr>
                <w:color w:val="auto"/>
                <w:sz w:val="18"/>
                <w:szCs w:val="18"/>
              </w:rPr>
              <w:t>精确尺寸、管材</w:t>
            </w:r>
          </w:p>
        </w:tc>
        <w:tc>
          <w:tcPr>
            <w:tcW w:w="2427"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rPr>
            </w:pPr>
            <w:r>
              <w:rPr>
                <w:color w:val="auto"/>
                <w:sz w:val="18"/>
                <w:szCs w:val="18"/>
              </w:rPr>
              <w:t>实际尺寸、管材</w:t>
            </w:r>
          </w:p>
        </w:tc>
        <w:tc>
          <w:tcPr>
            <w:tcW w:w="1969"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lang w:eastAsia="zh-CN"/>
              </w:rPr>
            </w:pPr>
            <w:r>
              <w:rPr>
                <w:color w:val="auto"/>
                <w:sz w:val="18"/>
                <w:szCs w:val="18"/>
                <w:lang w:eastAsia="zh-CN"/>
              </w:rPr>
              <w:t>实际尺寸，管材，连接件最终尺寸，以及节点计入详细模型</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noWrap/>
            <w:textDirection w:val="tbRl"/>
            <w:vAlign w:val="center"/>
          </w:tcPr>
          <w:p>
            <w:pPr>
              <w:pStyle w:val="480"/>
              <w:spacing w:before="120" w:after="120"/>
              <w:ind w:right="582"/>
              <w:jc w:val="center"/>
              <w:rPr>
                <w:color w:val="auto"/>
                <w:sz w:val="18"/>
                <w:szCs w:val="18"/>
                <w:lang w:eastAsia="zh-CN"/>
              </w:rPr>
            </w:pPr>
          </w:p>
        </w:tc>
        <w:tc>
          <w:tcPr>
            <w:tcW w:w="568"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004</w:t>
            </w:r>
          </w:p>
        </w:tc>
        <w:tc>
          <w:tcPr>
            <w:tcW w:w="1335"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rPr>
            </w:pPr>
            <w:r>
              <w:rPr>
                <w:color w:val="auto"/>
                <w:sz w:val="18"/>
                <w:szCs w:val="18"/>
              </w:rPr>
              <w:t>市政通讯</w:t>
            </w:r>
          </w:p>
        </w:tc>
        <w:tc>
          <w:tcPr>
            <w:tcW w:w="2427"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lang w:eastAsia="zh-CN"/>
              </w:rPr>
            </w:pPr>
            <w:r>
              <w:rPr>
                <w:color w:val="auto"/>
                <w:sz w:val="18"/>
                <w:szCs w:val="18"/>
                <w:lang w:eastAsia="zh-CN"/>
              </w:rPr>
              <w:t>无模型，成本或其他性能系可按单位楼面面积的某个数值计入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rPr>
            </w:pPr>
            <w:r>
              <w:rPr>
                <w:color w:val="auto"/>
                <w:sz w:val="18"/>
                <w:szCs w:val="18"/>
              </w:rPr>
              <w:t>大概尺寸、位置、用途</w:t>
            </w:r>
          </w:p>
        </w:tc>
        <w:tc>
          <w:tcPr>
            <w:tcW w:w="2427"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rPr>
            </w:pPr>
            <w:r>
              <w:rPr>
                <w:color w:val="auto"/>
                <w:sz w:val="18"/>
                <w:szCs w:val="18"/>
              </w:rPr>
              <w:t>精确尺寸、管材</w:t>
            </w:r>
          </w:p>
        </w:tc>
        <w:tc>
          <w:tcPr>
            <w:tcW w:w="2427"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rPr>
            </w:pPr>
            <w:r>
              <w:rPr>
                <w:color w:val="auto"/>
                <w:sz w:val="18"/>
                <w:szCs w:val="18"/>
              </w:rPr>
              <w:t>实际尺寸、管材</w:t>
            </w:r>
          </w:p>
        </w:tc>
        <w:tc>
          <w:tcPr>
            <w:tcW w:w="1969"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lang w:eastAsia="zh-CN"/>
              </w:rPr>
            </w:pPr>
            <w:r>
              <w:rPr>
                <w:color w:val="auto"/>
                <w:sz w:val="18"/>
                <w:szCs w:val="18"/>
                <w:lang w:eastAsia="zh-CN"/>
              </w:rPr>
              <w:t>实际尺寸，管材，连接件最终尺寸，以及节点计入详细模型</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noWrap/>
            <w:textDirection w:val="tbRl"/>
            <w:vAlign w:val="center"/>
          </w:tcPr>
          <w:p>
            <w:pPr>
              <w:pStyle w:val="480"/>
              <w:spacing w:before="120" w:after="120"/>
              <w:ind w:right="582"/>
              <w:jc w:val="center"/>
              <w:rPr>
                <w:color w:val="auto"/>
                <w:sz w:val="18"/>
                <w:szCs w:val="18"/>
                <w:lang w:eastAsia="zh-CN"/>
              </w:rPr>
            </w:pPr>
          </w:p>
        </w:tc>
        <w:tc>
          <w:tcPr>
            <w:tcW w:w="568"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005</w:t>
            </w:r>
          </w:p>
        </w:tc>
        <w:tc>
          <w:tcPr>
            <w:tcW w:w="1335"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rPr>
            </w:pPr>
            <w:r>
              <w:rPr>
                <w:color w:val="auto"/>
                <w:sz w:val="18"/>
                <w:szCs w:val="18"/>
              </w:rPr>
              <w:t>市政燃气</w:t>
            </w:r>
          </w:p>
        </w:tc>
        <w:tc>
          <w:tcPr>
            <w:tcW w:w="2427"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lang w:eastAsia="zh-CN"/>
              </w:rPr>
            </w:pPr>
            <w:r>
              <w:rPr>
                <w:color w:val="auto"/>
                <w:sz w:val="18"/>
                <w:szCs w:val="18"/>
                <w:lang w:eastAsia="zh-CN"/>
              </w:rPr>
              <w:t>无模型，成本或其他性能系可按单位楼面面积的某个数值计入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rPr>
            </w:pPr>
            <w:r>
              <w:rPr>
                <w:color w:val="auto"/>
                <w:sz w:val="18"/>
                <w:szCs w:val="18"/>
              </w:rPr>
              <w:t>大概尺寸、位置、用途</w:t>
            </w:r>
          </w:p>
        </w:tc>
        <w:tc>
          <w:tcPr>
            <w:tcW w:w="2427"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rPr>
            </w:pPr>
            <w:r>
              <w:rPr>
                <w:color w:val="auto"/>
                <w:sz w:val="18"/>
                <w:szCs w:val="18"/>
              </w:rPr>
              <w:t>精确尺寸、管材</w:t>
            </w:r>
          </w:p>
        </w:tc>
        <w:tc>
          <w:tcPr>
            <w:tcW w:w="2427"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rPr>
            </w:pPr>
            <w:r>
              <w:rPr>
                <w:color w:val="auto"/>
                <w:sz w:val="18"/>
                <w:szCs w:val="18"/>
              </w:rPr>
              <w:t>实际尺寸、管材</w:t>
            </w:r>
          </w:p>
        </w:tc>
        <w:tc>
          <w:tcPr>
            <w:tcW w:w="1969"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lang w:eastAsia="zh-CN"/>
              </w:rPr>
            </w:pPr>
            <w:r>
              <w:rPr>
                <w:color w:val="auto"/>
                <w:sz w:val="18"/>
                <w:szCs w:val="18"/>
                <w:lang w:eastAsia="zh-CN"/>
              </w:rPr>
              <w:t>实际尺寸，管材，连接件最终尺寸，以及节点计入详细模型</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noWrap/>
            <w:textDirection w:val="tbRl"/>
            <w:vAlign w:val="center"/>
          </w:tcPr>
          <w:p>
            <w:pPr>
              <w:pStyle w:val="480"/>
              <w:spacing w:before="120" w:after="120"/>
              <w:ind w:right="582"/>
              <w:jc w:val="center"/>
              <w:rPr>
                <w:color w:val="auto"/>
                <w:sz w:val="18"/>
                <w:szCs w:val="18"/>
                <w:lang w:eastAsia="zh-CN"/>
              </w:rPr>
            </w:pPr>
          </w:p>
        </w:tc>
        <w:tc>
          <w:tcPr>
            <w:tcW w:w="568"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006</w:t>
            </w:r>
          </w:p>
        </w:tc>
        <w:tc>
          <w:tcPr>
            <w:tcW w:w="1335"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rPr>
            </w:pPr>
            <w:r>
              <w:rPr>
                <w:color w:val="auto"/>
                <w:sz w:val="18"/>
                <w:szCs w:val="18"/>
              </w:rPr>
              <w:t>市政蒸汽</w:t>
            </w:r>
          </w:p>
        </w:tc>
        <w:tc>
          <w:tcPr>
            <w:tcW w:w="2427"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lang w:eastAsia="zh-CN"/>
              </w:rPr>
            </w:pPr>
            <w:r>
              <w:rPr>
                <w:color w:val="auto"/>
                <w:sz w:val="18"/>
                <w:szCs w:val="18"/>
                <w:lang w:eastAsia="zh-CN"/>
              </w:rPr>
              <w:t>无模型，成本或其他性能系可按单位楼面面积的某个数值计入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rPr>
            </w:pPr>
            <w:r>
              <w:rPr>
                <w:color w:val="auto"/>
                <w:sz w:val="18"/>
                <w:szCs w:val="18"/>
              </w:rPr>
              <w:t>大概尺寸、位置、用途</w:t>
            </w:r>
          </w:p>
        </w:tc>
        <w:tc>
          <w:tcPr>
            <w:tcW w:w="2427"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rPr>
            </w:pPr>
            <w:r>
              <w:rPr>
                <w:color w:val="auto"/>
                <w:sz w:val="18"/>
                <w:szCs w:val="18"/>
              </w:rPr>
              <w:t>精确尺寸、管材</w:t>
            </w:r>
          </w:p>
        </w:tc>
        <w:tc>
          <w:tcPr>
            <w:tcW w:w="2427"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rPr>
            </w:pPr>
            <w:r>
              <w:rPr>
                <w:color w:val="auto"/>
                <w:sz w:val="18"/>
                <w:szCs w:val="18"/>
              </w:rPr>
              <w:t>实际尺寸、管材</w:t>
            </w:r>
          </w:p>
        </w:tc>
        <w:tc>
          <w:tcPr>
            <w:tcW w:w="1969"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lang w:eastAsia="zh-CN"/>
              </w:rPr>
            </w:pPr>
            <w:r>
              <w:rPr>
                <w:color w:val="auto"/>
                <w:sz w:val="18"/>
                <w:szCs w:val="18"/>
                <w:lang w:eastAsia="zh-CN"/>
              </w:rPr>
              <w:t>实际尺寸，管材，连接件最终尺寸，以及节点计入详细模型</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noWrap/>
            <w:textDirection w:val="tbRl"/>
            <w:vAlign w:val="center"/>
          </w:tcPr>
          <w:p>
            <w:pPr>
              <w:pStyle w:val="480"/>
              <w:spacing w:before="120" w:after="120"/>
              <w:ind w:right="582"/>
              <w:jc w:val="center"/>
              <w:rPr>
                <w:color w:val="auto"/>
                <w:sz w:val="18"/>
                <w:szCs w:val="18"/>
                <w:lang w:eastAsia="zh-CN"/>
              </w:rPr>
            </w:pPr>
          </w:p>
        </w:tc>
        <w:tc>
          <w:tcPr>
            <w:tcW w:w="568"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007</w:t>
            </w:r>
          </w:p>
        </w:tc>
        <w:tc>
          <w:tcPr>
            <w:tcW w:w="1335"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rPr>
            </w:pPr>
            <w:r>
              <w:rPr>
                <w:color w:val="auto"/>
                <w:sz w:val="18"/>
                <w:szCs w:val="18"/>
              </w:rPr>
              <w:t>设备构筑物</w:t>
            </w:r>
          </w:p>
        </w:tc>
        <w:tc>
          <w:tcPr>
            <w:tcW w:w="2427"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lang w:eastAsia="zh-CN"/>
              </w:rPr>
            </w:pPr>
            <w:r>
              <w:rPr>
                <w:color w:val="auto"/>
                <w:sz w:val="18"/>
                <w:szCs w:val="18"/>
                <w:lang w:eastAsia="zh-CN"/>
              </w:rPr>
              <w:t>无模型，成本或其他性能</w:t>
            </w:r>
          </w:p>
          <w:p>
            <w:pPr>
              <w:pStyle w:val="480"/>
              <w:spacing w:before="120" w:after="120"/>
              <w:ind w:right="4"/>
              <w:jc w:val="center"/>
              <w:rPr>
                <w:color w:val="auto"/>
                <w:sz w:val="18"/>
                <w:szCs w:val="18"/>
                <w:lang w:eastAsia="zh-CN"/>
              </w:rPr>
            </w:pPr>
            <w:r>
              <w:rPr>
                <w:color w:val="auto"/>
                <w:sz w:val="18"/>
                <w:szCs w:val="18"/>
                <w:lang w:eastAsia="zh-CN"/>
              </w:rPr>
              <w:t>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rPr>
            </w:pPr>
            <w:r>
              <w:rPr>
                <w:color w:val="auto"/>
                <w:sz w:val="18"/>
                <w:szCs w:val="18"/>
              </w:rPr>
              <w:t>大概尺寸、位置、用途</w:t>
            </w:r>
          </w:p>
        </w:tc>
        <w:tc>
          <w:tcPr>
            <w:tcW w:w="2427"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lang w:eastAsia="zh-CN"/>
              </w:rPr>
            </w:pPr>
            <w:r>
              <w:rPr>
                <w:color w:val="auto"/>
                <w:sz w:val="18"/>
                <w:szCs w:val="18"/>
                <w:lang w:eastAsia="zh-CN"/>
              </w:rPr>
              <w:t>精确形状、尺寸，体积</w:t>
            </w:r>
          </w:p>
        </w:tc>
        <w:tc>
          <w:tcPr>
            <w:tcW w:w="2427"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lang w:eastAsia="zh-CN"/>
              </w:rPr>
            </w:pPr>
            <w:r>
              <w:rPr>
                <w:color w:val="auto"/>
                <w:sz w:val="18"/>
                <w:szCs w:val="18"/>
                <w:lang w:eastAsia="zh-CN"/>
              </w:rPr>
              <w:t>实际形状、尺寸，体积</w:t>
            </w:r>
          </w:p>
        </w:tc>
        <w:tc>
          <w:tcPr>
            <w:tcW w:w="1969"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lang w:eastAsia="zh-CN"/>
              </w:rPr>
            </w:pPr>
            <w:r>
              <w:rPr>
                <w:color w:val="auto"/>
                <w:sz w:val="18"/>
                <w:szCs w:val="18"/>
                <w:lang w:eastAsia="zh-CN"/>
              </w:rPr>
              <w:t>实际形状、尺寸，体积</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noWrap/>
            <w:textDirection w:val="tbRl"/>
            <w:vAlign w:val="center"/>
          </w:tcPr>
          <w:p>
            <w:pPr>
              <w:pStyle w:val="480"/>
              <w:spacing w:before="120" w:after="120"/>
              <w:ind w:right="582"/>
              <w:jc w:val="center"/>
              <w:rPr>
                <w:color w:val="auto"/>
                <w:sz w:val="18"/>
                <w:szCs w:val="18"/>
                <w:lang w:eastAsia="zh-CN"/>
              </w:rPr>
            </w:pPr>
          </w:p>
        </w:tc>
        <w:tc>
          <w:tcPr>
            <w:tcW w:w="568"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008</w:t>
            </w:r>
          </w:p>
        </w:tc>
        <w:tc>
          <w:tcPr>
            <w:tcW w:w="1335"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市政给水</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无模型，成本或其他性能系可按单位楼面面积的某个数值计入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大概尺寸、位置、用途</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精确尺寸、管材</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实际尺寸、管材</w:t>
            </w:r>
          </w:p>
        </w:tc>
        <w:tc>
          <w:tcPr>
            <w:tcW w:w="1969"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实际尺寸，管材，连接件最终尺寸，以及节点计入详细模型</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noWrap/>
            <w:textDirection w:val="tbRl"/>
            <w:vAlign w:val="center"/>
          </w:tcPr>
          <w:p>
            <w:pPr>
              <w:pStyle w:val="480"/>
              <w:spacing w:before="120" w:after="120"/>
              <w:ind w:right="582"/>
              <w:jc w:val="center"/>
              <w:rPr>
                <w:color w:val="auto"/>
                <w:sz w:val="18"/>
                <w:szCs w:val="18"/>
                <w:lang w:eastAsia="zh-CN"/>
              </w:rPr>
            </w:pPr>
          </w:p>
        </w:tc>
        <w:tc>
          <w:tcPr>
            <w:tcW w:w="568"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009</w:t>
            </w:r>
          </w:p>
        </w:tc>
        <w:tc>
          <w:tcPr>
            <w:tcW w:w="1335"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color w:val="auto"/>
                <w:sz w:val="18"/>
                <w:szCs w:val="18"/>
                <w:lang w:eastAsia="en-US"/>
              </w:rPr>
            </w:pPr>
            <w:r>
              <w:rPr>
                <w:rFonts w:hint="eastAsia"/>
                <w:color w:val="auto"/>
                <w:sz w:val="18"/>
                <w:szCs w:val="18"/>
                <w:lang w:eastAsia="en-US"/>
              </w:rPr>
              <w:t>人手井</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无模型，成本或其他性能系可按单位楼面面积的某个数值计入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大概尺寸、位置、用途</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精确尺寸、管材</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实际尺寸、管材</w:t>
            </w:r>
          </w:p>
        </w:tc>
        <w:tc>
          <w:tcPr>
            <w:tcW w:w="1969"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实际尺寸，管材，连接件最终尺寸，以及节点计入详细模型</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bottom w:val="single" w:color="auto" w:sz="4" w:space="0"/>
              <w:right w:val="single" w:color="auto" w:sz="4" w:space="0"/>
            </w:tcBorders>
            <w:noWrap/>
            <w:textDirection w:val="tbRl"/>
            <w:vAlign w:val="center"/>
          </w:tcPr>
          <w:p>
            <w:pPr>
              <w:pStyle w:val="480"/>
              <w:spacing w:before="120" w:after="120"/>
              <w:ind w:right="582"/>
              <w:jc w:val="center"/>
              <w:rPr>
                <w:color w:val="auto"/>
                <w:sz w:val="18"/>
                <w:szCs w:val="18"/>
                <w:lang w:eastAsia="zh-CN"/>
              </w:rPr>
            </w:pPr>
          </w:p>
        </w:tc>
        <w:tc>
          <w:tcPr>
            <w:tcW w:w="13580" w:type="dxa"/>
            <w:gridSpan w:val="7"/>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hint="eastAsia" w:cs="宋体"/>
                <w:color w:val="auto"/>
                <w:sz w:val="18"/>
                <w:szCs w:val="18"/>
              </w:rPr>
              <w:t>注：上述模型精度要求仅作参考，具体精度内容应参考相关合同、行业标准、地方标准的要求。</w:t>
            </w:r>
          </w:p>
        </w:tc>
      </w:tr>
    </w:tbl>
    <w:p>
      <w:pPr>
        <w:spacing w:before="120" w:after="120" w:line="240" w:lineRule="exact"/>
        <w:rPr>
          <w:rFonts w:cs="宋体"/>
          <w:color w:val="auto"/>
          <w:szCs w:val="21"/>
        </w:rPr>
        <w:sectPr>
          <w:pgSz w:w="16840" w:h="11910" w:orient="landscape"/>
          <w:pgMar w:top="1040" w:right="900" w:bottom="1140" w:left="900" w:header="0" w:footer="953" w:gutter="0"/>
          <w:cols w:space="720" w:num="1"/>
        </w:sectPr>
      </w:pPr>
    </w:p>
    <w:p>
      <w:pPr>
        <w:spacing w:before="120" w:after="120"/>
        <w:outlineLvl w:val="4"/>
        <w:rPr>
          <w:color w:val="auto"/>
        </w:rPr>
      </w:pPr>
      <w:bookmarkStart w:id="911" w:name="_Toc25163"/>
      <w:bookmarkStart w:id="912" w:name="_Toc17902"/>
      <w:r>
        <w:rPr>
          <w:color w:val="auto"/>
        </w:rPr>
        <w:t>7  景观专业</w:t>
      </w:r>
      <w:bookmarkEnd w:id="911"/>
      <w:bookmarkEnd w:id="912"/>
    </w:p>
    <w:tbl>
      <w:tblPr>
        <w:tblStyle w:val="55"/>
        <w:tblW w:w="14801" w:type="dxa"/>
        <w:tblInd w:w="111" w:type="dxa"/>
        <w:tblLayout w:type="fixed"/>
        <w:tblCellMar>
          <w:top w:w="0" w:type="dxa"/>
          <w:left w:w="0" w:type="dxa"/>
          <w:bottom w:w="0" w:type="dxa"/>
          <w:right w:w="0" w:type="dxa"/>
        </w:tblCellMar>
      </w:tblPr>
      <w:tblGrid>
        <w:gridCol w:w="1221"/>
        <w:gridCol w:w="568"/>
        <w:gridCol w:w="1335"/>
        <w:gridCol w:w="2427"/>
        <w:gridCol w:w="2427"/>
        <w:gridCol w:w="2427"/>
        <w:gridCol w:w="2427"/>
        <w:gridCol w:w="1969"/>
      </w:tblGrid>
      <w:tr>
        <w:tblPrEx>
          <w:tblCellMar>
            <w:top w:w="0" w:type="dxa"/>
            <w:left w:w="0" w:type="dxa"/>
            <w:bottom w:w="0" w:type="dxa"/>
            <w:right w:w="0" w:type="dxa"/>
          </w:tblCellMar>
        </w:tblPrEx>
        <w:trPr>
          <w:cantSplit/>
          <w:trHeight w:val="454" w:hRule="atLeast"/>
          <w:tblHeader/>
        </w:trPr>
        <w:tc>
          <w:tcPr>
            <w:tcW w:w="1221" w:type="dxa"/>
            <w:vMerge w:val="restart"/>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专业</w:t>
            </w:r>
          </w:p>
        </w:tc>
        <w:tc>
          <w:tcPr>
            <w:tcW w:w="1903" w:type="dxa"/>
            <w:gridSpan w:val="2"/>
            <w:vMerge w:val="restart"/>
            <w:tcBorders>
              <w:top w:val="single" w:color="auto" w:sz="4" w:space="0"/>
              <w:left w:val="single" w:color="auto" w:sz="4" w:space="0"/>
              <w:bottom w:val="single" w:color="auto" w:sz="4" w:space="0"/>
              <w:right w:val="single" w:color="auto" w:sz="4" w:space="0"/>
              <w:tl2br w:val="single" w:color="auto" w:sz="4" w:space="0"/>
            </w:tcBorders>
            <w:noWrap/>
            <w:vAlign w:val="center"/>
          </w:tcPr>
          <w:p>
            <w:pPr>
              <w:spacing w:before="120" w:after="120"/>
              <w:ind w:firstLine="360"/>
              <w:jc w:val="right"/>
              <w:rPr>
                <w:rFonts w:cs="宋体"/>
                <w:color w:val="auto"/>
                <w:sz w:val="18"/>
                <w:szCs w:val="18"/>
                <w:lang w:eastAsia="en-US"/>
              </w:rPr>
            </w:pPr>
            <w:r>
              <w:rPr>
                <w:rFonts w:cs="宋体"/>
                <w:color w:val="auto"/>
                <w:sz w:val="18"/>
                <w:szCs w:val="18"/>
                <w:lang w:eastAsia="en-US"/>
              </w:rPr>
              <w:t>详细等级</w:t>
            </w:r>
          </w:p>
          <w:p>
            <w:pPr>
              <w:spacing w:before="120" w:after="120"/>
              <w:ind w:firstLine="360"/>
              <w:jc w:val="center"/>
              <w:rPr>
                <w:rFonts w:cs="宋体"/>
                <w:color w:val="auto"/>
                <w:sz w:val="18"/>
                <w:szCs w:val="18"/>
                <w:lang w:eastAsia="en-US"/>
              </w:rPr>
            </w:pPr>
          </w:p>
          <w:p>
            <w:pPr>
              <w:spacing w:before="120" w:after="120"/>
              <w:ind w:firstLine="360"/>
              <w:jc w:val="left"/>
              <w:rPr>
                <w:rFonts w:cs="宋体"/>
                <w:color w:val="auto"/>
                <w:sz w:val="18"/>
                <w:szCs w:val="18"/>
                <w:lang w:eastAsia="en-US"/>
              </w:rPr>
            </w:pPr>
            <w:r>
              <w:rPr>
                <w:rFonts w:cs="宋体"/>
                <w:color w:val="auto"/>
                <w:sz w:val="18"/>
                <w:szCs w:val="18"/>
                <w:lang w:eastAsia="en-US"/>
              </w:rPr>
              <w:t>子项</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eastAsia="Times New Roman"/>
                <w:color w:val="auto"/>
                <w:sz w:val="18"/>
                <w:szCs w:val="18"/>
                <w:lang w:eastAsia="en-US"/>
              </w:rPr>
            </w:pPr>
            <w:r>
              <w:rPr>
                <w:rFonts w:cs="宋体"/>
                <w:color w:val="auto"/>
                <w:sz w:val="18"/>
                <w:szCs w:val="18"/>
                <w:lang w:eastAsia="en-US"/>
              </w:rPr>
              <w:t>LOD100</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eastAsia="Times New Roman"/>
                <w:color w:val="auto"/>
                <w:sz w:val="18"/>
                <w:szCs w:val="18"/>
                <w:lang w:eastAsia="en-US"/>
              </w:rPr>
            </w:pPr>
            <w:r>
              <w:rPr>
                <w:rFonts w:cs="宋体"/>
                <w:color w:val="auto"/>
                <w:sz w:val="18"/>
                <w:szCs w:val="18"/>
                <w:lang w:eastAsia="en-US"/>
              </w:rPr>
              <w:t>LOD200</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eastAsia="Times New Roman"/>
                <w:color w:val="auto"/>
                <w:sz w:val="18"/>
                <w:szCs w:val="18"/>
                <w:lang w:eastAsia="en-US"/>
              </w:rPr>
            </w:pPr>
            <w:r>
              <w:rPr>
                <w:color w:val="auto"/>
                <w:sz w:val="18"/>
                <w:szCs w:val="18"/>
                <w:lang w:eastAsia="en-US"/>
              </w:rPr>
              <w:t>LOD300</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eastAsia="Times New Roman"/>
                <w:color w:val="auto"/>
                <w:sz w:val="18"/>
                <w:szCs w:val="18"/>
                <w:lang w:eastAsia="en-US"/>
              </w:rPr>
            </w:pPr>
            <w:r>
              <w:rPr>
                <w:rFonts w:cs="宋体"/>
                <w:color w:val="auto"/>
                <w:sz w:val="18"/>
                <w:szCs w:val="18"/>
                <w:lang w:eastAsia="en-US"/>
              </w:rPr>
              <w:t>LOD400</w:t>
            </w:r>
          </w:p>
        </w:tc>
        <w:tc>
          <w:tcPr>
            <w:tcW w:w="1969"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eastAsia="Times New Roman"/>
                <w:color w:val="auto"/>
                <w:sz w:val="18"/>
                <w:szCs w:val="18"/>
                <w:lang w:eastAsia="en-US"/>
              </w:rPr>
            </w:pPr>
            <w:r>
              <w:rPr>
                <w:rFonts w:cs="宋体"/>
                <w:color w:val="auto"/>
                <w:sz w:val="18"/>
                <w:szCs w:val="18"/>
                <w:lang w:eastAsia="en-US"/>
              </w:rPr>
              <w:t>LOD500</w:t>
            </w:r>
          </w:p>
        </w:tc>
      </w:tr>
      <w:tr>
        <w:tblPrEx>
          <w:tblCellMar>
            <w:top w:w="0" w:type="dxa"/>
            <w:left w:w="0" w:type="dxa"/>
            <w:bottom w:w="0" w:type="dxa"/>
            <w:right w:w="0" w:type="dxa"/>
          </w:tblCellMar>
        </w:tblPrEx>
        <w:trPr>
          <w:cantSplit/>
          <w:trHeight w:val="454" w:hRule="atLeast"/>
          <w:tblHeader/>
        </w:trPr>
        <w:tc>
          <w:tcPr>
            <w:tcW w:w="1221" w:type="dxa"/>
            <w:vMerge w:val="continue"/>
            <w:tcBorders>
              <w:top w:val="single" w:color="auto" w:sz="4" w:space="0"/>
              <w:left w:val="single" w:color="auto" w:sz="4" w:space="0"/>
              <w:bottom w:val="single" w:color="auto" w:sz="4" w:space="0"/>
              <w:right w:val="single" w:color="auto" w:sz="4" w:space="0"/>
            </w:tcBorders>
            <w:noWrap/>
            <w:textDirection w:val="tbRl"/>
            <w:vAlign w:val="center"/>
          </w:tcPr>
          <w:p>
            <w:pPr>
              <w:spacing w:before="120" w:after="120"/>
              <w:ind w:firstLine="360"/>
              <w:jc w:val="center"/>
              <w:rPr>
                <w:color w:val="auto"/>
                <w:sz w:val="18"/>
                <w:szCs w:val="18"/>
                <w:lang w:eastAsia="en-US"/>
              </w:rPr>
            </w:pPr>
          </w:p>
        </w:tc>
        <w:tc>
          <w:tcPr>
            <w:tcW w:w="1903" w:type="dxa"/>
            <w:gridSpan w:val="2"/>
            <w:vMerge w:val="continue"/>
            <w:tcBorders>
              <w:top w:val="single" w:color="auto" w:sz="4" w:space="0"/>
              <w:left w:val="single" w:color="auto" w:sz="4" w:space="0"/>
              <w:bottom w:val="single" w:color="auto" w:sz="4" w:space="0"/>
              <w:right w:val="single" w:color="auto" w:sz="4" w:space="0"/>
              <w:tl2br w:val="single" w:color="auto" w:sz="4" w:space="0"/>
            </w:tcBorders>
            <w:noWrap/>
            <w:vAlign w:val="center"/>
          </w:tcPr>
          <w:p>
            <w:pPr>
              <w:spacing w:before="120" w:after="120"/>
              <w:ind w:firstLine="360"/>
              <w:jc w:val="center"/>
              <w:rPr>
                <w:color w:val="auto"/>
                <w:sz w:val="18"/>
                <w:szCs w:val="18"/>
                <w:lang w:eastAsia="en-US"/>
              </w:rPr>
            </w:pP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方案设计模型</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rPr>
            </w:pPr>
            <w:r>
              <w:rPr>
                <w:rFonts w:cs="宋体"/>
                <w:color w:val="auto"/>
                <w:sz w:val="18"/>
                <w:szCs w:val="18"/>
              </w:rPr>
              <w:t>扩初设计模型(扩初图纸）</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施工图模型</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施工深化模型</w:t>
            </w:r>
          </w:p>
        </w:tc>
        <w:tc>
          <w:tcPr>
            <w:tcW w:w="1969"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竣工模型</w:t>
            </w:r>
          </w:p>
        </w:tc>
      </w:tr>
      <w:tr>
        <w:tblPrEx>
          <w:tblCellMar>
            <w:top w:w="0" w:type="dxa"/>
            <w:left w:w="0" w:type="dxa"/>
            <w:bottom w:w="0" w:type="dxa"/>
            <w:right w:w="0" w:type="dxa"/>
          </w:tblCellMar>
        </w:tblPrEx>
        <w:trPr>
          <w:cantSplit/>
          <w:trHeight w:val="454" w:hRule="atLeast"/>
        </w:trPr>
        <w:tc>
          <w:tcPr>
            <w:tcW w:w="1221" w:type="dxa"/>
            <w:vMerge w:val="restart"/>
            <w:tcBorders>
              <w:top w:val="single" w:color="auto" w:sz="4" w:space="0"/>
              <w:left w:val="single" w:color="auto" w:sz="4" w:space="0"/>
              <w:right w:val="single" w:color="auto" w:sz="4" w:space="0"/>
            </w:tcBorders>
            <w:noWrap/>
            <w:vAlign w:val="center"/>
          </w:tcPr>
          <w:p>
            <w:pPr>
              <w:pStyle w:val="480"/>
              <w:spacing w:before="120" w:after="120"/>
              <w:ind w:right="4"/>
              <w:jc w:val="center"/>
              <w:rPr>
                <w:color w:val="auto"/>
                <w:sz w:val="18"/>
                <w:szCs w:val="18"/>
              </w:rPr>
            </w:pPr>
            <w:r>
              <w:rPr>
                <w:rFonts w:hint="eastAsia"/>
                <w:color w:val="auto"/>
                <w:sz w:val="18"/>
                <w:szCs w:val="18"/>
                <w:lang w:eastAsia="zh-CN"/>
              </w:rPr>
              <w:t>景观</w:t>
            </w:r>
          </w:p>
        </w:tc>
        <w:tc>
          <w:tcPr>
            <w:tcW w:w="568"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rPr>
            </w:pPr>
            <w:r>
              <w:rPr>
                <w:color w:val="auto"/>
                <w:sz w:val="18"/>
                <w:szCs w:val="18"/>
              </w:rPr>
              <w:t>001</w:t>
            </w:r>
          </w:p>
        </w:tc>
        <w:tc>
          <w:tcPr>
            <w:tcW w:w="1335"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车位</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无模型，成本或其他性能系可按单位楼面面积的某个数值计入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大概形状、位置、数量</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精确形状、位置、数量</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实际形状、位置、数量</w:t>
            </w:r>
          </w:p>
        </w:tc>
        <w:tc>
          <w:tcPr>
            <w:tcW w:w="1969"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实际形状、位置、数量</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noWrap/>
            <w:textDirection w:val="tbRl"/>
            <w:vAlign w:val="center"/>
          </w:tcPr>
          <w:p>
            <w:pPr>
              <w:pStyle w:val="480"/>
              <w:spacing w:before="120" w:after="120"/>
              <w:ind w:right="582"/>
              <w:jc w:val="center"/>
              <w:rPr>
                <w:color w:val="auto"/>
                <w:sz w:val="18"/>
                <w:szCs w:val="18"/>
                <w:lang w:eastAsia="zh-CN"/>
              </w:rPr>
            </w:pPr>
          </w:p>
        </w:tc>
        <w:tc>
          <w:tcPr>
            <w:tcW w:w="568"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rPr>
            </w:pPr>
            <w:r>
              <w:rPr>
                <w:color w:val="auto"/>
                <w:sz w:val="18"/>
                <w:szCs w:val="18"/>
              </w:rPr>
              <w:t>002</w:t>
            </w:r>
          </w:p>
        </w:tc>
        <w:tc>
          <w:tcPr>
            <w:tcW w:w="1335"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排水及坡度</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无模型，成本或其他性能系可按单位楼面面积的某个数值计入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大概形状、位置、数量</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精确尺寸，坡度</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实际尺寸，坡度</w:t>
            </w:r>
          </w:p>
        </w:tc>
        <w:tc>
          <w:tcPr>
            <w:tcW w:w="1969"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实际尺寸，坡度</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noWrap/>
            <w:textDirection w:val="tbRl"/>
            <w:vAlign w:val="center"/>
          </w:tcPr>
          <w:p>
            <w:pPr>
              <w:pStyle w:val="480"/>
              <w:spacing w:before="120" w:after="120"/>
              <w:ind w:right="582"/>
              <w:jc w:val="center"/>
              <w:rPr>
                <w:color w:val="auto"/>
                <w:sz w:val="18"/>
                <w:szCs w:val="18"/>
                <w:lang w:eastAsia="zh-CN"/>
              </w:rPr>
            </w:pPr>
          </w:p>
        </w:tc>
        <w:tc>
          <w:tcPr>
            <w:tcW w:w="568"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rPr>
            </w:pPr>
            <w:r>
              <w:rPr>
                <w:color w:val="auto"/>
                <w:sz w:val="18"/>
                <w:szCs w:val="18"/>
              </w:rPr>
              <w:t>003</w:t>
            </w:r>
          </w:p>
        </w:tc>
        <w:tc>
          <w:tcPr>
            <w:tcW w:w="1335"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水池喷泉</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无模型，成本或其他性能系可按单位楼面面积的某个数值计入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大概形状、位置</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精确形状、位置、尺寸</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实际形状、位置、尺寸</w:t>
            </w:r>
          </w:p>
        </w:tc>
        <w:tc>
          <w:tcPr>
            <w:tcW w:w="1969"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实际形状、位置、尺寸</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noWrap/>
            <w:textDirection w:val="tbRl"/>
            <w:vAlign w:val="center"/>
          </w:tcPr>
          <w:p>
            <w:pPr>
              <w:pStyle w:val="480"/>
              <w:spacing w:before="120" w:after="120"/>
              <w:ind w:right="582"/>
              <w:jc w:val="center"/>
              <w:rPr>
                <w:color w:val="auto"/>
                <w:sz w:val="18"/>
                <w:szCs w:val="18"/>
                <w:lang w:eastAsia="zh-CN"/>
              </w:rPr>
            </w:pPr>
          </w:p>
        </w:tc>
        <w:tc>
          <w:tcPr>
            <w:tcW w:w="568"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004</w:t>
            </w:r>
          </w:p>
        </w:tc>
        <w:tc>
          <w:tcPr>
            <w:tcW w:w="1335"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灯具</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无模型，成本或其他性能系可按单位楼面面积的某个数值计入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无模型，成本或其他性能系可按单位楼面面积的某个数值计入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类似形状、大概尺寸、位置、用途</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实际形状、尺寸、位置、用途</w:t>
            </w:r>
          </w:p>
        </w:tc>
        <w:tc>
          <w:tcPr>
            <w:tcW w:w="1969"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设备型号、编号、位置、用途</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noWrap/>
            <w:textDirection w:val="tbRl"/>
            <w:vAlign w:val="center"/>
          </w:tcPr>
          <w:p>
            <w:pPr>
              <w:pStyle w:val="480"/>
              <w:spacing w:before="120" w:after="120"/>
              <w:ind w:right="582"/>
              <w:jc w:val="center"/>
              <w:rPr>
                <w:color w:val="auto"/>
                <w:sz w:val="18"/>
                <w:szCs w:val="18"/>
                <w:lang w:eastAsia="zh-CN"/>
              </w:rPr>
            </w:pPr>
          </w:p>
        </w:tc>
        <w:tc>
          <w:tcPr>
            <w:tcW w:w="568"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005</w:t>
            </w:r>
          </w:p>
        </w:tc>
        <w:tc>
          <w:tcPr>
            <w:tcW w:w="1335"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音箱</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无模型，成本或其他性能系可按单位楼面面积的某个数值计入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无模型，成本或其他性能系可按单位楼面面积的某个数值计入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类似形状、大概尺寸、位置、用途</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实际形状、尺寸、位置、用途</w:t>
            </w:r>
          </w:p>
        </w:tc>
        <w:tc>
          <w:tcPr>
            <w:tcW w:w="1969"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设备型号、编号、位置、用途</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noWrap/>
            <w:textDirection w:val="tbRl"/>
            <w:vAlign w:val="center"/>
          </w:tcPr>
          <w:p>
            <w:pPr>
              <w:pStyle w:val="480"/>
              <w:spacing w:before="120" w:after="120"/>
              <w:ind w:right="582"/>
              <w:jc w:val="center"/>
              <w:rPr>
                <w:color w:val="auto"/>
                <w:sz w:val="18"/>
                <w:szCs w:val="18"/>
                <w:lang w:eastAsia="zh-CN"/>
              </w:rPr>
            </w:pPr>
          </w:p>
        </w:tc>
        <w:tc>
          <w:tcPr>
            <w:tcW w:w="568"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006</w:t>
            </w:r>
          </w:p>
        </w:tc>
        <w:tc>
          <w:tcPr>
            <w:tcW w:w="1335"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绿化</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无模型，成本或其他性能系可按单位楼面面积的某个数值计入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类似形状、大概尺寸、位置、用途</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类似形状、大概尺寸、位置、用途</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实际形状、尺寸、位置、用途</w:t>
            </w:r>
          </w:p>
        </w:tc>
        <w:tc>
          <w:tcPr>
            <w:tcW w:w="1969"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绿化形式、面积、数量、位置</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bottom w:val="single" w:color="auto" w:sz="4" w:space="0"/>
              <w:right w:val="single" w:color="auto" w:sz="4" w:space="0"/>
            </w:tcBorders>
            <w:noWrap/>
            <w:textDirection w:val="tbRl"/>
            <w:vAlign w:val="center"/>
          </w:tcPr>
          <w:p>
            <w:pPr>
              <w:pStyle w:val="480"/>
              <w:spacing w:before="120" w:after="120"/>
              <w:ind w:right="582"/>
              <w:jc w:val="center"/>
              <w:rPr>
                <w:color w:val="auto"/>
                <w:sz w:val="18"/>
                <w:szCs w:val="18"/>
                <w:lang w:eastAsia="zh-CN"/>
              </w:rPr>
            </w:pPr>
          </w:p>
        </w:tc>
        <w:tc>
          <w:tcPr>
            <w:tcW w:w="13580" w:type="dxa"/>
            <w:gridSpan w:val="7"/>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hint="eastAsia" w:cs="宋体"/>
                <w:color w:val="auto"/>
                <w:sz w:val="18"/>
                <w:szCs w:val="18"/>
              </w:rPr>
              <w:t>注：上述模型精度要求仅作参考，具体精度内容应参考相关合同、行业标准、地方标准的要求。</w:t>
            </w:r>
          </w:p>
        </w:tc>
      </w:tr>
    </w:tbl>
    <w:p>
      <w:pPr>
        <w:spacing w:before="120" w:after="120" w:line="272" w:lineRule="exact"/>
        <w:rPr>
          <w:rFonts w:cs="宋体"/>
          <w:color w:val="auto"/>
          <w:szCs w:val="21"/>
        </w:rPr>
        <w:sectPr>
          <w:pgSz w:w="16840" w:h="11910" w:orient="landscape"/>
          <w:pgMar w:top="1080" w:right="900" w:bottom="1140" w:left="900" w:header="0" w:footer="953" w:gutter="0"/>
          <w:cols w:space="720" w:num="1"/>
        </w:sectPr>
      </w:pPr>
    </w:p>
    <w:p>
      <w:pPr>
        <w:spacing w:before="120" w:after="120"/>
        <w:outlineLvl w:val="4"/>
        <w:rPr>
          <w:color w:val="auto"/>
        </w:rPr>
      </w:pPr>
      <w:bookmarkStart w:id="913" w:name="_Toc2964"/>
      <w:bookmarkStart w:id="914" w:name="_Toc14483"/>
      <w:r>
        <w:rPr>
          <w:color w:val="auto"/>
        </w:rPr>
        <w:t>8  照明专业</w:t>
      </w:r>
      <w:bookmarkEnd w:id="913"/>
      <w:bookmarkEnd w:id="914"/>
    </w:p>
    <w:p>
      <w:pPr>
        <w:spacing w:before="120" w:after="120"/>
        <w:ind w:firstLine="260"/>
        <w:rPr>
          <w:rFonts w:cs="宋体"/>
          <w:color w:val="auto"/>
          <w:sz w:val="13"/>
          <w:szCs w:val="13"/>
        </w:rPr>
      </w:pPr>
    </w:p>
    <w:tbl>
      <w:tblPr>
        <w:tblStyle w:val="55"/>
        <w:tblW w:w="14801" w:type="dxa"/>
        <w:tblInd w:w="111" w:type="dxa"/>
        <w:tblLayout w:type="fixed"/>
        <w:tblCellMar>
          <w:top w:w="0" w:type="dxa"/>
          <w:left w:w="0" w:type="dxa"/>
          <w:bottom w:w="0" w:type="dxa"/>
          <w:right w:w="0" w:type="dxa"/>
        </w:tblCellMar>
      </w:tblPr>
      <w:tblGrid>
        <w:gridCol w:w="1221"/>
        <w:gridCol w:w="568"/>
        <w:gridCol w:w="1335"/>
        <w:gridCol w:w="2427"/>
        <w:gridCol w:w="2427"/>
        <w:gridCol w:w="2427"/>
        <w:gridCol w:w="2427"/>
        <w:gridCol w:w="1969"/>
      </w:tblGrid>
      <w:tr>
        <w:tblPrEx>
          <w:tblCellMar>
            <w:top w:w="0" w:type="dxa"/>
            <w:left w:w="0" w:type="dxa"/>
            <w:bottom w:w="0" w:type="dxa"/>
            <w:right w:w="0" w:type="dxa"/>
          </w:tblCellMar>
        </w:tblPrEx>
        <w:trPr>
          <w:cantSplit/>
          <w:trHeight w:val="454" w:hRule="atLeast"/>
          <w:tblHeader/>
        </w:trPr>
        <w:tc>
          <w:tcPr>
            <w:tcW w:w="1221" w:type="dxa"/>
            <w:vMerge w:val="restart"/>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专业</w:t>
            </w:r>
          </w:p>
        </w:tc>
        <w:tc>
          <w:tcPr>
            <w:tcW w:w="1903" w:type="dxa"/>
            <w:gridSpan w:val="2"/>
            <w:vMerge w:val="restart"/>
            <w:tcBorders>
              <w:top w:val="single" w:color="auto" w:sz="4" w:space="0"/>
              <w:left w:val="single" w:color="auto" w:sz="4" w:space="0"/>
              <w:bottom w:val="single" w:color="auto" w:sz="4" w:space="0"/>
              <w:right w:val="single" w:color="auto" w:sz="4" w:space="0"/>
              <w:tl2br w:val="single" w:color="auto" w:sz="4" w:space="0"/>
            </w:tcBorders>
            <w:noWrap/>
            <w:vAlign w:val="center"/>
          </w:tcPr>
          <w:p>
            <w:pPr>
              <w:spacing w:before="120" w:after="120"/>
              <w:ind w:firstLine="360"/>
              <w:jc w:val="right"/>
              <w:rPr>
                <w:rFonts w:cs="宋体"/>
                <w:color w:val="auto"/>
                <w:sz w:val="18"/>
                <w:szCs w:val="18"/>
                <w:lang w:eastAsia="en-US"/>
              </w:rPr>
            </w:pPr>
            <w:r>
              <w:rPr>
                <w:rFonts w:cs="宋体"/>
                <w:color w:val="auto"/>
                <w:sz w:val="18"/>
                <w:szCs w:val="18"/>
                <w:lang w:eastAsia="en-US"/>
              </w:rPr>
              <w:t>详细等级</w:t>
            </w:r>
          </w:p>
          <w:p>
            <w:pPr>
              <w:spacing w:before="120" w:after="120"/>
              <w:ind w:firstLine="360"/>
              <w:jc w:val="center"/>
              <w:rPr>
                <w:rFonts w:cs="宋体"/>
                <w:color w:val="auto"/>
                <w:sz w:val="18"/>
                <w:szCs w:val="18"/>
                <w:lang w:eastAsia="en-US"/>
              </w:rPr>
            </w:pPr>
          </w:p>
          <w:p>
            <w:pPr>
              <w:spacing w:before="120" w:after="120"/>
              <w:ind w:firstLine="360"/>
              <w:jc w:val="left"/>
              <w:rPr>
                <w:rFonts w:cs="宋体"/>
                <w:color w:val="auto"/>
                <w:sz w:val="18"/>
                <w:szCs w:val="18"/>
                <w:lang w:eastAsia="en-US"/>
              </w:rPr>
            </w:pPr>
            <w:r>
              <w:rPr>
                <w:rFonts w:cs="宋体"/>
                <w:color w:val="auto"/>
                <w:sz w:val="18"/>
                <w:szCs w:val="18"/>
                <w:lang w:eastAsia="en-US"/>
              </w:rPr>
              <w:t>子项</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eastAsia="Times New Roman"/>
                <w:color w:val="auto"/>
                <w:sz w:val="18"/>
                <w:szCs w:val="18"/>
                <w:lang w:eastAsia="en-US"/>
              </w:rPr>
            </w:pPr>
            <w:r>
              <w:rPr>
                <w:rFonts w:cs="宋体"/>
                <w:color w:val="auto"/>
                <w:sz w:val="18"/>
                <w:szCs w:val="18"/>
                <w:lang w:eastAsia="en-US"/>
              </w:rPr>
              <w:t>LOD100</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eastAsia="Times New Roman"/>
                <w:color w:val="auto"/>
                <w:sz w:val="18"/>
                <w:szCs w:val="18"/>
                <w:lang w:eastAsia="en-US"/>
              </w:rPr>
            </w:pPr>
            <w:r>
              <w:rPr>
                <w:rFonts w:cs="宋体"/>
                <w:color w:val="auto"/>
                <w:sz w:val="18"/>
                <w:szCs w:val="18"/>
                <w:lang w:eastAsia="en-US"/>
              </w:rPr>
              <w:t>LOD200</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eastAsia="Times New Roman"/>
                <w:color w:val="auto"/>
                <w:sz w:val="18"/>
                <w:szCs w:val="18"/>
                <w:lang w:eastAsia="en-US"/>
              </w:rPr>
            </w:pPr>
            <w:r>
              <w:rPr>
                <w:color w:val="auto"/>
                <w:sz w:val="18"/>
                <w:szCs w:val="18"/>
                <w:lang w:eastAsia="en-US"/>
              </w:rPr>
              <w:t>LOD300</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eastAsia="Times New Roman"/>
                <w:color w:val="auto"/>
                <w:sz w:val="18"/>
                <w:szCs w:val="18"/>
                <w:lang w:eastAsia="en-US"/>
              </w:rPr>
            </w:pPr>
            <w:r>
              <w:rPr>
                <w:rFonts w:cs="宋体"/>
                <w:color w:val="auto"/>
                <w:sz w:val="18"/>
                <w:szCs w:val="18"/>
                <w:lang w:eastAsia="en-US"/>
              </w:rPr>
              <w:t>LOD400</w:t>
            </w:r>
          </w:p>
        </w:tc>
        <w:tc>
          <w:tcPr>
            <w:tcW w:w="1969"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eastAsia="Times New Roman"/>
                <w:color w:val="auto"/>
                <w:sz w:val="18"/>
                <w:szCs w:val="18"/>
                <w:lang w:eastAsia="en-US"/>
              </w:rPr>
            </w:pPr>
            <w:r>
              <w:rPr>
                <w:rFonts w:cs="宋体"/>
                <w:color w:val="auto"/>
                <w:sz w:val="18"/>
                <w:szCs w:val="18"/>
                <w:lang w:eastAsia="en-US"/>
              </w:rPr>
              <w:t>LOD500</w:t>
            </w:r>
          </w:p>
        </w:tc>
      </w:tr>
      <w:tr>
        <w:tblPrEx>
          <w:tblCellMar>
            <w:top w:w="0" w:type="dxa"/>
            <w:left w:w="0" w:type="dxa"/>
            <w:bottom w:w="0" w:type="dxa"/>
            <w:right w:w="0" w:type="dxa"/>
          </w:tblCellMar>
        </w:tblPrEx>
        <w:trPr>
          <w:cantSplit/>
          <w:trHeight w:val="454" w:hRule="atLeast"/>
          <w:tblHeader/>
        </w:trPr>
        <w:tc>
          <w:tcPr>
            <w:tcW w:w="1221" w:type="dxa"/>
            <w:vMerge w:val="continue"/>
            <w:tcBorders>
              <w:top w:val="single" w:color="auto" w:sz="4" w:space="0"/>
              <w:left w:val="single" w:color="auto" w:sz="4" w:space="0"/>
              <w:bottom w:val="single" w:color="auto" w:sz="4" w:space="0"/>
              <w:right w:val="single" w:color="auto" w:sz="4" w:space="0"/>
            </w:tcBorders>
            <w:noWrap/>
            <w:textDirection w:val="tbRl"/>
            <w:vAlign w:val="center"/>
          </w:tcPr>
          <w:p>
            <w:pPr>
              <w:spacing w:before="120" w:after="120"/>
              <w:ind w:firstLine="360"/>
              <w:jc w:val="center"/>
              <w:rPr>
                <w:color w:val="auto"/>
                <w:sz w:val="18"/>
                <w:szCs w:val="18"/>
                <w:lang w:eastAsia="en-US"/>
              </w:rPr>
            </w:pPr>
          </w:p>
        </w:tc>
        <w:tc>
          <w:tcPr>
            <w:tcW w:w="1903" w:type="dxa"/>
            <w:gridSpan w:val="2"/>
            <w:vMerge w:val="continue"/>
            <w:tcBorders>
              <w:top w:val="single" w:color="auto" w:sz="4" w:space="0"/>
              <w:left w:val="single" w:color="auto" w:sz="4" w:space="0"/>
              <w:bottom w:val="single" w:color="auto" w:sz="4" w:space="0"/>
              <w:right w:val="single" w:color="auto" w:sz="4" w:space="0"/>
              <w:tl2br w:val="single" w:color="auto" w:sz="4" w:space="0"/>
            </w:tcBorders>
            <w:noWrap/>
            <w:vAlign w:val="center"/>
          </w:tcPr>
          <w:p>
            <w:pPr>
              <w:spacing w:before="120" w:after="120"/>
              <w:ind w:firstLine="360"/>
              <w:jc w:val="center"/>
              <w:rPr>
                <w:color w:val="auto"/>
                <w:sz w:val="18"/>
                <w:szCs w:val="18"/>
                <w:lang w:eastAsia="en-US"/>
              </w:rPr>
            </w:pP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方案设计模型</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rPr>
            </w:pPr>
            <w:r>
              <w:rPr>
                <w:rFonts w:cs="宋体"/>
                <w:color w:val="auto"/>
                <w:sz w:val="18"/>
                <w:szCs w:val="18"/>
              </w:rPr>
              <w:t>扩初设计模型(扩初图纸）</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施工图模型</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施工深化模型</w:t>
            </w:r>
          </w:p>
        </w:tc>
        <w:tc>
          <w:tcPr>
            <w:tcW w:w="1969"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竣工模型</w:t>
            </w:r>
          </w:p>
        </w:tc>
      </w:tr>
      <w:tr>
        <w:tblPrEx>
          <w:tblCellMar>
            <w:top w:w="0" w:type="dxa"/>
            <w:left w:w="0" w:type="dxa"/>
            <w:bottom w:w="0" w:type="dxa"/>
            <w:right w:w="0" w:type="dxa"/>
          </w:tblCellMar>
        </w:tblPrEx>
        <w:trPr>
          <w:cantSplit/>
          <w:trHeight w:val="454" w:hRule="atLeast"/>
        </w:trPr>
        <w:tc>
          <w:tcPr>
            <w:tcW w:w="1221" w:type="dxa"/>
            <w:vMerge w:val="restart"/>
            <w:tcBorders>
              <w:top w:val="single" w:color="auto" w:sz="4" w:space="0"/>
              <w:left w:val="single" w:color="auto" w:sz="4" w:space="0"/>
              <w:right w:val="single" w:color="auto" w:sz="4" w:space="0"/>
            </w:tcBorders>
            <w:noWrap/>
            <w:vAlign w:val="center"/>
          </w:tcPr>
          <w:p>
            <w:pPr>
              <w:pStyle w:val="480"/>
              <w:spacing w:before="120" w:after="120"/>
              <w:ind w:right="4"/>
              <w:jc w:val="center"/>
              <w:rPr>
                <w:color w:val="auto"/>
                <w:sz w:val="18"/>
                <w:szCs w:val="18"/>
              </w:rPr>
            </w:pPr>
            <w:r>
              <w:rPr>
                <w:rFonts w:hint="eastAsia"/>
                <w:color w:val="auto"/>
                <w:sz w:val="18"/>
                <w:szCs w:val="18"/>
                <w:lang w:eastAsia="zh-CN"/>
              </w:rPr>
              <w:t>电气</w:t>
            </w:r>
          </w:p>
        </w:tc>
        <w:tc>
          <w:tcPr>
            <w:tcW w:w="568"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rPr>
            </w:pPr>
            <w:r>
              <w:rPr>
                <w:color w:val="auto"/>
                <w:sz w:val="18"/>
                <w:szCs w:val="18"/>
              </w:rPr>
              <w:t>001</w:t>
            </w:r>
          </w:p>
        </w:tc>
        <w:tc>
          <w:tcPr>
            <w:tcW w:w="1335"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rPr>
            </w:pPr>
            <w:r>
              <w:rPr>
                <w:color w:val="auto"/>
                <w:sz w:val="18"/>
                <w:szCs w:val="18"/>
              </w:rPr>
              <w:t>室内照明</w:t>
            </w:r>
          </w:p>
        </w:tc>
        <w:tc>
          <w:tcPr>
            <w:tcW w:w="2427"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lang w:eastAsia="zh-CN"/>
              </w:rPr>
            </w:pPr>
            <w:r>
              <w:rPr>
                <w:color w:val="auto"/>
                <w:sz w:val="18"/>
                <w:szCs w:val="18"/>
                <w:lang w:eastAsia="zh-CN"/>
              </w:rPr>
              <w:t>无模型，成本或其他性能系可按单位楼面面积的某个数值计入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rPr>
            </w:pPr>
            <w:r>
              <w:rPr>
                <w:color w:val="auto"/>
                <w:sz w:val="18"/>
                <w:szCs w:val="18"/>
              </w:rPr>
              <w:t>位置、用户</w:t>
            </w:r>
          </w:p>
        </w:tc>
        <w:tc>
          <w:tcPr>
            <w:tcW w:w="2427"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rPr>
            </w:pPr>
            <w:r>
              <w:rPr>
                <w:color w:val="auto"/>
                <w:sz w:val="18"/>
                <w:szCs w:val="18"/>
              </w:rPr>
              <w:t>具体灯位、类型</w:t>
            </w:r>
          </w:p>
        </w:tc>
        <w:tc>
          <w:tcPr>
            <w:tcW w:w="2427"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rPr>
            </w:pPr>
            <w:r>
              <w:rPr>
                <w:color w:val="auto"/>
                <w:sz w:val="18"/>
                <w:szCs w:val="18"/>
              </w:rPr>
              <w:t>实际灯位、类型</w:t>
            </w:r>
          </w:p>
        </w:tc>
        <w:tc>
          <w:tcPr>
            <w:tcW w:w="1969"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lang w:eastAsia="zh-CN"/>
              </w:rPr>
            </w:pPr>
            <w:r>
              <w:rPr>
                <w:color w:val="auto"/>
                <w:sz w:val="18"/>
                <w:szCs w:val="18"/>
                <w:lang w:eastAsia="zh-CN"/>
              </w:rPr>
              <w:t>设备型号、精确尺寸、编号、位置、用途</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noWrap/>
            <w:textDirection w:val="tbRl"/>
            <w:vAlign w:val="center"/>
          </w:tcPr>
          <w:p>
            <w:pPr>
              <w:pStyle w:val="480"/>
              <w:spacing w:before="120" w:after="120"/>
              <w:ind w:right="582"/>
              <w:jc w:val="center"/>
              <w:rPr>
                <w:color w:val="auto"/>
                <w:sz w:val="18"/>
                <w:szCs w:val="18"/>
                <w:lang w:eastAsia="zh-CN"/>
              </w:rPr>
            </w:pPr>
          </w:p>
        </w:tc>
        <w:tc>
          <w:tcPr>
            <w:tcW w:w="568"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rPr>
            </w:pPr>
            <w:r>
              <w:rPr>
                <w:color w:val="auto"/>
                <w:sz w:val="18"/>
                <w:szCs w:val="18"/>
              </w:rPr>
              <w:t>002</w:t>
            </w:r>
          </w:p>
        </w:tc>
        <w:tc>
          <w:tcPr>
            <w:tcW w:w="1335"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rPr>
            </w:pPr>
            <w:r>
              <w:rPr>
                <w:color w:val="auto"/>
                <w:sz w:val="18"/>
                <w:szCs w:val="18"/>
              </w:rPr>
              <w:t>室外照明</w:t>
            </w:r>
          </w:p>
        </w:tc>
        <w:tc>
          <w:tcPr>
            <w:tcW w:w="2427"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lang w:eastAsia="zh-CN"/>
              </w:rPr>
            </w:pPr>
            <w:r>
              <w:rPr>
                <w:color w:val="auto"/>
                <w:sz w:val="18"/>
                <w:szCs w:val="18"/>
                <w:lang w:eastAsia="zh-CN"/>
              </w:rPr>
              <w:t>无模型，成本或其他性能系可按单位楼面面积的某个数值计入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rPr>
            </w:pPr>
            <w:r>
              <w:rPr>
                <w:color w:val="auto"/>
                <w:sz w:val="18"/>
                <w:szCs w:val="18"/>
              </w:rPr>
              <w:t>位置、用户</w:t>
            </w:r>
          </w:p>
        </w:tc>
        <w:tc>
          <w:tcPr>
            <w:tcW w:w="2427"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rPr>
            </w:pPr>
            <w:r>
              <w:rPr>
                <w:color w:val="auto"/>
                <w:sz w:val="18"/>
                <w:szCs w:val="18"/>
              </w:rPr>
              <w:t>具体灯位、类型</w:t>
            </w:r>
          </w:p>
        </w:tc>
        <w:tc>
          <w:tcPr>
            <w:tcW w:w="2427"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rPr>
            </w:pPr>
            <w:r>
              <w:rPr>
                <w:color w:val="auto"/>
                <w:sz w:val="18"/>
                <w:szCs w:val="18"/>
              </w:rPr>
              <w:t>实际灯位、类型</w:t>
            </w:r>
          </w:p>
        </w:tc>
        <w:tc>
          <w:tcPr>
            <w:tcW w:w="1969"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lang w:eastAsia="zh-CN"/>
              </w:rPr>
            </w:pPr>
            <w:r>
              <w:rPr>
                <w:color w:val="auto"/>
                <w:sz w:val="18"/>
                <w:szCs w:val="18"/>
                <w:lang w:eastAsia="zh-CN"/>
              </w:rPr>
              <w:t>设备型号、精确尺寸、编号、位置、用途</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noWrap/>
            <w:textDirection w:val="tbRl"/>
            <w:vAlign w:val="center"/>
          </w:tcPr>
          <w:p>
            <w:pPr>
              <w:pStyle w:val="480"/>
              <w:spacing w:before="120" w:after="120"/>
              <w:ind w:right="582"/>
              <w:jc w:val="center"/>
              <w:rPr>
                <w:color w:val="auto"/>
                <w:sz w:val="18"/>
                <w:szCs w:val="18"/>
                <w:lang w:eastAsia="zh-CN"/>
              </w:rPr>
            </w:pPr>
          </w:p>
        </w:tc>
        <w:tc>
          <w:tcPr>
            <w:tcW w:w="568"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rPr>
            </w:pPr>
            <w:r>
              <w:rPr>
                <w:color w:val="auto"/>
                <w:sz w:val="18"/>
                <w:szCs w:val="18"/>
              </w:rPr>
              <w:t>003</w:t>
            </w:r>
          </w:p>
        </w:tc>
        <w:tc>
          <w:tcPr>
            <w:tcW w:w="1335"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配电箱</w:t>
            </w:r>
          </w:p>
        </w:tc>
        <w:tc>
          <w:tcPr>
            <w:tcW w:w="2427"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line="239" w:lineRule="exact"/>
              <w:ind w:left="158" w:right="4" w:hanging="56"/>
              <w:jc w:val="center"/>
              <w:rPr>
                <w:color w:val="auto"/>
                <w:sz w:val="18"/>
                <w:szCs w:val="18"/>
                <w:lang w:eastAsia="zh-CN"/>
              </w:rPr>
            </w:pPr>
            <w:r>
              <w:rPr>
                <w:color w:val="auto"/>
                <w:sz w:val="18"/>
                <w:szCs w:val="18"/>
                <w:lang w:eastAsia="zh-CN"/>
              </w:rPr>
              <w:t>无模型，成本或其他性能系可按单位楼面面积的某个数值计入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大致配电箱尺寸、位置、功能</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精确配电箱尺寸、位置、功能</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实际配电箱尺寸、位置、功能</w:t>
            </w:r>
          </w:p>
        </w:tc>
        <w:tc>
          <w:tcPr>
            <w:tcW w:w="1969"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line="239" w:lineRule="exact"/>
              <w:ind w:left="139" w:right="4"/>
              <w:jc w:val="center"/>
              <w:rPr>
                <w:color w:val="auto"/>
                <w:sz w:val="18"/>
                <w:szCs w:val="18"/>
                <w:lang w:eastAsia="zh-CN"/>
              </w:rPr>
            </w:pPr>
            <w:r>
              <w:rPr>
                <w:color w:val="auto"/>
                <w:sz w:val="18"/>
                <w:szCs w:val="18"/>
                <w:lang w:eastAsia="zh-CN"/>
              </w:rPr>
              <w:t>设备型号、精确尺寸、编号、位置、用途</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noWrap/>
            <w:textDirection w:val="tbRl"/>
            <w:vAlign w:val="center"/>
          </w:tcPr>
          <w:p>
            <w:pPr>
              <w:pStyle w:val="480"/>
              <w:spacing w:before="120" w:after="120"/>
              <w:ind w:right="582"/>
              <w:jc w:val="center"/>
              <w:rPr>
                <w:color w:val="auto"/>
                <w:sz w:val="18"/>
                <w:szCs w:val="18"/>
                <w:lang w:eastAsia="zh-CN"/>
              </w:rPr>
            </w:pPr>
          </w:p>
        </w:tc>
        <w:tc>
          <w:tcPr>
            <w:tcW w:w="568"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004</w:t>
            </w:r>
          </w:p>
        </w:tc>
        <w:tc>
          <w:tcPr>
            <w:tcW w:w="1335"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电线管</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无模型，成本或其他性能系可按单位楼面面积的某个数值计入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大概尺寸、位置、用途</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精确尺寸、管材</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实际尺寸、管材</w:t>
            </w:r>
          </w:p>
        </w:tc>
        <w:tc>
          <w:tcPr>
            <w:tcW w:w="1969"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line="238" w:lineRule="exact"/>
              <w:ind w:right="4"/>
              <w:jc w:val="center"/>
              <w:rPr>
                <w:color w:val="auto"/>
                <w:sz w:val="18"/>
                <w:szCs w:val="18"/>
                <w:lang w:eastAsia="zh-CN"/>
              </w:rPr>
            </w:pPr>
            <w:r>
              <w:rPr>
                <w:color w:val="auto"/>
                <w:sz w:val="18"/>
                <w:szCs w:val="18"/>
                <w:lang w:eastAsia="zh-CN"/>
              </w:rPr>
              <w:t>实际尺寸，管材，连接件最终尺寸，以及节点计入详细模型</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bottom w:val="single" w:color="auto" w:sz="4" w:space="0"/>
              <w:right w:val="single" w:color="auto" w:sz="4" w:space="0"/>
            </w:tcBorders>
            <w:noWrap/>
            <w:textDirection w:val="tbRl"/>
            <w:vAlign w:val="center"/>
          </w:tcPr>
          <w:p>
            <w:pPr>
              <w:pStyle w:val="480"/>
              <w:spacing w:before="120" w:after="120"/>
              <w:ind w:right="582"/>
              <w:jc w:val="center"/>
              <w:rPr>
                <w:color w:val="auto"/>
                <w:sz w:val="18"/>
                <w:szCs w:val="18"/>
                <w:lang w:eastAsia="zh-CN"/>
              </w:rPr>
            </w:pPr>
          </w:p>
        </w:tc>
        <w:tc>
          <w:tcPr>
            <w:tcW w:w="13580" w:type="dxa"/>
            <w:gridSpan w:val="7"/>
            <w:tcBorders>
              <w:top w:val="single" w:color="auto" w:sz="4" w:space="0"/>
              <w:left w:val="single" w:color="auto" w:sz="4" w:space="0"/>
              <w:bottom w:val="single" w:color="auto" w:sz="4" w:space="0"/>
              <w:right w:val="single" w:color="auto" w:sz="4" w:space="0"/>
            </w:tcBorders>
            <w:noWrap/>
            <w:vAlign w:val="center"/>
          </w:tcPr>
          <w:p>
            <w:pPr>
              <w:pStyle w:val="480"/>
              <w:spacing w:before="120" w:after="120" w:line="238" w:lineRule="exact"/>
              <w:ind w:right="4"/>
              <w:jc w:val="center"/>
              <w:rPr>
                <w:color w:val="auto"/>
                <w:sz w:val="18"/>
                <w:szCs w:val="18"/>
                <w:lang w:eastAsia="zh-CN"/>
              </w:rPr>
            </w:pPr>
            <w:r>
              <w:rPr>
                <w:rFonts w:hint="eastAsia"/>
                <w:color w:val="auto"/>
                <w:sz w:val="18"/>
                <w:szCs w:val="18"/>
                <w:lang w:eastAsia="zh-CN"/>
              </w:rPr>
              <w:t>注：上述模型精度要求仅作参考，具体精度内容应参考相关合同、行业标准、地方标准的要求。</w:t>
            </w:r>
          </w:p>
        </w:tc>
      </w:tr>
    </w:tbl>
    <w:p>
      <w:pPr>
        <w:spacing w:before="120" w:after="120"/>
        <w:outlineLvl w:val="4"/>
        <w:rPr>
          <w:color w:val="auto"/>
        </w:rPr>
        <w:sectPr>
          <w:pgSz w:w="16840" w:h="11910" w:orient="landscape"/>
          <w:pgMar w:top="1080" w:right="900" w:bottom="1140" w:left="900" w:header="0" w:footer="953" w:gutter="0"/>
          <w:cols w:space="720" w:num="1"/>
        </w:sectPr>
      </w:pPr>
    </w:p>
    <w:p>
      <w:pPr>
        <w:spacing w:before="120" w:after="120"/>
        <w:outlineLvl w:val="4"/>
        <w:rPr>
          <w:color w:val="auto"/>
        </w:rPr>
      </w:pPr>
      <w:bookmarkStart w:id="915" w:name="_Toc13456"/>
      <w:bookmarkStart w:id="916" w:name="_Toc19212"/>
      <w:r>
        <w:rPr>
          <w:color w:val="auto"/>
        </w:rPr>
        <w:t>9  标识系统</w:t>
      </w:r>
      <w:bookmarkEnd w:id="915"/>
      <w:bookmarkEnd w:id="916"/>
    </w:p>
    <w:tbl>
      <w:tblPr>
        <w:tblStyle w:val="55"/>
        <w:tblW w:w="14801" w:type="dxa"/>
        <w:tblInd w:w="111" w:type="dxa"/>
        <w:tblLayout w:type="fixed"/>
        <w:tblCellMar>
          <w:top w:w="0" w:type="dxa"/>
          <w:left w:w="0" w:type="dxa"/>
          <w:bottom w:w="0" w:type="dxa"/>
          <w:right w:w="0" w:type="dxa"/>
        </w:tblCellMar>
      </w:tblPr>
      <w:tblGrid>
        <w:gridCol w:w="1221"/>
        <w:gridCol w:w="568"/>
        <w:gridCol w:w="1335"/>
        <w:gridCol w:w="2427"/>
        <w:gridCol w:w="2427"/>
        <w:gridCol w:w="2427"/>
        <w:gridCol w:w="2427"/>
        <w:gridCol w:w="1969"/>
      </w:tblGrid>
      <w:tr>
        <w:tblPrEx>
          <w:tblCellMar>
            <w:top w:w="0" w:type="dxa"/>
            <w:left w:w="0" w:type="dxa"/>
            <w:bottom w:w="0" w:type="dxa"/>
            <w:right w:w="0" w:type="dxa"/>
          </w:tblCellMar>
        </w:tblPrEx>
        <w:trPr>
          <w:cantSplit/>
          <w:trHeight w:val="454" w:hRule="atLeast"/>
          <w:tblHeader/>
        </w:trPr>
        <w:tc>
          <w:tcPr>
            <w:tcW w:w="1221" w:type="dxa"/>
            <w:vMerge w:val="restart"/>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专业</w:t>
            </w:r>
          </w:p>
        </w:tc>
        <w:tc>
          <w:tcPr>
            <w:tcW w:w="1903" w:type="dxa"/>
            <w:gridSpan w:val="2"/>
            <w:vMerge w:val="restart"/>
            <w:tcBorders>
              <w:top w:val="single" w:color="auto" w:sz="4" w:space="0"/>
              <w:left w:val="single" w:color="auto" w:sz="4" w:space="0"/>
              <w:bottom w:val="single" w:color="auto" w:sz="4" w:space="0"/>
              <w:right w:val="single" w:color="auto" w:sz="4" w:space="0"/>
              <w:tl2br w:val="single" w:color="auto" w:sz="4" w:space="0"/>
            </w:tcBorders>
            <w:noWrap/>
            <w:vAlign w:val="center"/>
          </w:tcPr>
          <w:p>
            <w:pPr>
              <w:spacing w:before="120" w:after="120"/>
              <w:ind w:firstLine="360"/>
              <w:jc w:val="right"/>
              <w:rPr>
                <w:rFonts w:cs="宋体"/>
                <w:color w:val="auto"/>
                <w:sz w:val="18"/>
                <w:szCs w:val="18"/>
                <w:lang w:eastAsia="en-US"/>
              </w:rPr>
            </w:pPr>
            <w:r>
              <w:rPr>
                <w:rFonts w:cs="宋体"/>
                <w:color w:val="auto"/>
                <w:sz w:val="18"/>
                <w:szCs w:val="18"/>
                <w:lang w:eastAsia="en-US"/>
              </w:rPr>
              <w:t>详细等级</w:t>
            </w:r>
          </w:p>
          <w:p>
            <w:pPr>
              <w:spacing w:before="120" w:after="120"/>
              <w:ind w:firstLine="360"/>
              <w:jc w:val="center"/>
              <w:rPr>
                <w:rFonts w:cs="宋体"/>
                <w:color w:val="auto"/>
                <w:sz w:val="18"/>
                <w:szCs w:val="18"/>
                <w:lang w:eastAsia="en-US"/>
              </w:rPr>
            </w:pPr>
          </w:p>
          <w:p>
            <w:pPr>
              <w:spacing w:before="120" w:after="120"/>
              <w:ind w:firstLine="360"/>
              <w:jc w:val="left"/>
              <w:rPr>
                <w:rFonts w:cs="宋体"/>
                <w:color w:val="auto"/>
                <w:sz w:val="18"/>
                <w:szCs w:val="18"/>
                <w:lang w:eastAsia="en-US"/>
              </w:rPr>
            </w:pPr>
            <w:r>
              <w:rPr>
                <w:rFonts w:cs="宋体"/>
                <w:color w:val="auto"/>
                <w:sz w:val="18"/>
                <w:szCs w:val="18"/>
                <w:lang w:eastAsia="en-US"/>
              </w:rPr>
              <w:t>子项</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eastAsia="Times New Roman"/>
                <w:color w:val="auto"/>
                <w:sz w:val="18"/>
                <w:szCs w:val="18"/>
                <w:lang w:eastAsia="en-US"/>
              </w:rPr>
            </w:pPr>
            <w:r>
              <w:rPr>
                <w:rFonts w:cs="宋体"/>
                <w:color w:val="auto"/>
                <w:sz w:val="18"/>
                <w:szCs w:val="18"/>
                <w:lang w:eastAsia="en-US"/>
              </w:rPr>
              <w:t>LOD100</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eastAsia="Times New Roman"/>
                <w:color w:val="auto"/>
                <w:sz w:val="18"/>
                <w:szCs w:val="18"/>
                <w:lang w:eastAsia="en-US"/>
              </w:rPr>
            </w:pPr>
            <w:r>
              <w:rPr>
                <w:rFonts w:cs="宋体"/>
                <w:color w:val="auto"/>
                <w:sz w:val="18"/>
                <w:szCs w:val="18"/>
                <w:lang w:eastAsia="en-US"/>
              </w:rPr>
              <w:t>LOD200</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eastAsia="Times New Roman"/>
                <w:color w:val="auto"/>
                <w:sz w:val="18"/>
                <w:szCs w:val="18"/>
                <w:lang w:eastAsia="en-US"/>
              </w:rPr>
            </w:pPr>
            <w:r>
              <w:rPr>
                <w:color w:val="auto"/>
                <w:sz w:val="18"/>
                <w:szCs w:val="18"/>
                <w:lang w:eastAsia="en-US"/>
              </w:rPr>
              <w:t>LOD300</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eastAsia="Times New Roman"/>
                <w:color w:val="auto"/>
                <w:sz w:val="18"/>
                <w:szCs w:val="18"/>
                <w:lang w:eastAsia="en-US"/>
              </w:rPr>
            </w:pPr>
            <w:r>
              <w:rPr>
                <w:rFonts w:cs="宋体"/>
                <w:color w:val="auto"/>
                <w:sz w:val="18"/>
                <w:szCs w:val="18"/>
                <w:lang w:eastAsia="en-US"/>
              </w:rPr>
              <w:t>LOD400</w:t>
            </w:r>
          </w:p>
        </w:tc>
        <w:tc>
          <w:tcPr>
            <w:tcW w:w="1969"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eastAsia="Times New Roman"/>
                <w:color w:val="auto"/>
                <w:sz w:val="18"/>
                <w:szCs w:val="18"/>
                <w:lang w:eastAsia="en-US"/>
              </w:rPr>
            </w:pPr>
            <w:r>
              <w:rPr>
                <w:rFonts w:cs="宋体"/>
                <w:color w:val="auto"/>
                <w:sz w:val="18"/>
                <w:szCs w:val="18"/>
                <w:lang w:eastAsia="en-US"/>
              </w:rPr>
              <w:t>LOD500</w:t>
            </w:r>
          </w:p>
        </w:tc>
      </w:tr>
      <w:tr>
        <w:tblPrEx>
          <w:tblCellMar>
            <w:top w:w="0" w:type="dxa"/>
            <w:left w:w="0" w:type="dxa"/>
            <w:bottom w:w="0" w:type="dxa"/>
            <w:right w:w="0" w:type="dxa"/>
          </w:tblCellMar>
        </w:tblPrEx>
        <w:trPr>
          <w:cantSplit/>
          <w:trHeight w:val="454" w:hRule="atLeast"/>
          <w:tblHeader/>
        </w:trPr>
        <w:tc>
          <w:tcPr>
            <w:tcW w:w="1221" w:type="dxa"/>
            <w:vMerge w:val="continue"/>
            <w:tcBorders>
              <w:top w:val="single" w:color="auto" w:sz="4" w:space="0"/>
              <w:left w:val="single" w:color="auto" w:sz="4" w:space="0"/>
              <w:bottom w:val="single" w:color="auto" w:sz="4" w:space="0"/>
              <w:right w:val="single" w:color="auto" w:sz="4" w:space="0"/>
            </w:tcBorders>
            <w:noWrap/>
            <w:textDirection w:val="tbRl"/>
            <w:vAlign w:val="center"/>
          </w:tcPr>
          <w:p>
            <w:pPr>
              <w:spacing w:before="120" w:after="120"/>
              <w:ind w:firstLine="360"/>
              <w:jc w:val="center"/>
              <w:rPr>
                <w:color w:val="auto"/>
                <w:sz w:val="18"/>
                <w:szCs w:val="18"/>
                <w:lang w:eastAsia="en-US"/>
              </w:rPr>
            </w:pPr>
          </w:p>
        </w:tc>
        <w:tc>
          <w:tcPr>
            <w:tcW w:w="1903" w:type="dxa"/>
            <w:gridSpan w:val="2"/>
            <w:vMerge w:val="continue"/>
            <w:tcBorders>
              <w:top w:val="single" w:color="auto" w:sz="4" w:space="0"/>
              <w:left w:val="single" w:color="auto" w:sz="4" w:space="0"/>
              <w:bottom w:val="single" w:color="auto" w:sz="4" w:space="0"/>
              <w:right w:val="single" w:color="auto" w:sz="4" w:space="0"/>
              <w:tl2br w:val="single" w:color="auto" w:sz="4" w:space="0"/>
            </w:tcBorders>
            <w:noWrap/>
            <w:vAlign w:val="center"/>
          </w:tcPr>
          <w:p>
            <w:pPr>
              <w:spacing w:before="120" w:after="120"/>
              <w:ind w:firstLine="360"/>
              <w:jc w:val="center"/>
              <w:rPr>
                <w:color w:val="auto"/>
                <w:sz w:val="18"/>
                <w:szCs w:val="18"/>
                <w:lang w:eastAsia="en-US"/>
              </w:rPr>
            </w:pP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方案设计模型</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rPr>
            </w:pPr>
            <w:r>
              <w:rPr>
                <w:rFonts w:cs="宋体"/>
                <w:color w:val="auto"/>
                <w:sz w:val="18"/>
                <w:szCs w:val="18"/>
              </w:rPr>
              <w:t>扩初设计模型(扩初图纸）</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施工图模型</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施工深化模型</w:t>
            </w:r>
          </w:p>
        </w:tc>
        <w:tc>
          <w:tcPr>
            <w:tcW w:w="1969"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竣工模型</w:t>
            </w:r>
          </w:p>
        </w:tc>
      </w:tr>
      <w:tr>
        <w:tblPrEx>
          <w:tblCellMar>
            <w:top w:w="0" w:type="dxa"/>
            <w:left w:w="0" w:type="dxa"/>
            <w:bottom w:w="0" w:type="dxa"/>
            <w:right w:w="0" w:type="dxa"/>
          </w:tblCellMar>
        </w:tblPrEx>
        <w:trPr>
          <w:cantSplit/>
          <w:trHeight w:val="454" w:hRule="atLeast"/>
        </w:trPr>
        <w:tc>
          <w:tcPr>
            <w:tcW w:w="1221" w:type="dxa"/>
            <w:vMerge w:val="restart"/>
            <w:tcBorders>
              <w:top w:val="single" w:color="auto" w:sz="4" w:space="0"/>
              <w:left w:val="single" w:color="auto" w:sz="4" w:space="0"/>
              <w:right w:val="single" w:color="auto" w:sz="4" w:space="0"/>
            </w:tcBorders>
            <w:noWrap/>
            <w:vAlign w:val="center"/>
          </w:tcPr>
          <w:p>
            <w:pPr>
              <w:pStyle w:val="480"/>
              <w:spacing w:before="120" w:after="120"/>
              <w:ind w:right="4"/>
              <w:jc w:val="center"/>
              <w:rPr>
                <w:color w:val="auto"/>
                <w:sz w:val="18"/>
                <w:szCs w:val="18"/>
              </w:rPr>
            </w:pPr>
            <w:r>
              <w:rPr>
                <w:rFonts w:hint="eastAsia"/>
                <w:color w:val="auto"/>
                <w:sz w:val="18"/>
                <w:szCs w:val="18"/>
                <w:lang w:eastAsia="zh-CN"/>
              </w:rPr>
              <w:t>标识</w:t>
            </w:r>
          </w:p>
        </w:tc>
        <w:tc>
          <w:tcPr>
            <w:tcW w:w="568"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rPr>
            </w:pPr>
            <w:r>
              <w:rPr>
                <w:color w:val="auto"/>
                <w:sz w:val="18"/>
                <w:szCs w:val="18"/>
              </w:rPr>
              <w:t>001</w:t>
            </w:r>
          </w:p>
        </w:tc>
        <w:tc>
          <w:tcPr>
            <w:tcW w:w="1335"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rPr>
            </w:pPr>
            <w:r>
              <w:rPr>
                <w:rFonts w:hint="eastAsia"/>
                <w:color w:val="auto"/>
                <w:sz w:val="18"/>
                <w:szCs w:val="18"/>
              </w:rPr>
              <w:t>室内标识</w:t>
            </w:r>
          </w:p>
        </w:tc>
        <w:tc>
          <w:tcPr>
            <w:tcW w:w="2427"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lang w:eastAsia="zh-CN"/>
              </w:rPr>
            </w:pPr>
            <w:r>
              <w:rPr>
                <w:color w:val="auto"/>
                <w:sz w:val="18"/>
                <w:szCs w:val="18"/>
                <w:lang w:eastAsia="zh-CN"/>
              </w:rPr>
              <w:t>无模型，成本或其他性能系可按单位楼面面积的某</w:t>
            </w:r>
          </w:p>
          <w:p>
            <w:pPr>
              <w:pStyle w:val="480"/>
              <w:spacing w:before="120" w:after="120"/>
              <w:ind w:right="4"/>
              <w:jc w:val="center"/>
              <w:rPr>
                <w:color w:val="auto"/>
                <w:sz w:val="18"/>
                <w:szCs w:val="18"/>
              </w:rPr>
            </w:pPr>
            <w:r>
              <w:rPr>
                <w:color w:val="auto"/>
                <w:sz w:val="18"/>
                <w:szCs w:val="18"/>
              </w:rPr>
              <w:t>个数值计入</w:t>
            </w:r>
          </w:p>
        </w:tc>
        <w:tc>
          <w:tcPr>
            <w:tcW w:w="2427"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lang w:eastAsia="zh-CN"/>
              </w:rPr>
            </w:pPr>
            <w:r>
              <w:rPr>
                <w:color w:val="auto"/>
                <w:sz w:val="18"/>
                <w:szCs w:val="18"/>
                <w:lang w:eastAsia="zh-CN"/>
              </w:rPr>
              <w:t>无模型，成本或其他性能系可按单位楼面面积的某</w:t>
            </w:r>
          </w:p>
          <w:p>
            <w:pPr>
              <w:pStyle w:val="480"/>
              <w:spacing w:before="120" w:after="120"/>
              <w:ind w:right="4"/>
              <w:jc w:val="center"/>
              <w:rPr>
                <w:color w:val="auto"/>
                <w:sz w:val="18"/>
                <w:szCs w:val="18"/>
              </w:rPr>
            </w:pPr>
            <w:r>
              <w:rPr>
                <w:color w:val="auto"/>
                <w:sz w:val="18"/>
                <w:szCs w:val="18"/>
              </w:rPr>
              <w:t>个数值计入</w:t>
            </w:r>
          </w:p>
        </w:tc>
        <w:tc>
          <w:tcPr>
            <w:tcW w:w="2427"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lang w:eastAsia="zh-CN"/>
              </w:rPr>
            </w:pPr>
            <w:r>
              <w:rPr>
                <w:color w:val="auto"/>
                <w:sz w:val="18"/>
                <w:szCs w:val="18"/>
                <w:lang w:eastAsia="zh-CN"/>
              </w:rPr>
              <w:t>无模型，成本或其他性能系可按单位楼面面积的某</w:t>
            </w:r>
          </w:p>
          <w:p>
            <w:pPr>
              <w:pStyle w:val="480"/>
              <w:spacing w:before="120" w:after="120"/>
              <w:ind w:right="4"/>
              <w:jc w:val="center"/>
              <w:rPr>
                <w:color w:val="auto"/>
                <w:sz w:val="18"/>
                <w:szCs w:val="18"/>
              </w:rPr>
            </w:pPr>
            <w:r>
              <w:rPr>
                <w:color w:val="auto"/>
                <w:sz w:val="18"/>
                <w:szCs w:val="18"/>
              </w:rPr>
              <w:t>个数值计入</w:t>
            </w:r>
          </w:p>
        </w:tc>
        <w:tc>
          <w:tcPr>
            <w:tcW w:w="2427"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rPr>
            </w:pPr>
            <w:r>
              <w:rPr>
                <w:color w:val="auto"/>
                <w:sz w:val="18"/>
                <w:szCs w:val="18"/>
              </w:rPr>
              <w:t>精确尺寸，颜色</w:t>
            </w:r>
          </w:p>
        </w:tc>
        <w:tc>
          <w:tcPr>
            <w:tcW w:w="1969"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rPr>
            </w:pPr>
            <w:r>
              <w:rPr>
                <w:color w:val="auto"/>
                <w:sz w:val="18"/>
                <w:szCs w:val="18"/>
              </w:rPr>
              <w:t>加工实际尺寸，颜色</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noWrap/>
            <w:textDirection w:val="tbRl"/>
            <w:vAlign w:val="center"/>
          </w:tcPr>
          <w:p>
            <w:pPr>
              <w:pStyle w:val="480"/>
              <w:spacing w:before="120" w:after="120"/>
              <w:ind w:right="582"/>
              <w:jc w:val="center"/>
              <w:rPr>
                <w:color w:val="auto"/>
                <w:sz w:val="18"/>
                <w:szCs w:val="18"/>
                <w:lang w:eastAsia="zh-CN"/>
              </w:rPr>
            </w:pPr>
          </w:p>
        </w:tc>
        <w:tc>
          <w:tcPr>
            <w:tcW w:w="568"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rPr>
            </w:pPr>
            <w:r>
              <w:rPr>
                <w:color w:val="auto"/>
                <w:sz w:val="18"/>
                <w:szCs w:val="18"/>
              </w:rPr>
              <w:t>002</w:t>
            </w:r>
          </w:p>
        </w:tc>
        <w:tc>
          <w:tcPr>
            <w:tcW w:w="1335"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rPr>
            </w:pPr>
            <w:r>
              <w:rPr>
                <w:rFonts w:hint="eastAsia"/>
                <w:color w:val="auto"/>
                <w:sz w:val="18"/>
                <w:szCs w:val="18"/>
              </w:rPr>
              <w:t>室外标识</w:t>
            </w:r>
          </w:p>
        </w:tc>
        <w:tc>
          <w:tcPr>
            <w:tcW w:w="2427"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lang w:eastAsia="zh-CN"/>
              </w:rPr>
            </w:pPr>
            <w:r>
              <w:rPr>
                <w:color w:val="auto"/>
                <w:sz w:val="18"/>
                <w:szCs w:val="18"/>
                <w:lang w:eastAsia="zh-CN"/>
              </w:rPr>
              <w:t>无模型，成本或其他性能系可按单位楼面面积的某</w:t>
            </w:r>
          </w:p>
          <w:p>
            <w:pPr>
              <w:pStyle w:val="480"/>
              <w:spacing w:before="120" w:after="120"/>
              <w:ind w:right="4"/>
              <w:jc w:val="center"/>
              <w:rPr>
                <w:color w:val="auto"/>
                <w:sz w:val="18"/>
                <w:szCs w:val="18"/>
              </w:rPr>
            </w:pPr>
            <w:r>
              <w:rPr>
                <w:color w:val="auto"/>
                <w:sz w:val="18"/>
                <w:szCs w:val="18"/>
              </w:rPr>
              <w:t>个数值计入</w:t>
            </w:r>
          </w:p>
        </w:tc>
        <w:tc>
          <w:tcPr>
            <w:tcW w:w="2427"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lang w:eastAsia="zh-CN"/>
              </w:rPr>
            </w:pPr>
            <w:r>
              <w:rPr>
                <w:color w:val="auto"/>
                <w:sz w:val="18"/>
                <w:szCs w:val="18"/>
                <w:lang w:eastAsia="zh-CN"/>
              </w:rPr>
              <w:t>无模型，成本或其他性能系可按单位楼面面积的某</w:t>
            </w:r>
          </w:p>
          <w:p>
            <w:pPr>
              <w:pStyle w:val="480"/>
              <w:spacing w:before="120" w:after="120"/>
              <w:ind w:right="4"/>
              <w:jc w:val="center"/>
              <w:rPr>
                <w:color w:val="auto"/>
                <w:sz w:val="18"/>
                <w:szCs w:val="18"/>
              </w:rPr>
            </w:pPr>
            <w:r>
              <w:rPr>
                <w:color w:val="auto"/>
                <w:sz w:val="18"/>
                <w:szCs w:val="18"/>
              </w:rPr>
              <w:t>个数值计入</w:t>
            </w:r>
          </w:p>
        </w:tc>
        <w:tc>
          <w:tcPr>
            <w:tcW w:w="2427"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lang w:eastAsia="zh-CN"/>
              </w:rPr>
            </w:pPr>
            <w:r>
              <w:rPr>
                <w:color w:val="auto"/>
                <w:sz w:val="18"/>
                <w:szCs w:val="18"/>
                <w:lang w:eastAsia="zh-CN"/>
              </w:rPr>
              <w:t>无模型，成本或其他性能系可按单位楼面面积的某</w:t>
            </w:r>
          </w:p>
          <w:p>
            <w:pPr>
              <w:pStyle w:val="480"/>
              <w:spacing w:before="120" w:after="120"/>
              <w:ind w:right="4"/>
              <w:jc w:val="center"/>
              <w:rPr>
                <w:color w:val="auto"/>
                <w:sz w:val="18"/>
                <w:szCs w:val="18"/>
              </w:rPr>
            </w:pPr>
            <w:r>
              <w:rPr>
                <w:color w:val="auto"/>
                <w:sz w:val="18"/>
                <w:szCs w:val="18"/>
              </w:rPr>
              <w:t>个数值计入</w:t>
            </w:r>
          </w:p>
        </w:tc>
        <w:tc>
          <w:tcPr>
            <w:tcW w:w="2427"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rPr>
            </w:pPr>
            <w:r>
              <w:rPr>
                <w:color w:val="auto"/>
                <w:sz w:val="18"/>
                <w:szCs w:val="18"/>
              </w:rPr>
              <w:t>精确尺寸，颜色</w:t>
            </w:r>
          </w:p>
        </w:tc>
        <w:tc>
          <w:tcPr>
            <w:tcW w:w="1969"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rPr>
            </w:pPr>
            <w:r>
              <w:rPr>
                <w:color w:val="auto"/>
                <w:sz w:val="18"/>
                <w:szCs w:val="18"/>
              </w:rPr>
              <w:t>加工实际尺寸，颜色</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bottom w:val="single" w:color="auto" w:sz="4" w:space="0"/>
              <w:right w:val="single" w:color="auto" w:sz="4" w:space="0"/>
            </w:tcBorders>
            <w:noWrap/>
            <w:textDirection w:val="tbRl"/>
            <w:vAlign w:val="center"/>
          </w:tcPr>
          <w:p>
            <w:pPr>
              <w:pStyle w:val="480"/>
              <w:spacing w:before="120" w:after="120"/>
              <w:ind w:right="582"/>
              <w:jc w:val="center"/>
              <w:rPr>
                <w:color w:val="auto"/>
                <w:sz w:val="18"/>
                <w:szCs w:val="18"/>
                <w:lang w:eastAsia="zh-CN"/>
              </w:rPr>
            </w:pPr>
          </w:p>
        </w:tc>
        <w:tc>
          <w:tcPr>
            <w:tcW w:w="13580" w:type="dxa"/>
            <w:gridSpan w:val="7"/>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lang w:eastAsia="zh-CN"/>
              </w:rPr>
            </w:pPr>
            <w:r>
              <w:rPr>
                <w:rFonts w:hint="eastAsia"/>
                <w:color w:val="auto"/>
                <w:sz w:val="18"/>
                <w:szCs w:val="18"/>
                <w:lang w:eastAsia="zh-CN"/>
              </w:rPr>
              <w:t>注：上述模型精度要求仅作参考，具体精度内容应参考相关合同、行业标准、地方标准的要求。</w:t>
            </w:r>
          </w:p>
        </w:tc>
      </w:tr>
    </w:tbl>
    <w:p>
      <w:pPr>
        <w:spacing w:before="120" w:after="120"/>
        <w:rPr>
          <w:color w:val="auto"/>
        </w:rPr>
        <w:sectPr>
          <w:pgSz w:w="16840" w:h="11910" w:orient="landscape"/>
          <w:pgMar w:top="1080" w:right="900" w:bottom="1140" w:left="900" w:header="0" w:footer="953" w:gutter="0"/>
          <w:cols w:space="720" w:num="1"/>
        </w:sectPr>
      </w:pPr>
    </w:p>
    <w:p>
      <w:pPr>
        <w:spacing w:before="120" w:after="120"/>
        <w:outlineLvl w:val="4"/>
        <w:rPr>
          <w:color w:val="auto"/>
        </w:rPr>
      </w:pPr>
      <w:bookmarkStart w:id="917" w:name="_Toc11093"/>
      <w:bookmarkStart w:id="918" w:name="_Toc30406"/>
      <w:r>
        <w:rPr>
          <w:color w:val="auto"/>
        </w:rPr>
        <w:t>10  室内精装修专业</w:t>
      </w:r>
      <w:bookmarkEnd w:id="917"/>
      <w:bookmarkEnd w:id="918"/>
    </w:p>
    <w:tbl>
      <w:tblPr>
        <w:tblStyle w:val="55"/>
        <w:tblW w:w="14801" w:type="dxa"/>
        <w:tblInd w:w="111" w:type="dxa"/>
        <w:tblLayout w:type="fixed"/>
        <w:tblCellMar>
          <w:top w:w="0" w:type="dxa"/>
          <w:left w:w="0" w:type="dxa"/>
          <w:bottom w:w="0" w:type="dxa"/>
          <w:right w:w="0" w:type="dxa"/>
        </w:tblCellMar>
      </w:tblPr>
      <w:tblGrid>
        <w:gridCol w:w="1221"/>
        <w:gridCol w:w="568"/>
        <w:gridCol w:w="1335"/>
        <w:gridCol w:w="2427"/>
        <w:gridCol w:w="2427"/>
        <w:gridCol w:w="2427"/>
        <w:gridCol w:w="2427"/>
        <w:gridCol w:w="1969"/>
      </w:tblGrid>
      <w:tr>
        <w:tblPrEx>
          <w:tblCellMar>
            <w:top w:w="0" w:type="dxa"/>
            <w:left w:w="0" w:type="dxa"/>
            <w:bottom w:w="0" w:type="dxa"/>
            <w:right w:w="0" w:type="dxa"/>
          </w:tblCellMar>
        </w:tblPrEx>
        <w:trPr>
          <w:cantSplit/>
          <w:trHeight w:val="454" w:hRule="atLeast"/>
          <w:tblHeader/>
        </w:trPr>
        <w:tc>
          <w:tcPr>
            <w:tcW w:w="1221" w:type="dxa"/>
            <w:vMerge w:val="restart"/>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专业</w:t>
            </w:r>
          </w:p>
        </w:tc>
        <w:tc>
          <w:tcPr>
            <w:tcW w:w="1903" w:type="dxa"/>
            <w:gridSpan w:val="2"/>
            <w:vMerge w:val="restart"/>
            <w:tcBorders>
              <w:top w:val="single" w:color="auto" w:sz="4" w:space="0"/>
              <w:left w:val="single" w:color="auto" w:sz="4" w:space="0"/>
              <w:bottom w:val="single" w:color="auto" w:sz="4" w:space="0"/>
              <w:right w:val="single" w:color="auto" w:sz="4" w:space="0"/>
              <w:tl2br w:val="single" w:color="auto" w:sz="4" w:space="0"/>
            </w:tcBorders>
            <w:noWrap/>
            <w:vAlign w:val="center"/>
          </w:tcPr>
          <w:p>
            <w:pPr>
              <w:spacing w:before="120" w:after="120"/>
              <w:ind w:firstLine="360"/>
              <w:jc w:val="right"/>
              <w:rPr>
                <w:rFonts w:cs="宋体"/>
                <w:color w:val="auto"/>
                <w:sz w:val="18"/>
                <w:szCs w:val="18"/>
                <w:lang w:eastAsia="en-US"/>
              </w:rPr>
            </w:pPr>
            <w:r>
              <w:rPr>
                <w:rFonts w:cs="宋体"/>
                <w:color w:val="auto"/>
                <w:sz w:val="18"/>
                <w:szCs w:val="18"/>
                <w:lang w:eastAsia="en-US"/>
              </w:rPr>
              <w:t>详细等级</w:t>
            </w:r>
          </w:p>
          <w:p>
            <w:pPr>
              <w:spacing w:before="120" w:after="120"/>
              <w:ind w:firstLine="360"/>
              <w:jc w:val="center"/>
              <w:rPr>
                <w:rFonts w:cs="宋体"/>
                <w:color w:val="auto"/>
                <w:sz w:val="18"/>
                <w:szCs w:val="18"/>
                <w:lang w:eastAsia="en-US"/>
              </w:rPr>
            </w:pPr>
          </w:p>
          <w:p>
            <w:pPr>
              <w:spacing w:before="120" w:after="120"/>
              <w:ind w:firstLine="360"/>
              <w:jc w:val="left"/>
              <w:rPr>
                <w:rFonts w:cs="宋体"/>
                <w:color w:val="auto"/>
                <w:sz w:val="18"/>
                <w:szCs w:val="18"/>
                <w:lang w:eastAsia="en-US"/>
              </w:rPr>
            </w:pPr>
            <w:r>
              <w:rPr>
                <w:rFonts w:cs="宋体"/>
                <w:color w:val="auto"/>
                <w:sz w:val="18"/>
                <w:szCs w:val="18"/>
                <w:lang w:eastAsia="en-US"/>
              </w:rPr>
              <w:t>子项</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eastAsia="Times New Roman"/>
                <w:color w:val="auto"/>
                <w:sz w:val="18"/>
                <w:szCs w:val="18"/>
                <w:lang w:eastAsia="en-US"/>
              </w:rPr>
            </w:pPr>
            <w:r>
              <w:rPr>
                <w:rFonts w:cs="宋体"/>
                <w:color w:val="auto"/>
                <w:sz w:val="18"/>
                <w:szCs w:val="18"/>
                <w:lang w:eastAsia="en-US"/>
              </w:rPr>
              <w:t>LOD100</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eastAsia="Times New Roman"/>
                <w:color w:val="auto"/>
                <w:sz w:val="18"/>
                <w:szCs w:val="18"/>
                <w:lang w:eastAsia="en-US"/>
              </w:rPr>
            </w:pPr>
            <w:r>
              <w:rPr>
                <w:rFonts w:cs="宋体"/>
                <w:color w:val="auto"/>
                <w:sz w:val="18"/>
                <w:szCs w:val="18"/>
                <w:lang w:eastAsia="en-US"/>
              </w:rPr>
              <w:t>LOD200</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eastAsia="Times New Roman"/>
                <w:color w:val="auto"/>
                <w:sz w:val="18"/>
                <w:szCs w:val="18"/>
                <w:lang w:eastAsia="en-US"/>
              </w:rPr>
            </w:pPr>
            <w:r>
              <w:rPr>
                <w:color w:val="auto"/>
                <w:sz w:val="18"/>
                <w:szCs w:val="18"/>
                <w:lang w:eastAsia="en-US"/>
              </w:rPr>
              <w:t>LOD300</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eastAsia="Times New Roman"/>
                <w:color w:val="auto"/>
                <w:sz w:val="18"/>
                <w:szCs w:val="18"/>
                <w:lang w:eastAsia="en-US"/>
              </w:rPr>
            </w:pPr>
            <w:r>
              <w:rPr>
                <w:rFonts w:cs="宋体"/>
                <w:color w:val="auto"/>
                <w:sz w:val="18"/>
                <w:szCs w:val="18"/>
                <w:lang w:eastAsia="en-US"/>
              </w:rPr>
              <w:t>LOD400</w:t>
            </w:r>
          </w:p>
        </w:tc>
        <w:tc>
          <w:tcPr>
            <w:tcW w:w="1969"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eastAsia="Times New Roman"/>
                <w:color w:val="auto"/>
                <w:sz w:val="18"/>
                <w:szCs w:val="18"/>
                <w:lang w:eastAsia="en-US"/>
              </w:rPr>
            </w:pPr>
            <w:r>
              <w:rPr>
                <w:rFonts w:cs="宋体"/>
                <w:color w:val="auto"/>
                <w:sz w:val="18"/>
                <w:szCs w:val="18"/>
                <w:lang w:eastAsia="en-US"/>
              </w:rPr>
              <w:t>LOD500</w:t>
            </w:r>
          </w:p>
        </w:tc>
      </w:tr>
      <w:tr>
        <w:tblPrEx>
          <w:tblCellMar>
            <w:top w:w="0" w:type="dxa"/>
            <w:left w:w="0" w:type="dxa"/>
            <w:bottom w:w="0" w:type="dxa"/>
            <w:right w:w="0" w:type="dxa"/>
          </w:tblCellMar>
        </w:tblPrEx>
        <w:trPr>
          <w:cantSplit/>
          <w:trHeight w:val="454" w:hRule="atLeast"/>
          <w:tblHeader/>
        </w:trPr>
        <w:tc>
          <w:tcPr>
            <w:tcW w:w="1221" w:type="dxa"/>
            <w:vMerge w:val="continue"/>
            <w:tcBorders>
              <w:top w:val="single" w:color="auto" w:sz="4" w:space="0"/>
              <w:left w:val="single" w:color="auto" w:sz="4" w:space="0"/>
              <w:bottom w:val="single" w:color="auto" w:sz="4" w:space="0"/>
              <w:right w:val="single" w:color="auto" w:sz="4" w:space="0"/>
            </w:tcBorders>
            <w:noWrap/>
            <w:textDirection w:val="tbRl"/>
            <w:vAlign w:val="center"/>
          </w:tcPr>
          <w:p>
            <w:pPr>
              <w:spacing w:before="120" w:after="120"/>
              <w:ind w:firstLine="360"/>
              <w:jc w:val="center"/>
              <w:rPr>
                <w:color w:val="auto"/>
                <w:sz w:val="18"/>
                <w:szCs w:val="18"/>
                <w:lang w:eastAsia="en-US"/>
              </w:rPr>
            </w:pPr>
          </w:p>
        </w:tc>
        <w:tc>
          <w:tcPr>
            <w:tcW w:w="1903" w:type="dxa"/>
            <w:gridSpan w:val="2"/>
            <w:vMerge w:val="continue"/>
            <w:tcBorders>
              <w:top w:val="single" w:color="auto" w:sz="4" w:space="0"/>
              <w:left w:val="single" w:color="auto" w:sz="4" w:space="0"/>
              <w:bottom w:val="single" w:color="auto" w:sz="4" w:space="0"/>
              <w:right w:val="single" w:color="auto" w:sz="4" w:space="0"/>
              <w:tl2br w:val="single" w:color="auto" w:sz="4" w:space="0"/>
            </w:tcBorders>
            <w:noWrap/>
            <w:vAlign w:val="center"/>
          </w:tcPr>
          <w:p>
            <w:pPr>
              <w:spacing w:before="120" w:after="120"/>
              <w:ind w:firstLine="360"/>
              <w:jc w:val="center"/>
              <w:rPr>
                <w:color w:val="auto"/>
                <w:sz w:val="18"/>
                <w:szCs w:val="18"/>
                <w:lang w:eastAsia="en-US"/>
              </w:rPr>
            </w:pP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方案设计模型</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rPr>
            </w:pPr>
            <w:r>
              <w:rPr>
                <w:rFonts w:cs="宋体"/>
                <w:color w:val="auto"/>
                <w:sz w:val="18"/>
                <w:szCs w:val="18"/>
              </w:rPr>
              <w:t>扩初设计模型(扩初图纸）</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施工图模型</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施工深化模型</w:t>
            </w:r>
          </w:p>
        </w:tc>
        <w:tc>
          <w:tcPr>
            <w:tcW w:w="1969" w:type="dxa"/>
            <w:tcBorders>
              <w:top w:val="single" w:color="auto" w:sz="4" w:space="0"/>
              <w:left w:val="single" w:color="auto" w:sz="4" w:space="0"/>
              <w:bottom w:val="single" w:color="auto" w:sz="4" w:space="0"/>
              <w:right w:val="single" w:color="auto" w:sz="4" w:space="0"/>
            </w:tcBorders>
            <w:noWrap/>
            <w:vAlign w:val="center"/>
          </w:tcPr>
          <w:p>
            <w:pPr>
              <w:spacing w:before="120" w:after="120"/>
              <w:ind w:firstLine="360"/>
              <w:jc w:val="center"/>
              <w:rPr>
                <w:rFonts w:cs="宋体"/>
                <w:color w:val="auto"/>
                <w:sz w:val="18"/>
                <w:szCs w:val="18"/>
                <w:lang w:eastAsia="en-US"/>
              </w:rPr>
            </w:pPr>
            <w:r>
              <w:rPr>
                <w:rFonts w:cs="宋体"/>
                <w:color w:val="auto"/>
                <w:sz w:val="18"/>
                <w:szCs w:val="18"/>
                <w:lang w:eastAsia="en-US"/>
              </w:rPr>
              <w:t>竣工模型</w:t>
            </w:r>
          </w:p>
        </w:tc>
      </w:tr>
      <w:tr>
        <w:tblPrEx>
          <w:tblCellMar>
            <w:top w:w="0" w:type="dxa"/>
            <w:left w:w="0" w:type="dxa"/>
            <w:bottom w:w="0" w:type="dxa"/>
            <w:right w:w="0" w:type="dxa"/>
          </w:tblCellMar>
        </w:tblPrEx>
        <w:trPr>
          <w:cantSplit/>
          <w:trHeight w:val="454" w:hRule="atLeast"/>
        </w:trPr>
        <w:tc>
          <w:tcPr>
            <w:tcW w:w="1221" w:type="dxa"/>
            <w:vMerge w:val="restart"/>
            <w:tcBorders>
              <w:top w:val="single" w:color="auto" w:sz="4" w:space="0"/>
              <w:left w:val="single" w:color="auto" w:sz="4" w:space="0"/>
              <w:right w:val="single" w:color="auto" w:sz="4" w:space="0"/>
            </w:tcBorders>
            <w:noWrap/>
            <w:vAlign w:val="center"/>
          </w:tcPr>
          <w:p>
            <w:pPr>
              <w:pStyle w:val="480"/>
              <w:spacing w:before="120" w:after="120"/>
              <w:ind w:right="4"/>
              <w:jc w:val="center"/>
              <w:rPr>
                <w:color w:val="auto"/>
                <w:sz w:val="18"/>
                <w:szCs w:val="18"/>
              </w:rPr>
            </w:pPr>
            <w:r>
              <w:rPr>
                <w:rFonts w:hint="eastAsia"/>
                <w:color w:val="auto"/>
                <w:sz w:val="18"/>
                <w:szCs w:val="18"/>
                <w:lang w:eastAsia="zh-CN"/>
              </w:rPr>
              <w:t>室内精装修</w:t>
            </w:r>
          </w:p>
        </w:tc>
        <w:tc>
          <w:tcPr>
            <w:tcW w:w="568"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rPr>
            </w:pPr>
            <w:r>
              <w:rPr>
                <w:color w:val="auto"/>
                <w:sz w:val="18"/>
                <w:szCs w:val="18"/>
              </w:rPr>
              <w:t>001</w:t>
            </w:r>
          </w:p>
        </w:tc>
        <w:tc>
          <w:tcPr>
            <w:tcW w:w="1335"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line="239" w:lineRule="exact"/>
              <w:ind w:left="103"/>
              <w:jc w:val="center"/>
              <w:rPr>
                <w:rFonts w:ascii="Times New Roman"/>
                <w:color w:val="auto"/>
                <w:sz w:val="18"/>
                <w:szCs w:val="18"/>
                <w:lang w:eastAsia="zh-CN"/>
              </w:rPr>
            </w:pPr>
            <w:r>
              <w:rPr>
                <w:color w:val="auto"/>
                <w:spacing w:val="-10"/>
                <w:sz w:val="18"/>
                <w:szCs w:val="18"/>
                <w:lang w:eastAsia="zh-CN"/>
              </w:rPr>
              <w:t>卫生间（卫生</w:t>
            </w:r>
            <w:r>
              <w:rPr>
                <w:color w:val="auto"/>
                <w:sz w:val="18"/>
                <w:szCs w:val="18"/>
                <w:lang w:eastAsia="zh-CN"/>
              </w:rPr>
              <w:t>洁具、水池、台、柜）</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32"/>
              <w:jc w:val="center"/>
              <w:rPr>
                <w:rFonts w:cs="宋体"/>
                <w:color w:val="auto"/>
                <w:sz w:val="18"/>
                <w:szCs w:val="18"/>
              </w:rPr>
            </w:pPr>
            <w:r>
              <w:rPr>
                <w:rFonts w:cs="宋体"/>
                <w:color w:val="auto"/>
                <w:spacing w:val="-7"/>
                <w:sz w:val="18"/>
                <w:szCs w:val="18"/>
              </w:rPr>
              <w:t>非几何数据，仅线、面积。</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类似形状、大概尺寸、位置、用途</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精确形状、位置、尺寸</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实际形状、位置、尺寸</w:t>
            </w:r>
          </w:p>
        </w:tc>
        <w:tc>
          <w:tcPr>
            <w:tcW w:w="1969"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line="239" w:lineRule="exact"/>
              <w:ind w:left="102" w:right="-2" w:firstLine="36"/>
              <w:jc w:val="center"/>
              <w:rPr>
                <w:color w:val="auto"/>
                <w:sz w:val="18"/>
                <w:szCs w:val="18"/>
                <w:lang w:eastAsia="zh-CN"/>
              </w:rPr>
            </w:pPr>
            <w:r>
              <w:rPr>
                <w:color w:val="auto"/>
                <w:sz w:val="18"/>
                <w:szCs w:val="18"/>
                <w:lang w:eastAsia="zh-CN"/>
              </w:rPr>
              <w:t>厂家、型号、精确</w:t>
            </w:r>
          </w:p>
          <w:p>
            <w:pPr>
              <w:spacing w:before="120" w:after="120"/>
              <w:ind w:right="4" w:firstLine="344"/>
              <w:jc w:val="center"/>
              <w:rPr>
                <w:rFonts w:cs="宋体"/>
                <w:color w:val="auto"/>
                <w:sz w:val="18"/>
                <w:szCs w:val="18"/>
              </w:rPr>
            </w:pPr>
            <w:r>
              <w:rPr>
                <w:rFonts w:cs="宋体"/>
                <w:color w:val="auto"/>
                <w:spacing w:val="-4"/>
                <w:sz w:val="18"/>
                <w:szCs w:val="18"/>
              </w:rPr>
              <w:t>尺寸、编号、位置、</w:t>
            </w:r>
            <w:r>
              <w:rPr>
                <w:rFonts w:cs="宋体"/>
                <w:color w:val="auto"/>
                <w:sz w:val="18"/>
                <w:szCs w:val="18"/>
              </w:rPr>
              <w:t>用途</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noWrap/>
            <w:textDirection w:val="tbRl"/>
            <w:vAlign w:val="center"/>
          </w:tcPr>
          <w:p>
            <w:pPr>
              <w:pStyle w:val="480"/>
              <w:spacing w:before="120" w:after="120"/>
              <w:ind w:right="582"/>
              <w:jc w:val="center"/>
              <w:rPr>
                <w:color w:val="auto"/>
                <w:sz w:val="18"/>
                <w:szCs w:val="18"/>
                <w:lang w:eastAsia="zh-CN"/>
              </w:rPr>
            </w:pPr>
          </w:p>
        </w:tc>
        <w:tc>
          <w:tcPr>
            <w:tcW w:w="568"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rPr>
            </w:pPr>
            <w:r>
              <w:rPr>
                <w:color w:val="auto"/>
                <w:sz w:val="18"/>
                <w:szCs w:val="18"/>
              </w:rPr>
              <w:t>002</w:t>
            </w:r>
          </w:p>
        </w:tc>
        <w:tc>
          <w:tcPr>
            <w:tcW w:w="1335"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20"/>
              <w:jc w:val="center"/>
              <w:rPr>
                <w:color w:val="auto"/>
                <w:sz w:val="18"/>
                <w:szCs w:val="18"/>
              </w:rPr>
            </w:pPr>
            <w:r>
              <w:rPr>
                <w:rFonts w:cs="宋体"/>
                <w:color w:val="auto"/>
                <w:spacing w:val="-10"/>
                <w:sz w:val="18"/>
                <w:szCs w:val="18"/>
              </w:rPr>
              <w:t>固定家具（主</w:t>
            </w:r>
            <w:r>
              <w:rPr>
                <w:rFonts w:cs="宋体"/>
                <w:color w:val="auto"/>
                <w:sz w:val="18"/>
                <w:szCs w:val="18"/>
              </w:rPr>
              <w:t>要为碰撞检查分析）</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32"/>
              <w:jc w:val="center"/>
              <w:rPr>
                <w:rFonts w:cs="宋体"/>
                <w:color w:val="auto"/>
                <w:sz w:val="18"/>
                <w:szCs w:val="18"/>
              </w:rPr>
            </w:pPr>
            <w:r>
              <w:rPr>
                <w:rFonts w:cs="宋体"/>
                <w:color w:val="auto"/>
                <w:spacing w:val="-7"/>
                <w:sz w:val="18"/>
                <w:szCs w:val="18"/>
              </w:rPr>
              <w:t>非几何数据，仅线、面积。</w:t>
            </w:r>
          </w:p>
        </w:tc>
        <w:tc>
          <w:tcPr>
            <w:tcW w:w="2427"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lang w:eastAsia="zh-CN"/>
              </w:rPr>
            </w:pPr>
            <w:r>
              <w:rPr>
                <w:color w:val="auto"/>
                <w:sz w:val="18"/>
                <w:szCs w:val="18"/>
                <w:lang w:eastAsia="zh-CN"/>
              </w:rPr>
              <w:t>类似形状、大概尺寸、位置、用途</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精确形状、位置、尺寸</w:t>
            </w:r>
          </w:p>
        </w:tc>
        <w:tc>
          <w:tcPr>
            <w:tcW w:w="2427"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lang w:eastAsia="zh-CN"/>
              </w:rPr>
            </w:pPr>
            <w:r>
              <w:rPr>
                <w:color w:val="auto"/>
                <w:sz w:val="18"/>
                <w:szCs w:val="18"/>
                <w:lang w:eastAsia="zh-CN"/>
              </w:rPr>
              <w:t>实际形状、位置、尺寸</w:t>
            </w:r>
          </w:p>
        </w:tc>
        <w:tc>
          <w:tcPr>
            <w:tcW w:w="1969"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line="239" w:lineRule="exact"/>
              <w:ind w:left="102" w:right="-2" w:firstLine="36"/>
              <w:jc w:val="center"/>
              <w:rPr>
                <w:color w:val="auto"/>
                <w:sz w:val="18"/>
                <w:szCs w:val="18"/>
                <w:lang w:eastAsia="zh-CN"/>
              </w:rPr>
            </w:pPr>
            <w:r>
              <w:rPr>
                <w:color w:val="auto"/>
                <w:sz w:val="18"/>
                <w:szCs w:val="18"/>
                <w:lang w:eastAsia="zh-CN"/>
              </w:rPr>
              <w:t>厂家、型号、精确</w:t>
            </w:r>
          </w:p>
          <w:p>
            <w:pPr>
              <w:spacing w:before="120" w:after="120"/>
              <w:ind w:right="4" w:firstLine="344"/>
              <w:jc w:val="center"/>
              <w:rPr>
                <w:rFonts w:cs="宋体"/>
                <w:color w:val="auto"/>
                <w:sz w:val="18"/>
                <w:szCs w:val="18"/>
              </w:rPr>
            </w:pPr>
            <w:r>
              <w:rPr>
                <w:rFonts w:cs="宋体"/>
                <w:color w:val="auto"/>
                <w:spacing w:val="-4"/>
                <w:sz w:val="18"/>
                <w:szCs w:val="18"/>
              </w:rPr>
              <w:t>尺寸、编号、位置、</w:t>
            </w:r>
            <w:r>
              <w:rPr>
                <w:rFonts w:cs="宋体"/>
                <w:color w:val="auto"/>
                <w:sz w:val="18"/>
                <w:szCs w:val="18"/>
              </w:rPr>
              <w:t>用途</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noWrap/>
            <w:textDirection w:val="tbRl"/>
            <w:vAlign w:val="center"/>
          </w:tcPr>
          <w:p>
            <w:pPr>
              <w:pStyle w:val="480"/>
              <w:spacing w:before="120" w:after="120"/>
              <w:ind w:right="582"/>
              <w:jc w:val="center"/>
              <w:rPr>
                <w:color w:val="auto"/>
                <w:sz w:val="18"/>
                <w:szCs w:val="18"/>
                <w:lang w:eastAsia="zh-CN"/>
              </w:rPr>
            </w:pPr>
          </w:p>
        </w:tc>
        <w:tc>
          <w:tcPr>
            <w:tcW w:w="568"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ind w:right="4"/>
              <w:jc w:val="center"/>
              <w:rPr>
                <w:color w:val="auto"/>
                <w:sz w:val="18"/>
                <w:szCs w:val="18"/>
              </w:rPr>
            </w:pPr>
            <w:r>
              <w:rPr>
                <w:color w:val="auto"/>
                <w:sz w:val="18"/>
                <w:szCs w:val="18"/>
              </w:rPr>
              <w:t>003</w:t>
            </w:r>
          </w:p>
        </w:tc>
        <w:tc>
          <w:tcPr>
            <w:tcW w:w="1335"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吊顶（龙骨、</w:t>
            </w:r>
          </w:p>
          <w:p>
            <w:pPr>
              <w:pStyle w:val="480"/>
              <w:spacing w:before="120" w:after="120" w:line="238" w:lineRule="exact"/>
              <w:ind w:left="103"/>
              <w:jc w:val="center"/>
              <w:rPr>
                <w:rFonts w:ascii="Times New Roman"/>
                <w:color w:val="auto"/>
                <w:sz w:val="18"/>
                <w:szCs w:val="18"/>
                <w:lang w:eastAsia="zh-CN"/>
              </w:rPr>
            </w:pPr>
            <w:r>
              <w:rPr>
                <w:color w:val="auto"/>
                <w:sz w:val="18"/>
                <w:szCs w:val="18"/>
                <w:lang w:eastAsia="zh-CN"/>
              </w:rPr>
              <w:t>灯具、风口、烟感、喷淋、广播、</w:t>
            </w:r>
            <w:r>
              <w:rPr>
                <w:rFonts w:ascii="Times New Roman"/>
                <w:color w:val="auto"/>
                <w:sz w:val="18"/>
                <w:szCs w:val="18"/>
                <w:lang w:eastAsia="zh-CN"/>
              </w:rPr>
              <w:t>检修</w:t>
            </w:r>
            <w:r>
              <w:rPr>
                <w:color w:val="auto"/>
                <w:sz w:val="18"/>
                <w:szCs w:val="18"/>
                <w:lang w:eastAsia="zh-CN"/>
              </w:rPr>
              <w:t>口）</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32"/>
              <w:jc w:val="center"/>
              <w:rPr>
                <w:rFonts w:cs="宋体"/>
                <w:color w:val="auto"/>
                <w:sz w:val="18"/>
                <w:szCs w:val="18"/>
              </w:rPr>
            </w:pPr>
            <w:r>
              <w:rPr>
                <w:rFonts w:cs="宋体"/>
                <w:color w:val="auto"/>
                <w:spacing w:val="-7"/>
                <w:sz w:val="18"/>
                <w:szCs w:val="18"/>
              </w:rPr>
              <w:t>非几何数据，仅线、面积。</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类似形状、大概尺寸、位置、用途</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精确形状、位置、尺寸</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实际形状、位置、尺寸</w:t>
            </w:r>
          </w:p>
        </w:tc>
        <w:tc>
          <w:tcPr>
            <w:tcW w:w="1969"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厂家、型号、精确</w:t>
            </w:r>
            <w:r>
              <w:rPr>
                <w:rFonts w:cs="宋体"/>
                <w:color w:val="auto"/>
                <w:spacing w:val="-4"/>
                <w:sz w:val="18"/>
                <w:szCs w:val="18"/>
              </w:rPr>
              <w:t>尺寸、编号、位置、</w:t>
            </w:r>
            <w:r>
              <w:rPr>
                <w:rFonts w:cs="宋体"/>
                <w:color w:val="auto"/>
                <w:sz w:val="18"/>
                <w:szCs w:val="18"/>
              </w:rPr>
              <w:t>用途</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noWrap/>
            <w:textDirection w:val="tbRl"/>
            <w:vAlign w:val="center"/>
          </w:tcPr>
          <w:p>
            <w:pPr>
              <w:pStyle w:val="480"/>
              <w:spacing w:before="120" w:after="120"/>
              <w:ind w:right="582"/>
              <w:jc w:val="center"/>
              <w:rPr>
                <w:color w:val="auto"/>
                <w:sz w:val="18"/>
                <w:szCs w:val="18"/>
                <w:lang w:eastAsia="zh-CN"/>
              </w:rPr>
            </w:pPr>
          </w:p>
        </w:tc>
        <w:tc>
          <w:tcPr>
            <w:tcW w:w="568"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004</w:t>
            </w:r>
          </w:p>
        </w:tc>
        <w:tc>
          <w:tcPr>
            <w:tcW w:w="1335"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color w:val="auto"/>
                <w:sz w:val="18"/>
                <w:szCs w:val="18"/>
                <w:lang w:eastAsia="en-US"/>
              </w:rPr>
            </w:pPr>
            <w:r>
              <w:rPr>
                <w:rFonts w:cs="宋体"/>
                <w:color w:val="auto"/>
                <w:sz w:val="18"/>
                <w:szCs w:val="18"/>
                <w:lang w:eastAsia="en-US"/>
              </w:rPr>
              <w:t>电气开关插座定位</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32"/>
              <w:jc w:val="center"/>
              <w:rPr>
                <w:rFonts w:cs="宋体"/>
                <w:color w:val="auto"/>
                <w:sz w:val="18"/>
                <w:szCs w:val="18"/>
              </w:rPr>
            </w:pPr>
            <w:r>
              <w:rPr>
                <w:rFonts w:cs="宋体"/>
                <w:color w:val="auto"/>
                <w:spacing w:val="-7"/>
                <w:sz w:val="18"/>
                <w:szCs w:val="18"/>
              </w:rPr>
              <w:t>非几何数据，仅线、面积。</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类似形状、大概尺寸、位置、用途</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精确形状、位置、尺寸</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实际形状、位置、尺寸</w:t>
            </w:r>
          </w:p>
        </w:tc>
        <w:tc>
          <w:tcPr>
            <w:tcW w:w="1969"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line="238" w:lineRule="exact"/>
              <w:ind w:left="102" w:right="-2" w:firstLine="36"/>
              <w:jc w:val="center"/>
              <w:rPr>
                <w:color w:val="auto"/>
                <w:sz w:val="18"/>
                <w:szCs w:val="18"/>
                <w:lang w:eastAsia="zh-CN"/>
              </w:rPr>
            </w:pPr>
            <w:r>
              <w:rPr>
                <w:color w:val="auto"/>
                <w:sz w:val="18"/>
                <w:szCs w:val="18"/>
                <w:lang w:eastAsia="zh-CN"/>
              </w:rPr>
              <w:t>厂家、型号、精确</w:t>
            </w:r>
          </w:p>
          <w:p>
            <w:pPr>
              <w:spacing w:before="120" w:after="120"/>
              <w:ind w:right="4" w:firstLine="344"/>
              <w:jc w:val="center"/>
              <w:rPr>
                <w:rFonts w:cs="宋体"/>
                <w:color w:val="auto"/>
                <w:sz w:val="18"/>
                <w:szCs w:val="18"/>
              </w:rPr>
            </w:pPr>
            <w:r>
              <w:rPr>
                <w:rFonts w:cs="宋体"/>
                <w:color w:val="auto"/>
                <w:spacing w:val="-4"/>
                <w:sz w:val="18"/>
                <w:szCs w:val="18"/>
              </w:rPr>
              <w:t>尺寸、编号、位置、</w:t>
            </w:r>
            <w:r>
              <w:rPr>
                <w:rFonts w:cs="宋体"/>
                <w:color w:val="auto"/>
                <w:sz w:val="18"/>
                <w:szCs w:val="18"/>
              </w:rPr>
              <w:t>用途</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noWrap/>
            <w:textDirection w:val="tbRl"/>
            <w:vAlign w:val="center"/>
          </w:tcPr>
          <w:p>
            <w:pPr>
              <w:pStyle w:val="480"/>
              <w:spacing w:before="120" w:after="120"/>
              <w:ind w:right="582"/>
              <w:jc w:val="center"/>
              <w:rPr>
                <w:color w:val="auto"/>
                <w:sz w:val="18"/>
                <w:szCs w:val="18"/>
                <w:lang w:eastAsia="zh-CN"/>
              </w:rPr>
            </w:pPr>
          </w:p>
        </w:tc>
        <w:tc>
          <w:tcPr>
            <w:tcW w:w="568"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005</w:t>
            </w:r>
          </w:p>
        </w:tc>
        <w:tc>
          <w:tcPr>
            <w:tcW w:w="1335"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color w:val="auto"/>
                <w:sz w:val="18"/>
                <w:szCs w:val="18"/>
                <w:lang w:eastAsia="en-US"/>
              </w:rPr>
            </w:pPr>
            <w:r>
              <w:rPr>
                <w:rFonts w:cs="宋体"/>
                <w:color w:val="auto"/>
                <w:sz w:val="18"/>
                <w:szCs w:val="18"/>
                <w:lang w:eastAsia="en-US"/>
              </w:rPr>
              <w:t>隔断</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32"/>
              <w:jc w:val="center"/>
              <w:rPr>
                <w:rFonts w:cs="宋体"/>
                <w:color w:val="auto"/>
                <w:sz w:val="18"/>
                <w:szCs w:val="18"/>
              </w:rPr>
            </w:pPr>
            <w:r>
              <w:rPr>
                <w:rFonts w:cs="宋体"/>
                <w:color w:val="auto"/>
                <w:spacing w:val="-7"/>
                <w:sz w:val="18"/>
                <w:szCs w:val="18"/>
              </w:rPr>
              <w:t>非几何数据，仅线、面积。</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类似形状、大概尺寸、位置、用途</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精确形状、位置、尺寸</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实际形状、位置、尺寸</w:t>
            </w:r>
          </w:p>
        </w:tc>
        <w:tc>
          <w:tcPr>
            <w:tcW w:w="1969"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line="238" w:lineRule="exact"/>
              <w:ind w:left="102" w:right="-2" w:firstLine="36"/>
              <w:jc w:val="center"/>
              <w:rPr>
                <w:color w:val="auto"/>
                <w:sz w:val="18"/>
                <w:szCs w:val="18"/>
                <w:lang w:eastAsia="zh-CN"/>
              </w:rPr>
            </w:pPr>
            <w:r>
              <w:rPr>
                <w:color w:val="auto"/>
                <w:sz w:val="18"/>
                <w:szCs w:val="18"/>
                <w:lang w:eastAsia="zh-CN"/>
              </w:rPr>
              <w:t>厂家、型号、精确</w:t>
            </w:r>
          </w:p>
          <w:p>
            <w:pPr>
              <w:spacing w:before="120" w:after="120"/>
              <w:ind w:right="4" w:firstLine="344"/>
              <w:jc w:val="center"/>
              <w:rPr>
                <w:rFonts w:cs="宋体"/>
                <w:color w:val="auto"/>
                <w:sz w:val="18"/>
                <w:szCs w:val="18"/>
              </w:rPr>
            </w:pPr>
            <w:r>
              <w:rPr>
                <w:rFonts w:cs="宋体"/>
                <w:color w:val="auto"/>
                <w:spacing w:val="-4"/>
                <w:sz w:val="18"/>
                <w:szCs w:val="18"/>
              </w:rPr>
              <w:t>尺寸、编号、位置、</w:t>
            </w:r>
            <w:r>
              <w:rPr>
                <w:rFonts w:cs="宋体"/>
                <w:color w:val="auto"/>
                <w:sz w:val="18"/>
                <w:szCs w:val="18"/>
              </w:rPr>
              <w:t>用途</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noWrap/>
            <w:textDirection w:val="tbRl"/>
            <w:vAlign w:val="center"/>
          </w:tcPr>
          <w:p>
            <w:pPr>
              <w:pStyle w:val="480"/>
              <w:spacing w:before="120" w:after="120"/>
              <w:ind w:right="582"/>
              <w:jc w:val="center"/>
              <w:rPr>
                <w:color w:val="auto"/>
                <w:sz w:val="18"/>
                <w:szCs w:val="18"/>
                <w:lang w:eastAsia="zh-CN"/>
              </w:rPr>
            </w:pPr>
          </w:p>
        </w:tc>
        <w:tc>
          <w:tcPr>
            <w:tcW w:w="568"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006</w:t>
            </w:r>
          </w:p>
        </w:tc>
        <w:tc>
          <w:tcPr>
            <w:tcW w:w="1335"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20"/>
              <w:jc w:val="center"/>
              <w:rPr>
                <w:color w:val="auto"/>
                <w:sz w:val="18"/>
                <w:szCs w:val="18"/>
                <w:lang w:eastAsia="en-US"/>
              </w:rPr>
            </w:pPr>
            <w:r>
              <w:rPr>
                <w:rFonts w:cs="宋体"/>
                <w:color w:val="auto"/>
                <w:spacing w:val="-10"/>
                <w:sz w:val="18"/>
                <w:szCs w:val="18"/>
                <w:lang w:eastAsia="en-US"/>
              </w:rPr>
              <w:t>地面（示意性</w:t>
            </w:r>
            <w:r>
              <w:rPr>
                <w:rFonts w:cs="宋体"/>
                <w:color w:val="auto"/>
                <w:sz w:val="18"/>
                <w:szCs w:val="18"/>
                <w:lang w:eastAsia="en-US"/>
              </w:rPr>
              <w:t>拼花、材料）</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32"/>
              <w:jc w:val="center"/>
              <w:rPr>
                <w:rFonts w:cs="宋体"/>
                <w:color w:val="auto"/>
                <w:sz w:val="18"/>
                <w:szCs w:val="18"/>
              </w:rPr>
            </w:pPr>
            <w:r>
              <w:rPr>
                <w:rFonts w:cs="宋体"/>
                <w:color w:val="auto"/>
                <w:spacing w:val="-7"/>
                <w:sz w:val="18"/>
                <w:szCs w:val="18"/>
              </w:rPr>
              <w:t>非几何数据，仅线、面积。</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类似形状、大概尺寸、位置、用途</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精确形状、位置、尺寸</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实际形状、位置、尺寸</w:t>
            </w:r>
          </w:p>
        </w:tc>
        <w:tc>
          <w:tcPr>
            <w:tcW w:w="1969"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line="239" w:lineRule="exact"/>
              <w:ind w:left="102" w:right="-2" w:firstLine="36"/>
              <w:jc w:val="center"/>
              <w:rPr>
                <w:color w:val="auto"/>
                <w:sz w:val="18"/>
                <w:szCs w:val="18"/>
                <w:lang w:eastAsia="zh-CN"/>
              </w:rPr>
            </w:pPr>
            <w:r>
              <w:rPr>
                <w:color w:val="auto"/>
                <w:sz w:val="18"/>
                <w:szCs w:val="18"/>
                <w:lang w:eastAsia="zh-CN"/>
              </w:rPr>
              <w:t>厂家、型号、精确</w:t>
            </w:r>
          </w:p>
          <w:p>
            <w:pPr>
              <w:spacing w:before="120" w:after="120"/>
              <w:ind w:right="4" w:firstLine="344"/>
              <w:jc w:val="center"/>
              <w:rPr>
                <w:rFonts w:cs="宋体"/>
                <w:color w:val="auto"/>
                <w:sz w:val="18"/>
                <w:szCs w:val="18"/>
              </w:rPr>
            </w:pPr>
            <w:r>
              <w:rPr>
                <w:rFonts w:cs="宋体"/>
                <w:color w:val="auto"/>
                <w:spacing w:val="-4"/>
                <w:sz w:val="18"/>
                <w:szCs w:val="18"/>
              </w:rPr>
              <w:t>尺寸、编号、位置、</w:t>
            </w:r>
            <w:r>
              <w:rPr>
                <w:rFonts w:cs="宋体"/>
                <w:color w:val="auto"/>
                <w:sz w:val="18"/>
                <w:szCs w:val="18"/>
              </w:rPr>
              <w:t>用途</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noWrap/>
            <w:textDirection w:val="tbRl"/>
            <w:vAlign w:val="center"/>
          </w:tcPr>
          <w:p>
            <w:pPr>
              <w:pStyle w:val="480"/>
              <w:spacing w:before="120" w:after="120"/>
              <w:ind w:right="582"/>
              <w:jc w:val="center"/>
              <w:rPr>
                <w:color w:val="auto"/>
                <w:sz w:val="18"/>
                <w:szCs w:val="18"/>
                <w:lang w:eastAsia="zh-CN"/>
              </w:rPr>
            </w:pPr>
          </w:p>
        </w:tc>
        <w:tc>
          <w:tcPr>
            <w:tcW w:w="568"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007</w:t>
            </w:r>
          </w:p>
        </w:tc>
        <w:tc>
          <w:tcPr>
            <w:tcW w:w="1335"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line="239" w:lineRule="exact"/>
              <w:ind w:left="103"/>
              <w:jc w:val="center"/>
              <w:rPr>
                <w:color w:val="auto"/>
                <w:sz w:val="18"/>
                <w:szCs w:val="18"/>
                <w:lang w:eastAsia="zh-CN"/>
              </w:rPr>
            </w:pPr>
            <w:r>
              <w:rPr>
                <w:color w:val="auto"/>
                <w:sz w:val="18"/>
                <w:szCs w:val="18"/>
                <w:lang w:eastAsia="zh-CN"/>
              </w:rPr>
              <w:t>墙面（插座、开关、通讯、空调控制器、消防操控按</w:t>
            </w:r>
            <w:r>
              <w:rPr>
                <w:color w:val="auto"/>
                <w:spacing w:val="-10"/>
                <w:sz w:val="18"/>
                <w:szCs w:val="18"/>
                <w:lang w:eastAsia="zh-CN"/>
              </w:rPr>
              <w:t>钮、安全出口指示、机电末</w:t>
            </w:r>
          </w:p>
          <w:p>
            <w:pPr>
              <w:spacing w:before="120" w:after="120"/>
              <w:ind w:right="4" w:firstLine="360"/>
              <w:jc w:val="center"/>
              <w:rPr>
                <w:color w:val="auto"/>
                <w:sz w:val="18"/>
                <w:szCs w:val="18"/>
                <w:lang w:eastAsia="en-US"/>
              </w:rPr>
            </w:pPr>
            <w:r>
              <w:rPr>
                <w:rFonts w:cs="宋体"/>
                <w:color w:val="auto"/>
                <w:sz w:val="18"/>
                <w:szCs w:val="18"/>
                <w:lang w:eastAsia="en-US"/>
              </w:rPr>
              <w:t>端）</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32"/>
              <w:jc w:val="center"/>
              <w:rPr>
                <w:rFonts w:cs="宋体"/>
                <w:color w:val="auto"/>
                <w:sz w:val="18"/>
                <w:szCs w:val="18"/>
              </w:rPr>
            </w:pPr>
            <w:r>
              <w:rPr>
                <w:rFonts w:cs="宋体"/>
                <w:color w:val="auto"/>
                <w:spacing w:val="-7"/>
                <w:sz w:val="18"/>
                <w:szCs w:val="18"/>
              </w:rPr>
              <w:t>非几何数据，仅线、面积。</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类似形状、大概尺寸、位置、用途</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精确形状、位置、尺寸</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实际形状、位置、尺寸</w:t>
            </w:r>
          </w:p>
        </w:tc>
        <w:tc>
          <w:tcPr>
            <w:tcW w:w="1969"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厂家、型号、精确</w:t>
            </w:r>
            <w:r>
              <w:rPr>
                <w:rFonts w:cs="宋体"/>
                <w:color w:val="auto"/>
                <w:spacing w:val="-4"/>
                <w:sz w:val="18"/>
                <w:szCs w:val="18"/>
              </w:rPr>
              <w:t>尺寸、编号、位置、</w:t>
            </w:r>
            <w:r>
              <w:rPr>
                <w:rFonts w:cs="宋体"/>
                <w:color w:val="auto"/>
                <w:sz w:val="18"/>
                <w:szCs w:val="18"/>
              </w:rPr>
              <w:t>用途</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noWrap/>
            <w:textDirection w:val="tbRl"/>
            <w:vAlign w:val="center"/>
          </w:tcPr>
          <w:p>
            <w:pPr>
              <w:pStyle w:val="480"/>
              <w:spacing w:before="120" w:after="120"/>
              <w:ind w:right="582"/>
              <w:jc w:val="center"/>
              <w:rPr>
                <w:color w:val="auto"/>
                <w:sz w:val="18"/>
                <w:szCs w:val="18"/>
                <w:lang w:eastAsia="zh-CN"/>
              </w:rPr>
            </w:pPr>
          </w:p>
        </w:tc>
        <w:tc>
          <w:tcPr>
            <w:tcW w:w="568"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008</w:t>
            </w:r>
          </w:p>
        </w:tc>
        <w:tc>
          <w:tcPr>
            <w:tcW w:w="1335"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color w:val="auto"/>
                <w:sz w:val="18"/>
                <w:szCs w:val="18"/>
                <w:lang w:eastAsia="en-US"/>
              </w:rPr>
            </w:pPr>
            <w:r>
              <w:rPr>
                <w:rFonts w:cs="宋体"/>
                <w:color w:val="auto"/>
                <w:sz w:val="18"/>
                <w:szCs w:val="18"/>
                <w:lang w:eastAsia="en-US"/>
              </w:rPr>
              <w:t>门窗精确定位</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32"/>
              <w:jc w:val="center"/>
              <w:rPr>
                <w:rFonts w:cs="宋体"/>
                <w:color w:val="auto"/>
                <w:sz w:val="18"/>
                <w:szCs w:val="18"/>
              </w:rPr>
            </w:pPr>
            <w:r>
              <w:rPr>
                <w:rFonts w:cs="宋体"/>
                <w:color w:val="auto"/>
                <w:spacing w:val="-7"/>
                <w:sz w:val="18"/>
                <w:szCs w:val="18"/>
              </w:rPr>
              <w:t>非几何数据，仅线、面积。</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类似形状、大概尺寸、位置、用途</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精确形状、位置、尺寸</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精确形状、位置、尺寸</w:t>
            </w:r>
          </w:p>
        </w:tc>
        <w:tc>
          <w:tcPr>
            <w:tcW w:w="1969" w:type="dxa"/>
            <w:tcBorders>
              <w:top w:val="single" w:color="auto" w:sz="4" w:space="0"/>
              <w:left w:val="single" w:color="auto" w:sz="4" w:space="0"/>
              <w:bottom w:val="single" w:color="auto" w:sz="4" w:space="0"/>
              <w:right w:val="single" w:color="auto" w:sz="4" w:space="0"/>
            </w:tcBorders>
            <w:noWrap/>
            <w:vAlign w:val="center"/>
          </w:tcPr>
          <w:p>
            <w:pPr>
              <w:pStyle w:val="480"/>
              <w:spacing w:before="120" w:after="120" w:line="239" w:lineRule="exact"/>
              <w:ind w:left="102" w:right="-2" w:firstLine="36"/>
              <w:jc w:val="center"/>
              <w:rPr>
                <w:color w:val="auto"/>
                <w:sz w:val="18"/>
                <w:szCs w:val="18"/>
                <w:lang w:eastAsia="zh-CN"/>
              </w:rPr>
            </w:pPr>
            <w:r>
              <w:rPr>
                <w:color w:val="auto"/>
                <w:sz w:val="18"/>
                <w:szCs w:val="18"/>
                <w:lang w:eastAsia="zh-CN"/>
              </w:rPr>
              <w:t>厂家、型号、精确</w:t>
            </w:r>
          </w:p>
          <w:p>
            <w:pPr>
              <w:spacing w:before="120" w:after="120"/>
              <w:ind w:right="4" w:firstLine="344"/>
              <w:jc w:val="center"/>
              <w:rPr>
                <w:rFonts w:cs="宋体"/>
                <w:color w:val="auto"/>
                <w:sz w:val="18"/>
                <w:szCs w:val="18"/>
              </w:rPr>
            </w:pPr>
            <w:r>
              <w:rPr>
                <w:rFonts w:cs="宋体"/>
                <w:color w:val="auto"/>
                <w:spacing w:val="-4"/>
                <w:sz w:val="18"/>
                <w:szCs w:val="18"/>
              </w:rPr>
              <w:t>尺寸、编号、位置、</w:t>
            </w:r>
            <w:r>
              <w:rPr>
                <w:rFonts w:cs="宋体"/>
                <w:color w:val="auto"/>
                <w:sz w:val="18"/>
                <w:szCs w:val="18"/>
              </w:rPr>
              <w:t>用途</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bottom w:val="single" w:color="auto" w:sz="4" w:space="0"/>
              <w:right w:val="single" w:color="auto" w:sz="4" w:space="0"/>
            </w:tcBorders>
            <w:noWrap/>
            <w:textDirection w:val="tbRl"/>
            <w:vAlign w:val="center"/>
          </w:tcPr>
          <w:p>
            <w:pPr>
              <w:pStyle w:val="480"/>
              <w:spacing w:before="120" w:after="120"/>
              <w:ind w:right="582"/>
              <w:jc w:val="center"/>
              <w:rPr>
                <w:color w:val="auto"/>
                <w:sz w:val="18"/>
                <w:szCs w:val="18"/>
                <w:lang w:eastAsia="zh-CN"/>
              </w:rPr>
            </w:pPr>
          </w:p>
        </w:tc>
        <w:tc>
          <w:tcPr>
            <w:tcW w:w="13580" w:type="dxa"/>
            <w:gridSpan w:val="7"/>
            <w:tcBorders>
              <w:top w:val="single" w:color="auto" w:sz="4" w:space="0"/>
              <w:left w:val="single" w:color="auto" w:sz="4" w:space="0"/>
              <w:bottom w:val="single" w:color="auto" w:sz="4" w:space="0"/>
              <w:right w:val="single" w:color="auto" w:sz="4" w:space="0"/>
            </w:tcBorders>
            <w:noWrap/>
            <w:vAlign w:val="center"/>
          </w:tcPr>
          <w:p>
            <w:pPr>
              <w:spacing w:before="120" w:after="120"/>
              <w:ind w:right="4" w:firstLine="360"/>
              <w:jc w:val="center"/>
              <w:rPr>
                <w:rFonts w:cs="宋体"/>
                <w:color w:val="auto"/>
                <w:spacing w:val="-4"/>
                <w:sz w:val="18"/>
                <w:szCs w:val="18"/>
              </w:rPr>
            </w:pPr>
            <w:r>
              <w:rPr>
                <w:rFonts w:hint="eastAsia" w:cs="宋体"/>
                <w:color w:val="auto"/>
                <w:sz w:val="18"/>
                <w:szCs w:val="18"/>
              </w:rPr>
              <w:t>注：上述模型精度要求仅作参考，具体精度内容应参考相关合同、行业标准、地方标准的要求。</w:t>
            </w:r>
          </w:p>
        </w:tc>
      </w:tr>
    </w:tbl>
    <w:p>
      <w:pPr>
        <w:spacing w:before="120" w:after="120" w:line="272" w:lineRule="exact"/>
        <w:rPr>
          <w:rFonts w:cs="宋体"/>
          <w:color w:val="auto"/>
          <w:szCs w:val="21"/>
        </w:rPr>
        <w:sectPr>
          <w:pgSz w:w="16840" w:h="11910" w:orient="landscape"/>
          <w:pgMar w:top="1040" w:right="1440" w:bottom="1140" w:left="900" w:header="0" w:footer="953" w:gutter="0"/>
          <w:cols w:space="720" w:num="1"/>
        </w:sectPr>
      </w:pPr>
    </w:p>
    <w:p>
      <w:pPr>
        <w:pStyle w:val="585"/>
        <w:numPr>
          <w:ilvl w:val="0"/>
          <w:numId w:val="0"/>
        </w:numPr>
        <w:spacing w:before="120" w:after="120" w:line="360" w:lineRule="auto"/>
        <w:outlineLvl w:val="1"/>
        <w:rPr>
          <w:rFonts w:ascii="Times New Roman" w:hAnsi="Times New Roman" w:eastAsia="黑体"/>
          <w:b w:val="0"/>
          <w:bCs/>
          <w:color w:val="auto"/>
          <w:sz w:val="24"/>
          <w:szCs w:val="24"/>
        </w:rPr>
      </w:pPr>
      <w:bookmarkStart w:id="919" w:name="_bookmark44"/>
      <w:bookmarkEnd w:id="919"/>
      <w:bookmarkStart w:id="920" w:name="_Toc5113"/>
      <w:bookmarkStart w:id="921" w:name="_Toc13715"/>
      <w:bookmarkStart w:id="922" w:name="_Toc32396"/>
      <w:bookmarkStart w:id="923" w:name="_Toc21342"/>
      <w:bookmarkStart w:id="924" w:name="_Toc62460213"/>
      <w:r>
        <w:rPr>
          <w:rFonts w:ascii="Times New Roman" w:hAnsi="Times New Roman" w:eastAsia="黑体"/>
          <w:b w:val="0"/>
          <w:bCs/>
          <w:color w:val="auto"/>
          <w:sz w:val="24"/>
          <w:szCs w:val="24"/>
        </w:rPr>
        <w:t>附表4  项目各阶段BIM实施应用点</w:t>
      </w:r>
      <w:bookmarkEnd w:id="920"/>
      <w:bookmarkEnd w:id="921"/>
      <w:bookmarkEnd w:id="922"/>
      <w:bookmarkEnd w:id="923"/>
      <w:bookmarkEnd w:id="924"/>
    </w:p>
    <w:tbl>
      <w:tblPr>
        <w:tblStyle w:val="55"/>
        <w:tblW w:w="98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52"/>
        <w:gridCol w:w="2534"/>
        <w:gridCol w:w="6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52" w:type="dxa"/>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阶段</w:t>
            </w:r>
          </w:p>
        </w:tc>
        <w:tc>
          <w:tcPr>
            <w:tcW w:w="2534" w:type="dxa"/>
            <w:noWrap/>
            <w:vAlign w:val="center"/>
          </w:tcPr>
          <w:p>
            <w:pPr>
              <w:pStyle w:val="480"/>
              <w:spacing w:before="120" w:after="120"/>
              <w:ind w:right="1"/>
              <w:jc w:val="center"/>
              <w:rPr>
                <w:color w:val="auto"/>
                <w:sz w:val="18"/>
                <w:szCs w:val="18"/>
              </w:rPr>
            </w:pPr>
            <w:r>
              <w:rPr>
                <w:color w:val="auto"/>
                <w:sz w:val="18"/>
                <w:szCs w:val="18"/>
              </w:rPr>
              <w:t>应用点</w:t>
            </w:r>
          </w:p>
        </w:tc>
        <w:tc>
          <w:tcPr>
            <w:tcW w:w="6334" w:type="dxa"/>
            <w:noWrap/>
            <w:vAlign w:val="center"/>
          </w:tcPr>
          <w:p>
            <w:pPr>
              <w:pStyle w:val="480"/>
              <w:spacing w:before="120" w:after="120"/>
              <w:ind w:right="1"/>
              <w:jc w:val="center"/>
              <w:rPr>
                <w:color w:val="auto"/>
                <w:sz w:val="18"/>
                <w:szCs w:val="18"/>
              </w:rPr>
            </w:pPr>
            <w:r>
              <w:rPr>
                <w:color w:val="auto"/>
                <w:sz w:val="18"/>
                <w:szCs w:val="18"/>
              </w:rPr>
              <w:t>实施内容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52" w:type="dxa"/>
            <w:vMerge w:val="restart"/>
            <w:noWrap/>
            <w:vAlign w:val="center"/>
          </w:tcPr>
          <w:p>
            <w:pPr>
              <w:spacing w:before="120" w:after="120"/>
              <w:ind w:right="4" w:firstLine="360"/>
              <w:jc w:val="center"/>
              <w:rPr>
                <w:rFonts w:cs="宋体"/>
                <w:color w:val="auto"/>
                <w:sz w:val="18"/>
                <w:szCs w:val="18"/>
              </w:rPr>
            </w:pPr>
            <w:r>
              <w:rPr>
                <w:rFonts w:cs="宋体"/>
                <w:color w:val="auto"/>
                <w:sz w:val="18"/>
                <w:szCs w:val="18"/>
              </w:rPr>
              <w:t>方案配合及建筑施工图设计阶段</w:t>
            </w:r>
          </w:p>
        </w:tc>
        <w:tc>
          <w:tcPr>
            <w:tcW w:w="2534" w:type="dxa"/>
            <w:noWrap/>
            <w:vAlign w:val="center"/>
          </w:tcPr>
          <w:p>
            <w:pPr>
              <w:spacing w:before="120" w:after="120"/>
              <w:ind w:right="4" w:firstLine="360"/>
              <w:jc w:val="center"/>
              <w:rPr>
                <w:rFonts w:cs="宋体"/>
                <w:color w:val="auto"/>
                <w:sz w:val="18"/>
                <w:szCs w:val="18"/>
              </w:rPr>
            </w:pPr>
            <w:r>
              <w:rPr>
                <w:rFonts w:cs="宋体"/>
                <w:color w:val="auto"/>
                <w:sz w:val="18"/>
                <w:szCs w:val="18"/>
              </w:rPr>
              <w:t>全专业可视化建筑BIM</w:t>
            </w:r>
          </w:p>
          <w:p>
            <w:pPr>
              <w:spacing w:before="120" w:after="120"/>
              <w:ind w:right="4" w:firstLine="360"/>
              <w:jc w:val="center"/>
              <w:rPr>
                <w:rFonts w:cs="宋体"/>
                <w:color w:val="auto"/>
                <w:sz w:val="18"/>
                <w:szCs w:val="18"/>
                <w:lang w:eastAsia="en-US"/>
              </w:rPr>
            </w:pPr>
            <w:r>
              <w:rPr>
                <w:rFonts w:cs="宋体"/>
                <w:color w:val="auto"/>
                <w:sz w:val="18"/>
                <w:szCs w:val="18"/>
                <w:lang w:eastAsia="en-US"/>
              </w:rPr>
              <w:t>设计</w:t>
            </w:r>
          </w:p>
        </w:tc>
        <w:tc>
          <w:tcPr>
            <w:tcW w:w="6334" w:type="dxa"/>
            <w:noWrap/>
            <w:vAlign w:val="center"/>
          </w:tcPr>
          <w:p>
            <w:pPr>
              <w:pStyle w:val="480"/>
              <w:spacing w:before="120" w:after="120"/>
              <w:ind w:left="4"/>
              <w:jc w:val="center"/>
              <w:rPr>
                <w:color w:val="auto"/>
                <w:sz w:val="18"/>
                <w:szCs w:val="18"/>
                <w:lang w:eastAsia="zh-CN"/>
              </w:rPr>
            </w:pPr>
            <w:r>
              <w:rPr>
                <w:color w:val="auto"/>
                <w:sz w:val="18"/>
                <w:szCs w:val="18"/>
                <w:lang w:eastAsia="zh-CN"/>
              </w:rPr>
              <w:t>利用三维可视化BIM平台，进行全过程设计工作，并且通过BIM平台完成全专业的建筑施工图设计工作。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52" w:type="dxa"/>
            <w:vMerge w:val="continue"/>
            <w:noWrap/>
            <w:vAlign w:val="center"/>
          </w:tcPr>
          <w:p>
            <w:pPr>
              <w:spacing w:before="120" w:after="120"/>
              <w:ind w:right="4" w:firstLine="360"/>
              <w:jc w:val="center"/>
              <w:rPr>
                <w:rFonts w:cs="宋体"/>
                <w:color w:val="auto"/>
                <w:sz w:val="18"/>
                <w:szCs w:val="18"/>
              </w:rPr>
            </w:pPr>
          </w:p>
        </w:tc>
        <w:tc>
          <w:tcPr>
            <w:tcW w:w="2534" w:type="dxa"/>
            <w:noWrap/>
            <w:vAlign w:val="center"/>
          </w:tcPr>
          <w:p>
            <w:pPr>
              <w:pStyle w:val="480"/>
              <w:spacing w:before="120" w:after="120"/>
              <w:ind w:left="636" w:right="4"/>
              <w:jc w:val="center"/>
              <w:rPr>
                <w:color w:val="auto"/>
                <w:sz w:val="18"/>
                <w:szCs w:val="18"/>
              </w:rPr>
            </w:pPr>
            <w:r>
              <w:rPr>
                <w:color w:val="auto"/>
                <w:sz w:val="18"/>
                <w:szCs w:val="18"/>
              </w:rPr>
              <w:t>建筑性能分析</w:t>
            </w:r>
          </w:p>
        </w:tc>
        <w:tc>
          <w:tcPr>
            <w:tcW w:w="6334" w:type="dxa"/>
            <w:noWrap/>
            <w:vAlign w:val="center"/>
          </w:tcPr>
          <w:p>
            <w:pPr>
              <w:pStyle w:val="480"/>
              <w:spacing w:before="120" w:after="120"/>
              <w:ind w:left="103" w:right="4"/>
              <w:jc w:val="center"/>
              <w:rPr>
                <w:color w:val="auto"/>
                <w:sz w:val="18"/>
                <w:szCs w:val="18"/>
                <w:lang w:eastAsia="zh-CN"/>
              </w:rPr>
            </w:pPr>
            <w:r>
              <w:rPr>
                <w:color w:val="auto"/>
                <w:sz w:val="18"/>
                <w:szCs w:val="18"/>
                <w:lang w:eastAsia="zh-CN"/>
              </w:rPr>
              <w:t>利用设计阶段BIM模型进行太阳辐射分析、日照分析、风环境分析、交通分析、疏散模拟、荷载分析、等工作，配合确定相关设计方案。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52" w:type="dxa"/>
            <w:vMerge w:val="continue"/>
            <w:noWrap/>
            <w:vAlign w:val="center"/>
          </w:tcPr>
          <w:p>
            <w:pPr>
              <w:spacing w:before="120" w:after="120"/>
              <w:ind w:right="4" w:firstLine="360"/>
              <w:jc w:val="center"/>
              <w:rPr>
                <w:rFonts w:cs="宋体"/>
                <w:color w:val="auto"/>
                <w:sz w:val="18"/>
                <w:szCs w:val="18"/>
              </w:rPr>
            </w:pPr>
          </w:p>
        </w:tc>
        <w:tc>
          <w:tcPr>
            <w:tcW w:w="2534" w:type="dxa"/>
            <w:noWrap/>
            <w:vAlign w:val="center"/>
          </w:tcPr>
          <w:p>
            <w:pPr>
              <w:pStyle w:val="480"/>
              <w:spacing w:before="120" w:after="120"/>
              <w:ind w:left="742" w:right="4"/>
              <w:jc w:val="center"/>
              <w:rPr>
                <w:color w:val="auto"/>
                <w:sz w:val="18"/>
                <w:szCs w:val="18"/>
              </w:rPr>
            </w:pPr>
            <w:r>
              <w:rPr>
                <w:color w:val="auto"/>
                <w:sz w:val="18"/>
                <w:szCs w:val="18"/>
              </w:rPr>
              <w:t>参数化设计</w:t>
            </w:r>
          </w:p>
        </w:tc>
        <w:tc>
          <w:tcPr>
            <w:tcW w:w="6334" w:type="dxa"/>
            <w:noWrap/>
            <w:vAlign w:val="center"/>
          </w:tcPr>
          <w:p>
            <w:pPr>
              <w:pStyle w:val="480"/>
              <w:spacing w:before="120" w:after="120"/>
              <w:ind w:left="103" w:right="4"/>
              <w:jc w:val="center"/>
              <w:rPr>
                <w:color w:val="auto"/>
                <w:sz w:val="18"/>
                <w:szCs w:val="18"/>
                <w:lang w:eastAsia="zh-CN"/>
              </w:rPr>
            </w:pPr>
            <w:r>
              <w:rPr>
                <w:color w:val="auto"/>
                <w:sz w:val="18"/>
                <w:szCs w:val="18"/>
                <w:lang w:eastAsia="zh-CN"/>
              </w:rPr>
              <w:t>在设计过程同步对BIM模型构件添加参数信息，例如设备尺寸参数、造价信息、运维信息等。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52" w:type="dxa"/>
            <w:vMerge w:val="continue"/>
            <w:noWrap/>
            <w:vAlign w:val="center"/>
          </w:tcPr>
          <w:p>
            <w:pPr>
              <w:spacing w:before="120" w:after="120"/>
              <w:ind w:right="4" w:firstLine="360"/>
              <w:jc w:val="center"/>
              <w:rPr>
                <w:rFonts w:cs="宋体"/>
                <w:color w:val="auto"/>
                <w:sz w:val="18"/>
                <w:szCs w:val="18"/>
              </w:rPr>
            </w:pPr>
          </w:p>
        </w:tc>
        <w:tc>
          <w:tcPr>
            <w:tcW w:w="2534" w:type="dxa"/>
            <w:noWrap/>
            <w:vAlign w:val="center"/>
          </w:tcPr>
          <w:p>
            <w:pPr>
              <w:pStyle w:val="480"/>
              <w:spacing w:before="120" w:after="120"/>
              <w:ind w:left="636" w:right="4"/>
              <w:jc w:val="center"/>
              <w:rPr>
                <w:color w:val="auto"/>
                <w:sz w:val="18"/>
                <w:szCs w:val="18"/>
              </w:rPr>
            </w:pPr>
            <w:r>
              <w:rPr>
                <w:color w:val="auto"/>
                <w:sz w:val="18"/>
                <w:szCs w:val="18"/>
              </w:rPr>
              <w:t>设计资源整合</w:t>
            </w:r>
          </w:p>
        </w:tc>
        <w:tc>
          <w:tcPr>
            <w:tcW w:w="6334" w:type="dxa"/>
            <w:noWrap/>
            <w:vAlign w:val="center"/>
          </w:tcPr>
          <w:p>
            <w:pPr>
              <w:pStyle w:val="480"/>
              <w:spacing w:before="120" w:after="120"/>
              <w:ind w:left="103" w:right="4"/>
              <w:jc w:val="center"/>
              <w:rPr>
                <w:color w:val="auto"/>
                <w:sz w:val="18"/>
                <w:szCs w:val="18"/>
                <w:lang w:eastAsia="zh-CN"/>
              </w:rPr>
            </w:pPr>
            <w:r>
              <w:rPr>
                <w:color w:val="auto"/>
                <w:sz w:val="18"/>
                <w:szCs w:val="18"/>
                <w:lang w:eastAsia="zh-CN"/>
              </w:rPr>
              <w:t>整合协调各专项设计单位的设计资源，并集成至BIM设计模型中。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52" w:type="dxa"/>
            <w:vMerge w:val="restart"/>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施工阶段</w:t>
            </w:r>
          </w:p>
        </w:tc>
        <w:tc>
          <w:tcPr>
            <w:tcW w:w="2534" w:type="dxa"/>
            <w:noWrap/>
            <w:vAlign w:val="center"/>
          </w:tcPr>
          <w:p>
            <w:pPr>
              <w:spacing w:before="120" w:after="120"/>
              <w:ind w:right="4" w:firstLine="360"/>
              <w:jc w:val="center"/>
              <w:rPr>
                <w:rFonts w:cs="宋体"/>
                <w:color w:val="auto"/>
                <w:sz w:val="18"/>
                <w:szCs w:val="18"/>
              </w:rPr>
            </w:pPr>
            <w:r>
              <w:rPr>
                <w:rFonts w:cs="宋体"/>
                <w:color w:val="auto"/>
                <w:sz w:val="18"/>
                <w:szCs w:val="18"/>
              </w:rPr>
              <w:t>施工过程临设模型搭建及更新</w:t>
            </w:r>
          </w:p>
        </w:tc>
        <w:tc>
          <w:tcPr>
            <w:tcW w:w="6334" w:type="dxa"/>
            <w:noWrap/>
            <w:vAlign w:val="center"/>
          </w:tcPr>
          <w:p>
            <w:pPr>
              <w:spacing w:before="120" w:after="120"/>
              <w:ind w:right="4" w:firstLine="360"/>
              <w:jc w:val="center"/>
              <w:rPr>
                <w:rFonts w:cs="宋体"/>
                <w:color w:val="auto"/>
                <w:sz w:val="18"/>
                <w:szCs w:val="18"/>
              </w:rPr>
            </w:pPr>
            <w:r>
              <w:rPr>
                <w:rFonts w:cs="宋体"/>
                <w:color w:val="auto"/>
                <w:sz w:val="18"/>
                <w:szCs w:val="18"/>
              </w:rPr>
              <w:t>将施工各个阶段的临设建筑、施工机具、施工区域作为BIM施工阶段实施内容，进行施工过程中场地、施工区域、临时机械及设施的管理。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52" w:type="dxa"/>
            <w:vMerge w:val="continue"/>
            <w:noWrap/>
            <w:vAlign w:val="center"/>
          </w:tcPr>
          <w:p>
            <w:pPr>
              <w:spacing w:before="120" w:after="120"/>
              <w:ind w:right="4" w:firstLine="360"/>
              <w:jc w:val="center"/>
              <w:rPr>
                <w:rFonts w:cs="宋体"/>
                <w:color w:val="auto"/>
                <w:sz w:val="18"/>
                <w:szCs w:val="18"/>
              </w:rPr>
            </w:pPr>
          </w:p>
        </w:tc>
        <w:tc>
          <w:tcPr>
            <w:tcW w:w="2534" w:type="dxa"/>
            <w:noWrap/>
            <w:vAlign w:val="center"/>
          </w:tcPr>
          <w:p>
            <w:pPr>
              <w:pStyle w:val="480"/>
              <w:spacing w:before="120" w:after="120"/>
              <w:ind w:left="216" w:right="4"/>
              <w:jc w:val="center"/>
              <w:rPr>
                <w:color w:val="auto"/>
                <w:sz w:val="18"/>
                <w:szCs w:val="18"/>
                <w:lang w:eastAsia="zh-CN"/>
              </w:rPr>
            </w:pPr>
            <w:r>
              <w:rPr>
                <w:color w:val="auto"/>
                <w:sz w:val="18"/>
                <w:szCs w:val="18"/>
                <w:lang w:eastAsia="zh-CN"/>
              </w:rPr>
              <w:t>三维管线综合深化设计</w:t>
            </w:r>
          </w:p>
        </w:tc>
        <w:tc>
          <w:tcPr>
            <w:tcW w:w="6334" w:type="dxa"/>
            <w:noWrap/>
            <w:vAlign w:val="center"/>
          </w:tcPr>
          <w:p>
            <w:pPr>
              <w:pStyle w:val="480"/>
              <w:spacing w:before="120" w:after="120"/>
              <w:ind w:left="103" w:right="4"/>
              <w:jc w:val="center"/>
              <w:rPr>
                <w:color w:val="auto"/>
                <w:sz w:val="18"/>
                <w:szCs w:val="18"/>
                <w:lang w:eastAsia="zh-CN"/>
              </w:rPr>
            </w:pPr>
            <w:r>
              <w:rPr>
                <w:color w:val="auto"/>
                <w:sz w:val="18"/>
                <w:szCs w:val="18"/>
                <w:lang w:eastAsia="zh-CN"/>
              </w:rPr>
              <w:t>对设计阶段的BIM模型进行施工管线综合优化，并考虑施工可行性、后期维护等因素使BIM模型达到可指导施工精度。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52" w:type="dxa"/>
            <w:vMerge w:val="continue"/>
            <w:noWrap/>
            <w:vAlign w:val="center"/>
          </w:tcPr>
          <w:p>
            <w:pPr>
              <w:spacing w:before="120" w:after="120"/>
              <w:ind w:right="4" w:firstLine="360"/>
              <w:jc w:val="center"/>
              <w:rPr>
                <w:rFonts w:cs="宋体"/>
                <w:color w:val="auto"/>
                <w:sz w:val="18"/>
                <w:szCs w:val="18"/>
              </w:rPr>
            </w:pPr>
          </w:p>
        </w:tc>
        <w:tc>
          <w:tcPr>
            <w:tcW w:w="2534" w:type="dxa"/>
            <w:noWrap/>
            <w:vAlign w:val="center"/>
          </w:tcPr>
          <w:p>
            <w:pPr>
              <w:pStyle w:val="480"/>
              <w:spacing w:before="120" w:after="120"/>
              <w:ind w:left="216" w:right="4"/>
              <w:jc w:val="center"/>
              <w:rPr>
                <w:color w:val="auto"/>
                <w:sz w:val="18"/>
                <w:szCs w:val="18"/>
                <w:lang w:eastAsia="zh-CN"/>
              </w:rPr>
            </w:pPr>
            <w:r>
              <w:rPr>
                <w:color w:val="auto"/>
                <w:sz w:val="18"/>
                <w:szCs w:val="18"/>
                <w:lang w:eastAsia="zh-CN"/>
              </w:rPr>
              <w:t>全程工程变更复核更新</w:t>
            </w:r>
          </w:p>
        </w:tc>
        <w:tc>
          <w:tcPr>
            <w:tcW w:w="6334" w:type="dxa"/>
            <w:noWrap/>
            <w:vAlign w:val="center"/>
          </w:tcPr>
          <w:p>
            <w:pPr>
              <w:pStyle w:val="480"/>
              <w:spacing w:before="120" w:after="120"/>
              <w:ind w:right="4"/>
              <w:jc w:val="center"/>
              <w:rPr>
                <w:color w:val="auto"/>
                <w:sz w:val="18"/>
                <w:szCs w:val="18"/>
                <w:lang w:eastAsia="zh-CN"/>
              </w:rPr>
            </w:pPr>
            <w:r>
              <w:rPr>
                <w:color w:val="auto"/>
                <w:sz w:val="18"/>
                <w:szCs w:val="18"/>
                <w:lang w:eastAsia="zh-CN"/>
              </w:rPr>
              <w:t>将设计单位设计签认的设计变更类文件及图纸，随时跟踪进行模型更新。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52" w:type="dxa"/>
            <w:vMerge w:val="continue"/>
            <w:noWrap/>
            <w:vAlign w:val="center"/>
          </w:tcPr>
          <w:p>
            <w:pPr>
              <w:spacing w:before="120" w:after="120"/>
              <w:ind w:right="4" w:firstLine="360"/>
              <w:jc w:val="center"/>
              <w:rPr>
                <w:rFonts w:cs="宋体"/>
                <w:color w:val="auto"/>
                <w:sz w:val="18"/>
                <w:szCs w:val="18"/>
              </w:rPr>
            </w:pPr>
          </w:p>
        </w:tc>
        <w:tc>
          <w:tcPr>
            <w:tcW w:w="2534" w:type="dxa"/>
            <w:noWrap/>
            <w:vAlign w:val="center"/>
          </w:tcPr>
          <w:p>
            <w:pPr>
              <w:pStyle w:val="480"/>
              <w:spacing w:before="120" w:after="120"/>
              <w:ind w:left="636" w:right="4"/>
              <w:jc w:val="center"/>
              <w:rPr>
                <w:color w:val="auto"/>
                <w:sz w:val="18"/>
                <w:szCs w:val="18"/>
              </w:rPr>
            </w:pPr>
            <w:r>
              <w:rPr>
                <w:color w:val="auto"/>
                <w:sz w:val="18"/>
                <w:szCs w:val="18"/>
              </w:rPr>
              <w:t>施工安装模拟</w:t>
            </w:r>
          </w:p>
        </w:tc>
        <w:tc>
          <w:tcPr>
            <w:tcW w:w="6334" w:type="dxa"/>
            <w:noWrap/>
            <w:vAlign w:val="center"/>
          </w:tcPr>
          <w:p>
            <w:pPr>
              <w:spacing w:before="120" w:after="120"/>
              <w:ind w:right="4" w:firstLine="360"/>
              <w:jc w:val="center"/>
              <w:rPr>
                <w:rFonts w:cs="宋体"/>
                <w:color w:val="auto"/>
                <w:sz w:val="18"/>
                <w:szCs w:val="18"/>
              </w:rPr>
            </w:pPr>
            <w:r>
              <w:rPr>
                <w:rFonts w:cs="宋体"/>
                <w:color w:val="auto"/>
                <w:sz w:val="18"/>
                <w:szCs w:val="18"/>
              </w:rPr>
              <w:t>基于综合优化后BIM模型，对工程施工重点部位进行施工工序及工艺模拟。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52" w:type="dxa"/>
            <w:vMerge w:val="continue"/>
            <w:noWrap/>
            <w:vAlign w:val="center"/>
          </w:tcPr>
          <w:p>
            <w:pPr>
              <w:spacing w:before="120" w:after="120"/>
              <w:ind w:right="4" w:firstLine="360"/>
              <w:jc w:val="center"/>
              <w:rPr>
                <w:rFonts w:cs="宋体"/>
                <w:color w:val="auto"/>
                <w:sz w:val="18"/>
                <w:szCs w:val="18"/>
              </w:rPr>
            </w:pPr>
          </w:p>
        </w:tc>
        <w:tc>
          <w:tcPr>
            <w:tcW w:w="2534" w:type="dxa"/>
            <w:noWrap/>
            <w:vAlign w:val="center"/>
          </w:tcPr>
          <w:p>
            <w:pPr>
              <w:pStyle w:val="480"/>
              <w:spacing w:before="120" w:after="120"/>
              <w:ind w:left="530" w:right="4"/>
              <w:jc w:val="center"/>
              <w:rPr>
                <w:color w:val="auto"/>
                <w:sz w:val="18"/>
                <w:szCs w:val="18"/>
              </w:rPr>
            </w:pPr>
            <w:r>
              <w:rPr>
                <w:color w:val="auto"/>
                <w:sz w:val="18"/>
                <w:szCs w:val="18"/>
              </w:rPr>
              <w:t>辅助工程量统计</w:t>
            </w:r>
          </w:p>
        </w:tc>
        <w:tc>
          <w:tcPr>
            <w:tcW w:w="6334" w:type="dxa"/>
            <w:noWrap/>
            <w:vAlign w:val="center"/>
          </w:tcPr>
          <w:p>
            <w:pPr>
              <w:pStyle w:val="480"/>
              <w:spacing w:before="120" w:after="120"/>
              <w:ind w:left="103" w:right="4"/>
              <w:jc w:val="center"/>
              <w:rPr>
                <w:color w:val="auto"/>
                <w:sz w:val="18"/>
                <w:szCs w:val="18"/>
                <w:lang w:eastAsia="zh-CN"/>
              </w:rPr>
            </w:pPr>
            <w:r>
              <w:rPr>
                <w:color w:val="auto"/>
                <w:sz w:val="18"/>
                <w:szCs w:val="18"/>
                <w:lang w:eastAsia="zh-CN"/>
              </w:rPr>
              <w:t>在已有的模型深度和精度范围内，直接计量BIM模型内的工程量。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52" w:type="dxa"/>
            <w:vMerge w:val="continue"/>
            <w:noWrap/>
            <w:vAlign w:val="center"/>
          </w:tcPr>
          <w:p>
            <w:pPr>
              <w:spacing w:before="120" w:after="120"/>
              <w:ind w:right="4" w:firstLine="360"/>
              <w:jc w:val="center"/>
              <w:rPr>
                <w:rFonts w:cs="宋体"/>
                <w:color w:val="auto"/>
                <w:sz w:val="18"/>
                <w:szCs w:val="18"/>
              </w:rPr>
            </w:pPr>
          </w:p>
        </w:tc>
        <w:tc>
          <w:tcPr>
            <w:tcW w:w="2534" w:type="dxa"/>
            <w:noWrap/>
            <w:vAlign w:val="center"/>
          </w:tcPr>
          <w:p>
            <w:pPr>
              <w:pStyle w:val="480"/>
              <w:spacing w:before="120" w:after="120"/>
              <w:ind w:left="641" w:right="4"/>
              <w:jc w:val="center"/>
              <w:rPr>
                <w:color w:val="auto"/>
                <w:sz w:val="18"/>
                <w:szCs w:val="18"/>
              </w:rPr>
            </w:pPr>
            <w:r>
              <w:rPr>
                <w:color w:val="auto"/>
                <w:sz w:val="18"/>
                <w:szCs w:val="18"/>
              </w:rPr>
              <w:t>工程档案管理</w:t>
            </w:r>
          </w:p>
        </w:tc>
        <w:tc>
          <w:tcPr>
            <w:tcW w:w="6334" w:type="dxa"/>
            <w:noWrap/>
            <w:vAlign w:val="center"/>
          </w:tcPr>
          <w:p>
            <w:pPr>
              <w:spacing w:before="120" w:after="120"/>
              <w:ind w:right="4" w:firstLine="360"/>
              <w:jc w:val="center"/>
              <w:rPr>
                <w:rFonts w:cs="宋体"/>
                <w:color w:val="auto"/>
                <w:sz w:val="18"/>
                <w:szCs w:val="18"/>
              </w:rPr>
            </w:pPr>
            <w:r>
              <w:rPr>
                <w:rFonts w:cs="宋体"/>
                <w:color w:val="auto"/>
                <w:sz w:val="18"/>
                <w:szCs w:val="18"/>
              </w:rPr>
              <w:t>建立BIM信息电子工程档案资料库，将构建（设备）、资料一一对应，统一存档。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52" w:type="dxa"/>
            <w:vMerge w:val="continue"/>
            <w:noWrap/>
            <w:vAlign w:val="center"/>
          </w:tcPr>
          <w:p>
            <w:pPr>
              <w:spacing w:before="120" w:after="120"/>
              <w:ind w:right="4" w:firstLine="360"/>
              <w:jc w:val="center"/>
              <w:rPr>
                <w:rFonts w:cs="宋体"/>
                <w:color w:val="auto"/>
                <w:sz w:val="18"/>
                <w:szCs w:val="18"/>
              </w:rPr>
            </w:pPr>
          </w:p>
        </w:tc>
        <w:tc>
          <w:tcPr>
            <w:tcW w:w="2534" w:type="dxa"/>
            <w:noWrap/>
            <w:vAlign w:val="center"/>
          </w:tcPr>
          <w:p>
            <w:pPr>
              <w:pStyle w:val="480"/>
              <w:spacing w:before="120" w:after="120"/>
              <w:ind w:left="636" w:right="4"/>
              <w:jc w:val="center"/>
              <w:rPr>
                <w:color w:val="auto"/>
                <w:sz w:val="18"/>
                <w:szCs w:val="18"/>
              </w:rPr>
            </w:pPr>
            <w:r>
              <w:rPr>
                <w:color w:val="auto"/>
                <w:sz w:val="18"/>
                <w:szCs w:val="18"/>
              </w:rPr>
              <w:t>竣工模型整合</w:t>
            </w:r>
          </w:p>
        </w:tc>
        <w:tc>
          <w:tcPr>
            <w:tcW w:w="6334" w:type="dxa"/>
            <w:noWrap/>
            <w:vAlign w:val="center"/>
          </w:tcPr>
          <w:p>
            <w:pPr>
              <w:spacing w:before="120" w:after="120"/>
              <w:ind w:right="4" w:firstLine="360"/>
              <w:jc w:val="center"/>
              <w:rPr>
                <w:rFonts w:cs="宋体"/>
                <w:color w:val="auto"/>
                <w:sz w:val="18"/>
                <w:szCs w:val="18"/>
              </w:rPr>
            </w:pPr>
            <w:r>
              <w:rPr>
                <w:rFonts w:cs="宋体"/>
                <w:color w:val="auto"/>
                <w:sz w:val="18"/>
                <w:szCs w:val="18"/>
              </w:rPr>
              <w:t>接收并整合承包商提交竣工模型，并检查其是否符合要求。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52" w:type="dxa"/>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运营维</w:t>
            </w:r>
          </w:p>
          <w:p>
            <w:pPr>
              <w:spacing w:before="120" w:after="120"/>
              <w:ind w:right="4" w:firstLine="360"/>
              <w:jc w:val="center"/>
              <w:rPr>
                <w:rFonts w:cs="宋体"/>
                <w:color w:val="auto"/>
                <w:sz w:val="18"/>
                <w:szCs w:val="18"/>
                <w:lang w:eastAsia="en-US"/>
              </w:rPr>
            </w:pPr>
            <w:r>
              <w:rPr>
                <w:rFonts w:cs="宋体"/>
                <w:color w:val="auto"/>
                <w:sz w:val="18"/>
                <w:szCs w:val="18"/>
                <w:lang w:eastAsia="en-US"/>
              </w:rPr>
              <w:t>护阶段</w:t>
            </w:r>
          </w:p>
        </w:tc>
        <w:tc>
          <w:tcPr>
            <w:tcW w:w="2534" w:type="dxa"/>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运维信息集成及交付</w:t>
            </w:r>
          </w:p>
        </w:tc>
        <w:tc>
          <w:tcPr>
            <w:tcW w:w="6334" w:type="dxa"/>
            <w:noWrap/>
            <w:vAlign w:val="center"/>
          </w:tcPr>
          <w:p>
            <w:pPr>
              <w:spacing w:before="120" w:after="120"/>
              <w:ind w:right="4" w:firstLine="360"/>
              <w:jc w:val="center"/>
              <w:rPr>
                <w:rFonts w:cs="宋体"/>
                <w:color w:val="auto"/>
                <w:sz w:val="18"/>
                <w:szCs w:val="18"/>
              </w:rPr>
            </w:pPr>
            <w:r>
              <w:rPr>
                <w:rFonts w:cs="宋体"/>
                <w:color w:val="auto"/>
                <w:sz w:val="18"/>
                <w:szCs w:val="18"/>
              </w:rPr>
              <w:t>根据项目运维的实际需求，在竣工模型的基础上，录入集成相关物业运营维护信息，交付至运营方进行后期运用。</w:t>
            </w:r>
          </w:p>
        </w:tc>
      </w:tr>
    </w:tbl>
    <w:p>
      <w:pPr>
        <w:spacing w:before="120" w:after="120"/>
        <w:ind w:firstLine="201"/>
        <w:rPr>
          <w:rFonts w:cs="宋体"/>
          <w:b/>
          <w:bCs/>
          <w:color w:val="auto"/>
          <w:sz w:val="10"/>
          <w:szCs w:val="10"/>
        </w:rPr>
      </w:pPr>
    </w:p>
    <w:p>
      <w:pPr>
        <w:pStyle w:val="585"/>
        <w:numPr>
          <w:ilvl w:val="0"/>
          <w:numId w:val="0"/>
        </w:numPr>
        <w:spacing w:before="120" w:after="120" w:line="360" w:lineRule="auto"/>
        <w:outlineLvl w:val="1"/>
        <w:rPr>
          <w:rFonts w:ascii="Times New Roman" w:hAnsi="Times New Roman" w:eastAsia="黑体"/>
          <w:b w:val="0"/>
          <w:bCs/>
          <w:color w:val="auto"/>
          <w:sz w:val="24"/>
          <w:szCs w:val="24"/>
        </w:rPr>
        <w:sectPr>
          <w:pgSz w:w="11910" w:h="16840"/>
          <w:pgMar w:top="1040" w:right="1160" w:bottom="1160" w:left="920" w:header="0" w:footer="953" w:gutter="0"/>
          <w:cols w:space="720" w:num="1"/>
        </w:sectPr>
      </w:pPr>
    </w:p>
    <w:p>
      <w:pPr>
        <w:pStyle w:val="585"/>
        <w:numPr>
          <w:ilvl w:val="0"/>
          <w:numId w:val="0"/>
        </w:numPr>
        <w:spacing w:before="120" w:after="120" w:line="360" w:lineRule="auto"/>
        <w:outlineLvl w:val="1"/>
        <w:rPr>
          <w:rFonts w:ascii="Times New Roman" w:hAnsi="Times New Roman" w:eastAsia="黑体"/>
          <w:b w:val="0"/>
          <w:bCs/>
          <w:color w:val="auto"/>
          <w:sz w:val="24"/>
          <w:szCs w:val="24"/>
        </w:rPr>
      </w:pPr>
      <w:bookmarkStart w:id="925" w:name="_Toc62460214"/>
      <w:bookmarkStart w:id="926" w:name="_Toc1359"/>
      <w:bookmarkStart w:id="927" w:name="_Toc9751"/>
      <w:bookmarkStart w:id="928" w:name="_Toc29196"/>
      <w:bookmarkStart w:id="929" w:name="_Toc14117"/>
      <w:r>
        <w:rPr>
          <w:rFonts w:ascii="Times New Roman" w:hAnsi="Times New Roman" w:eastAsia="黑体"/>
          <w:b w:val="0"/>
          <w:bCs/>
          <w:color w:val="auto"/>
          <w:sz w:val="24"/>
          <w:szCs w:val="24"/>
        </w:rPr>
        <w:t>附表5  项目BIM团队工作职责</w:t>
      </w:r>
      <w:bookmarkEnd w:id="925"/>
      <w:bookmarkEnd w:id="926"/>
      <w:bookmarkEnd w:id="927"/>
      <w:bookmarkEnd w:id="928"/>
      <w:bookmarkEnd w:id="929"/>
    </w:p>
    <w:tbl>
      <w:tblPr>
        <w:tblStyle w:val="55"/>
        <w:tblW w:w="9854" w:type="dxa"/>
        <w:tblInd w:w="101" w:type="dxa"/>
        <w:tblLayout w:type="fixed"/>
        <w:tblCellMar>
          <w:top w:w="0" w:type="dxa"/>
          <w:left w:w="0" w:type="dxa"/>
          <w:bottom w:w="0" w:type="dxa"/>
          <w:right w:w="0" w:type="dxa"/>
        </w:tblCellMar>
      </w:tblPr>
      <w:tblGrid>
        <w:gridCol w:w="2117"/>
        <w:gridCol w:w="7737"/>
      </w:tblGrid>
      <w:tr>
        <w:tblPrEx>
          <w:tblCellMar>
            <w:top w:w="0" w:type="dxa"/>
            <w:left w:w="0" w:type="dxa"/>
            <w:bottom w:w="0" w:type="dxa"/>
            <w:right w:w="0" w:type="dxa"/>
          </w:tblCellMar>
        </w:tblPrEx>
        <w:trPr>
          <w:trHeight w:val="454" w:hRule="atLeast"/>
        </w:trPr>
        <w:tc>
          <w:tcPr>
            <w:tcW w:w="2117"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团队名称</w:t>
            </w:r>
          </w:p>
        </w:tc>
        <w:tc>
          <w:tcPr>
            <w:tcW w:w="7737"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工作职责</w:t>
            </w:r>
          </w:p>
        </w:tc>
      </w:tr>
      <w:tr>
        <w:tblPrEx>
          <w:tblCellMar>
            <w:top w:w="0" w:type="dxa"/>
            <w:left w:w="0" w:type="dxa"/>
            <w:bottom w:w="0" w:type="dxa"/>
            <w:right w:w="0" w:type="dxa"/>
          </w:tblCellMar>
        </w:tblPrEx>
        <w:trPr>
          <w:trHeight w:val="454" w:hRule="atLeast"/>
        </w:trPr>
        <w:tc>
          <w:tcPr>
            <w:tcW w:w="2117"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BIM总协调团队</w:t>
            </w:r>
          </w:p>
        </w:tc>
        <w:tc>
          <w:tcPr>
            <w:tcW w:w="7737"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详见</w:t>
            </w:r>
            <w:r>
              <w:rPr>
                <w:rFonts w:hint="eastAsia" w:cs="宋体"/>
                <w:color w:val="auto"/>
                <w:sz w:val="18"/>
                <w:szCs w:val="18"/>
              </w:rPr>
              <w:t>“</w:t>
            </w:r>
            <w:r>
              <w:rPr>
                <w:rFonts w:cs="宋体"/>
                <w:color w:val="auto"/>
                <w:sz w:val="18"/>
                <w:szCs w:val="18"/>
              </w:rPr>
              <w:t>5.2各参与方工作职责”</w:t>
            </w:r>
          </w:p>
        </w:tc>
      </w:tr>
      <w:tr>
        <w:tblPrEx>
          <w:tblCellMar>
            <w:top w:w="0" w:type="dxa"/>
            <w:left w:w="0" w:type="dxa"/>
            <w:bottom w:w="0" w:type="dxa"/>
            <w:right w:w="0" w:type="dxa"/>
          </w:tblCellMar>
        </w:tblPrEx>
        <w:trPr>
          <w:trHeight w:val="454" w:hRule="atLeast"/>
        </w:trPr>
        <w:tc>
          <w:tcPr>
            <w:tcW w:w="2117"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BIM总承包团队</w:t>
            </w:r>
          </w:p>
        </w:tc>
        <w:tc>
          <w:tcPr>
            <w:tcW w:w="7737"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详见“5.2各参与方工作职责”</w:t>
            </w:r>
          </w:p>
        </w:tc>
      </w:tr>
      <w:tr>
        <w:tblPrEx>
          <w:tblCellMar>
            <w:top w:w="0" w:type="dxa"/>
            <w:left w:w="0" w:type="dxa"/>
            <w:bottom w:w="0" w:type="dxa"/>
            <w:right w:w="0" w:type="dxa"/>
          </w:tblCellMar>
        </w:tblPrEx>
        <w:trPr>
          <w:trHeight w:val="454" w:hRule="atLeast"/>
        </w:trPr>
        <w:tc>
          <w:tcPr>
            <w:tcW w:w="2117"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监理BIM团队</w:t>
            </w:r>
          </w:p>
        </w:tc>
        <w:tc>
          <w:tcPr>
            <w:tcW w:w="7737"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详见“5.2各参与方工作职责”</w:t>
            </w:r>
          </w:p>
        </w:tc>
      </w:tr>
      <w:tr>
        <w:tblPrEx>
          <w:tblCellMar>
            <w:top w:w="0" w:type="dxa"/>
            <w:left w:w="0" w:type="dxa"/>
            <w:bottom w:w="0" w:type="dxa"/>
            <w:right w:w="0" w:type="dxa"/>
          </w:tblCellMar>
        </w:tblPrEx>
        <w:trPr>
          <w:trHeight w:val="454" w:hRule="atLeast"/>
        </w:trPr>
        <w:tc>
          <w:tcPr>
            <w:tcW w:w="2117"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土建BIM团队</w:t>
            </w:r>
          </w:p>
        </w:tc>
        <w:tc>
          <w:tcPr>
            <w:tcW w:w="7737"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接收自身合同范围内的施工图设计模型、进行必要的校核和调整，完善成为施工深</w:t>
            </w:r>
          </w:p>
          <w:p>
            <w:pPr>
              <w:spacing w:before="120" w:after="120"/>
              <w:ind w:right="4" w:firstLine="360"/>
              <w:jc w:val="center"/>
              <w:rPr>
                <w:rFonts w:cs="宋体"/>
                <w:color w:val="auto"/>
                <w:sz w:val="18"/>
                <w:szCs w:val="18"/>
              </w:rPr>
            </w:pPr>
            <w:r>
              <w:rPr>
                <w:rFonts w:cs="宋体"/>
                <w:color w:val="auto"/>
                <w:sz w:val="18"/>
                <w:szCs w:val="18"/>
              </w:rPr>
              <w:t>化模型，并利用BIM解决可能存在的设计问题、碰撞、优化、施工关键工艺等，并进行校核和调整，配合BIM总协调团队完成相关BIM工作。</w:t>
            </w:r>
          </w:p>
        </w:tc>
      </w:tr>
      <w:tr>
        <w:tblPrEx>
          <w:tblCellMar>
            <w:top w:w="0" w:type="dxa"/>
            <w:left w:w="0" w:type="dxa"/>
            <w:bottom w:w="0" w:type="dxa"/>
            <w:right w:w="0" w:type="dxa"/>
          </w:tblCellMar>
        </w:tblPrEx>
        <w:trPr>
          <w:trHeight w:val="454" w:hRule="atLeast"/>
        </w:trPr>
        <w:tc>
          <w:tcPr>
            <w:tcW w:w="2117"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机电BIM团队</w:t>
            </w:r>
          </w:p>
        </w:tc>
        <w:tc>
          <w:tcPr>
            <w:tcW w:w="7737"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基于施工图设计模型等资料，检查各个机电专业间综合管线碰撞的同时，符合整体管线净高，并进行必要的复核和调整，向总包BIM团队提交相关碰撞检测报告、机电管线综合报告，利用BIM技术进行项目实施管控，根据项目实施进展录入机电安装信息参数，配合BIM总协调团队完成相关BIM工作。</w:t>
            </w:r>
          </w:p>
        </w:tc>
      </w:tr>
      <w:tr>
        <w:tblPrEx>
          <w:tblCellMar>
            <w:top w:w="0" w:type="dxa"/>
            <w:left w:w="0" w:type="dxa"/>
            <w:bottom w:w="0" w:type="dxa"/>
            <w:right w:w="0" w:type="dxa"/>
          </w:tblCellMar>
        </w:tblPrEx>
        <w:trPr>
          <w:trHeight w:val="454" w:hRule="atLeast"/>
        </w:trPr>
        <w:tc>
          <w:tcPr>
            <w:tcW w:w="2117"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其他BIM团队</w:t>
            </w:r>
          </w:p>
        </w:tc>
        <w:tc>
          <w:tcPr>
            <w:tcW w:w="7737"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作为本项目的专业承包单位，负责合同范围内的BIM模型建立和维护工作。对总承包单位提供的BIM模型进行深化、更新和维护，利用BIM模型指导实际施工，配合总承包单位的BIM工作，并提供BIM应用成果。</w:t>
            </w:r>
          </w:p>
        </w:tc>
      </w:tr>
      <w:tr>
        <w:tblPrEx>
          <w:tblCellMar>
            <w:top w:w="0" w:type="dxa"/>
            <w:left w:w="0" w:type="dxa"/>
            <w:bottom w:w="0" w:type="dxa"/>
            <w:right w:w="0" w:type="dxa"/>
          </w:tblCellMar>
        </w:tblPrEx>
        <w:trPr>
          <w:trHeight w:val="454" w:hRule="atLeast"/>
        </w:trPr>
        <w:tc>
          <w:tcPr>
            <w:tcW w:w="2117"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材料设备供应商</w:t>
            </w:r>
          </w:p>
        </w:tc>
        <w:tc>
          <w:tcPr>
            <w:tcW w:w="7737"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提供材料信息及设备BIM构件模型，提供的BIM构件模型应该包含的材料设备参数及信息。</w:t>
            </w:r>
          </w:p>
        </w:tc>
      </w:tr>
      <w:tr>
        <w:tblPrEx>
          <w:tblCellMar>
            <w:top w:w="0" w:type="dxa"/>
            <w:left w:w="0" w:type="dxa"/>
            <w:bottom w:w="0" w:type="dxa"/>
            <w:right w:w="0" w:type="dxa"/>
          </w:tblCellMar>
        </w:tblPrEx>
        <w:trPr>
          <w:trHeight w:val="454" w:hRule="atLeast"/>
        </w:trPr>
        <w:tc>
          <w:tcPr>
            <w:tcW w:w="2117"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造价咨询单位</w:t>
            </w:r>
          </w:p>
        </w:tc>
        <w:tc>
          <w:tcPr>
            <w:tcW w:w="7737"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利用BIM技术辅助进行工程概算、预算及竣工结算工作。在出现变更时，运用BIM技术进行变更前后造价对比。</w:t>
            </w:r>
          </w:p>
        </w:tc>
      </w:tr>
    </w:tbl>
    <w:p>
      <w:pPr>
        <w:pStyle w:val="585"/>
        <w:numPr>
          <w:ilvl w:val="0"/>
          <w:numId w:val="0"/>
        </w:numPr>
        <w:spacing w:before="120" w:after="120" w:line="360" w:lineRule="auto"/>
        <w:outlineLvl w:val="1"/>
        <w:rPr>
          <w:rFonts w:ascii="Times New Roman" w:hAnsi="Times New Roman" w:eastAsia="黑体"/>
          <w:b w:val="0"/>
          <w:bCs/>
          <w:color w:val="auto"/>
          <w:sz w:val="24"/>
          <w:szCs w:val="24"/>
        </w:rPr>
        <w:sectPr>
          <w:pgSz w:w="11910" w:h="16840"/>
          <w:pgMar w:top="1040" w:right="1160" w:bottom="1160" w:left="920" w:header="0" w:footer="953" w:gutter="0"/>
          <w:cols w:space="720" w:num="1"/>
        </w:sectPr>
      </w:pPr>
      <w:bookmarkStart w:id="930" w:name="_bookmark46"/>
      <w:bookmarkEnd w:id="930"/>
    </w:p>
    <w:p>
      <w:pPr>
        <w:pStyle w:val="585"/>
        <w:numPr>
          <w:ilvl w:val="0"/>
          <w:numId w:val="0"/>
        </w:numPr>
        <w:spacing w:before="120" w:after="120" w:line="360" w:lineRule="auto"/>
        <w:outlineLvl w:val="1"/>
        <w:rPr>
          <w:rFonts w:ascii="Times New Roman" w:hAnsi="Times New Roman" w:eastAsia="黑体"/>
          <w:b w:val="0"/>
          <w:bCs/>
          <w:color w:val="auto"/>
          <w:sz w:val="24"/>
          <w:szCs w:val="24"/>
        </w:rPr>
      </w:pPr>
      <w:bookmarkStart w:id="931" w:name="_Toc62460215"/>
      <w:bookmarkStart w:id="932" w:name="_Toc1728"/>
      <w:bookmarkStart w:id="933" w:name="_Toc2897"/>
      <w:bookmarkStart w:id="934" w:name="_Toc14366"/>
      <w:bookmarkStart w:id="935" w:name="_Toc30326"/>
      <w:r>
        <w:rPr>
          <w:rFonts w:ascii="Times New Roman" w:hAnsi="Times New Roman" w:eastAsia="黑体"/>
          <w:b w:val="0"/>
          <w:bCs/>
          <w:color w:val="auto"/>
          <w:sz w:val="24"/>
          <w:szCs w:val="24"/>
        </w:rPr>
        <w:t>附表6  BIM实施计划及工作内容</w:t>
      </w:r>
      <w:bookmarkEnd w:id="931"/>
      <w:bookmarkEnd w:id="932"/>
      <w:bookmarkEnd w:id="933"/>
      <w:bookmarkEnd w:id="934"/>
      <w:bookmarkEnd w:id="935"/>
    </w:p>
    <w:tbl>
      <w:tblPr>
        <w:tblStyle w:val="55"/>
        <w:tblW w:w="9820" w:type="dxa"/>
        <w:tblInd w:w="0" w:type="dxa"/>
        <w:tblLayout w:type="fixed"/>
        <w:tblCellMar>
          <w:top w:w="0" w:type="dxa"/>
          <w:left w:w="0" w:type="dxa"/>
          <w:bottom w:w="0" w:type="dxa"/>
          <w:right w:w="0" w:type="dxa"/>
        </w:tblCellMar>
      </w:tblPr>
      <w:tblGrid>
        <w:gridCol w:w="985"/>
        <w:gridCol w:w="780"/>
        <w:gridCol w:w="2722"/>
        <w:gridCol w:w="2261"/>
        <w:gridCol w:w="1412"/>
        <w:gridCol w:w="1660"/>
      </w:tblGrid>
      <w:tr>
        <w:tblPrEx>
          <w:tblCellMar>
            <w:top w:w="0" w:type="dxa"/>
            <w:left w:w="0" w:type="dxa"/>
            <w:bottom w:w="0" w:type="dxa"/>
            <w:right w:w="0" w:type="dxa"/>
          </w:tblCellMar>
        </w:tblPrEx>
        <w:trPr>
          <w:trHeight w:val="454" w:hRule="atLeast"/>
        </w:trPr>
        <w:tc>
          <w:tcPr>
            <w:tcW w:w="985"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阶段</w:t>
            </w:r>
          </w:p>
        </w:tc>
        <w:tc>
          <w:tcPr>
            <w:tcW w:w="780"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序号</w:t>
            </w:r>
          </w:p>
        </w:tc>
        <w:tc>
          <w:tcPr>
            <w:tcW w:w="2722"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任务</w:t>
            </w:r>
          </w:p>
        </w:tc>
        <w:tc>
          <w:tcPr>
            <w:tcW w:w="2261"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实施方</w:t>
            </w:r>
          </w:p>
        </w:tc>
        <w:tc>
          <w:tcPr>
            <w:tcW w:w="1412"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时间计划</w:t>
            </w:r>
          </w:p>
        </w:tc>
        <w:tc>
          <w:tcPr>
            <w:tcW w:w="1660"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备注</w:t>
            </w:r>
          </w:p>
        </w:tc>
      </w:tr>
      <w:tr>
        <w:tblPrEx>
          <w:tblCellMar>
            <w:top w:w="0" w:type="dxa"/>
            <w:left w:w="0" w:type="dxa"/>
            <w:bottom w:w="0" w:type="dxa"/>
            <w:right w:w="0" w:type="dxa"/>
          </w:tblCellMar>
        </w:tblPrEx>
        <w:trPr>
          <w:trHeight w:val="454" w:hRule="atLeast"/>
        </w:trPr>
        <w:tc>
          <w:tcPr>
            <w:tcW w:w="985" w:type="dxa"/>
            <w:vMerge w:val="restart"/>
            <w:tcBorders>
              <w:top w:val="single" w:color="000000" w:sz="4" w:space="0"/>
              <w:left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BIM</w:t>
            </w:r>
          </w:p>
          <w:p>
            <w:pPr>
              <w:spacing w:before="120" w:after="120"/>
              <w:ind w:right="4" w:firstLine="360"/>
              <w:jc w:val="center"/>
              <w:rPr>
                <w:rFonts w:cs="宋体"/>
                <w:color w:val="auto"/>
                <w:sz w:val="18"/>
                <w:szCs w:val="18"/>
                <w:lang w:eastAsia="en-US"/>
              </w:rPr>
            </w:pPr>
            <w:r>
              <w:rPr>
                <w:rFonts w:cs="宋体"/>
                <w:color w:val="auto"/>
                <w:sz w:val="18"/>
                <w:szCs w:val="18"/>
                <w:lang w:eastAsia="en-US"/>
              </w:rPr>
              <w:t>准备</w:t>
            </w:r>
          </w:p>
        </w:tc>
        <w:tc>
          <w:tcPr>
            <w:tcW w:w="780"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1</w:t>
            </w:r>
          </w:p>
        </w:tc>
        <w:tc>
          <w:tcPr>
            <w:tcW w:w="2722"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制定施工阶段BIM实施目标</w:t>
            </w:r>
          </w:p>
        </w:tc>
        <w:tc>
          <w:tcPr>
            <w:tcW w:w="2261"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代建局</w:t>
            </w:r>
            <w:r>
              <w:rPr>
                <w:rFonts w:hint="eastAsia" w:cs="宋体"/>
                <w:color w:val="auto"/>
                <w:sz w:val="18"/>
                <w:szCs w:val="18"/>
              </w:rPr>
              <w:t>项目建设管理部、</w:t>
            </w:r>
          </w:p>
          <w:p>
            <w:pPr>
              <w:spacing w:before="120" w:after="120"/>
              <w:ind w:right="4" w:firstLine="360"/>
              <w:jc w:val="center"/>
              <w:rPr>
                <w:rFonts w:cs="宋体"/>
                <w:color w:val="auto"/>
                <w:sz w:val="18"/>
                <w:szCs w:val="18"/>
                <w:lang w:eastAsia="en-US"/>
              </w:rPr>
            </w:pPr>
            <w:r>
              <w:rPr>
                <w:rFonts w:cs="宋体"/>
                <w:color w:val="auto"/>
                <w:sz w:val="18"/>
                <w:szCs w:val="18"/>
                <w:lang w:eastAsia="en-US"/>
              </w:rPr>
              <w:t>BIM总协调</w:t>
            </w:r>
          </w:p>
        </w:tc>
        <w:tc>
          <w:tcPr>
            <w:tcW w:w="1412"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p>
        </w:tc>
        <w:tc>
          <w:tcPr>
            <w:tcW w:w="1660"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p>
        </w:tc>
      </w:tr>
      <w:tr>
        <w:tblPrEx>
          <w:tblCellMar>
            <w:top w:w="0" w:type="dxa"/>
            <w:left w:w="0" w:type="dxa"/>
            <w:bottom w:w="0" w:type="dxa"/>
            <w:right w:w="0" w:type="dxa"/>
          </w:tblCellMar>
        </w:tblPrEx>
        <w:trPr>
          <w:trHeight w:val="454" w:hRule="atLeast"/>
        </w:trPr>
        <w:tc>
          <w:tcPr>
            <w:tcW w:w="985" w:type="dxa"/>
            <w:vMerge w:val="continue"/>
            <w:tcBorders>
              <w:left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p>
        </w:tc>
        <w:tc>
          <w:tcPr>
            <w:tcW w:w="780"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2</w:t>
            </w:r>
          </w:p>
        </w:tc>
        <w:tc>
          <w:tcPr>
            <w:tcW w:w="2722"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制定施工阶段实施详细分工计划</w:t>
            </w:r>
          </w:p>
        </w:tc>
        <w:tc>
          <w:tcPr>
            <w:tcW w:w="2261"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BIM总协调与各承建单位</w:t>
            </w:r>
          </w:p>
        </w:tc>
        <w:tc>
          <w:tcPr>
            <w:tcW w:w="1412"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rPr>
            </w:pPr>
          </w:p>
        </w:tc>
        <w:tc>
          <w:tcPr>
            <w:tcW w:w="1660"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rPr>
            </w:pPr>
          </w:p>
        </w:tc>
      </w:tr>
      <w:tr>
        <w:tblPrEx>
          <w:tblCellMar>
            <w:top w:w="0" w:type="dxa"/>
            <w:left w:w="0" w:type="dxa"/>
            <w:bottom w:w="0" w:type="dxa"/>
            <w:right w:w="0" w:type="dxa"/>
          </w:tblCellMar>
        </w:tblPrEx>
        <w:trPr>
          <w:trHeight w:val="454" w:hRule="atLeast"/>
        </w:trPr>
        <w:tc>
          <w:tcPr>
            <w:tcW w:w="985" w:type="dxa"/>
            <w:vMerge w:val="continue"/>
            <w:tcBorders>
              <w:left w:val="single" w:color="000000" w:sz="4" w:space="0"/>
              <w:right w:val="single" w:color="000000" w:sz="4" w:space="0"/>
            </w:tcBorders>
            <w:noWrap/>
            <w:vAlign w:val="center"/>
          </w:tcPr>
          <w:p>
            <w:pPr>
              <w:spacing w:before="120" w:after="120"/>
              <w:ind w:right="4" w:firstLine="360"/>
              <w:jc w:val="center"/>
              <w:rPr>
                <w:rFonts w:cs="宋体"/>
                <w:color w:val="auto"/>
                <w:sz w:val="18"/>
                <w:szCs w:val="18"/>
              </w:rPr>
            </w:pPr>
          </w:p>
        </w:tc>
        <w:tc>
          <w:tcPr>
            <w:tcW w:w="780"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3</w:t>
            </w:r>
          </w:p>
        </w:tc>
        <w:tc>
          <w:tcPr>
            <w:tcW w:w="2722"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组建BIM团队</w:t>
            </w:r>
          </w:p>
        </w:tc>
        <w:tc>
          <w:tcPr>
            <w:tcW w:w="2261"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各承建单位</w:t>
            </w:r>
          </w:p>
        </w:tc>
        <w:tc>
          <w:tcPr>
            <w:tcW w:w="1412"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p>
        </w:tc>
        <w:tc>
          <w:tcPr>
            <w:tcW w:w="1660"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p>
        </w:tc>
      </w:tr>
      <w:tr>
        <w:tblPrEx>
          <w:tblCellMar>
            <w:top w:w="0" w:type="dxa"/>
            <w:left w:w="0" w:type="dxa"/>
            <w:bottom w:w="0" w:type="dxa"/>
            <w:right w:w="0" w:type="dxa"/>
          </w:tblCellMar>
        </w:tblPrEx>
        <w:trPr>
          <w:trHeight w:val="454" w:hRule="atLeast"/>
        </w:trPr>
        <w:tc>
          <w:tcPr>
            <w:tcW w:w="985" w:type="dxa"/>
            <w:vMerge w:val="continue"/>
            <w:tcBorders>
              <w:left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p>
        </w:tc>
        <w:tc>
          <w:tcPr>
            <w:tcW w:w="780"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4</w:t>
            </w:r>
          </w:p>
        </w:tc>
        <w:tc>
          <w:tcPr>
            <w:tcW w:w="2722"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建立BIM实施环境</w:t>
            </w:r>
          </w:p>
        </w:tc>
        <w:tc>
          <w:tcPr>
            <w:tcW w:w="2261"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BIM总协调与各承建单位</w:t>
            </w:r>
          </w:p>
        </w:tc>
        <w:tc>
          <w:tcPr>
            <w:tcW w:w="1412"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rPr>
            </w:pPr>
          </w:p>
        </w:tc>
        <w:tc>
          <w:tcPr>
            <w:tcW w:w="1660"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权限分配软硬件配置</w:t>
            </w:r>
          </w:p>
        </w:tc>
      </w:tr>
      <w:tr>
        <w:tblPrEx>
          <w:tblCellMar>
            <w:top w:w="0" w:type="dxa"/>
            <w:left w:w="0" w:type="dxa"/>
            <w:bottom w:w="0" w:type="dxa"/>
            <w:right w:w="0" w:type="dxa"/>
          </w:tblCellMar>
        </w:tblPrEx>
        <w:trPr>
          <w:trHeight w:val="454" w:hRule="atLeast"/>
        </w:trPr>
        <w:tc>
          <w:tcPr>
            <w:tcW w:w="985" w:type="dxa"/>
            <w:vMerge w:val="continue"/>
            <w:tcBorders>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p>
        </w:tc>
        <w:tc>
          <w:tcPr>
            <w:tcW w:w="780"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5</w:t>
            </w:r>
          </w:p>
        </w:tc>
        <w:tc>
          <w:tcPr>
            <w:tcW w:w="2722"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设计模型会审</w:t>
            </w:r>
          </w:p>
        </w:tc>
        <w:tc>
          <w:tcPr>
            <w:tcW w:w="2261"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设计单位与各承建单位</w:t>
            </w:r>
          </w:p>
        </w:tc>
        <w:tc>
          <w:tcPr>
            <w:tcW w:w="1412"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rPr>
            </w:pPr>
          </w:p>
        </w:tc>
        <w:tc>
          <w:tcPr>
            <w:tcW w:w="1660"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rPr>
            </w:pPr>
          </w:p>
        </w:tc>
      </w:tr>
      <w:tr>
        <w:tblPrEx>
          <w:tblCellMar>
            <w:top w:w="0" w:type="dxa"/>
            <w:left w:w="0" w:type="dxa"/>
            <w:bottom w:w="0" w:type="dxa"/>
            <w:right w:w="0" w:type="dxa"/>
          </w:tblCellMar>
        </w:tblPrEx>
        <w:trPr>
          <w:trHeight w:val="454" w:hRule="atLeast"/>
        </w:trPr>
        <w:tc>
          <w:tcPr>
            <w:tcW w:w="985" w:type="dxa"/>
            <w:vMerge w:val="restart"/>
            <w:tcBorders>
              <w:top w:val="single" w:color="000000" w:sz="4" w:space="0"/>
              <w:left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BIM</w:t>
            </w:r>
          </w:p>
          <w:p>
            <w:pPr>
              <w:spacing w:before="120" w:after="120"/>
              <w:ind w:right="4" w:firstLine="360"/>
              <w:jc w:val="center"/>
              <w:rPr>
                <w:rFonts w:cs="宋体"/>
                <w:color w:val="auto"/>
                <w:sz w:val="18"/>
                <w:szCs w:val="18"/>
                <w:lang w:eastAsia="en-US"/>
              </w:rPr>
            </w:pPr>
            <w:r>
              <w:rPr>
                <w:rFonts w:cs="宋体"/>
                <w:color w:val="auto"/>
                <w:sz w:val="18"/>
                <w:szCs w:val="18"/>
                <w:lang w:eastAsia="en-US"/>
              </w:rPr>
              <w:t>深化设计</w:t>
            </w:r>
          </w:p>
        </w:tc>
        <w:tc>
          <w:tcPr>
            <w:tcW w:w="780"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1</w:t>
            </w:r>
          </w:p>
        </w:tc>
        <w:tc>
          <w:tcPr>
            <w:tcW w:w="2722"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土建深化设计</w:t>
            </w:r>
          </w:p>
        </w:tc>
        <w:tc>
          <w:tcPr>
            <w:tcW w:w="2261"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总包单位</w:t>
            </w:r>
          </w:p>
        </w:tc>
        <w:tc>
          <w:tcPr>
            <w:tcW w:w="1412"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p>
        </w:tc>
        <w:tc>
          <w:tcPr>
            <w:tcW w:w="1660"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p>
        </w:tc>
      </w:tr>
      <w:tr>
        <w:tblPrEx>
          <w:tblCellMar>
            <w:top w:w="0" w:type="dxa"/>
            <w:left w:w="0" w:type="dxa"/>
            <w:bottom w:w="0" w:type="dxa"/>
            <w:right w:w="0" w:type="dxa"/>
          </w:tblCellMar>
        </w:tblPrEx>
        <w:trPr>
          <w:trHeight w:val="454" w:hRule="atLeast"/>
        </w:trPr>
        <w:tc>
          <w:tcPr>
            <w:tcW w:w="985" w:type="dxa"/>
            <w:vMerge w:val="continue"/>
            <w:tcBorders>
              <w:left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p>
        </w:tc>
        <w:tc>
          <w:tcPr>
            <w:tcW w:w="780"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2</w:t>
            </w:r>
          </w:p>
        </w:tc>
        <w:tc>
          <w:tcPr>
            <w:tcW w:w="2722"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机电深化设计</w:t>
            </w:r>
          </w:p>
        </w:tc>
        <w:tc>
          <w:tcPr>
            <w:tcW w:w="2261"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机电分包</w:t>
            </w:r>
          </w:p>
        </w:tc>
        <w:tc>
          <w:tcPr>
            <w:tcW w:w="1412"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p>
        </w:tc>
        <w:tc>
          <w:tcPr>
            <w:tcW w:w="1660"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p>
        </w:tc>
      </w:tr>
      <w:tr>
        <w:tblPrEx>
          <w:tblCellMar>
            <w:top w:w="0" w:type="dxa"/>
            <w:left w:w="0" w:type="dxa"/>
            <w:bottom w:w="0" w:type="dxa"/>
            <w:right w:w="0" w:type="dxa"/>
          </w:tblCellMar>
        </w:tblPrEx>
        <w:trPr>
          <w:trHeight w:val="454" w:hRule="atLeast"/>
        </w:trPr>
        <w:tc>
          <w:tcPr>
            <w:tcW w:w="985" w:type="dxa"/>
            <w:vMerge w:val="continue"/>
            <w:tcBorders>
              <w:left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p>
        </w:tc>
        <w:tc>
          <w:tcPr>
            <w:tcW w:w="780"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3</w:t>
            </w:r>
          </w:p>
        </w:tc>
        <w:tc>
          <w:tcPr>
            <w:tcW w:w="2722"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钢构深化设计</w:t>
            </w:r>
          </w:p>
        </w:tc>
        <w:tc>
          <w:tcPr>
            <w:tcW w:w="2261"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钢构分包</w:t>
            </w:r>
          </w:p>
        </w:tc>
        <w:tc>
          <w:tcPr>
            <w:tcW w:w="1412"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p>
        </w:tc>
        <w:tc>
          <w:tcPr>
            <w:tcW w:w="1660"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p>
        </w:tc>
      </w:tr>
      <w:tr>
        <w:tblPrEx>
          <w:tblCellMar>
            <w:top w:w="0" w:type="dxa"/>
            <w:left w:w="0" w:type="dxa"/>
            <w:bottom w:w="0" w:type="dxa"/>
            <w:right w:w="0" w:type="dxa"/>
          </w:tblCellMar>
        </w:tblPrEx>
        <w:trPr>
          <w:trHeight w:val="454" w:hRule="atLeast"/>
        </w:trPr>
        <w:tc>
          <w:tcPr>
            <w:tcW w:w="985" w:type="dxa"/>
            <w:vMerge w:val="continue"/>
            <w:tcBorders>
              <w:left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p>
        </w:tc>
        <w:tc>
          <w:tcPr>
            <w:tcW w:w="780"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4</w:t>
            </w:r>
          </w:p>
        </w:tc>
        <w:tc>
          <w:tcPr>
            <w:tcW w:w="2722"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幕墙深化设计</w:t>
            </w:r>
          </w:p>
        </w:tc>
        <w:tc>
          <w:tcPr>
            <w:tcW w:w="2261"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幕墙分包</w:t>
            </w:r>
          </w:p>
        </w:tc>
        <w:tc>
          <w:tcPr>
            <w:tcW w:w="1412"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p>
        </w:tc>
        <w:tc>
          <w:tcPr>
            <w:tcW w:w="1660"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p>
        </w:tc>
      </w:tr>
      <w:tr>
        <w:tblPrEx>
          <w:tblCellMar>
            <w:top w:w="0" w:type="dxa"/>
            <w:left w:w="0" w:type="dxa"/>
            <w:bottom w:w="0" w:type="dxa"/>
            <w:right w:w="0" w:type="dxa"/>
          </w:tblCellMar>
        </w:tblPrEx>
        <w:trPr>
          <w:trHeight w:val="454" w:hRule="atLeast"/>
        </w:trPr>
        <w:tc>
          <w:tcPr>
            <w:tcW w:w="985" w:type="dxa"/>
            <w:vMerge w:val="continue"/>
            <w:tcBorders>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p>
        </w:tc>
        <w:tc>
          <w:tcPr>
            <w:tcW w:w="780"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5</w:t>
            </w:r>
          </w:p>
        </w:tc>
        <w:tc>
          <w:tcPr>
            <w:tcW w:w="2722"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其他专业分包深化设计</w:t>
            </w:r>
          </w:p>
        </w:tc>
        <w:tc>
          <w:tcPr>
            <w:tcW w:w="2261"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其他专业分包</w:t>
            </w:r>
          </w:p>
        </w:tc>
        <w:tc>
          <w:tcPr>
            <w:tcW w:w="1412"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p>
        </w:tc>
        <w:tc>
          <w:tcPr>
            <w:tcW w:w="1660"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p>
        </w:tc>
      </w:tr>
      <w:tr>
        <w:tblPrEx>
          <w:tblCellMar>
            <w:top w:w="0" w:type="dxa"/>
            <w:left w:w="0" w:type="dxa"/>
            <w:bottom w:w="0" w:type="dxa"/>
            <w:right w:w="0" w:type="dxa"/>
          </w:tblCellMar>
        </w:tblPrEx>
        <w:trPr>
          <w:trHeight w:val="454" w:hRule="atLeast"/>
        </w:trPr>
        <w:tc>
          <w:tcPr>
            <w:tcW w:w="985" w:type="dxa"/>
            <w:vMerge w:val="restart"/>
            <w:tcBorders>
              <w:top w:val="single" w:color="000000" w:sz="4" w:space="0"/>
              <w:left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BIM</w:t>
            </w:r>
          </w:p>
          <w:p>
            <w:pPr>
              <w:spacing w:before="120" w:after="120"/>
              <w:ind w:right="4" w:firstLine="360"/>
              <w:jc w:val="center"/>
              <w:rPr>
                <w:rFonts w:cs="宋体"/>
                <w:color w:val="auto"/>
                <w:sz w:val="18"/>
                <w:szCs w:val="18"/>
                <w:lang w:eastAsia="en-US"/>
              </w:rPr>
            </w:pPr>
            <w:r>
              <w:rPr>
                <w:rFonts w:cs="宋体"/>
                <w:color w:val="auto"/>
                <w:sz w:val="18"/>
                <w:szCs w:val="18"/>
                <w:lang w:eastAsia="en-US"/>
              </w:rPr>
              <w:t>施工组织优化</w:t>
            </w:r>
          </w:p>
        </w:tc>
        <w:tc>
          <w:tcPr>
            <w:tcW w:w="780"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1</w:t>
            </w:r>
          </w:p>
        </w:tc>
        <w:tc>
          <w:tcPr>
            <w:tcW w:w="2722"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施工布置模拟优化</w:t>
            </w:r>
          </w:p>
        </w:tc>
        <w:tc>
          <w:tcPr>
            <w:tcW w:w="2261"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总包单位</w:t>
            </w:r>
          </w:p>
        </w:tc>
        <w:tc>
          <w:tcPr>
            <w:tcW w:w="1412"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p>
        </w:tc>
        <w:tc>
          <w:tcPr>
            <w:tcW w:w="1660"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p>
        </w:tc>
      </w:tr>
      <w:tr>
        <w:tblPrEx>
          <w:tblCellMar>
            <w:top w:w="0" w:type="dxa"/>
            <w:left w:w="0" w:type="dxa"/>
            <w:bottom w:w="0" w:type="dxa"/>
            <w:right w:w="0" w:type="dxa"/>
          </w:tblCellMar>
        </w:tblPrEx>
        <w:trPr>
          <w:trHeight w:val="454" w:hRule="atLeast"/>
        </w:trPr>
        <w:tc>
          <w:tcPr>
            <w:tcW w:w="985" w:type="dxa"/>
            <w:vMerge w:val="continue"/>
            <w:tcBorders>
              <w:left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p>
        </w:tc>
        <w:tc>
          <w:tcPr>
            <w:tcW w:w="780"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2</w:t>
            </w:r>
          </w:p>
        </w:tc>
        <w:tc>
          <w:tcPr>
            <w:tcW w:w="2722"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施工进度模拟优化</w:t>
            </w:r>
          </w:p>
        </w:tc>
        <w:tc>
          <w:tcPr>
            <w:tcW w:w="2261"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各承建单位</w:t>
            </w:r>
          </w:p>
        </w:tc>
        <w:tc>
          <w:tcPr>
            <w:tcW w:w="1412"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p>
        </w:tc>
        <w:tc>
          <w:tcPr>
            <w:tcW w:w="1660"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p>
        </w:tc>
      </w:tr>
      <w:tr>
        <w:tblPrEx>
          <w:tblCellMar>
            <w:top w:w="0" w:type="dxa"/>
            <w:left w:w="0" w:type="dxa"/>
            <w:bottom w:w="0" w:type="dxa"/>
            <w:right w:w="0" w:type="dxa"/>
          </w:tblCellMar>
        </w:tblPrEx>
        <w:trPr>
          <w:trHeight w:val="454" w:hRule="atLeast"/>
        </w:trPr>
        <w:tc>
          <w:tcPr>
            <w:tcW w:w="985" w:type="dxa"/>
            <w:vMerge w:val="continue"/>
            <w:tcBorders>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p>
        </w:tc>
        <w:tc>
          <w:tcPr>
            <w:tcW w:w="780"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3</w:t>
            </w:r>
          </w:p>
        </w:tc>
        <w:tc>
          <w:tcPr>
            <w:tcW w:w="2722"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重难点施工模拟优化</w:t>
            </w:r>
          </w:p>
        </w:tc>
        <w:tc>
          <w:tcPr>
            <w:tcW w:w="2261"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各承建单位</w:t>
            </w:r>
          </w:p>
        </w:tc>
        <w:tc>
          <w:tcPr>
            <w:tcW w:w="1412"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p>
        </w:tc>
        <w:tc>
          <w:tcPr>
            <w:tcW w:w="1660"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p>
        </w:tc>
      </w:tr>
      <w:tr>
        <w:tblPrEx>
          <w:tblCellMar>
            <w:top w:w="0" w:type="dxa"/>
            <w:left w:w="0" w:type="dxa"/>
            <w:bottom w:w="0" w:type="dxa"/>
            <w:right w:w="0" w:type="dxa"/>
          </w:tblCellMar>
        </w:tblPrEx>
        <w:trPr>
          <w:trHeight w:val="454" w:hRule="atLeast"/>
        </w:trPr>
        <w:tc>
          <w:tcPr>
            <w:tcW w:w="985" w:type="dxa"/>
            <w:vMerge w:val="restart"/>
            <w:tcBorders>
              <w:top w:val="single" w:color="000000" w:sz="4" w:space="0"/>
              <w:left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BIM</w:t>
            </w:r>
          </w:p>
          <w:p>
            <w:pPr>
              <w:spacing w:before="120" w:after="120"/>
              <w:ind w:right="4" w:firstLine="360"/>
              <w:jc w:val="center"/>
              <w:rPr>
                <w:rFonts w:cs="宋体"/>
                <w:color w:val="auto"/>
                <w:sz w:val="18"/>
                <w:szCs w:val="18"/>
                <w:lang w:eastAsia="en-US"/>
              </w:rPr>
            </w:pPr>
            <w:r>
              <w:rPr>
                <w:rFonts w:cs="宋体"/>
                <w:color w:val="auto"/>
                <w:sz w:val="18"/>
                <w:szCs w:val="18"/>
                <w:lang w:eastAsia="en-US"/>
              </w:rPr>
              <w:t>过程管理</w:t>
            </w:r>
          </w:p>
        </w:tc>
        <w:tc>
          <w:tcPr>
            <w:tcW w:w="780"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1</w:t>
            </w:r>
          </w:p>
        </w:tc>
        <w:tc>
          <w:tcPr>
            <w:tcW w:w="2722"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现场变更管理</w:t>
            </w:r>
          </w:p>
        </w:tc>
        <w:tc>
          <w:tcPr>
            <w:tcW w:w="2261"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设计单位与各承建单位</w:t>
            </w:r>
          </w:p>
        </w:tc>
        <w:tc>
          <w:tcPr>
            <w:tcW w:w="1412"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全阶段实施</w:t>
            </w:r>
          </w:p>
        </w:tc>
        <w:tc>
          <w:tcPr>
            <w:tcW w:w="1660"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p>
        </w:tc>
      </w:tr>
      <w:tr>
        <w:tblPrEx>
          <w:tblCellMar>
            <w:top w:w="0" w:type="dxa"/>
            <w:left w:w="0" w:type="dxa"/>
            <w:bottom w:w="0" w:type="dxa"/>
            <w:right w:w="0" w:type="dxa"/>
          </w:tblCellMar>
        </w:tblPrEx>
        <w:trPr>
          <w:trHeight w:val="454" w:hRule="atLeast"/>
        </w:trPr>
        <w:tc>
          <w:tcPr>
            <w:tcW w:w="985" w:type="dxa"/>
            <w:vMerge w:val="continue"/>
            <w:tcBorders>
              <w:left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p>
        </w:tc>
        <w:tc>
          <w:tcPr>
            <w:tcW w:w="780"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2</w:t>
            </w:r>
          </w:p>
        </w:tc>
        <w:tc>
          <w:tcPr>
            <w:tcW w:w="2722"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质量管理</w:t>
            </w:r>
          </w:p>
        </w:tc>
        <w:tc>
          <w:tcPr>
            <w:tcW w:w="2261"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各承建单位</w:t>
            </w:r>
          </w:p>
        </w:tc>
        <w:tc>
          <w:tcPr>
            <w:tcW w:w="1412"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全阶段实施</w:t>
            </w:r>
          </w:p>
        </w:tc>
        <w:tc>
          <w:tcPr>
            <w:tcW w:w="1660"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p>
        </w:tc>
      </w:tr>
      <w:tr>
        <w:tblPrEx>
          <w:tblCellMar>
            <w:top w:w="0" w:type="dxa"/>
            <w:left w:w="0" w:type="dxa"/>
            <w:bottom w:w="0" w:type="dxa"/>
            <w:right w:w="0" w:type="dxa"/>
          </w:tblCellMar>
        </w:tblPrEx>
        <w:trPr>
          <w:trHeight w:val="454" w:hRule="atLeast"/>
        </w:trPr>
        <w:tc>
          <w:tcPr>
            <w:tcW w:w="985" w:type="dxa"/>
            <w:vMerge w:val="continue"/>
            <w:tcBorders>
              <w:left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p>
        </w:tc>
        <w:tc>
          <w:tcPr>
            <w:tcW w:w="780"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3</w:t>
            </w:r>
          </w:p>
        </w:tc>
        <w:tc>
          <w:tcPr>
            <w:tcW w:w="2722"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过程管理</w:t>
            </w:r>
          </w:p>
        </w:tc>
        <w:tc>
          <w:tcPr>
            <w:tcW w:w="2261"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各承建单位</w:t>
            </w:r>
          </w:p>
        </w:tc>
        <w:tc>
          <w:tcPr>
            <w:tcW w:w="1412"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全阶段实施</w:t>
            </w:r>
          </w:p>
        </w:tc>
        <w:tc>
          <w:tcPr>
            <w:tcW w:w="1660"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p>
        </w:tc>
      </w:tr>
      <w:tr>
        <w:tblPrEx>
          <w:tblCellMar>
            <w:top w:w="0" w:type="dxa"/>
            <w:left w:w="0" w:type="dxa"/>
            <w:bottom w:w="0" w:type="dxa"/>
            <w:right w:w="0" w:type="dxa"/>
          </w:tblCellMar>
        </w:tblPrEx>
        <w:trPr>
          <w:trHeight w:val="454" w:hRule="atLeast"/>
        </w:trPr>
        <w:tc>
          <w:tcPr>
            <w:tcW w:w="985" w:type="dxa"/>
            <w:vMerge w:val="continue"/>
            <w:tcBorders>
              <w:left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p>
        </w:tc>
        <w:tc>
          <w:tcPr>
            <w:tcW w:w="780"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4</w:t>
            </w:r>
          </w:p>
        </w:tc>
        <w:tc>
          <w:tcPr>
            <w:tcW w:w="2722"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安全管理</w:t>
            </w:r>
          </w:p>
        </w:tc>
        <w:tc>
          <w:tcPr>
            <w:tcW w:w="2261"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各承建单位</w:t>
            </w:r>
          </w:p>
        </w:tc>
        <w:tc>
          <w:tcPr>
            <w:tcW w:w="1412"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全阶段实施</w:t>
            </w:r>
          </w:p>
        </w:tc>
        <w:tc>
          <w:tcPr>
            <w:tcW w:w="1660"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p>
        </w:tc>
      </w:tr>
      <w:tr>
        <w:tblPrEx>
          <w:tblCellMar>
            <w:top w:w="0" w:type="dxa"/>
            <w:left w:w="0" w:type="dxa"/>
            <w:bottom w:w="0" w:type="dxa"/>
            <w:right w:w="0" w:type="dxa"/>
          </w:tblCellMar>
        </w:tblPrEx>
        <w:trPr>
          <w:trHeight w:val="454" w:hRule="atLeast"/>
        </w:trPr>
        <w:tc>
          <w:tcPr>
            <w:tcW w:w="985" w:type="dxa"/>
            <w:vMerge w:val="continue"/>
            <w:tcBorders>
              <w:left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p>
        </w:tc>
        <w:tc>
          <w:tcPr>
            <w:tcW w:w="780"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5</w:t>
            </w:r>
          </w:p>
        </w:tc>
        <w:tc>
          <w:tcPr>
            <w:tcW w:w="2722"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信息管理</w:t>
            </w:r>
          </w:p>
        </w:tc>
        <w:tc>
          <w:tcPr>
            <w:tcW w:w="2261"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各承建单位</w:t>
            </w:r>
          </w:p>
        </w:tc>
        <w:tc>
          <w:tcPr>
            <w:tcW w:w="1412"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全阶段实施</w:t>
            </w:r>
          </w:p>
        </w:tc>
        <w:tc>
          <w:tcPr>
            <w:tcW w:w="1660"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p>
        </w:tc>
      </w:tr>
      <w:tr>
        <w:tblPrEx>
          <w:tblCellMar>
            <w:top w:w="0" w:type="dxa"/>
            <w:left w:w="0" w:type="dxa"/>
            <w:bottom w:w="0" w:type="dxa"/>
            <w:right w:w="0" w:type="dxa"/>
          </w:tblCellMar>
        </w:tblPrEx>
        <w:trPr>
          <w:trHeight w:val="454" w:hRule="atLeast"/>
        </w:trPr>
        <w:tc>
          <w:tcPr>
            <w:tcW w:w="985" w:type="dxa"/>
            <w:vMerge w:val="continue"/>
            <w:tcBorders>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p>
        </w:tc>
        <w:tc>
          <w:tcPr>
            <w:tcW w:w="780"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6</w:t>
            </w:r>
          </w:p>
        </w:tc>
        <w:tc>
          <w:tcPr>
            <w:tcW w:w="2722"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造价管理</w:t>
            </w:r>
          </w:p>
        </w:tc>
        <w:tc>
          <w:tcPr>
            <w:tcW w:w="2261"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各承建单位与造价咨询单位</w:t>
            </w:r>
          </w:p>
        </w:tc>
        <w:tc>
          <w:tcPr>
            <w:tcW w:w="1412"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根据节点实施</w:t>
            </w:r>
          </w:p>
        </w:tc>
        <w:tc>
          <w:tcPr>
            <w:tcW w:w="1660"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p>
        </w:tc>
      </w:tr>
      <w:tr>
        <w:tblPrEx>
          <w:tblCellMar>
            <w:top w:w="0" w:type="dxa"/>
            <w:left w:w="0" w:type="dxa"/>
            <w:bottom w:w="0" w:type="dxa"/>
            <w:right w:w="0" w:type="dxa"/>
          </w:tblCellMar>
        </w:tblPrEx>
        <w:trPr>
          <w:trHeight w:val="454" w:hRule="atLeast"/>
        </w:trPr>
        <w:tc>
          <w:tcPr>
            <w:tcW w:w="985" w:type="dxa"/>
            <w:vMerge w:val="restart"/>
            <w:tcBorders>
              <w:top w:val="single" w:color="000000" w:sz="4" w:space="0"/>
              <w:left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竣工</w:t>
            </w:r>
          </w:p>
          <w:p>
            <w:pPr>
              <w:spacing w:before="120" w:after="120"/>
              <w:ind w:right="4" w:firstLine="360"/>
              <w:jc w:val="center"/>
              <w:rPr>
                <w:rFonts w:cs="宋体"/>
                <w:color w:val="auto"/>
                <w:sz w:val="18"/>
                <w:szCs w:val="18"/>
                <w:lang w:eastAsia="en-US"/>
              </w:rPr>
            </w:pPr>
            <w:r>
              <w:rPr>
                <w:rFonts w:cs="宋体"/>
                <w:color w:val="auto"/>
                <w:sz w:val="18"/>
                <w:szCs w:val="18"/>
                <w:lang w:eastAsia="en-US"/>
              </w:rPr>
              <w:t>模型管理</w:t>
            </w:r>
          </w:p>
        </w:tc>
        <w:tc>
          <w:tcPr>
            <w:tcW w:w="780" w:type="dxa"/>
            <w:tcBorders>
              <w:top w:val="single" w:color="000000" w:sz="4" w:space="0"/>
              <w:left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1</w:t>
            </w:r>
          </w:p>
        </w:tc>
        <w:tc>
          <w:tcPr>
            <w:tcW w:w="2722" w:type="dxa"/>
            <w:tcBorders>
              <w:top w:val="single" w:color="000000" w:sz="4" w:space="0"/>
              <w:left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竣工模型验收</w:t>
            </w:r>
          </w:p>
        </w:tc>
        <w:tc>
          <w:tcPr>
            <w:tcW w:w="2261" w:type="dxa"/>
            <w:tcBorders>
              <w:top w:val="single" w:color="000000" w:sz="4" w:space="0"/>
              <w:left w:val="single" w:color="000000" w:sz="4" w:space="0"/>
              <w:right w:val="single" w:color="000000"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BIM总协调与各承建</w:t>
            </w:r>
          </w:p>
          <w:p>
            <w:pPr>
              <w:spacing w:before="120" w:after="120"/>
              <w:ind w:right="4" w:firstLine="360"/>
              <w:jc w:val="center"/>
              <w:rPr>
                <w:rFonts w:cs="宋体"/>
                <w:color w:val="auto"/>
                <w:sz w:val="18"/>
                <w:szCs w:val="18"/>
              </w:rPr>
            </w:pPr>
            <w:r>
              <w:rPr>
                <w:rFonts w:cs="宋体"/>
                <w:color w:val="auto"/>
                <w:sz w:val="18"/>
                <w:szCs w:val="18"/>
              </w:rPr>
              <w:t>单位</w:t>
            </w:r>
          </w:p>
        </w:tc>
        <w:tc>
          <w:tcPr>
            <w:tcW w:w="1412" w:type="dxa"/>
            <w:tcBorders>
              <w:top w:val="single" w:color="000000" w:sz="4" w:space="0"/>
              <w:left w:val="single" w:color="000000" w:sz="4" w:space="0"/>
              <w:right w:val="single" w:color="000000" w:sz="4" w:space="0"/>
            </w:tcBorders>
            <w:noWrap/>
            <w:vAlign w:val="center"/>
          </w:tcPr>
          <w:p>
            <w:pPr>
              <w:spacing w:before="120" w:after="120"/>
              <w:ind w:right="4" w:firstLine="360"/>
              <w:jc w:val="center"/>
              <w:rPr>
                <w:rFonts w:cs="宋体"/>
                <w:color w:val="auto"/>
                <w:sz w:val="18"/>
                <w:szCs w:val="18"/>
              </w:rPr>
            </w:pPr>
          </w:p>
        </w:tc>
        <w:tc>
          <w:tcPr>
            <w:tcW w:w="1660" w:type="dxa"/>
            <w:tcBorders>
              <w:top w:val="single" w:color="000000" w:sz="4" w:space="0"/>
              <w:left w:val="single" w:color="000000" w:sz="4" w:space="0"/>
              <w:right w:val="single" w:color="000000" w:sz="4" w:space="0"/>
            </w:tcBorders>
            <w:noWrap/>
            <w:vAlign w:val="center"/>
          </w:tcPr>
          <w:p>
            <w:pPr>
              <w:spacing w:before="120" w:after="120"/>
              <w:ind w:right="4" w:firstLine="360"/>
              <w:jc w:val="center"/>
              <w:rPr>
                <w:rFonts w:cs="宋体"/>
                <w:color w:val="auto"/>
                <w:sz w:val="18"/>
                <w:szCs w:val="18"/>
              </w:rPr>
            </w:pPr>
          </w:p>
        </w:tc>
      </w:tr>
      <w:tr>
        <w:tblPrEx>
          <w:tblCellMar>
            <w:top w:w="0" w:type="dxa"/>
            <w:left w:w="0" w:type="dxa"/>
            <w:bottom w:w="0" w:type="dxa"/>
            <w:right w:w="0" w:type="dxa"/>
          </w:tblCellMar>
        </w:tblPrEx>
        <w:trPr>
          <w:trHeight w:val="454" w:hRule="atLeast"/>
        </w:trPr>
        <w:tc>
          <w:tcPr>
            <w:tcW w:w="985" w:type="dxa"/>
            <w:vMerge w:val="continue"/>
            <w:tcBorders>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rPr>
            </w:pPr>
          </w:p>
        </w:tc>
        <w:tc>
          <w:tcPr>
            <w:tcW w:w="780"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2</w:t>
            </w:r>
          </w:p>
        </w:tc>
        <w:tc>
          <w:tcPr>
            <w:tcW w:w="2722"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竣工模型成果交付</w:t>
            </w:r>
          </w:p>
        </w:tc>
        <w:tc>
          <w:tcPr>
            <w:tcW w:w="2261"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rPr>
            </w:pPr>
            <w:r>
              <w:rPr>
                <w:rFonts w:cs="宋体"/>
                <w:color w:val="auto"/>
                <w:sz w:val="18"/>
                <w:szCs w:val="18"/>
              </w:rPr>
              <w:t>BIM总协调与代建局</w:t>
            </w:r>
            <w:r>
              <w:rPr>
                <w:rFonts w:hint="eastAsia" w:cs="宋体"/>
                <w:color w:val="auto"/>
                <w:sz w:val="18"/>
                <w:szCs w:val="18"/>
              </w:rPr>
              <w:t>项目建设管理部</w:t>
            </w:r>
          </w:p>
        </w:tc>
        <w:tc>
          <w:tcPr>
            <w:tcW w:w="1412"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rPr>
            </w:pPr>
          </w:p>
        </w:tc>
        <w:tc>
          <w:tcPr>
            <w:tcW w:w="1660" w:type="dxa"/>
            <w:tcBorders>
              <w:top w:val="single" w:color="000000" w:sz="4" w:space="0"/>
              <w:left w:val="single" w:color="000000" w:sz="4" w:space="0"/>
              <w:bottom w:val="single" w:color="000000" w:sz="4" w:space="0"/>
              <w:right w:val="single" w:color="000000" w:sz="4" w:space="0"/>
            </w:tcBorders>
            <w:noWrap/>
            <w:vAlign w:val="center"/>
          </w:tcPr>
          <w:p>
            <w:pPr>
              <w:spacing w:before="120" w:after="120"/>
              <w:ind w:right="4" w:firstLine="360"/>
              <w:jc w:val="center"/>
              <w:rPr>
                <w:rFonts w:cs="宋体"/>
                <w:color w:val="auto"/>
                <w:sz w:val="18"/>
                <w:szCs w:val="18"/>
              </w:rPr>
            </w:pPr>
          </w:p>
        </w:tc>
      </w:tr>
    </w:tbl>
    <w:p>
      <w:pPr>
        <w:pStyle w:val="585"/>
        <w:numPr>
          <w:ilvl w:val="0"/>
          <w:numId w:val="0"/>
        </w:numPr>
        <w:spacing w:before="120" w:after="120" w:line="360" w:lineRule="auto"/>
        <w:outlineLvl w:val="1"/>
        <w:rPr>
          <w:rFonts w:ascii="Times New Roman" w:hAnsi="Times New Roman" w:eastAsia="黑体"/>
          <w:b w:val="0"/>
          <w:bCs/>
          <w:color w:val="auto"/>
          <w:sz w:val="24"/>
          <w:szCs w:val="24"/>
        </w:rPr>
        <w:sectPr>
          <w:pgSz w:w="11910" w:h="16840"/>
          <w:pgMar w:top="1040" w:right="1160" w:bottom="1160" w:left="920" w:header="0" w:footer="953" w:gutter="0"/>
          <w:cols w:space="720" w:num="1"/>
        </w:sectPr>
      </w:pPr>
    </w:p>
    <w:p>
      <w:pPr>
        <w:pStyle w:val="585"/>
        <w:numPr>
          <w:ilvl w:val="0"/>
          <w:numId w:val="0"/>
        </w:numPr>
        <w:spacing w:before="120" w:after="120" w:line="360" w:lineRule="auto"/>
        <w:outlineLvl w:val="1"/>
        <w:rPr>
          <w:rFonts w:ascii="Times New Roman" w:hAnsi="Times New Roman" w:eastAsia="黑体"/>
          <w:b w:val="0"/>
          <w:bCs/>
          <w:color w:val="auto"/>
          <w:sz w:val="24"/>
          <w:szCs w:val="24"/>
        </w:rPr>
      </w:pPr>
      <w:bookmarkStart w:id="936" w:name="_Toc62460216"/>
      <w:bookmarkStart w:id="937" w:name="_Toc5846"/>
      <w:bookmarkStart w:id="938" w:name="_Toc19859"/>
      <w:bookmarkStart w:id="939" w:name="_Toc3687"/>
      <w:bookmarkStart w:id="940" w:name="_Toc20303"/>
      <w:r>
        <w:rPr>
          <w:rFonts w:ascii="Times New Roman" w:hAnsi="Times New Roman" w:eastAsia="黑体"/>
          <w:b w:val="0"/>
          <w:bCs/>
          <w:color w:val="auto"/>
          <w:sz w:val="24"/>
          <w:szCs w:val="24"/>
        </w:rPr>
        <w:t>附表7  BIM现场协调管理</w:t>
      </w:r>
      <w:bookmarkEnd w:id="936"/>
      <w:bookmarkEnd w:id="937"/>
      <w:bookmarkEnd w:id="938"/>
      <w:bookmarkEnd w:id="939"/>
      <w:bookmarkEnd w:id="940"/>
    </w:p>
    <w:tbl>
      <w:tblPr>
        <w:tblStyle w:val="55"/>
        <w:tblW w:w="9606" w:type="dxa"/>
        <w:tblInd w:w="1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59"/>
        <w:gridCol w:w="1559"/>
        <w:gridCol w:w="70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59" w:type="dxa"/>
            <w:noWrap/>
          </w:tcPr>
          <w:p>
            <w:pPr>
              <w:spacing w:before="120" w:after="120"/>
              <w:ind w:right="4" w:firstLine="360"/>
              <w:jc w:val="center"/>
              <w:rPr>
                <w:rFonts w:cs="宋体"/>
                <w:color w:val="auto"/>
                <w:sz w:val="18"/>
                <w:szCs w:val="18"/>
                <w:lang w:eastAsia="en-US"/>
              </w:rPr>
            </w:pPr>
            <w:r>
              <w:rPr>
                <w:rFonts w:cs="宋体"/>
                <w:color w:val="auto"/>
                <w:sz w:val="18"/>
                <w:szCs w:val="18"/>
                <w:lang w:eastAsia="en-US"/>
              </w:rPr>
              <w:t>序号</w:t>
            </w:r>
          </w:p>
        </w:tc>
        <w:tc>
          <w:tcPr>
            <w:tcW w:w="1559" w:type="dxa"/>
            <w:noWrap/>
          </w:tcPr>
          <w:p>
            <w:pPr>
              <w:spacing w:before="120" w:after="120"/>
              <w:ind w:right="4" w:firstLine="360"/>
              <w:jc w:val="center"/>
              <w:rPr>
                <w:rFonts w:cs="宋体"/>
                <w:color w:val="auto"/>
                <w:sz w:val="18"/>
                <w:szCs w:val="18"/>
                <w:lang w:eastAsia="en-US"/>
              </w:rPr>
            </w:pPr>
            <w:r>
              <w:rPr>
                <w:rFonts w:cs="宋体"/>
                <w:color w:val="auto"/>
                <w:sz w:val="18"/>
                <w:szCs w:val="18"/>
                <w:lang w:eastAsia="en-US"/>
              </w:rPr>
              <w:t>管理要点</w:t>
            </w:r>
          </w:p>
        </w:tc>
        <w:tc>
          <w:tcPr>
            <w:tcW w:w="7088" w:type="dxa"/>
            <w:noWrap/>
          </w:tcPr>
          <w:p>
            <w:pPr>
              <w:pStyle w:val="480"/>
              <w:spacing w:before="120" w:after="120"/>
              <w:ind w:right="1"/>
              <w:jc w:val="center"/>
              <w:rPr>
                <w:color w:val="auto"/>
                <w:sz w:val="18"/>
                <w:szCs w:val="18"/>
              </w:rPr>
            </w:pPr>
            <w:r>
              <w:rPr>
                <w:color w:val="auto"/>
                <w:sz w:val="18"/>
                <w:szCs w:val="18"/>
              </w:rPr>
              <w:t>管理内容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59" w:type="dxa"/>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1</w:t>
            </w:r>
          </w:p>
        </w:tc>
        <w:tc>
          <w:tcPr>
            <w:tcW w:w="1559" w:type="dxa"/>
            <w:noWrap/>
            <w:vAlign w:val="center"/>
          </w:tcPr>
          <w:p>
            <w:pPr>
              <w:pStyle w:val="480"/>
              <w:spacing w:before="120" w:after="120"/>
              <w:ind w:left="143"/>
              <w:jc w:val="center"/>
              <w:rPr>
                <w:color w:val="auto"/>
                <w:sz w:val="18"/>
                <w:szCs w:val="18"/>
                <w:lang w:eastAsia="zh-CN"/>
              </w:rPr>
            </w:pPr>
            <w:r>
              <w:rPr>
                <w:color w:val="auto"/>
                <w:sz w:val="18"/>
                <w:szCs w:val="18"/>
                <w:lang w:eastAsia="zh-CN"/>
              </w:rPr>
              <w:t>办公与生活临时设施协调</w:t>
            </w:r>
          </w:p>
        </w:tc>
        <w:tc>
          <w:tcPr>
            <w:tcW w:w="7088" w:type="dxa"/>
            <w:noWrap/>
            <w:vAlign w:val="center"/>
          </w:tcPr>
          <w:p>
            <w:pPr>
              <w:pStyle w:val="480"/>
              <w:spacing w:before="120" w:after="120"/>
              <w:ind w:left="104"/>
              <w:jc w:val="both"/>
              <w:rPr>
                <w:color w:val="auto"/>
                <w:sz w:val="18"/>
                <w:szCs w:val="18"/>
                <w:lang w:eastAsia="zh-CN"/>
              </w:rPr>
            </w:pPr>
            <w:r>
              <w:rPr>
                <w:color w:val="auto"/>
                <w:sz w:val="18"/>
                <w:szCs w:val="18"/>
                <w:lang w:eastAsia="zh-CN"/>
              </w:rPr>
              <w:t>1)为满足办公与生活临时设施布置以及调整优化便捷准确的要求，前期需完善常用的办公与生活临时设施模型内容库。</w:t>
            </w:r>
          </w:p>
          <w:p>
            <w:pPr>
              <w:pStyle w:val="480"/>
              <w:spacing w:before="120" w:after="120"/>
              <w:ind w:left="104"/>
              <w:jc w:val="both"/>
              <w:rPr>
                <w:color w:val="auto"/>
                <w:sz w:val="18"/>
                <w:szCs w:val="18"/>
                <w:lang w:eastAsia="zh-CN"/>
              </w:rPr>
            </w:pPr>
            <w:r>
              <w:rPr>
                <w:color w:val="auto"/>
                <w:sz w:val="18"/>
                <w:szCs w:val="18"/>
                <w:lang w:eastAsia="zh-CN"/>
              </w:rPr>
              <w:t>2)先依据现场场地特点，利用BIM模型建立场地环境模型；然后依据项目规模以及相关需求，对办公区和生活区进行初步规划，利用已建模型内容快速完成布置模型。当内容库中缺少所需临时建筑模型内容时，可自行建立，并将其补充入原模型内容库中备用。</w:t>
            </w:r>
          </w:p>
          <w:p>
            <w:pPr>
              <w:pStyle w:val="480"/>
              <w:spacing w:before="120" w:after="120"/>
              <w:ind w:left="104"/>
              <w:jc w:val="both"/>
              <w:rPr>
                <w:color w:val="auto"/>
                <w:sz w:val="18"/>
                <w:szCs w:val="18"/>
                <w:lang w:eastAsia="zh-CN"/>
              </w:rPr>
            </w:pPr>
            <w:r>
              <w:rPr>
                <w:color w:val="auto"/>
                <w:sz w:val="18"/>
                <w:szCs w:val="18"/>
                <w:lang w:eastAsia="zh-CN"/>
              </w:rPr>
              <w:t>3)通过建好的布置模型，对布置方案进行评估比对，选出最优方案。</w:t>
            </w:r>
          </w:p>
          <w:p>
            <w:pPr>
              <w:pStyle w:val="480"/>
              <w:spacing w:before="120" w:after="120"/>
              <w:ind w:left="104"/>
              <w:jc w:val="both"/>
              <w:rPr>
                <w:color w:val="auto"/>
                <w:sz w:val="18"/>
                <w:szCs w:val="18"/>
                <w:lang w:eastAsia="zh-CN"/>
              </w:rPr>
            </w:pPr>
            <w:r>
              <w:rPr>
                <w:color w:val="auto"/>
                <w:sz w:val="18"/>
                <w:szCs w:val="18"/>
                <w:lang w:eastAsia="zh-CN"/>
              </w:rPr>
              <w:t>4)为了快捷地对办公及生活区进行统筹管理，安排专人对于布置模型中的临时设施采用不同的颜色进行区分；协调部可随时对办公与生活临时设施使用情况进行查询，快速</w:t>
            </w:r>
            <w:r>
              <w:rPr>
                <w:rFonts w:hint="eastAsia"/>
                <w:color w:val="auto"/>
                <w:sz w:val="18"/>
                <w:szCs w:val="18"/>
                <w:lang w:eastAsia="zh-CN"/>
              </w:rPr>
              <w:t>做出</w:t>
            </w:r>
            <w:r>
              <w:rPr>
                <w:color w:val="auto"/>
                <w:sz w:val="18"/>
                <w:szCs w:val="18"/>
                <w:lang w:eastAsia="zh-CN"/>
              </w:rPr>
              <w:t>决策。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59" w:type="dxa"/>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2</w:t>
            </w:r>
          </w:p>
        </w:tc>
        <w:tc>
          <w:tcPr>
            <w:tcW w:w="1559" w:type="dxa"/>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施工平面协调</w:t>
            </w:r>
          </w:p>
        </w:tc>
        <w:tc>
          <w:tcPr>
            <w:tcW w:w="7088" w:type="dxa"/>
            <w:noWrap/>
            <w:vAlign w:val="center"/>
          </w:tcPr>
          <w:p>
            <w:pPr>
              <w:spacing w:before="120" w:after="120"/>
              <w:ind w:right="4" w:firstLine="360"/>
              <w:rPr>
                <w:rFonts w:cs="宋体"/>
                <w:color w:val="auto"/>
                <w:sz w:val="18"/>
                <w:szCs w:val="18"/>
              </w:rPr>
            </w:pPr>
            <w:r>
              <w:rPr>
                <w:rFonts w:cs="宋体"/>
                <w:color w:val="auto"/>
                <w:sz w:val="18"/>
                <w:szCs w:val="18"/>
              </w:rPr>
              <w:t>1)为满足现场施工平面布置模拟便捷准确的要求，前期需完善常用的施工设备及施工现场临时设施模型内容库。</w:t>
            </w:r>
          </w:p>
          <w:p>
            <w:pPr>
              <w:spacing w:before="120" w:after="120"/>
              <w:ind w:right="4" w:firstLine="360"/>
              <w:rPr>
                <w:rFonts w:cs="宋体"/>
                <w:color w:val="auto"/>
                <w:sz w:val="18"/>
                <w:szCs w:val="18"/>
              </w:rPr>
            </w:pPr>
            <w:r>
              <w:rPr>
                <w:rFonts w:cs="宋体"/>
                <w:color w:val="auto"/>
                <w:sz w:val="18"/>
                <w:szCs w:val="18"/>
              </w:rPr>
              <w:t>2)利用BIM软件，建立不同施工阶段的施工现场模型，模型应包括：土建结构、钢结构、施工道路、周围主要建筑外轮廓模型等。</w:t>
            </w:r>
          </w:p>
          <w:p>
            <w:pPr>
              <w:spacing w:before="120" w:after="120"/>
              <w:ind w:right="4" w:firstLine="360"/>
              <w:rPr>
                <w:rFonts w:cs="宋体"/>
                <w:color w:val="auto"/>
                <w:sz w:val="18"/>
                <w:szCs w:val="18"/>
              </w:rPr>
            </w:pPr>
            <w:r>
              <w:rPr>
                <w:rFonts w:cs="宋体"/>
                <w:color w:val="auto"/>
                <w:sz w:val="18"/>
                <w:szCs w:val="18"/>
              </w:rPr>
              <w:t>3)通过BIM软件统计出各阶段的相关工程量，即利用BIM数据库功能对项目钢筋用量、混凝土量、钢结构构件量进行统计，从而</w:t>
            </w:r>
            <w:r>
              <w:rPr>
                <w:rFonts w:hint="eastAsia" w:cs="宋体"/>
                <w:color w:val="auto"/>
                <w:sz w:val="18"/>
                <w:szCs w:val="18"/>
              </w:rPr>
              <w:t>做出</w:t>
            </w:r>
            <w:r>
              <w:rPr>
                <w:rFonts w:cs="宋体"/>
                <w:color w:val="auto"/>
                <w:sz w:val="18"/>
                <w:szCs w:val="18"/>
              </w:rPr>
              <w:t>现场施工材料堆场的初步规划。</w:t>
            </w:r>
          </w:p>
          <w:p>
            <w:pPr>
              <w:spacing w:before="120" w:after="120"/>
              <w:ind w:right="4" w:firstLine="360"/>
              <w:rPr>
                <w:rFonts w:cs="宋体"/>
                <w:color w:val="auto"/>
                <w:sz w:val="18"/>
                <w:szCs w:val="18"/>
              </w:rPr>
            </w:pPr>
            <w:r>
              <w:rPr>
                <w:rFonts w:cs="宋体"/>
                <w:color w:val="auto"/>
                <w:sz w:val="18"/>
                <w:szCs w:val="18"/>
              </w:rPr>
              <w:t>4)在已建立的现场环境中，放置相关堆场及施工设备，通过BIM软件进行施工模拟、对比优化，从而选定设备型号及确定位置和确定现场平面布置方案。</w:t>
            </w:r>
          </w:p>
          <w:p>
            <w:pPr>
              <w:spacing w:before="120" w:after="120"/>
              <w:ind w:right="4" w:firstLine="360"/>
              <w:rPr>
                <w:rFonts w:cs="宋体"/>
                <w:color w:val="auto"/>
                <w:sz w:val="18"/>
                <w:szCs w:val="18"/>
              </w:rPr>
            </w:pPr>
            <w:r>
              <w:rPr>
                <w:rFonts w:cs="宋体"/>
                <w:color w:val="auto"/>
                <w:sz w:val="18"/>
                <w:szCs w:val="18"/>
              </w:rPr>
              <w:t>5)当分包方有大宗物资及大型机械进场、场地超期使用、可能影响结构楼板等结构安全的平面占用、运输路线等申请要求时，计划协调部可依据已布置方案模型进行快速方案模拟比对，从而制定最合理的方案。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1" w:hRule="atLeast"/>
        </w:trPr>
        <w:tc>
          <w:tcPr>
            <w:tcW w:w="959" w:type="dxa"/>
            <w:noWrap/>
            <w:vAlign w:val="center"/>
          </w:tcPr>
          <w:p>
            <w:pPr>
              <w:spacing w:before="120" w:after="120"/>
              <w:ind w:right="4" w:firstLine="360"/>
              <w:jc w:val="center"/>
              <w:rPr>
                <w:rFonts w:cs="宋体"/>
                <w:color w:val="auto"/>
                <w:sz w:val="18"/>
                <w:szCs w:val="18"/>
                <w:lang w:eastAsia="en-US"/>
              </w:rPr>
            </w:pPr>
            <w:r>
              <w:rPr>
                <w:rFonts w:cs="宋体"/>
                <w:color w:val="auto"/>
                <w:sz w:val="18"/>
                <w:szCs w:val="18"/>
                <w:lang w:eastAsia="en-US"/>
              </w:rPr>
              <w:t>3</w:t>
            </w:r>
          </w:p>
        </w:tc>
        <w:tc>
          <w:tcPr>
            <w:tcW w:w="1559" w:type="dxa"/>
            <w:noWrap/>
            <w:vAlign w:val="center"/>
          </w:tcPr>
          <w:p>
            <w:pPr>
              <w:spacing w:before="120" w:after="120"/>
              <w:ind w:right="4" w:firstLine="360"/>
              <w:jc w:val="center"/>
              <w:rPr>
                <w:rFonts w:cs="宋体"/>
                <w:color w:val="auto"/>
                <w:sz w:val="18"/>
                <w:szCs w:val="18"/>
              </w:rPr>
            </w:pPr>
            <w:r>
              <w:rPr>
                <w:rFonts w:cs="宋体"/>
                <w:color w:val="auto"/>
                <w:sz w:val="18"/>
                <w:szCs w:val="18"/>
              </w:rPr>
              <w:t>施工工序与工作面协调</w:t>
            </w:r>
          </w:p>
        </w:tc>
        <w:tc>
          <w:tcPr>
            <w:tcW w:w="7088" w:type="dxa"/>
            <w:noWrap/>
            <w:vAlign w:val="center"/>
          </w:tcPr>
          <w:p>
            <w:pPr>
              <w:spacing w:before="120" w:after="120"/>
              <w:ind w:right="4" w:firstLine="360"/>
              <w:rPr>
                <w:rFonts w:cs="宋体"/>
                <w:color w:val="auto"/>
                <w:sz w:val="18"/>
                <w:szCs w:val="18"/>
              </w:rPr>
            </w:pPr>
            <w:r>
              <w:rPr>
                <w:rFonts w:cs="宋体"/>
                <w:color w:val="auto"/>
                <w:sz w:val="18"/>
                <w:szCs w:val="18"/>
              </w:rPr>
              <w:t>1)基于BIM的工作面划分，施工总承包必须提前向各分包方收集各施工工序的工作面需求，并将收集结果进行整理统计成表格。</w:t>
            </w:r>
          </w:p>
          <w:p>
            <w:pPr>
              <w:spacing w:before="120" w:after="120"/>
              <w:ind w:right="4" w:firstLine="360"/>
              <w:rPr>
                <w:rFonts w:cs="宋体"/>
                <w:color w:val="auto"/>
                <w:sz w:val="18"/>
                <w:szCs w:val="18"/>
              </w:rPr>
            </w:pPr>
            <w:r>
              <w:rPr>
                <w:rFonts w:cs="宋体"/>
                <w:color w:val="auto"/>
                <w:sz w:val="18"/>
                <w:szCs w:val="18"/>
              </w:rPr>
              <w:t>2)根据该表格工序的工作面需求，按照工序的时间顺序，进行施工工作面的布置，完成工作面布置后，通过施工模拟进行工作面的碰撞检查。</w:t>
            </w:r>
          </w:p>
          <w:p>
            <w:pPr>
              <w:spacing w:before="120" w:after="120"/>
              <w:ind w:right="4" w:firstLine="360"/>
              <w:rPr>
                <w:rFonts w:cs="宋体"/>
                <w:color w:val="auto"/>
                <w:sz w:val="18"/>
                <w:szCs w:val="18"/>
              </w:rPr>
            </w:pPr>
            <w:r>
              <w:rPr>
                <w:rFonts w:cs="宋体"/>
                <w:color w:val="auto"/>
                <w:sz w:val="18"/>
                <w:szCs w:val="18"/>
              </w:rPr>
              <w:t>3)若出现工作面间的碰撞，需第一时间通知施工总承包单位，并对各工序时间进行协调，或者对工序进行改进升级，减小工作面甚至重新选择工序，消除工作面之间的碰撞。</w:t>
            </w:r>
          </w:p>
          <w:p>
            <w:pPr>
              <w:spacing w:before="120" w:after="120"/>
              <w:ind w:right="4" w:firstLine="360"/>
              <w:rPr>
                <w:rFonts w:cs="宋体"/>
                <w:color w:val="auto"/>
                <w:sz w:val="18"/>
                <w:szCs w:val="18"/>
              </w:rPr>
            </w:pPr>
            <w:r>
              <w:rPr>
                <w:rFonts w:cs="宋体"/>
                <w:color w:val="auto"/>
                <w:sz w:val="18"/>
                <w:szCs w:val="18"/>
              </w:rPr>
              <w:t>4)施工总承包对优化后的工序进行分析评估，</w:t>
            </w:r>
            <w:r>
              <w:rPr>
                <w:rFonts w:hint="eastAsia" w:cs="宋体"/>
                <w:color w:val="auto"/>
                <w:sz w:val="18"/>
                <w:szCs w:val="18"/>
              </w:rPr>
              <w:t>做出</w:t>
            </w:r>
            <w:r>
              <w:rPr>
                <w:rFonts w:cs="宋体"/>
                <w:color w:val="auto"/>
                <w:sz w:val="18"/>
                <w:szCs w:val="18"/>
              </w:rPr>
              <w:t>决策后通知相关各分包方；同时，对设计优化后的施工工序，还可以利用BIM软件生成模拟动画，给相关人员交底，从而确保现场工作合理有序地进行。</w:t>
            </w:r>
          </w:p>
        </w:tc>
      </w:tr>
    </w:tbl>
    <w:p>
      <w:pPr>
        <w:spacing w:before="120" w:after="120"/>
        <w:ind w:firstLine="522"/>
        <w:rPr>
          <w:rFonts w:cs="宋体"/>
          <w:b/>
          <w:bCs/>
          <w:color w:val="auto"/>
          <w:sz w:val="26"/>
          <w:szCs w:val="26"/>
        </w:rPr>
        <w:sectPr>
          <w:pgSz w:w="11910" w:h="16840"/>
          <w:pgMar w:top="1040" w:right="1160" w:bottom="1160" w:left="920" w:header="0" w:footer="953" w:gutter="0"/>
          <w:cols w:space="720" w:num="1"/>
        </w:sectPr>
      </w:pPr>
    </w:p>
    <w:p>
      <w:pPr>
        <w:pStyle w:val="583"/>
        <w:numPr>
          <w:ilvl w:val="0"/>
          <w:numId w:val="0"/>
        </w:numPr>
        <w:spacing w:before="240" w:after="240"/>
        <w:outlineLvl w:val="0"/>
        <w:rPr>
          <w:color w:val="auto"/>
        </w:rPr>
      </w:pPr>
      <w:bookmarkStart w:id="941" w:name="_Toc31873"/>
      <w:bookmarkStart w:id="942" w:name="_Toc5725"/>
      <w:bookmarkStart w:id="943" w:name="_Toc7921"/>
      <w:bookmarkStart w:id="944" w:name="_Toc5872"/>
      <w:bookmarkStart w:id="945" w:name="_Toc62460217"/>
      <w:r>
        <w:rPr>
          <w:color w:val="auto"/>
        </w:rPr>
        <w:t>附图</w:t>
      </w:r>
      <w:bookmarkEnd w:id="941"/>
      <w:bookmarkEnd w:id="942"/>
      <w:bookmarkEnd w:id="943"/>
      <w:bookmarkEnd w:id="944"/>
      <w:bookmarkEnd w:id="945"/>
    </w:p>
    <w:p>
      <w:pPr>
        <w:pStyle w:val="585"/>
        <w:numPr>
          <w:ilvl w:val="0"/>
          <w:numId w:val="0"/>
        </w:numPr>
        <w:spacing w:before="120" w:after="120" w:line="360" w:lineRule="auto"/>
        <w:outlineLvl w:val="1"/>
        <w:rPr>
          <w:rFonts w:ascii="Times New Roman" w:hAnsi="Times New Roman" w:eastAsia="黑体"/>
          <w:b w:val="0"/>
          <w:bCs/>
          <w:color w:val="auto"/>
          <w:sz w:val="24"/>
          <w:szCs w:val="24"/>
        </w:rPr>
      </w:pPr>
      <w:bookmarkStart w:id="946" w:name="_Toc17143"/>
      <w:bookmarkStart w:id="947" w:name="_Toc27649"/>
      <w:bookmarkStart w:id="948" w:name="_Toc19568"/>
      <w:bookmarkStart w:id="949" w:name="_Toc1112"/>
      <w:bookmarkStart w:id="950" w:name="_Toc62460218"/>
      <w:r>
        <w:rPr>
          <w:rFonts w:hint="eastAsia" w:ascii="Times New Roman" w:hAnsi="Times New Roman" w:eastAsia="黑体"/>
          <w:b w:val="0"/>
          <w:bCs/>
          <w:color w:val="auto"/>
          <w:sz w:val="24"/>
          <w:szCs w:val="24"/>
        </w:rPr>
        <w:t>附</w:t>
      </w:r>
      <w:r>
        <w:rPr>
          <w:rFonts w:ascii="Times New Roman" w:hAnsi="Times New Roman" w:eastAsia="黑体"/>
          <w:b w:val="0"/>
          <w:bCs/>
          <w:color w:val="auto"/>
          <w:sz w:val="24"/>
          <w:szCs w:val="24"/>
        </w:rPr>
        <w:t>图1  代建局BIM项目管理组织结构</w:t>
      </w:r>
      <w:bookmarkEnd w:id="946"/>
      <w:bookmarkEnd w:id="947"/>
      <w:bookmarkEnd w:id="948"/>
      <w:bookmarkEnd w:id="949"/>
      <w:bookmarkEnd w:id="950"/>
    </w:p>
    <w:p>
      <w:pPr>
        <w:spacing w:before="120" w:after="120"/>
        <w:ind w:firstLine="480"/>
        <w:jc w:val="center"/>
        <w:rPr>
          <w:rFonts w:cs="宋体"/>
          <w:color w:val="auto"/>
          <w:sz w:val="20"/>
        </w:rPr>
      </w:pPr>
      <w:r>
        <w:rPr>
          <w:rFonts w:hAnsi="宋体"/>
          <w:color w:val="auto"/>
          <w:sz w:val="24"/>
        </w:rPr>
        <w:drawing>
          <wp:inline distT="0" distB="0" distL="114300" distR="114300">
            <wp:extent cx="6238875" cy="3876675"/>
            <wp:effectExtent l="0" t="0" r="9525" b="952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1"/>
                    <a:stretch>
                      <a:fillRect/>
                    </a:stretch>
                  </pic:blipFill>
                  <pic:spPr>
                    <a:xfrm>
                      <a:off x="0" y="0"/>
                      <a:ext cx="6238875" cy="3876675"/>
                    </a:xfrm>
                    <a:prstGeom prst="rect">
                      <a:avLst/>
                    </a:prstGeom>
                    <a:noFill/>
                    <a:ln>
                      <a:noFill/>
                    </a:ln>
                  </pic:spPr>
                </pic:pic>
              </a:graphicData>
            </a:graphic>
          </wp:inline>
        </w:drawing>
      </w:r>
    </w:p>
    <w:p>
      <w:pPr>
        <w:pStyle w:val="585"/>
        <w:numPr>
          <w:ilvl w:val="0"/>
          <w:numId w:val="0"/>
        </w:numPr>
        <w:spacing w:before="120" w:after="120" w:line="360" w:lineRule="auto"/>
        <w:outlineLvl w:val="1"/>
        <w:rPr>
          <w:rFonts w:ascii="Times New Roman" w:hAnsi="Times New Roman" w:eastAsia="黑体"/>
          <w:b w:val="0"/>
          <w:bCs/>
          <w:color w:val="auto"/>
          <w:sz w:val="24"/>
          <w:szCs w:val="24"/>
        </w:rPr>
      </w:pPr>
      <w:bookmarkStart w:id="951" w:name="_Toc2581"/>
      <w:bookmarkStart w:id="952" w:name="_Toc13998"/>
      <w:bookmarkStart w:id="953" w:name="_Toc62460219"/>
      <w:bookmarkStart w:id="954" w:name="_Toc18249"/>
      <w:bookmarkStart w:id="955" w:name="_Toc11794"/>
      <w:r>
        <w:rPr>
          <w:rFonts w:ascii="Times New Roman" w:hAnsi="Times New Roman" w:eastAsia="黑体"/>
          <w:b w:val="0"/>
          <w:bCs/>
          <w:color w:val="auto"/>
          <w:sz w:val="24"/>
          <w:szCs w:val="24"/>
        </w:rPr>
        <w:t>附图2  代建局内部管理流程</w:t>
      </w:r>
      <w:bookmarkEnd w:id="951"/>
      <w:bookmarkEnd w:id="952"/>
      <w:bookmarkEnd w:id="953"/>
      <w:bookmarkEnd w:id="954"/>
      <w:bookmarkEnd w:id="955"/>
    </w:p>
    <w:p>
      <w:pPr>
        <w:spacing w:before="120" w:after="120"/>
        <w:ind w:firstLine="400"/>
        <w:jc w:val="center"/>
        <w:rPr>
          <w:rFonts w:cs="宋体"/>
          <w:color w:val="auto"/>
          <w:sz w:val="20"/>
        </w:rPr>
      </w:pPr>
      <w:r>
        <w:rPr>
          <w:rFonts w:cs="宋体"/>
          <w:color w:val="auto"/>
          <w:sz w:val="20"/>
        </w:rPr>
        <w:drawing>
          <wp:inline distT="0" distB="0" distL="114300" distR="114300">
            <wp:extent cx="5400675" cy="1524000"/>
            <wp:effectExtent l="0" t="0" r="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2"/>
                    <a:stretch>
                      <a:fillRect/>
                    </a:stretch>
                  </pic:blipFill>
                  <pic:spPr>
                    <a:xfrm>
                      <a:off x="0" y="0"/>
                      <a:ext cx="5400675" cy="1524000"/>
                    </a:xfrm>
                    <a:prstGeom prst="rect">
                      <a:avLst/>
                    </a:prstGeom>
                    <a:noFill/>
                    <a:ln>
                      <a:noFill/>
                    </a:ln>
                  </pic:spPr>
                </pic:pic>
              </a:graphicData>
            </a:graphic>
          </wp:inline>
        </w:drawing>
      </w:r>
    </w:p>
    <w:p>
      <w:pPr>
        <w:spacing w:before="120" w:after="120"/>
        <w:ind w:firstLine="400"/>
        <w:jc w:val="center"/>
        <w:rPr>
          <w:rFonts w:cs="宋体"/>
          <w:color w:val="auto"/>
          <w:sz w:val="20"/>
        </w:rPr>
        <w:sectPr>
          <w:pgSz w:w="11910" w:h="16840"/>
          <w:pgMar w:top="1040" w:right="1160" w:bottom="1160" w:left="920" w:header="0" w:footer="953" w:gutter="0"/>
          <w:cols w:space="720" w:num="1"/>
        </w:sectPr>
      </w:pPr>
    </w:p>
    <w:p>
      <w:pPr>
        <w:pStyle w:val="585"/>
        <w:numPr>
          <w:ilvl w:val="0"/>
          <w:numId w:val="0"/>
        </w:numPr>
        <w:spacing w:before="120" w:after="120" w:line="360" w:lineRule="auto"/>
        <w:outlineLvl w:val="1"/>
        <w:rPr>
          <w:rFonts w:ascii="Times New Roman" w:hAnsi="Times New Roman" w:eastAsia="黑体"/>
          <w:b w:val="0"/>
          <w:bCs/>
          <w:color w:val="auto"/>
          <w:sz w:val="24"/>
          <w:szCs w:val="24"/>
        </w:rPr>
      </w:pPr>
      <w:bookmarkStart w:id="956" w:name="_bookmark51"/>
      <w:bookmarkEnd w:id="956"/>
      <w:bookmarkStart w:id="957" w:name="_Toc6575"/>
      <w:bookmarkStart w:id="958" w:name="_Toc29823"/>
      <w:bookmarkStart w:id="959" w:name="_Toc14556"/>
      <w:bookmarkStart w:id="960" w:name="_Toc1488"/>
      <w:bookmarkStart w:id="961" w:name="_Toc62460220"/>
      <w:r>
        <w:rPr>
          <w:rFonts w:ascii="Times New Roman" w:hAnsi="Times New Roman" w:eastAsia="黑体"/>
          <w:b w:val="0"/>
          <w:bCs/>
          <w:color w:val="auto"/>
          <w:sz w:val="24"/>
          <w:szCs w:val="24"/>
        </w:rPr>
        <w:t>附图3  代建局项目BIM管理流程</w:t>
      </w:r>
      <w:bookmarkEnd w:id="957"/>
      <w:bookmarkEnd w:id="958"/>
      <w:bookmarkEnd w:id="959"/>
      <w:bookmarkEnd w:id="960"/>
      <w:bookmarkEnd w:id="961"/>
    </w:p>
    <w:p>
      <w:pPr>
        <w:pStyle w:val="42"/>
        <w:spacing w:before="120" w:after="120"/>
        <w:ind w:firstLine="420"/>
        <w:jc w:val="center"/>
        <w:rPr>
          <w:color w:val="auto"/>
        </w:rPr>
        <w:sectPr>
          <w:pgSz w:w="16840" w:h="11910" w:orient="landscape"/>
          <w:pgMar w:top="1080" w:right="1140" w:bottom="1160" w:left="1020" w:header="0" w:footer="973" w:gutter="0"/>
          <w:cols w:space="720" w:num="1"/>
        </w:sectPr>
      </w:pPr>
      <w:r>
        <w:rPr>
          <w:color w:val="auto"/>
        </w:rPr>
        <w:drawing>
          <wp:inline distT="0" distB="0" distL="114300" distR="114300">
            <wp:extent cx="8362950" cy="5572125"/>
            <wp:effectExtent l="0" t="0" r="19050" b="15875"/>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13"/>
                    <a:stretch>
                      <a:fillRect/>
                    </a:stretch>
                  </pic:blipFill>
                  <pic:spPr>
                    <a:xfrm>
                      <a:off x="0" y="0"/>
                      <a:ext cx="8362950" cy="5572125"/>
                    </a:xfrm>
                    <a:prstGeom prst="rect">
                      <a:avLst/>
                    </a:prstGeom>
                    <a:noFill/>
                    <a:ln>
                      <a:noFill/>
                    </a:ln>
                  </pic:spPr>
                </pic:pic>
              </a:graphicData>
            </a:graphic>
          </wp:inline>
        </w:drawing>
      </w:r>
    </w:p>
    <w:p>
      <w:pPr>
        <w:pStyle w:val="585"/>
        <w:numPr>
          <w:ilvl w:val="0"/>
          <w:numId w:val="0"/>
        </w:numPr>
        <w:spacing w:before="120" w:after="120" w:line="360" w:lineRule="auto"/>
        <w:outlineLvl w:val="1"/>
        <w:rPr>
          <w:rFonts w:ascii="Times New Roman" w:hAnsi="Times New Roman" w:eastAsia="黑体"/>
          <w:b w:val="0"/>
          <w:bCs/>
          <w:color w:val="auto"/>
          <w:sz w:val="24"/>
          <w:szCs w:val="24"/>
        </w:rPr>
      </w:pPr>
      <w:bookmarkStart w:id="962" w:name="_bookmark52"/>
      <w:bookmarkEnd w:id="962"/>
      <w:bookmarkStart w:id="963" w:name="_Toc20923"/>
      <w:bookmarkStart w:id="964" w:name="_Toc8749"/>
      <w:bookmarkStart w:id="965" w:name="_Toc62460221"/>
      <w:bookmarkStart w:id="966" w:name="_Toc32171"/>
      <w:bookmarkStart w:id="967" w:name="_Toc1424"/>
      <w:r>
        <w:rPr>
          <w:rFonts w:ascii="Times New Roman" w:hAnsi="Times New Roman" w:eastAsia="黑体"/>
          <w:b w:val="0"/>
          <w:bCs/>
          <w:color w:val="auto"/>
          <w:sz w:val="24"/>
          <w:szCs w:val="24"/>
        </w:rPr>
        <w:t>附图4  设计阶段BIM应用流程</w:t>
      </w:r>
      <w:bookmarkEnd w:id="963"/>
      <w:bookmarkEnd w:id="964"/>
      <w:bookmarkEnd w:id="965"/>
      <w:bookmarkEnd w:id="966"/>
      <w:bookmarkEnd w:id="967"/>
    </w:p>
    <w:p>
      <w:pPr>
        <w:spacing w:before="120" w:after="120"/>
        <w:jc w:val="center"/>
        <w:rPr>
          <w:rFonts w:cs="宋体"/>
          <w:color w:val="auto"/>
          <w:sz w:val="20"/>
        </w:rPr>
        <w:sectPr>
          <w:pgSz w:w="16840" w:h="11910" w:orient="landscape"/>
          <w:pgMar w:top="1080" w:right="1400" w:bottom="1160" w:left="1020" w:header="0" w:footer="973" w:gutter="0"/>
          <w:cols w:space="720" w:num="1"/>
        </w:sectPr>
      </w:pPr>
      <w:r>
        <w:rPr>
          <w:color w:val="auto"/>
        </w:rPr>
        <w:drawing>
          <wp:inline distT="0" distB="0" distL="114300" distR="114300">
            <wp:extent cx="9220200" cy="5581650"/>
            <wp:effectExtent l="0" t="0" r="0" b="635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14"/>
                    <a:stretch>
                      <a:fillRect/>
                    </a:stretch>
                  </pic:blipFill>
                  <pic:spPr>
                    <a:xfrm>
                      <a:off x="0" y="0"/>
                      <a:ext cx="9220200" cy="5581650"/>
                    </a:xfrm>
                    <a:prstGeom prst="rect">
                      <a:avLst/>
                    </a:prstGeom>
                    <a:noFill/>
                    <a:ln>
                      <a:noFill/>
                    </a:ln>
                  </pic:spPr>
                </pic:pic>
              </a:graphicData>
            </a:graphic>
          </wp:inline>
        </w:drawing>
      </w:r>
    </w:p>
    <w:p>
      <w:pPr>
        <w:pStyle w:val="585"/>
        <w:numPr>
          <w:ilvl w:val="0"/>
          <w:numId w:val="0"/>
        </w:numPr>
        <w:spacing w:before="120" w:after="120" w:line="360" w:lineRule="auto"/>
        <w:outlineLvl w:val="1"/>
        <w:rPr>
          <w:rFonts w:ascii="Times New Roman" w:hAnsi="Times New Roman" w:eastAsia="黑体"/>
          <w:b w:val="0"/>
          <w:bCs/>
          <w:color w:val="auto"/>
          <w:sz w:val="24"/>
          <w:szCs w:val="24"/>
        </w:rPr>
      </w:pPr>
      <w:bookmarkStart w:id="968" w:name="_bookmark53"/>
      <w:bookmarkEnd w:id="968"/>
      <w:bookmarkStart w:id="969" w:name="_Toc20006"/>
      <w:bookmarkStart w:id="970" w:name="_Toc3447"/>
      <w:bookmarkStart w:id="971" w:name="_Toc62460222"/>
      <w:bookmarkStart w:id="972" w:name="_Toc14960"/>
      <w:bookmarkStart w:id="973" w:name="_Toc17098"/>
      <w:r>
        <w:rPr>
          <w:rFonts w:ascii="Times New Roman" w:hAnsi="Times New Roman" w:eastAsia="黑体"/>
          <w:b w:val="0"/>
          <w:bCs/>
          <w:color w:val="auto"/>
          <w:sz w:val="24"/>
          <w:szCs w:val="24"/>
        </w:rPr>
        <w:t>附图5  方案设计阶段BIM应用流程</w:t>
      </w:r>
      <w:bookmarkEnd w:id="969"/>
      <w:bookmarkEnd w:id="970"/>
      <w:bookmarkEnd w:id="971"/>
      <w:bookmarkEnd w:id="972"/>
      <w:bookmarkEnd w:id="973"/>
    </w:p>
    <w:p>
      <w:pPr>
        <w:spacing w:before="120" w:after="120"/>
        <w:jc w:val="center"/>
        <w:rPr>
          <w:rFonts w:cs="宋体"/>
          <w:color w:val="auto"/>
          <w:sz w:val="20"/>
        </w:rPr>
        <w:sectPr>
          <w:pgSz w:w="16840" w:h="11910" w:orient="landscape"/>
          <w:pgMar w:top="1080" w:right="2420" w:bottom="1160" w:left="2420" w:header="0" w:footer="973" w:gutter="0"/>
          <w:cols w:space="720" w:num="1"/>
        </w:sectPr>
      </w:pPr>
      <w:r>
        <w:rPr>
          <w:color w:val="auto"/>
        </w:rPr>
        <w:drawing>
          <wp:inline distT="0" distB="0" distL="114300" distR="114300">
            <wp:extent cx="4057650" cy="5305425"/>
            <wp:effectExtent l="0" t="0" r="6350" b="3175"/>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15"/>
                    <a:stretch>
                      <a:fillRect/>
                    </a:stretch>
                  </pic:blipFill>
                  <pic:spPr>
                    <a:xfrm>
                      <a:off x="0" y="0"/>
                      <a:ext cx="4057650" cy="5305425"/>
                    </a:xfrm>
                    <a:prstGeom prst="rect">
                      <a:avLst/>
                    </a:prstGeom>
                    <a:noFill/>
                    <a:ln>
                      <a:noFill/>
                    </a:ln>
                  </pic:spPr>
                </pic:pic>
              </a:graphicData>
            </a:graphic>
          </wp:inline>
        </w:drawing>
      </w:r>
    </w:p>
    <w:p>
      <w:pPr>
        <w:pStyle w:val="585"/>
        <w:numPr>
          <w:ilvl w:val="0"/>
          <w:numId w:val="0"/>
        </w:numPr>
        <w:spacing w:before="120" w:after="120" w:line="360" w:lineRule="auto"/>
        <w:outlineLvl w:val="1"/>
        <w:rPr>
          <w:rFonts w:ascii="Times New Roman" w:hAnsi="Times New Roman" w:eastAsia="黑体"/>
          <w:b w:val="0"/>
          <w:bCs/>
          <w:color w:val="auto"/>
          <w:sz w:val="24"/>
          <w:szCs w:val="24"/>
        </w:rPr>
      </w:pPr>
      <w:bookmarkStart w:id="974" w:name="_bookmark54"/>
      <w:bookmarkEnd w:id="974"/>
      <w:bookmarkStart w:id="975" w:name="_Toc18701"/>
      <w:bookmarkStart w:id="976" w:name="_Toc19636"/>
      <w:bookmarkStart w:id="977" w:name="_Toc2309"/>
      <w:bookmarkStart w:id="978" w:name="_Toc28486"/>
      <w:bookmarkStart w:id="979" w:name="_Toc62460223"/>
      <w:r>
        <w:rPr>
          <w:rFonts w:ascii="Times New Roman" w:hAnsi="Times New Roman" w:eastAsia="黑体"/>
          <w:b w:val="0"/>
          <w:bCs/>
          <w:color w:val="auto"/>
          <w:sz w:val="24"/>
          <w:szCs w:val="24"/>
        </w:rPr>
        <w:t>附图6  初步设计阶段BIM应用流程</w:t>
      </w:r>
      <w:bookmarkEnd w:id="975"/>
      <w:bookmarkEnd w:id="976"/>
      <w:bookmarkEnd w:id="977"/>
      <w:bookmarkEnd w:id="978"/>
      <w:bookmarkEnd w:id="979"/>
    </w:p>
    <w:p>
      <w:pPr>
        <w:spacing w:before="120" w:after="120"/>
        <w:jc w:val="center"/>
        <w:rPr>
          <w:rFonts w:cs="宋体"/>
          <w:color w:val="auto"/>
          <w:sz w:val="20"/>
        </w:rPr>
        <w:sectPr>
          <w:pgSz w:w="16840" w:h="11910" w:orient="landscape"/>
          <w:pgMar w:top="1080" w:right="2420" w:bottom="1160" w:left="2420" w:header="0" w:footer="973" w:gutter="0"/>
          <w:cols w:space="720" w:num="1"/>
        </w:sectPr>
      </w:pPr>
      <w:r>
        <w:rPr>
          <w:color w:val="auto"/>
        </w:rPr>
        <w:drawing>
          <wp:inline distT="0" distB="0" distL="114300" distR="114300">
            <wp:extent cx="4219575" cy="5534025"/>
            <wp:effectExtent l="0" t="0" r="22225" b="3175"/>
            <wp:docPr id="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pic:cNvPicPr>
                      <a:picLocks noChangeAspect="1"/>
                    </pic:cNvPicPr>
                  </pic:nvPicPr>
                  <pic:blipFill>
                    <a:blip r:embed="rId16"/>
                    <a:stretch>
                      <a:fillRect/>
                    </a:stretch>
                  </pic:blipFill>
                  <pic:spPr>
                    <a:xfrm>
                      <a:off x="0" y="0"/>
                      <a:ext cx="4219575" cy="5534025"/>
                    </a:xfrm>
                    <a:prstGeom prst="rect">
                      <a:avLst/>
                    </a:prstGeom>
                    <a:noFill/>
                    <a:ln>
                      <a:noFill/>
                    </a:ln>
                  </pic:spPr>
                </pic:pic>
              </a:graphicData>
            </a:graphic>
          </wp:inline>
        </w:drawing>
      </w:r>
    </w:p>
    <w:p>
      <w:pPr>
        <w:pStyle w:val="585"/>
        <w:numPr>
          <w:ilvl w:val="0"/>
          <w:numId w:val="0"/>
        </w:numPr>
        <w:spacing w:before="120" w:after="120" w:line="360" w:lineRule="auto"/>
        <w:outlineLvl w:val="1"/>
        <w:rPr>
          <w:rFonts w:ascii="Times New Roman" w:hAnsi="Times New Roman" w:eastAsia="黑体"/>
          <w:b w:val="0"/>
          <w:bCs/>
          <w:color w:val="auto"/>
          <w:sz w:val="24"/>
          <w:szCs w:val="24"/>
        </w:rPr>
      </w:pPr>
      <w:bookmarkStart w:id="980" w:name="_bookmark55"/>
      <w:bookmarkEnd w:id="980"/>
      <w:bookmarkStart w:id="981" w:name="_Toc62460224"/>
      <w:bookmarkStart w:id="982" w:name="_Toc29675"/>
      <w:bookmarkStart w:id="983" w:name="_Toc5668"/>
      <w:bookmarkStart w:id="984" w:name="_Toc4806"/>
      <w:bookmarkStart w:id="985" w:name="_Toc20125"/>
      <w:r>
        <w:rPr>
          <w:rFonts w:ascii="Times New Roman" w:hAnsi="Times New Roman" w:eastAsia="黑体"/>
          <w:b w:val="0"/>
          <w:bCs/>
          <w:color w:val="auto"/>
          <w:sz w:val="24"/>
          <w:szCs w:val="24"/>
        </w:rPr>
        <w:t>附图7  施工图设计阶段BIM应用流程</w:t>
      </w:r>
      <w:bookmarkEnd w:id="981"/>
      <w:bookmarkEnd w:id="982"/>
      <w:bookmarkEnd w:id="983"/>
      <w:bookmarkEnd w:id="984"/>
      <w:bookmarkEnd w:id="985"/>
    </w:p>
    <w:p>
      <w:pPr>
        <w:spacing w:before="120" w:after="120"/>
        <w:jc w:val="center"/>
        <w:rPr>
          <w:rFonts w:cs="宋体"/>
          <w:color w:val="auto"/>
          <w:sz w:val="20"/>
        </w:rPr>
        <w:sectPr>
          <w:pgSz w:w="16840" w:h="11910" w:orient="landscape"/>
          <w:pgMar w:top="1080" w:right="2420" w:bottom="1160" w:left="2420" w:header="0" w:footer="973" w:gutter="0"/>
          <w:cols w:space="720" w:num="1"/>
        </w:sectPr>
      </w:pPr>
      <w:r>
        <w:rPr>
          <w:color w:val="auto"/>
        </w:rPr>
        <w:drawing>
          <wp:inline distT="0" distB="0" distL="114300" distR="114300">
            <wp:extent cx="4076700" cy="5495925"/>
            <wp:effectExtent l="0" t="0" r="12700" b="15875"/>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pic:cNvPicPr>
                      <a:picLocks noChangeAspect="1"/>
                    </pic:cNvPicPr>
                  </pic:nvPicPr>
                  <pic:blipFill>
                    <a:blip r:embed="rId17"/>
                    <a:stretch>
                      <a:fillRect/>
                    </a:stretch>
                  </pic:blipFill>
                  <pic:spPr>
                    <a:xfrm>
                      <a:off x="0" y="0"/>
                      <a:ext cx="4076700" cy="5495925"/>
                    </a:xfrm>
                    <a:prstGeom prst="rect">
                      <a:avLst/>
                    </a:prstGeom>
                    <a:noFill/>
                    <a:ln>
                      <a:noFill/>
                    </a:ln>
                  </pic:spPr>
                </pic:pic>
              </a:graphicData>
            </a:graphic>
          </wp:inline>
        </w:drawing>
      </w:r>
    </w:p>
    <w:p>
      <w:pPr>
        <w:spacing w:before="120" w:after="120"/>
        <w:ind w:firstLine="120"/>
        <w:rPr>
          <w:rFonts w:eastAsia="Times New Roman"/>
          <w:color w:val="auto"/>
          <w:sz w:val="6"/>
          <w:szCs w:val="6"/>
        </w:rPr>
      </w:pPr>
    </w:p>
    <w:p>
      <w:pPr>
        <w:pStyle w:val="585"/>
        <w:numPr>
          <w:ilvl w:val="0"/>
          <w:numId w:val="0"/>
        </w:numPr>
        <w:spacing w:before="120" w:after="120" w:line="360" w:lineRule="auto"/>
        <w:outlineLvl w:val="1"/>
        <w:rPr>
          <w:rFonts w:ascii="Times New Roman" w:hAnsi="Times New Roman" w:eastAsia="黑体"/>
          <w:b w:val="0"/>
          <w:bCs/>
          <w:color w:val="auto"/>
          <w:sz w:val="24"/>
          <w:szCs w:val="24"/>
        </w:rPr>
      </w:pPr>
      <w:bookmarkStart w:id="986" w:name="_bookmark56"/>
      <w:bookmarkEnd w:id="986"/>
      <w:bookmarkStart w:id="987" w:name="_Toc17124"/>
      <w:bookmarkStart w:id="988" w:name="_Toc21037"/>
      <w:bookmarkStart w:id="989" w:name="_Toc62460225"/>
      <w:bookmarkStart w:id="990" w:name="_Toc30106"/>
      <w:bookmarkStart w:id="991" w:name="_Toc11648"/>
      <w:r>
        <w:rPr>
          <w:rFonts w:ascii="Times New Roman" w:hAnsi="Times New Roman" w:eastAsia="黑体"/>
          <w:b w:val="0"/>
          <w:bCs/>
          <w:color w:val="auto"/>
          <w:sz w:val="24"/>
          <w:szCs w:val="24"/>
        </w:rPr>
        <w:t>附图8  施工阶段项目实施总体流程</w:t>
      </w:r>
      <w:bookmarkEnd w:id="987"/>
      <w:bookmarkEnd w:id="988"/>
      <w:bookmarkEnd w:id="989"/>
      <w:bookmarkEnd w:id="990"/>
      <w:bookmarkEnd w:id="991"/>
    </w:p>
    <w:p>
      <w:pPr>
        <w:spacing w:before="120" w:after="120"/>
        <w:ind w:firstLine="400"/>
        <w:jc w:val="center"/>
        <w:rPr>
          <w:rFonts w:eastAsia="Times New Roman"/>
          <w:color w:val="auto"/>
          <w:sz w:val="20"/>
        </w:rPr>
      </w:pPr>
      <w:r>
        <w:rPr>
          <w:rFonts w:eastAsia="Times New Roman"/>
          <w:color w:val="auto"/>
          <w:position w:val="-239"/>
          <w:sz w:val="20"/>
        </w:rPr>
        <w:drawing>
          <wp:inline distT="0" distB="0" distL="114300" distR="114300">
            <wp:extent cx="5400675" cy="7839075"/>
            <wp:effectExtent l="0" t="0" r="9525" b="9525"/>
            <wp:docPr id="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pic:cNvPicPr>
                      <a:picLocks noChangeAspect="1"/>
                    </pic:cNvPicPr>
                  </pic:nvPicPr>
                  <pic:blipFill>
                    <a:blip r:embed="rId18"/>
                    <a:stretch>
                      <a:fillRect/>
                    </a:stretch>
                  </pic:blipFill>
                  <pic:spPr>
                    <a:xfrm>
                      <a:off x="0" y="0"/>
                      <a:ext cx="5400675" cy="7839075"/>
                    </a:xfrm>
                    <a:prstGeom prst="rect">
                      <a:avLst/>
                    </a:prstGeom>
                    <a:noFill/>
                    <a:ln>
                      <a:noFill/>
                    </a:ln>
                  </pic:spPr>
                </pic:pic>
              </a:graphicData>
            </a:graphic>
          </wp:inline>
        </w:drawing>
      </w:r>
    </w:p>
    <w:p>
      <w:pPr>
        <w:spacing w:before="120" w:after="120"/>
        <w:ind w:firstLine="400"/>
        <w:jc w:val="center"/>
        <w:rPr>
          <w:rFonts w:eastAsia="Times New Roman"/>
          <w:color w:val="auto"/>
          <w:sz w:val="20"/>
        </w:rPr>
        <w:sectPr>
          <w:pgSz w:w="11910" w:h="16840"/>
          <w:pgMar w:top="1200" w:right="1660" w:bottom="1160" w:left="1660" w:header="0" w:footer="973" w:gutter="0"/>
          <w:cols w:space="720" w:num="1"/>
        </w:sectPr>
      </w:pPr>
    </w:p>
    <w:p>
      <w:pPr>
        <w:pStyle w:val="585"/>
        <w:numPr>
          <w:ilvl w:val="0"/>
          <w:numId w:val="0"/>
        </w:numPr>
        <w:spacing w:before="120" w:after="120" w:line="360" w:lineRule="auto"/>
        <w:outlineLvl w:val="1"/>
        <w:rPr>
          <w:rFonts w:ascii="Times New Roman" w:hAnsi="Times New Roman" w:eastAsia="黑体"/>
          <w:b w:val="0"/>
          <w:bCs/>
          <w:color w:val="auto"/>
          <w:sz w:val="24"/>
          <w:szCs w:val="24"/>
        </w:rPr>
      </w:pPr>
      <w:bookmarkStart w:id="992" w:name="_bookmark57"/>
      <w:bookmarkEnd w:id="992"/>
      <w:bookmarkStart w:id="993" w:name="_Toc3417"/>
      <w:bookmarkStart w:id="994" w:name="_Toc19604"/>
      <w:bookmarkStart w:id="995" w:name="_Toc62460226"/>
      <w:bookmarkStart w:id="996" w:name="_Toc12769"/>
      <w:bookmarkStart w:id="997" w:name="_Toc884"/>
      <w:r>
        <w:rPr>
          <w:rFonts w:ascii="Times New Roman" w:hAnsi="Times New Roman" w:eastAsia="黑体"/>
          <w:b w:val="0"/>
          <w:bCs/>
          <w:color w:val="auto"/>
          <w:sz w:val="24"/>
          <w:szCs w:val="24"/>
        </w:rPr>
        <w:t>附图9  项目BIM团队组织架构</w:t>
      </w:r>
      <w:bookmarkEnd w:id="993"/>
      <w:bookmarkEnd w:id="994"/>
      <w:bookmarkEnd w:id="995"/>
      <w:bookmarkEnd w:id="996"/>
      <w:bookmarkEnd w:id="997"/>
    </w:p>
    <w:p>
      <w:pPr>
        <w:spacing w:before="120" w:after="120"/>
        <w:jc w:val="center"/>
        <w:rPr>
          <w:rFonts w:cs="宋体"/>
          <w:color w:val="auto"/>
          <w:sz w:val="20"/>
        </w:rPr>
      </w:pPr>
      <w:r>
        <w:rPr>
          <w:color w:val="auto"/>
        </w:rPr>
        <w:drawing>
          <wp:inline distT="0" distB="0" distL="114300" distR="114300">
            <wp:extent cx="6515100" cy="3238500"/>
            <wp:effectExtent l="0" t="0" r="12700" b="12700"/>
            <wp:docPr id="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pic:cNvPicPr>
                      <a:picLocks noChangeAspect="1"/>
                    </pic:cNvPicPr>
                  </pic:nvPicPr>
                  <pic:blipFill>
                    <a:blip r:embed="rId19"/>
                    <a:stretch>
                      <a:fillRect/>
                    </a:stretch>
                  </pic:blipFill>
                  <pic:spPr>
                    <a:xfrm>
                      <a:off x="0" y="0"/>
                      <a:ext cx="6515100" cy="3238500"/>
                    </a:xfrm>
                    <a:prstGeom prst="rect">
                      <a:avLst/>
                    </a:prstGeom>
                    <a:noFill/>
                    <a:ln>
                      <a:noFill/>
                    </a:ln>
                  </pic:spPr>
                </pic:pic>
              </a:graphicData>
            </a:graphic>
          </wp:inline>
        </w:drawing>
      </w:r>
    </w:p>
    <w:p>
      <w:pPr>
        <w:pStyle w:val="585"/>
        <w:numPr>
          <w:ilvl w:val="0"/>
          <w:numId w:val="0"/>
        </w:numPr>
        <w:spacing w:before="120" w:after="120" w:line="360" w:lineRule="auto"/>
        <w:outlineLvl w:val="1"/>
        <w:rPr>
          <w:rFonts w:ascii="Times New Roman" w:hAnsi="Times New Roman" w:eastAsia="黑体"/>
          <w:b w:val="0"/>
          <w:bCs/>
          <w:color w:val="auto"/>
          <w:sz w:val="24"/>
          <w:szCs w:val="24"/>
        </w:rPr>
      </w:pPr>
      <w:bookmarkStart w:id="998" w:name="_bookmark58"/>
      <w:bookmarkEnd w:id="998"/>
      <w:bookmarkStart w:id="999" w:name="_Toc21234"/>
      <w:bookmarkStart w:id="1000" w:name="_Toc62460227"/>
      <w:bookmarkStart w:id="1001" w:name="_Toc21905"/>
      <w:bookmarkStart w:id="1002" w:name="_Toc204"/>
      <w:bookmarkStart w:id="1003" w:name="_Toc25843"/>
      <w:r>
        <w:rPr>
          <w:rFonts w:ascii="Times New Roman" w:hAnsi="Times New Roman" w:eastAsia="黑体"/>
          <w:b w:val="0"/>
          <w:bCs/>
          <w:color w:val="auto"/>
          <w:sz w:val="24"/>
          <w:szCs w:val="24"/>
        </w:rPr>
        <w:t>附图10  BIM前期准备工作</w:t>
      </w:r>
      <w:bookmarkEnd w:id="999"/>
      <w:bookmarkEnd w:id="1000"/>
      <w:bookmarkEnd w:id="1001"/>
      <w:bookmarkEnd w:id="1002"/>
      <w:bookmarkEnd w:id="1003"/>
    </w:p>
    <w:p>
      <w:pPr>
        <w:spacing w:before="120" w:after="120"/>
        <w:ind w:firstLine="400"/>
        <w:jc w:val="center"/>
        <w:rPr>
          <w:rFonts w:cs="宋体"/>
          <w:color w:val="auto"/>
          <w:sz w:val="20"/>
        </w:rPr>
      </w:pPr>
      <w:r>
        <w:rPr>
          <w:rFonts w:cs="宋体"/>
          <w:color w:val="auto"/>
          <w:position w:val="-138"/>
          <w:sz w:val="20"/>
        </w:rPr>
        <w:drawing>
          <wp:inline distT="0" distB="0" distL="114300" distR="114300">
            <wp:extent cx="6496050" cy="4581525"/>
            <wp:effectExtent l="0" t="0" r="6350" b="15875"/>
            <wp:docPr id="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3"/>
                    <pic:cNvPicPr>
                      <a:picLocks noChangeAspect="1"/>
                    </pic:cNvPicPr>
                  </pic:nvPicPr>
                  <pic:blipFill>
                    <a:blip r:embed="rId20"/>
                    <a:stretch>
                      <a:fillRect/>
                    </a:stretch>
                  </pic:blipFill>
                  <pic:spPr>
                    <a:xfrm>
                      <a:off x="0" y="0"/>
                      <a:ext cx="6496050" cy="4581525"/>
                    </a:xfrm>
                    <a:prstGeom prst="rect">
                      <a:avLst/>
                    </a:prstGeom>
                    <a:noFill/>
                    <a:ln>
                      <a:noFill/>
                    </a:ln>
                  </pic:spPr>
                </pic:pic>
              </a:graphicData>
            </a:graphic>
          </wp:inline>
        </w:drawing>
      </w:r>
    </w:p>
    <w:p>
      <w:pPr>
        <w:spacing w:before="120" w:after="120"/>
        <w:ind w:firstLine="400"/>
        <w:jc w:val="center"/>
        <w:rPr>
          <w:rFonts w:cs="宋体"/>
          <w:color w:val="auto"/>
          <w:sz w:val="20"/>
        </w:rPr>
        <w:sectPr>
          <w:pgSz w:w="11910" w:h="16840"/>
          <w:pgMar w:top="1080" w:right="640" w:bottom="1160" w:left="1020" w:header="0" w:footer="973" w:gutter="0"/>
          <w:cols w:space="720" w:num="1"/>
        </w:sectPr>
      </w:pPr>
    </w:p>
    <w:p>
      <w:pPr>
        <w:pStyle w:val="585"/>
        <w:numPr>
          <w:ilvl w:val="0"/>
          <w:numId w:val="0"/>
        </w:numPr>
        <w:spacing w:before="120" w:after="120" w:line="360" w:lineRule="auto"/>
        <w:outlineLvl w:val="1"/>
        <w:rPr>
          <w:rFonts w:ascii="Times New Roman" w:hAnsi="Times New Roman" w:eastAsia="黑体"/>
          <w:b w:val="0"/>
          <w:bCs/>
          <w:color w:val="auto"/>
          <w:sz w:val="24"/>
          <w:szCs w:val="24"/>
        </w:rPr>
      </w:pPr>
      <w:bookmarkStart w:id="1004" w:name="_bookmark59"/>
      <w:bookmarkEnd w:id="1004"/>
      <w:bookmarkStart w:id="1005" w:name="_Toc12310"/>
      <w:bookmarkStart w:id="1006" w:name="_Toc16613"/>
      <w:bookmarkStart w:id="1007" w:name="_Toc29095"/>
      <w:bookmarkStart w:id="1008" w:name="_Toc62460228"/>
      <w:bookmarkStart w:id="1009" w:name="_Toc28118"/>
      <w:r>
        <w:rPr>
          <w:rFonts w:ascii="Times New Roman" w:hAnsi="Times New Roman" w:eastAsia="黑体"/>
          <w:b w:val="0"/>
          <w:bCs/>
          <w:color w:val="auto"/>
          <w:sz w:val="24"/>
          <w:szCs w:val="24"/>
        </w:rPr>
        <w:t>附图11  BIM模型会审工作流程</w:t>
      </w:r>
      <w:bookmarkEnd w:id="1005"/>
      <w:bookmarkEnd w:id="1006"/>
      <w:bookmarkEnd w:id="1007"/>
      <w:bookmarkEnd w:id="1008"/>
      <w:bookmarkEnd w:id="1009"/>
    </w:p>
    <w:p>
      <w:pPr>
        <w:spacing w:before="120" w:after="120"/>
        <w:jc w:val="center"/>
        <w:rPr>
          <w:rFonts w:cs="宋体"/>
          <w:color w:val="auto"/>
          <w:sz w:val="20"/>
        </w:rPr>
      </w:pPr>
      <w:r>
        <w:rPr>
          <w:color w:val="auto"/>
        </w:rPr>
        <w:drawing>
          <wp:inline distT="0" distB="0" distL="114300" distR="114300">
            <wp:extent cx="6086475" cy="3724275"/>
            <wp:effectExtent l="0" t="0" r="9525" b="9525"/>
            <wp:docPr id="1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4"/>
                    <pic:cNvPicPr>
                      <a:picLocks noChangeAspect="1"/>
                    </pic:cNvPicPr>
                  </pic:nvPicPr>
                  <pic:blipFill>
                    <a:blip r:embed="rId21"/>
                    <a:stretch>
                      <a:fillRect/>
                    </a:stretch>
                  </pic:blipFill>
                  <pic:spPr>
                    <a:xfrm>
                      <a:off x="0" y="0"/>
                      <a:ext cx="6086475" cy="3724275"/>
                    </a:xfrm>
                    <a:prstGeom prst="rect">
                      <a:avLst/>
                    </a:prstGeom>
                    <a:noFill/>
                    <a:ln>
                      <a:noFill/>
                    </a:ln>
                  </pic:spPr>
                </pic:pic>
              </a:graphicData>
            </a:graphic>
          </wp:inline>
        </w:drawing>
      </w:r>
    </w:p>
    <w:p>
      <w:pPr>
        <w:pStyle w:val="585"/>
        <w:numPr>
          <w:ilvl w:val="0"/>
          <w:numId w:val="0"/>
        </w:numPr>
        <w:spacing w:before="120" w:after="120" w:line="360" w:lineRule="auto"/>
        <w:outlineLvl w:val="1"/>
        <w:rPr>
          <w:rFonts w:ascii="Times New Roman" w:hAnsi="Times New Roman" w:eastAsia="黑体"/>
          <w:b w:val="0"/>
          <w:bCs/>
          <w:color w:val="auto"/>
          <w:sz w:val="24"/>
          <w:szCs w:val="24"/>
        </w:rPr>
      </w:pPr>
      <w:bookmarkStart w:id="1010" w:name="_Toc23341"/>
      <w:bookmarkStart w:id="1011" w:name="_Toc62460229"/>
      <w:bookmarkStart w:id="1012" w:name="_Toc19225"/>
      <w:bookmarkStart w:id="1013" w:name="_Toc20269"/>
      <w:bookmarkStart w:id="1014" w:name="_Toc29373"/>
      <w:r>
        <w:rPr>
          <w:rFonts w:ascii="Times New Roman" w:hAnsi="Times New Roman" w:eastAsia="黑体"/>
          <w:b w:val="0"/>
          <w:bCs/>
          <w:color w:val="auto"/>
          <w:sz w:val="24"/>
          <w:szCs w:val="24"/>
        </w:rPr>
        <w:t>附图12  BIM深化设计管理流程</w:t>
      </w:r>
      <w:bookmarkEnd w:id="1010"/>
      <w:bookmarkEnd w:id="1011"/>
      <w:bookmarkEnd w:id="1012"/>
      <w:bookmarkEnd w:id="1013"/>
      <w:bookmarkEnd w:id="1014"/>
    </w:p>
    <w:p>
      <w:pPr>
        <w:spacing w:before="120" w:after="120"/>
        <w:ind w:firstLine="400"/>
        <w:jc w:val="center"/>
        <w:rPr>
          <w:rFonts w:cs="宋体"/>
          <w:color w:val="auto"/>
          <w:sz w:val="20"/>
        </w:rPr>
      </w:pPr>
      <w:r>
        <w:rPr>
          <w:rFonts w:cs="宋体"/>
          <w:color w:val="auto"/>
          <w:position w:val="-128"/>
          <w:sz w:val="20"/>
        </w:rPr>
        <w:drawing>
          <wp:inline distT="0" distB="0" distL="114300" distR="114300">
            <wp:extent cx="5848350" cy="4086225"/>
            <wp:effectExtent l="0" t="0" r="19050" b="3175"/>
            <wp:docPr id="1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5"/>
                    <pic:cNvPicPr>
                      <a:picLocks noChangeAspect="1"/>
                    </pic:cNvPicPr>
                  </pic:nvPicPr>
                  <pic:blipFill>
                    <a:blip r:embed="rId22"/>
                    <a:stretch>
                      <a:fillRect/>
                    </a:stretch>
                  </pic:blipFill>
                  <pic:spPr>
                    <a:xfrm>
                      <a:off x="0" y="0"/>
                      <a:ext cx="5848350" cy="4086225"/>
                    </a:xfrm>
                    <a:prstGeom prst="rect">
                      <a:avLst/>
                    </a:prstGeom>
                    <a:noFill/>
                    <a:ln>
                      <a:noFill/>
                    </a:ln>
                  </pic:spPr>
                </pic:pic>
              </a:graphicData>
            </a:graphic>
          </wp:inline>
        </w:drawing>
      </w:r>
    </w:p>
    <w:p>
      <w:pPr>
        <w:spacing w:before="120" w:after="120"/>
        <w:ind w:firstLine="400"/>
        <w:jc w:val="center"/>
        <w:rPr>
          <w:rFonts w:cs="宋体"/>
          <w:color w:val="auto"/>
          <w:sz w:val="20"/>
        </w:rPr>
        <w:sectPr>
          <w:pgSz w:w="11910" w:h="16840"/>
          <w:pgMar w:top="1140" w:right="1160" w:bottom="1160" w:left="1160" w:header="0" w:footer="973" w:gutter="0"/>
          <w:cols w:space="720" w:num="1"/>
        </w:sectPr>
      </w:pPr>
    </w:p>
    <w:p>
      <w:pPr>
        <w:spacing w:before="120" w:after="120"/>
        <w:ind w:firstLine="221"/>
        <w:rPr>
          <w:rFonts w:cs="宋体"/>
          <w:b/>
          <w:bCs/>
          <w:color w:val="auto"/>
          <w:sz w:val="11"/>
          <w:szCs w:val="11"/>
        </w:rPr>
      </w:pPr>
    </w:p>
    <w:p>
      <w:pPr>
        <w:pStyle w:val="585"/>
        <w:numPr>
          <w:ilvl w:val="0"/>
          <w:numId w:val="0"/>
        </w:numPr>
        <w:spacing w:before="120" w:after="120" w:line="360" w:lineRule="auto"/>
        <w:outlineLvl w:val="1"/>
        <w:rPr>
          <w:rFonts w:ascii="Times New Roman" w:hAnsi="Times New Roman" w:eastAsia="黑体"/>
          <w:b w:val="0"/>
          <w:bCs/>
          <w:color w:val="auto"/>
          <w:sz w:val="24"/>
          <w:szCs w:val="24"/>
        </w:rPr>
      </w:pPr>
      <w:bookmarkStart w:id="1015" w:name="_bookmark60"/>
      <w:bookmarkEnd w:id="1015"/>
      <w:bookmarkStart w:id="1016" w:name="_Toc62460230"/>
      <w:bookmarkStart w:id="1017" w:name="_Toc9670"/>
      <w:bookmarkStart w:id="1018" w:name="_Toc2949"/>
      <w:bookmarkStart w:id="1019" w:name="_Toc27336"/>
      <w:bookmarkStart w:id="1020" w:name="_Toc5601"/>
      <w:r>
        <w:rPr>
          <w:rFonts w:ascii="Times New Roman" w:hAnsi="Times New Roman" w:eastAsia="黑体"/>
          <w:b w:val="0"/>
          <w:bCs/>
          <w:color w:val="auto"/>
          <w:sz w:val="24"/>
          <w:szCs w:val="24"/>
        </w:rPr>
        <w:t>附图13  运维管理系统架构</w:t>
      </w:r>
      <w:bookmarkEnd w:id="1016"/>
      <w:bookmarkEnd w:id="1017"/>
      <w:bookmarkEnd w:id="1018"/>
      <w:bookmarkEnd w:id="1019"/>
      <w:bookmarkEnd w:id="1020"/>
    </w:p>
    <w:p>
      <w:pPr>
        <w:spacing w:before="120" w:after="120"/>
        <w:ind w:firstLine="400"/>
        <w:jc w:val="center"/>
        <w:rPr>
          <w:rFonts w:cs="宋体"/>
          <w:color w:val="auto"/>
          <w:sz w:val="20"/>
        </w:rPr>
      </w:pPr>
      <w:r>
        <w:rPr>
          <w:rFonts w:cs="宋体"/>
          <w:color w:val="auto"/>
          <w:position w:val="-165"/>
          <w:sz w:val="20"/>
        </w:rPr>
        <w:drawing>
          <wp:inline distT="0" distB="0" distL="114300" distR="114300">
            <wp:extent cx="6048375" cy="5267325"/>
            <wp:effectExtent l="0" t="0" r="22225" b="15875"/>
            <wp:docPr id="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6"/>
                    <pic:cNvPicPr>
                      <a:picLocks noChangeAspect="1"/>
                    </pic:cNvPicPr>
                  </pic:nvPicPr>
                  <pic:blipFill>
                    <a:blip r:embed="rId23"/>
                    <a:stretch>
                      <a:fillRect/>
                    </a:stretch>
                  </pic:blipFill>
                  <pic:spPr>
                    <a:xfrm>
                      <a:off x="0" y="0"/>
                      <a:ext cx="6048375" cy="5267325"/>
                    </a:xfrm>
                    <a:prstGeom prst="rect">
                      <a:avLst/>
                    </a:prstGeom>
                    <a:noFill/>
                    <a:ln>
                      <a:noFill/>
                    </a:ln>
                  </pic:spPr>
                </pic:pic>
              </a:graphicData>
            </a:graphic>
          </wp:inline>
        </w:drawing>
      </w:r>
    </w:p>
    <w:p>
      <w:pPr>
        <w:pStyle w:val="585"/>
        <w:numPr>
          <w:ilvl w:val="0"/>
          <w:numId w:val="0"/>
        </w:numPr>
        <w:spacing w:before="120" w:after="120" w:line="360" w:lineRule="auto"/>
        <w:outlineLvl w:val="1"/>
        <w:rPr>
          <w:rFonts w:ascii="Times New Roman" w:hAnsi="Times New Roman" w:eastAsia="黑体"/>
          <w:b w:val="0"/>
          <w:bCs/>
          <w:color w:val="auto"/>
          <w:sz w:val="24"/>
          <w:szCs w:val="24"/>
        </w:rPr>
      </w:pPr>
      <w:bookmarkStart w:id="1021" w:name="_Toc62460231"/>
      <w:bookmarkStart w:id="1022" w:name="_Toc11786"/>
      <w:bookmarkStart w:id="1023" w:name="_Toc9756"/>
      <w:bookmarkStart w:id="1024" w:name="_Toc24966"/>
      <w:bookmarkStart w:id="1025" w:name="_Toc26675"/>
      <w:r>
        <w:rPr>
          <w:rFonts w:ascii="Times New Roman" w:hAnsi="Times New Roman" w:eastAsia="黑体"/>
          <w:b w:val="0"/>
          <w:bCs/>
          <w:color w:val="auto"/>
          <w:sz w:val="24"/>
          <w:szCs w:val="24"/>
        </w:rPr>
        <w:t>附图14  协同平台架构</w:t>
      </w:r>
      <w:bookmarkEnd w:id="1021"/>
      <w:bookmarkEnd w:id="1022"/>
      <w:bookmarkEnd w:id="1023"/>
      <w:bookmarkEnd w:id="1024"/>
      <w:bookmarkEnd w:id="1025"/>
    </w:p>
    <w:p>
      <w:pPr>
        <w:spacing w:before="120" w:after="120"/>
        <w:jc w:val="center"/>
        <w:rPr>
          <w:rFonts w:cs="宋体"/>
          <w:color w:val="auto"/>
          <w:sz w:val="20"/>
        </w:rPr>
      </w:pPr>
      <w:r>
        <w:rPr>
          <w:color w:val="auto"/>
        </w:rPr>
        <w:drawing>
          <wp:inline distT="0" distB="0" distL="114300" distR="114300">
            <wp:extent cx="2876550" cy="2276475"/>
            <wp:effectExtent l="0" t="0" r="19050" b="9525"/>
            <wp:docPr id="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7"/>
                    <pic:cNvPicPr>
                      <a:picLocks noChangeAspect="1"/>
                    </pic:cNvPicPr>
                  </pic:nvPicPr>
                  <pic:blipFill>
                    <a:blip r:embed="rId24"/>
                    <a:stretch>
                      <a:fillRect/>
                    </a:stretch>
                  </pic:blipFill>
                  <pic:spPr>
                    <a:xfrm>
                      <a:off x="0" y="0"/>
                      <a:ext cx="2876550" cy="2276475"/>
                    </a:xfrm>
                    <a:prstGeom prst="rect">
                      <a:avLst/>
                    </a:prstGeom>
                    <a:noFill/>
                    <a:ln>
                      <a:noFill/>
                    </a:ln>
                  </pic:spPr>
                </pic:pic>
              </a:graphicData>
            </a:graphic>
          </wp:inline>
        </w:drawing>
      </w:r>
    </w:p>
    <w:p>
      <w:pPr>
        <w:spacing w:before="120" w:after="120"/>
        <w:ind w:firstLine="400"/>
        <w:jc w:val="center"/>
        <w:rPr>
          <w:rFonts w:cs="宋体"/>
          <w:color w:val="auto"/>
          <w:sz w:val="20"/>
        </w:rPr>
        <w:sectPr>
          <w:pgSz w:w="11910" w:h="16840"/>
          <w:pgMar w:top="1580" w:right="1080" w:bottom="1160" w:left="1100" w:header="0" w:footer="973" w:gutter="0"/>
          <w:cols w:space="720" w:num="1"/>
        </w:sectPr>
      </w:pPr>
    </w:p>
    <w:p>
      <w:pPr>
        <w:pStyle w:val="585"/>
        <w:numPr>
          <w:ilvl w:val="0"/>
          <w:numId w:val="0"/>
        </w:numPr>
        <w:spacing w:before="120" w:after="120" w:line="360" w:lineRule="auto"/>
        <w:outlineLvl w:val="1"/>
        <w:rPr>
          <w:rFonts w:ascii="Times New Roman" w:hAnsi="Times New Roman" w:eastAsia="黑体"/>
          <w:b w:val="0"/>
          <w:bCs/>
          <w:color w:val="auto"/>
          <w:sz w:val="24"/>
          <w:szCs w:val="24"/>
        </w:rPr>
      </w:pPr>
      <w:bookmarkStart w:id="1026" w:name="_bookmark61"/>
      <w:bookmarkEnd w:id="1026"/>
      <w:bookmarkStart w:id="1027" w:name="_Toc23410"/>
      <w:bookmarkStart w:id="1028" w:name="_Toc11196"/>
      <w:bookmarkStart w:id="1029" w:name="_Toc62460232"/>
      <w:bookmarkStart w:id="1030" w:name="_Toc31097"/>
      <w:bookmarkStart w:id="1031" w:name="_Toc2525"/>
      <w:r>
        <w:rPr>
          <w:rFonts w:ascii="Times New Roman" w:hAnsi="Times New Roman" w:eastAsia="黑体"/>
          <w:b w:val="0"/>
          <w:bCs/>
          <w:color w:val="auto"/>
          <w:sz w:val="24"/>
          <w:szCs w:val="24"/>
        </w:rPr>
        <w:t>附图15  BIM协同平台架构</w:t>
      </w:r>
      <w:bookmarkEnd w:id="1027"/>
      <w:bookmarkEnd w:id="1028"/>
      <w:bookmarkEnd w:id="1029"/>
      <w:bookmarkEnd w:id="1030"/>
      <w:bookmarkEnd w:id="1031"/>
    </w:p>
    <w:p>
      <w:pPr>
        <w:spacing w:before="120" w:after="120"/>
        <w:ind w:firstLine="400"/>
        <w:jc w:val="center"/>
        <w:rPr>
          <w:rFonts w:cs="宋体"/>
          <w:color w:val="auto"/>
          <w:sz w:val="20"/>
        </w:rPr>
      </w:pPr>
      <w:r>
        <w:rPr>
          <w:rFonts w:cs="宋体"/>
          <w:color w:val="auto"/>
          <w:position w:val="-89"/>
          <w:sz w:val="20"/>
        </w:rPr>
        <w:drawing>
          <wp:inline distT="0" distB="0" distL="114300" distR="114300">
            <wp:extent cx="5400675" cy="3181350"/>
            <wp:effectExtent l="0" t="0" r="0" b="19050"/>
            <wp:docPr id="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8"/>
                    <pic:cNvPicPr>
                      <a:picLocks noChangeAspect="1"/>
                    </pic:cNvPicPr>
                  </pic:nvPicPr>
                  <pic:blipFill>
                    <a:blip r:embed="rId25"/>
                    <a:stretch>
                      <a:fillRect/>
                    </a:stretch>
                  </pic:blipFill>
                  <pic:spPr>
                    <a:xfrm>
                      <a:off x="0" y="0"/>
                      <a:ext cx="5400675" cy="3181350"/>
                    </a:xfrm>
                    <a:prstGeom prst="rect">
                      <a:avLst/>
                    </a:prstGeom>
                    <a:noFill/>
                    <a:ln>
                      <a:noFill/>
                    </a:ln>
                  </pic:spPr>
                </pic:pic>
              </a:graphicData>
            </a:graphic>
          </wp:inline>
        </w:drawing>
      </w:r>
    </w:p>
    <w:p>
      <w:pPr>
        <w:pStyle w:val="42"/>
        <w:spacing w:before="120" w:after="120"/>
        <w:ind w:firstLine="420"/>
        <w:rPr>
          <w:color w:val="auto"/>
        </w:rPr>
      </w:pPr>
    </w:p>
    <w:p>
      <w:pPr>
        <w:tabs>
          <w:tab w:val="left" w:pos="2680"/>
        </w:tabs>
        <w:spacing w:after="120"/>
        <w:ind w:firstLine="4480" w:firstLineChars="1400"/>
        <w:jc w:val="left"/>
        <w:rPr>
          <w:rFonts w:ascii="仿宋_GB2312" w:hAnsi="华文中宋" w:eastAsia="仿宋_GB2312"/>
          <w:color w:val="auto"/>
          <w:sz w:val="32"/>
          <w:szCs w:val="32"/>
        </w:rPr>
      </w:pPr>
    </w:p>
    <w:p>
      <w:pPr>
        <w:pStyle w:val="30"/>
        <w:spacing w:after="120"/>
        <w:rPr>
          <w:color w:val="auto"/>
        </w:rPr>
      </w:pPr>
    </w:p>
    <w:p>
      <w:pPr>
        <w:pStyle w:val="30"/>
        <w:spacing w:after="120"/>
        <w:rPr>
          <w:color w:val="auto"/>
        </w:rPr>
      </w:pPr>
    </w:p>
    <w:p>
      <w:pPr>
        <w:pStyle w:val="30"/>
        <w:spacing w:after="120"/>
        <w:rPr>
          <w:color w:val="auto"/>
        </w:rPr>
      </w:pPr>
    </w:p>
    <w:p>
      <w:pPr>
        <w:pStyle w:val="30"/>
        <w:spacing w:after="120"/>
        <w:rPr>
          <w:color w:val="auto"/>
        </w:rPr>
      </w:pPr>
    </w:p>
    <w:p>
      <w:pPr>
        <w:pStyle w:val="30"/>
        <w:spacing w:after="120"/>
        <w:rPr>
          <w:color w:val="auto"/>
        </w:rPr>
      </w:pPr>
    </w:p>
    <w:p>
      <w:pPr>
        <w:pStyle w:val="30"/>
        <w:spacing w:after="120"/>
        <w:rPr>
          <w:color w:val="auto"/>
        </w:rPr>
      </w:pPr>
    </w:p>
    <w:p>
      <w:pPr>
        <w:pStyle w:val="30"/>
        <w:spacing w:after="120"/>
        <w:rPr>
          <w:color w:val="auto"/>
        </w:rPr>
      </w:pPr>
    </w:p>
    <w:p>
      <w:pPr>
        <w:pStyle w:val="30"/>
        <w:spacing w:after="120"/>
        <w:rPr>
          <w:color w:val="auto"/>
        </w:rPr>
      </w:pPr>
    </w:p>
    <w:p>
      <w:pPr>
        <w:pStyle w:val="30"/>
        <w:spacing w:after="120"/>
        <w:rPr>
          <w:color w:val="auto"/>
        </w:rPr>
      </w:pPr>
    </w:p>
    <w:p>
      <w:pPr>
        <w:pStyle w:val="30"/>
        <w:spacing w:after="120"/>
        <w:rPr>
          <w:color w:val="auto"/>
        </w:rPr>
      </w:pPr>
    </w:p>
    <w:p>
      <w:pPr>
        <w:pStyle w:val="30"/>
        <w:spacing w:after="120"/>
        <w:rPr>
          <w:color w:val="auto"/>
        </w:rPr>
      </w:pPr>
    </w:p>
    <w:p>
      <w:pPr>
        <w:rPr>
          <w:rFonts w:ascii="宋体" w:hAnsi="宋体"/>
          <w:strike/>
          <w:color w:val="auto"/>
          <w:sz w:val="36"/>
          <w:szCs w:val="36"/>
        </w:rPr>
      </w:pPr>
      <w:bookmarkStart w:id="1032" w:name="_Toc24628"/>
      <w:bookmarkStart w:id="1033" w:name="_Toc22277"/>
      <w:bookmarkStart w:id="1034" w:name="_Toc8480"/>
      <w:r>
        <w:rPr>
          <w:rFonts w:hint="eastAsia"/>
          <w:color w:val="auto"/>
        </w:rPr>
        <w:br w:type="page"/>
      </w:r>
      <w:bookmarkEnd w:id="1032"/>
      <w:bookmarkEnd w:id="1033"/>
      <w:bookmarkEnd w:id="1034"/>
    </w:p>
    <w:p>
      <w:pPr>
        <w:pStyle w:val="3"/>
        <w:jc w:val="center"/>
        <w:rPr>
          <w:rFonts w:ascii="宋体" w:hAnsi="宋体"/>
          <w:color w:val="auto"/>
          <w:sz w:val="36"/>
          <w:szCs w:val="36"/>
        </w:rPr>
      </w:pPr>
      <w:bookmarkStart w:id="1035" w:name="_Toc343"/>
      <w:bookmarkStart w:id="1036" w:name="_Toc17789"/>
      <w:r>
        <w:rPr>
          <w:rFonts w:hint="eastAsia" w:ascii="宋体" w:hAnsi="宋体"/>
          <w:color w:val="auto"/>
          <w:sz w:val="36"/>
          <w:szCs w:val="36"/>
        </w:rPr>
        <w:t>第六章  附件清单</w:t>
      </w:r>
      <w:bookmarkEnd w:id="1035"/>
      <w:bookmarkEnd w:id="1036"/>
    </w:p>
    <w:p>
      <w:pPr>
        <w:pStyle w:val="4"/>
        <w:spacing w:after="0" w:line="360" w:lineRule="auto"/>
        <w:rPr>
          <w:rFonts w:ascii="宋体" w:hAnsi="宋体"/>
          <w:color w:val="auto"/>
          <w:sz w:val="24"/>
          <w:szCs w:val="24"/>
        </w:rPr>
      </w:pPr>
      <w:bookmarkStart w:id="1037" w:name="_Toc18135"/>
      <w:bookmarkStart w:id="1038" w:name="_Toc29891"/>
      <w:r>
        <w:rPr>
          <w:rFonts w:hint="eastAsia" w:ascii="宋体" w:hAnsi="宋体"/>
          <w:color w:val="auto"/>
          <w:sz w:val="24"/>
          <w:szCs w:val="24"/>
        </w:rPr>
        <w:t>6.1参考的法律法规及范本文件</w:t>
      </w:r>
      <w:bookmarkEnd w:id="1037"/>
      <w:bookmarkEnd w:id="1038"/>
    </w:p>
    <w:p>
      <w:pPr>
        <w:pStyle w:val="210"/>
        <w:spacing w:line="360" w:lineRule="auto"/>
        <w:ind w:firstLine="480"/>
        <w:rPr>
          <w:rFonts w:ascii="宋体" w:hAnsi="宋体"/>
          <w:color w:val="auto"/>
          <w:kern w:val="0"/>
          <w:sz w:val="24"/>
          <w:szCs w:val="24"/>
        </w:rPr>
      </w:pPr>
      <w:r>
        <w:rPr>
          <w:rFonts w:hint="eastAsia" w:ascii="宋体" w:hAnsi="宋体"/>
          <w:color w:val="auto"/>
          <w:kern w:val="0"/>
          <w:sz w:val="24"/>
          <w:szCs w:val="24"/>
        </w:rPr>
        <w:t>（1）《中华人民共和国招标投标法》及实施条例（略）</w:t>
      </w:r>
    </w:p>
    <w:p>
      <w:pPr>
        <w:pStyle w:val="210"/>
        <w:spacing w:line="360" w:lineRule="auto"/>
        <w:ind w:firstLine="480"/>
        <w:rPr>
          <w:rFonts w:ascii="宋体" w:hAnsi="宋体"/>
          <w:color w:val="auto"/>
          <w:kern w:val="0"/>
          <w:sz w:val="24"/>
          <w:szCs w:val="24"/>
        </w:rPr>
      </w:pPr>
      <w:r>
        <w:rPr>
          <w:rFonts w:hint="eastAsia" w:ascii="宋体" w:hAnsi="宋体"/>
          <w:color w:val="auto"/>
          <w:kern w:val="0"/>
          <w:sz w:val="24"/>
          <w:szCs w:val="24"/>
        </w:rPr>
        <w:t>（2）《必须招标的工程项目规定》（略）</w:t>
      </w:r>
    </w:p>
    <w:p>
      <w:pPr>
        <w:pStyle w:val="210"/>
        <w:spacing w:line="360" w:lineRule="auto"/>
        <w:ind w:firstLine="480"/>
        <w:rPr>
          <w:rFonts w:ascii="宋体" w:hAnsi="宋体"/>
          <w:color w:val="auto"/>
          <w:kern w:val="0"/>
          <w:sz w:val="24"/>
          <w:szCs w:val="24"/>
        </w:rPr>
      </w:pPr>
      <w:r>
        <w:rPr>
          <w:rFonts w:hint="eastAsia" w:ascii="宋体" w:hAnsi="宋体"/>
          <w:color w:val="auto"/>
          <w:kern w:val="0"/>
          <w:sz w:val="24"/>
          <w:szCs w:val="24"/>
        </w:rPr>
        <w:t>（3）《广东省实施&lt;中华人民共和国招标投标法&gt;办法》（略）</w:t>
      </w:r>
    </w:p>
    <w:p>
      <w:pPr>
        <w:pStyle w:val="210"/>
        <w:spacing w:line="360" w:lineRule="auto"/>
        <w:ind w:firstLine="480"/>
        <w:rPr>
          <w:rFonts w:ascii="宋体" w:hAnsi="宋体"/>
          <w:color w:val="auto"/>
          <w:kern w:val="0"/>
          <w:sz w:val="24"/>
          <w:szCs w:val="24"/>
        </w:rPr>
      </w:pPr>
      <w:r>
        <w:rPr>
          <w:rFonts w:hint="eastAsia" w:ascii="宋体" w:hAnsi="宋体"/>
          <w:color w:val="auto"/>
          <w:kern w:val="0"/>
          <w:sz w:val="24"/>
          <w:szCs w:val="24"/>
        </w:rPr>
        <w:t>（4）《建筑工程设计招标投标管理办法》（略）</w:t>
      </w:r>
    </w:p>
    <w:p>
      <w:pPr>
        <w:pStyle w:val="210"/>
        <w:spacing w:line="360" w:lineRule="auto"/>
        <w:ind w:firstLine="480"/>
        <w:rPr>
          <w:rFonts w:ascii="宋体" w:hAnsi="宋体"/>
          <w:color w:val="auto"/>
          <w:kern w:val="0"/>
          <w:sz w:val="24"/>
          <w:szCs w:val="24"/>
        </w:rPr>
      </w:pPr>
      <w:r>
        <w:rPr>
          <w:rFonts w:hint="eastAsia" w:ascii="宋体" w:hAnsi="宋体"/>
          <w:color w:val="auto"/>
          <w:kern w:val="0"/>
          <w:sz w:val="24"/>
          <w:szCs w:val="24"/>
        </w:rPr>
        <w:t>（5）《广东省住房和城乡建设厅关于繁荣建筑创作的若干意见》</w:t>
      </w:r>
    </w:p>
    <w:p>
      <w:pPr>
        <w:pStyle w:val="210"/>
        <w:spacing w:line="360" w:lineRule="auto"/>
        <w:ind w:firstLine="480"/>
        <w:rPr>
          <w:rFonts w:ascii="宋体" w:hAnsi="宋体"/>
          <w:strike/>
          <w:color w:val="auto"/>
          <w:kern w:val="0"/>
          <w:sz w:val="24"/>
          <w:szCs w:val="24"/>
        </w:rPr>
      </w:pPr>
      <w:r>
        <w:rPr>
          <w:rFonts w:hint="eastAsia" w:ascii="宋体" w:hAnsi="宋体"/>
          <w:strike/>
          <w:color w:val="auto"/>
          <w:kern w:val="0"/>
          <w:sz w:val="24"/>
          <w:szCs w:val="24"/>
        </w:rPr>
        <w:t>（6）《关于广州市推进设计招标改革有关事项的通知》（略）</w:t>
      </w:r>
    </w:p>
    <w:p>
      <w:pPr>
        <w:pStyle w:val="210"/>
        <w:spacing w:line="360" w:lineRule="auto"/>
        <w:ind w:firstLine="480"/>
        <w:rPr>
          <w:rFonts w:ascii="宋体" w:hAnsi="宋体"/>
          <w:strike/>
          <w:color w:val="auto"/>
          <w:kern w:val="0"/>
          <w:sz w:val="24"/>
          <w:szCs w:val="24"/>
        </w:rPr>
      </w:pPr>
      <w:r>
        <w:rPr>
          <w:rFonts w:hint="eastAsia" w:ascii="宋体" w:hAnsi="宋体"/>
          <w:strike/>
          <w:color w:val="auto"/>
          <w:kern w:val="0"/>
          <w:sz w:val="24"/>
          <w:szCs w:val="24"/>
        </w:rPr>
        <w:t>（7）《广州市人民政府办公厅关于印发广州市深化建设工程招标投标制度改革试点实施方案的通知》</w:t>
      </w:r>
    </w:p>
    <w:p>
      <w:pPr>
        <w:pStyle w:val="210"/>
        <w:spacing w:line="360" w:lineRule="auto"/>
        <w:ind w:firstLine="480"/>
        <w:rPr>
          <w:rFonts w:ascii="宋体" w:hAnsi="宋体"/>
          <w:strike/>
          <w:color w:val="auto"/>
          <w:kern w:val="0"/>
          <w:sz w:val="24"/>
          <w:szCs w:val="24"/>
        </w:rPr>
      </w:pPr>
      <w:r>
        <w:rPr>
          <w:rFonts w:hint="eastAsia" w:ascii="宋体" w:hAnsi="宋体"/>
          <w:strike/>
          <w:color w:val="auto"/>
          <w:kern w:val="0"/>
          <w:sz w:val="24"/>
          <w:szCs w:val="24"/>
        </w:rPr>
        <w:t>（8）《2017 标准勘察招标文件》（略）</w:t>
      </w:r>
    </w:p>
    <w:p>
      <w:pPr>
        <w:pStyle w:val="210"/>
        <w:spacing w:line="360" w:lineRule="auto"/>
        <w:ind w:firstLine="480"/>
        <w:rPr>
          <w:rFonts w:ascii="宋体" w:hAnsi="宋体"/>
          <w:strike/>
          <w:color w:val="auto"/>
          <w:kern w:val="0"/>
          <w:sz w:val="24"/>
          <w:szCs w:val="24"/>
        </w:rPr>
      </w:pPr>
      <w:r>
        <w:rPr>
          <w:rFonts w:hint="eastAsia" w:ascii="宋体" w:hAnsi="宋体"/>
          <w:strike/>
          <w:color w:val="auto"/>
          <w:kern w:val="0"/>
          <w:sz w:val="24"/>
          <w:szCs w:val="24"/>
        </w:rPr>
        <w:t>（9）《2017 标准设计招标文件》（略）</w:t>
      </w:r>
    </w:p>
    <w:p>
      <w:pPr>
        <w:pStyle w:val="210"/>
        <w:spacing w:line="360" w:lineRule="auto"/>
        <w:ind w:firstLine="480"/>
        <w:rPr>
          <w:rFonts w:ascii="宋体" w:hAnsi="宋体"/>
          <w:strike/>
          <w:color w:val="auto"/>
          <w:kern w:val="0"/>
          <w:sz w:val="24"/>
          <w:szCs w:val="24"/>
        </w:rPr>
      </w:pPr>
      <w:r>
        <w:rPr>
          <w:rFonts w:hint="eastAsia" w:ascii="宋体" w:hAnsi="宋体"/>
          <w:strike/>
          <w:color w:val="auto"/>
          <w:kern w:val="0"/>
          <w:sz w:val="24"/>
          <w:szCs w:val="24"/>
        </w:rPr>
        <w:t>（10）《广州市房屋建筑工程勘察设计全过程电子化招标文件范本（适用于设计方案招标和评定分离）GZSJZB2020-1》（略）</w:t>
      </w:r>
    </w:p>
    <w:p>
      <w:pPr>
        <w:pStyle w:val="210"/>
        <w:spacing w:line="360" w:lineRule="auto"/>
        <w:ind w:firstLine="480"/>
        <w:rPr>
          <w:rFonts w:ascii="宋体" w:hAnsi="宋体"/>
          <w:color w:val="auto"/>
          <w:sz w:val="24"/>
          <w:szCs w:val="24"/>
        </w:rPr>
      </w:pPr>
      <w:r>
        <w:rPr>
          <w:rFonts w:hint="eastAsia" w:ascii="宋体" w:hAnsi="宋体"/>
          <w:color w:val="auto"/>
          <w:kern w:val="0"/>
          <w:sz w:val="24"/>
          <w:szCs w:val="24"/>
        </w:rPr>
        <w:t>（11）广东省代建局内部相关管理规定（略）</w:t>
      </w:r>
    </w:p>
    <w:p>
      <w:pPr>
        <w:rPr>
          <w:color w:val="auto"/>
        </w:rPr>
      </w:pPr>
    </w:p>
    <w:sdt>
      <w:sdtPr>
        <w:rPr>
          <w:rFonts w:asciiTheme="minorEastAsia" w:hAnsiTheme="minorEastAsia" w:eastAsiaTheme="minorEastAsia"/>
          <w:color w:val="auto"/>
          <w:sz w:val="24"/>
          <w:szCs w:val="24"/>
        </w:rPr>
        <w:id w:val="-878157356"/>
        <w:docPartObj>
          <w:docPartGallery w:val="Table of Contents"/>
          <w:docPartUnique/>
        </w:docPartObj>
      </w:sdtPr>
      <w:sdtEndPr>
        <w:rPr>
          <w:rFonts w:hint="eastAsia" w:asciiTheme="minorEastAsia" w:hAnsiTheme="minorEastAsia" w:eastAsiaTheme="minorEastAsia"/>
          <w:color w:val="auto"/>
          <w:kern w:val="0"/>
          <w:sz w:val="24"/>
          <w:szCs w:val="24"/>
          <w:lang w:val="zh-CN"/>
        </w:rPr>
      </w:sdtEndPr>
      <w:sdtContent>
        <w:p>
          <w:pPr>
            <w:rPr>
              <w:rFonts w:asciiTheme="minorEastAsia" w:hAnsiTheme="minorEastAsia" w:eastAsiaTheme="minorEastAsia"/>
              <w:color w:val="auto"/>
              <w:sz w:val="24"/>
              <w:szCs w:val="24"/>
            </w:rPr>
            <w:sectPr>
              <w:footerReference r:id="rId6" w:type="default"/>
              <w:pgSz w:w="12240" w:h="15840"/>
              <w:pgMar w:top="1440" w:right="1440" w:bottom="1440" w:left="1440" w:header="113" w:footer="1020" w:gutter="0"/>
              <w:cols w:space="720" w:num="1"/>
              <w:rtlGutter w:val="1"/>
              <w:docGrid w:linePitch="360" w:charSpace="0"/>
            </w:sectPr>
          </w:pPr>
        </w:p>
      </w:sdtContent>
    </w:sdt>
    <w:p>
      <w:pPr>
        <w:spacing w:line="560" w:lineRule="exact"/>
        <w:rPr>
          <w:rFonts w:ascii="仿宋_GB2312" w:eastAsia="仿宋_GB2312"/>
          <w:color w:val="auto"/>
          <w:sz w:val="32"/>
          <w:szCs w:val="32"/>
        </w:rPr>
      </w:pPr>
      <w:bookmarkStart w:id="1039" w:name="_Toc453116766"/>
      <w:bookmarkEnd w:id="1039"/>
      <w:r>
        <w:rPr>
          <w:rFonts w:hint="eastAsia" w:ascii="宋体" w:hAnsi="宋体" w:eastAsiaTheme="minorEastAsia"/>
          <w:color w:val="auto"/>
          <w:sz w:val="24"/>
          <w:szCs w:val="24"/>
        </w:rPr>
        <w:t>附件</w:t>
      </w:r>
      <w:r>
        <w:rPr>
          <w:rFonts w:ascii="宋体" w:hAnsi="宋体" w:eastAsiaTheme="minorEastAsia"/>
          <w:color w:val="auto"/>
          <w:sz w:val="24"/>
          <w:szCs w:val="24"/>
        </w:rPr>
        <w:t>10</w:t>
      </w:r>
      <w:r>
        <w:rPr>
          <w:rFonts w:hint="eastAsia" w:asciiTheme="minorEastAsia" w:hAnsiTheme="minorEastAsia" w:eastAsiaTheme="minorEastAsia"/>
          <w:color w:val="auto"/>
          <w:sz w:val="24"/>
          <w:szCs w:val="24"/>
        </w:rPr>
        <w:t>: 省代建局直接管理项目设计单位履约评价实施细则</w:t>
      </w:r>
    </w:p>
    <w:p>
      <w:pPr>
        <w:pStyle w:val="3"/>
        <w:spacing w:line="240" w:lineRule="auto"/>
        <w:jc w:val="center"/>
        <w:rPr>
          <w:color w:val="auto"/>
        </w:rPr>
      </w:pPr>
      <w:r>
        <w:rPr>
          <w:rFonts w:hint="eastAsia"/>
          <w:color w:val="auto"/>
        </w:rPr>
        <w:t>省代建局直接管理项目设计单位</w:t>
      </w:r>
    </w:p>
    <w:p>
      <w:pPr>
        <w:pStyle w:val="3"/>
        <w:spacing w:line="240" w:lineRule="auto"/>
        <w:jc w:val="center"/>
        <w:rPr>
          <w:color w:val="auto"/>
        </w:rPr>
      </w:pPr>
      <w:r>
        <w:rPr>
          <w:rFonts w:hint="eastAsia"/>
          <w:color w:val="auto"/>
        </w:rPr>
        <w:t>履约评价实施细则</w:t>
      </w:r>
    </w:p>
    <w:p>
      <w:pPr>
        <w:adjustRightInd w:val="0"/>
        <w:snapToGrid w:val="0"/>
        <w:rPr>
          <w:rFonts w:ascii="宋体" w:hAnsi="宋体"/>
          <w:color w:val="auto"/>
          <w:szCs w:val="21"/>
        </w:rPr>
      </w:pPr>
    </w:p>
    <w:p>
      <w:pPr>
        <w:spacing w:line="560" w:lineRule="exact"/>
        <w:ind w:firstLine="643" w:firstLineChars="200"/>
        <w:rPr>
          <w:rFonts w:ascii="仿宋_GB2312" w:eastAsia="仿宋_GB2312"/>
          <w:color w:val="auto"/>
          <w:sz w:val="32"/>
          <w:szCs w:val="32"/>
        </w:rPr>
      </w:pPr>
      <w:r>
        <w:rPr>
          <w:rFonts w:hint="eastAsia" w:ascii="仿宋_GB2312" w:eastAsia="仿宋_GB2312"/>
          <w:b/>
          <w:color w:val="auto"/>
          <w:sz w:val="32"/>
          <w:szCs w:val="32"/>
        </w:rPr>
        <w:t>第一条</w:t>
      </w:r>
      <w:r>
        <w:rPr>
          <w:rFonts w:hint="eastAsia" w:ascii="仿宋_GB2312" w:eastAsia="仿宋_GB2312"/>
          <w:color w:val="auto"/>
          <w:sz w:val="32"/>
          <w:szCs w:val="32"/>
        </w:rPr>
        <w:t xml:space="preserve"> 根据《省代建局直接管理项目合同履约评价管理办法（试行）》的有关规定，</w:t>
      </w:r>
      <w:r>
        <w:rPr>
          <w:rFonts w:ascii="仿宋_GB2312" w:eastAsia="仿宋_GB2312"/>
          <w:color w:val="auto"/>
          <w:sz w:val="32"/>
          <w:szCs w:val="32"/>
        </w:rPr>
        <w:t>为</w:t>
      </w:r>
      <w:r>
        <w:rPr>
          <w:rFonts w:hint="eastAsia" w:ascii="仿宋_GB2312" w:eastAsia="仿宋_GB2312"/>
          <w:color w:val="auto"/>
          <w:sz w:val="32"/>
          <w:szCs w:val="32"/>
        </w:rPr>
        <w:t>规范建设工程设计管理工作，激励设计</w:t>
      </w:r>
      <w:r>
        <w:rPr>
          <w:rFonts w:ascii="仿宋_GB2312" w:eastAsia="仿宋_GB2312"/>
          <w:color w:val="auto"/>
          <w:sz w:val="32"/>
          <w:szCs w:val="32"/>
        </w:rPr>
        <w:t>单位加强</w:t>
      </w:r>
      <w:r>
        <w:rPr>
          <w:rFonts w:hint="eastAsia" w:ascii="仿宋_GB2312" w:eastAsia="仿宋_GB2312"/>
          <w:color w:val="auto"/>
          <w:sz w:val="32"/>
          <w:szCs w:val="32"/>
        </w:rPr>
        <w:t>内部</w:t>
      </w:r>
      <w:r>
        <w:rPr>
          <w:rFonts w:ascii="仿宋_GB2312" w:eastAsia="仿宋_GB2312"/>
          <w:color w:val="auto"/>
          <w:sz w:val="32"/>
          <w:szCs w:val="32"/>
        </w:rPr>
        <w:t>管理，</w:t>
      </w:r>
      <w:r>
        <w:rPr>
          <w:rFonts w:hint="eastAsia" w:ascii="仿宋_GB2312" w:eastAsia="仿宋_GB2312"/>
          <w:color w:val="auto"/>
          <w:sz w:val="32"/>
          <w:szCs w:val="32"/>
        </w:rPr>
        <w:t>提高服务意识和设计质量，</w:t>
      </w:r>
      <w:r>
        <w:rPr>
          <w:rFonts w:ascii="仿宋_GB2312" w:eastAsia="仿宋_GB2312"/>
          <w:color w:val="auto"/>
          <w:sz w:val="32"/>
          <w:szCs w:val="32"/>
        </w:rPr>
        <w:t>认真履行合同</w:t>
      </w:r>
      <w:r>
        <w:rPr>
          <w:rFonts w:hint="eastAsia" w:ascii="仿宋_GB2312" w:eastAsia="仿宋_GB2312"/>
          <w:color w:val="auto"/>
          <w:sz w:val="32"/>
          <w:szCs w:val="32"/>
        </w:rPr>
        <w:t>条款</w:t>
      </w:r>
      <w:r>
        <w:rPr>
          <w:rFonts w:ascii="仿宋_GB2312" w:eastAsia="仿宋_GB2312"/>
          <w:color w:val="auto"/>
          <w:sz w:val="32"/>
          <w:szCs w:val="32"/>
        </w:rPr>
        <w:t>，严格控制建设投资，</w:t>
      </w:r>
      <w:r>
        <w:rPr>
          <w:rFonts w:hint="eastAsia" w:ascii="仿宋_GB2312" w:eastAsia="仿宋_GB2312"/>
          <w:color w:val="auto"/>
          <w:sz w:val="32"/>
          <w:szCs w:val="32"/>
        </w:rPr>
        <w:t>满足</w:t>
      </w:r>
      <w:r>
        <w:rPr>
          <w:rFonts w:ascii="仿宋_GB2312" w:eastAsia="仿宋_GB2312"/>
          <w:color w:val="auto"/>
          <w:sz w:val="32"/>
          <w:szCs w:val="32"/>
        </w:rPr>
        <w:t>工程建设质量、安全、工期</w:t>
      </w:r>
      <w:r>
        <w:rPr>
          <w:rFonts w:hint="eastAsia" w:ascii="仿宋_GB2312" w:eastAsia="仿宋_GB2312"/>
          <w:color w:val="auto"/>
          <w:sz w:val="32"/>
          <w:szCs w:val="32"/>
        </w:rPr>
        <w:t>等要求</w:t>
      </w:r>
      <w:r>
        <w:rPr>
          <w:rFonts w:ascii="仿宋_GB2312" w:eastAsia="仿宋_GB2312"/>
          <w:color w:val="auto"/>
          <w:sz w:val="32"/>
          <w:szCs w:val="32"/>
        </w:rPr>
        <w:t>，</w:t>
      </w:r>
      <w:r>
        <w:rPr>
          <w:rFonts w:hint="eastAsia" w:ascii="仿宋_GB2312" w:eastAsia="仿宋_GB2312"/>
          <w:color w:val="auto"/>
          <w:sz w:val="32"/>
          <w:szCs w:val="32"/>
        </w:rPr>
        <w:t>在符合有关规范和标准的前提下</w:t>
      </w:r>
      <w:r>
        <w:rPr>
          <w:rFonts w:ascii="仿宋_GB2312" w:eastAsia="仿宋_GB2312"/>
          <w:color w:val="auto"/>
          <w:sz w:val="32"/>
          <w:szCs w:val="32"/>
        </w:rPr>
        <w:t>，快速、有序、优质、高效地完成</w:t>
      </w:r>
      <w:r>
        <w:rPr>
          <w:rFonts w:hint="eastAsia" w:ascii="仿宋_GB2312" w:eastAsia="仿宋_GB2312"/>
          <w:color w:val="auto"/>
          <w:sz w:val="32"/>
          <w:szCs w:val="32"/>
        </w:rPr>
        <w:t>合同约定</w:t>
      </w:r>
      <w:r>
        <w:rPr>
          <w:rFonts w:ascii="仿宋_GB2312" w:eastAsia="仿宋_GB2312"/>
          <w:color w:val="auto"/>
          <w:sz w:val="32"/>
          <w:szCs w:val="32"/>
        </w:rPr>
        <w:t>的</w:t>
      </w:r>
      <w:r>
        <w:rPr>
          <w:rFonts w:hint="eastAsia" w:ascii="仿宋_GB2312" w:eastAsia="仿宋_GB2312"/>
          <w:color w:val="auto"/>
          <w:sz w:val="32"/>
          <w:szCs w:val="32"/>
        </w:rPr>
        <w:t>设计</w:t>
      </w:r>
      <w:r>
        <w:rPr>
          <w:rFonts w:ascii="仿宋_GB2312" w:eastAsia="仿宋_GB2312"/>
          <w:color w:val="auto"/>
          <w:sz w:val="32"/>
          <w:szCs w:val="32"/>
        </w:rPr>
        <w:t>任务</w:t>
      </w:r>
      <w:r>
        <w:rPr>
          <w:rFonts w:hint="eastAsia" w:ascii="仿宋_GB2312" w:eastAsia="仿宋_GB2312"/>
          <w:color w:val="auto"/>
          <w:sz w:val="32"/>
          <w:szCs w:val="32"/>
        </w:rPr>
        <w:t>，确保达到预期的建设目标，特制定本实施细则。</w:t>
      </w:r>
    </w:p>
    <w:p>
      <w:pPr>
        <w:spacing w:line="560" w:lineRule="exact"/>
        <w:ind w:firstLine="643" w:firstLineChars="200"/>
        <w:rPr>
          <w:rFonts w:ascii="仿宋_GB2312" w:eastAsia="仿宋_GB2312"/>
          <w:color w:val="auto"/>
          <w:sz w:val="32"/>
          <w:szCs w:val="32"/>
        </w:rPr>
      </w:pPr>
      <w:r>
        <w:rPr>
          <w:rFonts w:hint="eastAsia" w:ascii="仿宋_GB2312" w:eastAsia="仿宋_GB2312"/>
          <w:b/>
          <w:color w:val="auto"/>
          <w:sz w:val="32"/>
          <w:szCs w:val="32"/>
        </w:rPr>
        <w:t>第二条</w:t>
      </w:r>
      <w:r>
        <w:rPr>
          <w:rFonts w:hint="eastAsia" w:ascii="仿宋_GB2312" w:eastAsia="仿宋_GB2312"/>
          <w:color w:val="auto"/>
          <w:sz w:val="32"/>
          <w:szCs w:val="32"/>
        </w:rPr>
        <w:t xml:space="preserve"> 本实施细则适用于与我局签订勘察设计施工总承包合同、全过程工程咨询合同、勘察设计合同、工程设计合同等涉及项目工程设计工作内容的设计单位，以单项合同为单位进行履约评价，评价内容不含BIM技术应用。</w:t>
      </w:r>
    </w:p>
    <w:p>
      <w:pPr>
        <w:spacing w:line="560" w:lineRule="exact"/>
        <w:ind w:firstLine="643" w:firstLineChars="200"/>
        <w:rPr>
          <w:rFonts w:ascii="仿宋_GB2312" w:eastAsia="仿宋_GB2312"/>
          <w:color w:val="auto"/>
          <w:sz w:val="32"/>
          <w:szCs w:val="32"/>
        </w:rPr>
      </w:pPr>
      <w:r>
        <w:rPr>
          <w:rFonts w:hint="eastAsia" w:ascii="仿宋_GB2312" w:eastAsia="仿宋_GB2312"/>
          <w:b/>
          <w:color w:val="auto"/>
          <w:sz w:val="32"/>
          <w:szCs w:val="32"/>
        </w:rPr>
        <w:t xml:space="preserve">第三条 </w:t>
      </w:r>
      <w:r>
        <w:rPr>
          <w:rFonts w:hint="eastAsia" w:ascii="仿宋_GB2312" w:eastAsia="仿宋_GB2312"/>
          <w:color w:val="auto"/>
          <w:sz w:val="32"/>
          <w:szCs w:val="32"/>
        </w:rPr>
        <w:t>评价阶段</w:t>
      </w:r>
    </w:p>
    <w:tbl>
      <w:tblPr>
        <w:tblStyle w:val="5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1440"/>
        <w:gridCol w:w="1620"/>
        <w:gridCol w:w="1620"/>
        <w:gridCol w:w="37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shd w:val="clear" w:color="auto" w:fill="auto"/>
            <w:noWrap/>
            <w:vAlign w:val="center"/>
          </w:tcPr>
          <w:p>
            <w:pPr>
              <w:adjustRightInd w:val="0"/>
              <w:snapToGrid w:val="0"/>
              <w:jc w:val="center"/>
              <w:rPr>
                <w:rFonts w:ascii="仿宋_GB2312" w:hAnsi="宋体" w:eastAsia="仿宋_GB2312"/>
                <w:color w:val="auto"/>
                <w:sz w:val="28"/>
                <w:szCs w:val="28"/>
              </w:rPr>
            </w:pPr>
            <w:r>
              <w:rPr>
                <w:rFonts w:hint="eastAsia" w:ascii="仿宋_GB2312" w:hAnsi="宋体" w:eastAsia="仿宋_GB2312"/>
                <w:color w:val="auto"/>
                <w:sz w:val="28"/>
                <w:szCs w:val="28"/>
              </w:rPr>
              <w:t>序号</w:t>
            </w:r>
          </w:p>
        </w:tc>
        <w:tc>
          <w:tcPr>
            <w:tcW w:w="3060" w:type="dxa"/>
            <w:gridSpan w:val="2"/>
            <w:shd w:val="clear" w:color="auto" w:fill="auto"/>
            <w:noWrap/>
            <w:vAlign w:val="center"/>
          </w:tcPr>
          <w:p>
            <w:pPr>
              <w:adjustRightInd w:val="0"/>
              <w:snapToGrid w:val="0"/>
              <w:jc w:val="center"/>
              <w:rPr>
                <w:rFonts w:ascii="仿宋_GB2312" w:hAnsi="宋体" w:eastAsia="仿宋_GB2312"/>
                <w:color w:val="auto"/>
                <w:sz w:val="28"/>
                <w:szCs w:val="28"/>
              </w:rPr>
            </w:pPr>
            <w:r>
              <w:rPr>
                <w:rFonts w:hint="eastAsia" w:ascii="仿宋_GB2312" w:hAnsi="宋体" w:eastAsia="仿宋_GB2312"/>
                <w:color w:val="auto"/>
                <w:sz w:val="28"/>
                <w:szCs w:val="28"/>
              </w:rPr>
              <w:t>阶段</w:t>
            </w:r>
          </w:p>
        </w:tc>
        <w:tc>
          <w:tcPr>
            <w:tcW w:w="1620" w:type="dxa"/>
            <w:noWrap/>
            <w:vAlign w:val="center"/>
          </w:tcPr>
          <w:p>
            <w:pPr>
              <w:adjustRightInd w:val="0"/>
              <w:snapToGrid w:val="0"/>
              <w:jc w:val="center"/>
              <w:rPr>
                <w:rFonts w:ascii="仿宋_GB2312" w:hAnsi="宋体" w:eastAsia="仿宋_GB2312"/>
                <w:color w:val="auto"/>
                <w:sz w:val="28"/>
                <w:szCs w:val="28"/>
              </w:rPr>
            </w:pPr>
            <w:r>
              <w:rPr>
                <w:rFonts w:hint="eastAsia" w:ascii="仿宋_GB2312" w:hAnsi="宋体" w:eastAsia="仿宋_GB2312"/>
                <w:color w:val="auto"/>
                <w:sz w:val="28"/>
                <w:szCs w:val="28"/>
              </w:rPr>
              <w:t>负责部门</w:t>
            </w:r>
          </w:p>
        </w:tc>
        <w:tc>
          <w:tcPr>
            <w:tcW w:w="3778" w:type="dxa"/>
            <w:noWrap/>
            <w:vAlign w:val="center"/>
          </w:tcPr>
          <w:p>
            <w:pPr>
              <w:adjustRightInd w:val="0"/>
              <w:snapToGrid w:val="0"/>
              <w:jc w:val="center"/>
              <w:rPr>
                <w:rFonts w:ascii="仿宋_GB2312" w:hAnsi="宋体" w:eastAsia="仿宋_GB2312"/>
                <w:color w:val="auto"/>
                <w:sz w:val="28"/>
                <w:szCs w:val="28"/>
              </w:rPr>
            </w:pPr>
            <w:r>
              <w:rPr>
                <w:rFonts w:hint="eastAsia" w:ascii="仿宋_GB2312" w:hAnsi="宋体" w:eastAsia="仿宋_GB2312"/>
                <w:color w:val="auto"/>
                <w:sz w:val="28"/>
                <w:szCs w:val="28"/>
              </w:rPr>
              <w:t>评价时间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28" w:type="dxa"/>
            <w:vMerge w:val="restart"/>
            <w:shd w:val="clear" w:color="auto" w:fill="auto"/>
            <w:noWrap/>
            <w:vAlign w:val="center"/>
          </w:tcPr>
          <w:p>
            <w:pPr>
              <w:adjustRightInd w:val="0"/>
              <w:snapToGrid w:val="0"/>
              <w:jc w:val="center"/>
              <w:rPr>
                <w:rFonts w:ascii="仿宋_GB2312" w:hAnsi="宋体" w:eastAsia="仿宋_GB2312"/>
                <w:color w:val="auto"/>
                <w:sz w:val="28"/>
                <w:szCs w:val="28"/>
              </w:rPr>
            </w:pPr>
            <w:r>
              <w:rPr>
                <w:rFonts w:hint="eastAsia" w:ascii="仿宋_GB2312" w:hAnsi="宋体" w:eastAsia="仿宋_GB2312"/>
                <w:color w:val="auto"/>
                <w:sz w:val="28"/>
                <w:szCs w:val="28"/>
              </w:rPr>
              <w:t>1</w:t>
            </w:r>
          </w:p>
        </w:tc>
        <w:tc>
          <w:tcPr>
            <w:tcW w:w="1440" w:type="dxa"/>
            <w:vMerge w:val="restart"/>
            <w:shd w:val="clear" w:color="auto" w:fill="auto"/>
            <w:noWrap/>
            <w:vAlign w:val="center"/>
          </w:tcPr>
          <w:p>
            <w:pPr>
              <w:adjustRightInd w:val="0"/>
              <w:snapToGrid w:val="0"/>
              <w:jc w:val="center"/>
              <w:rPr>
                <w:rFonts w:ascii="仿宋_GB2312" w:hAnsi="宋体" w:eastAsia="仿宋_GB2312"/>
                <w:color w:val="auto"/>
                <w:sz w:val="28"/>
                <w:szCs w:val="28"/>
              </w:rPr>
            </w:pPr>
            <w:r>
              <w:rPr>
                <w:rFonts w:hint="eastAsia" w:ascii="仿宋_GB2312" w:hAnsi="宋体" w:eastAsia="仿宋_GB2312"/>
                <w:color w:val="auto"/>
                <w:sz w:val="28"/>
                <w:szCs w:val="28"/>
              </w:rPr>
              <w:t>设计阶段</w:t>
            </w:r>
          </w:p>
        </w:tc>
        <w:tc>
          <w:tcPr>
            <w:tcW w:w="1620" w:type="dxa"/>
            <w:shd w:val="clear" w:color="auto" w:fill="auto"/>
            <w:noWrap/>
            <w:vAlign w:val="center"/>
          </w:tcPr>
          <w:p>
            <w:pPr>
              <w:adjustRightInd w:val="0"/>
              <w:snapToGrid w:val="0"/>
              <w:jc w:val="center"/>
              <w:rPr>
                <w:rFonts w:ascii="仿宋_GB2312" w:hAnsi="宋体" w:eastAsia="仿宋_GB2312"/>
                <w:color w:val="auto"/>
                <w:sz w:val="28"/>
                <w:szCs w:val="28"/>
              </w:rPr>
            </w:pPr>
            <w:r>
              <w:rPr>
                <w:rFonts w:hint="eastAsia" w:ascii="仿宋_GB2312" w:hAnsi="宋体" w:eastAsia="仿宋_GB2312"/>
                <w:color w:val="auto"/>
                <w:sz w:val="28"/>
                <w:szCs w:val="28"/>
              </w:rPr>
              <w:t>方案设计</w:t>
            </w:r>
          </w:p>
        </w:tc>
        <w:tc>
          <w:tcPr>
            <w:tcW w:w="1620" w:type="dxa"/>
            <w:vMerge w:val="restart"/>
            <w:shd w:val="clear" w:color="auto" w:fill="auto"/>
            <w:noWrap/>
            <w:vAlign w:val="center"/>
          </w:tcPr>
          <w:p>
            <w:pPr>
              <w:spacing w:line="560" w:lineRule="exact"/>
              <w:jc w:val="center"/>
              <w:rPr>
                <w:rFonts w:ascii="仿宋_GB2312" w:hAnsi="宋体" w:eastAsia="仿宋_GB2312"/>
                <w:color w:val="auto"/>
                <w:sz w:val="28"/>
                <w:szCs w:val="28"/>
              </w:rPr>
            </w:pPr>
            <w:r>
              <w:rPr>
                <w:rFonts w:hint="eastAsia" w:ascii="仿宋_GB2312" w:hAnsi="宋体" w:eastAsia="仿宋_GB2312"/>
                <w:color w:val="auto"/>
                <w:sz w:val="28"/>
                <w:szCs w:val="28"/>
              </w:rPr>
              <w:t>前期工作部</w:t>
            </w:r>
          </w:p>
        </w:tc>
        <w:tc>
          <w:tcPr>
            <w:tcW w:w="3778" w:type="dxa"/>
            <w:shd w:val="clear" w:color="auto" w:fill="auto"/>
            <w:noWrap/>
            <w:vAlign w:val="center"/>
          </w:tcPr>
          <w:p>
            <w:pPr>
              <w:adjustRightInd w:val="0"/>
              <w:snapToGrid w:val="0"/>
              <w:jc w:val="center"/>
              <w:rPr>
                <w:rFonts w:ascii="仿宋_GB2312" w:hAnsi="宋体" w:eastAsia="仿宋_GB2312"/>
                <w:color w:val="auto"/>
                <w:sz w:val="28"/>
                <w:szCs w:val="28"/>
              </w:rPr>
            </w:pPr>
            <w:r>
              <w:rPr>
                <w:rFonts w:hint="eastAsia" w:ascii="仿宋_GB2312" w:hAnsi="宋体" w:eastAsia="仿宋_GB2312"/>
                <w:color w:val="auto"/>
                <w:sz w:val="28"/>
                <w:szCs w:val="28"/>
              </w:rPr>
              <w:t>取得规划部门对工程方案或修规的批复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28" w:type="dxa"/>
            <w:vMerge w:val="continue"/>
            <w:shd w:val="clear" w:color="auto" w:fill="auto"/>
            <w:noWrap/>
            <w:vAlign w:val="center"/>
          </w:tcPr>
          <w:p>
            <w:pPr>
              <w:adjustRightInd w:val="0"/>
              <w:snapToGrid w:val="0"/>
              <w:jc w:val="center"/>
              <w:rPr>
                <w:rFonts w:ascii="仿宋_GB2312" w:hAnsi="宋体" w:eastAsia="仿宋_GB2312"/>
                <w:color w:val="auto"/>
                <w:sz w:val="28"/>
                <w:szCs w:val="28"/>
              </w:rPr>
            </w:pPr>
          </w:p>
        </w:tc>
        <w:tc>
          <w:tcPr>
            <w:tcW w:w="1440" w:type="dxa"/>
            <w:vMerge w:val="continue"/>
            <w:shd w:val="clear" w:color="auto" w:fill="auto"/>
            <w:noWrap/>
            <w:vAlign w:val="center"/>
          </w:tcPr>
          <w:p>
            <w:pPr>
              <w:adjustRightInd w:val="0"/>
              <w:snapToGrid w:val="0"/>
              <w:jc w:val="center"/>
              <w:rPr>
                <w:rFonts w:ascii="仿宋_GB2312" w:hAnsi="宋体" w:eastAsia="仿宋_GB2312"/>
                <w:color w:val="auto"/>
                <w:sz w:val="28"/>
                <w:szCs w:val="28"/>
              </w:rPr>
            </w:pPr>
          </w:p>
        </w:tc>
        <w:tc>
          <w:tcPr>
            <w:tcW w:w="1620" w:type="dxa"/>
            <w:shd w:val="clear" w:color="auto" w:fill="auto"/>
            <w:noWrap/>
            <w:vAlign w:val="center"/>
          </w:tcPr>
          <w:p>
            <w:pPr>
              <w:adjustRightInd w:val="0"/>
              <w:snapToGrid w:val="0"/>
              <w:jc w:val="center"/>
              <w:rPr>
                <w:rFonts w:ascii="仿宋_GB2312" w:hAnsi="宋体" w:eastAsia="仿宋_GB2312"/>
                <w:color w:val="auto"/>
                <w:sz w:val="28"/>
                <w:szCs w:val="28"/>
              </w:rPr>
            </w:pPr>
            <w:r>
              <w:rPr>
                <w:rFonts w:hint="eastAsia" w:ascii="仿宋_GB2312" w:hAnsi="宋体" w:eastAsia="仿宋_GB2312"/>
                <w:color w:val="auto"/>
                <w:sz w:val="28"/>
                <w:szCs w:val="28"/>
              </w:rPr>
              <w:t>初步设计</w:t>
            </w:r>
          </w:p>
        </w:tc>
        <w:tc>
          <w:tcPr>
            <w:tcW w:w="1620" w:type="dxa"/>
            <w:vMerge w:val="continue"/>
            <w:shd w:val="clear" w:color="auto" w:fill="auto"/>
            <w:noWrap/>
            <w:vAlign w:val="center"/>
          </w:tcPr>
          <w:p>
            <w:pPr>
              <w:spacing w:line="560" w:lineRule="exact"/>
              <w:jc w:val="center"/>
              <w:rPr>
                <w:rFonts w:ascii="仿宋_GB2312" w:hAnsi="宋体" w:eastAsia="仿宋_GB2312"/>
                <w:color w:val="auto"/>
                <w:sz w:val="28"/>
                <w:szCs w:val="28"/>
              </w:rPr>
            </w:pPr>
          </w:p>
        </w:tc>
        <w:tc>
          <w:tcPr>
            <w:tcW w:w="3778" w:type="dxa"/>
            <w:shd w:val="clear" w:color="auto" w:fill="auto"/>
            <w:noWrap/>
            <w:vAlign w:val="center"/>
          </w:tcPr>
          <w:p>
            <w:pPr>
              <w:adjustRightInd w:val="0"/>
              <w:snapToGrid w:val="0"/>
              <w:jc w:val="center"/>
              <w:rPr>
                <w:rFonts w:ascii="仿宋_GB2312" w:hAnsi="宋体" w:eastAsia="仿宋_GB2312"/>
                <w:color w:val="auto"/>
                <w:sz w:val="28"/>
                <w:szCs w:val="28"/>
              </w:rPr>
            </w:pPr>
            <w:r>
              <w:rPr>
                <w:rFonts w:hint="eastAsia" w:ascii="仿宋_GB2312" w:hAnsi="宋体" w:eastAsia="仿宋_GB2312"/>
                <w:color w:val="auto"/>
                <w:sz w:val="28"/>
                <w:szCs w:val="28"/>
              </w:rPr>
              <w:t>取得发改部门对初步设计概算的批复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28" w:type="dxa"/>
            <w:vMerge w:val="continue"/>
            <w:shd w:val="clear" w:color="auto" w:fill="auto"/>
            <w:noWrap/>
            <w:vAlign w:val="center"/>
          </w:tcPr>
          <w:p>
            <w:pPr>
              <w:adjustRightInd w:val="0"/>
              <w:snapToGrid w:val="0"/>
              <w:jc w:val="center"/>
              <w:rPr>
                <w:rFonts w:ascii="仿宋_GB2312" w:hAnsi="宋体" w:eastAsia="仿宋_GB2312"/>
                <w:color w:val="auto"/>
                <w:sz w:val="28"/>
                <w:szCs w:val="28"/>
              </w:rPr>
            </w:pPr>
          </w:p>
        </w:tc>
        <w:tc>
          <w:tcPr>
            <w:tcW w:w="1440" w:type="dxa"/>
            <w:vMerge w:val="continue"/>
            <w:shd w:val="clear" w:color="auto" w:fill="auto"/>
            <w:noWrap/>
            <w:vAlign w:val="center"/>
          </w:tcPr>
          <w:p>
            <w:pPr>
              <w:adjustRightInd w:val="0"/>
              <w:snapToGrid w:val="0"/>
              <w:jc w:val="center"/>
              <w:rPr>
                <w:rFonts w:ascii="仿宋_GB2312" w:hAnsi="宋体" w:eastAsia="仿宋_GB2312"/>
                <w:color w:val="auto"/>
                <w:sz w:val="28"/>
                <w:szCs w:val="28"/>
              </w:rPr>
            </w:pPr>
          </w:p>
        </w:tc>
        <w:tc>
          <w:tcPr>
            <w:tcW w:w="1620" w:type="dxa"/>
            <w:shd w:val="clear" w:color="auto" w:fill="auto"/>
            <w:noWrap/>
            <w:vAlign w:val="center"/>
          </w:tcPr>
          <w:p>
            <w:pPr>
              <w:adjustRightInd w:val="0"/>
              <w:snapToGrid w:val="0"/>
              <w:jc w:val="center"/>
              <w:rPr>
                <w:rFonts w:ascii="仿宋_GB2312" w:hAnsi="宋体" w:eastAsia="仿宋_GB2312"/>
                <w:color w:val="auto"/>
                <w:sz w:val="28"/>
                <w:szCs w:val="28"/>
              </w:rPr>
            </w:pPr>
            <w:r>
              <w:rPr>
                <w:rFonts w:hint="eastAsia" w:ascii="仿宋_GB2312" w:hAnsi="宋体" w:eastAsia="仿宋_GB2312"/>
                <w:strike/>
                <w:color w:val="auto"/>
                <w:sz w:val="28"/>
                <w:szCs w:val="28"/>
              </w:rPr>
              <w:t>施工图设计</w:t>
            </w:r>
          </w:p>
        </w:tc>
        <w:tc>
          <w:tcPr>
            <w:tcW w:w="1620" w:type="dxa"/>
            <w:vMerge w:val="continue"/>
            <w:shd w:val="clear" w:color="auto" w:fill="auto"/>
            <w:noWrap/>
            <w:vAlign w:val="center"/>
          </w:tcPr>
          <w:p>
            <w:pPr>
              <w:spacing w:line="560" w:lineRule="exact"/>
              <w:jc w:val="center"/>
              <w:rPr>
                <w:rFonts w:ascii="仿宋_GB2312" w:hAnsi="宋体" w:eastAsia="仿宋_GB2312"/>
                <w:color w:val="auto"/>
                <w:sz w:val="28"/>
                <w:szCs w:val="28"/>
              </w:rPr>
            </w:pPr>
          </w:p>
        </w:tc>
        <w:tc>
          <w:tcPr>
            <w:tcW w:w="3778" w:type="dxa"/>
            <w:shd w:val="clear" w:color="auto" w:fill="auto"/>
            <w:noWrap/>
            <w:vAlign w:val="center"/>
          </w:tcPr>
          <w:p>
            <w:pPr>
              <w:adjustRightInd w:val="0"/>
              <w:snapToGrid w:val="0"/>
              <w:jc w:val="center"/>
              <w:rPr>
                <w:rFonts w:ascii="仿宋_GB2312" w:hAnsi="宋体" w:eastAsia="仿宋_GB2312"/>
                <w:color w:val="auto"/>
                <w:sz w:val="28"/>
                <w:szCs w:val="28"/>
              </w:rPr>
            </w:pPr>
            <w:r>
              <w:rPr>
                <w:rFonts w:hint="eastAsia" w:ascii="仿宋_GB2312" w:hAnsi="宋体" w:eastAsia="仿宋_GB2312"/>
                <w:strike/>
                <w:color w:val="auto"/>
                <w:sz w:val="28"/>
                <w:szCs w:val="28"/>
              </w:rPr>
              <w:t>取得施工图审查合格报告，其它专业施工图及各专业深化施工图完成施工图审查，且局计划财务部完成施工图预算审定（</w:t>
            </w:r>
            <w:r>
              <w:rPr>
                <w:rFonts w:ascii="仿宋_GB2312" w:hAnsi="宋体" w:eastAsia="仿宋_GB2312"/>
                <w:strike/>
                <w:color w:val="auto"/>
                <w:sz w:val="28"/>
                <w:szCs w:val="28"/>
              </w:rPr>
              <w:t>EPC模式），或完成工程量清单编制并确定招标控制价（传统模式）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shd w:val="clear" w:color="auto" w:fill="auto"/>
            <w:noWrap/>
            <w:vAlign w:val="center"/>
          </w:tcPr>
          <w:p>
            <w:pPr>
              <w:adjustRightInd w:val="0"/>
              <w:snapToGrid w:val="0"/>
              <w:jc w:val="center"/>
              <w:rPr>
                <w:rFonts w:ascii="仿宋_GB2312" w:hAnsi="宋体" w:eastAsia="仿宋_GB2312"/>
                <w:color w:val="auto"/>
                <w:sz w:val="28"/>
                <w:szCs w:val="28"/>
              </w:rPr>
            </w:pPr>
            <w:r>
              <w:rPr>
                <w:rFonts w:hint="eastAsia" w:ascii="仿宋_GB2312" w:hAnsi="宋体" w:eastAsia="仿宋_GB2312"/>
                <w:color w:val="auto"/>
                <w:sz w:val="28"/>
                <w:szCs w:val="28"/>
              </w:rPr>
              <w:t>2</w:t>
            </w:r>
          </w:p>
        </w:tc>
        <w:tc>
          <w:tcPr>
            <w:tcW w:w="3060" w:type="dxa"/>
            <w:gridSpan w:val="2"/>
            <w:shd w:val="clear" w:color="auto" w:fill="auto"/>
            <w:noWrap/>
            <w:vAlign w:val="center"/>
          </w:tcPr>
          <w:p>
            <w:pPr>
              <w:adjustRightInd w:val="0"/>
              <w:snapToGrid w:val="0"/>
              <w:jc w:val="center"/>
              <w:rPr>
                <w:rFonts w:ascii="仿宋_GB2312" w:hAnsi="宋体" w:eastAsia="仿宋_GB2312"/>
                <w:strike/>
                <w:color w:val="auto"/>
                <w:sz w:val="28"/>
                <w:szCs w:val="28"/>
              </w:rPr>
            </w:pPr>
            <w:r>
              <w:rPr>
                <w:rFonts w:hint="eastAsia" w:ascii="仿宋_GB2312" w:hAnsi="宋体" w:eastAsia="仿宋_GB2312"/>
                <w:strike/>
                <w:color w:val="auto"/>
                <w:sz w:val="28"/>
                <w:szCs w:val="28"/>
              </w:rPr>
              <w:t>施工阶段</w:t>
            </w:r>
          </w:p>
        </w:tc>
        <w:tc>
          <w:tcPr>
            <w:tcW w:w="1620" w:type="dxa"/>
            <w:noWrap/>
            <w:vAlign w:val="center"/>
          </w:tcPr>
          <w:p>
            <w:pPr>
              <w:adjustRightInd w:val="0"/>
              <w:snapToGrid w:val="0"/>
              <w:jc w:val="center"/>
              <w:rPr>
                <w:rFonts w:ascii="仿宋_GB2312" w:hAnsi="宋体" w:eastAsia="仿宋_GB2312"/>
                <w:strike/>
                <w:color w:val="auto"/>
                <w:sz w:val="28"/>
                <w:szCs w:val="28"/>
              </w:rPr>
            </w:pPr>
            <w:r>
              <w:rPr>
                <w:rFonts w:hint="eastAsia" w:ascii="仿宋_GB2312" w:hAnsi="宋体" w:eastAsia="仿宋_GB2312"/>
                <w:strike/>
                <w:color w:val="auto"/>
                <w:sz w:val="28"/>
                <w:szCs w:val="28"/>
              </w:rPr>
              <w:t>项目建设管理部</w:t>
            </w:r>
          </w:p>
        </w:tc>
        <w:tc>
          <w:tcPr>
            <w:tcW w:w="3778" w:type="dxa"/>
            <w:noWrap/>
            <w:vAlign w:val="center"/>
          </w:tcPr>
          <w:p>
            <w:pPr>
              <w:adjustRightInd w:val="0"/>
              <w:snapToGrid w:val="0"/>
              <w:jc w:val="center"/>
              <w:rPr>
                <w:rFonts w:ascii="仿宋_GB2312" w:hAnsi="宋体" w:eastAsia="仿宋_GB2312"/>
                <w:strike/>
                <w:color w:val="auto"/>
                <w:sz w:val="28"/>
                <w:szCs w:val="28"/>
              </w:rPr>
            </w:pPr>
            <w:r>
              <w:rPr>
                <w:rFonts w:hint="eastAsia" w:ascii="仿宋_GB2312" w:hAnsi="宋体" w:eastAsia="仿宋_GB2312"/>
                <w:strike/>
                <w:color w:val="auto"/>
                <w:sz w:val="28"/>
                <w:szCs w:val="28"/>
              </w:rPr>
              <w:t>季度末月度下旬进行当季（年）度评价，至完成竣工验收，向城建档案管理部门移交全套工程资料并取得相关证明，并完成所有设计变更审批手续</w:t>
            </w:r>
            <w:r>
              <w:rPr>
                <w:rFonts w:ascii="仿宋_GB2312" w:hAnsi="宋体" w:eastAsia="仿宋_GB2312"/>
                <w:strike/>
                <w:color w:val="auto"/>
                <w:sz w:val="28"/>
                <w:szCs w:val="2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shd w:val="clear" w:color="auto" w:fill="auto"/>
            <w:noWrap/>
            <w:vAlign w:val="center"/>
          </w:tcPr>
          <w:p>
            <w:pPr>
              <w:adjustRightInd w:val="0"/>
              <w:snapToGrid w:val="0"/>
              <w:jc w:val="center"/>
              <w:rPr>
                <w:rFonts w:ascii="仿宋_GB2312" w:hAnsi="宋体" w:eastAsia="仿宋_GB2312"/>
                <w:color w:val="auto"/>
                <w:sz w:val="28"/>
                <w:szCs w:val="28"/>
              </w:rPr>
            </w:pPr>
            <w:r>
              <w:rPr>
                <w:rFonts w:hint="eastAsia" w:ascii="仿宋_GB2312" w:hAnsi="宋体" w:eastAsia="仿宋_GB2312"/>
                <w:color w:val="auto"/>
                <w:sz w:val="28"/>
                <w:szCs w:val="28"/>
              </w:rPr>
              <w:t>3</w:t>
            </w:r>
          </w:p>
        </w:tc>
        <w:tc>
          <w:tcPr>
            <w:tcW w:w="3060" w:type="dxa"/>
            <w:gridSpan w:val="2"/>
            <w:shd w:val="clear" w:color="auto" w:fill="auto"/>
            <w:noWrap/>
            <w:vAlign w:val="center"/>
          </w:tcPr>
          <w:p>
            <w:pPr>
              <w:adjustRightInd w:val="0"/>
              <w:snapToGrid w:val="0"/>
              <w:jc w:val="center"/>
              <w:rPr>
                <w:rFonts w:ascii="仿宋_GB2312" w:hAnsi="宋体" w:eastAsia="仿宋_GB2312"/>
                <w:strike/>
                <w:color w:val="auto"/>
                <w:sz w:val="28"/>
                <w:szCs w:val="28"/>
              </w:rPr>
            </w:pPr>
            <w:r>
              <w:rPr>
                <w:rFonts w:hint="eastAsia" w:ascii="仿宋_GB2312" w:hAnsi="宋体" w:eastAsia="仿宋_GB2312"/>
                <w:strike/>
                <w:color w:val="auto"/>
                <w:sz w:val="28"/>
                <w:szCs w:val="28"/>
              </w:rPr>
              <w:t>缺陷责任期阶段</w:t>
            </w:r>
          </w:p>
        </w:tc>
        <w:tc>
          <w:tcPr>
            <w:tcW w:w="1620" w:type="dxa"/>
            <w:noWrap/>
            <w:vAlign w:val="center"/>
          </w:tcPr>
          <w:p>
            <w:pPr>
              <w:adjustRightInd w:val="0"/>
              <w:snapToGrid w:val="0"/>
              <w:jc w:val="center"/>
              <w:rPr>
                <w:rFonts w:ascii="仿宋_GB2312" w:hAnsi="宋体" w:eastAsia="仿宋_GB2312"/>
                <w:strike/>
                <w:color w:val="auto"/>
                <w:sz w:val="28"/>
                <w:szCs w:val="28"/>
              </w:rPr>
            </w:pPr>
            <w:r>
              <w:rPr>
                <w:rFonts w:hint="eastAsia" w:ascii="仿宋_GB2312" w:hAnsi="宋体" w:eastAsia="仿宋_GB2312"/>
                <w:strike/>
                <w:color w:val="auto"/>
                <w:sz w:val="28"/>
                <w:szCs w:val="28"/>
              </w:rPr>
              <w:t>项目建设管理部</w:t>
            </w:r>
          </w:p>
        </w:tc>
        <w:tc>
          <w:tcPr>
            <w:tcW w:w="3778" w:type="dxa"/>
            <w:noWrap/>
            <w:vAlign w:val="center"/>
          </w:tcPr>
          <w:p>
            <w:pPr>
              <w:adjustRightInd w:val="0"/>
              <w:snapToGrid w:val="0"/>
              <w:jc w:val="center"/>
              <w:rPr>
                <w:rFonts w:ascii="仿宋_GB2312" w:hAnsi="宋体" w:eastAsia="仿宋_GB2312"/>
                <w:strike/>
                <w:color w:val="auto"/>
                <w:sz w:val="28"/>
                <w:szCs w:val="28"/>
              </w:rPr>
            </w:pPr>
            <w:r>
              <w:rPr>
                <w:rFonts w:hint="eastAsia" w:ascii="仿宋_GB2312" w:hAnsi="宋体" w:eastAsia="仿宋_GB2312"/>
                <w:strike/>
                <w:color w:val="auto"/>
                <w:sz w:val="28"/>
                <w:szCs w:val="28"/>
              </w:rPr>
              <w:t>年度末月度下旬进行当年评价，至缺陷责任期届满</w:t>
            </w:r>
          </w:p>
        </w:tc>
      </w:tr>
    </w:tbl>
    <w:p>
      <w:pPr>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（一）设计阶段</w:t>
      </w:r>
    </w:p>
    <w:p>
      <w:pPr>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对设计单位进行分阶段三次评价，分别为：</w:t>
      </w:r>
    </w:p>
    <w:p>
      <w:pPr>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1、方案设计评价</w:t>
      </w:r>
    </w:p>
    <w:p>
      <w:pPr>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取得规划部门对工程方案或修规的批复后，由前期工作部项目负责人填写《方案设计阶段合同履约评价表》（按附件一格式），报前期工作部部长审定。</w:t>
      </w:r>
    </w:p>
    <w:p>
      <w:pPr>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2、初步设计评价</w:t>
      </w:r>
    </w:p>
    <w:p>
      <w:pPr>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取得发改部门对初步设计概算的批复后，由前期工作部项目负责人填写《初步设计阶段合同履约评价表》（按附件二格式），报前期工作部部长审定。</w:t>
      </w:r>
    </w:p>
    <w:p>
      <w:pPr>
        <w:spacing w:line="560" w:lineRule="exact"/>
        <w:ind w:firstLine="640" w:firstLineChars="200"/>
        <w:rPr>
          <w:rFonts w:ascii="仿宋_GB2312" w:eastAsia="仿宋_GB2312"/>
          <w:strike/>
          <w:color w:val="auto"/>
          <w:sz w:val="32"/>
          <w:szCs w:val="32"/>
        </w:rPr>
      </w:pPr>
      <w:r>
        <w:rPr>
          <w:rFonts w:hint="eastAsia" w:ascii="仿宋_GB2312" w:eastAsia="仿宋_GB2312"/>
          <w:strike/>
          <w:color w:val="auto"/>
          <w:sz w:val="32"/>
          <w:szCs w:val="32"/>
        </w:rPr>
        <w:t>3、施工图设计评价</w:t>
      </w:r>
    </w:p>
    <w:p>
      <w:pPr>
        <w:spacing w:line="560" w:lineRule="exact"/>
        <w:ind w:firstLine="640" w:firstLineChars="200"/>
        <w:rPr>
          <w:rFonts w:ascii="仿宋_GB2312" w:eastAsia="仿宋_GB2312"/>
          <w:strike/>
          <w:color w:val="auto"/>
          <w:sz w:val="32"/>
          <w:szCs w:val="32"/>
        </w:rPr>
      </w:pPr>
      <w:r>
        <w:rPr>
          <w:rFonts w:hint="eastAsia" w:ascii="仿宋_GB2312" w:eastAsia="仿宋_GB2312"/>
          <w:strike/>
          <w:color w:val="auto"/>
          <w:sz w:val="32"/>
          <w:szCs w:val="32"/>
        </w:rPr>
        <w:t>取得施工图审查合格报告，且局计划财务部完成施工图预算审定（适用于EPC模式），或完成工程量清单编制并确定招标控制价（适用于传统模式）后，由前期工作部项目负责人填写《施工图设计阶段合同履约评价表》（按附件三格式），报前期工作部部长审定。</w:t>
      </w:r>
    </w:p>
    <w:p>
      <w:pPr>
        <w:spacing w:line="560" w:lineRule="exact"/>
        <w:ind w:firstLine="640" w:firstLineChars="200"/>
        <w:rPr>
          <w:rFonts w:ascii="仿宋_GB2312" w:eastAsia="仿宋_GB2312"/>
          <w:strike/>
          <w:color w:val="auto"/>
          <w:sz w:val="32"/>
          <w:szCs w:val="32"/>
        </w:rPr>
      </w:pPr>
      <w:r>
        <w:rPr>
          <w:rFonts w:hint="eastAsia" w:ascii="仿宋_GB2312" w:eastAsia="仿宋_GB2312"/>
          <w:strike/>
          <w:color w:val="auto"/>
          <w:sz w:val="32"/>
          <w:szCs w:val="32"/>
        </w:rPr>
        <w:t>（二）施工阶段</w:t>
      </w:r>
    </w:p>
    <w:p>
      <w:pPr>
        <w:spacing w:line="560" w:lineRule="exact"/>
        <w:ind w:firstLine="640" w:firstLineChars="200"/>
        <w:rPr>
          <w:rFonts w:ascii="仿宋_GB2312" w:eastAsia="仿宋_GB2312"/>
          <w:strike/>
          <w:color w:val="auto"/>
          <w:sz w:val="32"/>
          <w:szCs w:val="32"/>
        </w:rPr>
      </w:pPr>
      <w:r>
        <w:rPr>
          <w:rFonts w:hint="eastAsia" w:ascii="仿宋_GB2312" w:eastAsia="仿宋_GB2312"/>
          <w:strike/>
          <w:color w:val="auto"/>
          <w:sz w:val="32"/>
          <w:szCs w:val="32"/>
        </w:rPr>
        <w:t>对设计单位进行季度评价，评价时间为季度末月度下旬（第四季度末月度下旬进行当年度评价），自取得施工许可证起，至向城建档案管理部门移交全套工程资料并取得相关证明后止，由项目建设管理部派驻现场项目负责人会同前期工作部项目负责人填写《施工阶段设计合同履约评价表》（按附件四格式），报项目建设管理部部长审定。</w:t>
      </w:r>
    </w:p>
    <w:p>
      <w:pPr>
        <w:spacing w:line="560" w:lineRule="exact"/>
        <w:ind w:firstLine="640" w:firstLineChars="200"/>
        <w:rPr>
          <w:rFonts w:ascii="仿宋_GB2312" w:eastAsia="仿宋_GB2312"/>
          <w:strike/>
          <w:color w:val="auto"/>
          <w:sz w:val="32"/>
          <w:szCs w:val="32"/>
        </w:rPr>
      </w:pPr>
      <w:r>
        <w:rPr>
          <w:rFonts w:hint="eastAsia" w:ascii="仿宋_GB2312" w:eastAsia="仿宋_GB2312"/>
          <w:strike/>
          <w:color w:val="auto"/>
          <w:sz w:val="32"/>
          <w:szCs w:val="32"/>
        </w:rPr>
        <w:t>（三）缺陷责任期阶段</w:t>
      </w:r>
    </w:p>
    <w:p>
      <w:pPr>
        <w:spacing w:line="560" w:lineRule="exact"/>
        <w:ind w:firstLine="640" w:firstLineChars="200"/>
        <w:rPr>
          <w:rFonts w:ascii="仿宋_GB2312" w:eastAsia="仿宋_GB2312"/>
          <w:color w:val="auto"/>
          <w:sz w:val="32"/>
          <w:szCs w:val="32"/>
        </w:rPr>
      </w:pPr>
      <w:r>
        <w:rPr>
          <w:rFonts w:hint="eastAsia" w:ascii="仿宋_GB2312" w:eastAsia="仿宋_GB2312"/>
          <w:strike/>
          <w:color w:val="auto"/>
          <w:sz w:val="32"/>
          <w:szCs w:val="32"/>
        </w:rPr>
        <w:t>对设计单位进行年度评价，评价时间为年度末月度下旬，自取得竣工验收相关证明之日起，至缺陷责任期（除基础设施工程、房屋建筑地基基础工程和主体结构工程外最长的保修期计）届满止，由项目建设管理部派驻现场项目负责人会同前期工作部项目负责人填写《缺陷责任期阶段设计合同履约评价表》（按附件五格式），报项目建设管理部部长审定。</w:t>
      </w:r>
    </w:p>
    <w:p>
      <w:pPr>
        <w:spacing w:line="560" w:lineRule="exact"/>
        <w:ind w:firstLine="643" w:firstLineChars="200"/>
        <w:rPr>
          <w:rFonts w:ascii="仿宋_GB2312" w:eastAsia="仿宋_GB2312"/>
          <w:color w:val="auto"/>
          <w:sz w:val="32"/>
          <w:szCs w:val="32"/>
        </w:rPr>
      </w:pPr>
      <w:r>
        <w:rPr>
          <w:rFonts w:hint="eastAsia" w:ascii="仿宋_GB2312" w:eastAsia="仿宋_GB2312"/>
          <w:b/>
          <w:color w:val="auto"/>
          <w:sz w:val="32"/>
          <w:szCs w:val="32"/>
        </w:rPr>
        <w:t xml:space="preserve">第四条 </w:t>
      </w:r>
      <w:r>
        <w:rPr>
          <w:rFonts w:hint="eastAsia" w:ascii="仿宋_GB2312" w:eastAsia="仿宋_GB2312"/>
          <w:color w:val="auto"/>
          <w:sz w:val="32"/>
          <w:szCs w:val="32"/>
        </w:rPr>
        <w:t>评价内容</w:t>
      </w:r>
    </w:p>
    <w:p>
      <w:pPr>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（一）各责任部门按照本办法附件中所列项目进行独立打分，凡出现扣分项的，应在设计合同履约评分表中说明具体扣分原因。</w:t>
      </w:r>
    </w:p>
    <w:p>
      <w:pPr>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（二）评价期内建设行政主管部门、使用单位、设计单位上级主管单位（部门）、局下发的整改通知或通报所提问题，凡符合附件中有关内容的，均应纳入评价结果。</w:t>
      </w:r>
    </w:p>
    <w:p>
      <w:pPr>
        <w:spacing w:line="560" w:lineRule="exact"/>
        <w:ind w:firstLine="643" w:firstLineChars="200"/>
        <w:rPr>
          <w:rFonts w:ascii="仿宋_GB2312" w:eastAsia="仿宋_GB2312"/>
          <w:bCs/>
          <w:color w:val="auto"/>
          <w:sz w:val="32"/>
          <w:szCs w:val="32"/>
        </w:rPr>
      </w:pPr>
      <w:r>
        <w:rPr>
          <w:rFonts w:hint="eastAsia" w:ascii="仿宋_GB2312" w:eastAsia="仿宋_GB2312"/>
          <w:b/>
          <w:color w:val="auto"/>
          <w:sz w:val="32"/>
          <w:szCs w:val="32"/>
        </w:rPr>
        <w:t xml:space="preserve">第五条 </w:t>
      </w:r>
      <w:r>
        <w:rPr>
          <w:rFonts w:hint="eastAsia" w:ascii="仿宋_GB2312" w:eastAsia="仿宋_GB2312"/>
          <w:color w:val="auto"/>
          <w:sz w:val="32"/>
          <w:szCs w:val="32"/>
        </w:rPr>
        <w:t>设计费用的支付</w:t>
      </w:r>
    </w:p>
    <w:p>
      <w:pPr>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（一）项目设计费用的支付节点分别为：</w:t>
      </w:r>
    </w:p>
    <w:p>
      <w:pPr>
        <w:spacing w:line="560" w:lineRule="exact"/>
        <w:ind w:firstLine="640" w:firstLineChars="200"/>
        <w:rPr>
          <w:rFonts w:ascii="仿宋_GB2312" w:eastAsia="仿宋_GB2312"/>
          <w:strike/>
          <w:color w:val="auto"/>
          <w:sz w:val="32"/>
          <w:szCs w:val="32"/>
        </w:rPr>
      </w:pPr>
      <w:r>
        <w:rPr>
          <w:rFonts w:hint="eastAsia" w:ascii="仿宋_GB2312" w:eastAsia="仿宋_GB2312"/>
          <w:strike/>
          <w:color w:val="auto"/>
          <w:sz w:val="32"/>
          <w:szCs w:val="32"/>
        </w:rPr>
        <w:t>1、全阶段设计模式（含全过程EPC模式、传统模式）</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5220"/>
        <w:gridCol w:w="2340"/>
        <w:gridCol w:w="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ign w:val="center"/>
          </w:tcPr>
          <w:p>
            <w:pPr>
              <w:adjustRightInd w:val="0"/>
              <w:snapToGrid w:val="0"/>
              <w:jc w:val="center"/>
              <w:rPr>
                <w:rFonts w:ascii="仿宋_GB2312" w:hAnsi="宋体" w:eastAsia="仿宋_GB2312"/>
                <w:strike/>
                <w:color w:val="auto"/>
                <w:sz w:val="28"/>
                <w:szCs w:val="28"/>
              </w:rPr>
            </w:pPr>
            <w:r>
              <w:rPr>
                <w:rFonts w:hint="eastAsia" w:ascii="仿宋_GB2312" w:hAnsi="宋体" w:eastAsia="仿宋_GB2312"/>
                <w:strike/>
                <w:color w:val="auto"/>
                <w:sz w:val="28"/>
                <w:szCs w:val="28"/>
              </w:rPr>
              <w:t>支付节点</w:t>
            </w:r>
          </w:p>
        </w:tc>
        <w:tc>
          <w:tcPr>
            <w:tcW w:w="5220" w:type="dxa"/>
            <w:noWrap/>
            <w:vAlign w:val="center"/>
          </w:tcPr>
          <w:p>
            <w:pPr>
              <w:adjustRightInd w:val="0"/>
              <w:snapToGrid w:val="0"/>
              <w:jc w:val="center"/>
              <w:rPr>
                <w:rFonts w:ascii="仿宋_GB2312" w:hAnsi="宋体" w:eastAsia="仿宋_GB2312"/>
                <w:strike/>
                <w:color w:val="auto"/>
                <w:sz w:val="28"/>
                <w:szCs w:val="28"/>
              </w:rPr>
            </w:pPr>
            <w:r>
              <w:rPr>
                <w:rFonts w:hint="eastAsia" w:ascii="仿宋_GB2312" w:hAnsi="宋体" w:eastAsia="仿宋_GB2312"/>
                <w:strike/>
                <w:color w:val="auto"/>
                <w:sz w:val="28"/>
                <w:szCs w:val="28"/>
              </w:rPr>
              <w:t>支付条件</w:t>
            </w:r>
          </w:p>
        </w:tc>
        <w:tc>
          <w:tcPr>
            <w:tcW w:w="2340" w:type="dxa"/>
            <w:noWrap/>
            <w:vAlign w:val="center"/>
          </w:tcPr>
          <w:p>
            <w:pPr>
              <w:adjustRightInd w:val="0"/>
              <w:snapToGrid w:val="0"/>
              <w:jc w:val="center"/>
              <w:rPr>
                <w:rFonts w:ascii="仿宋_GB2312" w:hAnsi="宋体" w:eastAsia="仿宋_GB2312"/>
                <w:strike/>
                <w:color w:val="auto"/>
                <w:sz w:val="28"/>
                <w:szCs w:val="28"/>
              </w:rPr>
            </w:pPr>
            <w:r>
              <w:rPr>
                <w:rFonts w:hint="eastAsia" w:ascii="仿宋_GB2312" w:hAnsi="宋体" w:eastAsia="仿宋_GB2312"/>
                <w:strike/>
                <w:color w:val="auto"/>
                <w:sz w:val="28"/>
                <w:szCs w:val="28"/>
              </w:rPr>
              <w:t>支付金额</w:t>
            </w:r>
          </w:p>
        </w:tc>
        <w:tc>
          <w:tcPr>
            <w:tcW w:w="898" w:type="dxa"/>
            <w:noWrap/>
            <w:vAlign w:val="center"/>
          </w:tcPr>
          <w:p>
            <w:pPr>
              <w:adjustRightInd w:val="0"/>
              <w:snapToGrid w:val="0"/>
              <w:jc w:val="center"/>
              <w:rPr>
                <w:rFonts w:ascii="仿宋_GB2312" w:hAnsi="宋体" w:eastAsia="仿宋_GB2312"/>
                <w:strike/>
                <w:color w:val="auto"/>
                <w:sz w:val="28"/>
                <w:szCs w:val="28"/>
              </w:rPr>
            </w:pPr>
            <w:r>
              <w:rPr>
                <w:rFonts w:hint="eastAsia" w:ascii="仿宋_GB2312" w:hAnsi="宋体" w:eastAsia="仿宋_GB2312"/>
                <w:strike/>
                <w:color w:val="auto"/>
                <w:sz w:val="28"/>
                <w:szCs w:val="28"/>
              </w:rPr>
              <w:t>考评标准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ign w:val="center"/>
          </w:tcPr>
          <w:p>
            <w:pPr>
              <w:adjustRightInd w:val="0"/>
              <w:snapToGrid w:val="0"/>
              <w:jc w:val="center"/>
              <w:rPr>
                <w:rFonts w:ascii="仿宋_GB2312" w:hAnsi="宋体" w:eastAsia="仿宋_GB2312"/>
                <w:strike/>
                <w:color w:val="auto"/>
                <w:sz w:val="28"/>
                <w:szCs w:val="28"/>
              </w:rPr>
            </w:pPr>
            <w:r>
              <w:rPr>
                <w:rFonts w:ascii="仿宋_GB2312" w:hAnsi="宋体" w:eastAsia="仿宋_GB2312"/>
                <w:strike/>
                <w:color w:val="auto"/>
                <w:sz w:val="28"/>
                <w:szCs w:val="28"/>
              </w:rPr>
              <w:t>1</w:t>
            </w:r>
          </w:p>
        </w:tc>
        <w:tc>
          <w:tcPr>
            <w:tcW w:w="5220" w:type="dxa"/>
            <w:noWrap/>
            <w:vAlign w:val="center"/>
          </w:tcPr>
          <w:p>
            <w:pPr>
              <w:adjustRightInd w:val="0"/>
              <w:snapToGrid w:val="0"/>
              <w:jc w:val="center"/>
              <w:rPr>
                <w:rFonts w:ascii="仿宋_GB2312" w:hAnsi="宋体" w:eastAsia="仿宋_GB2312"/>
                <w:strike/>
                <w:color w:val="auto"/>
                <w:sz w:val="28"/>
                <w:szCs w:val="28"/>
              </w:rPr>
            </w:pPr>
            <w:r>
              <w:rPr>
                <w:rFonts w:hint="eastAsia" w:ascii="仿宋_GB2312" w:hAnsi="宋体" w:eastAsia="仿宋_GB2312"/>
                <w:strike/>
                <w:color w:val="auto"/>
                <w:sz w:val="28"/>
                <w:szCs w:val="28"/>
              </w:rPr>
              <w:t>签订合同并提交履约保函</w:t>
            </w:r>
          </w:p>
        </w:tc>
        <w:tc>
          <w:tcPr>
            <w:tcW w:w="2340" w:type="dxa"/>
            <w:noWrap/>
            <w:vAlign w:val="center"/>
          </w:tcPr>
          <w:p>
            <w:pPr>
              <w:adjustRightInd w:val="0"/>
              <w:snapToGrid w:val="0"/>
              <w:jc w:val="center"/>
              <w:rPr>
                <w:rFonts w:ascii="仿宋_GB2312" w:hAnsi="宋体" w:eastAsia="仿宋_GB2312"/>
                <w:strike/>
                <w:color w:val="auto"/>
                <w:sz w:val="28"/>
                <w:szCs w:val="28"/>
              </w:rPr>
            </w:pPr>
            <w:r>
              <w:rPr>
                <w:rFonts w:hint="eastAsia" w:ascii="仿宋_GB2312" w:hAnsi="宋体" w:eastAsia="仿宋_GB2312"/>
                <w:strike/>
                <w:color w:val="auto"/>
                <w:sz w:val="28"/>
                <w:szCs w:val="28"/>
              </w:rPr>
              <w:t>基数×</w:t>
            </w:r>
            <w:r>
              <w:rPr>
                <w:rFonts w:ascii="仿宋_GB2312" w:hAnsi="宋体" w:eastAsia="仿宋_GB2312"/>
                <w:strike/>
                <w:color w:val="auto"/>
                <w:sz w:val="28"/>
                <w:szCs w:val="28"/>
              </w:rPr>
              <w:t>10%</w:t>
            </w:r>
          </w:p>
        </w:tc>
        <w:tc>
          <w:tcPr>
            <w:tcW w:w="898" w:type="dxa"/>
            <w:noWrap/>
            <w:vAlign w:val="center"/>
          </w:tcPr>
          <w:p>
            <w:pPr>
              <w:adjustRightInd w:val="0"/>
              <w:snapToGrid w:val="0"/>
              <w:jc w:val="center"/>
              <w:rPr>
                <w:rFonts w:ascii="仿宋_GB2312" w:hAnsi="宋体" w:eastAsia="仿宋_GB2312"/>
                <w:strike/>
                <w:color w:val="auto"/>
                <w:sz w:val="28"/>
                <w:szCs w:val="28"/>
              </w:rPr>
            </w:pPr>
            <w:r>
              <w:rPr>
                <w:rFonts w:ascii="仿宋_GB2312" w:hAnsi="宋体" w:eastAsia="仿宋_GB2312"/>
                <w:strike/>
                <w:color w:val="auto"/>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ign w:val="center"/>
          </w:tcPr>
          <w:p>
            <w:pPr>
              <w:adjustRightInd w:val="0"/>
              <w:snapToGrid w:val="0"/>
              <w:jc w:val="center"/>
              <w:rPr>
                <w:rFonts w:ascii="仿宋_GB2312" w:hAnsi="宋体" w:eastAsia="仿宋_GB2312"/>
                <w:strike/>
                <w:color w:val="auto"/>
                <w:sz w:val="28"/>
                <w:szCs w:val="28"/>
              </w:rPr>
            </w:pPr>
            <w:r>
              <w:rPr>
                <w:rFonts w:ascii="仿宋_GB2312" w:hAnsi="宋体" w:eastAsia="仿宋_GB2312"/>
                <w:strike/>
                <w:color w:val="auto"/>
                <w:sz w:val="28"/>
                <w:szCs w:val="28"/>
              </w:rPr>
              <w:t>2</w:t>
            </w:r>
          </w:p>
        </w:tc>
        <w:tc>
          <w:tcPr>
            <w:tcW w:w="5220" w:type="dxa"/>
            <w:noWrap/>
            <w:vAlign w:val="center"/>
          </w:tcPr>
          <w:p>
            <w:pPr>
              <w:adjustRightInd w:val="0"/>
              <w:snapToGrid w:val="0"/>
              <w:jc w:val="center"/>
              <w:rPr>
                <w:rFonts w:ascii="仿宋_GB2312" w:hAnsi="宋体" w:eastAsia="仿宋_GB2312"/>
                <w:strike/>
                <w:color w:val="auto"/>
                <w:sz w:val="28"/>
                <w:szCs w:val="28"/>
              </w:rPr>
            </w:pPr>
            <w:r>
              <w:rPr>
                <w:rFonts w:hint="eastAsia" w:ascii="仿宋_GB2312" w:hAnsi="宋体" w:eastAsia="仿宋_GB2312"/>
                <w:strike/>
                <w:color w:val="auto"/>
                <w:sz w:val="28"/>
                <w:szCs w:val="28"/>
              </w:rPr>
              <w:t>取得规划部门对工程方案或修规的批复</w:t>
            </w:r>
          </w:p>
        </w:tc>
        <w:tc>
          <w:tcPr>
            <w:tcW w:w="2340" w:type="dxa"/>
            <w:noWrap/>
            <w:vAlign w:val="center"/>
          </w:tcPr>
          <w:p>
            <w:pPr>
              <w:adjustRightInd w:val="0"/>
              <w:snapToGrid w:val="0"/>
              <w:jc w:val="center"/>
              <w:rPr>
                <w:rFonts w:ascii="仿宋_GB2312" w:hAnsi="宋体" w:eastAsia="仿宋_GB2312"/>
                <w:strike/>
                <w:color w:val="auto"/>
                <w:sz w:val="28"/>
                <w:szCs w:val="28"/>
              </w:rPr>
            </w:pPr>
            <w:r>
              <w:rPr>
                <w:rFonts w:hint="eastAsia" w:ascii="仿宋_GB2312" w:hAnsi="宋体" w:eastAsia="仿宋_GB2312"/>
                <w:strike/>
                <w:color w:val="auto"/>
                <w:sz w:val="28"/>
                <w:szCs w:val="28"/>
              </w:rPr>
              <w:t>基数×</w:t>
            </w:r>
            <w:r>
              <w:rPr>
                <w:rFonts w:ascii="仿宋_GB2312" w:hAnsi="宋体" w:eastAsia="仿宋_GB2312"/>
                <w:strike/>
                <w:color w:val="auto"/>
                <w:sz w:val="28"/>
                <w:szCs w:val="28"/>
              </w:rPr>
              <w:t>15%×A</w:t>
            </w:r>
          </w:p>
        </w:tc>
        <w:tc>
          <w:tcPr>
            <w:tcW w:w="898" w:type="dxa"/>
            <w:noWrap/>
            <w:vAlign w:val="center"/>
          </w:tcPr>
          <w:p>
            <w:pPr>
              <w:adjustRightInd w:val="0"/>
              <w:snapToGrid w:val="0"/>
              <w:jc w:val="center"/>
              <w:rPr>
                <w:rFonts w:ascii="仿宋_GB2312" w:hAnsi="宋体" w:eastAsia="仿宋_GB2312"/>
                <w:strike/>
                <w:color w:val="auto"/>
                <w:sz w:val="28"/>
                <w:szCs w:val="28"/>
              </w:rPr>
            </w:pPr>
            <w:r>
              <w:rPr>
                <w:rFonts w:hint="eastAsia" w:ascii="仿宋_GB2312" w:hAnsi="宋体" w:eastAsia="仿宋_GB2312"/>
                <w:strike/>
                <w:color w:val="auto"/>
                <w:sz w:val="28"/>
                <w:szCs w:val="28"/>
              </w:rPr>
              <w:t>按附件一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ign w:val="center"/>
          </w:tcPr>
          <w:p>
            <w:pPr>
              <w:adjustRightInd w:val="0"/>
              <w:snapToGrid w:val="0"/>
              <w:jc w:val="center"/>
              <w:rPr>
                <w:rFonts w:ascii="仿宋_GB2312" w:hAnsi="宋体" w:eastAsia="仿宋_GB2312"/>
                <w:strike/>
                <w:color w:val="auto"/>
                <w:sz w:val="28"/>
                <w:szCs w:val="28"/>
              </w:rPr>
            </w:pPr>
            <w:r>
              <w:rPr>
                <w:rFonts w:ascii="仿宋_GB2312" w:hAnsi="宋体" w:eastAsia="仿宋_GB2312"/>
                <w:strike/>
                <w:color w:val="auto"/>
                <w:sz w:val="28"/>
                <w:szCs w:val="28"/>
              </w:rPr>
              <w:t>3</w:t>
            </w:r>
          </w:p>
        </w:tc>
        <w:tc>
          <w:tcPr>
            <w:tcW w:w="5220" w:type="dxa"/>
            <w:noWrap/>
            <w:vAlign w:val="center"/>
          </w:tcPr>
          <w:p>
            <w:pPr>
              <w:adjustRightInd w:val="0"/>
              <w:snapToGrid w:val="0"/>
              <w:jc w:val="center"/>
              <w:rPr>
                <w:rFonts w:ascii="仿宋_GB2312" w:hAnsi="宋体" w:eastAsia="仿宋_GB2312"/>
                <w:strike/>
                <w:color w:val="auto"/>
                <w:sz w:val="28"/>
                <w:szCs w:val="28"/>
              </w:rPr>
            </w:pPr>
            <w:r>
              <w:rPr>
                <w:rFonts w:hint="eastAsia" w:ascii="仿宋_GB2312" w:hAnsi="宋体" w:eastAsia="仿宋_GB2312"/>
                <w:strike/>
                <w:color w:val="auto"/>
                <w:sz w:val="28"/>
                <w:szCs w:val="28"/>
              </w:rPr>
              <w:t>取得发改部门对初步设计概算的批复</w:t>
            </w:r>
          </w:p>
        </w:tc>
        <w:tc>
          <w:tcPr>
            <w:tcW w:w="2340" w:type="dxa"/>
            <w:noWrap/>
            <w:vAlign w:val="center"/>
          </w:tcPr>
          <w:p>
            <w:pPr>
              <w:adjustRightInd w:val="0"/>
              <w:snapToGrid w:val="0"/>
              <w:jc w:val="center"/>
              <w:rPr>
                <w:rFonts w:ascii="仿宋_GB2312" w:hAnsi="宋体" w:eastAsia="仿宋_GB2312"/>
                <w:strike/>
                <w:color w:val="auto"/>
                <w:sz w:val="28"/>
                <w:szCs w:val="28"/>
              </w:rPr>
            </w:pPr>
            <w:r>
              <w:rPr>
                <w:rFonts w:hint="eastAsia" w:ascii="仿宋_GB2312" w:hAnsi="宋体" w:eastAsia="仿宋_GB2312"/>
                <w:strike/>
                <w:color w:val="auto"/>
                <w:sz w:val="28"/>
                <w:szCs w:val="28"/>
              </w:rPr>
              <w:t>基数×</w:t>
            </w:r>
            <w:r>
              <w:rPr>
                <w:rFonts w:ascii="仿宋_GB2312" w:hAnsi="宋体" w:eastAsia="仿宋_GB2312"/>
                <w:strike/>
                <w:color w:val="auto"/>
                <w:sz w:val="28"/>
                <w:szCs w:val="28"/>
              </w:rPr>
              <w:t>20%×A</w:t>
            </w:r>
          </w:p>
        </w:tc>
        <w:tc>
          <w:tcPr>
            <w:tcW w:w="898" w:type="dxa"/>
            <w:noWrap/>
            <w:vAlign w:val="center"/>
          </w:tcPr>
          <w:p>
            <w:pPr>
              <w:adjustRightInd w:val="0"/>
              <w:snapToGrid w:val="0"/>
              <w:jc w:val="center"/>
              <w:rPr>
                <w:rFonts w:ascii="仿宋_GB2312" w:hAnsi="宋体" w:eastAsia="仿宋_GB2312"/>
                <w:strike/>
                <w:color w:val="auto"/>
                <w:sz w:val="28"/>
                <w:szCs w:val="28"/>
              </w:rPr>
            </w:pPr>
            <w:r>
              <w:rPr>
                <w:rFonts w:hint="eastAsia" w:ascii="仿宋_GB2312" w:hAnsi="宋体" w:eastAsia="仿宋_GB2312"/>
                <w:strike/>
                <w:color w:val="auto"/>
                <w:sz w:val="28"/>
                <w:szCs w:val="28"/>
              </w:rPr>
              <w:t>按附件二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ign w:val="center"/>
          </w:tcPr>
          <w:p>
            <w:pPr>
              <w:adjustRightInd w:val="0"/>
              <w:snapToGrid w:val="0"/>
              <w:jc w:val="center"/>
              <w:rPr>
                <w:rFonts w:ascii="仿宋_GB2312" w:hAnsi="宋体" w:eastAsia="仿宋_GB2312"/>
                <w:strike/>
                <w:color w:val="auto"/>
                <w:sz w:val="28"/>
                <w:szCs w:val="28"/>
              </w:rPr>
            </w:pPr>
            <w:r>
              <w:rPr>
                <w:rFonts w:ascii="仿宋_GB2312" w:hAnsi="宋体" w:eastAsia="仿宋_GB2312"/>
                <w:strike/>
                <w:color w:val="auto"/>
                <w:sz w:val="28"/>
                <w:szCs w:val="28"/>
              </w:rPr>
              <w:t>4</w:t>
            </w:r>
          </w:p>
        </w:tc>
        <w:tc>
          <w:tcPr>
            <w:tcW w:w="5220" w:type="dxa"/>
            <w:noWrap/>
            <w:vAlign w:val="center"/>
          </w:tcPr>
          <w:p>
            <w:pPr>
              <w:adjustRightInd w:val="0"/>
              <w:snapToGrid w:val="0"/>
              <w:jc w:val="center"/>
              <w:rPr>
                <w:rFonts w:ascii="仿宋_GB2312" w:hAnsi="宋体" w:eastAsia="仿宋_GB2312"/>
                <w:strike/>
                <w:color w:val="auto"/>
                <w:sz w:val="28"/>
                <w:szCs w:val="28"/>
              </w:rPr>
            </w:pPr>
            <w:r>
              <w:rPr>
                <w:rFonts w:hint="eastAsia" w:ascii="仿宋_GB2312" w:hAnsi="宋体" w:eastAsia="仿宋_GB2312"/>
                <w:strike/>
                <w:color w:val="auto"/>
                <w:sz w:val="28"/>
                <w:szCs w:val="28"/>
              </w:rPr>
              <w:t>取得施工图审查合格报告，且完成施工图预算审定（</w:t>
            </w:r>
            <w:r>
              <w:rPr>
                <w:rFonts w:ascii="仿宋_GB2312" w:hAnsi="宋体" w:eastAsia="仿宋_GB2312"/>
                <w:strike/>
                <w:color w:val="auto"/>
                <w:sz w:val="28"/>
                <w:szCs w:val="28"/>
              </w:rPr>
              <w:t>EPC模式），或完成工程量清单编制并确定招标控制价（传统模式）</w:t>
            </w:r>
          </w:p>
        </w:tc>
        <w:tc>
          <w:tcPr>
            <w:tcW w:w="2340" w:type="dxa"/>
            <w:noWrap/>
            <w:vAlign w:val="center"/>
          </w:tcPr>
          <w:p>
            <w:pPr>
              <w:adjustRightInd w:val="0"/>
              <w:snapToGrid w:val="0"/>
              <w:jc w:val="center"/>
              <w:rPr>
                <w:rFonts w:ascii="仿宋_GB2312" w:hAnsi="宋体" w:eastAsia="仿宋_GB2312"/>
                <w:strike/>
                <w:color w:val="auto"/>
                <w:sz w:val="28"/>
                <w:szCs w:val="28"/>
              </w:rPr>
            </w:pPr>
            <w:r>
              <w:rPr>
                <w:rFonts w:hint="eastAsia" w:ascii="仿宋_GB2312" w:hAnsi="宋体" w:eastAsia="仿宋_GB2312"/>
                <w:strike/>
                <w:color w:val="auto"/>
                <w:sz w:val="28"/>
                <w:szCs w:val="28"/>
              </w:rPr>
              <w:t>基数×</w:t>
            </w:r>
            <w:r>
              <w:rPr>
                <w:rFonts w:ascii="仿宋_GB2312" w:hAnsi="宋体" w:eastAsia="仿宋_GB2312"/>
                <w:strike/>
                <w:color w:val="auto"/>
                <w:sz w:val="28"/>
                <w:szCs w:val="28"/>
              </w:rPr>
              <w:t>20%×A+F</w:t>
            </w:r>
          </w:p>
        </w:tc>
        <w:tc>
          <w:tcPr>
            <w:tcW w:w="898" w:type="dxa"/>
            <w:noWrap/>
            <w:vAlign w:val="center"/>
          </w:tcPr>
          <w:p>
            <w:pPr>
              <w:adjustRightInd w:val="0"/>
              <w:snapToGrid w:val="0"/>
              <w:jc w:val="center"/>
              <w:rPr>
                <w:rFonts w:ascii="仿宋_GB2312" w:hAnsi="宋体" w:eastAsia="仿宋_GB2312"/>
                <w:strike/>
                <w:color w:val="auto"/>
                <w:sz w:val="28"/>
                <w:szCs w:val="28"/>
              </w:rPr>
            </w:pPr>
            <w:r>
              <w:rPr>
                <w:rFonts w:hint="eastAsia" w:ascii="仿宋_GB2312" w:hAnsi="宋体" w:eastAsia="仿宋_GB2312"/>
                <w:strike/>
                <w:color w:val="auto"/>
                <w:sz w:val="28"/>
                <w:szCs w:val="28"/>
              </w:rPr>
              <w:t>按附件三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ign w:val="center"/>
          </w:tcPr>
          <w:p>
            <w:pPr>
              <w:adjustRightInd w:val="0"/>
              <w:snapToGrid w:val="0"/>
              <w:jc w:val="center"/>
              <w:rPr>
                <w:rFonts w:ascii="仿宋_GB2312" w:hAnsi="宋体" w:eastAsia="仿宋_GB2312"/>
                <w:strike/>
                <w:color w:val="auto"/>
                <w:sz w:val="28"/>
                <w:szCs w:val="28"/>
              </w:rPr>
            </w:pPr>
            <w:r>
              <w:rPr>
                <w:rFonts w:ascii="仿宋_GB2312" w:hAnsi="宋体" w:eastAsia="仿宋_GB2312"/>
                <w:strike/>
                <w:color w:val="auto"/>
                <w:sz w:val="28"/>
                <w:szCs w:val="28"/>
              </w:rPr>
              <w:t>5</w:t>
            </w:r>
          </w:p>
        </w:tc>
        <w:tc>
          <w:tcPr>
            <w:tcW w:w="5220" w:type="dxa"/>
            <w:noWrap/>
            <w:vAlign w:val="center"/>
          </w:tcPr>
          <w:p>
            <w:pPr>
              <w:adjustRightInd w:val="0"/>
              <w:snapToGrid w:val="0"/>
              <w:jc w:val="center"/>
              <w:rPr>
                <w:rFonts w:ascii="仿宋_GB2312" w:hAnsi="宋体" w:eastAsia="仿宋_GB2312"/>
                <w:strike/>
                <w:color w:val="auto"/>
                <w:sz w:val="28"/>
                <w:szCs w:val="28"/>
              </w:rPr>
            </w:pPr>
            <w:r>
              <w:rPr>
                <w:rFonts w:hint="eastAsia" w:ascii="仿宋_GB2312" w:hAnsi="宋体" w:eastAsia="仿宋_GB2312"/>
                <w:strike/>
                <w:color w:val="auto"/>
                <w:sz w:val="28"/>
                <w:szCs w:val="28"/>
              </w:rPr>
              <w:t>向城建档案管理部门移交全套工程资料并取得相关证明，并完成所有设计变更审批手续</w:t>
            </w:r>
          </w:p>
        </w:tc>
        <w:tc>
          <w:tcPr>
            <w:tcW w:w="2340" w:type="dxa"/>
            <w:noWrap/>
            <w:vAlign w:val="center"/>
          </w:tcPr>
          <w:p>
            <w:pPr>
              <w:adjustRightInd w:val="0"/>
              <w:snapToGrid w:val="0"/>
              <w:jc w:val="center"/>
              <w:rPr>
                <w:rFonts w:ascii="仿宋_GB2312" w:hAnsi="宋体" w:eastAsia="仿宋_GB2312"/>
                <w:strike/>
                <w:color w:val="auto"/>
                <w:sz w:val="28"/>
                <w:szCs w:val="28"/>
              </w:rPr>
            </w:pPr>
            <w:r>
              <w:rPr>
                <w:rFonts w:hint="eastAsia" w:ascii="仿宋_GB2312" w:hAnsi="宋体" w:eastAsia="仿宋_GB2312"/>
                <w:strike/>
                <w:color w:val="auto"/>
                <w:sz w:val="28"/>
                <w:szCs w:val="28"/>
              </w:rPr>
              <w:t>基数×</w:t>
            </w:r>
            <w:r>
              <w:rPr>
                <w:rFonts w:ascii="仿宋_GB2312" w:hAnsi="宋体" w:eastAsia="仿宋_GB2312"/>
                <w:strike/>
                <w:color w:val="auto"/>
                <w:sz w:val="28"/>
                <w:szCs w:val="28"/>
              </w:rPr>
              <w:t>20%×B</w:t>
            </w:r>
          </w:p>
        </w:tc>
        <w:tc>
          <w:tcPr>
            <w:tcW w:w="898" w:type="dxa"/>
            <w:noWrap/>
            <w:vAlign w:val="center"/>
          </w:tcPr>
          <w:p>
            <w:pPr>
              <w:adjustRightInd w:val="0"/>
              <w:snapToGrid w:val="0"/>
              <w:jc w:val="center"/>
              <w:rPr>
                <w:rFonts w:ascii="仿宋_GB2312" w:hAnsi="宋体" w:eastAsia="仿宋_GB2312"/>
                <w:strike/>
                <w:color w:val="auto"/>
                <w:sz w:val="28"/>
                <w:szCs w:val="28"/>
              </w:rPr>
            </w:pPr>
            <w:r>
              <w:rPr>
                <w:rFonts w:hint="eastAsia" w:ascii="仿宋_GB2312" w:hAnsi="宋体" w:eastAsia="仿宋_GB2312"/>
                <w:strike/>
                <w:color w:val="auto"/>
                <w:sz w:val="28"/>
                <w:szCs w:val="28"/>
              </w:rPr>
              <w:t>按附件四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ign w:val="center"/>
          </w:tcPr>
          <w:p>
            <w:pPr>
              <w:adjustRightInd w:val="0"/>
              <w:snapToGrid w:val="0"/>
              <w:jc w:val="center"/>
              <w:rPr>
                <w:rFonts w:ascii="仿宋_GB2312" w:hAnsi="宋体" w:eastAsia="仿宋_GB2312"/>
                <w:strike/>
                <w:color w:val="auto"/>
                <w:sz w:val="28"/>
                <w:szCs w:val="28"/>
              </w:rPr>
            </w:pPr>
            <w:r>
              <w:rPr>
                <w:rFonts w:ascii="仿宋_GB2312" w:hAnsi="宋体" w:eastAsia="仿宋_GB2312"/>
                <w:strike/>
                <w:color w:val="auto"/>
                <w:sz w:val="28"/>
                <w:szCs w:val="28"/>
              </w:rPr>
              <w:t>6</w:t>
            </w:r>
          </w:p>
        </w:tc>
        <w:tc>
          <w:tcPr>
            <w:tcW w:w="5220" w:type="dxa"/>
            <w:noWrap/>
            <w:vAlign w:val="center"/>
          </w:tcPr>
          <w:p>
            <w:pPr>
              <w:adjustRightInd w:val="0"/>
              <w:snapToGrid w:val="0"/>
              <w:jc w:val="center"/>
              <w:rPr>
                <w:rFonts w:ascii="仿宋_GB2312" w:hAnsi="宋体" w:eastAsia="仿宋_GB2312"/>
                <w:strike/>
                <w:color w:val="auto"/>
                <w:sz w:val="28"/>
                <w:szCs w:val="28"/>
              </w:rPr>
            </w:pPr>
            <w:r>
              <w:rPr>
                <w:rFonts w:hint="eastAsia" w:ascii="仿宋_GB2312" w:hAnsi="宋体" w:eastAsia="仿宋_GB2312"/>
                <w:strike/>
                <w:color w:val="auto"/>
                <w:sz w:val="28"/>
                <w:szCs w:val="28"/>
              </w:rPr>
              <w:t>合同结算经省政府财政部门审定</w:t>
            </w:r>
          </w:p>
        </w:tc>
        <w:tc>
          <w:tcPr>
            <w:tcW w:w="2340" w:type="dxa"/>
            <w:noWrap/>
            <w:vAlign w:val="center"/>
          </w:tcPr>
          <w:p>
            <w:pPr>
              <w:adjustRightInd w:val="0"/>
              <w:snapToGrid w:val="0"/>
              <w:jc w:val="center"/>
              <w:rPr>
                <w:rFonts w:ascii="仿宋_GB2312" w:hAnsi="宋体" w:eastAsia="仿宋_GB2312"/>
                <w:strike/>
                <w:color w:val="auto"/>
                <w:sz w:val="28"/>
                <w:szCs w:val="28"/>
              </w:rPr>
            </w:pPr>
            <w:r>
              <w:rPr>
                <w:rFonts w:hint="eastAsia" w:ascii="仿宋_GB2312" w:hAnsi="宋体" w:eastAsia="仿宋_GB2312"/>
                <w:strike/>
                <w:color w:val="auto"/>
                <w:sz w:val="28"/>
                <w:szCs w:val="28"/>
              </w:rPr>
              <w:t>基数×</w:t>
            </w:r>
            <w:r>
              <w:rPr>
                <w:rFonts w:ascii="仿宋_GB2312" w:hAnsi="宋体" w:eastAsia="仿宋_GB2312"/>
                <w:strike/>
                <w:color w:val="auto"/>
                <w:sz w:val="28"/>
                <w:szCs w:val="28"/>
              </w:rPr>
              <w:t>10%或按省政府财政部门审定应付金额</w:t>
            </w:r>
          </w:p>
        </w:tc>
        <w:tc>
          <w:tcPr>
            <w:tcW w:w="898" w:type="dxa"/>
            <w:noWrap/>
            <w:vAlign w:val="center"/>
          </w:tcPr>
          <w:p>
            <w:pPr>
              <w:adjustRightInd w:val="0"/>
              <w:snapToGrid w:val="0"/>
              <w:jc w:val="center"/>
              <w:rPr>
                <w:rFonts w:ascii="仿宋_GB2312" w:hAnsi="宋体" w:eastAsia="仿宋_GB2312"/>
                <w:strike/>
                <w:color w:val="auto"/>
                <w:sz w:val="28"/>
                <w:szCs w:val="28"/>
              </w:rPr>
            </w:pPr>
            <w:r>
              <w:rPr>
                <w:rFonts w:ascii="仿宋_GB2312" w:hAnsi="宋体" w:eastAsia="仿宋_GB2312"/>
                <w:strike/>
                <w:color w:val="auto"/>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ign w:val="center"/>
          </w:tcPr>
          <w:p>
            <w:pPr>
              <w:adjustRightInd w:val="0"/>
              <w:snapToGrid w:val="0"/>
              <w:jc w:val="center"/>
              <w:rPr>
                <w:rFonts w:ascii="仿宋_GB2312" w:hAnsi="宋体" w:eastAsia="仿宋_GB2312"/>
                <w:strike/>
                <w:color w:val="auto"/>
                <w:sz w:val="28"/>
                <w:szCs w:val="28"/>
              </w:rPr>
            </w:pPr>
            <w:r>
              <w:rPr>
                <w:rFonts w:ascii="仿宋_GB2312" w:hAnsi="宋体" w:eastAsia="仿宋_GB2312"/>
                <w:strike/>
                <w:color w:val="auto"/>
                <w:sz w:val="28"/>
                <w:szCs w:val="28"/>
              </w:rPr>
              <w:t>7</w:t>
            </w:r>
          </w:p>
        </w:tc>
        <w:tc>
          <w:tcPr>
            <w:tcW w:w="5220" w:type="dxa"/>
            <w:noWrap/>
            <w:vAlign w:val="center"/>
          </w:tcPr>
          <w:p>
            <w:pPr>
              <w:adjustRightInd w:val="0"/>
              <w:snapToGrid w:val="0"/>
              <w:jc w:val="center"/>
              <w:rPr>
                <w:rFonts w:ascii="仿宋_GB2312" w:hAnsi="宋体" w:eastAsia="仿宋_GB2312"/>
                <w:strike/>
                <w:color w:val="auto"/>
                <w:sz w:val="28"/>
                <w:szCs w:val="28"/>
              </w:rPr>
            </w:pPr>
            <w:r>
              <w:rPr>
                <w:rFonts w:hint="eastAsia" w:ascii="仿宋_GB2312" w:hAnsi="宋体" w:eastAsia="仿宋_GB2312"/>
                <w:strike/>
                <w:color w:val="auto"/>
                <w:sz w:val="28"/>
                <w:szCs w:val="28"/>
              </w:rPr>
              <w:t>缺陷责任期届满</w:t>
            </w:r>
          </w:p>
        </w:tc>
        <w:tc>
          <w:tcPr>
            <w:tcW w:w="2340" w:type="dxa"/>
            <w:noWrap/>
            <w:vAlign w:val="center"/>
          </w:tcPr>
          <w:p>
            <w:pPr>
              <w:adjustRightInd w:val="0"/>
              <w:snapToGrid w:val="0"/>
              <w:jc w:val="center"/>
              <w:rPr>
                <w:rFonts w:ascii="仿宋_GB2312" w:hAnsi="宋体" w:eastAsia="仿宋_GB2312"/>
                <w:strike/>
                <w:color w:val="auto"/>
                <w:sz w:val="28"/>
                <w:szCs w:val="28"/>
              </w:rPr>
            </w:pPr>
            <w:r>
              <w:rPr>
                <w:rFonts w:hint="eastAsia" w:ascii="仿宋_GB2312" w:hAnsi="宋体" w:eastAsia="仿宋_GB2312"/>
                <w:strike/>
                <w:color w:val="auto"/>
                <w:sz w:val="28"/>
                <w:szCs w:val="28"/>
              </w:rPr>
              <w:t>基数×</w:t>
            </w:r>
            <w:r>
              <w:rPr>
                <w:rFonts w:ascii="仿宋_GB2312" w:hAnsi="宋体" w:eastAsia="仿宋_GB2312"/>
                <w:strike/>
                <w:color w:val="auto"/>
                <w:sz w:val="28"/>
                <w:szCs w:val="28"/>
              </w:rPr>
              <w:t>5%×C</w:t>
            </w:r>
          </w:p>
        </w:tc>
        <w:tc>
          <w:tcPr>
            <w:tcW w:w="898" w:type="dxa"/>
            <w:noWrap/>
            <w:vAlign w:val="center"/>
          </w:tcPr>
          <w:p>
            <w:pPr>
              <w:adjustRightInd w:val="0"/>
              <w:snapToGrid w:val="0"/>
              <w:jc w:val="center"/>
              <w:rPr>
                <w:rFonts w:ascii="仿宋_GB2312" w:hAnsi="宋体" w:eastAsia="仿宋_GB2312"/>
                <w:strike/>
                <w:color w:val="auto"/>
                <w:sz w:val="28"/>
                <w:szCs w:val="28"/>
              </w:rPr>
            </w:pPr>
            <w:r>
              <w:rPr>
                <w:rFonts w:hint="eastAsia" w:ascii="仿宋_GB2312" w:hAnsi="宋体" w:eastAsia="仿宋_GB2312"/>
                <w:strike/>
                <w:color w:val="auto"/>
                <w:sz w:val="28"/>
                <w:szCs w:val="28"/>
              </w:rPr>
              <w:t>按附件五</w:t>
            </w:r>
          </w:p>
        </w:tc>
      </w:tr>
    </w:tbl>
    <w:p>
      <w:pPr>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2、分阶段设计模式（取得初步设计批复后的EPC模式）</w:t>
      </w:r>
    </w:p>
    <w:p>
      <w:pPr>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（1）方案设计及初步设计单位</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5220"/>
        <w:gridCol w:w="2340"/>
        <w:gridCol w:w="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ign w:val="center"/>
          </w:tcPr>
          <w:p>
            <w:pPr>
              <w:adjustRightInd w:val="0"/>
              <w:snapToGrid w:val="0"/>
              <w:jc w:val="center"/>
              <w:rPr>
                <w:rFonts w:ascii="仿宋_GB2312" w:hAnsi="宋体" w:eastAsia="仿宋_GB2312"/>
                <w:color w:val="auto"/>
                <w:sz w:val="28"/>
                <w:szCs w:val="28"/>
              </w:rPr>
            </w:pPr>
            <w:r>
              <w:rPr>
                <w:rFonts w:hint="eastAsia" w:ascii="仿宋_GB2312" w:hAnsi="宋体" w:eastAsia="仿宋_GB2312"/>
                <w:color w:val="auto"/>
                <w:sz w:val="28"/>
                <w:szCs w:val="28"/>
              </w:rPr>
              <w:t>支付节点</w:t>
            </w:r>
          </w:p>
        </w:tc>
        <w:tc>
          <w:tcPr>
            <w:tcW w:w="5220" w:type="dxa"/>
            <w:noWrap/>
            <w:vAlign w:val="center"/>
          </w:tcPr>
          <w:p>
            <w:pPr>
              <w:adjustRightInd w:val="0"/>
              <w:snapToGrid w:val="0"/>
              <w:jc w:val="center"/>
              <w:rPr>
                <w:rFonts w:ascii="仿宋_GB2312" w:hAnsi="宋体" w:eastAsia="仿宋_GB2312"/>
                <w:color w:val="auto"/>
                <w:sz w:val="28"/>
                <w:szCs w:val="28"/>
              </w:rPr>
            </w:pPr>
            <w:r>
              <w:rPr>
                <w:rFonts w:hint="eastAsia" w:ascii="仿宋_GB2312" w:hAnsi="宋体" w:eastAsia="仿宋_GB2312"/>
                <w:color w:val="auto"/>
                <w:sz w:val="28"/>
                <w:szCs w:val="28"/>
              </w:rPr>
              <w:t>支付条件</w:t>
            </w:r>
          </w:p>
        </w:tc>
        <w:tc>
          <w:tcPr>
            <w:tcW w:w="2340" w:type="dxa"/>
            <w:noWrap/>
            <w:vAlign w:val="center"/>
          </w:tcPr>
          <w:p>
            <w:pPr>
              <w:adjustRightInd w:val="0"/>
              <w:snapToGrid w:val="0"/>
              <w:jc w:val="center"/>
              <w:rPr>
                <w:rFonts w:ascii="仿宋_GB2312" w:hAnsi="宋体" w:eastAsia="仿宋_GB2312"/>
                <w:color w:val="auto"/>
                <w:sz w:val="28"/>
                <w:szCs w:val="28"/>
              </w:rPr>
            </w:pPr>
            <w:r>
              <w:rPr>
                <w:rFonts w:hint="eastAsia" w:ascii="仿宋_GB2312" w:hAnsi="宋体" w:eastAsia="仿宋_GB2312"/>
                <w:color w:val="auto"/>
                <w:sz w:val="28"/>
                <w:szCs w:val="28"/>
              </w:rPr>
              <w:t>支付金额</w:t>
            </w:r>
          </w:p>
        </w:tc>
        <w:tc>
          <w:tcPr>
            <w:tcW w:w="898" w:type="dxa"/>
            <w:noWrap/>
            <w:vAlign w:val="center"/>
          </w:tcPr>
          <w:p>
            <w:pPr>
              <w:adjustRightInd w:val="0"/>
              <w:snapToGrid w:val="0"/>
              <w:jc w:val="center"/>
              <w:rPr>
                <w:rFonts w:ascii="仿宋_GB2312" w:hAnsi="宋体" w:eastAsia="仿宋_GB2312"/>
                <w:color w:val="auto"/>
                <w:sz w:val="28"/>
                <w:szCs w:val="28"/>
              </w:rPr>
            </w:pPr>
            <w:r>
              <w:rPr>
                <w:rFonts w:hint="eastAsia" w:ascii="仿宋_GB2312" w:hAnsi="宋体" w:eastAsia="仿宋_GB2312"/>
                <w:color w:val="auto"/>
                <w:sz w:val="28"/>
                <w:szCs w:val="28"/>
              </w:rPr>
              <w:t>考评标准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ign w:val="center"/>
          </w:tcPr>
          <w:p>
            <w:pPr>
              <w:adjustRightInd w:val="0"/>
              <w:snapToGrid w:val="0"/>
              <w:jc w:val="center"/>
              <w:rPr>
                <w:rFonts w:ascii="仿宋_GB2312" w:hAnsi="宋体" w:eastAsia="仿宋_GB2312"/>
                <w:color w:val="auto"/>
                <w:sz w:val="28"/>
                <w:szCs w:val="28"/>
              </w:rPr>
            </w:pPr>
            <w:r>
              <w:rPr>
                <w:rFonts w:hint="eastAsia" w:ascii="仿宋_GB2312" w:hAnsi="宋体" w:eastAsia="仿宋_GB2312"/>
                <w:color w:val="auto"/>
                <w:sz w:val="28"/>
                <w:szCs w:val="28"/>
              </w:rPr>
              <w:t>1</w:t>
            </w:r>
          </w:p>
        </w:tc>
        <w:tc>
          <w:tcPr>
            <w:tcW w:w="5220" w:type="dxa"/>
            <w:noWrap/>
            <w:vAlign w:val="center"/>
          </w:tcPr>
          <w:p>
            <w:pPr>
              <w:adjustRightInd w:val="0"/>
              <w:snapToGrid w:val="0"/>
              <w:jc w:val="center"/>
              <w:rPr>
                <w:rFonts w:ascii="仿宋_GB2312" w:hAnsi="宋体" w:eastAsia="仿宋_GB2312"/>
                <w:color w:val="auto"/>
                <w:sz w:val="28"/>
                <w:szCs w:val="28"/>
              </w:rPr>
            </w:pPr>
            <w:r>
              <w:rPr>
                <w:rFonts w:hint="eastAsia" w:ascii="仿宋_GB2312" w:hAnsi="宋体" w:eastAsia="仿宋_GB2312"/>
                <w:color w:val="auto"/>
                <w:sz w:val="28"/>
                <w:szCs w:val="28"/>
              </w:rPr>
              <w:t>签订合同并提交履约保函</w:t>
            </w:r>
          </w:p>
        </w:tc>
        <w:tc>
          <w:tcPr>
            <w:tcW w:w="2340" w:type="dxa"/>
            <w:noWrap/>
            <w:vAlign w:val="center"/>
          </w:tcPr>
          <w:p>
            <w:pPr>
              <w:adjustRightInd w:val="0"/>
              <w:snapToGrid w:val="0"/>
              <w:jc w:val="center"/>
              <w:rPr>
                <w:rFonts w:ascii="仿宋_GB2312" w:hAnsi="宋体" w:eastAsia="仿宋_GB2312"/>
                <w:color w:val="auto"/>
                <w:sz w:val="28"/>
                <w:szCs w:val="28"/>
              </w:rPr>
            </w:pPr>
            <w:r>
              <w:rPr>
                <w:rFonts w:hint="eastAsia" w:ascii="仿宋_GB2312" w:hAnsi="宋体" w:eastAsia="仿宋_GB2312"/>
                <w:color w:val="auto"/>
                <w:sz w:val="28"/>
                <w:szCs w:val="28"/>
              </w:rPr>
              <w:t>基数×10%</w:t>
            </w:r>
          </w:p>
        </w:tc>
        <w:tc>
          <w:tcPr>
            <w:tcW w:w="898" w:type="dxa"/>
            <w:noWrap/>
            <w:vAlign w:val="center"/>
          </w:tcPr>
          <w:p>
            <w:pPr>
              <w:adjustRightInd w:val="0"/>
              <w:snapToGrid w:val="0"/>
              <w:jc w:val="center"/>
              <w:rPr>
                <w:rFonts w:ascii="仿宋_GB2312" w:hAnsi="宋体" w:eastAsia="仿宋_GB2312"/>
                <w:color w:val="auto"/>
                <w:sz w:val="28"/>
                <w:szCs w:val="28"/>
              </w:rPr>
            </w:pPr>
            <w:r>
              <w:rPr>
                <w:rFonts w:hint="eastAsia" w:ascii="仿宋_GB2312" w:hAnsi="宋体" w:eastAsia="仿宋_GB2312"/>
                <w:color w:val="auto"/>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ign w:val="center"/>
          </w:tcPr>
          <w:p>
            <w:pPr>
              <w:adjustRightInd w:val="0"/>
              <w:snapToGrid w:val="0"/>
              <w:jc w:val="center"/>
              <w:rPr>
                <w:rFonts w:ascii="仿宋_GB2312" w:hAnsi="宋体" w:eastAsia="仿宋_GB2312"/>
                <w:color w:val="auto"/>
                <w:sz w:val="28"/>
                <w:szCs w:val="28"/>
              </w:rPr>
            </w:pPr>
            <w:r>
              <w:rPr>
                <w:rFonts w:hint="eastAsia" w:ascii="仿宋_GB2312" w:hAnsi="宋体" w:eastAsia="仿宋_GB2312"/>
                <w:color w:val="auto"/>
                <w:sz w:val="28"/>
                <w:szCs w:val="28"/>
              </w:rPr>
              <w:t>2</w:t>
            </w:r>
          </w:p>
        </w:tc>
        <w:tc>
          <w:tcPr>
            <w:tcW w:w="5220" w:type="dxa"/>
            <w:noWrap/>
            <w:vAlign w:val="center"/>
          </w:tcPr>
          <w:p>
            <w:pPr>
              <w:adjustRightInd w:val="0"/>
              <w:snapToGrid w:val="0"/>
              <w:jc w:val="center"/>
              <w:rPr>
                <w:rFonts w:ascii="仿宋_GB2312" w:hAnsi="宋体" w:eastAsia="仿宋_GB2312"/>
                <w:color w:val="auto"/>
                <w:sz w:val="28"/>
                <w:szCs w:val="28"/>
              </w:rPr>
            </w:pPr>
            <w:r>
              <w:rPr>
                <w:rFonts w:hint="eastAsia" w:ascii="仿宋_GB2312" w:hAnsi="宋体" w:eastAsia="仿宋_GB2312"/>
                <w:color w:val="auto"/>
                <w:sz w:val="28"/>
                <w:szCs w:val="28"/>
              </w:rPr>
              <w:t>取得规划部门对工程方案或修规的批复</w:t>
            </w:r>
          </w:p>
        </w:tc>
        <w:tc>
          <w:tcPr>
            <w:tcW w:w="2340" w:type="dxa"/>
            <w:noWrap/>
            <w:vAlign w:val="center"/>
          </w:tcPr>
          <w:p>
            <w:pPr>
              <w:adjustRightInd w:val="0"/>
              <w:snapToGrid w:val="0"/>
              <w:jc w:val="center"/>
              <w:rPr>
                <w:rFonts w:ascii="仿宋_GB2312" w:hAnsi="宋体" w:eastAsia="仿宋_GB2312"/>
                <w:color w:val="auto"/>
                <w:sz w:val="28"/>
                <w:szCs w:val="28"/>
              </w:rPr>
            </w:pPr>
            <w:r>
              <w:rPr>
                <w:rFonts w:hint="eastAsia" w:ascii="仿宋_GB2312" w:hAnsi="宋体" w:eastAsia="仿宋_GB2312"/>
                <w:color w:val="auto"/>
                <w:sz w:val="28"/>
                <w:szCs w:val="28"/>
              </w:rPr>
              <w:t>基数×30%×A</w:t>
            </w:r>
          </w:p>
        </w:tc>
        <w:tc>
          <w:tcPr>
            <w:tcW w:w="898" w:type="dxa"/>
            <w:noWrap/>
            <w:vAlign w:val="center"/>
          </w:tcPr>
          <w:p>
            <w:pPr>
              <w:adjustRightInd w:val="0"/>
              <w:snapToGrid w:val="0"/>
              <w:jc w:val="center"/>
              <w:rPr>
                <w:rFonts w:ascii="仿宋_GB2312" w:hAnsi="宋体" w:eastAsia="仿宋_GB2312"/>
                <w:color w:val="auto"/>
                <w:sz w:val="28"/>
                <w:szCs w:val="28"/>
              </w:rPr>
            </w:pPr>
            <w:r>
              <w:rPr>
                <w:rFonts w:hint="eastAsia" w:ascii="仿宋_GB2312" w:hAnsi="宋体" w:eastAsia="仿宋_GB2312"/>
                <w:color w:val="auto"/>
                <w:sz w:val="28"/>
                <w:szCs w:val="28"/>
              </w:rPr>
              <w:t>按附件一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ign w:val="center"/>
          </w:tcPr>
          <w:p>
            <w:pPr>
              <w:adjustRightInd w:val="0"/>
              <w:snapToGrid w:val="0"/>
              <w:jc w:val="center"/>
              <w:rPr>
                <w:rFonts w:ascii="仿宋_GB2312" w:hAnsi="宋体" w:eastAsia="仿宋_GB2312"/>
                <w:color w:val="auto"/>
                <w:sz w:val="28"/>
                <w:szCs w:val="28"/>
              </w:rPr>
            </w:pPr>
            <w:r>
              <w:rPr>
                <w:rFonts w:hint="eastAsia" w:ascii="仿宋_GB2312" w:hAnsi="宋体" w:eastAsia="仿宋_GB2312"/>
                <w:color w:val="auto"/>
                <w:sz w:val="28"/>
                <w:szCs w:val="28"/>
              </w:rPr>
              <w:t>3</w:t>
            </w:r>
          </w:p>
        </w:tc>
        <w:tc>
          <w:tcPr>
            <w:tcW w:w="5220" w:type="dxa"/>
            <w:noWrap/>
            <w:vAlign w:val="center"/>
          </w:tcPr>
          <w:p>
            <w:pPr>
              <w:adjustRightInd w:val="0"/>
              <w:snapToGrid w:val="0"/>
              <w:jc w:val="center"/>
              <w:rPr>
                <w:rFonts w:ascii="仿宋_GB2312" w:hAnsi="宋体" w:eastAsia="仿宋_GB2312"/>
                <w:color w:val="auto"/>
                <w:sz w:val="28"/>
                <w:szCs w:val="28"/>
              </w:rPr>
            </w:pPr>
            <w:r>
              <w:rPr>
                <w:rFonts w:hint="eastAsia" w:ascii="仿宋_GB2312" w:hAnsi="宋体" w:eastAsia="仿宋_GB2312"/>
                <w:color w:val="auto"/>
                <w:sz w:val="28"/>
                <w:szCs w:val="28"/>
              </w:rPr>
              <w:t>取得发改部门对初步设计概算的批复</w:t>
            </w:r>
          </w:p>
        </w:tc>
        <w:tc>
          <w:tcPr>
            <w:tcW w:w="2340" w:type="dxa"/>
            <w:noWrap/>
            <w:vAlign w:val="center"/>
          </w:tcPr>
          <w:p>
            <w:pPr>
              <w:adjustRightInd w:val="0"/>
              <w:snapToGrid w:val="0"/>
              <w:jc w:val="center"/>
              <w:rPr>
                <w:rFonts w:ascii="仿宋_GB2312" w:hAnsi="宋体" w:eastAsia="仿宋_GB2312"/>
                <w:color w:val="auto"/>
                <w:sz w:val="28"/>
                <w:szCs w:val="28"/>
              </w:rPr>
            </w:pPr>
            <w:r>
              <w:rPr>
                <w:rFonts w:hint="eastAsia" w:ascii="仿宋_GB2312" w:hAnsi="宋体" w:eastAsia="仿宋_GB2312"/>
                <w:color w:val="auto"/>
                <w:sz w:val="28"/>
                <w:szCs w:val="28"/>
              </w:rPr>
              <w:t>基数×40%×A+F</w:t>
            </w:r>
          </w:p>
        </w:tc>
        <w:tc>
          <w:tcPr>
            <w:tcW w:w="898" w:type="dxa"/>
            <w:noWrap/>
            <w:vAlign w:val="center"/>
          </w:tcPr>
          <w:p>
            <w:pPr>
              <w:adjustRightInd w:val="0"/>
              <w:snapToGrid w:val="0"/>
              <w:jc w:val="center"/>
              <w:rPr>
                <w:rFonts w:ascii="仿宋_GB2312" w:hAnsi="宋体" w:eastAsia="仿宋_GB2312"/>
                <w:color w:val="auto"/>
                <w:sz w:val="28"/>
                <w:szCs w:val="28"/>
              </w:rPr>
            </w:pPr>
            <w:r>
              <w:rPr>
                <w:rFonts w:hint="eastAsia" w:ascii="仿宋_GB2312" w:hAnsi="宋体" w:eastAsia="仿宋_GB2312"/>
                <w:color w:val="auto"/>
                <w:sz w:val="28"/>
                <w:szCs w:val="28"/>
              </w:rPr>
              <w:t>按附件二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ign w:val="center"/>
          </w:tcPr>
          <w:p>
            <w:pPr>
              <w:adjustRightInd w:val="0"/>
              <w:snapToGrid w:val="0"/>
              <w:jc w:val="center"/>
              <w:rPr>
                <w:rFonts w:ascii="仿宋_GB2312" w:hAnsi="宋体" w:eastAsia="仿宋_GB2312"/>
                <w:color w:val="auto"/>
                <w:sz w:val="28"/>
                <w:szCs w:val="28"/>
              </w:rPr>
            </w:pPr>
            <w:r>
              <w:rPr>
                <w:rFonts w:hint="eastAsia" w:ascii="仿宋_GB2312" w:hAnsi="宋体" w:eastAsia="仿宋_GB2312"/>
                <w:color w:val="auto"/>
                <w:sz w:val="28"/>
                <w:szCs w:val="28"/>
              </w:rPr>
              <w:t>4</w:t>
            </w:r>
          </w:p>
        </w:tc>
        <w:tc>
          <w:tcPr>
            <w:tcW w:w="5220" w:type="dxa"/>
            <w:noWrap/>
            <w:vAlign w:val="center"/>
          </w:tcPr>
          <w:p>
            <w:pPr>
              <w:adjustRightInd w:val="0"/>
              <w:snapToGrid w:val="0"/>
              <w:jc w:val="center"/>
              <w:rPr>
                <w:rFonts w:ascii="仿宋_GB2312" w:hAnsi="宋体" w:eastAsia="仿宋_GB2312"/>
                <w:color w:val="auto"/>
                <w:sz w:val="28"/>
                <w:szCs w:val="28"/>
              </w:rPr>
            </w:pPr>
            <w:r>
              <w:rPr>
                <w:rFonts w:hint="eastAsia" w:ascii="仿宋_GB2312" w:hAnsi="宋体" w:eastAsia="仿宋_GB2312"/>
                <w:color w:val="auto"/>
                <w:sz w:val="28"/>
                <w:szCs w:val="28"/>
              </w:rPr>
              <w:t>完成对施工图设计单位的成果审核，取得施工图审查合格报告</w:t>
            </w:r>
          </w:p>
        </w:tc>
        <w:tc>
          <w:tcPr>
            <w:tcW w:w="2340" w:type="dxa"/>
            <w:noWrap/>
            <w:vAlign w:val="center"/>
          </w:tcPr>
          <w:p>
            <w:pPr>
              <w:adjustRightInd w:val="0"/>
              <w:snapToGrid w:val="0"/>
              <w:jc w:val="center"/>
              <w:rPr>
                <w:rFonts w:ascii="仿宋_GB2312" w:hAnsi="宋体" w:eastAsia="仿宋_GB2312"/>
                <w:color w:val="auto"/>
                <w:sz w:val="28"/>
                <w:szCs w:val="28"/>
              </w:rPr>
            </w:pPr>
            <w:r>
              <w:rPr>
                <w:rFonts w:hint="eastAsia" w:ascii="仿宋_GB2312" w:hAnsi="宋体" w:eastAsia="仿宋_GB2312"/>
                <w:color w:val="auto"/>
                <w:sz w:val="28"/>
                <w:szCs w:val="28"/>
              </w:rPr>
              <w:t>基数×10%×A</w:t>
            </w:r>
          </w:p>
        </w:tc>
        <w:tc>
          <w:tcPr>
            <w:tcW w:w="898" w:type="dxa"/>
            <w:noWrap/>
            <w:vAlign w:val="center"/>
          </w:tcPr>
          <w:p>
            <w:pPr>
              <w:adjustRightInd w:val="0"/>
              <w:snapToGrid w:val="0"/>
              <w:jc w:val="center"/>
              <w:rPr>
                <w:rFonts w:ascii="仿宋_GB2312" w:hAnsi="宋体" w:eastAsia="仿宋_GB2312"/>
                <w:color w:val="auto"/>
                <w:sz w:val="28"/>
                <w:szCs w:val="28"/>
              </w:rPr>
            </w:pPr>
            <w:r>
              <w:rPr>
                <w:rFonts w:hint="eastAsia" w:ascii="仿宋_GB2312" w:hAnsi="宋体" w:eastAsia="仿宋_GB2312"/>
                <w:color w:val="auto"/>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ign w:val="center"/>
          </w:tcPr>
          <w:p>
            <w:pPr>
              <w:adjustRightInd w:val="0"/>
              <w:snapToGrid w:val="0"/>
              <w:jc w:val="center"/>
              <w:rPr>
                <w:rFonts w:ascii="仿宋_GB2312" w:hAnsi="宋体" w:eastAsia="仿宋_GB2312"/>
                <w:color w:val="auto"/>
                <w:sz w:val="28"/>
                <w:szCs w:val="28"/>
              </w:rPr>
            </w:pPr>
            <w:r>
              <w:rPr>
                <w:rFonts w:hint="eastAsia" w:ascii="仿宋_GB2312" w:hAnsi="宋体" w:eastAsia="仿宋_GB2312"/>
                <w:color w:val="auto"/>
                <w:sz w:val="28"/>
                <w:szCs w:val="28"/>
              </w:rPr>
              <w:t>5</w:t>
            </w:r>
          </w:p>
        </w:tc>
        <w:tc>
          <w:tcPr>
            <w:tcW w:w="5220" w:type="dxa"/>
            <w:noWrap/>
            <w:vAlign w:val="center"/>
          </w:tcPr>
          <w:p>
            <w:pPr>
              <w:adjustRightInd w:val="0"/>
              <w:snapToGrid w:val="0"/>
              <w:jc w:val="center"/>
              <w:rPr>
                <w:rFonts w:ascii="仿宋_GB2312" w:hAnsi="宋体" w:eastAsia="仿宋_GB2312"/>
                <w:color w:val="auto"/>
                <w:sz w:val="28"/>
                <w:szCs w:val="28"/>
              </w:rPr>
            </w:pPr>
            <w:r>
              <w:rPr>
                <w:rFonts w:hint="eastAsia" w:ascii="仿宋_GB2312" w:hAnsi="宋体" w:eastAsia="仿宋_GB2312"/>
                <w:color w:val="auto"/>
                <w:sz w:val="28"/>
                <w:szCs w:val="28"/>
              </w:rPr>
              <w:t>合同结算经省政府财政部门审定</w:t>
            </w:r>
          </w:p>
        </w:tc>
        <w:tc>
          <w:tcPr>
            <w:tcW w:w="2340" w:type="dxa"/>
            <w:noWrap/>
            <w:vAlign w:val="center"/>
          </w:tcPr>
          <w:p>
            <w:pPr>
              <w:adjustRightInd w:val="0"/>
              <w:snapToGrid w:val="0"/>
              <w:jc w:val="center"/>
              <w:rPr>
                <w:rFonts w:ascii="仿宋_GB2312" w:hAnsi="宋体" w:eastAsia="仿宋_GB2312"/>
                <w:color w:val="auto"/>
                <w:sz w:val="28"/>
                <w:szCs w:val="28"/>
              </w:rPr>
            </w:pPr>
            <w:r>
              <w:rPr>
                <w:rFonts w:hint="eastAsia" w:ascii="仿宋_GB2312" w:hAnsi="宋体" w:eastAsia="仿宋_GB2312"/>
                <w:color w:val="auto"/>
                <w:sz w:val="28"/>
                <w:szCs w:val="28"/>
              </w:rPr>
              <w:t>基数×10%或按省政府财政部门审定应付金额</w:t>
            </w:r>
          </w:p>
        </w:tc>
        <w:tc>
          <w:tcPr>
            <w:tcW w:w="898" w:type="dxa"/>
            <w:noWrap/>
            <w:vAlign w:val="center"/>
          </w:tcPr>
          <w:p>
            <w:pPr>
              <w:adjustRightInd w:val="0"/>
              <w:snapToGrid w:val="0"/>
              <w:jc w:val="center"/>
              <w:rPr>
                <w:rFonts w:ascii="仿宋_GB2312" w:hAnsi="宋体" w:eastAsia="仿宋_GB2312"/>
                <w:color w:val="auto"/>
                <w:sz w:val="28"/>
                <w:szCs w:val="28"/>
              </w:rPr>
            </w:pPr>
            <w:r>
              <w:rPr>
                <w:rFonts w:hint="eastAsia" w:ascii="仿宋_GB2312" w:hAnsi="宋体" w:eastAsia="仿宋_GB2312"/>
                <w:color w:val="auto"/>
                <w:sz w:val="28"/>
                <w:szCs w:val="28"/>
              </w:rPr>
              <w:t>/</w:t>
            </w:r>
          </w:p>
        </w:tc>
      </w:tr>
    </w:tbl>
    <w:p>
      <w:pPr>
        <w:spacing w:line="560" w:lineRule="exact"/>
        <w:ind w:firstLine="640" w:firstLineChars="200"/>
        <w:rPr>
          <w:rFonts w:ascii="仿宋_GB2312" w:eastAsia="仿宋_GB2312"/>
          <w:strike/>
          <w:color w:val="auto"/>
          <w:sz w:val="32"/>
          <w:szCs w:val="32"/>
        </w:rPr>
      </w:pPr>
      <w:r>
        <w:rPr>
          <w:rFonts w:hint="eastAsia" w:ascii="仿宋_GB2312" w:eastAsia="仿宋_GB2312"/>
          <w:strike/>
          <w:color w:val="auto"/>
          <w:sz w:val="32"/>
          <w:szCs w:val="32"/>
        </w:rPr>
        <w:t>（2）施工图设计单位</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5220"/>
        <w:gridCol w:w="2340"/>
        <w:gridCol w:w="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ign w:val="center"/>
          </w:tcPr>
          <w:p>
            <w:pPr>
              <w:adjustRightInd w:val="0"/>
              <w:snapToGrid w:val="0"/>
              <w:jc w:val="center"/>
              <w:rPr>
                <w:rFonts w:ascii="仿宋_GB2312" w:hAnsi="宋体" w:eastAsia="仿宋_GB2312"/>
                <w:strike/>
                <w:color w:val="auto"/>
                <w:sz w:val="28"/>
                <w:szCs w:val="28"/>
              </w:rPr>
            </w:pPr>
            <w:r>
              <w:rPr>
                <w:rFonts w:hint="eastAsia" w:ascii="仿宋_GB2312" w:hAnsi="宋体" w:eastAsia="仿宋_GB2312"/>
                <w:strike/>
                <w:color w:val="auto"/>
                <w:sz w:val="28"/>
                <w:szCs w:val="28"/>
              </w:rPr>
              <w:t>支付节点</w:t>
            </w:r>
          </w:p>
        </w:tc>
        <w:tc>
          <w:tcPr>
            <w:tcW w:w="5220" w:type="dxa"/>
            <w:noWrap/>
            <w:vAlign w:val="center"/>
          </w:tcPr>
          <w:p>
            <w:pPr>
              <w:adjustRightInd w:val="0"/>
              <w:snapToGrid w:val="0"/>
              <w:jc w:val="center"/>
              <w:rPr>
                <w:rFonts w:ascii="仿宋_GB2312" w:hAnsi="宋体" w:eastAsia="仿宋_GB2312"/>
                <w:strike/>
                <w:color w:val="auto"/>
                <w:sz w:val="28"/>
                <w:szCs w:val="28"/>
              </w:rPr>
            </w:pPr>
            <w:r>
              <w:rPr>
                <w:rFonts w:hint="eastAsia" w:ascii="仿宋_GB2312" w:hAnsi="宋体" w:eastAsia="仿宋_GB2312"/>
                <w:strike/>
                <w:color w:val="auto"/>
                <w:sz w:val="28"/>
                <w:szCs w:val="28"/>
              </w:rPr>
              <w:t>支付条件</w:t>
            </w:r>
          </w:p>
        </w:tc>
        <w:tc>
          <w:tcPr>
            <w:tcW w:w="2340" w:type="dxa"/>
            <w:noWrap/>
            <w:vAlign w:val="center"/>
          </w:tcPr>
          <w:p>
            <w:pPr>
              <w:adjustRightInd w:val="0"/>
              <w:snapToGrid w:val="0"/>
              <w:jc w:val="center"/>
              <w:rPr>
                <w:rFonts w:ascii="仿宋_GB2312" w:hAnsi="宋体" w:eastAsia="仿宋_GB2312"/>
                <w:strike/>
                <w:color w:val="auto"/>
                <w:sz w:val="28"/>
                <w:szCs w:val="28"/>
              </w:rPr>
            </w:pPr>
            <w:r>
              <w:rPr>
                <w:rFonts w:hint="eastAsia" w:ascii="仿宋_GB2312" w:hAnsi="宋体" w:eastAsia="仿宋_GB2312"/>
                <w:strike/>
                <w:color w:val="auto"/>
                <w:sz w:val="28"/>
                <w:szCs w:val="28"/>
              </w:rPr>
              <w:t>支付金额</w:t>
            </w:r>
          </w:p>
        </w:tc>
        <w:tc>
          <w:tcPr>
            <w:tcW w:w="898" w:type="dxa"/>
            <w:noWrap/>
            <w:vAlign w:val="center"/>
          </w:tcPr>
          <w:p>
            <w:pPr>
              <w:adjustRightInd w:val="0"/>
              <w:snapToGrid w:val="0"/>
              <w:jc w:val="center"/>
              <w:rPr>
                <w:rFonts w:ascii="仿宋_GB2312" w:hAnsi="宋体" w:eastAsia="仿宋_GB2312"/>
                <w:strike/>
                <w:color w:val="auto"/>
                <w:sz w:val="28"/>
                <w:szCs w:val="28"/>
              </w:rPr>
            </w:pPr>
            <w:r>
              <w:rPr>
                <w:rFonts w:hint="eastAsia" w:ascii="仿宋_GB2312" w:hAnsi="宋体" w:eastAsia="仿宋_GB2312"/>
                <w:strike/>
                <w:color w:val="auto"/>
                <w:sz w:val="28"/>
                <w:szCs w:val="28"/>
              </w:rPr>
              <w:t>考评标准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ign w:val="center"/>
          </w:tcPr>
          <w:p>
            <w:pPr>
              <w:adjustRightInd w:val="0"/>
              <w:snapToGrid w:val="0"/>
              <w:jc w:val="center"/>
              <w:rPr>
                <w:rFonts w:ascii="仿宋_GB2312" w:hAnsi="宋体" w:eastAsia="仿宋_GB2312"/>
                <w:strike/>
                <w:color w:val="auto"/>
                <w:sz w:val="28"/>
                <w:szCs w:val="28"/>
              </w:rPr>
            </w:pPr>
            <w:r>
              <w:rPr>
                <w:rFonts w:ascii="仿宋_GB2312" w:hAnsi="宋体" w:eastAsia="仿宋_GB2312"/>
                <w:strike/>
                <w:color w:val="auto"/>
                <w:sz w:val="28"/>
                <w:szCs w:val="28"/>
              </w:rPr>
              <w:t>1</w:t>
            </w:r>
          </w:p>
        </w:tc>
        <w:tc>
          <w:tcPr>
            <w:tcW w:w="5220" w:type="dxa"/>
            <w:noWrap/>
            <w:vAlign w:val="center"/>
          </w:tcPr>
          <w:p>
            <w:pPr>
              <w:adjustRightInd w:val="0"/>
              <w:snapToGrid w:val="0"/>
              <w:jc w:val="center"/>
              <w:rPr>
                <w:rFonts w:ascii="仿宋_GB2312" w:hAnsi="宋体" w:eastAsia="仿宋_GB2312"/>
                <w:strike/>
                <w:color w:val="auto"/>
                <w:sz w:val="28"/>
                <w:szCs w:val="28"/>
              </w:rPr>
            </w:pPr>
            <w:r>
              <w:rPr>
                <w:rFonts w:hint="eastAsia" w:ascii="仿宋_GB2312" w:hAnsi="宋体" w:eastAsia="仿宋_GB2312"/>
                <w:strike/>
                <w:color w:val="auto"/>
                <w:sz w:val="28"/>
                <w:szCs w:val="28"/>
              </w:rPr>
              <w:t>签订合同并提交履约保函</w:t>
            </w:r>
          </w:p>
        </w:tc>
        <w:tc>
          <w:tcPr>
            <w:tcW w:w="2340" w:type="dxa"/>
            <w:noWrap/>
            <w:vAlign w:val="center"/>
          </w:tcPr>
          <w:p>
            <w:pPr>
              <w:adjustRightInd w:val="0"/>
              <w:snapToGrid w:val="0"/>
              <w:jc w:val="center"/>
              <w:rPr>
                <w:rFonts w:ascii="仿宋_GB2312" w:hAnsi="宋体" w:eastAsia="仿宋_GB2312"/>
                <w:strike/>
                <w:color w:val="auto"/>
                <w:sz w:val="28"/>
                <w:szCs w:val="28"/>
              </w:rPr>
            </w:pPr>
            <w:r>
              <w:rPr>
                <w:rFonts w:hint="eastAsia" w:ascii="仿宋_GB2312" w:hAnsi="宋体" w:eastAsia="仿宋_GB2312"/>
                <w:strike/>
                <w:color w:val="auto"/>
                <w:sz w:val="28"/>
                <w:szCs w:val="28"/>
              </w:rPr>
              <w:t>基数×</w:t>
            </w:r>
            <w:r>
              <w:rPr>
                <w:rFonts w:ascii="仿宋_GB2312" w:hAnsi="宋体" w:eastAsia="仿宋_GB2312"/>
                <w:strike/>
                <w:color w:val="auto"/>
                <w:sz w:val="28"/>
                <w:szCs w:val="28"/>
              </w:rPr>
              <w:t>10%</w:t>
            </w:r>
          </w:p>
        </w:tc>
        <w:tc>
          <w:tcPr>
            <w:tcW w:w="898" w:type="dxa"/>
            <w:noWrap/>
            <w:vAlign w:val="center"/>
          </w:tcPr>
          <w:p>
            <w:pPr>
              <w:adjustRightInd w:val="0"/>
              <w:snapToGrid w:val="0"/>
              <w:jc w:val="center"/>
              <w:rPr>
                <w:rFonts w:ascii="仿宋_GB2312" w:hAnsi="宋体" w:eastAsia="仿宋_GB2312"/>
                <w:strike/>
                <w:color w:val="auto"/>
                <w:sz w:val="28"/>
                <w:szCs w:val="28"/>
              </w:rPr>
            </w:pPr>
            <w:r>
              <w:rPr>
                <w:rFonts w:ascii="仿宋_GB2312" w:hAnsi="宋体" w:eastAsia="仿宋_GB2312"/>
                <w:strike/>
                <w:color w:val="auto"/>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ign w:val="center"/>
          </w:tcPr>
          <w:p>
            <w:pPr>
              <w:adjustRightInd w:val="0"/>
              <w:snapToGrid w:val="0"/>
              <w:jc w:val="center"/>
              <w:rPr>
                <w:rFonts w:ascii="仿宋_GB2312" w:hAnsi="宋体" w:eastAsia="仿宋_GB2312"/>
                <w:strike/>
                <w:color w:val="auto"/>
                <w:sz w:val="28"/>
                <w:szCs w:val="28"/>
              </w:rPr>
            </w:pPr>
            <w:r>
              <w:rPr>
                <w:rFonts w:ascii="仿宋_GB2312" w:hAnsi="宋体" w:eastAsia="仿宋_GB2312"/>
                <w:strike/>
                <w:color w:val="auto"/>
                <w:sz w:val="28"/>
                <w:szCs w:val="28"/>
              </w:rPr>
              <w:t>2</w:t>
            </w:r>
          </w:p>
        </w:tc>
        <w:tc>
          <w:tcPr>
            <w:tcW w:w="5220" w:type="dxa"/>
            <w:noWrap/>
            <w:vAlign w:val="center"/>
          </w:tcPr>
          <w:p>
            <w:pPr>
              <w:adjustRightInd w:val="0"/>
              <w:snapToGrid w:val="0"/>
              <w:jc w:val="center"/>
              <w:rPr>
                <w:rFonts w:ascii="仿宋_GB2312" w:hAnsi="宋体" w:eastAsia="仿宋_GB2312"/>
                <w:strike/>
                <w:color w:val="auto"/>
                <w:sz w:val="28"/>
                <w:szCs w:val="28"/>
              </w:rPr>
            </w:pPr>
            <w:r>
              <w:rPr>
                <w:rFonts w:hint="eastAsia" w:ascii="仿宋_GB2312" w:hAnsi="宋体" w:eastAsia="仿宋_GB2312"/>
                <w:strike/>
                <w:color w:val="auto"/>
                <w:sz w:val="28"/>
                <w:szCs w:val="28"/>
              </w:rPr>
              <w:t>取得施工图审查合格报告</w:t>
            </w:r>
          </w:p>
        </w:tc>
        <w:tc>
          <w:tcPr>
            <w:tcW w:w="2340" w:type="dxa"/>
            <w:noWrap/>
            <w:vAlign w:val="center"/>
          </w:tcPr>
          <w:p>
            <w:pPr>
              <w:adjustRightInd w:val="0"/>
              <w:snapToGrid w:val="0"/>
              <w:jc w:val="center"/>
              <w:rPr>
                <w:rFonts w:ascii="仿宋_GB2312" w:hAnsi="宋体" w:eastAsia="仿宋_GB2312"/>
                <w:strike/>
                <w:color w:val="auto"/>
                <w:sz w:val="28"/>
                <w:szCs w:val="28"/>
              </w:rPr>
            </w:pPr>
            <w:r>
              <w:rPr>
                <w:rFonts w:hint="eastAsia" w:ascii="仿宋_GB2312" w:hAnsi="宋体" w:eastAsia="仿宋_GB2312"/>
                <w:strike/>
                <w:color w:val="auto"/>
                <w:sz w:val="28"/>
                <w:szCs w:val="28"/>
              </w:rPr>
              <w:t>基数×</w:t>
            </w:r>
            <w:r>
              <w:rPr>
                <w:rFonts w:ascii="仿宋_GB2312" w:hAnsi="宋体" w:eastAsia="仿宋_GB2312"/>
                <w:strike/>
                <w:color w:val="auto"/>
                <w:sz w:val="28"/>
                <w:szCs w:val="28"/>
              </w:rPr>
              <w:t>35%×A</w:t>
            </w:r>
          </w:p>
        </w:tc>
        <w:tc>
          <w:tcPr>
            <w:tcW w:w="898" w:type="dxa"/>
            <w:noWrap/>
            <w:vAlign w:val="center"/>
          </w:tcPr>
          <w:p>
            <w:pPr>
              <w:adjustRightInd w:val="0"/>
              <w:snapToGrid w:val="0"/>
              <w:jc w:val="center"/>
              <w:rPr>
                <w:rFonts w:ascii="仿宋_GB2312" w:hAnsi="宋体" w:eastAsia="仿宋_GB2312"/>
                <w:strike/>
                <w:color w:val="auto"/>
                <w:sz w:val="28"/>
                <w:szCs w:val="28"/>
              </w:rPr>
            </w:pPr>
            <w:r>
              <w:rPr>
                <w:rFonts w:hint="eastAsia" w:ascii="仿宋_GB2312" w:hAnsi="宋体" w:eastAsia="仿宋_GB2312"/>
                <w:strike/>
                <w:color w:val="auto"/>
                <w:sz w:val="28"/>
                <w:szCs w:val="28"/>
              </w:rPr>
              <w:t>按附件三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ign w:val="center"/>
          </w:tcPr>
          <w:p>
            <w:pPr>
              <w:adjustRightInd w:val="0"/>
              <w:snapToGrid w:val="0"/>
              <w:jc w:val="center"/>
              <w:rPr>
                <w:rFonts w:ascii="仿宋_GB2312" w:hAnsi="宋体" w:eastAsia="仿宋_GB2312"/>
                <w:strike/>
                <w:color w:val="auto"/>
                <w:sz w:val="28"/>
                <w:szCs w:val="28"/>
              </w:rPr>
            </w:pPr>
            <w:r>
              <w:rPr>
                <w:rFonts w:ascii="仿宋_GB2312" w:hAnsi="宋体" w:eastAsia="仿宋_GB2312"/>
                <w:strike/>
                <w:color w:val="auto"/>
                <w:sz w:val="28"/>
                <w:szCs w:val="28"/>
              </w:rPr>
              <w:t>3</w:t>
            </w:r>
          </w:p>
        </w:tc>
        <w:tc>
          <w:tcPr>
            <w:tcW w:w="5220" w:type="dxa"/>
            <w:noWrap/>
            <w:vAlign w:val="center"/>
          </w:tcPr>
          <w:p>
            <w:pPr>
              <w:adjustRightInd w:val="0"/>
              <w:snapToGrid w:val="0"/>
              <w:jc w:val="center"/>
              <w:rPr>
                <w:rFonts w:ascii="仿宋_GB2312" w:hAnsi="宋体" w:eastAsia="仿宋_GB2312"/>
                <w:strike/>
                <w:color w:val="auto"/>
                <w:sz w:val="28"/>
                <w:szCs w:val="28"/>
              </w:rPr>
            </w:pPr>
            <w:r>
              <w:rPr>
                <w:rFonts w:hint="eastAsia" w:ascii="仿宋_GB2312" w:hAnsi="宋体" w:eastAsia="仿宋_GB2312"/>
                <w:strike/>
                <w:color w:val="auto"/>
                <w:sz w:val="28"/>
                <w:szCs w:val="28"/>
              </w:rPr>
              <w:t>其它专业施工图及各专业深化施工图完成施工图审查，且完成施工图预算审定</w:t>
            </w:r>
          </w:p>
        </w:tc>
        <w:tc>
          <w:tcPr>
            <w:tcW w:w="2340" w:type="dxa"/>
            <w:noWrap/>
            <w:vAlign w:val="center"/>
          </w:tcPr>
          <w:p>
            <w:pPr>
              <w:adjustRightInd w:val="0"/>
              <w:snapToGrid w:val="0"/>
              <w:jc w:val="center"/>
              <w:rPr>
                <w:rFonts w:ascii="仿宋_GB2312" w:hAnsi="宋体" w:eastAsia="仿宋_GB2312"/>
                <w:strike/>
                <w:color w:val="auto"/>
                <w:sz w:val="28"/>
                <w:szCs w:val="28"/>
              </w:rPr>
            </w:pPr>
            <w:r>
              <w:rPr>
                <w:rFonts w:hint="eastAsia" w:ascii="仿宋_GB2312" w:hAnsi="宋体" w:eastAsia="仿宋_GB2312"/>
                <w:strike/>
                <w:color w:val="auto"/>
                <w:sz w:val="28"/>
                <w:szCs w:val="28"/>
              </w:rPr>
              <w:t>基数×</w:t>
            </w:r>
            <w:r>
              <w:rPr>
                <w:rFonts w:ascii="仿宋_GB2312" w:hAnsi="宋体" w:eastAsia="仿宋_GB2312"/>
                <w:strike/>
                <w:color w:val="auto"/>
                <w:sz w:val="28"/>
                <w:szCs w:val="28"/>
              </w:rPr>
              <w:t>30%×A+F</w:t>
            </w:r>
          </w:p>
        </w:tc>
        <w:tc>
          <w:tcPr>
            <w:tcW w:w="898" w:type="dxa"/>
            <w:noWrap/>
            <w:vAlign w:val="center"/>
          </w:tcPr>
          <w:p>
            <w:pPr>
              <w:adjustRightInd w:val="0"/>
              <w:snapToGrid w:val="0"/>
              <w:jc w:val="center"/>
              <w:rPr>
                <w:rFonts w:ascii="仿宋_GB2312" w:hAnsi="宋体" w:eastAsia="仿宋_GB2312"/>
                <w:strike/>
                <w:color w:val="auto"/>
                <w:sz w:val="28"/>
                <w:szCs w:val="28"/>
              </w:rPr>
            </w:pPr>
            <w:r>
              <w:rPr>
                <w:rFonts w:hint="eastAsia" w:ascii="仿宋_GB2312" w:hAnsi="宋体" w:eastAsia="仿宋_GB2312"/>
                <w:strike/>
                <w:color w:val="auto"/>
                <w:sz w:val="28"/>
                <w:szCs w:val="28"/>
              </w:rPr>
              <w:t>按附件三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ign w:val="center"/>
          </w:tcPr>
          <w:p>
            <w:pPr>
              <w:adjustRightInd w:val="0"/>
              <w:snapToGrid w:val="0"/>
              <w:jc w:val="center"/>
              <w:rPr>
                <w:rFonts w:ascii="仿宋_GB2312" w:hAnsi="宋体" w:eastAsia="仿宋_GB2312"/>
                <w:strike/>
                <w:color w:val="auto"/>
                <w:sz w:val="28"/>
                <w:szCs w:val="28"/>
              </w:rPr>
            </w:pPr>
            <w:r>
              <w:rPr>
                <w:rFonts w:ascii="仿宋_GB2312" w:hAnsi="宋体" w:eastAsia="仿宋_GB2312"/>
                <w:strike/>
                <w:color w:val="auto"/>
                <w:sz w:val="28"/>
                <w:szCs w:val="28"/>
              </w:rPr>
              <w:t>4</w:t>
            </w:r>
          </w:p>
        </w:tc>
        <w:tc>
          <w:tcPr>
            <w:tcW w:w="5220" w:type="dxa"/>
            <w:noWrap/>
            <w:vAlign w:val="center"/>
          </w:tcPr>
          <w:p>
            <w:pPr>
              <w:adjustRightInd w:val="0"/>
              <w:snapToGrid w:val="0"/>
              <w:jc w:val="center"/>
              <w:rPr>
                <w:rFonts w:ascii="仿宋_GB2312" w:hAnsi="宋体" w:eastAsia="仿宋_GB2312"/>
                <w:strike/>
                <w:color w:val="auto"/>
                <w:sz w:val="28"/>
                <w:szCs w:val="28"/>
              </w:rPr>
            </w:pPr>
            <w:r>
              <w:rPr>
                <w:rFonts w:hint="eastAsia" w:ascii="仿宋_GB2312" w:hAnsi="宋体" w:eastAsia="仿宋_GB2312"/>
                <w:strike/>
                <w:color w:val="auto"/>
                <w:sz w:val="28"/>
                <w:szCs w:val="28"/>
              </w:rPr>
              <w:t>向城建档案管理部门移交全套工程资料并取得相关证明，并完成所有设计变更审批手续</w:t>
            </w:r>
          </w:p>
        </w:tc>
        <w:tc>
          <w:tcPr>
            <w:tcW w:w="2340" w:type="dxa"/>
            <w:noWrap/>
            <w:vAlign w:val="center"/>
          </w:tcPr>
          <w:p>
            <w:pPr>
              <w:adjustRightInd w:val="0"/>
              <w:snapToGrid w:val="0"/>
              <w:jc w:val="center"/>
              <w:rPr>
                <w:rFonts w:ascii="仿宋_GB2312" w:hAnsi="宋体" w:eastAsia="仿宋_GB2312"/>
                <w:strike/>
                <w:color w:val="auto"/>
                <w:sz w:val="28"/>
                <w:szCs w:val="28"/>
              </w:rPr>
            </w:pPr>
            <w:r>
              <w:rPr>
                <w:rFonts w:hint="eastAsia" w:ascii="仿宋_GB2312" w:hAnsi="宋体" w:eastAsia="仿宋_GB2312"/>
                <w:strike/>
                <w:color w:val="auto"/>
                <w:sz w:val="28"/>
                <w:szCs w:val="28"/>
              </w:rPr>
              <w:t>基数×</w:t>
            </w:r>
            <w:r>
              <w:rPr>
                <w:rFonts w:ascii="仿宋_GB2312" w:hAnsi="宋体" w:eastAsia="仿宋_GB2312"/>
                <w:strike/>
                <w:color w:val="auto"/>
                <w:sz w:val="28"/>
                <w:szCs w:val="28"/>
              </w:rPr>
              <w:t>10%×B</w:t>
            </w:r>
          </w:p>
        </w:tc>
        <w:tc>
          <w:tcPr>
            <w:tcW w:w="898" w:type="dxa"/>
            <w:noWrap/>
            <w:vAlign w:val="center"/>
          </w:tcPr>
          <w:p>
            <w:pPr>
              <w:adjustRightInd w:val="0"/>
              <w:snapToGrid w:val="0"/>
              <w:jc w:val="center"/>
              <w:rPr>
                <w:rFonts w:ascii="仿宋_GB2312" w:hAnsi="宋体" w:eastAsia="仿宋_GB2312"/>
                <w:strike/>
                <w:color w:val="auto"/>
                <w:sz w:val="28"/>
                <w:szCs w:val="28"/>
              </w:rPr>
            </w:pPr>
            <w:r>
              <w:rPr>
                <w:rFonts w:hint="eastAsia" w:ascii="仿宋_GB2312" w:hAnsi="宋体" w:eastAsia="仿宋_GB2312"/>
                <w:strike/>
                <w:color w:val="auto"/>
                <w:sz w:val="28"/>
                <w:szCs w:val="28"/>
              </w:rPr>
              <w:t>按附件四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ign w:val="center"/>
          </w:tcPr>
          <w:p>
            <w:pPr>
              <w:adjustRightInd w:val="0"/>
              <w:snapToGrid w:val="0"/>
              <w:jc w:val="center"/>
              <w:rPr>
                <w:rFonts w:ascii="仿宋_GB2312" w:hAnsi="宋体" w:eastAsia="仿宋_GB2312"/>
                <w:strike/>
                <w:color w:val="auto"/>
                <w:sz w:val="28"/>
                <w:szCs w:val="28"/>
              </w:rPr>
            </w:pPr>
            <w:r>
              <w:rPr>
                <w:rFonts w:ascii="仿宋_GB2312" w:hAnsi="宋体" w:eastAsia="仿宋_GB2312"/>
                <w:strike/>
                <w:color w:val="auto"/>
                <w:sz w:val="28"/>
                <w:szCs w:val="28"/>
              </w:rPr>
              <w:t>5</w:t>
            </w:r>
          </w:p>
        </w:tc>
        <w:tc>
          <w:tcPr>
            <w:tcW w:w="5220" w:type="dxa"/>
            <w:noWrap/>
            <w:vAlign w:val="center"/>
          </w:tcPr>
          <w:p>
            <w:pPr>
              <w:adjustRightInd w:val="0"/>
              <w:snapToGrid w:val="0"/>
              <w:jc w:val="center"/>
              <w:rPr>
                <w:rFonts w:ascii="仿宋_GB2312" w:hAnsi="宋体" w:eastAsia="仿宋_GB2312"/>
                <w:strike/>
                <w:color w:val="auto"/>
                <w:sz w:val="28"/>
                <w:szCs w:val="28"/>
              </w:rPr>
            </w:pPr>
            <w:r>
              <w:rPr>
                <w:rFonts w:hint="eastAsia" w:ascii="仿宋_GB2312" w:hAnsi="宋体" w:eastAsia="仿宋_GB2312"/>
                <w:strike/>
                <w:color w:val="auto"/>
                <w:sz w:val="28"/>
                <w:szCs w:val="28"/>
              </w:rPr>
              <w:t>合同结算经省政府财政部门审定</w:t>
            </w:r>
          </w:p>
        </w:tc>
        <w:tc>
          <w:tcPr>
            <w:tcW w:w="2340" w:type="dxa"/>
            <w:noWrap/>
            <w:vAlign w:val="center"/>
          </w:tcPr>
          <w:p>
            <w:pPr>
              <w:adjustRightInd w:val="0"/>
              <w:snapToGrid w:val="0"/>
              <w:jc w:val="center"/>
              <w:rPr>
                <w:rFonts w:ascii="仿宋_GB2312" w:hAnsi="宋体" w:eastAsia="仿宋_GB2312"/>
                <w:strike/>
                <w:color w:val="auto"/>
                <w:sz w:val="28"/>
                <w:szCs w:val="28"/>
              </w:rPr>
            </w:pPr>
            <w:r>
              <w:rPr>
                <w:rFonts w:hint="eastAsia" w:ascii="仿宋_GB2312" w:hAnsi="宋体" w:eastAsia="仿宋_GB2312"/>
                <w:strike/>
                <w:color w:val="auto"/>
                <w:sz w:val="28"/>
                <w:szCs w:val="28"/>
              </w:rPr>
              <w:t>基数×</w:t>
            </w:r>
            <w:r>
              <w:rPr>
                <w:rFonts w:ascii="仿宋_GB2312" w:hAnsi="宋体" w:eastAsia="仿宋_GB2312"/>
                <w:strike/>
                <w:color w:val="auto"/>
                <w:sz w:val="28"/>
                <w:szCs w:val="28"/>
              </w:rPr>
              <w:t>10%或按省政府财政部门审定应付金额</w:t>
            </w:r>
          </w:p>
        </w:tc>
        <w:tc>
          <w:tcPr>
            <w:tcW w:w="898" w:type="dxa"/>
            <w:noWrap/>
            <w:vAlign w:val="center"/>
          </w:tcPr>
          <w:p>
            <w:pPr>
              <w:adjustRightInd w:val="0"/>
              <w:snapToGrid w:val="0"/>
              <w:jc w:val="center"/>
              <w:rPr>
                <w:rFonts w:ascii="仿宋_GB2312" w:hAnsi="宋体" w:eastAsia="仿宋_GB2312"/>
                <w:strike/>
                <w:color w:val="auto"/>
                <w:sz w:val="28"/>
                <w:szCs w:val="28"/>
              </w:rPr>
            </w:pPr>
            <w:r>
              <w:rPr>
                <w:rFonts w:ascii="仿宋_GB2312" w:hAnsi="宋体" w:eastAsia="仿宋_GB2312"/>
                <w:strike/>
                <w:color w:val="auto"/>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ign w:val="center"/>
          </w:tcPr>
          <w:p>
            <w:pPr>
              <w:adjustRightInd w:val="0"/>
              <w:snapToGrid w:val="0"/>
              <w:jc w:val="center"/>
              <w:rPr>
                <w:rFonts w:ascii="仿宋_GB2312" w:hAnsi="宋体" w:eastAsia="仿宋_GB2312"/>
                <w:strike/>
                <w:color w:val="auto"/>
                <w:sz w:val="28"/>
                <w:szCs w:val="28"/>
              </w:rPr>
            </w:pPr>
            <w:r>
              <w:rPr>
                <w:rFonts w:ascii="仿宋_GB2312" w:hAnsi="宋体" w:eastAsia="仿宋_GB2312"/>
                <w:strike/>
                <w:color w:val="auto"/>
                <w:sz w:val="28"/>
                <w:szCs w:val="28"/>
              </w:rPr>
              <w:t>6</w:t>
            </w:r>
          </w:p>
        </w:tc>
        <w:tc>
          <w:tcPr>
            <w:tcW w:w="5220" w:type="dxa"/>
            <w:noWrap/>
            <w:vAlign w:val="center"/>
          </w:tcPr>
          <w:p>
            <w:pPr>
              <w:adjustRightInd w:val="0"/>
              <w:snapToGrid w:val="0"/>
              <w:jc w:val="center"/>
              <w:rPr>
                <w:rFonts w:ascii="仿宋_GB2312" w:hAnsi="宋体" w:eastAsia="仿宋_GB2312"/>
                <w:strike/>
                <w:color w:val="auto"/>
                <w:sz w:val="28"/>
                <w:szCs w:val="28"/>
              </w:rPr>
            </w:pPr>
            <w:r>
              <w:rPr>
                <w:rFonts w:hint="eastAsia" w:ascii="仿宋_GB2312" w:hAnsi="宋体" w:eastAsia="仿宋_GB2312"/>
                <w:strike/>
                <w:color w:val="auto"/>
                <w:sz w:val="28"/>
                <w:szCs w:val="28"/>
              </w:rPr>
              <w:t>缺陷责任期届满</w:t>
            </w:r>
          </w:p>
        </w:tc>
        <w:tc>
          <w:tcPr>
            <w:tcW w:w="2340" w:type="dxa"/>
            <w:noWrap/>
            <w:vAlign w:val="center"/>
          </w:tcPr>
          <w:p>
            <w:pPr>
              <w:adjustRightInd w:val="0"/>
              <w:snapToGrid w:val="0"/>
              <w:jc w:val="center"/>
              <w:rPr>
                <w:rFonts w:ascii="仿宋_GB2312" w:hAnsi="宋体" w:eastAsia="仿宋_GB2312"/>
                <w:strike/>
                <w:color w:val="auto"/>
                <w:sz w:val="28"/>
                <w:szCs w:val="28"/>
              </w:rPr>
            </w:pPr>
            <w:r>
              <w:rPr>
                <w:rFonts w:hint="eastAsia" w:ascii="仿宋_GB2312" w:hAnsi="宋体" w:eastAsia="仿宋_GB2312"/>
                <w:strike/>
                <w:color w:val="auto"/>
                <w:sz w:val="28"/>
                <w:szCs w:val="28"/>
              </w:rPr>
              <w:t>基数×</w:t>
            </w:r>
            <w:r>
              <w:rPr>
                <w:rFonts w:ascii="仿宋_GB2312" w:hAnsi="宋体" w:eastAsia="仿宋_GB2312"/>
                <w:strike/>
                <w:color w:val="auto"/>
                <w:sz w:val="28"/>
                <w:szCs w:val="28"/>
              </w:rPr>
              <w:t>5%×C</w:t>
            </w:r>
          </w:p>
        </w:tc>
        <w:tc>
          <w:tcPr>
            <w:tcW w:w="898" w:type="dxa"/>
            <w:noWrap/>
            <w:vAlign w:val="center"/>
          </w:tcPr>
          <w:p>
            <w:pPr>
              <w:adjustRightInd w:val="0"/>
              <w:snapToGrid w:val="0"/>
              <w:jc w:val="center"/>
              <w:rPr>
                <w:rFonts w:ascii="仿宋_GB2312" w:hAnsi="宋体" w:eastAsia="仿宋_GB2312"/>
                <w:strike/>
                <w:color w:val="auto"/>
                <w:sz w:val="28"/>
                <w:szCs w:val="28"/>
              </w:rPr>
            </w:pPr>
            <w:r>
              <w:rPr>
                <w:rFonts w:hint="eastAsia" w:ascii="仿宋_GB2312" w:hAnsi="宋体" w:eastAsia="仿宋_GB2312"/>
                <w:strike/>
                <w:color w:val="auto"/>
                <w:sz w:val="28"/>
                <w:szCs w:val="28"/>
              </w:rPr>
              <w:t>按附件五</w:t>
            </w:r>
          </w:p>
        </w:tc>
      </w:tr>
    </w:tbl>
    <w:p>
      <w:pPr>
        <w:spacing w:line="560" w:lineRule="exact"/>
        <w:ind w:firstLine="643" w:firstLineChars="200"/>
        <w:rPr>
          <w:rFonts w:ascii="仿宋_GB2312" w:eastAsia="仿宋_GB2312"/>
          <w:b/>
          <w:color w:val="auto"/>
          <w:sz w:val="32"/>
          <w:szCs w:val="32"/>
        </w:rPr>
      </w:pPr>
      <w:r>
        <w:rPr>
          <w:rFonts w:hint="eastAsia" w:ascii="仿宋_GB2312" w:eastAsia="仿宋_GB2312"/>
          <w:b/>
          <w:color w:val="auto"/>
          <w:sz w:val="32"/>
          <w:szCs w:val="32"/>
        </w:rPr>
        <w:t>注：</w:t>
      </w:r>
    </w:p>
    <w:p>
      <w:pPr>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①基数为合同设计费总额（不含BIM 设计费）扣除合同约定的方案补偿费。</w:t>
      </w:r>
    </w:p>
    <w:p>
      <w:pPr>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②A为设计阶段合同履约评价得分对应的暂付设计费支付比例。</w:t>
      </w:r>
    </w:p>
    <w:p>
      <w:pPr>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③F为设计阶段合同履约评价综合得分对应的暂付设计费余额应返还金额。暂付设计费余额为设计阶段全额设计费与该阶段暂付设计费的差额。</w:t>
      </w:r>
    </w:p>
    <w:p>
      <w:pPr>
        <w:spacing w:line="560" w:lineRule="exact"/>
        <w:ind w:firstLine="640" w:firstLineChars="200"/>
        <w:rPr>
          <w:rFonts w:ascii="仿宋_GB2312" w:eastAsia="仿宋_GB2312"/>
          <w:strike/>
          <w:color w:val="auto"/>
          <w:sz w:val="32"/>
          <w:szCs w:val="32"/>
        </w:rPr>
      </w:pPr>
      <w:r>
        <w:rPr>
          <w:rFonts w:hint="eastAsia" w:ascii="仿宋_GB2312" w:eastAsia="仿宋_GB2312"/>
          <w:strike/>
          <w:color w:val="auto"/>
          <w:sz w:val="32"/>
          <w:szCs w:val="32"/>
        </w:rPr>
        <w:t>④B为施工阶段合同履约评价综合得分对应的设计费支付比例。</w:t>
      </w:r>
    </w:p>
    <w:p>
      <w:pPr>
        <w:spacing w:line="560" w:lineRule="exact"/>
        <w:ind w:firstLine="640" w:firstLineChars="200"/>
        <w:rPr>
          <w:rFonts w:ascii="仿宋_GB2312" w:eastAsia="仿宋_GB2312"/>
          <w:strike/>
          <w:color w:val="auto"/>
          <w:sz w:val="32"/>
          <w:szCs w:val="32"/>
        </w:rPr>
      </w:pPr>
      <w:r>
        <w:rPr>
          <w:rFonts w:hint="eastAsia" w:ascii="仿宋_GB2312" w:eastAsia="仿宋_GB2312"/>
          <w:strike/>
          <w:color w:val="auto"/>
          <w:sz w:val="32"/>
          <w:szCs w:val="32"/>
        </w:rPr>
        <w:t>⑤C为缺陷责任期阶段合同履约评价综合得分对应的设计费支付比例。</w:t>
      </w:r>
    </w:p>
    <w:p>
      <w:pPr>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（二）设计阶段合同履约评价得分对应的暂付设计费支付比例A的取值方式</w:t>
      </w:r>
    </w:p>
    <w:p>
      <w:pPr>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1、某阶段设计合同履约评价得分≥90的，该阶段设计费全额支付，即A=1。</w:t>
      </w:r>
    </w:p>
    <w:p>
      <w:pPr>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2、某阶段设计合同履约评价得分≥75且</w:t>
      </w:r>
      <w:r>
        <w:rPr>
          <w:rFonts w:hint="eastAsia" w:ascii="仿宋_GB2312" w:hAnsi="仿宋_GB2312" w:eastAsia="仿宋_GB2312"/>
          <w:color w:val="auto"/>
          <w:sz w:val="32"/>
          <w:szCs w:val="32"/>
        </w:rPr>
        <w:t>&lt;</w:t>
      </w:r>
      <w:r>
        <w:rPr>
          <w:rFonts w:hint="eastAsia" w:ascii="仿宋_GB2312" w:eastAsia="仿宋_GB2312"/>
          <w:color w:val="auto"/>
          <w:sz w:val="32"/>
          <w:szCs w:val="32"/>
        </w:rPr>
        <w:t>90的，该阶段设计费暂付比例为90%，即A=90%。</w:t>
      </w:r>
    </w:p>
    <w:p>
      <w:pPr>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3、某阶段设计合同履约评价得分≥60且</w:t>
      </w:r>
      <w:r>
        <w:rPr>
          <w:rFonts w:hint="eastAsia" w:ascii="仿宋_GB2312" w:hAnsi="仿宋_GB2312" w:eastAsia="仿宋_GB2312"/>
          <w:color w:val="auto"/>
          <w:sz w:val="32"/>
          <w:szCs w:val="32"/>
        </w:rPr>
        <w:t>&lt;</w:t>
      </w:r>
      <w:r>
        <w:rPr>
          <w:rFonts w:hint="eastAsia" w:ascii="仿宋_GB2312" w:eastAsia="仿宋_GB2312"/>
          <w:color w:val="auto"/>
          <w:sz w:val="32"/>
          <w:szCs w:val="32"/>
        </w:rPr>
        <w:t>75的，该阶段设计费暂付比例为80%，即A=80%。</w:t>
      </w:r>
    </w:p>
    <w:p>
      <w:pPr>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4、某阶段设计合同履约评价得分</w:t>
      </w:r>
      <w:r>
        <w:rPr>
          <w:rFonts w:hint="eastAsia" w:ascii="仿宋_GB2312" w:hAnsi="仿宋_GB2312" w:eastAsia="仿宋_GB2312"/>
          <w:color w:val="auto"/>
          <w:sz w:val="32"/>
          <w:szCs w:val="32"/>
        </w:rPr>
        <w:t>&lt;</w:t>
      </w:r>
      <w:r>
        <w:rPr>
          <w:rFonts w:hint="eastAsia" w:ascii="仿宋_GB2312" w:eastAsia="仿宋_GB2312"/>
          <w:color w:val="auto"/>
          <w:sz w:val="32"/>
          <w:szCs w:val="32"/>
        </w:rPr>
        <w:t>60的，该阶段设计费暂付比例为70%，即A=70%。</w:t>
      </w:r>
    </w:p>
    <w:p>
      <w:pPr>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（三）设计阶段合同履约评价暂付设计费余额应返还金额F的计算方式</w:t>
      </w:r>
    </w:p>
    <w:p>
      <w:pPr>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1、设计阶段合同履约评价综合得分≥90的，前阶段暂付设计费全额返还（前阶段已全额支付的除外）。</w:t>
      </w:r>
    </w:p>
    <w:p>
      <w:pPr>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2、设计阶段合同履约评价综合得分≥75且</w:t>
      </w:r>
      <w:r>
        <w:rPr>
          <w:rFonts w:hint="eastAsia" w:ascii="仿宋_GB2312" w:hAnsi="仿宋_GB2312" w:eastAsia="仿宋_GB2312"/>
          <w:color w:val="auto"/>
          <w:sz w:val="32"/>
          <w:szCs w:val="32"/>
        </w:rPr>
        <w:t>&lt;</w:t>
      </w:r>
      <w:r>
        <w:rPr>
          <w:rFonts w:hint="eastAsia" w:ascii="仿宋_GB2312" w:eastAsia="仿宋_GB2312"/>
          <w:color w:val="auto"/>
          <w:sz w:val="32"/>
          <w:szCs w:val="32"/>
        </w:rPr>
        <w:t>90的，前阶段暂付设计费余额应返还比例为75%。</w:t>
      </w:r>
    </w:p>
    <w:p>
      <w:pPr>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3、设计阶段合同履约评价综合得分≥60且</w:t>
      </w:r>
      <w:r>
        <w:rPr>
          <w:rFonts w:hint="eastAsia" w:ascii="仿宋_GB2312" w:hAnsi="仿宋_GB2312" w:eastAsia="仿宋_GB2312"/>
          <w:color w:val="auto"/>
          <w:sz w:val="32"/>
          <w:szCs w:val="32"/>
        </w:rPr>
        <w:t>&lt;</w:t>
      </w:r>
      <w:r>
        <w:rPr>
          <w:rFonts w:hint="eastAsia" w:ascii="仿宋_GB2312" w:eastAsia="仿宋_GB2312"/>
          <w:color w:val="auto"/>
          <w:sz w:val="32"/>
          <w:szCs w:val="32"/>
        </w:rPr>
        <w:t>75的，前阶段暂付设计费余额应返还比例为50%。</w:t>
      </w:r>
    </w:p>
    <w:p>
      <w:pPr>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4、设计阶段合同履约评价综合得分</w:t>
      </w:r>
      <w:r>
        <w:rPr>
          <w:rFonts w:hint="eastAsia" w:ascii="仿宋_GB2312" w:hAnsi="仿宋_GB2312" w:eastAsia="仿宋_GB2312"/>
          <w:color w:val="auto"/>
          <w:sz w:val="32"/>
          <w:szCs w:val="32"/>
        </w:rPr>
        <w:t>&lt;</w:t>
      </w:r>
      <w:r>
        <w:rPr>
          <w:rFonts w:hint="eastAsia" w:ascii="仿宋_GB2312" w:eastAsia="仿宋_GB2312"/>
          <w:color w:val="auto"/>
          <w:sz w:val="32"/>
          <w:szCs w:val="32"/>
        </w:rPr>
        <w:t>60的，前阶段暂付设计费余额不返还。</w:t>
      </w:r>
    </w:p>
    <w:p>
      <w:pPr>
        <w:spacing w:line="560" w:lineRule="exact"/>
        <w:ind w:firstLine="643" w:firstLineChars="200"/>
        <w:rPr>
          <w:rFonts w:ascii="仿宋_GB2312" w:eastAsia="仿宋_GB2312"/>
          <w:b/>
          <w:color w:val="auto"/>
          <w:sz w:val="32"/>
          <w:szCs w:val="32"/>
        </w:rPr>
      </w:pPr>
      <w:r>
        <w:rPr>
          <w:rFonts w:hint="eastAsia" w:ascii="仿宋_GB2312" w:eastAsia="仿宋_GB2312"/>
          <w:b/>
          <w:color w:val="auto"/>
          <w:sz w:val="32"/>
          <w:szCs w:val="32"/>
        </w:rPr>
        <w:t>注：</w:t>
      </w:r>
    </w:p>
    <w:p>
      <w:pPr>
        <w:spacing w:line="560" w:lineRule="exact"/>
        <w:ind w:firstLine="640" w:firstLineChars="200"/>
        <w:rPr>
          <w:rFonts w:ascii="仿宋_GB2312" w:eastAsia="仿宋_GB2312"/>
          <w:strike/>
          <w:color w:val="auto"/>
          <w:sz w:val="32"/>
          <w:szCs w:val="32"/>
        </w:rPr>
      </w:pPr>
      <w:r>
        <w:rPr>
          <w:rFonts w:hint="eastAsia" w:ascii="仿宋_GB2312" w:eastAsia="仿宋_GB2312"/>
          <w:strike/>
          <w:color w:val="auto"/>
          <w:sz w:val="32"/>
          <w:szCs w:val="32"/>
        </w:rPr>
        <w:t>①对于全阶段设计模式（含全过程EPC模式、传统模式）</w:t>
      </w:r>
    </w:p>
    <w:p>
      <w:pPr>
        <w:spacing w:line="560" w:lineRule="exact"/>
        <w:ind w:firstLine="640" w:firstLineChars="200"/>
        <w:rPr>
          <w:rFonts w:ascii="仿宋_GB2312" w:eastAsia="仿宋_GB2312"/>
          <w:color w:val="auto"/>
          <w:sz w:val="32"/>
          <w:szCs w:val="32"/>
        </w:rPr>
      </w:pPr>
      <w:r>
        <w:rPr>
          <w:rFonts w:hint="eastAsia" w:ascii="仿宋_GB2312" w:eastAsia="仿宋_GB2312"/>
          <w:strike/>
          <w:color w:val="auto"/>
          <w:sz w:val="32"/>
          <w:szCs w:val="32"/>
        </w:rPr>
        <w:t>设计阶段合同履约评价综合得分=方案设计、初步设计、施工图设计三阶段合同履约评价得分的算术平均值。</w:t>
      </w:r>
    </w:p>
    <w:p>
      <w:pPr>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②对于分阶段设计模式（取得初步设计批复后的EPC模式）中的方案设计及初步设计单位</w:t>
      </w:r>
    </w:p>
    <w:p>
      <w:pPr>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设计阶段合同履约评价综合得分=方案设计、初步设计两阶段合同履约评价得分的算术平均值。</w:t>
      </w:r>
    </w:p>
    <w:p>
      <w:pPr>
        <w:spacing w:line="560" w:lineRule="exact"/>
        <w:ind w:firstLine="640" w:firstLineChars="200"/>
        <w:rPr>
          <w:rFonts w:ascii="仿宋_GB2312" w:eastAsia="仿宋_GB2312"/>
          <w:strike/>
          <w:color w:val="auto"/>
          <w:sz w:val="32"/>
          <w:szCs w:val="32"/>
        </w:rPr>
      </w:pPr>
      <w:r>
        <w:rPr>
          <w:rFonts w:hint="eastAsia" w:ascii="仿宋_GB2312" w:eastAsia="仿宋_GB2312"/>
          <w:strike/>
          <w:color w:val="auto"/>
          <w:sz w:val="32"/>
          <w:szCs w:val="32"/>
        </w:rPr>
        <w:t>③对于分阶段设计模式（取得初步设计批复后的EPC模式）中的施工图设计单位</w:t>
      </w:r>
    </w:p>
    <w:p>
      <w:pPr>
        <w:spacing w:line="560" w:lineRule="exact"/>
        <w:ind w:firstLine="640" w:firstLineChars="200"/>
        <w:rPr>
          <w:rFonts w:ascii="仿宋_GB2312" w:eastAsia="仿宋_GB2312"/>
          <w:color w:val="auto"/>
          <w:sz w:val="32"/>
          <w:szCs w:val="32"/>
        </w:rPr>
      </w:pPr>
      <w:r>
        <w:rPr>
          <w:rFonts w:hint="eastAsia" w:ascii="仿宋_GB2312" w:eastAsia="仿宋_GB2312"/>
          <w:strike/>
          <w:color w:val="auto"/>
          <w:sz w:val="32"/>
          <w:szCs w:val="32"/>
        </w:rPr>
        <w:t>设计阶段合同履约评价综合得分=施工图设计（至取得施工图审查合格报告）、专业施工图及各专业深化施工图设计两阶段合同履约评价得分的算术平均值。</w:t>
      </w:r>
    </w:p>
    <w:p>
      <w:pPr>
        <w:spacing w:line="560" w:lineRule="exact"/>
        <w:ind w:firstLine="640" w:firstLineChars="200"/>
        <w:rPr>
          <w:rFonts w:ascii="仿宋_GB2312" w:eastAsia="仿宋_GB2312"/>
          <w:strike/>
          <w:color w:val="auto"/>
          <w:sz w:val="32"/>
          <w:szCs w:val="32"/>
        </w:rPr>
      </w:pPr>
      <w:r>
        <w:rPr>
          <w:rFonts w:hint="eastAsia" w:ascii="仿宋_GB2312" w:eastAsia="仿宋_GB2312"/>
          <w:strike/>
          <w:color w:val="auto"/>
          <w:sz w:val="32"/>
          <w:szCs w:val="32"/>
        </w:rPr>
        <w:t>（四）施工阶段设计合同履约评价得分对应的设计费支付比例B的取值方式</w:t>
      </w:r>
    </w:p>
    <w:p>
      <w:pPr>
        <w:spacing w:line="560" w:lineRule="exact"/>
        <w:ind w:firstLine="640" w:firstLineChars="200"/>
        <w:rPr>
          <w:rFonts w:ascii="仿宋_GB2312" w:eastAsia="仿宋_GB2312"/>
          <w:strike/>
          <w:color w:val="auto"/>
          <w:sz w:val="32"/>
          <w:szCs w:val="32"/>
        </w:rPr>
      </w:pPr>
      <w:r>
        <w:rPr>
          <w:rFonts w:hint="eastAsia" w:ascii="仿宋_GB2312" w:eastAsia="仿宋_GB2312"/>
          <w:strike/>
          <w:color w:val="auto"/>
          <w:sz w:val="32"/>
          <w:szCs w:val="32"/>
        </w:rPr>
        <w:t>1、施工阶段合同履约评价综合得分≥90的，该阶段设计费全额支付，即B=1。</w:t>
      </w:r>
    </w:p>
    <w:p>
      <w:pPr>
        <w:spacing w:line="560" w:lineRule="exact"/>
        <w:ind w:firstLine="640" w:firstLineChars="200"/>
        <w:rPr>
          <w:rFonts w:ascii="仿宋_GB2312" w:eastAsia="仿宋_GB2312"/>
          <w:strike/>
          <w:color w:val="auto"/>
          <w:sz w:val="32"/>
          <w:szCs w:val="32"/>
        </w:rPr>
      </w:pPr>
      <w:r>
        <w:rPr>
          <w:rFonts w:hint="eastAsia" w:ascii="仿宋_GB2312" w:eastAsia="仿宋_GB2312"/>
          <w:strike/>
          <w:color w:val="auto"/>
          <w:sz w:val="32"/>
          <w:szCs w:val="32"/>
        </w:rPr>
        <w:t>2、施工阶段合同履约评价综合得分≥75且</w:t>
      </w:r>
      <w:r>
        <w:rPr>
          <w:rFonts w:ascii="仿宋_GB2312" w:hAnsi="仿宋_GB2312" w:eastAsia="仿宋_GB2312"/>
          <w:strike/>
          <w:color w:val="auto"/>
          <w:sz w:val="32"/>
          <w:szCs w:val="32"/>
        </w:rPr>
        <w:t>&lt;</w:t>
      </w:r>
      <w:r>
        <w:rPr>
          <w:rFonts w:hint="eastAsia" w:ascii="仿宋_GB2312" w:eastAsia="仿宋_GB2312"/>
          <w:strike/>
          <w:color w:val="auto"/>
          <w:sz w:val="32"/>
          <w:szCs w:val="32"/>
        </w:rPr>
        <w:t>90的，该阶段设计费暂付比例为90%，即B=90%。</w:t>
      </w:r>
    </w:p>
    <w:p>
      <w:pPr>
        <w:spacing w:line="560" w:lineRule="exact"/>
        <w:ind w:firstLine="640" w:firstLineChars="200"/>
        <w:rPr>
          <w:rFonts w:ascii="仿宋_GB2312" w:eastAsia="仿宋_GB2312"/>
          <w:strike/>
          <w:color w:val="auto"/>
          <w:sz w:val="32"/>
          <w:szCs w:val="32"/>
        </w:rPr>
      </w:pPr>
      <w:r>
        <w:rPr>
          <w:rFonts w:hint="eastAsia" w:ascii="仿宋_GB2312" w:eastAsia="仿宋_GB2312"/>
          <w:strike/>
          <w:color w:val="auto"/>
          <w:sz w:val="32"/>
          <w:szCs w:val="32"/>
        </w:rPr>
        <w:t>3、施工阶段合同履约评价综合得分≥60且</w:t>
      </w:r>
      <w:r>
        <w:rPr>
          <w:rFonts w:ascii="仿宋_GB2312" w:hAnsi="仿宋_GB2312" w:eastAsia="仿宋_GB2312"/>
          <w:strike/>
          <w:color w:val="auto"/>
          <w:sz w:val="32"/>
          <w:szCs w:val="32"/>
        </w:rPr>
        <w:t>&lt;</w:t>
      </w:r>
      <w:r>
        <w:rPr>
          <w:rFonts w:hint="eastAsia" w:ascii="仿宋_GB2312" w:eastAsia="仿宋_GB2312"/>
          <w:strike/>
          <w:color w:val="auto"/>
          <w:sz w:val="32"/>
          <w:szCs w:val="32"/>
        </w:rPr>
        <w:t>75的，该阶段设计费暂付比例为80%，即B=80%。</w:t>
      </w:r>
    </w:p>
    <w:p>
      <w:pPr>
        <w:spacing w:line="560" w:lineRule="exact"/>
        <w:ind w:firstLine="640" w:firstLineChars="200"/>
        <w:rPr>
          <w:rFonts w:ascii="仿宋_GB2312" w:eastAsia="仿宋_GB2312"/>
          <w:strike/>
          <w:color w:val="auto"/>
          <w:sz w:val="32"/>
          <w:szCs w:val="32"/>
        </w:rPr>
      </w:pPr>
      <w:r>
        <w:rPr>
          <w:rFonts w:hint="eastAsia" w:ascii="仿宋_GB2312" w:eastAsia="仿宋_GB2312"/>
          <w:strike/>
          <w:color w:val="auto"/>
          <w:sz w:val="32"/>
          <w:szCs w:val="32"/>
        </w:rPr>
        <w:t>4、施工阶段合同履约评价综合得分</w:t>
      </w:r>
      <w:r>
        <w:rPr>
          <w:rFonts w:ascii="仿宋_GB2312" w:hAnsi="仿宋_GB2312" w:eastAsia="仿宋_GB2312"/>
          <w:strike/>
          <w:color w:val="auto"/>
          <w:sz w:val="32"/>
          <w:szCs w:val="32"/>
        </w:rPr>
        <w:t>&lt;</w:t>
      </w:r>
      <w:r>
        <w:rPr>
          <w:rFonts w:hint="eastAsia" w:ascii="仿宋_GB2312" w:eastAsia="仿宋_GB2312"/>
          <w:strike/>
          <w:color w:val="auto"/>
          <w:sz w:val="32"/>
          <w:szCs w:val="32"/>
        </w:rPr>
        <w:t>60的，该阶段设计费暂付比例为70%，即B=70%。</w:t>
      </w:r>
    </w:p>
    <w:p>
      <w:pPr>
        <w:spacing w:line="560" w:lineRule="exact"/>
        <w:ind w:firstLine="640" w:firstLineChars="200"/>
        <w:rPr>
          <w:rFonts w:ascii="仿宋_GB2312" w:eastAsia="仿宋_GB2312"/>
          <w:strike/>
          <w:color w:val="auto"/>
          <w:sz w:val="32"/>
          <w:szCs w:val="32"/>
        </w:rPr>
      </w:pPr>
      <w:r>
        <w:rPr>
          <w:rFonts w:hint="eastAsia" w:ascii="仿宋_GB2312" w:eastAsia="仿宋_GB2312"/>
          <w:strike/>
          <w:color w:val="auto"/>
          <w:sz w:val="32"/>
          <w:szCs w:val="32"/>
        </w:rPr>
        <w:t>注：施工阶段合同履约评价综合得分=施工阶段各季度评价算术平均值。</w:t>
      </w:r>
    </w:p>
    <w:p>
      <w:pPr>
        <w:spacing w:line="560" w:lineRule="exact"/>
        <w:ind w:firstLine="640" w:firstLineChars="200"/>
        <w:rPr>
          <w:rFonts w:ascii="仿宋_GB2312" w:eastAsia="仿宋_GB2312"/>
          <w:strike/>
          <w:color w:val="auto"/>
          <w:sz w:val="32"/>
          <w:szCs w:val="32"/>
        </w:rPr>
      </w:pPr>
      <w:r>
        <w:rPr>
          <w:rFonts w:hint="eastAsia" w:ascii="仿宋_GB2312" w:eastAsia="仿宋_GB2312"/>
          <w:strike/>
          <w:color w:val="auto"/>
          <w:sz w:val="32"/>
          <w:szCs w:val="32"/>
        </w:rPr>
        <w:t>（五）缺陷责任期阶段设计合同履约评价得分对应的设计费支付比例C的取值方式</w:t>
      </w:r>
    </w:p>
    <w:p>
      <w:pPr>
        <w:spacing w:line="560" w:lineRule="exact"/>
        <w:ind w:firstLine="640" w:firstLineChars="200"/>
        <w:rPr>
          <w:rFonts w:ascii="仿宋_GB2312" w:eastAsia="仿宋_GB2312"/>
          <w:strike/>
          <w:color w:val="auto"/>
          <w:sz w:val="32"/>
          <w:szCs w:val="32"/>
        </w:rPr>
      </w:pPr>
      <w:r>
        <w:rPr>
          <w:rFonts w:hint="eastAsia" w:ascii="仿宋_GB2312" w:eastAsia="仿宋_GB2312"/>
          <w:strike/>
          <w:color w:val="auto"/>
          <w:sz w:val="32"/>
          <w:szCs w:val="32"/>
        </w:rPr>
        <w:t>1、缺陷责任期阶段合同履约评价综合得分≥90的，该阶段设计费全额支付，即C=1。</w:t>
      </w:r>
    </w:p>
    <w:p>
      <w:pPr>
        <w:spacing w:line="560" w:lineRule="exact"/>
        <w:ind w:firstLine="640" w:firstLineChars="200"/>
        <w:rPr>
          <w:rFonts w:ascii="仿宋_GB2312" w:eastAsia="仿宋_GB2312"/>
          <w:strike/>
          <w:color w:val="auto"/>
          <w:sz w:val="32"/>
          <w:szCs w:val="32"/>
        </w:rPr>
      </w:pPr>
      <w:r>
        <w:rPr>
          <w:rFonts w:hint="eastAsia" w:ascii="仿宋_GB2312" w:eastAsia="仿宋_GB2312"/>
          <w:strike/>
          <w:color w:val="auto"/>
          <w:sz w:val="32"/>
          <w:szCs w:val="32"/>
        </w:rPr>
        <w:t>2、缺陷责任期阶段合同履约评价综合得分≥75且</w:t>
      </w:r>
      <w:r>
        <w:rPr>
          <w:rFonts w:ascii="仿宋_GB2312" w:hAnsi="仿宋_GB2312" w:eastAsia="仿宋_GB2312"/>
          <w:strike/>
          <w:color w:val="auto"/>
          <w:sz w:val="32"/>
          <w:szCs w:val="32"/>
        </w:rPr>
        <w:t>&lt;</w:t>
      </w:r>
      <w:r>
        <w:rPr>
          <w:rFonts w:hint="eastAsia" w:ascii="仿宋_GB2312" w:eastAsia="仿宋_GB2312"/>
          <w:strike/>
          <w:color w:val="auto"/>
          <w:sz w:val="32"/>
          <w:szCs w:val="32"/>
        </w:rPr>
        <w:t>90的，该阶段设计费暂付比例为90%，即C=90%。</w:t>
      </w:r>
    </w:p>
    <w:p>
      <w:pPr>
        <w:spacing w:line="560" w:lineRule="exact"/>
        <w:ind w:firstLine="640" w:firstLineChars="200"/>
        <w:rPr>
          <w:rFonts w:ascii="仿宋_GB2312" w:eastAsia="仿宋_GB2312"/>
          <w:strike/>
          <w:color w:val="auto"/>
          <w:sz w:val="32"/>
          <w:szCs w:val="32"/>
        </w:rPr>
      </w:pPr>
      <w:r>
        <w:rPr>
          <w:rFonts w:hint="eastAsia" w:ascii="仿宋_GB2312" w:eastAsia="仿宋_GB2312"/>
          <w:strike/>
          <w:color w:val="auto"/>
          <w:sz w:val="32"/>
          <w:szCs w:val="32"/>
        </w:rPr>
        <w:t>3、缺陷责任期阶段合同履约评价综合得分≥60且</w:t>
      </w:r>
      <w:r>
        <w:rPr>
          <w:rFonts w:ascii="仿宋_GB2312" w:hAnsi="仿宋_GB2312" w:eastAsia="仿宋_GB2312"/>
          <w:strike/>
          <w:color w:val="auto"/>
          <w:sz w:val="32"/>
          <w:szCs w:val="32"/>
        </w:rPr>
        <w:t>&lt;</w:t>
      </w:r>
      <w:r>
        <w:rPr>
          <w:rFonts w:hint="eastAsia" w:ascii="仿宋_GB2312" w:eastAsia="仿宋_GB2312"/>
          <w:strike/>
          <w:color w:val="auto"/>
          <w:sz w:val="32"/>
          <w:szCs w:val="32"/>
        </w:rPr>
        <w:t>75的，该阶段设计费暂付比例为80%，即C=80%。</w:t>
      </w:r>
    </w:p>
    <w:p>
      <w:pPr>
        <w:spacing w:line="560" w:lineRule="exact"/>
        <w:ind w:firstLine="640" w:firstLineChars="200"/>
        <w:rPr>
          <w:rFonts w:ascii="仿宋_GB2312" w:eastAsia="仿宋_GB2312"/>
          <w:strike/>
          <w:color w:val="auto"/>
          <w:sz w:val="32"/>
          <w:szCs w:val="32"/>
        </w:rPr>
      </w:pPr>
      <w:r>
        <w:rPr>
          <w:rFonts w:hint="eastAsia" w:ascii="仿宋_GB2312" w:eastAsia="仿宋_GB2312"/>
          <w:strike/>
          <w:color w:val="auto"/>
          <w:sz w:val="32"/>
          <w:szCs w:val="32"/>
        </w:rPr>
        <w:t>4、缺陷责任期阶段合同履约评价综合得分</w:t>
      </w:r>
      <w:r>
        <w:rPr>
          <w:rFonts w:ascii="仿宋_GB2312" w:hAnsi="仿宋_GB2312" w:eastAsia="仿宋_GB2312"/>
          <w:strike/>
          <w:color w:val="auto"/>
          <w:sz w:val="32"/>
          <w:szCs w:val="32"/>
        </w:rPr>
        <w:t>&lt;</w:t>
      </w:r>
      <w:r>
        <w:rPr>
          <w:rFonts w:hint="eastAsia" w:ascii="仿宋_GB2312" w:eastAsia="仿宋_GB2312"/>
          <w:strike/>
          <w:color w:val="auto"/>
          <w:sz w:val="32"/>
          <w:szCs w:val="32"/>
        </w:rPr>
        <w:t>60的，该阶段设计费暂付比例为70%，即C=70%。</w:t>
      </w:r>
    </w:p>
    <w:p>
      <w:pPr>
        <w:spacing w:line="560" w:lineRule="exact"/>
        <w:ind w:firstLine="640" w:firstLineChars="200"/>
        <w:rPr>
          <w:rFonts w:ascii="仿宋_GB2312" w:eastAsia="仿宋_GB2312"/>
          <w:color w:val="auto"/>
          <w:sz w:val="32"/>
          <w:szCs w:val="32"/>
        </w:rPr>
      </w:pPr>
      <w:r>
        <w:rPr>
          <w:rFonts w:hint="eastAsia" w:ascii="仿宋_GB2312" w:eastAsia="仿宋_GB2312"/>
          <w:strike/>
          <w:color w:val="auto"/>
          <w:sz w:val="32"/>
          <w:szCs w:val="32"/>
        </w:rPr>
        <w:t>注：缺陷责任期阶段合同履约评价综合得分=缺陷责任期阶段各年度评价算术平均值。</w:t>
      </w:r>
    </w:p>
    <w:p>
      <w:pPr>
        <w:spacing w:line="560" w:lineRule="exact"/>
        <w:ind w:firstLine="643" w:firstLineChars="200"/>
        <w:rPr>
          <w:rFonts w:ascii="仿宋_GB2312" w:eastAsia="仿宋_GB2312"/>
          <w:color w:val="auto"/>
          <w:sz w:val="32"/>
          <w:szCs w:val="32"/>
        </w:rPr>
      </w:pPr>
      <w:r>
        <w:rPr>
          <w:rFonts w:hint="eastAsia" w:ascii="仿宋_GB2312" w:eastAsia="仿宋_GB2312"/>
          <w:b/>
          <w:color w:val="auto"/>
          <w:sz w:val="32"/>
          <w:szCs w:val="32"/>
        </w:rPr>
        <w:t xml:space="preserve">第六条 </w:t>
      </w:r>
      <w:r>
        <w:rPr>
          <w:rFonts w:hint="eastAsia" w:ascii="仿宋_GB2312" w:eastAsia="仿宋_GB2312"/>
          <w:color w:val="auto"/>
          <w:sz w:val="32"/>
          <w:szCs w:val="32"/>
        </w:rPr>
        <w:t>对项目建设全过程所有各阶段履约评价算术平均得分不低于90，且单次最低履约评价得分不低于80的履约单位，按《省代建局直接管理项目合同履约评价管理办法（试行）》中第十二条“履约评价结果的运用”中第（二）点的有关规定执行。</w:t>
      </w:r>
    </w:p>
    <w:p>
      <w:pPr>
        <w:spacing w:line="560" w:lineRule="exact"/>
        <w:ind w:firstLine="643" w:firstLineChars="200"/>
        <w:rPr>
          <w:rFonts w:ascii="仿宋_GB2312" w:eastAsia="仿宋_GB2312"/>
          <w:color w:val="auto"/>
          <w:sz w:val="32"/>
          <w:szCs w:val="32"/>
        </w:rPr>
      </w:pPr>
      <w:r>
        <w:rPr>
          <w:rFonts w:hint="eastAsia" w:ascii="仿宋_GB2312" w:eastAsia="仿宋_GB2312"/>
          <w:b/>
          <w:color w:val="auto"/>
          <w:sz w:val="32"/>
          <w:szCs w:val="32"/>
        </w:rPr>
        <w:t xml:space="preserve">第七条 </w:t>
      </w:r>
      <w:r>
        <w:rPr>
          <w:rFonts w:hint="eastAsia" w:ascii="仿宋_GB2312" w:eastAsia="仿宋_GB2312"/>
          <w:color w:val="auto"/>
          <w:sz w:val="32"/>
          <w:szCs w:val="32"/>
        </w:rPr>
        <w:t>对项目建设全过程所有各阶段履约评价算术平均得分低于70，或出现一次履约评价最低得分低于60的履约单位，按《省代建局直接管理项目合同履约评价管理办法（试行）》中第十二条“履约评价结果的运用”中第（三）点的有关规定执行。</w:t>
      </w:r>
    </w:p>
    <w:p>
      <w:pPr>
        <w:spacing w:line="560" w:lineRule="exact"/>
        <w:ind w:firstLine="643" w:firstLineChars="200"/>
        <w:rPr>
          <w:rFonts w:ascii="仿宋_GB2312" w:eastAsia="仿宋_GB2312"/>
          <w:color w:val="auto"/>
          <w:sz w:val="32"/>
          <w:szCs w:val="32"/>
        </w:rPr>
      </w:pPr>
      <w:r>
        <w:rPr>
          <w:rFonts w:hint="eastAsia" w:ascii="仿宋_GB2312" w:eastAsia="仿宋_GB2312"/>
          <w:b/>
          <w:color w:val="auto"/>
          <w:sz w:val="32"/>
          <w:szCs w:val="32"/>
        </w:rPr>
        <w:t>第八条</w:t>
      </w:r>
      <w:r>
        <w:rPr>
          <w:rFonts w:hint="eastAsia" w:ascii="仿宋_GB2312" w:eastAsia="仿宋_GB2312"/>
          <w:color w:val="auto"/>
          <w:sz w:val="32"/>
          <w:szCs w:val="32"/>
        </w:rPr>
        <w:t xml:space="preserve"> 对于经我局批准允许分包的专业专项设计，其分包设计单位合同履约行为计入总体设计单位履约评价。</w:t>
      </w:r>
    </w:p>
    <w:p>
      <w:pPr>
        <w:spacing w:line="560" w:lineRule="exact"/>
        <w:ind w:firstLine="643" w:firstLineChars="200"/>
        <w:rPr>
          <w:rFonts w:ascii="仿宋_GB2312" w:eastAsia="仿宋_GB2312"/>
          <w:color w:val="auto"/>
          <w:sz w:val="32"/>
          <w:szCs w:val="32"/>
        </w:rPr>
      </w:pPr>
      <w:r>
        <w:rPr>
          <w:rFonts w:hint="eastAsia" w:ascii="仿宋_GB2312" w:eastAsia="仿宋_GB2312"/>
          <w:b/>
          <w:color w:val="auto"/>
          <w:sz w:val="32"/>
          <w:szCs w:val="32"/>
        </w:rPr>
        <w:t xml:space="preserve">第九条 </w:t>
      </w:r>
      <w:r>
        <w:rPr>
          <w:rFonts w:hint="eastAsia" w:ascii="仿宋_GB2312" w:eastAsia="仿宋_GB2312"/>
          <w:color w:val="auto"/>
          <w:sz w:val="32"/>
          <w:szCs w:val="32"/>
        </w:rPr>
        <w:t>设计合同履约评价表完成审定后函送设计单位，设计单位对各阶段履约评价结果有异议的，按《省代建局直接管理项目合同履约评价管理办法（试行）》中第十一条的有关规定执行。</w:t>
      </w:r>
    </w:p>
    <w:p>
      <w:pPr>
        <w:spacing w:line="560" w:lineRule="exact"/>
        <w:ind w:firstLine="643" w:firstLineChars="200"/>
        <w:rPr>
          <w:rFonts w:ascii="仿宋_GB2312" w:eastAsia="仿宋_GB2312"/>
          <w:color w:val="auto"/>
          <w:sz w:val="32"/>
          <w:szCs w:val="32"/>
        </w:rPr>
      </w:pPr>
      <w:r>
        <w:rPr>
          <w:rFonts w:hint="eastAsia" w:ascii="仿宋_GB2312" w:eastAsia="仿宋_GB2312"/>
          <w:b/>
          <w:color w:val="auto"/>
          <w:sz w:val="32"/>
          <w:szCs w:val="32"/>
        </w:rPr>
        <w:t xml:space="preserve">第十条 </w:t>
      </w:r>
      <w:r>
        <w:rPr>
          <w:rFonts w:hint="eastAsia" w:ascii="仿宋_GB2312" w:eastAsia="仿宋_GB2312"/>
          <w:color w:val="auto"/>
          <w:sz w:val="32"/>
          <w:szCs w:val="32"/>
        </w:rPr>
        <w:t>本实施细则纳入涉及工程项目设计工作内容的勘察设计施工总承包、全过程工程咨询、勘察设计、工程设计等招标文件及合同中作为附件组成部分之一。</w:t>
      </w:r>
    </w:p>
    <w:p>
      <w:pPr>
        <w:spacing w:line="560" w:lineRule="exact"/>
        <w:ind w:firstLine="643" w:firstLineChars="200"/>
        <w:rPr>
          <w:rFonts w:ascii="仿宋_GB2312" w:eastAsia="仿宋_GB2312"/>
          <w:color w:val="auto"/>
          <w:sz w:val="32"/>
          <w:szCs w:val="32"/>
        </w:rPr>
      </w:pPr>
      <w:r>
        <w:rPr>
          <w:rFonts w:hint="eastAsia" w:ascii="仿宋_GB2312" w:eastAsia="仿宋_GB2312"/>
          <w:b/>
          <w:color w:val="auto"/>
          <w:sz w:val="32"/>
          <w:szCs w:val="32"/>
        </w:rPr>
        <w:t xml:space="preserve">第十一条 </w:t>
      </w:r>
      <w:r>
        <w:rPr>
          <w:rFonts w:hint="eastAsia" w:ascii="仿宋_GB2312" w:eastAsia="仿宋_GB2312"/>
          <w:color w:val="auto"/>
          <w:sz w:val="32"/>
          <w:szCs w:val="32"/>
        </w:rPr>
        <w:t>设计合同由使用单位签署的，经我局签订补充协议后，自补充协议签订之日起的设计工作，按本细则实施，由使用单位负责管理的阶段，经征求使用单位意见后，一并按本细则实施，设计合同履约评价表完成审定后抄送使用单位。</w:t>
      </w:r>
    </w:p>
    <w:p>
      <w:pPr>
        <w:spacing w:line="560" w:lineRule="exact"/>
        <w:ind w:firstLine="643" w:firstLineChars="200"/>
        <w:rPr>
          <w:rFonts w:ascii="仿宋_GB2312" w:eastAsia="仿宋_GB2312"/>
          <w:color w:val="auto"/>
          <w:sz w:val="32"/>
          <w:szCs w:val="32"/>
        </w:rPr>
      </w:pPr>
      <w:r>
        <w:rPr>
          <w:rFonts w:hint="eastAsia" w:ascii="仿宋_GB2312" w:eastAsia="仿宋_GB2312"/>
          <w:b/>
          <w:color w:val="auto"/>
          <w:sz w:val="32"/>
          <w:szCs w:val="32"/>
        </w:rPr>
        <w:t xml:space="preserve">第十二条 </w:t>
      </w:r>
      <w:r>
        <w:rPr>
          <w:rFonts w:hint="eastAsia" w:ascii="仿宋_GB2312" w:eastAsia="仿宋_GB2312"/>
          <w:color w:val="auto"/>
          <w:sz w:val="32"/>
          <w:szCs w:val="32"/>
        </w:rPr>
        <w:t>本细则自广东省代建项目管理局办公会研究通过后开始试行。前期工作部可结合直接管理项目实施过程实际情况适时进行修订。</w:t>
      </w:r>
    </w:p>
    <w:p>
      <w:pPr>
        <w:spacing w:line="560" w:lineRule="exact"/>
        <w:ind w:firstLine="640" w:firstLineChars="200"/>
        <w:rPr>
          <w:rFonts w:ascii="仿宋_GB2312" w:eastAsia="仿宋_GB2312"/>
          <w:color w:val="auto"/>
          <w:sz w:val="32"/>
          <w:szCs w:val="32"/>
        </w:rPr>
      </w:pPr>
    </w:p>
    <w:p>
      <w:pPr>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附件：</w:t>
      </w:r>
    </w:p>
    <w:p>
      <w:pPr>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一、方案设计阶段设计合同履约评价表</w:t>
      </w:r>
    </w:p>
    <w:p>
      <w:pPr>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二、初步设计阶段设计合同履约评价表</w:t>
      </w:r>
    </w:p>
    <w:p>
      <w:pPr>
        <w:spacing w:line="560" w:lineRule="exact"/>
        <w:ind w:firstLine="640" w:firstLineChars="200"/>
        <w:rPr>
          <w:rFonts w:ascii="仿宋_GB2312" w:eastAsia="仿宋_GB2312"/>
          <w:color w:val="auto"/>
          <w:sz w:val="32"/>
          <w:szCs w:val="32"/>
        </w:rPr>
      </w:pPr>
      <w:r>
        <w:rPr>
          <w:rFonts w:hint="eastAsia" w:ascii="仿宋_GB2312" w:eastAsia="仿宋_GB2312"/>
          <w:strike/>
          <w:color w:val="auto"/>
          <w:sz w:val="32"/>
          <w:szCs w:val="32"/>
        </w:rPr>
        <w:t>三、施工图设计阶段设计合同履约评价表</w:t>
      </w:r>
    </w:p>
    <w:p>
      <w:pPr>
        <w:spacing w:line="560" w:lineRule="exact"/>
        <w:ind w:firstLine="640" w:firstLineChars="200"/>
        <w:rPr>
          <w:rFonts w:ascii="仿宋_GB2312" w:eastAsia="仿宋_GB2312"/>
          <w:strike/>
          <w:color w:val="auto"/>
          <w:sz w:val="32"/>
          <w:szCs w:val="32"/>
        </w:rPr>
      </w:pPr>
      <w:r>
        <w:rPr>
          <w:rFonts w:hint="eastAsia" w:ascii="仿宋_GB2312" w:eastAsia="仿宋_GB2312"/>
          <w:strike/>
          <w:color w:val="auto"/>
          <w:sz w:val="32"/>
          <w:szCs w:val="32"/>
        </w:rPr>
        <w:t>四、施工阶段设计合同履约评价表</w:t>
      </w:r>
    </w:p>
    <w:p>
      <w:pPr>
        <w:spacing w:line="560" w:lineRule="exact"/>
        <w:ind w:firstLine="640" w:firstLineChars="200"/>
        <w:rPr>
          <w:rFonts w:ascii="仿宋_GB2312" w:eastAsia="仿宋_GB2312"/>
          <w:color w:val="auto"/>
          <w:sz w:val="32"/>
          <w:szCs w:val="32"/>
        </w:rPr>
      </w:pPr>
      <w:r>
        <w:rPr>
          <w:rFonts w:hint="eastAsia" w:ascii="仿宋_GB2312" w:eastAsia="仿宋_GB2312"/>
          <w:strike/>
          <w:color w:val="auto"/>
          <w:sz w:val="32"/>
          <w:szCs w:val="32"/>
        </w:rPr>
        <w:t>五、缺陷责任期阶段设计合同履约评价表</w:t>
      </w:r>
    </w:p>
    <w:p>
      <w:pPr>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六、设计错误分类</w:t>
      </w:r>
    </w:p>
    <w:p>
      <w:pPr>
        <w:spacing w:line="560" w:lineRule="exact"/>
        <w:rPr>
          <w:rFonts w:ascii="仿宋_GB2312" w:eastAsia="仿宋_GB2312"/>
          <w:color w:val="auto"/>
          <w:sz w:val="32"/>
          <w:szCs w:val="32"/>
        </w:rPr>
      </w:pPr>
      <w:r>
        <w:rPr>
          <w:rFonts w:ascii="仿宋_GB2312" w:eastAsia="仿宋_GB2312"/>
          <w:color w:val="auto"/>
          <w:sz w:val="32"/>
          <w:szCs w:val="32"/>
        </w:rPr>
        <w:br w:type="page"/>
      </w:r>
      <w:r>
        <w:rPr>
          <w:rFonts w:hint="eastAsia" w:ascii="仿宋_GB2312" w:eastAsia="仿宋_GB2312"/>
          <w:color w:val="auto"/>
          <w:sz w:val="32"/>
          <w:szCs w:val="32"/>
        </w:rPr>
        <w:t>附件一</w:t>
      </w:r>
    </w:p>
    <w:tbl>
      <w:tblPr>
        <w:tblStyle w:val="55"/>
        <w:tblW w:w="9366" w:type="dxa"/>
        <w:jc w:val="center"/>
        <w:tblLayout w:type="fixed"/>
        <w:tblCellMar>
          <w:top w:w="0" w:type="dxa"/>
          <w:left w:w="108" w:type="dxa"/>
          <w:bottom w:w="0" w:type="dxa"/>
          <w:right w:w="108" w:type="dxa"/>
        </w:tblCellMar>
      </w:tblPr>
      <w:tblGrid>
        <w:gridCol w:w="460"/>
        <w:gridCol w:w="1393"/>
        <w:gridCol w:w="709"/>
        <w:gridCol w:w="2551"/>
        <w:gridCol w:w="3261"/>
        <w:gridCol w:w="992"/>
      </w:tblGrid>
      <w:tr>
        <w:tblPrEx>
          <w:tblCellMar>
            <w:top w:w="0" w:type="dxa"/>
            <w:left w:w="108" w:type="dxa"/>
            <w:bottom w:w="0" w:type="dxa"/>
            <w:right w:w="108" w:type="dxa"/>
          </w:tblCellMar>
        </w:tblPrEx>
        <w:trPr>
          <w:trHeight w:val="795" w:hRule="atLeast"/>
          <w:jc w:val="center"/>
        </w:trPr>
        <w:tc>
          <w:tcPr>
            <w:tcW w:w="9366" w:type="dxa"/>
            <w:gridSpan w:val="6"/>
            <w:tcBorders>
              <w:top w:val="nil"/>
              <w:left w:val="nil"/>
              <w:bottom w:val="nil"/>
              <w:right w:val="nil"/>
            </w:tcBorders>
            <w:noWrap/>
            <w:vAlign w:val="center"/>
          </w:tcPr>
          <w:p>
            <w:pPr>
              <w:widowControl/>
              <w:jc w:val="center"/>
              <w:rPr>
                <w:rFonts w:ascii="仿宋_GB2312" w:hAnsi="宋体" w:eastAsia="仿宋_GB2312"/>
                <w:color w:val="auto"/>
                <w:sz w:val="28"/>
                <w:szCs w:val="28"/>
              </w:rPr>
            </w:pPr>
            <w:r>
              <w:rPr>
                <w:rFonts w:hint="eastAsia" w:ascii="仿宋_GB2312" w:hAnsi="宋体" w:eastAsia="仿宋_GB2312"/>
                <w:color w:val="auto"/>
                <w:sz w:val="28"/>
                <w:szCs w:val="28"/>
              </w:rPr>
              <w:t>方案设计阶段设计合同履约评价表</w:t>
            </w:r>
          </w:p>
        </w:tc>
      </w:tr>
      <w:tr>
        <w:tblPrEx>
          <w:tblCellMar>
            <w:top w:w="0" w:type="dxa"/>
            <w:left w:w="108" w:type="dxa"/>
            <w:bottom w:w="0" w:type="dxa"/>
            <w:right w:w="108" w:type="dxa"/>
          </w:tblCellMar>
        </w:tblPrEx>
        <w:trPr>
          <w:jc w:val="center"/>
        </w:trPr>
        <w:tc>
          <w:tcPr>
            <w:tcW w:w="4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b/>
                <w:bCs/>
                <w:color w:val="auto"/>
                <w:kern w:val="0"/>
                <w:szCs w:val="21"/>
              </w:rPr>
            </w:pPr>
            <w:r>
              <w:rPr>
                <w:rFonts w:hint="eastAsia" w:ascii="宋体" w:hAnsi="宋体" w:cs="宋体"/>
                <w:b/>
                <w:bCs/>
                <w:color w:val="auto"/>
                <w:kern w:val="0"/>
                <w:szCs w:val="21"/>
              </w:rPr>
              <w:t>序号</w:t>
            </w:r>
          </w:p>
        </w:tc>
        <w:tc>
          <w:tcPr>
            <w:tcW w:w="1393"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b/>
                <w:bCs/>
                <w:color w:val="auto"/>
                <w:kern w:val="0"/>
                <w:szCs w:val="21"/>
              </w:rPr>
            </w:pPr>
            <w:r>
              <w:rPr>
                <w:rFonts w:hint="eastAsia" w:ascii="宋体" w:hAnsi="宋体" w:cs="宋体"/>
                <w:b/>
                <w:bCs/>
                <w:color w:val="auto"/>
                <w:kern w:val="0"/>
                <w:szCs w:val="21"/>
              </w:rPr>
              <w:t>内容</w:t>
            </w:r>
          </w:p>
        </w:tc>
        <w:tc>
          <w:tcPr>
            <w:tcW w:w="709"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b/>
                <w:bCs/>
                <w:color w:val="auto"/>
                <w:kern w:val="0"/>
                <w:szCs w:val="21"/>
              </w:rPr>
            </w:pPr>
            <w:r>
              <w:rPr>
                <w:rFonts w:hint="eastAsia" w:ascii="宋体" w:hAnsi="宋体" w:cs="宋体"/>
                <w:b/>
                <w:bCs/>
                <w:color w:val="auto"/>
                <w:kern w:val="0"/>
                <w:szCs w:val="21"/>
              </w:rPr>
              <w:t>单项</w:t>
            </w:r>
          </w:p>
          <w:p>
            <w:pPr>
              <w:widowControl/>
              <w:jc w:val="center"/>
              <w:rPr>
                <w:rFonts w:ascii="宋体" w:hAnsi="宋体" w:cs="宋体"/>
                <w:b/>
                <w:bCs/>
                <w:color w:val="auto"/>
                <w:kern w:val="0"/>
                <w:szCs w:val="21"/>
              </w:rPr>
            </w:pPr>
            <w:r>
              <w:rPr>
                <w:rFonts w:hint="eastAsia" w:ascii="宋体" w:hAnsi="宋体" w:cs="宋体"/>
                <w:b/>
                <w:bCs/>
                <w:color w:val="auto"/>
                <w:kern w:val="0"/>
                <w:szCs w:val="21"/>
              </w:rPr>
              <w:t>分值</w:t>
            </w:r>
          </w:p>
        </w:tc>
        <w:tc>
          <w:tcPr>
            <w:tcW w:w="2551"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b/>
                <w:bCs/>
                <w:color w:val="auto"/>
                <w:kern w:val="0"/>
                <w:szCs w:val="21"/>
              </w:rPr>
            </w:pPr>
            <w:r>
              <w:rPr>
                <w:rFonts w:hint="eastAsia" w:ascii="宋体" w:hAnsi="宋体" w:cs="宋体"/>
                <w:b/>
                <w:bCs/>
                <w:color w:val="auto"/>
                <w:kern w:val="0"/>
                <w:szCs w:val="21"/>
              </w:rPr>
              <w:t>评价指标</w:t>
            </w:r>
          </w:p>
        </w:tc>
        <w:tc>
          <w:tcPr>
            <w:tcW w:w="3261"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b/>
                <w:bCs/>
                <w:color w:val="auto"/>
                <w:kern w:val="0"/>
                <w:szCs w:val="21"/>
              </w:rPr>
            </w:pPr>
            <w:r>
              <w:rPr>
                <w:rFonts w:hint="eastAsia" w:ascii="宋体" w:hAnsi="宋体" w:cs="宋体"/>
                <w:b/>
                <w:bCs/>
                <w:color w:val="auto"/>
                <w:kern w:val="0"/>
                <w:szCs w:val="21"/>
              </w:rPr>
              <w:t>评分标准</w:t>
            </w:r>
          </w:p>
        </w:tc>
        <w:tc>
          <w:tcPr>
            <w:tcW w:w="992"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auto"/>
                <w:kern w:val="0"/>
                <w:szCs w:val="21"/>
              </w:rPr>
            </w:pPr>
            <w:r>
              <w:rPr>
                <w:rFonts w:hint="eastAsia" w:ascii="宋体" w:hAnsi="宋体" w:cs="宋体"/>
                <w:color w:val="auto"/>
                <w:kern w:val="0"/>
                <w:szCs w:val="21"/>
              </w:rPr>
              <w:t>得分</w:t>
            </w:r>
          </w:p>
        </w:tc>
      </w:tr>
      <w:tr>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ign w:val="center"/>
          </w:tcPr>
          <w:p>
            <w:pPr>
              <w:widowControl/>
              <w:jc w:val="center"/>
              <w:rPr>
                <w:color w:val="auto"/>
                <w:kern w:val="0"/>
                <w:szCs w:val="21"/>
              </w:rPr>
            </w:pPr>
            <w:r>
              <w:rPr>
                <w:rFonts w:hint="eastAsia" w:ascii="宋体" w:hAnsi="宋体"/>
                <w:color w:val="auto"/>
                <w:kern w:val="0"/>
                <w:szCs w:val="21"/>
              </w:rPr>
              <w:t>一</w:t>
            </w:r>
          </w:p>
        </w:tc>
        <w:tc>
          <w:tcPr>
            <w:tcW w:w="1393" w:type="dxa"/>
            <w:tcBorders>
              <w:top w:val="nil"/>
              <w:left w:val="nil"/>
              <w:bottom w:val="single" w:color="auto" w:sz="4" w:space="0"/>
              <w:right w:val="single" w:color="auto" w:sz="4" w:space="0"/>
            </w:tcBorders>
            <w:noWrap/>
            <w:vAlign w:val="center"/>
          </w:tcPr>
          <w:p>
            <w:pPr>
              <w:widowControl/>
              <w:jc w:val="center"/>
              <w:rPr>
                <w:color w:val="auto"/>
                <w:kern w:val="0"/>
                <w:szCs w:val="21"/>
              </w:rPr>
            </w:pPr>
            <w:r>
              <w:rPr>
                <w:rFonts w:hint="eastAsia" w:ascii="宋体" w:hAnsi="宋体"/>
                <w:color w:val="auto"/>
                <w:kern w:val="0"/>
                <w:szCs w:val="21"/>
              </w:rPr>
              <w:t>人员配备</w:t>
            </w:r>
          </w:p>
        </w:tc>
        <w:tc>
          <w:tcPr>
            <w:tcW w:w="709" w:type="dxa"/>
            <w:tcBorders>
              <w:top w:val="nil"/>
              <w:left w:val="nil"/>
              <w:bottom w:val="single" w:color="auto" w:sz="4" w:space="0"/>
              <w:right w:val="single" w:color="auto" w:sz="4" w:space="0"/>
            </w:tcBorders>
            <w:noWrap/>
            <w:vAlign w:val="center"/>
          </w:tcPr>
          <w:p>
            <w:pPr>
              <w:widowControl/>
              <w:jc w:val="center"/>
              <w:rPr>
                <w:color w:val="auto"/>
                <w:kern w:val="0"/>
                <w:szCs w:val="21"/>
              </w:rPr>
            </w:pPr>
            <w:r>
              <w:rPr>
                <w:color w:val="auto"/>
                <w:kern w:val="0"/>
                <w:szCs w:val="21"/>
              </w:rPr>
              <w:t>10</w:t>
            </w:r>
          </w:p>
        </w:tc>
        <w:tc>
          <w:tcPr>
            <w:tcW w:w="2551" w:type="dxa"/>
            <w:tcBorders>
              <w:top w:val="nil"/>
              <w:left w:val="nil"/>
              <w:bottom w:val="single" w:color="auto" w:sz="4" w:space="0"/>
              <w:right w:val="single" w:color="auto" w:sz="4" w:space="0"/>
            </w:tcBorders>
            <w:noWrap/>
            <w:vAlign w:val="center"/>
          </w:tcPr>
          <w:p>
            <w:pPr>
              <w:widowControl/>
              <w:jc w:val="center"/>
              <w:rPr>
                <w:b/>
                <w:bCs/>
                <w:color w:val="auto"/>
                <w:kern w:val="0"/>
                <w:szCs w:val="21"/>
              </w:rPr>
            </w:pPr>
            <w:r>
              <w:rPr>
                <w:b/>
                <w:bCs/>
                <w:color w:val="auto"/>
                <w:kern w:val="0"/>
                <w:szCs w:val="21"/>
              </w:rPr>
              <w:t>　</w:t>
            </w:r>
          </w:p>
        </w:tc>
        <w:tc>
          <w:tcPr>
            <w:tcW w:w="3261" w:type="dxa"/>
            <w:tcBorders>
              <w:top w:val="nil"/>
              <w:left w:val="nil"/>
              <w:bottom w:val="single" w:color="auto" w:sz="4" w:space="0"/>
              <w:right w:val="single" w:color="auto" w:sz="4" w:space="0"/>
            </w:tcBorders>
            <w:noWrap/>
            <w:vAlign w:val="center"/>
          </w:tcPr>
          <w:p>
            <w:pPr>
              <w:widowControl/>
              <w:jc w:val="center"/>
              <w:rPr>
                <w:b/>
                <w:bCs/>
                <w:color w:val="auto"/>
                <w:kern w:val="0"/>
                <w:szCs w:val="21"/>
              </w:rPr>
            </w:pPr>
            <w:r>
              <w:rPr>
                <w:b/>
                <w:bCs/>
                <w:color w:val="auto"/>
                <w:kern w:val="0"/>
                <w:szCs w:val="21"/>
              </w:rPr>
              <w:t>　</w:t>
            </w:r>
          </w:p>
        </w:tc>
        <w:tc>
          <w:tcPr>
            <w:tcW w:w="992" w:type="dxa"/>
            <w:tcBorders>
              <w:top w:val="nil"/>
              <w:left w:val="nil"/>
              <w:bottom w:val="single" w:color="auto" w:sz="4" w:space="0"/>
              <w:right w:val="single" w:color="auto" w:sz="4" w:space="0"/>
            </w:tcBorders>
            <w:noWrap/>
            <w:vAlign w:val="center"/>
          </w:tcPr>
          <w:p>
            <w:pPr>
              <w:widowControl/>
              <w:jc w:val="center"/>
              <w:rPr>
                <w:color w:val="auto"/>
                <w:kern w:val="0"/>
                <w:szCs w:val="21"/>
              </w:rPr>
            </w:pPr>
            <w:r>
              <w:rPr>
                <w:color w:val="auto"/>
                <w:kern w:val="0"/>
                <w:szCs w:val="21"/>
              </w:rPr>
              <w:t>　</w:t>
            </w:r>
          </w:p>
        </w:tc>
      </w:tr>
      <w:tr>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ign w:val="center"/>
          </w:tcPr>
          <w:p>
            <w:pPr>
              <w:widowControl/>
              <w:jc w:val="center"/>
              <w:rPr>
                <w:color w:val="auto"/>
                <w:kern w:val="0"/>
                <w:szCs w:val="21"/>
              </w:rPr>
            </w:pPr>
            <w:r>
              <w:rPr>
                <w:color w:val="auto"/>
                <w:kern w:val="0"/>
                <w:szCs w:val="21"/>
              </w:rPr>
              <w:t>1</w:t>
            </w:r>
          </w:p>
        </w:tc>
        <w:tc>
          <w:tcPr>
            <w:tcW w:w="1393" w:type="dxa"/>
            <w:tcBorders>
              <w:top w:val="nil"/>
              <w:left w:val="nil"/>
              <w:bottom w:val="single" w:color="auto" w:sz="4" w:space="0"/>
              <w:right w:val="nil"/>
            </w:tcBorders>
            <w:noWrap/>
            <w:vAlign w:val="center"/>
          </w:tcPr>
          <w:p>
            <w:pPr>
              <w:widowControl/>
              <w:jc w:val="center"/>
              <w:rPr>
                <w:color w:val="auto"/>
                <w:kern w:val="0"/>
                <w:szCs w:val="21"/>
              </w:rPr>
            </w:pPr>
            <w:r>
              <w:rPr>
                <w:rFonts w:hint="eastAsia" w:ascii="宋体" w:hAnsi="宋体"/>
                <w:color w:val="auto"/>
                <w:kern w:val="0"/>
                <w:szCs w:val="21"/>
              </w:rPr>
              <w:t>项目负责人</w:t>
            </w:r>
          </w:p>
        </w:tc>
        <w:tc>
          <w:tcPr>
            <w:tcW w:w="709" w:type="dxa"/>
            <w:tcBorders>
              <w:top w:val="nil"/>
              <w:left w:val="single" w:color="auto" w:sz="4" w:space="0"/>
              <w:bottom w:val="single" w:color="auto" w:sz="4" w:space="0"/>
              <w:right w:val="single" w:color="auto" w:sz="4" w:space="0"/>
            </w:tcBorders>
            <w:noWrap/>
            <w:vAlign w:val="center"/>
          </w:tcPr>
          <w:p>
            <w:pPr>
              <w:widowControl/>
              <w:jc w:val="center"/>
              <w:rPr>
                <w:color w:val="auto"/>
                <w:kern w:val="0"/>
                <w:szCs w:val="21"/>
              </w:rPr>
            </w:pPr>
            <w:r>
              <w:rPr>
                <w:rFonts w:hint="eastAsia"/>
                <w:color w:val="auto"/>
                <w:kern w:val="0"/>
                <w:szCs w:val="21"/>
              </w:rPr>
              <w:t>5</w:t>
            </w:r>
          </w:p>
        </w:tc>
        <w:tc>
          <w:tcPr>
            <w:tcW w:w="2551" w:type="dxa"/>
            <w:tcBorders>
              <w:top w:val="nil"/>
              <w:left w:val="nil"/>
              <w:bottom w:val="single" w:color="auto" w:sz="4" w:space="0"/>
              <w:right w:val="single" w:color="auto" w:sz="4" w:space="0"/>
            </w:tcBorders>
            <w:noWrap/>
            <w:vAlign w:val="center"/>
          </w:tcPr>
          <w:p>
            <w:pPr>
              <w:widowControl/>
              <w:jc w:val="left"/>
              <w:rPr>
                <w:color w:val="auto"/>
                <w:kern w:val="0"/>
                <w:szCs w:val="21"/>
              </w:rPr>
            </w:pPr>
            <w:r>
              <w:rPr>
                <w:rFonts w:hint="eastAsia" w:ascii="宋体" w:hAnsi="宋体"/>
                <w:color w:val="auto"/>
                <w:kern w:val="0"/>
                <w:szCs w:val="21"/>
              </w:rPr>
              <w:t>是否按合同到位</w:t>
            </w:r>
          </w:p>
        </w:tc>
        <w:tc>
          <w:tcPr>
            <w:tcW w:w="3261" w:type="dxa"/>
            <w:tcBorders>
              <w:top w:val="nil"/>
              <w:left w:val="nil"/>
              <w:bottom w:val="single" w:color="auto" w:sz="4" w:space="0"/>
              <w:right w:val="single" w:color="auto" w:sz="4" w:space="0"/>
            </w:tcBorders>
            <w:noWrap/>
            <w:vAlign w:val="center"/>
          </w:tcPr>
          <w:p>
            <w:pPr>
              <w:widowControl/>
              <w:jc w:val="left"/>
              <w:rPr>
                <w:rFonts w:ascii="宋体" w:hAnsi="宋体"/>
                <w:color w:val="auto"/>
                <w:kern w:val="0"/>
                <w:szCs w:val="21"/>
              </w:rPr>
            </w:pPr>
            <w:r>
              <w:rPr>
                <w:rFonts w:hint="eastAsia" w:ascii="宋体" w:hAnsi="宋体"/>
                <w:color w:val="auto"/>
                <w:kern w:val="0"/>
                <w:szCs w:val="21"/>
              </w:rPr>
              <w:t>未按合同到位或未经甲方同意，每自行更换一次</w:t>
            </w:r>
            <w:r>
              <w:rPr>
                <w:rFonts w:hint="eastAsia"/>
                <w:color w:val="auto"/>
                <w:kern w:val="0"/>
                <w:szCs w:val="21"/>
              </w:rPr>
              <w:t>，</w:t>
            </w:r>
            <w:r>
              <w:rPr>
                <w:rFonts w:hint="eastAsia" w:ascii="宋体" w:hAnsi="宋体"/>
                <w:color w:val="auto"/>
                <w:kern w:val="0"/>
                <w:szCs w:val="21"/>
              </w:rPr>
              <w:t>扣</w:t>
            </w:r>
            <w:r>
              <w:rPr>
                <w:rFonts w:hint="eastAsia"/>
                <w:color w:val="auto"/>
                <w:kern w:val="0"/>
                <w:szCs w:val="21"/>
              </w:rPr>
              <w:t>2</w:t>
            </w:r>
            <w:r>
              <w:rPr>
                <w:rFonts w:hint="eastAsia" w:ascii="宋体" w:hAnsi="宋体"/>
                <w:color w:val="auto"/>
                <w:kern w:val="0"/>
                <w:szCs w:val="21"/>
              </w:rPr>
              <w:t>分；</w:t>
            </w:r>
          </w:p>
          <w:p>
            <w:pPr>
              <w:widowControl/>
              <w:jc w:val="left"/>
              <w:rPr>
                <w:color w:val="auto"/>
                <w:kern w:val="0"/>
                <w:szCs w:val="21"/>
              </w:rPr>
            </w:pPr>
            <w:r>
              <w:rPr>
                <w:rFonts w:hint="eastAsia" w:ascii="宋体" w:hAnsi="宋体"/>
                <w:color w:val="auto"/>
                <w:kern w:val="0"/>
                <w:szCs w:val="21"/>
              </w:rPr>
              <w:t>缺席甲方要求参加的重要会议，每次扣1分。</w:t>
            </w:r>
          </w:p>
        </w:tc>
        <w:tc>
          <w:tcPr>
            <w:tcW w:w="992" w:type="dxa"/>
            <w:tcBorders>
              <w:top w:val="nil"/>
              <w:left w:val="nil"/>
              <w:bottom w:val="single" w:color="auto" w:sz="4" w:space="0"/>
              <w:right w:val="single" w:color="auto" w:sz="4" w:space="0"/>
            </w:tcBorders>
            <w:noWrap/>
            <w:vAlign w:val="center"/>
          </w:tcPr>
          <w:p>
            <w:pPr>
              <w:widowControl/>
              <w:jc w:val="center"/>
              <w:rPr>
                <w:color w:val="auto"/>
                <w:kern w:val="0"/>
                <w:szCs w:val="21"/>
              </w:rPr>
            </w:pPr>
            <w:r>
              <w:rPr>
                <w:color w:val="auto"/>
                <w:kern w:val="0"/>
                <w:szCs w:val="21"/>
              </w:rPr>
              <w:t>　</w:t>
            </w:r>
          </w:p>
        </w:tc>
      </w:tr>
      <w:tr>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ign w:val="center"/>
          </w:tcPr>
          <w:p>
            <w:pPr>
              <w:widowControl/>
              <w:jc w:val="center"/>
              <w:rPr>
                <w:color w:val="auto"/>
                <w:kern w:val="0"/>
                <w:szCs w:val="21"/>
              </w:rPr>
            </w:pPr>
            <w:r>
              <w:rPr>
                <w:rFonts w:hint="eastAsia"/>
                <w:color w:val="auto"/>
                <w:kern w:val="0"/>
                <w:szCs w:val="21"/>
              </w:rPr>
              <w:t>2</w:t>
            </w:r>
          </w:p>
        </w:tc>
        <w:tc>
          <w:tcPr>
            <w:tcW w:w="1393" w:type="dxa"/>
            <w:tcBorders>
              <w:top w:val="single" w:color="auto" w:sz="4" w:space="0"/>
              <w:left w:val="nil"/>
              <w:bottom w:val="nil"/>
              <w:right w:val="nil"/>
            </w:tcBorders>
            <w:noWrap/>
            <w:vAlign w:val="center"/>
          </w:tcPr>
          <w:p>
            <w:pPr>
              <w:widowControl/>
              <w:jc w:val="left"/>
              <w:rPr>
                <w:rFonts w:ascii="宋体" w:hAnsi="宋体"/>
                <w:color w:val="auto"/>
                <w:kern w:val="0"/>
                <w:szCs w:val="21"/>
              </w:rPr>
            </w:pPr>
            <w:r>
              <w:rPr>
                <w:rFonts w:hint="eastAsia" w:ascii="宋体" w:hAnsi="宋体"/>
                <w:color w:val="auto"/>
                <w:kern w:val="0"/>
                <w:szCs w:val="21"/>
              </w:rPr>
              <w:t>各专业负责人</w:t>
            </w:r>
          </w:p>
        </w:tc>
        <w:tc>
          <w:tcPr>
            <w:tcW w:w="709" w:type="dxa"/>
            <w:tcBorders>
              <w:top w:val="nil"/>
              <w:left w:val="single" w:color="auto" w:sz="4" w:space="0"/>
              <w:bottom w:val="single" w:color="auto" w:sz="4" w:space="0"/>
              <w:right w:val="single" w:color="auto" w:sz="4" w:space="0"/>
            </w:tcBorders>
            <w:noWrap/>
            <w:vAlign w:val="center"/>
          </w:tcPr>
          <w:p>
            <w:pPr>
              <w:widowControl/>
              <w:jc w:val="center"/>
              <w:rPr>
                <w:color w:val="auto"/>
                <w:kern w:val="0"/>
                <w:szCs w:val="21"/>
              </w:rPr>
            </w:pPr>
            <w:r>
              <w:rPr>
                <w:rFonts w:hint="eastAsia"/>
                <w:color w:val="auto"/>
                <w:kern w:val="0"/>
                <w:szCs w:val="21"/>
              </w:rPr>
              <w:t>5</w:t>
            </w:r>
          </w:p>
        </w:tc>
        <w:tc>
          <w:tcPr>
            <w:tcW w:w="2551" w:type="dxa"/>
            <w:tcBorders>
              <w:top w:val="nil"/>
              <w:left w:val="nil"/>
              <w:bottom w:val="single" w:color="auto" w:sz="4" w:space="0"/>
              <w:right w:val="single" w:color="auto" w:sz="4" w:space="0"/>
            </w:tcBorders>
            <w:noWrap/>
            <w:vAlign w:val="center"/>
          </w:tcPr>
          <w:p>
            <w:pPr>
              <w:widowControl/>
              <w:jc w:val="left"/>
              <w:rPr>
                <w:rFonts w:ascii="宋体" w:hAnsi="宋体"/>
                <w:color w:val="auto"/>
                <w:kern w:val="0"/>
                <w:szCs w:val="21"/>
              </w:rPr>
            </w:pPr>
            <w:r>
              <w:rPr>
                <w:rFonts w:hint="eastAsia" w:ascii="宋体" w:hAnsi="宋体"/>
                <w:color w:val="auto"/>
                <w:kern w:val="0"/>
                <w:szCs w:val="21"/>
              </w:rPr>
              <w:t>人员是否稳定无更换</w:t>
            </w:r>
          </w:p>
        </w:tc>
        <w:tc>
          <w:tcPr>
            <w:tcW w:w="3261" w:type="dxa"/>
            <w:tcBorders>
              <w:top w:val="nil"/>
              <w:left w:val="nil"/>
              <w:bottom w:val="single" w:color="auto" w:sz="4" w:space="0"/>
              <w:right w:val="single" w:color="auto" w:sz="4" w:space="0"/>
            </w:tcBorders>
            <w:noWrap/>
            <w:vAlign w:val="center"/>
          </w:tcPr>
          <w:p>
            <w:pPr>
              <w:widowControl/>
              <w:jc w:val="left"/>
              <w:rPr>
                <w:rFonts w:ascii="宋体" w:hAnsi="宋体"/>
                <w:color w:val="auto"/>
                <w:kern w:val="0"/>
                <w:szCs w:val="21"/>
              </w:rPr>
            </w:pPr>
            <w:r>
              <w:rPr>
                <w:rFonts w:hint="eastAsia" w:ascii="宋体" w:hAnsi="宋体"/>
                <w:color w:val="auto"/>
                <w:kern w:val="0"/>
                <w:szCs w:val="21"/>
              </w:rPr>
              <w:t>未按合同到位且未经甲方同意，每自行更换一次</w:t>
            </w:r>
            <w:r>
              <w:rPr>
                <w:rFonts w:hint="eastAsia"/>
                <w:color w:val="auto"/>
                <w:kern w:val="0"/>
                <w:szCs w:val="21"/>
              </w:rPr>
              <w:t>，</w:t>
            </w:r>
            <w:r>
              <w:rPr>
                <w:rFonts w:hint="eastAsia" w:ascii="宋体" w:hAnsi="宋体"/>
                <w:color w:val="auto"/>
                <w:kern w:val="0"/>
                <w:szCs w:val="21"/>
              </w:rPr>
              <w:t>扣</w:t>
            </w:r>
            <w:r>
              <w:rPr>
                <w:rFonts w:hint="eastAsia"/>
                <w:color w:val="auto"/>
                <w:kern w:val="0"/>
                <w:szCs w:val="21"/>
              </w:rPr>
              <w:t>2</w:t>
            </w:r>
            <w:r>
              <w:rPr>
                <w:rFonts w:hint="eastAsia" w:ascii="宋体" w:hAnsi="宋体"/>
                <w:color w:val="auto"/>
                <w:kern w:val="0"/>
                <w:szCs w:val="21"/>
              </w:rPr>
              <w:t>分；</w:t>
            </w:r>
          </w:p>
          <w:p>
            <w:pPr>
              <w:widowControl/>
              <w:jc w:val="left"/>
              <w:rPr>
                <w:color w:val="auto"/>
                <w:kern w:val="0"/>
                <w:szCs w:val="21"/>
              </w:rPr>
            </w:pPr>
            <w:r>
              <w:rPr>
                <w:rFonts w:hint="eastAsia" w:ascii="宋体" w:hAnsi="宋体"/>
                <w:color w:val="auto"/>
                <w:kern w:val="0"/>
                <w:szCs w:val="21"/>
              </w:rPr>
              <w:t>缺席甲方要求参加的重要会议，每次扣1分。</w:t>
            </w:r>
          </w:p>
        </w:tc>
        <w:tc>
          <w:tcPr>
            <w:tcW w:w="992" w:type="dxa"/>
            <w:tcBorders>
              <w:top w:val="nil"/>
              <w:left w:val="nil"/>
              <w:bottom w:val="single" w:color="auto" w:sz="4" w:space="0"/>
              <w:right w:val="single" w:color="auto" w:sz="4" w:space="0"/>
            </w:tcBorders>
            <w:noWrap/>
            <w:vAlign w:val="center"/>
          </w:tcPr>
          <w:p>
            <w:pPr>
              <w:widowControl/>
              <w:jc w:val="center"/>
              <w:rPr>
                <w:color w:val="auto"/>
                <w:kern w:val="0"/>
                <w:szCs w:val="21"/>
              </w:rPr>
            </w:pPr>
          </w:p>
        </w:tc>
      </w:tr>
      <w:tr>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ign w:val="center"/>
          </w:tcPr>
          <w:p>
            <w:pPr>
              <w:widowControl/>
              <w:jc w:val="center"/>
              <w:rPr>
                <w:color w:val="auto"/>
                <w:kern w:val="0"/>
                <w:szCs w:val="21"/>
              </w:rPr>
            </w:pPr>
            <w:r>
              <w:rPr>
                <w:rFonts w:hint="eastAsia" w:ascii="宋体" w:hAnsi="宋体"/>
                <w:color w:val="auto"/>
                <w:kern w:val="0"/>
                <w:szCs w:val="21"/>
              </w:rPr>
              <w:t>二</w:t>
            </w:r>
          </w:p>
        </w:tc>
        <w:tc>
          <w:tcPr>
            <w:tcW w:w="1393" w:type="dxa"/>
            <w:tcBorders>
              <w:top w:val="single" w:color="auto" w:sz="4" w:space="0"/>
              <w:left w:val="nil"/>
              <w:bottom w:val="single" w:color="auto" w:sz="4" w:space="0"/>
              <w:right w:val="single" w:color="auto" w:sz="4" w:space="0"/>
            </w:tcBorders>
            <w:noWrap/>
            <w:vAlign w:val="center"/>
          </w:tcPr>
          <w:p>
            <w:pPr>
              <w:widowControl/>
              <w:jc w:val="left"/>
              <w:rPr>
                <w:color w:val="auto"/>
                <w:kern w:val="0"/>
                <w:szCs w:val="21"/>
              </w:rPr>
            </w:pPr>
            <w:r>
              <w:rPr>
                <w:rFonts w:hint="eastAsia" w:ascii="宋体" w:hAnsi="宋体"/>
                <w:color w:val="auto"/>
                <w:kern w:val="0"/>
                <w:szCs w:val="21"/>
              </w:rPr>
              <w:t>能力水平及履约表现</w:t>
            </w:r>
          </w:p>
        </w:tc>
        <w:tc>
          <w:tcPr>
            <w:tcW w:w="709" w:type="dxa"/>
            <w:tcBorders>
              <w:top w:val="nil"/>
              <w:left w:val="nil"/>
              <w:bottom w:val="single" w:color="auto" w:sz="4" w:space="0"/>
              <w:right w:val="single" w:color="auto" w:sz="4" w:space="0"/>
            </w:tcBorders>
            <w:noWrap/>
            <w:vAlign w:val="center"/>
          </w:tcPr>
          <w:p>
            <w:pPr>
              <w:widowControl/>
              <w:jc w:val="center"/>
              <w:rPr>
                <w:color w:val="auto"/>
                <w:kern w:val="0"/>
                <w:szCs w:val="21"/>
              </w:rPr>
            </w:pPr>
            <w:r>
              <w:rPr>
                <w:rFonts w:hint="eastAsia"/>
                <w:color w:val="auto"/>
                <w:kern w:val="0"/>
                <w:szCs w:val="21"/>
              </w:rPr>
              <w:t>20</w:t>
            </w:r>
          </w:p>
        </w:tc>
        <w:tc>
          <w:tcPr>
            <w:tcW w:w="2551" w:type="dxa"/>
            <w:tcBorders>
              <w:top w:val="nil"/>
              <w:left w:val="nil"/>
              <w:bottom w:val="single" w:color="auto" w:sz="4" w:space="0"/>
              <w:right w:val="single" w:color="auto" w:sz="4" w:space="0"/>
            </w:tcBorders>
            <w:noWrap/>
            <w:vAlign w:val="center"/>
          </w:tcPr>
          <w:p>
            <w:pPr>
              <w:widowControl/>
              <w:jc w:val="left"/>
              <w:rPr>
                <w:color w:val="auto"/>
                <w:kern w:val="0"/>
                <w:szCs w:val="21"/>
              </w:rPr>
            </w:pPr>
            <w:r>
              <w:rPr>
                <w:color w:val="auto"/>
                <w:kern w:val="0"/>
                <w:szCs w:val="21"/>
              </w:rPr>
              <w:t>　</w:t>
            </w:r>
          </w:p>
        </w:tc>
        <w:tc>
          <w:tcPr>
            <w:tcW w:w="3261" w:type="dxa"/>
            <w:tcBorders>
              <w:top w:val="nil"/>
              <w:left w:val="nil"/>
              <w:bottom w:val="single" w:color="auto" w:sz="4" w:space="0"/>
              <w:right w:val="single" w:color="auto" w:sz="4" w:space="0"/>
            </w:tcBorders>
            <w:noWrap/>
            <w:vAlign w:val="center"/>
          </w:tcPr>
          <w:p>
            <w:pPr>
              <w:widowControl/>
              <w:jc w:val="left"/>
              <w:rPr>
                <w:color w:val="auto"/>
                <w:kern w:val="0"/>
                <w:szCs w:val="21"/>
              </w:rPr>
            </w:pPr>
          </w:p>
        </w:tc>
        <w:tc>
          <w:tcPr>
            <w:tcW w:w="992" w:type="dxa"/>
            <w:tcBorders>
              <w:top w:val="nil"/>
              <w:left w:val="nil"/>
              <w:bottom w:val="single" w:color="auto" w:sz="4" w:space="0"/>
              <w:right w:val="single" w:color="auto" w:sz="4" w:space="0"/>
            </w:tcBorders>
            <w:noWrap/>
            <w:vAlign w:val="center"/>
          </w:tcPr>
          <w:p>
            <w:pPr>
              <w:widowControl/>
              <w:jc w:val="center"/>
              <w:rPr>
                <w:color w:val="auto"/>
                <w:kern w:val="0"/>
                <w:szCs w:val="21"/>
              </w:rPr>
            </w:pPr>
            <w:r>
              <w:rPr>
                <w:color w:val="auto"/>
                <w:kern w:val="0"/>
                <w:szCs w:val="21"/>
              </w:rPr>
              <w:t>　</w:t>
            </w:r>
          </w:p>
        </w:tc>
      </w:tr>
      <w:tr>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ign w:val="center"/>
          </w:tcPr>
          <w:p>
            <w:pPr>
              <w:widowControl/>
              <w:jc w:val="center"/>
              <w:rPr>
                <w:color w:val="auto"/>
                <w:kern w:val="0"/>
                <w:szCs w:val="21"/>
              </w:rPr>
            </w:pPr>
            <w:r>
              <w:rPr>
                <w:rFonts w:hint="eastAsia"/>
                <w:color w:val="auto"/>
                <w:kern w:val="0"/>
                <w:szCs w:val="21"/>
              </w:rPr>
              <w:t>1</w:t>
            </w:r>
          </w:p>
        </w:tc>
        <w:tc>
          <w:tcPr>
            <w:tcW w:w="1393" w:type="dxa"/>
            <w:tcBorders>
              <w:top w:val="nil"/>
              <w:left w:val="nil"/>
              <w:bottom w:val="single" w:color="auto" w:sz="4" w:space="0"/>
              <w:right w:val="single" w:color="auto" w:sz="4" w:space="0"/>
            </w:tcBorders>
            <w:noWrap/>
            <w:vAlign w:val="center"/>
          </w:tcPr>
          <w:p>
            <w:pPr>
              <w:widowControl/>
              <w:jc w:val="left"/>
              <w:rPr>
                <w:color w:val="auto"/>
                <w:kern w:val="0"/>
                <w:szCs w:val="21"/>
              </w:rPr>
            </w:pPr>
            <w:r>
              <w:rPr>
                <w:rFonts w:hint="eastAsia" w:ascii="宋体" w:hAnsi="宋体"/>
                <w:color w:val="auto"/>
                <w:kern w:val="0"/>
                <w:szCs w:val="21"/>
              </w:rPr>
              <w:t>项目负责人</w:t>
            </w:r>
          </w:p>
        </w:tc>
        <w:tc>
          <w:tcPr>
            <w:tcW w:w="709" w:type="dxa"/>
            <w:tcBorders>
              <w:top w:val="nil"/>
              <w:left w:val="nil"/>
              <w:bottom w:val="single" w:color="auto" w:sz="4" w:space="0"/>
              <w:right w:val="single" w:color="auto" w:sz="4" w:space="0"/>
            </w:tcBorders>
            <w:noWrap/>
            <w:vAlign w:val="center"/>
          </w:tcPr>
          <w:p>
            <w:pPr>
              <w:widowControl/>
              <w:jc w:val="center"/>
              <w:rPr>
                <w:color w:val="auto"/>
                <w:kern w:val="0"/>
                <w:szCs w:val="21"/>
              </w:rPr>
            </w:pPr>
            <w:r>
              <w:rPr>
                <w:rFonts w:hint="eastAsia"/>
                <w:color w:val="auto"/>
                <w:kern w:val="0"/>
                <w:szCs w:val="21"/>
              </w:rPr>
              <w:t>10</w:t>
            </w:r>
          </w:p>
        </w:tc>
        <w:tc>
          <w:tcPr>
            <w:tcW w:w="2551" w:type="dxa"/>
            <w:tcBorders>
              <w:top w:val="nil"/>
              <w:left w:val="nil"/>
              <w:bottom w:val="single" w:color="auto" w:sz="4" w:space="0"/>
              <w:right w:val="single" w:color="auto" w:sz="4" w:space="0"/>
            </w:tcBorders>
            <w:noWrap/>
            <w:vAlign w:val="center"/>
          </w:tcPr>
          <w:p>
            <w:pPr>
              <w:widowControl/>
              <w:jc w:val="left"/>
              <w:rPr>
                <w:color w:val="auto"/>
                <w:kern w:val="0"/>
                <w:szCs w:val="21"/>
              </w:rPr>
            </w:pPr>
            <w:r>
              <w:rPr>
                <w:rFonts w:hint="eastAsia" w:ascii="宋体" w:hAnsi="宋体"/>
                <w:color w:val="auto"/>
                <w:kern w:val="0"/>
                <w:szCs w:val="21"/>
              </w:rPr>
              <w:t>是否具有较强的协调组织能力；是否及时发现问题和处理问题；是否能与甲方、使用单位及业务主管部门等相关单位充分沟通</w:t>
            </w:r>
          </w:p>
        </w:tc>
        <w:tc>
          <w:tcPr>
            <w:tcW w:w="3261" w:type="dxa"/>
            <w:tcBorders>
              <w:top w:val="nil"/>
              <w:left w:val="nil"/>
              <w:bottom w:val="single" w:color="auto" w:sz="4" w:space="0"/>
              <w:right w:val="single" w:color="auto" w:sz="4" w:space="0"/>
            </w:tcBorders>
            <w:noWrap/>
            <w:vAlign w:val="center"/>
          </w:tcPr>
          <w:p>
            <w:pPr>
              <w:widowControl/>
              <w:jc w:val="left"/>
              <w:rPr>
                <w:rFonts w:ascii="宋体" w:hAnsi="宋体"/>
                <w:color w:val="auto"/>
                <w:kern w:val="0"/>
                <w:szCs w:val="21"/>
              </w:rPr>
            </w:pPr>
            <w:r>
              <w:rPr>
                <w:color w:val="auto"/>
                <w:kern w:val="0"/>
                <w:szCs w:val="21"/>
              </w:rPr>
              <w:t>1</w:t>
            </w:r>
            <w:r>
              <w:rPr>
                <w:rFonts w:hint="eastAsia" w:ascii="宋体" w:hAnsi="宋体"/>
                <w:color w:val="auto"/>
                <w:kern w:val="0"/>
                <w:szCs w:val="21"/>
              </w:rPr>
              <w:t>、责任心不强、工作协调不到位；</w:t>
            </w:r>
          </w:p>
          <w:p>
            <w:pPr>
              <w:widowControl/>
              <w:jc w:val="left"/>
              <w:rPr>
                <w:rFonts w:ascii="宋体" w:hAnsi="宋体"/>
                <w:color w:val="auto"/>
                <w:kern w:val="0"/>
                <w:szCs w:val="21"/>
              </w:rPr>
            </w:pPr>
            <w:r>
              <w:rPr>
                <w:color w:val="auto"/>
                <w:kern w:val="0"/>
                <w:szCs w:val="21"/>
              </w:rPr>
              <w:t>2</w:t>
            </w:r>
            <w:r>
              <w:rPr>
                <w:rFonts w:hint="eastAsia" w:ascii="宋体" w:hAnsi="宋体"/>
                <w:color w:val="auto"/>
                <w:kern w:val="0"/>
                <w:szCs w:val="21"/>
              </w:rPr>
              <w:t>、发现问题后未及时处理；</w:t>
            </w:r>
          </w:p>
          <w:p>
            <w:pPr>
              <w:widowControl/>
              <w:jc w:val="left"/>
              <w:rPr>
                <w:rFonts w:ascii="宋体" w:hAnsi="宋体"/>
                <w:color w:val="auto"/>
                <w:kern w:val="0"/>
                <w:szCs w:val="21"/>
              </w:rPr>
            </w:pPr>
            <w:r>
              <w:rPr>
                <w:color w:val="auto"/>
                <w:kern w:val="0"/>
                <w:szCs w:val="21"/>
              </w:rPr>
              <w:t>3</w:t>
            </w:r>
            <w:r>
              <w:rPr>
                <w:rFonts w:hint="eastAsia" w:ascii="宋体" w:hAnsi="宋体"/>
                <w:color w:val="auto"/>
                <w:kern w:val="0"/>
                <w:szCs w:val="21"/>
              </w:rPr>
              <w:t>、未与相关参建单位或管理部门及时沟通；</w:t>
            </w:r>
          </w:p>
          <w:p>
            <w:pPr>
              <w:widowControl/>
              <w:jc w:val="left"/>
              <w:rPr>
                <w:rFonts w:ascii="宋体" w:hAnsi="宋体"/>
                <w:color w:val="auto"/>
                <w:kern w:val="0"/>
                <w:szCs w:val="21"/>
              </w:rPr>
            </w:pPr>
            <w:r>
              <w:rPr>
                <w:color w:val="auto"/>
                <w:kern w:val="0"/>
                <w:szCs w:val="21"/>
              </w:rPr>
              <w:t>4</w:t>
            </w:r>
            <w:r>
              <w:rPr>
                <w:rFonts w:hint="eastAsia" w:ascii="宋体" w:hAnsi="宋体"/>
                <w:color w:val="auto"/>
                <w:kern w:val="0"/>
                <w:szCs w:val="21"/>
              </w:rPr>
              <w:t>、未落实甲方的相关要求或会议纪要等文件精神。</w:t>
            </w:r>
          </w:p>
          <w:p>
            <w:pPr>
              <w:widowControl/>
              <w:jc w:val="left"/>
              <w:rPr>
                <w:color w:val="auto"/>
                <w:kern w:val="0"/>
                <w:szCs w:val="21"/>
              </w:rPr>
            </w:pPr>
            <w:r>
              <w:rPr>
                <w:rFonts w:hint="eastAsia" w:ascii="宋体" w:hAnsi="宋体"/>
                <w:color w:val="auto"/>
                <w:kern w:val="0"/>
                <w:szCs w:val="21"/>
              </w:rPr>
              <w:t>以上各项每发生一次扣</w:t>
            </w:r>
            <w:r>
              <w:rPr>
                <w:rFonts w:hint="eastAsia"/>
                <w:color w:val="auto"/>
                <w:kern w:val="0"/>
                <w:szCs w:val="21"/>
              </w:rPr>
              <w:t>2</w:t>
            </w:r>
            <w:r>
              <w:rPr>
                <w:rFonts w:hint="eastAsia" w:ascii="宋体" w:hAnsi="宋体"/>
                <w:color w:val="auto"/>
                <w:kern w:val="0"/>
                <w:szCs w:val="21"/>
              </w:rPr>
              <w:t>分。</w:t>
            </w:r>
          </w:p>
        </w:tc>
        <w:tc>
          <w:tcPr>
            <w:tcW w:w="992" w:type="dxa"/>
            <w:tcBorders>
              <w:top w:val="nil"/>
              <w:left w:val="nil"/>
              <w:bottom w:val="single" w:color="auto" w:sz="4" w:space="0"/>
              <w:right w:val="single" w:color="auto" w:sz="4" w:space="0"/>
            </w:tcBorders>
            <w:noWrap/>
            <w:vAlign w:val="center"/>
          </w:tcPr>
          <w:p>
            <w:pPr>
              <w:widowControl/>
              <w:jc w:val="center"/>
              <w:rPr>
                <w:color w:val="auto"/>
                <w:kern w:val="0"/>
                <w:szCs w:val="21"/>
              </w:rPr>
            </w:pPr>
            <w:r>
              <w:rPr>
                <w:color w:val="auto"/>
                <w:kern w:val="0"/>
                <w:szCs w:val="21"/>
              </w:rPr>
              <w:t>　</w:t>
            </w:r>
          </w:p>
        </w:tc>
      </w:tr>
      <w:tr>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ign w:val="center"/>
          </w:tcPr>
          <w:p>
            <w:pPr>
              <w:widowControl/>
              <w:jc w:val="center"/>
              <w:rPr>
                <w:color w:val="auto"/>
                <w:kern w:val="0"/>
                <w:szCs w:val="21"/>
              </w:rPr>
            </w:pPr>
            <w:r>
              <w:rPr>
                <w:rFonts w:hint="eastAsia"/>
                <w:color w:val="auto"/>
                <w:kern w:val="0"/>
                <w:szCs w:val="21"/>
              </w:rPr>
              <w:t>2</w:t>
            </w:r>
          </w:p>
        </w:tc>
        <w:tc>
          <w:tcPr>
            <w:tcW w:w="1393" w:type="dxa"/>
            <w:tcBorders>
              <w:top w:val="nil"/>
              <w:left w:val="nil"/>
              <w:bottom w:val="single" w:color="auto" w:sz="4" w:space="0"/>
              <w:right w:val="single" w:color="auto" w:sz="4" w:space="0"/>
            </w:tcBorders>
            <w:noWrap/>
            <w:vAlign w:val="center"/>
          </w:tcPr>
          <w:p>
            <w:pPr>
              <w:widowControl/>
              <w:jc w:val="left"/>
              <w:rPr>
                <w:color w:val="auto"/>
                <w:kern w:val="0"/>
                <w:szCs w:val="21"/>
              </w:rPr>
            </w:pPr>
            <w:r>
              <w:rPr>
                <w:rFonts w:hint="eastAsia" w:ascii="宋体" w:hAnsi="宋体"/>
                <w:color w:val="auto"/>
                <w:kern w:val="0"/>
                <w:szCs w:val="21"/>
              </w:rPr>
              <w:t>各专业负责人</w:t>
            </w:r>
          </w:p>
        </w:tc>
        <w:tc>
          <w:tcPr>
            <w:tcW w:w="709" w:type="dxa"/>
            <w:tcBorders>
              <w:top w:val="nil"/>
              <w:left w:val="nil"/>
              <w:bottom w:val="single" w:color="auto" w:sz="4" w:space="0"/>
              <w:right w:val="single" w:color="auto" w:sz="4" w:space="0"/>
            </w:tcBorders>
            <w:noWrap/>
            <w:vAlign w:val="center"/>
          </w:tcPr>
          <w:p>
            <w:pPr>
              <w:widowControl/>
              <w:jc w:val="center"/>
              <w:rPr>
                <w:color w:val="auto"/>
                <w:kern w:val="0"/>
                <w:szCs w:val="21"/>
              </w:rPr>
            </w:pPr>
            <w:r>
              <w:rPr>
                <w:rFonts w:hint="eastAsia"/>
                <w:color w:val="auto"/>
                <w:kern w:val="0"/>
                <w:szCs w:val="21"/>
              </w:rPr>
              <w:t>10</w:t>
            </w:r>
          </w:p>
        </w:tc>
        <w:tc>
          <w:tcPr>
            <w:tcW w:w="2551" w:type="dxa"/>
            <w:tcBorders>
              <w:top w:val="nil"/>
              <w:left w:val="nil"/>
              <w:bottom w:val="single" w:color="auto" w:sz="4" w:space="0"/>
              <w:right w:val="single" w:color="auto" w:sz="4" w:space="0"/>
            </w:tcBorders>
            <w:noWrap/>
            <w:vAlign w:val="center"/>
          </w:tcPr>
          <w:p>
            <w:pPr>
              <w:widowControl/>
              <w:jc w:val="left"/>
              <w:rPr>
                <w:color w:val="auto"/>
                <w:kern w:val="0"/>
                <w:szCs w:val="21"/>
              </w:rPr>
            </w:pPr>
            <w:r>
              <w:rPr>
                <w:rFonts w:hint="eastAsia" w:ascii="宋体" w:hAnsi="宋体"/>
                <w:color w:val="auto"/>
                <w:kern w:val="0"/>
                <w:szCs w:val="21"/>
              </w:rPr>
              <w:t>是否有责任心；是否有较高的专业水平；与甲方、使用单位的沟通是否顺畅</w:t>
            </w:r>
          </w:p>
        </w:tc>
        <w:tc>
          <w:tcPr>
            <w:tcW w:w="3261" w:type="dxa"/>
            <w:tcBorders>
              <w:top w:val="nil"/>
              <w:left w:val="nil"/>
              <w:bottom w:val="single" w:color="auto" w:sz="4" w:space="0"/>
              <w:right w:val="single" w:color="auto" w:sz="4" w:space="0"/>
            </w:tcBorders>
            <w:noWrap/>
            <w:vAlign w:val="center"/>
          </w:tcPr>
          <w:p>
            <w:pPr>
              <w:widowControl/>
              <w:jc w:val="left"/>
              <w:rPr>
                <w:rFonts w:ascii="宋体" w:hAnsi="宋体"/>
                <w:color w:val="auto"/>
                <w:kern w:val="0"/>
                <w:szCs w:val="21"/>
              </w:rPr>
            </w:pPr>
            <w:r>
              <w:rPr>
                <w:color w:val="auto"/>
                <w:kern w:val="0"/>
                <w:szCs w:val="21"/>
              </w:rPr>
              <w:t>1</w:t>
            </w:r>
            <w:r>
              <w:rPr>
                <w:rFonts w:hint="eastAsia" w:ascii="宋体" w:hAnsi="宋体"/>
                <w:color w:val="auto"/>
                <w:kern w:val="0"/>
                <w:szCs w:val="21"/>
              </w:rPr>
              <w:t>、责任心不强；</w:t>
            </w:r>
          </w:p>
          <w:p>
            <w:pPr>
              <w:widowControl/>
              <w:jc w:val="left"/>
              <w:rPr>
                <w:rFonts w:ascii="宋体" w:hAnsi="宋体"/>
                <w:color w:val="auto"/>
                <w:kern w:val="0"/>
                <w:szCs w:val="21"/>
              </w:rPr>
            </w:pPr>
            <w:r>
              <w:rPr>
                <w:color w:val="auto"/>
                <w:kern w:val="0"/>
                <w:szCs w:val="21"/>
              </w:rPr>
              <w:t>2</w:t>
            </w:r>
            <w:r>
              <w:rPr>
                <w:rFonts w:hint="eastAsia" w:ascii="宋体" w:hAnsi="宋体"/>
                <w:color w:val="auto"/>
                <w:kern w:val="0"/>
                <w:szCs w:val="21"/>
              </w:rPr>
              <w:t>、专业水平不高；</w:t>
            </w:r>
          </w:p>
          <w:p>
            <w:pPr>
              <w:widowControl/>
              <w:jc w:val="left"/>
              <w:rPr>
                <w:rFonts w:ascii="宋体" w:hAnsi="宋体"/>
                <w:color w:val="auto"/>
                <w:kern w:val="0"/>
                <w:szCs w:val="21"/>
              </w:rPr>
            </w:pPr>
            <w:r>
              <w:rPr>
                <w:color w:val="auto"/>
                <w:kern w:val="0"/>
                <w:szCs w:val="21"/>
              </w:rPr>
              <w:t>3</w:t>
            </w:r>
            <w:r>
              <w:rPr>
                <w:rFonts w:hint="eastAsia" w:ascii="宋体" w:hAnsi="宋体"/>
                <w:color w:val="auto"/>
                <w:kern w:val="0"/>
                <w:szCs w:val="21"/>
              </w:rPr>
              <w:t>、与甲方、使用单位的沟通不到位。</w:t>
            </w:r>
          </w:p>
          <w:p>
            <w:pPr>
              <w:widowControl/>
              <w:jc w:val="left"/>
              <w:rPr>
                <w:color w:val="auto"/>
                <w:kern w:val="0"/>
                <w:szCs w:val="21"/>
              </w:rPr>
            </w:pPr>
            <w:r>
              <w:rPr>
                <w:rFonts w:hint="eastAsia" w:ascii="宋体" w:hAnsi="宋体"/>
                <w:color w:val="auto"/>
                <w:kern w:val="0"/>
                <w:szCs w:val="21"/>
              </w:rPr>
              <w:t>以上各项每发生一次扣</w:t>
            </w:r>
            <w:r>
              <w:rPr>
                <w:color w:val="auto"/>
                <w:kern w:val="0"/>
                <w:szCs w:val="21"/>
              </w:rPr>
              <w:t>1</w:t>
            </w:r>
            <w:r>
              <w:rPr>
                <w:rFonts w:hint="eastAsia" w:ascii="宋体" w:hAnsi="宋体"/>
                <w:color w:val="auto"/>
                <w:kern w:val="0"/>
                <w:szCs w:val="21"/>
              </w:rPr>
              <w:t>分。</w:t>
            </w:r>
          </w:p>
        </w:tc>
        <w:tc>
          <w:tcPr>
            <w:tcW w:w="992" w:type="dxa"/>
            <w:tcBorders>
              <w:top w:val="nil"/>
              <w:left w:val="nil"/>
              <w:bottom w:val="single" w:color="auto" w:sz="4" w:space="0"/>
              <w:right w:val="single" w:color="auto" w:sz="4" w:space="0"/>
            </w:tcBorders>
            <w:noWrap/>
            <w:vAlign w:val="center"/>
          </w:tcPr>
          <w:p>
            <w:pPr>
              <w:widowControl/>
              <w:jc w:val="center"/>
              <w:rPr>
                <w:color w:val="auto"/>
                <w:kern w:val="0"/>
                <w:szCs w:val="21"/>
              </w:rPr>
            </w:pPr>
            <w:r>
              <w:rPr>
                <w:color w:val="auto"/>
                <w:kern w:val="0"/>
                <w:szCs w:val="21"/>
              </w:rPr>
              <w:t>　</w:t>
            </w:r>
          </w:p>
        </w:tc>
      </w:tr>
      <w:tr>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auto"/>
                <w:kern w:val="0"/>
                <w:szCs w:val="21"/>
              </w:rPr>
            </w:pPr>
            <w:r>
              <w:rPr>
                <w:rFonts w:hint="eastAsia" w:ascii="宋体" w:hAnsi="宋体" w:cs="宋体"/>
                <w:color w:val="auto"/>
                <w:kern w:val="0"/>
                <w:szCs w:val="21"/>
              </w:rPr>
              <w:t>三</w:t>
            </w:r>
          </w:p>
        </w:tc>
        <w:tc>
          <w:tcPr>
            <w:tcW w:w="1393"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1"/>
              </w:rPr>
            </w:pPr>
            <w:r>
              <w:rPr>
                <w:rFonts w:hint="eastAsia" w:ascii="宋体" w:hAnsi="宋体" w:cs="宋体"/>
                <w:color w:val="auto"/>
                <w:kern w:val="0"/>
                <w:szCs w:val="21"/>
              </w:rPr>
              <w:t>设计质量</w:t>
            </w:r>
          </w:p>
        </w:tc>
        <w:tc>
          <w:tcPr>
            <w:tcW w:w="709"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color w:val="auto"/>
                <w:kern w:val="0"/>
                <w:szCs w:val="21"/>
              </w:rPr>
            </w:pPr>
            <w:r>
              <w:rPr>
                <w:rFonts w:hint="eastAsia" w:ascii="仿宋_GB2312" w:hAnsi="宋体" w:eastAsia="仿宋_GB2312" w:cs="宋体"/>
                <w:color w:val="auto"/>
                <w:kern w:val="0"/>
                <w:szCs w:val="21"/>
              </w:rPr>
              <w:t>40</w:t>
            </w:r>
          </w:p>
        </w:tc>
        <w:tc>
          <w:tcPr>
            <w:tcW w:w="255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rPr>
            </w:pPr>
            <w:r>
              <w:rPr>
                <w:rFonts w:hint="eastAsia" w:ascii="宋体" w:hAnsi="宋体" w:cs="宋体"/>
                <w:color w:val="auto"/>
                <w:kern w:val="0"/>
                <w:szCs w:val="21"/>
              </w:rPr>
              <w:t>　</w:t>
            </w:r>
          </w:p>
        </w:tc>
        <w:tc>
          <w:tcPr>
            <w:tcW w:w="326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rPr>
            </w:pPr>
            <w:r>
              <w:rPr>
                <w:rFonts w:hint="eastAsia" w:ascii="宋体" w:hAnsi="宋体" w:cs="宋体"/>
                <w:color w:val="auto"/>
                <w:kern w:val="0"/>
                <w:szCs w:val="21"/>
              </w:rPr>
              <w:t>　</w:t>
            </w:r>
          </w:p>
        </w:tc>
        <w:tc>
          <w:tcPr>
            <w:tcW w:w="992"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rPr>
            </w:pPr>
            <w:r>
              <w:rPr>
                <w:rFonts w:hint="eastAsia" w:ascii="宋体" w:hAnsi="宋体" w:cs="宋体"/>
                <w:color w:val="auto"/>
                <w:kern w:val="0"/>
                <w:szCs w:val="21"/>
              </w:rPr>
              <w:t>　</w:t>
            </w:r>
          </w:p>
        </w:tc>
      </w:tr>
      <w:tr>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auto"/>
                <w:kern w:val="0"/>
                <w:szCs w:val="21"/>
              </w:rPr>
            </w:pPr>
            <w:r>
              <w:rPr>
                <w:rFonts w:hint="eastAsia" w:ascii="宋体" w:hAnsi="宋体" w:cs="宋体"/>
                <w:color w:val="auto"/>
                <w:kern w:val="0"/>
                <w:szCs w:val="21"/>
              </w:rPr>
              <w:t>1</w:t>
            </w:r>
          </w:p>
        </w:tc>
        <w:tc>
          <w:tcPr>
            <w:tcW w:w="1393"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1"/>
              </w:rPr>
            </w:pPr>
            <w:r>
              <w:rPr>
                <w:rFonts w:hint="eastAsia" w:ascii="宋体" w:hAnsi="宋体" w:cs="宋体"/>
                <w:color w:val="auto"/>
                <w:kern w:val="0"/>
                <w:szCs w:val="21"/>
              </w:rPr>
              <w:t>建筑方案</w:t>
            </w:r>
          </w:p>
        </w:tc>
        <w:tc>
          <w:tcPr>
            <w:tcW w:w="709"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color w:val="auto"/>
                <w:kern w:val="0"/>
                <w:szCs w:val="21"/>
              </w:rPr>
            </w:pPr>
            <w:r>
              <w:rPr>
                <w:rFonts w:hint="eastAsia" w:ascii="仿宋_GB2312" w:hAnsi="宋体" w:eastAsia="仿宋_GB2312" w:cs="宋体"/>
                <w:color w:val="auto"/>
                <w:kern w:val="0"/>
                <w:szCs w:val="21"/>
              </w:rPr>
              <w:t>5</w:t>
            </w:r>
          </w:p>
        </w:tc>
        <w:tc>
          <w:tcPr>
            <w:tcW w:w="255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rPr>
            </w:pPr>
            <w:r>
              <w:rPr>
                <w:rFonts w:hint="eastAsia" w:ascii="宋体" w:hAnsi="宋体" w:cs="宋体"/>
                <w:color w:val="auto"/>
                <w:kern w:val="0"/>
                <w:szCs w:val="21"/>
              </w:rPr>
              <w:t>是否达到招标文件或合同约定的方案设计要求。</w:t>
            </w:r>
          </w:p>
        </w:tc>
        <w:tc>
          <w:tcPr>
            <w:tcW w:w="3261" w:type="dxa"/>
            <w:tcBorders>
              <w:top w:val="nil"/>
              <w:left w:val="nil"/>
              <w:bottom w:val="single" w:color="auto" w:sz="4" w:space="0"/>
              <w:right w:val="single" w:color="auto" w:sz="4" w:space="0"/>
            </w:tcBorders>
            <w:noWrap/>
            <w:vAlign w:val="center"/>
          </w:tcPr>
          <w:p>
            <w:pPr>
              <w:widowControl/>
              <w:jc w:val="left"/>
              <w:rPr>
                <w:color w:val="auto"/>
                <w:kern w:val="0"/>
                <w:szCs w:val="21"/>
              </w:rPr>
            </w:pPr>
            <w:r>
              <w:rPr>
                <w:rFonts w:hint="eastAsia"/>
                <w:color w:val="auto"/>
                <w:kern w:val="0"/>
                <w:szCs w:val="21"/>
              </w:rPr>
              <w:t>未</w:t>
            </w:r>
            <w:r>
              <w:rPr>
                <w:color w:val="auto"/>
                <w:kern w:val="0"/>
                <w:szCs w:val="21"/>
              </w:rPr>
              <w:t>达到</w:t>
            </w:r>
            <w:r>
              <w:rPr>
                <w:rFonts w:hint="eastAsia" w:ascii="宋体" w:hAnsi="宋体" w:cs="宋体"/>
                <w:color w:val="auto"/>
                <w:kern w:val="0"/>
                <w:szCs w:val="21"/>
              </w:rPr>
              <w:t>招标文件或</w:t>
            </w:r>
            <w:r>
              <w:rPr>
                <w:color w:val="auto"/>
                <w:kern w:val="0"/>
                <w:szCs w:val="21"/>
              </w:rPr>
              <w:t>合同约定</w:t>
            </w:r>
            <w:r>
              <w:rPr>
                <w:rFonts w:hint="eastAsia"/>
                <w:color w:val="auto"/>
                <w:kern w:val="0"/>
                <w:szCs w:val="21"/>
              </w:rPr>
              <w:t>、会议纪要、通知、函件等</w:t>
            </w:r>
            <w:r>
              <w:rPr>
                <w:color w:val="auto"/>
                <w:kern w:val="0"/>
                <w:szCs w:val="21"/>
              </w:rPr>
              <w:t>要求</w:t>
            </w:r>
            <w:r>
              <w:rPr>
                <w:rFonts w:hint="eastAsia"/>
                <w:color w:val="auto"/>
                <w:kern w:val="0"/>
                <w:szCs w:val="21"/>
              </w:rPr>
              <w:t>。</w:t>
            </w:r>
          </w:p>
          <w:p>
            <w:pPr>
              <w:widowControl/>
              <w:jc w:val="left"/>
              <w:rPr>
                <w:color w:val="auto"/>
                <w:kern w:val="0"/>
                <w:szCs w:val="21"/>
              </w:rPr>
            </w:pPr>
            <w:r>
              <w:rPr>
                <w:rFonts w:hint="eastAsia"/>
                <w:color w:val="auto"/>
                <w:kern w:val="0"/>
                <w:szCs w:val="21"/>
              </w:rPr>
              <w:t>每发生一项扣1分。</w:t>
            </w:r>
          </w:p>
        </w:tc>
        <w:tc>
          <w:tcPr>
            <w:tcW w:w="992"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rPr>
            </w:pPr>
            <w:r>
              <w:rPr>
                <w:rFonts w:hint="eastAsia" w:ascii="宋体" w:hAnsi="宋体" w:cs="宋体"/>
                <w:color w:val="auto"/>
                <w:kern w:val="0"/>
                <w:szCs w:val="21"/>
              </w:rPr>
              <w:t>　</w:t>
            </w:r>
          </w:p>
        </w:tc>
      </w:tr>
      <w:tr>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auto"/>
                <w:kern w:val="0"/>
                <w:szCs w:val="21"/>
              </w:rPr>
            </w:pPr>
            <w:r>
              <w:rPr>
                <w:rFonts w:hint="eastAsia" w:ascii="宋体" w:hAnsi="宋体" w:cs="宋体"/>
                <w:color w:val="auto"/>
                <w:kern w:val="0"/>
                <w:szCs w:val="21"/>
              </w:rPr>
              <w:t>2</w:t>
            </w:r>
          </w:p>
        </w:tc>
        <w:tc>
          <w:tcPr>
            <w:tcW w:w="1393"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1"/>
              </w:rPr>
            </w:pPr>
            <w:r>
              <w:rPr>
                <w:rFonts w:hint="eastAsia" w:ascii="宋体" w:hAnsi="宋体" w:cs="宋体"/>
                <w:color w:val="auto"/>
                <w:kern w:val="0"/>
                <w:szCs w:val="21"/>
              </w:rPr>
              <w:t>规划报建</w:t>
            </w:r>
          </w:p>
        </w:tc>
        <w:tc>
          <w:tcPr>
            <w:tcW w:w="709"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color w:val="auto"/>
                <w:kern w:val="0"/>
                <w:szCs w:val="21"/>
              </w:rPr>
            </w:pPr>
            <w:r>
              <w:rPr>
                <w:rFonts w:hint="eastAsia" w:ascii="仿宋_GB2312" w:hAnsi="宋体" w:eastAsia="仿宋_GB2312" w:cs="宋体"/>
                <w:color w:val="auto"/>
                <w:kern w:val="0"/>
                <w:szCs w:val="21"/>
              </w:rPr>
              <w:t>5</w:t>
            </w:r>
          </w:p>
        </w:tc>
        <w:tc>
          <w:tcPr>
            <w:tcW w:w="255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rPr>
            </w:pPr>
            <w:r>
              <w:rPr>
                <w:rFonts w:hint="eastAsia" w:ascii="宋体" w:hAnsi="宋体" w:cs="宋体"/>
                <w:color w:val="auto"/>
                <w:kern w:val="0"/>
                <w:szCs w:val="21"/>
              </w:rPr>
              <w:t>是否满足规划管理部门对规划报建文件的要求</w:t>
            </w:r>
          </w:p>
        </w:tc>
        <w:tc>
          <w:tcPr>
            <w:tcW w:w="326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rPr>
            </w:pPr>
            <w:r>
              <w:rPr>
                <w:rFonts w:hint="eastAsia" w:ascii="宋体" w:hAnsi="宋体" w:cs="宋体"/>
                <w:color w:val="auto"/>
                <w:kern w:val="0"/>
                <w:szCs w:val="21"/>
              </w:rPr>
              <w:t>经规划管理部门或其委托的专业机构审查，规划报建文件（含电子报建文件）不符合要求而退回的。每发生一次扣2分。</w:t>
            </w:r>
          </w:p>
        </w:tc>
        <w:tc>
          <w:tcPr>
            <w:tcW w:w="992"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rPr>
            </w:pPr>
            <w:r>
              <w:rPr>
                <w:rFonts w:hint="eastAsia" w:ascii="宋体" w:hAnsi="宋体" w:cs="宋体"/>
                <w:color w:val="auto"/>
                <w:kern w:val="0"/>
                <w:szCs w:val="21"/>
              </w:rPr>
              <w:t>　</w:t>
            </w:r>
          </w:p>
        </w:tc>
      </w:tr>
      <w:tr>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auto"/>
                <w:kern w:val="0"/>
                <w:szCs w:val="21"/>
              </w:rPr>
            </w:pPr>
            <w:r>
              <w:rPr>
                <w:rFonts w:hint="eastAsia" w:ascii="宋体" w:hAnsi="宋体" w:cs="宋体"/>
                <w:color w:val="auto"/>
                <w:kern w:val="0"/>
                <w:szCs w:val="21"/>
              </w:rPr>
              <w:t>3</w:t>
            </w:r>
          </w:p>
        </w:tc>
        <w:tc>
          <w:tcPr>
            <w:tcW w:w="1393"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1"/>
              </w:rPr>
            </w:pPr>
            <w:r>
              <w:rPr>
                <w:rFonts w:hint="eastAsia" w:ascii="宋体" w:hAnsi="宋体" w:cs="宋体"/>
                <w:color w:val="auto"/>
                <w:kern w:val="0"/>
                <w:szCs w:val="21"/>
              </w:rPr>
              <w:t>专业报建</w:t>
            </w:r>
          </w:p>
        </w:tc>
        <w:tc>
          <w:tcPr>
            <w:tcW w:w="709"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color w:val="auto"/>
                <w:kern w:val="0"/>
                <w:szCs w:val="21"/>
              </w:rPr>
            </w:pPr>
            <w:r>
              <w:rPr>
                <w:rFonts w:hint="eastAsia" w:ascii="仿宋_GB2312" w:hAnsi="宋体" w:eastAsia="仿宋_GB2312" w:cs="宋体"/>
                <w:color w:val="auto"/>
                <w:kern w:val="0"/>
                <w:szCs w:val="21"/>
              </w:rPr>
              <w:t>5</w:t>
            </w:r>
          </w:p>
        </w:tc>
        <w:tc>
          <w:tcPr>
            <w:tcW w:w="255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rPr>
            </w:pPr>
            <w:r>
              <w:rPr>
                <w:rFonts w:hint="eastAsia" w:ascii="宋体" w:hAnsi="宋体" w:cs="宋体"/>
                <w:color w:val="auto"/>
                <w:kern w:val="0"/>
                <w:szCs w:val="21"/>
              </w:rPr>
              <w:t>是否满足各专业管理部门对专业报建文件的要求</w:t>
            </w:r>
          </w:p>
        </w:tc>
        <w:tc>
          <w:tcPr>
            <w:tcW w:w="326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rPr>
            </w:pPr>
            <w:r>
              <w:rPr>
                <w:rFonts w:hint="eastAsia" w:ascii="宋体" w:hAnsi="宋体" w:cs="宋体"/>
                <w:color w:val="auto"/>
                <w:kern w:val="0"/>
                <w:szCs w:val="21"/>
              </w:rPr>
              <w:t>经各专业管理部门或其委托的第三方机构审查，专业报建文件（含电子报建文件）不符合要求而退回的，每发生一次扣2分。</w:t>
            </w:r>
          </w:p>
        </w:tc>
        <w:tc>
          <w:tcPr>
            <w:tcW w:w="992"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rPr>
            </w:pPr>
          </w:p>
        </w:tc>
      </w:tr>
      <w:tr>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auto"/>
                <w:kern w:val="0"/>
                <w:szCs w:val="21"/>
              </w:rPr>
            </w:pPr>
            <w:r>
              <w:rPr>
                <w:rFonts w:hint="eastAsia" w:ascii="宋体" w:hAnsi="宋体" w:cs="宋体"/>
                <w:color w:val="auto"/>
                <w:kern w:val="0"/>
                <w:szCs w:val="21"/>
              </w:rPr>
              <w:t>4</w:t>
            </w:r>
          </w:p>
        </w:tc>
        <w:tc>
          <w:tcPr>
            <w:tcW w:w="1393"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1"/>
              </w:rPr>
            </w:pPr>
            <w:r>
              <w:rPr>
                <w:rFonts w:hint="eastAsia" w:ascii="宋体" w:hAnsi="宋体" w:cs="宋体"/>
                <w:color w:val="auto"/>
                <w:kern w:val="0"/>
                <w:szCs w:val="21"/>
              </w:rPr>
              <w:t>设计图纸深度</w:t>
            </w:r>
          </w:p>
        </w:tc>
        <w:tc>
          <w:tcPr>
            <w:tcW w:w="709"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color w:val="auto"/>
                <w:kern w:val="0"/>
                <w:szCs w:val="21"/>
              </w:rPr>
            </w:pPr>
            <w:r>
              <w:rPr>
                <w:rFonts w:hint="eastAsia" w:ascii="仿宋_GB2312" w:hAnsi="宋体" w:eastAsia="仿宋_GB2312" w:cs="宋体"/>
                <w:color w:val="auto"/>
                <w:kern w:val="0"/>
                <w:szCs w:val="21"/>
              </w:rPr>
              <w:t>5</w:t>
            </w:r>
          </w:p>
        </w:tc>
        <w:tc>
          <w:tcPr>
            <w:tcW w:w="255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rPr>
            </w:pPr>
            <w:r>
              <w:rPr>
                <w:rFonts w:hint="eastAsia" w:ascii="宋体" w:hAnsi="宋体" w:cs="宋体"/>
                <w:color w:val="auto"/>
                <w:kern w:val="0"/>
                <w:szCs w:val="21"/>
              </w:rPr>
              <w:t>是否满足住建部《建筑工程设计文件编制深度规定》对该阶段设计深度的有关要求</w:t>
            </w:r>
          </w:p>
        </w:tc>
        <w:tc>
          <w:tcPr>
            <w:tcW w:w="326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rPr>
            </w:pPr>
            <w:r>
              <w:rPr>
                <w:rFonts w:hint="eastAsia" w:ascii="宋体" w:hAnsi="宋体" w:cs="宋体"/>
                <w:color w:val="auto"/>
                <w:kern w:val="0"/>
                <w:szCs w:val="21"/>
              </w:rPr>
              <w:t>经第三方单位审核，有一个专业达不到深度的，扣1分。</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1"/>
              </w:rPr>
            </w:pPr>
            <w:r>
              <w:rPr>
                <w:rFonts w:hint="eastAsia" w:ascii="宋体" w:hAnsi="宋体" w:cs="宋体"/>
                <w:color w:val="auto"/>
                <w:kern w:val="0"/>
                <w:szCs w:val="21"/>
              </w:rPr>
              <w:t>　</w:t>
            </w:r>
          </w:p>
        </w:tc>
      </w:tr>
      <w:tr>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auto"/>
                <w:kern w:val="0"/>
                <w:szCs w:val="21"/>
              </w:rPr>
            </w:pPr>
            <w:r>
              <w:rPr>
                <w:rFonts w:hint="eastAsia" w:ascii="宋体" w:hAnsi="宋体" w:cs="宋体"/>
                <w:color w:val="auto"/>
                <w:kern w:val="0"/>
                <w:szCs w:val="21"/>
              </w:rPr>
              <w:t>5</w:t>
            </w:r>
          </w:p>
        </w:tc>
        <w:tc>
          <w:tcPr>
            <w:tcW w:w="1393"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1"/>
              </w:rPr>
            </w:pPr>
            <w:r>
              <w:rPr>
                <w:rFonts w:hint="eastAsia" w:ascii="宋体" w:hAnsi="宋体" w:cs="宋体"/>
                <w:color w:val="auto"/>
                <w:kern w:val="0"/>
                <w:szCs w:val="21"/>
              </w:rPr>
              <w:t>限额设计</w:t>
            </w:r>
          </w:p>
        </w:tc>
        <w:tc>
          <w:tcPr>
            <w:tcW w:w="709"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color w:val="auto"/>
                <w:kern w:val="0"/>
                <w:szCs w:val="21"/>
              </w:rPr>
            </w:pPr>
            <w:r>
              <w:rPr>
                <w:rFonts w:hint="eastAsia" w:ascii="仿宋_GB2312" w:hAnsi="宋体" w:eastAsia="仿宋_GB2312" w:cs="宋体"/>
                <w:color w:val="auto"/>
                <w:kern w:val="0"/>
                <w:szCs w:val="21"/>
              </w:rPr>
              <w:t>20</w:t>
            </w:r>
          </w:p>
        </w:tc>
        <w:tc>
          <w:tcPr>
            <w:tcW w:w="255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rPr>
            </w:pPr>
            <w:r>
              <w:rPr>
                <w:rFonts w:hint="eastAsia" w:ascii="宋体" w:hAnsi="宋体" w:cs="宋体"/>
                <w:color w:val="auto"/>
                <w:kern w:val="0"/>
                <w:szCs w:val="21"/>
              </w:rPr>
              <w:t>方案估算是否满足经批复的投资估算</w:t>
            </w:r>
          </w:p>
        </w:tc>
        <w:tc>
          <w:tcPr>
            <w:tcW w:w="326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rPr>
            </w:pPr>
            <w:r>
              <w:rPr>
                <w:rFonts w:hint="eastAsia" w:ascii="宋体" w:hAnsi="宋体" w:cs="宋体"/>
                <w:color w:val="auto"/>
                <w:kern w:val="0"/>
                <w:szCs w:val="21"/>
              </w:rPr>
              <w:t>估算超出经批复的投资估算价，每报一版扣2分；</w:t>
            </w:r>
          </w:p>
          <w:p>
            <w:pPr>
              <w:widowControl/>
              <w:jc w:val="left"/>
              <w:rPr>
                <w:rFonts w:ascii="宋体" w:hAnsi="宋体" w:cs="宋体"/>
                <w:color w:val="auto"/>
                <w:kern w:val="0"/>
                <w:szCs w:val="21"/>
              </w:rPr>
            </w:pPr>
            <w:r>
              <w:rPr>
                <w:rFonts w:hint="eastAsia" w:ascii="宋体" w:hAnsi="宋体" w:cs="宋体"/>
                <w:color w:val="auto"/>
                <w:kern w:val="0"/>
                <w:szCs w:val="21"/>
              </w:rPr>
              <w:t>甲方委托的造价咨询公司审核价与乙方编制的估算价偏差每超出1%，扣1分。</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1"/>
              </w:rPr>
            </w:pPr>
          </w:p>
        </w:tc>
      </w:tr>
      <w:tr>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auto"/>
                <w:kern w:val="0"/>
                <w:szCs w:val="21"/>
              </w:rPr>
            </w:pPr>
            <w:r>
              <w:rPr>
                <w:rFonts w:hint="eastAsia" w:ascii="宋体" w:hAnsi="宋体" w:cs="宋体"/>
                <w:color w:val="auto"/>
                <w:kern w:val="0"/>
                <w:szCs w:val="21"/>
              </w:rPr>
              <w:t>四</w:t>
            </w:r>
          </w:p>
        </w:tc>
        <w:tc>
          <w:tcPr>
            <w:tcW w:w="1393"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1"/>
              </w:rPr>
            </w:pPr>
            <w:r>
              <w:rPr>
                <w:rFonts w:hint="eastAsia" w:ascii="宋体" w:hAnsi="宋体" w:cs="宋体"/>
                <w:color w:val="auto"/>
                <w:kern w:val="0"/>
                <w:szCs w:val="21"/>
              </w:rPr>
              <w:t>设计进度</w:t>
            </w:r>
          </w:p>
        </w:tc>
        <w:tc>
          <w:tcPr>
            <w:tcW w:w="709"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color w:val="auto"/>
                <w:kern w:val="0"/>
                <w:szCs w:val="21"/>
              </w:rPr>
            </w:pPr>
            <w:r>
              <w:rPr>
                <w:rFonts w:hint="eastAsia" w:ascii="仿宋_GB2312" w:hAnsi="宋体" w:eastAsia="仿宋_GB2312" w:cs="宋体"/>
                <w:color w:val="auto"/>
                <w:kern w:val="0"/>
                <w:szCs w:val="21"/>
              </w:rPr>
              <w:t>20</w:t>
            </w:r>
          </w:p>
        </w:tc>
        <w:tc>
          <w:tcPr>
            <w:tcW w:w="255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rPr>
            </w:pPr>
          </w:p>
        </w:tc>
        <w:tc>
          <w:tcPr>
            <w:tcW w:w="326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rPr>
            </w:pPr>
          </w:p>
        </w:tc>
        <w:tc>
          <w:tcPr>
            <w:tcW w:w="992"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rPr>
            </w:pPr>
            <w:r>
              <w:rPr>
                <w:rFonts w:hint="eastAsia" w:ascii="宋体" w:hAnsi="宋体" w:cs="宋体"/>
                <w:color w:val="auto"/>
                <w:kern w:val="0"/>
                <w:szCs w:val="21"/>
              </w:rPr>
              <w:t>　</w:t>
            </w:r>
          </w:p>
        </w:tc>
      </w:tr>
      <w:tr>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auto"/>
                <w:kern w:val="0"/>
                <w:szCs w:val="21"/>
              </w:rPr>
            </w:pPr>
            <w:r>
              <w:rPr>
                <w:rFonts w:hint="eastAsia" w:ascii="宋体" w:hAnsi="宋体" w:cs="宋体"/>
                <w:color w:val="auto"/>
                <w:kern w:val="0"/>
                <w:szCs w:val="21"/>
              </w:rPr>
              <w:t>1</w:t>
            </w:r>
          </w:p>
        </w:tc>
        <w:tc>
          <w:tcPr>
            <w:tcW w:w="1393"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1"/>
              </w:rPr>
            </w:pPr>
            <w:r>
              <w:rPr>
                <w:rFonts w:hint="eastAsia" w:ascii="宋体" w:hAnsi="宋体" w:cs="宋体"/>
                <w:color w:val="auto"/>
                <w:kern w:val="0"/>
                <w:szCs w:val="21"/>
              </w:rPr>
              <w:t>设计进度</w:t>
            </w:r>
          </w:p>
        </w:tc>
        <w:tc>
          <w:tcPr>
            <w:tcW w:w="709"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color w:val="auto"/>
                <w:kern w:val="0"/>
                <w:szCs w:val="21"/>
              </w:rPr>
            </w:pPr>
            <w:r>
              <w:rPr>
                <w:rFonts w:hint="eastAsia" w:ascii="仿宋_GB2312" w:hAnsi="宋体" w:eastAsia="仿宋_GB2312" w:cs="宋体"/>
                <w:color w:val="auto"/>
                <w:kern w:val="0"/>
                <w:szCs w:val="21"/>
              </w:rPr>
              <w:t>20</w:t>
            </w:r>
          </w:p>
        </w:tc>
        <w:tc>
          <w:tcPr>
            <w:tcW w:w="255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rPr>
            </w:pPr>
            <w:r>
              <w:rPr>
                <w:rFonts w:hint="eastAsia" w:ascii="宋体" w:hAnsi="宋体" w:cs="宋体"/>
                <w:color w:val="auto"/>
                <w:kern w:val="0"/>
                <w:szCs w:val="21"/>
              </w:rPr>
              <w:t>是否按照合同、会议纪要、通知、函件等对进度的要求完成各项工作；能否按期完成甲方交办的其它相关工作</w:t>
            </w:r>
          </w:p>
        </w:tc>
        <w:tc>
          <w:tcPr>
            <w:tcW w:w="326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rPr>
            </w:pPr>
            <w:r>
              <w:rPr>
                <w:rFonts w:hint="eastAsia" w:ascii="宋体" w:hAnsi="宋体" w:cs="宋体"/>
                <w:color w:val="auto"/>
                <w:kern w:val="0"/>
                <w:szCs w:val="21"/>
              </w:rPr>
              <w:t>因乙方原因，每延误一天扣1分，至扣完为止。</w:t>
            </w:r>
          </w:p>
        </w:tc>
        <w:tc>
          <w:tcPr>
            <w:tcW w:w="992"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rPr>
            </w:pPr>
            <w:r>
              <w:rPr>
                <w:rFonts w:hint="eastAsia" w:ascii="宋体" w:hAnsi="宋体" w:cs="宋体"/>
                <w:color w:val="auto"/>
                <w:kern w:val="0"/>
                <w:szCs w:val="21"/>
              </w:rPr>
              <w:t>　</w:t>
            </w:r>
          </w:p>
        </w:tc>
      </w:tr>
      <w:tr>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auto"/>
                <w:kern w:val="0"/>
                <w:szCs w:val="21"/>
              </w:rPr>
            </w:pPr>
            <w:r>
              <w:rPr>
                <w:rFonts w:hint="eastAsia" w:ascii="宋体" w:hAnsi="宋体" w:cs="宋体"/>
                <w:color w:val="auto"/>
                <w:kern w:val="0"/>
                <w:szCs w:val="21"/>
              </w:rPr>
              <w:t>五</w:t>
            </w:r>
          </w:p>
        </w:tc>
        <w:tc>
          <w:tcPr>
            <w:tcW w:w="1393"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1"/>
              </w:rPr>
            </w:pPr>
            <w:r>
              <w:rPr>
                <w:rFonts w:hint="eastAsia" w:ascii="宋体" w:hAnsi="宋体" w:cs="宋体"/>
                <w:color w:val="auto"/>
                <w:kern w:val="0"/>
                <w:szCs w:val="21"/>
              </w:rPr>
              <w:t>设计配合</w:t>
            </w:r>
          </w:p>
        </w:tc>
        <w:tc>
          <w:tcPr>
            <w:tcW w:w="709"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color w:val="auto"/>
                <w:kern w:val="0"/>
                <w:szCs w:val="21"/>
              </w:rPr>
            </w:pPr>
            <w:r>
              <w:rPr>
                <w:rFonts w:hint="eastAsia" w:ascii="仿宋_GB2312" w:hAnsi="宋体" w:eastAsia="仿宋_GB2312" w:cs="宋体"/>
                <w:color w:val="auto"/>
                <w:kern w:val="0"/>
                <w:szCs w:val="21"/>
              </w:rPr>
              <w:t>10</w:t>
            </w:r>
          </w:p>
        </w:tc>
        <w:tc>
          <w:tcPr>
            <w:tcW w:w="255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rPr>
            </w:pPr>
            <w:r>
              <w:rPr>
                <w:rFonts w:hint="eastAsia" w:ascii="宋体" w:hAnsi="宋体" w:cs="宋体"/>
                <w:color w:val="auto"/>
                <w:kern w:val="0"/>
                <w:szCs w:val="21"/>
              </w:rPr>
              <w:t>　</w:t>
            </w:r>
          </w:p>
        </w:tc>
        <w:tc>
          <w:tcPr>
            <w:tcW w:w="326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rPr>
            </w:pPr>
            <w:r>
              <w:rPr>
                <w:rFonts w:hint="eastAsia" w:ascii="宋体" w:hAnsi="宋体" w:cs="宋体"/>
                <w:color w:val="auto"/>
                <w:kern w:val="0"/>
                <w:szCs w:val="21"/>
              </w:rPr>
              <w:t>　</w:t>
            </w:r>
          </w:p>
        </w:tc>
        <w:tc>
          <w:tcPr>
            <w:tcW w:w="992"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rPr>
            </w:pPr>
            <w:r>
              <w:rPr>
                <w:rFonts w:hint="eastAsia" w:ascii="宋体" w:hAnsi="宋体" w:cs="宋体"/>
                <w:color w:val="auto"/>
                <w:kern w:val="0"/>
                <w:szCs w:val="21"/>
              </w:rPr>
              <w:t>　</w:t>
            </w:r>
          </w:p>
        </w:tc>
      </w:tr>
      <w:tr>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auto"/>
                <w:kern w:val="0"/>
                <w:szCs w:val="21"/>
              </w:rPr>
            </w:pPr>
            <w:r>
              <w:rPr>
                <w:rFonts w:hint="eastAsia" w:ascii="宋体" w:hAnsi="宋体" w:cs="宋体"/>
                <w:color w:val="auto"/>
                <w:kern w:val="0"/>
                <w:szCs w:val="21"/>
              </w:rPr>
              <w:t>1</w:t>
            </w:r>
          </w:p>
        </w:tc>
        <w:tc>
          <w:tcPr>
            <w:tcW w:w="1393"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1"/>
              </w:rPr>
            </w:pPr>
            <w:r>
              <w:rPr>
                <w:rFonts w:hint="eastAsia" w:ascii="宋体" w:hAnsi="宋体" w:cs="宋体"/>
                <w:color w:val="auto"/>
                <w:kern w:val="0"/>
                <w:szCs w:val="21"/>
              </w:rPr>
              <w:t>设计配合</w:t>
            </w:r>
          </w:p>
        </w:tc>
        <w:tc>
          <w:tcPr>
            <w:tcW w:w="709"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color w:val="auto"/>
                <w:kern w:val="0"/>
                <w:szCs w:val="21"/>
              </w:rPr>
            </w:pPr>
            <w:r>
              <w:rPr>
                <w:rFonts w:hint="eastAsia" w:ascii="仿宋_GB2312" w:hAnsi="宋体" w:eastAsia="仿宋_GB2312" w:cs="宋体"/>
                <w:color w:val="auto"/>
                <w:kern w:val="0"/>
                <w:szCs w:val="21"/>
              </w:rPr>
              <w:t>10</w:t>
            </w:r>
          </w:p>
        </w:tc>
        <w:tc>
          <w:tcPr>
            <w:tcW w:w="255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rPr>
            </w:pPr>
            <w:r>
              <w:rPr>
                <w:rFonts w:hint="eastAsia" w:ascii="宋体" w:hAnsi="宋体" w:cs="宋体"/>
                <w:color w:val="auto"/>
                <w:kern w:val="0"/>
                <w:szCs w:val="21"/>
              </w:rPr>
              <w:t>能否按合同及甲方要求及时协调配合甲方、专项设计单位及其它相关部门的工作；是否具有较强的沟通协调能力；能否在各报建报批环节积极协助甲方完成相关工作</w:t>
            </w:r>
          </w:p>
        </w:tc>
        <w:tc>
          <w:tcPr>
            <w:tcW w:w="326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rPr>
            </w:pPr>
            <w:r>
              <w:rPr>
                <w:rFonts w:hint="eastAsia" w:ascii="宋体" w:hAnsi="宋体" w:cs="宋体"/>
                <w:color w:val="auto"/>
                <w:kern w:val="0"/>
                <w:szCs w:val="21"/>
              </w:rPr>
              <w:t>好：得10分</w:t>
            </w:r>
          </w:p>
          <w:p>
            <w:pPr>
              <w:widowControl/>
              <w:jc w:val="left"/>
              <w:rPr>
                <w:rFonts w:ascii="宋体" w:hAnsi="宋体" w:cs="宋体"/>
                <w:color w:val="auto"/>
                <w:kern w:val="0"/>
                <w:szCs w:val="21"/>
              </w:rPr>
            </w:pPr>
            <w:r>
              <w:rPr>
                <w:rFonts w:hint="eastAsia" w:ascii="宋体" w:hAnsi="宋体" w:cs="宋体"/>
                <w:color w:val="auto"/>
                <w:kern w:val="0"/>
                <w:szCs w:val="21"/>
              </w:rPr>
              <w:t>较好：得8分</w:t>
            </w:r>
          </w:p>
          <w:p>
            <w:pPr>
              <w:widowControl/>
              <w:jc w:val="left"/>
              <w:rPr>
                <w:rFonts w:ascii="宋体" w:hAnsi="宋体" w:cs="宋体"/>
                <w:color w:val="auto"/>
                <w:kern w:val="0"/>
                <w:szCs w:val="21"/>
              </w:rPr>
            </w:pPr>
            <w:r>
              <w:rPr>
                <w:rFonts w:hint="eastAsia" w:ascii="宋体" w:hAnsi="宋体" w:cs="宋体"/>
                <w:color w:val="auto"/>
                <w:kern w:val="0"/>
                <w:szCs w:val="21"/>
              </w:rPr>
              <w:t>一般：得6分</w:t>
            </w:r>
          </w:p>
          <w:p>
            <w:pPr>
              <w:widowControl/>
              <w:jc w:val="left"/>
              <w:rPr>
                <w:rFonts w:ascii="宋体" w:hAnsi="宋体" w:cs="宋体"/>
                <w:color w:val="auto"/>
                <w:kern w:val="0"/>
                <w:szCs w:val="21"/>
              </w:rPr>
            </w:pPr>
            <w:r>
              <w:rPr>
                <w:rFonts w:hint="eastAsia" w:ascii="宋体" w:hAnsi="宋体" w:cs="宋体"/>
                <w:color w:val="auto"/>
                <w:kern w:val="0"/>
                <w:szCs w:val="21"/>
              </w:rPr>
              <w:t>较差：得4分</w:t>
            </w:r>
          </w:p>
          <w:p>
            <w:pPr>
              <w:widowControl/>
              <w:jc w:val="left"/>
              <w:rPr>
                <w:rFonts w:ascii="宋体" w:hAnsi="宋体" w:cs="宋体"/>
                <w:color w:val="auto"/>
                <w:kern w:val="0"/>
                <w:szCs w:val="21"/>
              </w:rPr>
            </w:pPr>
            <w:r>
              <w:rPr>
                <w:rFonts w:hint="eastAsia" w:ascii="宋体" w:hAnsi="宋体" w:cs="宋体"/>
                <w:color w:val="auto"/>
                <w:kern w:val="0"/>
                <w:szCs w:val="21"/>
              </w:rPr>
              <w:t>差：得2分</w:t>
            </w:r>
          </w:p>
        </w:tc>
        <w:tc>
          <w:tcPr>
            <w:tcW w:w="992"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rPr>
            </w:pPr>
            <w:r>
              <w:rPr>
                <w:rFonts w:hint="eastAsia" w:ascii="宋体" w:hAnsi="宋体" w:cs="宋体"/>
                <w:color w:val="auto"/>
                <w:kern w:val="0"/>
                <w:szCs w:val="21"/>
              </w:rPr>
              <w:t>　</w:t>
            </w:r>
          </w:p>
        </w:tc>
      </w:tr>
      <w:tr>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ign w:val="center"/>
          </w:tcPr>
          <w:p>
            <w:pPr>
              <w:widowControl/>
              <w:jc w:val="center"/>
              <w:rPr>
                <w:color w:val="auto"/>
                <w:kern w:val="0"/>
                <w:szCs w:val="21"/>
              </w:rPr>
            </w:pPr>
            <w:r>
              <w:rPr>
                <w:color w:val="auto"/>
                <w:kern w:val="0"/>
                <w:szCs w:val="21"/>
              </w:rPr>
              <w:t>　</w:t>
            </w:r>
          </w:p>
        </w:tc>
        <w:tc>
          <w:tcPr>
            <w:tcW w:w="1393" w:type="dxa"/>
            <w:tcBorders>
              <w:top w:val="nil"/>
              <w:left w:val="nil"/>
              <w:bottom w:val="single" w:color="auto" w:sz="4" w:space="0"/>
              <w:right w:val="single" w:color="auto" w:sz="4" w:space="0"/>
            </w:tcBorders>
            <w:noWrap/>
            <w:vAlign w:val="center"/>
          </w:tcPr>
          <w:p>
            <w:pPr>
              <w:widowControl/>
              <w:jc w:val="center"/>
              <w:rPr>
                <w:color w:val="auto"/>
                <w:kern w:val="0"/>
                <w:szCs w:val="21"/>
              </w:rPr>
            </w:pPr>
            <w:r>
              <w:rPr>
                <w:color w:val="auto"/>
                <w:kern w:val="0"/>
                <w:szCs w:val="21"/>
              </w:rPr>
              <w:t>合计</w:t>
            </w:r>
          </w:p>
        </w:tc>
        <w:tc>
          <w:tcPr>
            <w:tcW w:w="709" w:type="dxa"/>
            <w:tcBorders>
              <w:top w:val="nil"/>
              <w:left w:val="nil"/>
              <w:bottom w:val="single" w:color="auto" w:sz="4" w:space="0"/>
              <w:right w:val="single" w:color="auto" w:sz="4" w:space="0"/>
            </w:tcBorders>
            <w:noWrap/>
            <w:vAlign w:val="center"/>
          </w:tcPr>
          <w:p>
            <w:pPr>
              <w:widowControl/>
              <w:jc w:val="center"/>
              <w:rPr>
                <w:color w:val="auto"/>
                <w:kern w:val="0"/>
                <w:szCs w:val="21"/>
              </w:rPr>
            </w:pPr>
            <w:r>
              <w:rPr>
                <w:color w:val="auto"/>
                <w:kern w:val="0"/>
                <w:szCs w:val="21"/>
              </w:rPr>
              <w:t>100</w:t>
            </w:r>
          </w:p>
        </w:tc>
        <w:tc>
          <w:tcPr>
            <w:tcW w:w="2551" w:type="dxa"/>
            <w:tcBorders>
              <w:top w:val="nil"/>
              <w:left w:val="nil"/>
              <w:bottom w:val="single" w:color="auto" w:sz="4" w:space="0"/>
              <w:right w:val="single" w:color="auto" w:sz="4" w:space="0"/>
            </w:tcBorders>
            <w:noWrap/>
            <w:vAlign w:val="center"/>
          </w:tcPr>
          <w:p>
            <w:pPr>
              <w:widowControl/>
              <w:jc w:val="center"/>
              <w:rPr>
                <w:color w:val="auto"/>
                <w:kern w:val="0"/>
                <w:szCs w:val="21"/>
              </w:rPr>
            </w:pPr>
            <w:r>
              <w:rPr>
                <w:color w:val="auto"/>
                <w:kern w:val="0"/>
                <w:szCs w:val="21"/>
              </w:rPr>
              <w:t>　</w:t>
            </w:r>
          </w:p>
        </w:tc>
        <w:tc>
          <w:tcPr>
            <w:tcW w:w="3261" w:type="dxa"/>
            <w:tcBorders>
              <w:top w:val="nil"/>
              <w:left w:val="nil"/>
              <w:bottom w:val="single" w:color="auto" w:sz="4" w:space="0"/>
              <w:right w:val="single" w:color="auto" w:sz="4" w:space="0"/>
            </w:tcBorders>
            <w:noWrap/>
            <w:vAlign w:val="center"/>
          </w:tcPr>
          <w:p>
            <w:pPr>
              <w:widowControl/>
              <w:jc w:val="center"/>
              <w:rPr>
                <w:color w:val="auto"/>
                <w:kern w:val="0"/>
                <w:szCs w:val="21"/>
              </w:rPr>
            </w:pPr>
            <w:r>
              <w:rPr>
                <w:color w:val="auto"/>
                <w:kern w:val="0"/>
                <w:szCs w:val="21"/>
              </w:rPr>
              <w:t>　</w:t>
            </w:r>
          </w:p>
        </w:tc>
        <w:tc>
          <w:tcPr>
            <w:tcW w:w="992" w:type="dxa"/>
            <w:tcBorders>
              <w:top w:val="nil"/>
              <w:left w:val="nil"/>
              <w:bottom w:val="single" w:color="auto" w:sz="4" w:space="0"/>
              <w:right w:val="single" w:color="auto" w:sz="4" w:space="0"/>
            </w:tcBorders>
            <w:noWrap/>
            <w:vAlign w:val="center"/>
          </w:tcPr>
          <w:p>
            <w:pPr>
              <w:widowControl/>
              <w:jc w:val="center"/>
              <w:rPr>
                <w:color w:val="auto"/>
                <w:kern w:val="0"/>
                <w:szCs w:val="21"/>
              </w:rPr>
            </w:pPr>
            <w:r>
              <w:rPr>
                <w:color w:val="auto"/>
                <w:kern w:val="0"/>
                <w:szCs w:val="21"/>
              </w:rPr>
              <w:t>　</w:t>
            </w:r>
          </w:p>
        </w:tc>
      </w:tr>
    </w:tbl>
    <w:p>
      <w:pPr>
        <w:adjustRightInd w:val="0"/>
        <w:snapToGrid w:val="0"/>
        <w:rPr>
          <w:rFonts w:ascii="宋体" w:hAnsi="宋体" w:cs="宋体"/>
          <w:color w:val="auto"/>
          <w:kern w:val="0"/>
          <w:szCs w:val="21"/>
        </w:rPr>
      </w:pPr>
      <w:r>
        <w:rPr>
          <w:rFonts w:hint="eastAsia" w:ascii="宋体" w:hAnsi="宋体" w:cs="宋体"/>
          <w:color w:val="auto"/>
          <w:kern w:val="0"/>
          <w:szCs w:val="21"/>
        </w:rPr>
        <w:t>一、注：</w:t>
      </w:r>
    </w:p>
    <w:p>
      <w:pPr>
        <w:adjustRightInd w:val="0"/>
        <w:snapToGrid w:val="0"/>
        <w:rPr>
          <w:rFonts w:ascii="宋体" w:hAnsi="宋体" w:cs="宋体"/>
          <w:color w:val="auto"/>
          <w:kern w:val="0"/>
          <w:szCs w:val="21"/>
        </w:rPr>
      </w:pPr>
      <w:r>
        <w:rPr>
          <w:rFonts w:hint="eastAsia" w:ascii="宋体" w:hAnsi="宋体" w:cs="宋体"/>
          <w:color w:val="auto"/>
          <w:kern w:val="0"/>
          <w:szCs w:val="21"/>
        </w:rPr>
        <w:t>1、每一评分项扣分，至该项对应分值扣完为止。</w:t>
      </w:r>
    </w:p>
    <w:p>
      <w:pPr>
        <w:adjustRightInd w:val="0"/>
        <w:snapToGrid w:val="0"/>
        <w:rPr>
          <w:rFonts w:ascii="宋体" w:hAnsi="宋体" w:cs="宋体"/>
          <w:color w:val="auto"/>
          <w:kern w:val="0"/>
          <w:szCs w:val="21"/>
        </w:rPr>
      </w:pPr>
      <w:r>
        <w:rPr>
          <w:rFonts w:hint="eastAsia" w:ascii="宋体" w:hAnsi="宋体" w:cs="宋体"/>
          <w:color w:val="auto"/>
          <w:kern w:val="0"/>
          <w:szCs w:val="21"/>
        </w:rPr>
        <w:t>2、应在岗实际未在岗累计达到3天的，或经问询明显不了解项目具体情况累计达到3次的，或未按甲方要求出席会议累计达到3次的，可认定自行更换</w:t>
      </w:r>
    </w:p>
    <w:p>
      <w:pPr>
        <w:adjustRightInd w:val="0"/>
        <w:snapToGrid w:val="0"/>
        <w:rPr>
          <w:rFonts w:ascii="宋体" w:hAnsi="宋体" w:cs="宋体"/>
          <w:color w:val="auto"/>
          <w:kern w:val="0"/>
          <w:szCs w:val="21"/>
        </w:rPr>
      </w:pPr>
    </w:p>
    <w:p>
      <w:pPr>
        <w:adjustRightInd w:val="0"/>
        <w:snapToGrid w:val="0"/>
        <w:rPr>
          <w:rFonts w:ascii="宋体" w:hAnsi="宋体" w:cs="宋体"/>
          <w:color w:val="auto"/>
          <w:kern w:val="0"/>
          <w:szCs w:val="21"/>
        </w:rPr>
      </w:pPr>
      <w:r>
        <w:rPr>
          <w:rFonts w:hint="eastAsia" w:ascii="宋体" w:hAnsi="宋体" w:cs="宋体"/>
          <w:color w:val="auto"/>
          <w:kern w:val="0"/>
          <w:szCs w:val="21"/>
        </w:rPr>
        <w:t>二、扣分情况说明：</w:t>
      </w:r>
    </w:p>
    <w:p>
      <w:pPr>
        <w:adjustRightInd w:val="0"/>
        <w:snapToGrid w:val="0"/>
        <w:rPr>
          <w:rFonts w:ascii="宋体" w:hAnsi="宋体" w:cs="宋体"/>
          <w:color w:val="auto"/>
          <w:kern w:val="0"/>
          <w:szCs w:val="21"/>
        </w:rPr>
      </w:pPr>
      <w:r>
        <w:rPr>
          <w:rFonts w:hint="eastAsia" w:ascii="宋体" w:hAnsi="宋体" w:cs="宋体"/>
          <w:color w:val="auto"/>
          <w:kern w:val="0"/>
          <w:szCs w:val="21"/>
        </w:rPr>
        <w:t>1、</w:t>
      </w:r>
    </w:p>
    <w:p>
      <w:pPr>
        <w:adjustRightInd w:val="0"/>
        <w:snapToGrid w:val="0"/>
        <w:rPr>
          <w:rFonts w:ascii="宋体" w:hAnsi="宋体" w:cs="宋体"/>
          <w:color w:val="auto"/>
          <w:kern w:val="0"/>
          <w:szCs w:val="21"/>
        </w:rPr>
      </w:pPr>
      <w:r>
        <w:rPr>
          <w:rFonts w:hint="eastAsia" w:ascii="宋体" w:hAnsi="宋体" w:cs="宋体"/>
          <w:color w:val="auto"/>
          <w:kern w:val="0"/>
          <w:szCs w:val="21"/>
        </w:rPr>
        <w:t>2、</w:t>
      </w:r>
    </w:p>
    <w:p>
      <w:pPr>
        <w:adjustRightInd w:val="0"/>
        <w:snapToGrid w:val="0"/>
        <w:rPr>
          <w:rFonts w:ascii="宋体" w:hAnsi="宋体" w:cs="宋体"/>
          <w:color w:val="auto"/>
          <w:kern w:val="0"/>
          <w:szCs w:val="21"/>
        </w:rPr>
      </w:pPr>
      <w:r>
        <w:rPr>
          <w:rFonts w:hint="eastAsia" w:ascii="宋体" w:hAnsi="宋体" w:cs="宋体"/>
          <w:color w:val="auto"/>
          <w:kern w:val="0"/>
          <w:szCs w:val="21"/>
        </w:rPr>
        <w:t>3、</w:t>
      </w:r>
    </w:p>
    <w:p>
      <w:pPr>
        <w:adjustRightInd w:val="0"/>
        <w:snapToGrid w:val="0"/>
        <w:rPr>
          <w:rFonts w:ascii="宋体" w:hAnsi="宋体" w:cs="宋体"/>
          <w:color w:val="auto"/>
          <w:kern w:val="0"/>
          <w:szCs w:val="21"/>
        </w:rPr>
      </w:pPr>
      <w:r>
        <w:rPr>
          <w:rFonts w:hint="eastAsia" w:ascii="宋体" w:hAnsi="宋体" w:cs="宋体"/>
          <w:color w:val="auto"/>
          <w:kern w:val="0"/>
          <w:szCs w:val="21"/>
        </w:rPr>
        <w:t>…</w:t>
      </w:r>
    </w:p>
    <w:p>
      <w:pPr>
        <w:adjustRightInd w:val="0"/>
        <w:snapToGrid w:val="0"/>
        <w:rPr>
          <w:rFonts w:ascii="宋体" w:hAnsi="宋体" w:cs="宋体"/>
          <w:color w:val="auto"/>
          <w:kern w:val="0"/>
          <w:szCs w:val="21"/>
        </w:rPr>
      </w:pPr>
    </w:p>
    <w:p>
      <w:pPr>
        <w:adjustRightInd w:val="0"/>
        <w:snapToGrid w:val="0"/>
        <w:rPr>
          <w:rFonts w:ascii="宋体" w:hAnsi="宋体" w:cs="宋体"/>
          <w:color w:val="auto"/>
          <w:kern w:val="0"/>
          <w:szCs w:val="21"/>
          <w:u w:val="single"/>
        </w:rPr>
      </w:pPr>
      <w:r>
        <w:rPr>
          <w:rFonts w:hint="eastAsia" w:ascii="宋体" w:hAnsi="宋体" w:cs="宋体"/>
          <w:color w:val="auto"/>
          <w:kern w:val="0"/>
          <w:szCs w:val="21"/>
        </w:rPr>
        <w:t>项目负责人：×××  签名：</w:t>
      </w:r>
    </w:p>
    <w:p>
      <w:pPr>
        <w:adjustRightInd w:val="0"/>
        <w:snapToGrid w:val="0"/>
        <w:rPr>
          <w:rFonts w:ascii="宋体" w:hAnsi="宋体" w:cs="宋体"/>
          <w:color w:val="auto"/>
          <w:kern w:val="0"/>
          <w:szCs w:val="21"/>
        </w:rPr>
      </w:pPr>
    </w:p>
    <w:p>
      <w:pPr>
        <w:adjustRightInd w:val="0"/>
        <w:snapToGrid w:val="0"/>
        <w:rPr>
          <w:rFonts w:ascii="宋体" w:hAnsi="宋体" w:cs="宋体"/>
          <w:color w:val="auto"/>
          <w:kern w:val="0"/>
          <w:szCs w:val="21"/>
          <w:u w:val="single"/>
        </w:rPr>
      </w:pPr>
      <w:r>
        <w:rPr>
          <w:rFonts w:hint="eastAsia" w:ascii="宋体" w:hAnsi="宋体" w:cs="宋体"/>
          <w:color w:val="auto"/>
          <w:kern w:val="0"/>
          <w:szCs w:val="21"/>
        </w:rPr>
        <w:t>部门负责人：×××  签名：</w:t>
      </w:r>
    </w:p>
    <w:p>
      <w:pPr>
        <w:adjustRightInd w:val="0"/>
        <w:snapToGrid w:val="0"/>
        <w:rPr>
          <w:rFonts w:ascii="宋体" w:hAnsi="宋体" w:cs="宋体"/>
          <w:color w:val="auto"/>
          <w:kern w:val="0"/>
          <w:szCs w:val="21"/>
        </w:rPr>
      </w:pPr>
    </w:p>
    <w:p>
      <w:pPr>
        <w:adjustRightInd w:val="0"/>
        <w:snapToGrid w:val="0"/>
        <w:rPr>
          <w:rFonts w:ascii="宋体" w:hAnsi="宋体" w:cs="宋体"/>
          <w:color w:val="auto"/>
          <w:kern w:val="0"/>
          <w:szCs w:val="21"/>
        </w:rPr>
      </w:pPr>
      <w:r>
        <w:rPr>
          <w:rFonts w:hint="eastAsia" w:ascii="宋体" w:hAnsi="宋体" w:cs="宋体"/>
          <w:color w:val="auto"/>
          <w:kern w:val="0"/>
          <w:szCs w:val="21"/>
        </w:rPr>
        <w:t>日期：      年    月    日</w:t>
      </w:r>
    </w:p>
    <w:p>
      <w:pPr>
        <w:adjustRightInd w:val="0"/>
        <w:snapToGrid w:val="0"/>
        <w:rPr>
          <w:rFonts w:ascii="宋体" w:hAnsi="宋体" w:cs="宋体"/>
          <w:color w:val="auto"/>
          <w:kern w:val="0"/>
          <w:szCs w:val="21"/>
        </w:rPr>
      </w:pPr>
    </w:p>
    <w:p>
      <w:pPr>
        <w:spacing w:line="560" w:lineRule="exact"/>
        <w:rPr>
          <w:rFonts w:ascii="仿宋_GB2312" w:eastAsia="仿宋_GB2312"/>
          <w:color w:val="auto"/>
          <w:sz w:val="32"/>
          <w:szCs w:val="32"/>
        </w:rPr>
      </w:pPr>
      <w:r>
        <w:rPr>
          <w:rFonts w:ascii="宋体" w:hAnsi="宋体"/>
          <w:b/>
          <w:color w:val="auto"/>
          <w:szCs w:val="21"/>
        </w:rPr>
        <w:br w:type="page"/>
      </w:r>
      <w:r>
        <w:rPr>
          <w:rFonts w:hint="eastAsia" w:ascii="仿宋_GB2312" w:eastAsia="仿宋_GB2312"/>
          <w:color w:val="auto"/>
          <w:sz w:val="32"/>
          <w:szCs w:val="32"/>
        </w:rPr>
        <w:t>附件二</w:t>
      </w:r>
    </w:p>
    <w:tbl>
      <w:tblPr>
        <w:tblStyle w:val="55"/>
        <w:tblW w:w="9366" w:type="dxa"/>
        <w:jc w:val="center"/>
        <w:tblLayout w:type="fixed"/>
        <w:tblCellMar>
          <w:top w:w="0" w:type="dxa"/>
          <w:left w:w="108" w:type="dxa"/>
          <w:bottom w:w="0" w:type="dxa"/>
          <w:right w:w="108" w:type="dxa"/>
        </w:tblCellMar>
      </w:tblPr>
      <w:tblGrid>
        <w:gridCol w:w="460"/>
        <w:gridCol w:w="1393"/>
        <w:gridCol w:w="709"/>
        <w:gridCol w:w="2551"/>
        <w:gridCol w:w="3261"/>
        <w:gridCol w:w="992"/>
      </w:tblGrid>
      <w:tr>
        <w:tblPrEx>
          <w:tblCellMar>
            <w:top w:w="0" w:type="dxa"/>
            <w:left w:w="108" w:type="dxa"/>
            <w:bottom w:w="0" w:type="dxa"/>
            <w:right w:w="108" w:type="dxa"/>
          </w:tblCellMar>
        </w:tblPrEx>
        <w:trPr>
          <w:trHeight w:val="795" w:hRule="atLeast"/>
          <w:jc w:val="center"/>
        </w:trPr>
        <w:tc>
          <w:tcPr>
            <w:tcW w:w="9366" w:type="dxa"/>
            <w:gridSpan w:val="6"/>
            <w:tcBorders>
              <w:top w:val="nil"/>
              <w:left w:val="nil"/>
              <w:bottom w:val="nil"/>
              <w:right w:val="nil"/>
            </w:tcBorders>
            <w:noWrap/>
            <w:vAlign w:val="center"/>
          </w:tcPr>
          <w:p>
            <w:pPr>
              <w:widowControl/>
              <w:jc w:val="center"/>
              <w:rPr>
                <w:rFonts w:ascii="仿宋_GB2312" w:hAnsi="宋体" w:eastAsia="仿宋_GB2312"/>
                <w:color w:val="auto"/>
                <w:sz w:val="28"/>
                <w:szCs w:val="28"/>
              </w:rPr>
            </w:pPr>
            <w:r>
              <w:rPr>
                <w:rFonts w:hint="eastAsia" w:ascii="仿宋_GB2312" w:hAnsi="宋体" w:eastAsia="仿宋_GB2312"/>
                <w:color w:val="auto"/>
                <w:sz w:val="28"/>
                <w:szCs w:val="28"/>
              </w:rPr>
              <w:t>初步设计阶段设计合同履约评价表</w:t>
            </w:r>
          </w:p>
        </w:tc>
      </w:tr>
      <w:tr>
        <w:tblPrEx>
          <w:tblCellMar>
            <w:top w:w="0" w:type="dxa"/>
            <w:left w:w="108" w:type="dxa"/>
            <w:bottom w:w="0" w:type="dxa"/>
            <w:right w:w="108" w:type="dxa"/>
          </w:tblCellMar>
        </w:tblPrEx>
        <w:trPr>
          <w:jc w:val="center"/>
        </w:trPr>
        <w:tc>
          <w:tcPr>
            <w:tcW w:w="4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b/>
                <w:bCs/>
                <w:color w:val="auto"/>
                <w:kern w:val="0"/>
                <w:szCs w:val="21"/>
              </w:rPr>
            </w:pPr>
            <w:r>
              <w:rPr>
                <w:rFonts w:hint="eastAsia" w:ascii="宋体" w:hAnsi="宋体" w:cs="宋体"/>
                <w:b/>
                <w:bCs/>
                <w:color w:val="auto"/>
                <w:kern w:val="0"/>
                <w:szCs w:val="21"/>
              </w:rPr>
              <w:t>序号</w:t>
            </w:r>
          </w:p>
        </w:tc>
        <w:tc>
          <w:tcPr>
            <w:tcW w:w="1393"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b/>
                <w:bCs/>
                <w:color w:val="auto"/>
                <w:kern w:val="0"/>
                <w:szCs w:val="21"/>
              </w:rPr>
            </w:pPr>
            <w:r>
              <w:rPr>
                <w:rFonts w:hint="eastAsia" w:ascii="宋体" w:hAnsi="宋体" w:cs="宋体"/>
                <w:b/>
                <w:bCs/>
                <w:color w:val="auto"/>
                <w:kern w:val="0"/>
                <w:szCs w:val="21"/>
              </w:rPr>
              <w:t>内容</w:t>
            </w:r>
          </w:p>
        </w:tc>
        <w:tc>
          <w:tcPr>
            <w:tcW w:w="709"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b/>
                <w:bCs/>
                <w:color w:val="auto"/>
                <w:kern w:val="0"/>
                <w:szCs w:val="21"/>
              </w:rPr>
            </w:pPr>
            <w:r>
              <w:rPr>
                <w:rFonts w:hint="eastAsia" w:ascii="宋体" w:hAnsi="宋体" w:cs="宋体"/>
                <w:b/>
                <w:bCs/>
                <w:color w:val="auto"/>
                <w:kern w:val="0"/>
                <w:szCs w:val="21"/>
              </w:rPr>
              <w:t>单项</w:t>
            </w:r>
          </w:p>
          <w:p>
            <w:pPr>
              <w:widowControl/>
              <w:jc w:val="center"/>
              <w:rPr>
                <w:rFonts w:ascii="宋体" w:hAnsi="宋体" w:cs="宋体"/>
                <w:b/>
                <w:bCs/>
                <w:color w:val="auto"/>
                <w:kern w:val="0"/>
                <w:szCs w:val="21"/>
              </w:rPr>
            </w:pPr>
            <w:r>
              <w:rPr>
                <w:rFonts w:hint="eastAsia" w:ascii="宋体" w:hAnsi="宋体" w:cs="宋体"/>
                <w:b/>
                <w:bCs/>
                <w:color w:val="auto"/>
                <w:kern w:val="0"/>
                <w:szCs w:val="21"/>
              </w:rPr>
              <w:t>分值</w:t>
            </w:r>
          </w:p>
        </w:tc>
        <w:tc>
          <w:tcPr>
            <w:tcW w:w="2551"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b/>
                <w:bCs/>
                <w:color w:val="auto"/>
                <w:kern w:val="0"/>
                <w:szCs w:val="21"/>
              </w:rPr>
            </w:pPr>
            <w:r>
              <w:rPr>
                <w:rFonts w:hint="eastAsia" w:ascii="宋体" w:hAnsi="宋体" w:cs="宋体"/>
                <w:b/>
                <w:bCs/>
                <w:color w:val="auto"/>
                <w:kern w:val="0"/>
                <w:szCs w:val="21"/>
              </w:rPr>
              <w:t>评价指标</w:t>
            </w:r>
          </w:p>
        </w:tc>
        <w:tc>
          <w:tcPr>
            <w:tcW w:w="3261"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b/>
                <w:bCs/>
                <w:color w:val="auto"/>
                <w:kern w:val="0"/>
                <w:szCs w:val="21"/>
              </w:rPr>
            </w:pPr>
            <w:r>
              <w:rPr>
                <w:rFonts w:hint="eastAsia" w:ascii="宋体" w:hAnsi="宋体" w:cs="宋体"/>
                <w:b/>
                <w:bCs/>
                <w:color w:val="auto"/>
                <w:kern w:val="0"/>
                <w:szCs w:val="21"/>
              </w:rPr>
              <w:t>评分标准</w:t>
            </w:r>
          </w:p>
        </w:tc>
        <w:tc>
          <w:tcPr>
            <w:tcW w:w="992"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auto"/>
                <w:kern w:val="0"/>
                <w:szCs w:val="21"/>
              </w:rPr>
            </w:pPr>
            <w:r>
              <w:rPr>
                <w:rFonts w:hint="eastAsia" w:ascii="宋体" w:hAnsi="宋体" w:cs="宋体"/>
                <w:color w:val="auto"/>
                <w:kern w:val="0"/>
                <w:szCs w:val="21"/>
              </w:rPr>
              <w:t>得分</w:t>
            </w:r>
          </w:p>
        </w:tc>
      </w:tr>
      <w:tr>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ign w:val="center"/>
          </w:tcPr>
          <w:p>
            <w:pPr>
              <w:widowControl/>
              <w:jc w:val="center"/>
              <w:rPr>
                <w:color w:val="auto"/>
                <w:kern w:val="0"/>
                <w:szCs w:val="21"/>
              </w:rPr>
            </w:pPr>
            <w:r>
              <w:rPr>
                <w:rFonts w:hint="eastAsia" w:ascii="宋体" w:hAnsi="宋体"/>
                <w:color w:val="auto"/>
                <w:kern w:val="0"/>
                <w:szCs w:val="21"/>
              </w:rPr>
              <w:t>一</w:t>
            </w:r>
          </w:p>
        </w:tc>
        <w:tc>
          <w:tcPr>
            <w:tcW w:w="1393" w:type="dxa"/>
            <w:tcBorders>
              <w:top w:val="nil"/>
              <w:left w:val="nil"/>
              <w:bottom w:val="single" w:color="auto" w:sz="4" w:space="0"/>
              <w:right w:val="single" w:color="auto" w:sz="4" w:space="0"/>
            </w:tcBorders>
            <w:noWrap/>
            <w:vAlign w:val="center"/>
          </w:tcPr>
          <w:p>
            <w:pPr>
              <w:widowControl/>
              <w:jc w:val="center"/>
              <w:rPr>
                <w:color w:val="auto"/>
                <w:kern w:val="0"/>
                <w:szCs w:val="21"/>
              </w:rPr>
            </w:pPr>
            <w:r>
              <w:rPr>
                <w:rFonts w:hint="eastAsia" w:ascii="宋体" w:hAnsi="宋体"/>
                <w:color w:val="auto"/>
                <w:kern w:val="0"/>
                <w:szCs w:val="21"/>
              </w:rPr>
              <w:t>人员配备</w:t>
            </w:r>
          </w:p>
        </w:tc>
        <w:tc>
          <w:tcPr>
            <w:tcW w:w="709" w:type="dxa"/>
            <w:tcBorders>
              <w:top w:val="nil"/>
              <w:left w:val="nil"/>
              <w:bottom w:val="single" w:color="auto" w:sz="4" w:space="0"/>
              <w:right w:val="single" w:color="auto" w:sz="4" w:space="0"/>
            </w:tcBorders>
            <w:noWrap/>
            <w:vAlign w:val="center"/>
          </w:tcPr>
          <w:p>
            <w:pPr>
              <w:widowControl/>
              <w:jc w:val="center"/>
              <w:rPr>
                <w:color w:val="auto"/>
                <w:kern w:val="0"/>
                <w:szCs w:val="21"/>
              </w:rPr>
            </w:pPr>
            <w:r>
              <w:rPr>
                <w:color w:val="auto"/>
                <w:kern w:val="0"/>
                <w:szCs w:val="21"/>
              </w:rPr>
              <w:t>10</w:t>
            </w:r>
          </w:p>
        </w:tc>
        <w:tc>
          <w:tcPr>
            <w:tcW w:w="2551" w:type="dxa"/>
            <w:tcBorders>
              <w:top w:val="nil"/>
              <w:left w:val="nil"/>
              <w:bottom w:val="single" w:color="auto" w:sz="4" w:space="0"/>
              <w:right w:val="single" w:color="auto" w:sz="4" w:space="0"/>
            </w:tcBorders>
            <w:noWrap/>
            <w:vAlign w:val="center"/>
          </w:tcPr>
          <w:p>
            <w:pPr>
              <w:widowControl/>
              <w:jc w:val="center"/>
              <w:rPr>
                <w:b/>
                <w:bCs/>
                <w:color w:val="auto"/>
                <w:kern w:val="0"/>
                <w:szCs w:val="21"/>
              </w:rPr>
            </w:pPr>
            <w:r>
              <w:rPr>
                <w:b/>
                <w:bCs/>
                <w:color w:val="auto"/>
                <w:kern w:val="0"/>
                <w:szCs w:val="21"/>
              </w:rPr>
              <w:t>　</w:t>
            </w:r>
          </w:p>
        </w:tc>
        <w:tc>
          <w:tcPr>
            <w:tcW w:w="3261" w:type="dxa"/>
            <w:tcBorders>
              <w:top w:val="nil"/>
              <w:left w:val="nil"/>
              <w:bottom w:val="single" w:color="auto" w:sz="4" w:space="0"/>
              <w:right w:val="single" w:color="auto" w:sz="4" w:space="0"/>
            </w:tcBorders>
            <w:noWrap/>
            <w:vAlign w:val="center"/>
          </w:tcPr>
          <w:p>
            <w:pPr>
              <w:widowControl/>
              <w:jc w:val="center"/>
              <w:rPr>
                <w:b/>
                <w:bCs/>
                <w:color w:val="auto"/>
                <w:kern w:val="0"/>
                <w:szCs w:val="21"/>
              </w:rPr>
            </w:pPr>
            <w:r>
              <w:rPr>
                <w:b/>
                <w:bCs/>
                <w:color w:val="auto"/>
                <w:kern w:val="0"/>
                <w:szCs w:val="21"/>
              </w:rPr>
              <w:t>　</w:t>
            </w:r>
          </w:p>
        </w:tc>
        <w:tc>
          <w:tcPr>
            <w:tcW w:w="992" w:type="dxa"/>
            <w:tcBorders>
              <w:top w:val="nil"/>
              <w:left w:val="nil"/>
              <w:bottom w:val="single" w:color="auto" w:sz="4" w:space="0"/>
              <w:right w:val="single" w:color="auto" w:sz="4" w:space="0"/>
            </w:tcBorders>
            <w:noWrap/>
            <w:vAlign w:val="center"/>
          </w:tcPr>
          <w:p>
            <w:pPr>
              <w:widowControl/>
              <w:jc w:val="center"/>
              <w:rPr>
                <w:color w:val="auto"/>
                <w:kern w:val="0"/>
                <w:szCs w:val="21"/>
              </w:rPr>
            </w:pPr>
            <w:r>
              <w:rPr>
                <w:color w:val="auto"/>
                <w:kern w:val="0"/>
                <w:szCs w:val="21"/>
              </w:rPr>
              <w:t>　</w:t>
            </w:r>
          </w:p>
        </w:tc>
      </w:tr>
      <w:tr>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ign w:val="center"/>
          </w:tcPr>
          <w:p>
            <w:pPr>
              <w:widowControl/>
              <w:jc w:val="center"/>
              <w:rPr>
                <w:color w:val="auto"/>
                <w:kern w:val="0"/>
                <w:szCs w:val="21"/>
              </w:rPr>
            </w:pPr>
            <w:r>
              <w:rPr>
                <w:color w:val="auto"/>
                <w:kern w:val="0"/>
                <w:szCs w:val="21"/>
              </w:rPr>
              <w:t>1</w:t>
            </w:r>
          </w:p>
        </w:tc>
        <w:tc>
          <w:tcPr>
            <w:tcW w:w="1393" w:type="dxa"/>
            <w:tcBorders>
              <w:top w:val="nil"/>
              <w:left w:val="nil"/>
              <w:bottom w:val="single" w:color="auto" w:sz="4" w:space="0"/>
              <w:right w:val="nil"/>
            </w:tcBorders>
            <w:noWrap/>
            <w:vAlign w:val="center"/>
          </w:tcPr>
          <w:p>
            <w:pPr>
              <w:widowControl/>
              <w:jc w:val="center"/>
              <w:rPr>
                <w:color w:val="auto"/>
                <w:kern w:val="0"/>
                <w:szCs w:val="21"/>
              </w:rPr>
            </w:pPr>
            <w:r>
              <w:rPr>
                <w:rFonts w:hint="eastAsia" w:ascii="宋体" w:hAnsi="宋体"/>
                <w:color w:val="auto"/>
                <w:kern w:val="0"/>
                <w:szCs w:val="21"/>
              </w:rPr>
              <w:t>项目负责人</w:t>
            </w:r>
          </w:p>
        </w:tc>
        <w:tc>
          <w:tcPr>
            <w:tcW w:w="709" w:type="dxa"/>
            <w:tcBorders>
              <w:top w:val="nil"/>
              <w:left w:val="single" w:color="auto" w:sz="4" w:space="0"/>
              <w:bottom w:val="single" w:color="auto" w:sz="4" w:space="0"/>
              <w:right w:val="single" w:color="auto" w:sz="4" w:space="0"/>
            </w:tcBorders>
            <w:noWrap/>
            <w:vAlign w:val="center"/>
          </w:tcPr>
          <w:p>
            <w:pPr>
              <w:widowControl/>
              <w:jc w:val="center"/>
              <w:rPr>
                <w:color w:val="auto"/>
                <w:kern w:val="0"/>
                <w:szCs w:val="21"/>
              </w:rPr>
            </w:pPr>
            <w:r>
              <w:rPr>
                <w:rFonts w:hint="eastAsia"/>
                <w:color w:val="auto"/>
                <w:kern w:val="0"/>
                <w:szCs w:val="21"/>
              </w:rPr>
              <w:t>5</w:t>
            </w:r>
          </w:p>
        </w:tc>
        <w:tc>
          <w:tcPr>
            <w:tcW w:w="2551" w:type="dxa"/>
            <w:tcBorders>
              <w:top w:val="nil"/>
              <w:left w:val="nil"/>
              <w:bottom w:val="single" w:color="auto" w:sz="4" w:space="0"/>
              <w:right w:val="single" w:color="auto" w:sz="4" w:space="0"/>
            </w:tcBorders>
            <w:noWrap/>
            <w:vAlign w:val="center"/>
          </w:tcPr>
          <w:p>
            <w:pPr>
              <w:widowControl/>
              <w:jc w:val="left"/>
              <w:rPr>
                <w:color w:val="auto"/>
                <w:kern w:val="0"/>
                <w:szCs w:val="21"/>
              </w:rPr>
            </w:pPr>
            <w:r>
              <w:rPr>
                <w:rFonts w:hint="eastAsia" w:ascii="宋体" w:hAnsi="宋体"/>
                <w:color w:val="auto"/>
                <w:kern w:val="0"/>
                <w:szCs w:val="21"/>
              </w:rPr>
              <w:t>是否按合同到位</w:t>
            </w:r>
          </w:p>
        </w:tc>
        <w:tc>
          <w:tcPr>
            <w:tcW w:w="3261" w:type="dxa"/>
            <w:tcBorders>
              <w:top w:val="nil"/>
              <w:left w:val="nil"/>
              <w:bottom w:val="single" w:color="auto" w:sz="4" w:space="0"/>
              <w:right w:val="single" w:color="auto" w:sz="4" w:space="0"/>
            </w:tcBorders>
            <w:noWrap/>
            <w:vAlign w:val="center"/>
          </w:tcPr>
          <w:p>
            <w:pPr>
              <w:widowControl/>
              <w:jc w:val="left"/>
              <w:rPr>
                <w:rFonts w:ascii="宋体" w:hAnsi="宋体"/>
                <w:color w:val="auto"/>
                <w:kern w:val="0"/>
                <w:szCs w:val="21"/>
              </w:rPr>
            </w:pPr>
            <w:r>
              <w:rPr>
                <w:rFonts w:hint="eastAsia" w:ascii="宋体" w:hAnsi="宋体"/>
                <w:color w:val="auto"/>
                <w:kern w:val="0"/>
                <w:szCs w:val="21"/>
              </w:rPr>
              <w:t>未按合同到位且未经甲方同意，每自行更换一次</w:t>
            </w:r>
            <w:r>
              <w:rPr>
                <w:rFonts w:hint="eastAsia"/>
                <w:color w:val="auto"/>
                <w:kern w:val="0"/>
                <w:szCs w:val="21"/>
              </w:rPr>
              <w:t>，</w:t>
            </w:r>
            <w:r>
              <w:rPr>
                <w:rFonts w:hint="eastAsia" w:ascii="宋体" w:hAnsi="宋体"/>
                <w:color w:val="auto"/>
                <w:kern w:val="0"/>
                <w:szCs w:val="21"/>
              </w:rPr>
              <w:t>扣</w:t>
            </w:r>
            <w:r>
              <w:rPr>
                <w:rFonts w:hint="eastAsia"/>
                <w:color w:val="auto"/>
                <w:kern w:val="0"/>
                <w:szCs w:val="21"/>
              </w:rPr>
              <w:t>2</w:t>
            </w:r>
            <w:r>
              <w:rPr>
                <w:rFonts w:hint="eastAsia" w:ascii="宋体" w:hAnsi="宋体"/>
                <w:color w:val="auto"/>
                <w:kern w:val="0"/>
                <w:szCs w:val="21"/>
              </w:rPr>
              <w:t>分；</w:t>
            </w:r>
          </w:p>
          <w:p>
            <w:pPr>
              <w:widowControl/>
              <w:jc w:val="left"/>
              <w:rPr>
                <w:color w:val="auto"/>
                <w:kern w:val="0"/>
                <w:szCs w:val="21"/>
              </w:rPr>
            </w:pPr>
            <w:r>
              <w:rPr>
                <w:rFonts w:hint="eastAsia" w:ascii="宋体" w:hAnsi="宋体"/>
                <w:color w:val="auto"/>
                <w:kern w:val="0"/>
                <w:szCs w:val="21"/>
              </w:rPr>
              <w:t>缺席甲方要求参加的重要会议，每次扣1分。</w:t>
            </w:r>
          </w:p>
        </w:tc>
        <w:tc>
          <w:tcPr>
            <w:tcW w:w="992" w:type="dxa"/>
            <w:tcBorders>
              <w:top w:val="nil"/>
              <w:left w:val="nil"/>
              <w:bottom w:val="single" w:color="auto" w:sz="4" w:space="0"/>
              <w:right w:val="single" w:color="auto" w:sz="4" w:space="0"/>
            </w:tcBorders>
            <w:noWrap/>
            <w:vAlign w:val="center"/>
          </w:tcPr>
          <w:p>
            <w:pPr>
              <w:widowControl/>
              <w:jc w:val="center"/>
              <w:rPr>
                <w:color w:val="auto"/>
                <w:kern w:val="0"/>
                <w:szCs w:val="21"/>
              </w:rPr>
            </w:pPr>
            <w:r>
              <w:rPr>
                <w:color w:val="auto"/>
                <w:kern w:val="0"/>
                <w:szCs w:val="21"/>
              </w:rPr>
              <w:t>　</w:t>
            </w:r>
          </w:p>
        </w:tc>
      </w:tr>
      <w:tr>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ign w:val="center"/>
          </w:tcPr>
          <w:p>
            <w:pPr>
              <w:widowControl/>
              <w:jc w:val="center"/>
              <w:rPr>
                <w:color w:val="auto"/>
                <w:kern w:val="0"/>
                <w:szCs w:val="21"/>
              </w:rPr>
            </w:pPr>
            <w:r>
              <w:rPr>
                <w:rFonts w:hint="eastAsia"/>
                <w:color w:val="auto"/>
                <w:kern w:val="0"/>
                <w:szCs w:val="21"/>
              </w:rPr>
              <w:t>2</w:t>
            </w:r>
          </w:p>
        </w:tc>
        <w:tc>
          <w:tcPr>
            <w:tcW w:w="1393" w:type="dxa"/>
            <w:tcBorders>
              <w:top w:val="single" w:color="auto" w:sz="4" w:space="0"/>
              <w:left w:val="nil"/>
              <w:bottom w:val="nil"/>
              <w:right w:val="nil"/>
            </w:tcBorders>
            <w:noWrap/>
            <w:vAlign w:val="center"/>
          </w:tcPr>
          <w:p>
            <w:pPr>
              <w:widowControl/>
              <w:jc w:val="left"/>
              <w:rPr>
                <w:rFonts w:ascii="宋体" w:hAnsi="宋体"/>
                <w:color w:val="auto"/>
                <w:kern w:val="0"/>
                <w:szCs w:val="21"/>
              </w:rPr>
            </w:pPr>
            <w:r>
              <w:rPr>
                <w:rFonts w:hint="eastAsia" w:ascii="宋体" w:hAnsi="宋体"/>
                <w:color w:val="auto"/>
                <w:kern w:val="0"/>
                <w:szCs w:val="21"/>
              </w:rPr>
              <w:t>各专业负责人</w:t>
            </w:r>
          </w:p>
        </w:tc>
        <w:tc>
          <w:tcPr>
            <w:tcW w:w="709" w:type="dxa"/>
            <w:tcBorders>
              <w:top w:val="nil"/>
              <w:left w:val="single" w:color="auto" w:sz="4" w:space="0"/>
              <w:bottom w:val="single" w:color="auto" w:sz="4" w:space="0"/>
              <w:right w:val="single" w:color="auto" w:sz="4" w:space="0"/>
            </w:tcBorders>
            <w:noWrap/>
            <w:vAlign w:val="center"/>
          </w:tcPr>
          <w:p>
            <w:pPr>
              <w:widowControl/>
              <w:jc w:val="center"/>
              <w:rPr>
                <w:color w:val="auto"/>
                <w:kern w:val="0"/>
                <w:szCs w:val="21"/>
              </w:rPr>
            </w:pPr>
            <w:r>
              <w:rPr>
                <w:rFonts w:hint="eastAsia"/>
                <w:color w:val="auto"/>
                <w:kern w:val="0"/>
                <w:szCs w:val="21"/>
              </w:rPr>
              <w:t>5</w:t>
            </w:r>
          </w:p>
        </w:tc>
        <w:tc>
          <w:tcPr>
            <w:tcW w:w="2551" w:type="dxa"/>
            <w:tcBorders>
              <w:top w:val="nil"/>
              <w:left w:val="nil"/>
              <w:bottom w:val="single" w:color="auto" w:sz="4" w:space="0"/>
              <w:right w:val="single" w:color="auto" w:sz="4" w:space="0"/>
            </w:tcBorders>
            <w:noWrap/>
            <w:vAlign w:val="center"/>
          </w:tcPr>
          <w:p>
            <w:pPr>
              <w:widowControl/>
              <w:jc w:val="left"/>
              <w:rPr>
                <w:rFonts w:ascii="宋体" w:hAnsi="宋体"/>
                <w:color w:val="auto"/>
                <w:kern w:val="0"/>
                <w:szCs w:val="21"/>
              </w:rPr>
            </w:pPr>
            <w:r>
              <w:rPr>
                <w:rFonts w:hint="eastAsia" w:ascii="宋体" w:hAnsi="宋体"/>
                <w:color w:val="auto"/>
                <w:kern w:val="0"/>
                <w:szCs w:val="21"/>
              </w:rPr>
              <w:t>人员是否稳定无更换</w:t>
            </w:r>
          </w:p>
        </w:tc>
        <w:tc>
          <w:tcPr>
            <w:tcW w:w="3261" w:type="dxa"/>
            <w:tcBorders>
              <w:top w:val="nil"/>
              <w:left w:val="nil"/>
              <w:bottom w:val="single" w:color="auto" w:sz="4" w:space="0"/>
              <w:right w:val="single" w:color="auto" w:sz="4" w:space="0"/>
            </w:tcBorders>
            <w:noWrap/>
            <w:vAlign w:val="center"/>
          </w:tcPr>
          <w:p>
            <w:pPr>
              <w:widowControl/>
              <w:jc w:val="left"/>
              <w:rPr>
                <w:rFonts w:ascii="宋体" w:hAnsi="宋体"/>
                <w:color w:val="auto"/>
                <w:kern w:val="0"/>
                <w:szCs w:val="21"/>
              </w:rPr>
            </w:pPr>
            <w:r>
              <w:rPr>
                <w:rFonts w:hint="eastAsia" w:ascii="宋体" w:hAnsi="宋体"/>
                <w:color w:val="auto"/>
                <w:kern w:val="0"/>
                <w:szCs w:val="21"/>
              </w:rPr>
              <w:t>未按合同到位且未经甲方同意，每自行更换一次</w:t>
            </w:r>
            <w:r>
              <w:rPr>
                <w:rFonts w:hint="eastAsia"/>
                <w:color w:val="auto"/>
                <w:kern w:val="0"/>
                <w:szCs w:val="21"/>
              </w:rPr>
              <w:t>，</w:t>
            </w:r>
            <w:r>
              <w:rPr>
                <w:rFonts w:hint="eastAsia" w:ascii="宋体" w:hAnsi="宋体"/>
                <w:color w:val="auto"/>
                <w:kern w:val="0"/>
                <w:szCs w:val="21"/>
              </w:rPr>
              <w:t>扣</w:t>
            </w:r>
            <w:r>
              <w:rPr>
                <w:rFonts w:hint="eastAsia"/>
                <w:color w:val="auto"/>
                <w:kern w:val="0"/>
                <w:szCs w:val="21"/>
              </w:rPr>
              <w:t>2</w:t>
            </w:r>
            <w:r>
              <w:rPr>
                <w:rFonts w:hint="eastAsia" w:ascii="宋体" w:hAnsi="宋体"/>
                <w:color w:val="auto"/>
                <w:kern w:val="0"/>
                <w:szCs w:val="21"/>
              </w:rPr>
              <w:t>分；</w:t>
            </w:r>
          </w:p>
          <w:p>
            <w:pPr>
              <w:widowControl/>
              <w:jc w:val="left"/>
              <w:rPr>
                <w:color w:val="auto"/>
                <w:kern w:val="0"/>
                <w:szCs w:val="21"/>
              </w:rPr>
            </w:pPr>
            <w:r>
              <w:rPr>
                <w:rFonts w:hint="eastAsia" w:ascii="宋体" w:hAnsi="宋体"/>
                <w:color w:val="auto"/>
                <w:kern w:val="0"/>
                <w:szCs w:val="21"/>
              </w:rPr>
              <w:t>缺席甲方要求参加的有关会议，每次扣1分。</w:t>
            </w:r>
          </w:p>
        </w:tc>
        <w:tc>
          <w:tcPr>
            <w:tcW w:w="992" w:type="dxa"/>
            <w:tcBorders>
              <w:top w:val="nil"/>
              <w:left w:val="nil"/>
              <w:bottom w:val="single" w:color="auto" w:sz="4" w:space="0"/>
              <w:right w:val="single" w:color="auto" w:sz="4" w:space="0"/>
            </w:tcBorders>
            <w:noWrap/>
            <w:vAlign w:val="center"/>
          </w:tcPr>
          <w:p>
            <w:pPr>
              <w:widowControl/>
              <w:jc w:val="center"/>
              <w:rPr>
                <w:color w:val="auto"/>
                <w:kern w:val="0"/>
                <w:szCs w:val="21"/>
              </w:rPr>
            </w:pPr>
          </w:p>
        </w:tc>
      </w:tr>
      <w:tr>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ign w:val="center"/>
          </w:tcPr>
          <w:p>
            <w:pPr>
              <w:widowControl/>
              <w:jc w:val="center"/>
              <w:rPr>
                <w:color w:val="auto"/>
                <w:kern w:val="0"/>
                <w:szCs w:val="21"/>
              </w:rPr>
            </w:pPr>
            <w:r>
              <w:rPr>
                <w:rFonts w:hint="eastAsia" w:ascii="宋体" w:hAnsi="宋体"/>
                <w:color w:val="auto"/>
                <w:kern w:val="0"/>
                <w:szCs w:val="21"/>
              </w:rPr>
              <w:t>二</w:t>
            </w:r>
          </w:p>
        </w:tc>
        <w:tc>
          <w:tcPr>
            <w:tcW w:w="1393" w:type="dxa"/>
            <w:tcBorders>
              <w:top w:val="single" w:color="auto" w:sz="4" w:space="0"/>
              <w:left w:val="nil"/>
              <w:bottom w:val="single" w:color="auto" w:sz="4" w:space="0"/>
              <w:right w:val="single" w:color="auto" w:sz="4" w:space="0"/>
            </w:tcBorders>
            <w:noWrap/>
            <w:vAlign w:val="center"/>
          </w:tcPr>
          <w:p>
            <w:pPr>
              <w:widowControl/>
              <w:jc w:val="left"/>
              <w:rPr>
                <w:color w:val="auto"/>
                <w:kern w:val="0"/>
                <w:szCs w:val="21"/>
              </w:rPr>
            </w:pPr>
            <w:r>
              <w:rPr>
                <w:rFonts w:hint="eastAsia" w:ascii="宋体" w:hAnsi="宋体"/>
                <w:color w:val="auto"/>
                <w:kern w:val="0"/>
                <w:szCs w:val="21"/>
              </w:rPr>
              <w:t>能力水平及履约表现</w:t>
            </w:r>
          </w:p>
        </w:tc>
        <w:tc>
          <w:tcPr>
            <w:tcW w:w="709" w:type="dxa"/>
            <w:tcBorders>
              <w:top w:val="nil"/>
              <w:left w:val="nil"/>
              <w:bottom w:val="single" w:color="auto" w:sz="4" w:space="0"/>
              <w:right w:val="single" w:color="auto" w:sz="4" w:space="0"/>
            </w:tcBorders>
            <w:noWrap/>
            <w:vAlign w:val="center"/>
          </w:tcPr>
          <w:p>
            <w:pPr>
              <w:widowControl/>
              <w:jc w:val="center"/>
              <w:rPr>
                <w:color w:val="auto"/>
                <w:kern w:val="0"/>
                <w:szCs w:val="21"/>
              </w:rPr>
            </w:pPr>
            <w:r>
              <w:rPr>
                <w:rFonts w:hint="eastAsia"/>
                <w:color w:val="auto"/>
                <w:kern w:val="0"/>
                <w:szCs w:val="21"/>
              </w:rPr>
              <w:t>10</w:t>
            </w:r>
          </w:p>
        </w:tc>
        <w:tc>
          <w:tcPr>
            <w:tcW w:w="2551" w:type="dxa"/>
            <w:tcBorders>
              <w:top w:val="nil"/>
              <w:left w:val="nil"/>
              <w:bottom w:val="single" w:color="auto" w:sz="4" w:space="0"/>
              <w:right w:val="single" w:color="auto" w:sz="4" w:space="0"/>
            </w:tcBorders>
            <w:noWrap/>
            <w:vAlign w:val="center"/>
          </w:tcPr>
          <w:p>
            <w:pPr>
              <w:widowControl/>
              <w:jc w:val="left"/>
              <w:rPr>
                <w:color w:val="auto"/>
                <w:kern w:val="0"/>
                <w:szCs w:val="21"/>
              </w:rPr>
            </w:pPr>
            <w:r>
              <w:rPr>
                <w:color w:val="auto"/>
                <w:kern w:val="0"/>
                <w:szCs w:val="21"/>
              </w:rPr>
              <w:t>　</w:t>
            </w:r>
          </w:p>
        </w:tc>
        <w:tc>
          <w:tcPr>
            <w:tcW w:w="3261" w:type="dxa"/>
            <w:tcBorders>
              <w:top w:val="nil"/>
              <w:left w:val="nil"/>
              <w:bottom w:val="single" w:color="auto" w:sz="4" w:space="0"/>
              <w:right w:val="single" w:color="auto" w:sz="4" w:space="0"/>
            </w:tcBorders>
            <w:noWrap/>
            <w:vAlign w:val="center"/>
          </w:tcPr>
          <w:p>
            <w:pPr>
              <w:widowControl/>
              <w:jc w:val="left"/>
              <w:rPr>
                <w:color w:val="auto"/>
                <w:kern w:val="0"/>
                <w:szCs w:val="21"/>
              </w:rPr>
            </w:pPr>
          </w:p>
        </w:tc>
        <w:tc>
          <w:tcPr>
            <w:tcW w:w="992" w:type="dxa"/>
            <w:tcBorders>
              <w:top w:val="nil"/>
              <w:left w:val="nil"/>
              <w:bottom w:val="single" w:color="auto" w:sz="4" w:space="0"/>
              <w:right w:val="single" w:color="auto" w:sz="4" w:space="0"/>
            </w:tcBorders>
            <w:noWrap/>
            <w:vAlign w:val="center"/>
          </w:tcPr>
          <w:p>
            <w:pPr>
              <w:widowControl/>
              <w:jc w:val="center"/>
              <w:rPr>
                <w:color w:val="auto"/>
                <w:kern w:val="0"/>
                <w:szCs w:val="21"/>
              </w:rPr>
            </w:pPr>
            <w:r>
              <w:rPr>
                <w:color w:val="auto"/>
                <w:kern w:val="0"/>
                <w:szCs w:val="21"/>
              </w:rPr>
              <w:t>　</w:t>
            </w:r>
          </w:p>
        </w:tc>
      </w:tr>
      <w:tr>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ign w:val="center"/>
          </w:tcPr>
          <w:p>
            <w:pPr>
              <w:widowControl/>
              <w:jc w:val="center"/>
              <w:rPr>
                <w:color w:val="auto"/>
                <w:kern w:val="0"/>
                <w:szCs w:val="21"/>
              </w:rPr>
            </w:pPr>
            <w:r>
              <w:rPr>
                <w:rFonts w:hint="eastAsia"/>
                <w:color w:val="auto"/>
                <w:kern w:val="0"/>
                <w:szCs w:val="21"/>
              </w:rPr>
              <w:t>1</w:t>
            </w:r>
          </w:p>
        </w:tc>
        <w:tc>
          <w:tcPr>
            <w:tcW w:w="1393" w:type="dxa"/>
            <w:tcBorders>
              <w:top w:val="nil"/>
              <w:left w:val="nil"/>
              <w:bottom w:val="single" w:color="auto" w:sz="4" w:space="0"/>
              <w:right w:val="single" w:color="auto" w:sz="4" w:space="0"/>
            </w:tcBorders>
            <w:noWrap/>
            <w:vAlign w:val="center"/>
          </w:tcPr>
          <w:p>
            <w:pPr>
              <w:widowControl/>
              <w:jc w:val="left"/>
              <w:rPr>
                <w:color w:val="auto"/>
                <w:kern w:val="0"/>
                <w:szCs w:val="21"/>
              </w:rPr>
            </w:pPr>
            <w:r>
              <w:rPr>
                <w:rFonts w:hint="eastAsia" w:ascii="宋体" w:hAnsi="宋体"/>
                <w:color w:val="auto"/>
                <w:kern w:val="0"/>
                <w:szCs w:val="21"/>
              </w:rPr>
              <w:t>项目负责人</w:t>
            </w:r>
          </w:p>
        </w:tc>
        <w:tc>
          <w:tcPr>
            <w:tcW w:w="709" w:type="dxa"/>
            <w:tcBorders>
              <w:top w:val="nil"/>
              <w:left w:val="nil"/>
              <w:bottom w:val="single" w:color="auto" w:sz="4" w:space="0"/>
              <w:right w:val="single" w:color="auto" w:sz="4" w:space="0"/>
            </w:tcBorders>
            <w:noWrap/>
            <w:vAlign w:val="center"/>
          </w:tcPr>
          <w:p>
            <w:pPr>
              <w:widowControl/>
              <w:jc w:val="center"/>
              <w:rPr>
                <w:color w:val="auto"/>
                <w:kern w:val="0"/>
                <w:szCs w:val="21"/>
              </w:rPr>
            </w:pPr>
            <w:r>
              <w:rPr>
                <w:rFonts w:hint="eastAsia"/>
                <w:color w:val="auto"/>
                <w:kern w:val="0"/>
                <w:szCs w:val="21"/>
              </w:rPr>
              <w:t>5</w:t>
            </w:r>
          </w:p>
        </w:tc>
        <w:tc>
          <w:tcPr>
            <w:tcW w:w="2551" w:type="dxa"/>
            <w:tcBorders>
              <w:top w:val="nil"/>
              <w:left w:val="nil"/>
              <w:bottom w:val="single" w:color="auto" w:sz="4" w:space="0"/>
              <w:right w:val="single" w:color="auto" w:sz="4" w:space="0"/>
            </w:tcBorders>
            <w:noWrap/>
            <w:vAlign w:val="center"/>
          </w:tcPr>
          <w:p>
            <w:pPr>
              <w:widowControl/>
              <w:jc w:val="left"/>
              <w:rPr>
                <w:color w:val="auto"/>
                <w:kern w:val="0"/>
                <w:szCs w:val="21"/>
              </w:rPr>
            </w:pPr>
            <w:r>
              <w:rPr>
                <w:rFonts w:hint="eastAsia" w:ascii="宋体" w:hAnsi="宋体"/>
                <w:color w:val="auto"/>
                <w:kern w:val="0"/>
                <w:szCs w:val="21"/>
              </w:rPr>
              <w:t>是否具有较强的协调组织能力；是否及时发现问题和处理问题；是否能与甲方、使用单位及业务主管部门等相关单位充分沟通</w:t>
            </w:r>
          </w:p>
        </w:tc>
        <w:tc>
          <w:tcPr>
            <w:tcW w:w="3261" w:type="dxa"/>
            <w:tcBorders>
              <w:top w:val="nil"/>
              <w:left w:val="nil"/>
              <w:bottom w:val="single" w:color="auto" w:sz="4" w:space="0"/>
              <w:right w:val="single" w:color="auto" w:sz="4" w:space="0"/>
            </w:tcBorders>
            <w:noWrap/>
            <w:vAlign w:val="center"/>
          </w:tcPr>
          <w:p>
            <w:pPr>
              <w:widowControl/>
              <w:jc w:val="left"/>
              <w:rPr>
                <w:rFonts w:ascii="宋体" w:hAnsi="宋体"/>
                <w:color w:val="auto"/>
                <w:kern w:val="0"/>
                <w:szCs w:val="21"/>
              </w:rPr>
            </w:pPr>
            <w:r>
              <w:rPr>
                <w:color w:val="auto"/>
                <w:kern w:val="0"/>
                <w:szCs w:val="21"/>
              </w:rPr>
              <w:t>1</w:t>
            </w:r>
            <w:r>
              <w:rPr>
                <w:rFonts w:hint="eastAsia" w:ascii="宋体" w:hAnsi="宋体"/>
                <w:color w:val="auto"/>
                <w:kern w:val="0"/>
                <w:szCs w:val="21"/>
              </w:rPr>
              <w:t>、责任心不强、工作协调不到位；</w:t>
            </w:r>
          </w:p>
          <w:p>
            <w:pPr>
              <w:widowControl/>
              <w:jc w:val="left"/>
              <w:rPr>
                <w:rFonts w:ascii="宋体" w:hAnsi="宋体"/>
                <w:color w:val="auto"/>
                <w:kern w:val="0"/>
                <w:szCs w:val="21"/>
              </w:rPr>
            </w:pPr>
            <w:r>
              <w:rPr>
                <w:color w:val="auto"/>
                <w:kern w:val="0"/>
                <w:szCs w:val="21"/>
              </w:rPr>
              <w:t>2</w:t>
            </w:r>
            <w:r>
              <w:rPr>
                <w:rFonts w:hint="eastAsia" w:ascii="宋体" w:hAnsi="宋体"/>
                <w:color w:val="auto"/>
                <w:kern w:val="0"/>
                <w:szCs w:val="21"/>
              </w:rPr>
              <w:t>、发现问题后未及时处理；</w:t>
            </w:r>
          </w:p>
          <w:p>
            <w:pPr>
              <w:widowControl/>
              <w:jc w:val="left"/>
              <w:rPr>
                <w:rFonts w:ascii="宋体" w:hAnsi="宋体"/>
                <w:color w:val="auto"/>
                <w:kern w:val="0"/>
                <w:szCs w:val="21"/>
              </w:rPr>
            </w:pPr>
            <w:r>
              <w:rPr>
                <w:color w:val="auto"/>
                <w:kern w:val="0"/>
                <w:szCs w:val="21"/>
              </w:rPr>
              <w:t>3</w:t>
            </w:r>
            <w:r>
              <w:rPr>
                <w:rFonts w:hint="eastAsia" w:ascii="宋体" w:hAnsi="宋体"/>
                <w:color w:val="auto"/>
                <w:kern w:val="0"/>
                <w:szCs w:val="21"/>
              </w:rPr>
              <w:t>、未与相关参建单位或管理部门及时沟通；</w:t>
            </w:r>
          </w:p>
          <w:p>
            <w:pPr>
              <w:widowControl/>
              <w:jc w:val="left"/>
              <w:rPr>
                <w:rFonts w:ascii="宋体" w:hAnsi="宋体"/>
                <w:color w:val="auto"/>
                <w:kern w:val="0"/>
                <w:szCs w:val="21"/>
              </w:rPr>
            </w:pPr>
            <w:r>
              <w:rPr>
                <w:color w:val="auto"/>
                <w:kern w:val="0"/>
                <w:szCs w:val="21"/>
              </w:rPr>
              <w:t>4</w:t>
            </w:r>
            <w:r>
              <w:rPr>
                <w:rFonts w:hint="eastAsia" w:ascii="宋体" w:hAnsi="宋体"/>
                <w:color w:val="auto"/>
                <w:kern w:val="0"/>
                <w:szCs w:val="21"/>
              </w:rPr>
              <w:t>、未落实甲方的相关要求或会议纪要等文件精神。</w:t>
            </w:r>
          </w:p>
          <w:p>
            <w:pPr>
              <w:widowControl/>
              <w:jc w:val="left"/>
              <w:rPr>
                <w:color w:val="auto"/>
                <w:kern w:val="0"/>
                <w:szCs w:val="21"/>
              </w:rPr>
            </w:pPr>
            <w:r>
              <w:rPr>
                <w:rFonts w:hint="eastAsia" w:ascii="宋体" w:hAnsi="宋体"/>
                <w:color w:val="auto"/>
                <w:kern w:val="0"/>
                <w:szCs w:val="21"/>
              </w:rPr>
              <w:t>以上各项每发生一次扣1分。</w:t>
            </w:r>
          </w:p>
        </w:tc>
        <w:tc>
          <w:tcPr>
            <w:tcW w:w="992" w:type="dxa"/>
            <w:tcBorders>
              <w:top w:val="nil"/>
              <w:left w:val="nil"/>
              <w:bottom w:val="single" w:color="auto" w:sz="4" w:space="0"/>
              <w:right w:val="single" w:color="auto" w:sz="4" w:space="0"/>
            </w:tcBorders>
            <w:noWrap/>
            <w:vAlign w:val="center"/>
          </w:tcPr>
          <w:p>
            <w:pPr>
              <w:widowControl/>
              <w:jc w:val="center"/>
              <w:rPr>
                <w:color w:val="auto"/>
                <w:kern w:val="0"/>
                <w:szCs w:val="21"/>
              </w:rPr>
            </w:pPr>
            <w:r>
              <w:rPr>
                <w:color w:val="auto"/>
                <w:kern w:val="0"/>
                <w:szCs w:val="21"/>
              </w:rPr>
              <w:t>　</w:t>
            </w:r>
          </w:p>
        </w:tc>
      </w:tr>
      <w:tr>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ign w:val="center"/>
          </w:tcPr>
          <w:p>
            <w:pPr>
              <w:widowControl/>
              <w:jc w:val="center"/>
              <w:rPr>
                <w:color w:val="auto"/>
                <w:kern w:val="0"/>
                <w:szCs w:val="21"/>
              </w:rPr>
            </w:pPr>
            <w:r>
              <w:rPr>
                <w:rFonts w:hint="eastAsia"/>
                <w:color w:val="auto"/>
                <w:kern w:val="0"/>
                <w:szCs w:val="21"/>
              </w:rPr>
              <w:t>2</w:t>
            </w:r>
          </w:p>
        </w:tc>
        <w:tc>
          <w:tcPr>
            <w:tcW w:w="1393" w:type="dxa"/>
            <w:tcBorders>
              <w:top w:val="nil"/>
              <w:left w:val="nil"/>
              <w:bottom w:val="single" w:color="auto" w:sz="4" w:space="0"/>
              <w:right w:val="single" w:color="auto" w:sz="4" w:space="0"/>
            </w:tcBorders>
            <w:noWrap/>
            <w:vAlign w:val="center"/>
          </w:tcPr>
          <w:p>
            <w:pPr>
              <w:widowControl/>
              <w:jc w:val="left"/>
              <w:rPr>
                <w:color w:val="auto"/>
                <w:kern w:val="0"/>
                <w:szCs w:val="21"/>
              </w:rPr>
            </w:pPr>
            <w:r>
              <w:rPr>
                <w:rFonts w:hint="eastAsia" w:ascii="宋体" w:hAnsi="宋体"/>
                <w:color w:val="auto"/>
                <w:kern w:val="0"/>
                <w:szCs w:val="21"/>
              </w:rPr>
              <w:t>各专业负责人</w:t>
            </w:r>
          </w:p>
        </w:tc>
        <w:tc>
          <w:tcPr>
            <w:tcW w:w="709" w:type="dxa"/>
            <w:tcBorders>
              <w:top w:val="nil"/>
              <w:left w:val="nil"/>
              <w:bottom w:val="single" w:color="auto" w:sz="4" w:space="0"/>
              <w:right w:val="single" w:color="auto" w:sz="4" w:space="0"/>
            </w:tcBorders>
            <w:noWrap/>
            <w:vAlign w:val="center"/>
          </w:tcPr>
          <w:p>
            <w:pPr>
              <w:widowControl/>
              <w:jc w:val="center"/>
              <w:rPr>
                <w:color w:val="auto"/>
                <w:kern w:val="0"/>
                <w:szCs w:val="21"/>
              </w:rPr>
            </w:pPr>
            <w:r>
              <w:rPr>
                <w:rFonts w:hint="eastAsia"/>
                <w:color w:val="auto"/>
                <w:kern w:val="0"/>
                <w:szCs w:val="21"/>
              </w:rPr>
              <w:t>5</w:t>
            </w:r>
          </w:p>
        </w:tc>
        <w:tc>
          <w:tcPr>
            <w:tcW w:w="2551" w:type="dxa"/>
            <w:tcBorders>
              <w:top w:val="nil"/>
              <w:left w:val="nil"/>
              <w:bottom w:val="single" w:color="auto" w:sz="4" w:space="0"/>
              <w:right w:val="single" w:color="auto" w:sz="4" w:space="0"/>
            </w:tcBorders>
            <w:noWrap/>
            <w:vAlign w:val="center"/>
          </w:tcPr>
          <w:p>
            <w:pPr>
              <w:widowControl/>
              <w:jc w:val="left"/>
              <w:rPr>
                <w:color w:val="auto"/>
                <w:kern w:val="0"/>
                <w:szCs w:val="21"/>
              </w:rPr>
            </w:pPr>
            <w:r>
              <w:rPr>
                <w:rFonts w:hint="eastAsia" w:ascii="宋体" w:hAnsi="宋体"/>
                <w:color w:val="auto"/>
                <w:kern w:val="0"/>
                <w:szCs w:val="21"/>
              </w:rPr>
              <w:t>是否有责任心；是否有较高的专业水平；与甲方、使用单位的沟通是否顺畅</w:t>
            </w:r>
          </w:p>
        </w:tc>
        <w:tc>
          <w:tcPr>
            <w:tcW w:w="3261" w:type="dxa"/>
            <w:tcBorders>
              <w:top w:val="nil"/>
              <w:left w:val="nil"/>
              <w:bottom w:val="single" w:color="auto" w:sz="4" w:space="0"/>
              <w:right w:val="single" w:color="auto" w:sz="4" w:space="0"/>
            </w:tcBorders>
            <w:noWrap/>
            <w:vAlign w:val="center"/>
          </w:tcPr>
          <w:p>
            <w:pPr>
              <w:widowControl/>
              <w:jc w:val="left"/>
              <w:rPr>
                <w:rFonts w:ascii="宋体" w:hAnsi="宋体"/>
                <w:color w:val="auto"/>
                <w:kern w:val="0"/>
                <w:szCs w:val="21"/>
              </w:rPr>
            </w:pPr>
            <w:r>
              <w:rPr>
                <w:color w:val="auto"/>
                <w:kern w:val="0"/>
                <w:szCs w:val="21"/>
              </w:rPr>
              <w:t>1</w:t>
            </w:r>
            <w:r>
              <w:rPr>
                <w:rFonts w:hint="eastAsia" w:ascii="宋体" w:hAnsi="宋体"/>
                <w:color w:val="auto"/>
                <w:kern w:val="0"/>
                <w:szCs w:val="21"/>
              </w:rPr>
              <w:t>、责任心不强；</w:t>
            </w:r>
          </w:p>
          <w:p>
            <w:pPr>
              <w:widowControl/>
              <w:jc w:val="left"/>
              <w:rPr>
                <w:rFonts w:ascii="宋体" w:hAnsi="宋体"/>
                <w:color w:val="auto"/>
                <w:kern w:val="0"/>
                <w:szCs w:val="21"/>
              </w:rPr>
            </w:pPr>
            <w:r>
              <w:rPr>
                <w:color w:val="auto"/>
                <w:kern w:val="0"/>
                <w:szCs w:val="21"/>
              </w:rPr>
              <w:t>2</w:t>
            </w:r>
            <w:r>
              <w:rPr>
                <w:rFonts w:hint="eastAsia" w:ascii="宋体" w:hAnsi="宋体"/>
                <w:color w:val="auto"/>
                <w:kern w:val="0"/>
                <w:szCs w:val="21"/>
              </w:rPr>
              <w:t>、专业水平不高；</w:t>
            </w:r>
          </w:p>
          <w:p>
            <w:pPr>
              <w:widowControl/>
              <w:jc w:val="left"/>
              <w:rPr>
                <w:rFonts w:ascii="宋体" w:hAnsi="宋体"/>
                <w:color w:val="auto"/>
                <w:kern w:val="0"/>
                <w:szCs w:val="21"/>
              </w:rPr>
            </w:pPr>
            <w:r>
              <w:rPr>
                <w:color w:val="auto"/>
                <w:kern w:val="0"/>
                <w:szCs w:val="21"/>
              </w:rPr>
              <w:t>3</w:t>
            </w:r>
            <w:r>
              <w:rPr>
                <w:rFonts w:hint="eastAsia" w:ascii="宋体" w:hAnsi="宋体"/>
                <w:color w:val="auto"/>
                <w:kern w:val="0"/>
                <w:szCs w:val="21"/>
              </w:rPr>
              <w:t>、与甲方、使用单位的沟通不到位；</w:t>
            </w:r>
          </w:p>
          <w:p>
            <w:pPr>
              <w:widowControl/>
              <w:jc w:val="left"/>
              <w:rPr>
                <w:color w:val="auto"/>
                <w:kern w:val="0"/>
                <w:szCs w:val="21"/>
              </w:rPr>
            </w:pPr>
            <w:r>
              <w:rPr>
                <w:rFonts w:hint="eastAsia" w:ascii="宋体" w:hAnsi="宋体"/>
                <w:color w:val="auto"/>
                <w:kern w:val="0"/>
                <w:szCs w:val="21"/>
              </w:rPr>
              <w:t>以上各项每发生一次扣</w:t>
            </w:r>
            <w:r>
              <w:rPr>
                <w:color w:val="auto"/>
                <w:kern w:val="0"/>
                <w:szCs w:val="21"/>
              </w:rPr>
              <w:t>1</w:t>
            </w:r>
            <w:r>
              <w:rPr>
                <w:rFonts w:hint="eastAsia" w:ascii="宋体" w:hAnsi="宋体"/>
                <w:color w:val="auto"/>
                <w:kern w:val="0"/>
                <w:szCs w:val="21"/>
              </w:rPr>
              <w:t>分。</w:t>
            </w:r>
          </w:p>
        </w:tc>
        <w:tc>
          <w:tcPr>
            <w:tcW w:w="992" w:type="dxa"/>
            <w:tcBorders>
              <w:top w:val="nil"/>
              <w:left w:val="nil"/>
              <w:bottom w:val="single" w:color="auto" w:sz="4" w:space="0"/>
              <w:right w:val="single" w:color="auto" w:sz="4" w:space="0"/>
            </w:tcBorders>
            <w:noWrap/>
            <w:vAlign w:val="center"/>
          </w:tcPr>
          <w:p>
            <w:pPr>
              <w:widowControl/>
              <w:jc w:val="center"/>
              <w:rPr>
                <w:color w:val="auto"/>
                <w:kern w:val="0"/>
                <w:szCs w:val="21"/>
              </w:rPr>
            </w:pPr>
            <w:r>
              <w:rPr>
                <w:color w:val="auto"/>
                <w:kern w:val="0"/>
                <w:szCs w:val="21"/>
              </w:rPr>
              <w:t>　</w:t>
            </w:r>
          </w:p>
        </w:tc>
      </w:tr>
      <w:tr>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auto"/>
                <w:kern w:val="0"/>
                <w:szCs w:val="21"/>
              </w:rPr>
            </w:pPr>
            <w:r>
              <w:rPr>
                <w:rFonts w:hint="eastAsia" w:ascii="宋体" w:hAnsi="宋体" w:cs="宋体"/>
                <w:color w:val="auto"/>
                <w:kern w:val="0"/>
                <w:szCs w:val="21"/>
              </w:rPr>
              <w:t>三</w:t>
            </w:r>
          </w:p>
        </w:tc>
        <w:tc>
          <w:tcPr>
            <w:tcW w:w="1393"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1"/>
              </w:rPr>
            </w:pPr>
            <w:r>
              <w:rPr>
                <w:rFonts w:hint="eastAsia" w:ascii="宋体" w:hAnsi="宋体" w:cs="宋体"/>
                <w:color w:val="auto"/>
                <w:kern w:val="0"/>
                <w:szCs w:val="21"/>
              </w:rPr>
              <w:t>设计质量</w:t>
            </w:r>
          </w:p>
        </w:tc>
        <w:tc>
          <w:tcPr>
            <w:tcW w:w="709"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color w:val="auto"/>
                <w:kern w:val="0"/>
                <w:szCs w:val="21"/>
              </w:rPr>
            </w:pPr>
            <w:r>
              <w:rPr>
                <w:rFonts w:hint="eastAsia" w:ascii="仿宋_GB2312" w:hAnsi="宋体" w:eastAsia="仿宋_GB2312" w:cs="宋体"/>
                <w:color w:val="auto"/>
                <w:kern w:val="0"/>
                <w:szCs w:val="21"/>
              </w:rPr>
              <w:t>55</w:t>
            </w:r>
          </w:p>
        </w:tc>
        <w:tc>
          <w:tcPr>
            <w:tcW w:w="255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rPr>
            </w:pPr>
            <w:r>
              <w:rPr>
                <w:rFonts w:hint="eastAsia" w:ascii="宋体" w:hAnsi="宋体" w:cs="宋体"/>
                <w:color w:val="auto"/>
                <w:kern w:val="0"/>
                <w:szCs w:val="21"/>
              </w:rPr>
              <w:t>　</w:t>
            </w:r>
          </w:p>
        </w:tc>
        <w:tc>
          <w:tcPr>
            <w:tcW w:w="326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rPr>
            </w:pPr>
            <w:r>
              <w:rPr>
                <w:rFonts w:hint="eastAsia" w:ascii="宋体" w:hAnsi="宋体" w:cs="宋体"/>
                <w:color w:val="auto"/>
                <w:kern w:val="0"/>
                <w:szCs w:val="21"/>
              </w:rPr>
              <w:t>　</w:t>
            </w:r>
          </w:p>
        </w:tc>
        <w:tc>
          <w:tcPr>
            <w:tcW w:w="992"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rPr>
            </w:pPr>
            <w:r>
              <w:rPr>
                <w:rFonts w:hint="eastAsia" w:ascii="宋体" w:hAnsi="宋体" w:cs="宋体"/>
                <w:color w:val="auto"/>
                <w:kern w:val="0"/>
                <w:szCs w:val="21"/>
              </w:rPr>
              <w:t>　</w:t>
            </w:r>
          </w:p>
        </w:tc>
      </w:tr>
      <w:tr>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auto"/>
                <w:kern w:val="0"/>
                <w:szCs w:val="21"/>
              </w:rPr>
            </w:pPr>
            <w:r>
              <w:rPr>
                <w:rFonts w:hint="eastAsia" w:ascii="宋体" w:hAnsi="宋体" w:cs="宋体"/>
                <w:color w:val="auto"/>
                <w:kern w:val="0"/>
                <w:szCs w:val="21"/>
              </w:rPr>
              <w:t>1</w:t>
            </w:r>
          </w:p>
        </w:tc>
        <w:tc>
          <w:tcPr>
            <w:tcW w:w="1393"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1"/>
              </w:rPr>
            </w:pPr>
            <w:r>
              <w:rPr>
                <w:rFonts w:hint="eastAsia" w:ascii="宋体" w:hAnsi="宋体" w:cs="宋体"/>
                <w:color w:val="auto"/>
                <w:kern w:val="0"/>
                <w:szCs w:val="21"/>
              </w:rPr>
              <w:t>建筑</w:t>
            </w:r>
          </w:p>
        </w:tc>
        <w:tc>
          <w:tcPr>
            <w:tcW w:w="709"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color w:val="auto"/>
                <w:kern w:val="0"/>
                <w:szCs w:val="21"/>
              </w:rPr>
            </w:pPr>
            <w:r>
              <w:rPr>
                <w:rFonts w:hint="eastAsia" w:ascii="仿宋_GB2312" w:hAnsi="宋体" w:eastAsia="仿宋_GB2312" w:cs="宋体"/>
                <w:color w:val="auto"/>
                <w:kern w:val="0"/>
                <w:szCs w:val="21"/>
              </w:rPr>
              <w:t>10</w:t>
            </w:r>
          </w:p>
        </w:tc>
        <w:tc>
          <w:tcPr>
            <w:tcW w:w="255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rPr>
            </w:pPr>
            <w:r>
              <w:rPr>
                <w:rFonts w:hint="eastAsia" w:ascii="宋体" w:hAnsi="宋体" w:cs="宋体"/>
                <w:color w:val="auto"/>
                <w:kern w:val="0"/>
                <w:szCs w:val="21"/>
              </w:rPr>
              <w:t>建筑选型和立面、平面布局是否合理</w:t>
            </w:r>
          </w:p>
        </w:tc>
        <w:tc>
          <w:tcPr>
            <w:tcW w:w="326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rPr>
            </w:pPr>
            <w:r>
              <w:rPr>
                <w:rFonts w:hint="eastAsia" w:ascii="宋体" w:hAnsi="宋体" w:cs="宋体"/>
                <w:color w:val="auto"/>
                <w:kern w:val="0"/>
                <w:szCs w:val="21"/>
              </w:rPr>
              <w:t>经甲方、使用方、第三方专家或单位审核，建筑选型和立面、平面布局不当，每一处扣2分</w:t>
            </w:r>
          </w:p>
        </w:tc>
        <w:tc>
          <w:tcPr>
            <w:tcW w:w="992"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rPr>
            </w:pPr>
            <w:r>
              <w:rPr>
                <w:rFonts w:hint="eastAsia" w:ascii="宋体" w:hAnsi="宋体" w:cs="宋体"/>
                <w:color w:val="auto"/>
                <w:kern w:val="0"/>
                <w:szCs w:val="21"/>
              </w:rPr>
              <w:t>　</w:t>
            </w:r>
          </w:p>
        </w:tc>
      </w:tr>
      <w:tr>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auto"/>
                <w:kern w:val="0"/>
                <w:szCs w:val="21"/>
              </w:rPr>
            </w:pPr>
            <w:r>
              <w:rPr>
                <w:rFonts w:hint="eastAsia" w:ascii="宋体" w:hAnsi="宋体" w:cs="宋体"/>
                <w:color w:val="auto"/>
                <w:kern w:val="0"/>
                <w:szCs w:val="21"/>
              </w:rPr>
              <w:t>2</w:t>
            </w:r>
          </w:p>
        </w:tc>
        <w:tc>
          <w:tcPr>
            <w:tcW w:w="1393"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1"/>
              </w:rPr>
            </w:pPr>
            <w:r>
              <w:rPr>
                <w:rFonts w:hint="eastAsia" w:ascii="宋体" w:hAnsi="宋体" w:cs="宋体"/>
                <w:color w:val="auto"/>
                <w:kern w:val="0"/>
                <w:szCs w:val="21"/>
              </w:rPr>
              <w:t>结构</w:t>
            </w:r>
          </w:p>
        </w:tc>
        <w:tc>
          <w:tcPr>
            <w:tcW w:w="709"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color w:val="auto"/>
                <w:kern w:val="0"/>
                <w:szCs w:val="21"/>
              </w:rPr>
            </w:pPr>
            <w:r>
              <w:rPr>
                <w:rFonts w:hint="eastAsia" w:ascii="仿宋_GB2312" w:hAnsi="宋体" w:eastAsia="仿宋_GB2312" w:cs="宋体"/>
                <w:color w:val="auto"/>
                <w:kern w:val="0"/>
                <w:szCs w:val="21"/>
              </w:rPr>
              <w:t>10</w:t>
            </w:r>
          </w:p>
        </w:tc>
        <w:tc>
          <w:tcPr>
            <w:tcW w:w="255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rPr>
            </w:pPr>
            <w:r>
              <w:rPr>
                <w:rFonts w:hint="eastAsia" w:ascii="宋体" w:hAnsi="宋体" w:cs="宋体"/>
                <w:color w:val="auto"/>
                <w:kern w:val="0"/>
                <w:szCs w:val="21"/>
              </w:rPr>
              <w:t>基础和上部结构选型是否合理；结构方案是否便于实施；</w:t>
            </w:r>
          </w:p>
        </w:tc>
        <w:tc>
          <w:tcPr>
            <w:tcW w:w="326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rPr>
            </w:pPr>
            <w:r>
              <w:rPr>
                <w:rFonts w:hint="eastAsia" w:ascii="宋体" w:hAnsi="宋体" w:cs="宋体"/>
                <w:color w:val="auto"/>
                <w:kern w:val="0"/>
                <w:szCs w:val="21"/>
              </w:rPr>
              <w:t>经第三方专家或单位审核，</w:t>
            </w:r>
          </w:p>
          <w:p>
            <w:pPr>
              <w:widowControl/>
              <w:jc w:val="left"/>
              <w:rPr>
                <w:rFonts w:ascii="宋体" w:hAnsi="宋体" w:cs="宋体"/>
                <w:color w:val="auto"/>
                <w:kern w:val="0"/>
                <w:szCs w:val="21"/>
              </w:rPr>
            </w:pPr>
            <w:r>
              <w:rPr>
                <w:rFonts w:hint="eastAsia" w:ascii="宋体" w:hAnsi="宋体" w:cs="宋体"/>
                <w:color w:val="auto"/>
                <w:kern w:val="0"/>
                <w:szCs w:val="21"/>
              </w:rPr>
              <w:t>1、基坑支护、基础或上部结构选型不合理或不经济；</w:t>
            </w:r>
          </w:p>
          <w:p>
            <w:pPr>
              <w:widowControl/>
              <w:jc w:val="left"/>
              <w:rPr>
                <w:rFonts w:ascii="宋体" w:hAnsi="宋体" w:cs="宋体"/>
                <w:color w:val="auto"/>
                <w:kern w:val="0"/>
                <w:szCs w:val="21"/>
              </w:rPr>
            </w:pPr>
            <w:r>
              <w:rPr>
                <w:rFonts w:hint="eastAsia" w:ascii="宋体" w:hAnsi="宋体" w:cs="宋体"/>
                <w:color w:val="auto"/>
                <w:kern w:val="0"/>
                <w:szCs w:val="21"/>
              </w:rPr>
              <w:t>2、结构方案不便于实施；</w:t>
            </w:r>
          </w:p>
          <w:p>
            <w:pPr>
              <w:widowControl/>
              <w:jc w:val="left"/>
              <w:rPr>
                <w:rFonts w:ascii="宋体" w:hAnsi="宋体" w:cs="宋体"/>
                <w:color w:val="auto"/>
                <w:kern w:val="0"/>
                <w:szCs w:val="21"/>
              </w:rPr>
            </w:pPr>
            <w:r>
              <w:rPr>
                <w:rFonts w:hint="eastAsia" w:ascii="宋体" w:hAnsi="宋体" w:cs="宋体"/>
                <w:color w:val="auto"/>
                <w:kern w:val="0"/>
                <w:szCs w:val="21"/>
              </w:rPr>
              <w:t>以上各项每一处扣2分。</w:t>
            </w:r>
          </w:p>
        </w:tc>
        <w:tc>
          <w:tcPr>
            <w:tcW w:w="992"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rPr>
            </w:pPr>
            <w:r>
              <w:rPr>
                <w:rFonts w:hint="eastAsia" w:ascii="宋体" w:hAnsi="宋体" w:cs="宋体"/>
                <w:color w:val="auto"/>
                <w:kern w:val="0"/>
                <w:szCs w:val="21"/>
              </w:rPr>
              <w:t>　</w:t>
            </w:r>
          </w:p>
        </w:tc>
      </w:tr>
      <w:tr>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auto"/>
                <w:kern w:val="0"/>
                <w:szCs w:val="21"/>
              </w:rPr>
            </w:pPr>
            <w:r>
              <w:rPr>
                <w:rFonts w:hint="eastAsia" w:ascii="宋体" w:hAnsi="宋体" w:cs="宋体"/>
                <w:color w:val="auto"/>
                <w:kern w:val="0"/>
                <w:szCs w:val="21"/>
              </w:rPr>
              <w:t>3</w:t>
            </w:r>
          </w:p>
        </w:tc>
        <w:tc>
          <w:tcPr>
            <w:tcW w:w="1393"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1"/>
              </w:rPr>
            </w:pPr>
            <w:r>
              <w:rPr>
                <w:rFonts w:hint="eastAsia" w:ascii="宋体" w:hAnsi="宋体" w:cs="宋体"/>
                <w:color w:val="auto"/>
                <w:kern w:val="0"/>
                <w:szCs w:val="21"/>
              </w:rPr>
              <w:t>机电系统及设备选型</w:t>
            </w:r>
          </w:p>
        </w:tc>
        <w:tc>
          <w:tcPr>
            <w:tcW w:w="709"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color w:val="auto"/>
                <w:kern w:val="0"/>
                <w:szCs w:val="21"/>
              </w:rPr>
            </w:pPr>
            <w:r>
              <w:rPr>
                <w:rFonts w:hint="eastAsia" w:ascii="仿宋_GB2312" w:hAnsi="宋体" w:eastAsia="仿宋_GB2312" w:cs="宋体"/>
                <w:color w:val="auto"/>
                <w:kern w:val="0"/>
                <w:szCs w:val="21"/>
              </w:rPr>
              <w:t>10</w:t>
            </w:r>
          </w:p>
        </w:tc>
        <w:tc>
          <w:tcPr>
            <w:tcW w:w="255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rPr>
            </w:pPr>
            <w:r>
              <w:rPr>
                <w:rFonts w:hint="eastAsia" w:ascii="宋体" w:hAnsi="宋体" w:cs="宋体"/>
                <w:color w:val="auto"/>
                <w:kern w:val="0"/>
                <w:szCs w:val="21"/>
              </w:rPr>
              <w:t>系统及设备选用是否恰当，能否满足功能要求；是否考虑使用和维护成本</w:t>
            </w:r>
          </w:p>
        </w:tc>
        <w:tc>
          <w:tcPr>
            <w:tcW w:w="326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rPr>
            </w:pPr>
            <w:r>
              <w:rPr>
                <w:rFonts w:hint="eastAsia" w:ascii="宋体" w:hAnsi="宋体" w:cs="宋体"/>
                <w:color w:val="auto"/>
                <w:kern w:val="0"/>
                <w:szCs w:val="21"/>
              </w:rPr>
              <w:t>经第三方专家或单位审核，</w:t>
            </w:r>
          </w:p>
          <w:p>
            <w:pPr>
              <w:widowControl/>
              <w:jc w:val="left"/>
              <w:rPr>
                <w:rFonts w:ascii="宋体" w:hAnsi="宋体" w:cs="宋体"/>
                <w:color w:val="auto"/>
                <w:kern w:val="0"/>
                <w:szCs w:val="21"/>
              </w:rPr>
            </w:pPr>
            <w:r>
              <w:rPr>
                <w:rFonts w:hint="eastAsia" w:ascii="宋体" w:hAnsi="宋体" w:cs="宋体"/>
                <w:color w:val="auto"/>
                <w:kern w:val="0"/>
                <w:szCs w:val="21"/>
              </w:rPr>
              <w:t>1、系统及设备选用不合理或不经济；</w:t>
            </w:r>
          </w:p>
          <w:p>
            <w:pPr>
              <w:widowControl/>
              <w:jc w:val="left"/>
              <w:rPr>
                <w:rFonts w:ascii="宋体" w:hAnsi="宋体" w:cs="宋体"/>
                <w:color w:val="auto"/>
                <w:kern w:val="0"/>
                <w:szCs w:val="21"/>
              </w:rPr>
            </w:pPr>
            <w:r>
              <w:rPr>
                <w:rFonts w:hint="eastAsia" w:ascii="宋体" w:hAnsi="宋体" w:cs="宋体"/>
                <w:color w:val="auto"/>
                <w:kern w:val="0"/>
                <w:szCs w:val="21"/>
              </w:rPr>
              <w:t>2、系统及设备不能满足功能要求；</w:t>
            </w:r>
          </w:p>
          <w:p>
            <w:pPr>
              <w:widowControl/>
              <w:jc w:val="left"/>
              <w:rPr>
                <w:rFonts w:ascii="宋体" w:hAnsi="宋体" w:cs="宋体"/>
                <w:color w:val="auto"/>
                <w:kern w:val="0"/>
                <w:szCs w:val="21"/>
              </w:rPr>
            </w:pPr>
            <w:r>
              <w:rPr>
                <w:rFonts w:hint="eastAsia" w:ascii="宋体" w:hAnsi="宋体" w:cs="宋体"/>
                <w:color w:val="auto"/>
                <w:kern w:val="0"/>
                <w:szCs w:val="21"/>
              </w:rPr>
              <w:t>3、选用设备的使用和维护成本大；</w:t>
            </w:r>
          </w:p>
          <w:p>
            <w:pPr>
              <w:widowControl/>
              <w:jc w:val="left"/>
              <w:rPr>
                <w:rFonts w:ascii="宋体" w:hAnsi="宋体" w:cs="宋体"/>
                <w:color w:val="auto"/>
                <w:kern w:val="0"/>
                <w:szCs w:val="21"/>
              </w:rPr>
            </w:pPr>
            <w:r>
              <w:rPr>
                <w:rFonts w:hint="eastAsia" w:ascii="宋体" w:hAnsi="宋体" w:cs="宋体"/>
                <w:color w:val="auto"/>
                <w:kern w:val="0"/>
                <w:szCs w:val="21"/>
              </w:rPr>
              <w:t>以上各项每一项扣2分。</w:t>
            </w:r>
          </w:p>
        </w:tc>
        <w:tc>
          <w:tcPr>
            <w:tcW w:w="992"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rPr>
            </w:pPr>
          </w:p>
        </w:tc>
      </w:tr>
      <w:tr>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auto"/>
                <w:kern w:val="0"/>
                <w:szCs w:val="21"/>
              </w:rPr>
            </w:pPr>
            <w:r>
              <w:rPr>
                <w:rFonts w:hint="eastAsia" w:ascii="宋体" w:hAnsi="宋体" w:cs="宋体"/>
                <w:color w:val="auto"/>
                <w:kern w:val="0"/>
                <w:szCs w:val="21"/>
              </w:rPr>
              <w:t>4</w:t>
            </w:r>
          </w:p>
        </w:tc>
        <w:tc>
          <w:tcPr>
            <w:tcW w:w="1393"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1"/>
              </w:rPr>
            </w:pPr>
            <w:r>
              <w:rPr>
                <w:rFonts w:hint="eastAsia" w:ascii="宋体" w:hAnsi="宋体" w:cs="宋体"/>
                <w:color w:val="auto"/>
                <w:kern w:val="0"/>
                <w:szCs w:val="21"/>
              </w:rPr>
              <w:t>设计图纸深度</w:t>
            </w:r>
          </w:p>
        </w:tc>
        <w:tc>
          <w:tcPr>
            <w:tcW w:w="709"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color w:val="auto"/>
                <w:kern w:val="0"/>
                <w:szCs w:val="21"/>
              </w:rPr>
            </w:pPr>
            <w:r>
              <w:rPr>
                <w:rFonts w:hint="eastAsia" w:ascii="仿宋_GB2312" w:hAnsi="宋体" w:eastAsia="仿宋_GB2312" w:cs="宋体"/>
                <w:color w:val="auto"/>
                <w:kern w:val="0"/>
                <w:szCs w:val="21"/>
              </w:rPr>
              <w:t>5</w:t>
            </w:r>
          </w:p>
        </w:tc>
        <w:tc>
          <w:tcPr>
            <w:tcW w:w="255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rPr>
            </w:pPr>
            <w:r>
              <w:rPr>
                <w:rFonts w:hint="eastAsia" w:ascii="宋体" w:hAnsi="宋体" w:cs="宋体"/>
                <w:color w:val="auto"/>
                <w:kern w:val="0"/>
                <w:szCs w:val="21"/>
              </w:rPr>
              <w:t>是否满足住建部《建筑工程设计文件编制深度规定》对该阶段设计深度的有关要求</w:t>
            </w:r>
          </w:p>
        </w:tc>
        <w:tc>
          <w:tcPr>
            <w:tcW w:w="326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rPr>
            </w:pPr>
            <w:r>
              <w:rPr>
                <w:rFonts w:hint="eastAsia" w:ascii="宋体" w:hAnsi="宋体" w:cs="宋体"/>
                <w:color w:val="auto"/>
                <w:kern w:val="0"/>
                <w:szCs w:val="21"/>
              </w:rPr>
              <w:t>经第三方单位审核，有一个专业达不到深度的，扣2分。</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1"/>
              </w:rPr>
            </w:pPr>
            <w:r>
              <w:rPr>
                <w:rFonts w:hint="eastAsia" w:ascii="宋体" w:hAnsi="宋体" w:cs="宋体"/>
                <w:color w:val="auto"/>
                <w:kern w:val="0"/>
                <w:szCs w:val="21"/>
              </w:rPr>
              <w:t>　</w:t>
            </w:r>
          </w:p>
        </w:tc>
      </w:tr>
      <w:tr>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auto"/>
                <w:kern w:val="0"/>
                <w:szCs w:val="21"/>
              </w:rPr>
            </w:pPr>
            <w:r>
              <w:rPr>
                <w:rFonts w:hint="eastAsia" w:ascii="宋体" w:hAnsi="宋体" w:cs="宋体"/>
                <w:color w:val="auto"/>
                <w:kern w:val="0"/>
                <w:szCs w:val="21"/>
              </w:rPr>
              <w:t>5</w:t>
            </w:r>
          </w:p>
        </w:tc>
        <w:tc>
          <w:tcPr>
            <w:tcW w:w="1393"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1"/>
              </w:rPr>
            </w:pPr>
            <w:r>
              <w:rPr>
                <w:rFonts w:hint="eastAsia" w:ascii="宋体" w:hAnsi="宋体" w:cs="宋体"/>
                <w:color w:val="auto"/>
                <w:kern w:val="0"/>
                <w:szCs w:val="21"/>
              </w:rPr>
              <w:t>限额设计</w:t>
            </w:r>
          </w:p>
        </w:tc>
        <w:tc>
          <w:tcPr>
            <w:tcW w:w="709"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color w:val="auto"/>
                <w:kern w:val="0"/>
                <w:szCs w:val="21"/>
              </w:rPr>
            </w:pPr>
            <w:r>
              <w:rPr>
                <w:rFonts w:hint="eastAsia" w:ascii="仿宋_GB2312" w:hAnsi="宋体" w:eastAsia="仿宋_GB2312" w:cs="宋体"/>
                <w:color w:val="auto"/>
                <w:kern w:val="0"/>
                <w:szCs w:val="21"/>
              </w:rPr>
              <w:t>20</w:t>
            </w:r>
          </w:p>
        </w:tc>
        <w:tc>
          <w:tcPr>
            <w:tcW w:w="255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rPr>
            </w:pPr>
            <w:r>
              <w:rPr>
                <w:rFonts w:hint="eastAsia" w:ascii="宋体" w:hAnsi="宋体" w:cs="宋体"/>
                <w:color w:val="auto"/>
                <w:kern w:val="0"/>
                <w:szCs w:val="21"/>
              </w:rPr>
              <w:t>是否按合同要求进行限额设计</w:t>
            </w:r>
          </w:p>
        </w:tc>
        <w:tc>
          <w:tcPr>
            <w:tcW w:w="326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rPr>
            </w:pPr>
            <w:r>
              <w:rPr>
                <w:rFonts w:hint="eastAsia" w:ascii="宋体" w:hAnsi="宋体" w:cs="宋体"/>
                <w:color w:val="auto"/>
                <w:kern w:val="0"/>
                <w:szCs w:val="21"/>
              </w:rPr>
              <w:t>编制的概算超出经批复的投资估算价，每报一版扣1分；</w:t>
            </w:r>
          </w:p>
          <w:p>
            <w:pPr>
              <w:widowControl/>
              <w:jc w:val="left"/>
              <w:rPr>
                <w:rFonts w:ascii="宋体" w:hAnsi="宋体" w:cs="宋体"/>
                <w:color w:val="auto"/>
                <w:kern w:val="0"/>
                <w:szCs w:val="21"/>
              </w:rPr>
            </w:pPr>
            <w:r>
              <w:rPr>
                <w:rFonts w:hint="eastAsia" w:ascii="宋体" w:hAnsi="宋体" w:cs="宋体"/>
                <w:color w:val="auto"/>
                <w:kern w:val="0"/>
                <w:szCs w:val="21"/>
              </w:rPr>
              <w:t>甲方委托的造价咨询公司审核概算价与乙方编制的概算申报额偏差每超出1%，扣2分；</w:t>
            </w:r>
          </w:p>
          <w:p>
            <w:pPr>
              <w:widowControl/>
              <w:jc w:val="left"/>
              <w:rPr>
                <w:rFonts w:ascii="宋体" w:hAnsi="宋体" w:cs="宋体"/>
                <w:color w:val="auto"/>
                <w:kern w:val="0"/>
                <w:szCs w:val="21"/>
              </w:rPr>
            </w:pPr>
            <w:r>
              <w:rPr>
                <w:rFonts w:hint="eastAsia" w:ascii="宋体" w:hAnsi="宋体" w:cs="宋体"/>
                <w:color w:val="auto"/>
                <w:kern w:val="0"/>
                <w:szCs w:val="21"/>
              </w:rPr>
              <w:t>概算申报额与经投资主管部门批复的概算偏差每超出1%，扣3分。</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1"/>
              </w:rPr>
            </w:pPr>
          </w:p>
        </w:tc>
      </w:tr>
      <w:tr>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auto"/>
                <w:kern w:val="0"/>
                <w:szCs w:val="21"/>
              </w:rPr>
            </w:pPr>
            <w:r>
              <w:rPr>
                <w:rFonts w:hint="eastAsia" w:ascii="宋体" w:hAnsi="宋体" w:cs="宋体"/>
                <w:color w:val="auto"/>
                <w:kern w:val="0"/>
                <w:szCs w:val="21"/>
              </w:rPr>
              <w:t>四</w:t>
            </w:r>
          </w:p>
        </w:tc>
        <w:tc>
          <w:tcPr>
            <w:tcW w:w="1393"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1"/>
              </w:rPr>
            </w:pPr>
            <w:r>
              <w:rPr>
                <w:rFonts w:hint="eastAsia" w:ascii="宋体" w:hAnsi="宋体" w:cs="宋体"/>
                <w:color w:val="auto"/>
                <w:kern w:val="0"/>
                <w:szCs w:val="21"/>
              </w:rPr>
              <w:t>设计进度</w:t>
            </w:r>
          </w:p>
        </w:tc>
        <w:tc>
          <w:tcPr>
            <w:tcW w:w="709"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color w:val="auto"/>
                <w:kern w:val="0"/>
                <w:szCs w:val="21"/>
              </w:rPr>
            </w:pPr>
            <w:r>
              <w:rPr>
                <w:rFonts w:hint="eastAsia" w:ascii="仿宋_GB2312" w:hAnsi="宋体" w:eastAsia="仿宋_GB2312" w:cs="宋体"/>
                <w:color w:val="auto"/>
                <w:kern w:val="0"/>
                <w:szCs w:val="21"/>
              </w:rPr>
              <w:t>20</w:t>
            </w:r>
          </w:p>
        </w:tc>
        <w:tc>
          <w:tcPr>
            <w:tcW w:w="255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rPr>
            </w:pPr>
            <w:r>
              <w:rPr>
                <w:rFonts w:hint="eastAsia" w:ascii="宋体" w:hAnsi="宋体" w:cs="宋体"/>
                <w:color w:val="auto"/>
                <w:kern w:val="0"/>
                <w:szCs w:val="21"/>
              </w:rPr>
              <w:t>　</w:t>
            </w:r>
          </w:p>
        </w:tc>
        <w:tc>
          <w:tcPr>
            <w:tcW w:w="326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rPr>
            </w:pPr>
            <w:r>
              <w:rPr>
                <w:rFonts w:hint="eastAsia" w:ascii="宋体" w:hAnsi="宋体" w:cs="宋体"/>
                <w:color w:val="auto"/>
                <w:kern w:val="0"/>
                <w:szCs w:val="21"/>
              </w:rPr>
              <w:t>　</w:t>
            </w:r>
          </w:p>
        </w:tc>
        <w:tc>
          <w:tcPr>
            <w:tcW w:w="992"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rPr>
            </w:pPr>
            <w:r>
              <w:rPr>
                <w:rFonts w:hint="eastAsia" w:ascii="宋体" w:hAnsi="宋体" w:cs="宋体"/>
                <w:color w:val="auto"/>
                <w:kern w:val="0"/>
                <w:szCs w:val="21"/>
              </w:rPr>
              <w:t>　</w:t>
            </w:r>
          </w:p>
        </w:tc>
      </w:tr>
      <w:tr>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auto"/>
                <w:kern w:val="0"/>
                <w:szCs w:val="21"/>
              </w:rPr>
            </w:pPr>
            <w:r>
              <w:rPr>
                <w:rFonts w:hint="eastAsia" w:ascii="宋体" w:hAnsi="宋体" w:cs="宋体"/>
                <w:color w:val="auto"/>
                <w:kern w:val="0"/>
                <w:szCs w:val="21"/>
              </w:rPr>
              <w:t>1</w:t>
            </w:r>
          </w:p>
        </w:tc>
        <w:tc>
          <w:tcPr>
            <w:tcW w:w="1393"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1"/>
              </w:rPr>
            </w:pPr>
            <w:r>
              <w:rPr>
                <w:rFonts w:hint="eastAsia" w:ascii="宋体" w:hAnsi="宋体" w:cs="宋体"/>
                <w:color w:val="auto"/>
                <w:kern w:val="0"/>
                <w:szCs w:val="21"/>
              </w:rPr>
              <w:t>设计进度</w:t>
            </w:r>
          </w:p>
        </w:tc>
        <w:tc>
          <w:tcPr>
            <w:tcW w:w="709"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color w:val="auto"/>
                <w:kern w:val="0"/>
                <w:szCs w:val="21"/>
              </w:rPr>
            </w:pPr>
            <w:r>
              <w:rPr>
                <w:rFonts w:hint="eastAsia" w:ascii="仿宋_GB2312" w:hAnsi="宋体" w:eastAsia="仿宋_GB2312" w:cs="宋体"/>
                <w:color w:val="auto"/>
                <w:kern w:val="0"/>
                <w:szCs w:val="21"/>
              </w:rPr>
              <w:t>20</w:t>
            </w:r>
          </w:p>
        </w:tc>
        <w:tc>
          <w:tcPr>
            <w:tcW w:w="255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rPr>
            </w:pPr>
            <w:r>
              <w:rPr>
                <w:rFonts w:hint="eastAsia" w:ascii="宋体" w:hAnsi="宋体" w:cs="宋体"/>
                <w:color w:val="auto"/>
                <w:kern w:val="0"/>
                <w:szCs w:val="21"/>
              </w:rPr>
              <w:t>是否按照合同、会议纪要、通知、函件等对进度的要求完成各项工作；能否按期完成甲方交办的其它相关工作</w:t>
            </w:r>
          </w:p>
        </w:tc>
        <w:tc>
          <w:tcPr>
            <w:tcW w:w="326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rPr>
            </w:pPr>
            <w:r>
              <w:rPr>
                <w:rFonts w:hint="eastAsia" w:ascii="宋体" w:hAnsi="宋体" w:cs="宋体"/>
                <w:color w:val="auto"/>
                <w:kern w:val="0"/>
                <w:szCs w:val="21"/>
              </w:rPr>
              <w:t>因乙方原因，每延误一天扣1分。</w:t>
            </w:r>
          </w:p>
        </w:tc>
        <w:tc>
          <w:tcPr>
            <w:tcW w:w="992"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rPr>
            </w:pPr>
            <w:r>
              <w:rPr>
                <w:rFonts w:hint="eastAsia" w:ascii="宋体" w:hAnsi="宋体" w:cs="宋体"/>
                <w:color w:val="auto"/>
                <w:kern w:val="0"/>
                <w:szCs w:val="21"/>
              </w:rPr>
              <w:t>　</w:t>
            </w:r>
          </w:p>
        </w:tc>
      </w:tr>
      <w:tr>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auto"/>
                <w:kern w:val="0"/>
                <w:szCs w:val="21"/>
              </w:rPr>
            </w:pPr>
            <w:r>
              <w:rPr>
                <w:rFonts w:hint="eastAsia" w:ascii="宋体" w:hAnsi="宋体" w:cs="宋体"/>
                <w:color w:val="auto"/>
                <w:kern w:val="0"/>
                <w:szCs w:val="21"/>
              </w:rPr>
              <w:t>五</w:t>
            </w:r>
          </w:p>
        </w:tc>
        <w:tc>
          <w:tcPr>
            <w:tcW w:w="1393"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1"/>
              </w:rPr>
            </w:pPr>
            <w:r>
              <w:rPr>
                <w:rFonts w:hint="eastAsia" w:ascii="宋体" w:hAnsi="宋体" w:cs="宋体"/>
                <w:color w:val="auto"/>
                <w:kern w:val="0"/>
                <w:szCs w:val="21"/>
              </w:rPr>
              <w:t>设计配合</w:t>
            </w:r>
          </w:p>
        </w:tc>
        <w:tc>
          <w:tcPr>
            <w:tcW w:w="709"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color w:val="auto"/>
                <w:kern w:val="0"/>
                <w:szCs w:val="21"/>
              </w:rPr>
            </w:pPr>
            <w:r>
              <w:rPr>
                <w:rFonts w:hint="eastAsia" w:ascii="仿宋_GB2312" w:hAnsi="宋体" w:eastAsia="仿宋_GB2312" w:cs="宋体"/>
                <w:color w:val="auto"/>
                <w:kern w:val="0"/>
                <w:szCs w:val="21"/>
              </w:rPr>
              <w:t>5</w:t>
            </w:r>
          </w:p>
        </w:tc>
        <w:tc>
          <w:tcPr>
            <w:tcW w:w="255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rPr>
            </w:pPr>
            <w:r>
              <w:rPr>
                <w:rFonts w:hint="eastAsia" w:ascii="宋体" w:hAnsi="宋体" w:cs="宋体"/>
                <w:color w:val="auto"/>
                <w:kern w:val="0"/>
                <w:szCs w:val="21"/>
              </w:rPr>
              <w:t>　</w:t>
            </w:r>
          </w:p>
        </w:tc>
        <w:tc>
          <w:tcPr>
            <w:tcW w:w="326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rPr>
            </w:pPr>
            <w:r>
              <w:rPr>
                <w:rFonts w:hint="eastAsia" w:ascii="宋体" w:hAnsi="宋体" w:cs="宋体"/>
                <w:color w:val="auto"/>
                <w:kern w:val="0"/>
                <w:szCs w:val="21"/>
              </w:rPr>
              <w:t>　</w:t>
            </w:r>
          </w:p>
        </w:tc>
        <w:tc>
          <w:tcPr>
            <w:tcW w:w="992"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rPr>
            </w:pPr>
            <w:r>
              <w:rPr>
                <w:rFonts w:hint="eastAsia" w:ascii="宋体" w:hAnsi="宋体" w:cs="宋体"/>
                <w:color w:val="auto"/>
                <w:kern w:val="0"/>
                <w:szCs w:val="21"/>
              </w:rPr>
              <w:t>　</w:t>
            </w:r>
          </w:p>
        </w:tc>
      </w:tr>
      <w:tr>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auto"/>
                <w:kern w:val="0"/>
                <w:szCs w:val="21"/>
              </w:rPr>
            </w:pPr>
            <w:r>
              <w:rPr>
                <w:rFonts w:hint="eastAsia" w:ascii="宋体" w:hAnsi="宋体" w:cs="宋体"/>
                <w:color w:val="auto"/>
                <w:kern w:val="0"/>
                <w:szCs w:val="21"/>
              </w:rPr>
              <w:t>1</w:t>
            </w:r>
          </w:p>
        </w:tc>
        <w:tc>
          <w:tcPr>
            <w:tcW w:w="1393"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1"/>
              </w:rPr>
            </w:pPr>
            <w:r>
              <w:rPr>
                <w:rFonts w:hint="eastAsia" w:ascii="宋体" w:hAnsi="宋体" w:cs="宋体"/>
                <w:color w:val="auto"/>
                <w:kern w:val="0"/>
                <w:szCs w:val="21"/>
              </w:rPr>
              <w:t>设计配合</w:t>
            </w:r>
          </w:p>
        </w:tc>
        <w:tc>
          <w:tcPr>
            <w:tcW w:w="709"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color w:val="auto"/>
                <w:kern w:val="0"/>
                <w:szCs w:val="21"/>
              </w:rPr>
            </w:pPr>
            <w:r>
              <w:rPr>
                <w:rFonts w:hint="eastAsia" w:ascii="仿宋_GB2312" w:hAnsi="宋体" w:eastAsia="仿宋_GB2312" w:cs="宋体"/>
                <w:color w:val="auto"/>
                <w:kern w:val="0"/>
                <w:szCs w:val="21"/>
              </w:rPr>
              <w:t>5</w:t>
            </w:r>
          </w:p>
        </w:tc>
        <w:tc>
          <w:tcPr>
            <w:tcW w:w="255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rPr>
            </w:pPr>
            <w:r>
              <w:rPr>
                <w:rFonts w:hint="eastAsia" w:ascii="宋体" w:hAnsi="宋体" w:cs="宋体"/>
                <w:color w:val="auto"/>
                <w:kern w:val="0"/>
                <w:szCs w:val="21"/>
              </w:rPr>
              <w:t>能否按合同及甲方要求及时协调配合甲方、专项设计单位及其它相关部门的工作；是否具有较强的沟通协调能力</w:t>
            </w:r>
          </w:p>
        </w:tc>
        <w:tc>
          <w:tcPr>
            <w:tcW w:w="326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rPr>
            </w:pPr>
            <w:r>
              <w:rPr>
                <w:rFonts w:hint="eastAsia" w:ascii="宋体" w:hAnsi="宋体" w:cs="宋体"/>
                <w:color w:val="auto"/>
                <w:kern w:val="0"/>
                <w:szCs w:val="21"/>
              </w:rPr>
              <w:t>好：得5分</w:t>
            </w:r>
          </w:p>
          <w:p>
            <w:pPr>
              <w:widowControl/>
              <w:jc w:val="left"/>
              <w:rPr>
                <w:rFonts w:ascii="宋体" w:hAnsi="宋体" w:cs="宋体"/>
                <w:color w:val="auto"/>
                <w:kern w:val="0"/>
                <w:szCs w:val="21"/>
              </w:rPr>
            </w:pPr>
            <w:r>
              <w:rPr>
                <w:rFonts w:hint="eastAsia" w:ascii="宋体" w:hAnsi="宋体" w:cs="宋体"/>
                <w:color w:val="auto"/>
                <w:kern w:val="0"/>
                <w:szCs w:val="21"/>
              </w:rPr>
              <w:t>较好：得4分</w:t>
            </w:r>
          </w:p>
          <w:p>
            <w:pPr>
              <w:widowControl/>
              <w:jc w:val="left"/>
              <w:rPr>
                <w:rFonts w:ascii="宋体" w:hAnsi="宋体" w:cs="宋体"/>
                <w:color w:val="auto"/>
                <w:kern w:val="0"/>
                <w:szCs w:val="21"/>
              </w:rPr>
            </w:pPr>
            <w:r>
              <w:rPr>
                <w:rFonts w:hint="eastAsia" w:ascii="宋体" w:hAnsi="宋体" w:cs="宋体"/>
                <w:color w:val="auto"/>
                <w:kern w:val="0"/>
                <w:szCs w:val="21"/>
              </w:rPr>
              <w:t>一般：得2分</w:t>
            </w:r>
          </w:p>
          <w:p>
            <w:pPr>
              <w:widowControl/>
              <w:jc w:val="left"/>
              <w:rPr>
                <w:rFonts w:ascii="宋体" w:hAnsi="宋体" w:cs="宋体"/>
                <w:color w:val="auto"/>
                <w:kern w:val="0"/>
                <w:szCs w:val="21"/>
              </w:rPr>
            </w:pPr>
            <w:r>
              <w:rPr>
                <w:rFonts w:hint="eastAsia" w:ascii="宋体" w:hAnsi="宋体" w:cs="宋体"/>
                <w:color w:val="auto"/>
                <w:kern w:val="0"/>
                <w:szCs w:val="21"/>
              </w:rPr>
              <w:t>较差：得1分</w:t>
            </w:r>
          </w:p>
          <w:p>
            <w:pPr>
              <w:widowControl/>
              <w:jc w:val="left"/>
              <w:rPr>
                <w:rFonts w:ascii="宋体" w:hAnsi="宋体" w:cs="宋体"/>
                <w:color w:val="auto"/>
                <w:kern w:val="0"/>
                <w:szCs w:val="21"/>
              </w:rPr>
            </w:pPr>
            <w:r>
              <w:rPr>
                <w:rFonts w:hint="eastAsia" w:ascii="宋体" w:hAnsi="宋体" w:cs="宋体"/>
                <w:color w:val="auto"/>
                <w:kern w:val="0"/>
                <w:szCs w:val="21"/>
              </w:rPr>
              <w:t>差：得0分</w:t>
            </w:r>
          </w:p>
        </w:tc>
        <w:tc>
          <w:tcPr>
            <w:tcW w:w="992"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rPr>
            </w:pPr>
            <w:r>
              <w:rPr>
                <w:rFonts w:hint="eastAsia" w:ascii="宋体" w:hAnsi="宋体" w:cs="宋体"/>
                <w:color w:val="auto"/>
                <w:kern w:val="0"/>
                <w:szCs w:val="21"/>
              </w:rPr>
              <w:t>　</w:t>
            </w:r>
          </w:p>
        </w:tc>
      </w:tr>
      <w:tr>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ign w:val="center"/>
          </w:tcPr>
          <w:p>
            <w:pPr>
              <w:widowControl/>
              <w:jc w:val="center"/>
              <w:rPr>
                <w:color w:val="auto"/>
                <w:kern w:val="0"/>
                <w:szCs w:val="21"/>
              </w:rPr>
            </w:pPr>
            <w:r>
              <w:rPr>
                <w:color w:val="auto"/>
                <w:kern w:val="0"/>
                <w:szCs w:val="21"/>
              </w:rPr>
              <w:t>　</w:t>
            </w:r>
          </w:p>
        </w:tc>
        <w:tc>
          <w:tcPr>
            <w:tcW w:w="1393" w:type="dxa"/>
            <w:tcBorders>
              <w:top w:val="nil"/>
              <w:left w:val="nil"/>
              <w:bottom w:val="single" w:color="auto" w:sz="4" w:space="0"/>
              <w:right w:val="single" w:color="auto" w:sz="4" w:space="0"/>
            </w:tcBorders>
            <w:noWrap/>
            <w:vAlign w:val="center"/>
          </w:tcPr>
          <w:p>
            <w:pPr>
              <w:widowControl/>
              <w:jc w:val="center"/>
              <w:rPr>
                <w:color w:val="auto"/>
                <w:kern w:val="0"/>
                <w:szCs w:val="21"/>
              </w:rPr>
            </w:pPr>
            <w:r>
              <w:rPr>
                <w:color w:val="auto"/>
                <w:kern w:val="0"/>
                <w:szCs w:val="21"/>
              </w:rPr>
              <w:t>合计</w:t>
            </w:r>
          </w:p>
        </w:tc>
        <w:tc>
          <w:tcPr>
            <w:tcW w:w="709" w:type="dxa"/>
            <w:tcBorders>
              <w:top w:val="nil"/>
              <w:left w:val="nil"/>
              <w:bottom w:val="single" w:color="auto" w:sz="4" w:space="0"/>
              <w:right w:val="single" w:color="auto" w:sz="4" w:space="0"/>
            </w:tcBorders>
            <w:noWrap/>
            <w:vAlign w:val="center"/>
          </w:tcPr>
          <w:p>
            <w:pPr>
              <w:widowControl/>
              <w:jc w:val="center"/>
              <w:rPr>
                <w:color w:val="auto"/>
                <w:kern w:val="0"/>
                <w:szCs w:val="21"/>
              </w:rPr>
            </w:pPr>
            <w:r>
              <w:rPr>
                <w:color w:val="auto"/>
                <w:kern w:val="0"/>
                <w:szCs w:val="21"/>
              </w:rPr>
              <w:t>100</w:t>
            </w:r>
          </w:p>
        </w:tc>
        <w:tc>
          <w:tcPr>
            <w:tcW w:w="2551" w:type="dxa"/>
            <w:tcBorders>
              <w:top w:val="nil"/>
              <w:left w:val="nil"/>
              <w:bottom w:val="single" w:color="auto" w:sz="4" w:space="0"/>
              <w:right w:val="single" w:color="auto" w:sz="4" w:space="0"/>
            </w:tcBorders>
            <w:noWrap/>
            <w:vAlign w:val="center"/>
          </w:tcPr>
          <w:p>
            <w:pPr>
              <w:widowControl/>
              <w:jc w:val="center"/>
              <w:rPr>
                <w:color w:val="auto"/>
                <w:kern w:val="0"/>
                <w:szCs w:val="21"/>
              </w:rPr>
            </w:pPr>
            <w:r>
              <w:rPr>
                <w:color w:val="auto"/>
                <w:kern w:val="0"/>
                <w:szCs w:val="21"/>
              </w:rPr>
              <w:t>　</w:t>
            </w:r>
          </w:p>
        </w:tc>
        <w:tc>
          <w:tcPr>
            <w:tcW w:w="3261" w:type="dxa"/>
            <w:tcBorders>
              <w:top w:val="nil"/>
              <w:left w:val="nil"/>
              <w:bottom w:val="single" w:color="auto" w:sz="4" w:space="0"/>
              <w:right w:val="single" w:color="auto" w:sz="4" w:space="0"/>
            </w:tcBorders>
            <w:noWrap/>
            <w:vAlign w:val="center"/>
          </w:tcPr>
          <w:p>
            <w:pPr>
              <w:widowControl/>
              <w:jc w:val="center"/>
              <w:rPr>
                <w:color w:val="auto"/>
                <w:kern w:val="0"/>
                <w:szCs w:val="21"/>
              </w:rPr>
            </w:pPr>
            <w:r>
              <w:rPr>
                <w:color w:val="auto"/>
                <w:kern w:val="0"/>
                <w:szCs w:val="21"/>
              </w:rPr>
              <w:t>　</w:t>
            </w:r>
          </w:p>
        </w:tc>
        <w:tc>
          <w:tcPr>
            <w:tcW w:w="992" w:type="dxa"/>
            <w:tcBorders>
              <w:top w:val="nil"/>
              <w:left w:val="nil"/>
              <w:bottom w:val="single" w:color="auto" w:sz="4" w:space="0"/>
              <w:right w:val="single" w:color="auto" w:sz="4" w:space="0"/>
            </w:tcBorders>
            <w:noWrap/>
            <w:vAlign w:val="center"/>
          </w:tcPr>
          <w:p>
            <w:pPr>
              <w:widowControl/>
              <w:jc w:val="center"/>
              <w:rPr>
                <w:color w:val="auto"/>
                <w:kern w:val="0"/>
                <w:szCs w:val="21"/>
              </w:rPr>
            </w:pPr>
            <w:r>
              <w:rPr>
                <w:color w:val="auto"/>
                <w:kern w:val="0"/>
                <w:szCs w:val="21"/>
              </w:rPr>
              <w:t>　</w:t>
            </w:r>
          </w:p>
        </w:tc>
      </w:tr>
    </w:tbl>
    <w:p>
      <w:pPr>
        <w:adjustRightInd w:val="0"/>
        <w:snapToGrid w:val="0"/>
        <w:rPr>
          <w:rFonts w:ascii="宋体" w:hAnsi="宋体" w:cs="宋体"/>
          <w:color w:val="auto"/>
          <w:kern w:val="0"/>
          <w:szCs w:val="21"/>
        </w:rPr>
      </w:pPr>
      <w:r>
        <w:rPr>
          <w:rFonts w:hint="eastAsia" w:ascii="宋体" w:hAnsi="宋体" w:cs="宋体"/>
          <w:color w:val="auto"/>
          <w:kern w:val="0"/>
          <w:szCs w:val="21"/>
        </w:rPr>
        <w:t>一、注：</w:t>
      </w:r>
    </w:p>
    <w:p>
      <w:pPr>
        <w:adjustRightInd w:val="0"/>
        <w:snapToGrid w:val="0"/>
        <w:rPr>
          <w:rFonts w:ascii="宋体" w:hAnsi="宋体" w:cs="宋体"/>
          <w:color w:val="auto"/>
          <w:kern w:val="0"/>
          <w:szCs w:val="21"/>
        </w:rPr>
      </w:pPr>
      <w:r>
        <w:rPr>
          <w:rFonts w:hint="eastAsia" w:ascii="宋体" w:hAnsi="宋体" w:cs="宋体"/>
          <w:color w:val="auto"/>
          <w:kern w:val="0"/>
          <w:szCs w:val="21"/>
        </w:rPr>
        <w:t>1、每一评分项扣分，至该项对应分值扣完为止。</w:t>
      </w:r>
    </w:p>
    <w:p>
      <w:pPr>
        <w:adjustRightInd w:val="0"/>
        <w:snapToGrid w:val="0"/>
        <w:rPr>
          <w:rFonts w:ascii="宋体" w:hAnsi="宋体" w:cs="宋体"/>
          <w:color w:val="auto"/>
          <w:kern w:val="0"/>
          <w:szCs w:val="21"/>
        </w:rPr>
      </w:pPr>
      <w:r>
        <w:rPr>
          <w:rFonts w:hint="eastAsia" w:ascii="宋体" w:hAnsi="宋体" w:cs="宋体"/>
          <w:color w:val="auto"/>
          <w:kern w:val="0"/>
          <w:szCs w:val="21"/>
        </w:rPr>
        <w:t>2、应在岗实际未在岗累计达到3天的，或经问询明显不了解项目具体情况累计达到3次的，或未按甲方要求出席会议累计达到3次的，可认定自行更换</w:t>
      </w:r>
    </w:p>
    <w:p>
      <w:pPr>
        <w:adjustRightInd w:val="0"/>
        <w:snapToGrid w:val="0"/>
        <w:rPr>
          <w:rFonts w:ascii="宋体" w:hAnsi="宋体" w:cs="宋体"/>
          <w:color w:val="auto"/>
          <w:kern w:val="0"/>
          <w:szCs w:val="21"/>
        </w:rPr>
      </w:pPr>
    </w:p>
    <w:p>
      <w:pPr>
        <w:adjustRightInd w:val="0"/>
        <w:snapToGrid w:val="0"/>
        <w:rPr>
          <w:rFonts w:ascii="宋体" w:hAnsi="宋体" w:cs="宋体"/>
          <w:color w:val="auto"/>
          <w:kern w:val="0"/>
          <w:szCs w:val="21"/>
        </w:rPr>
      </w:pPr>
      <w:r>
        <w:rPr>
          <w:rFonts w:hint="eastAsia" w:ascii="宋体" w:hAnsi="宋体" w:cs="宋体"/>
          <w:color w:val="auto"/>
          <w:kern w:val="0"/>
          <w:szCs w:val="21"/>
        </w:rPr>
        <w:t>二、扣分情况说明：</w:t>
      </w:r>
    </w:p>
    <w:p>
      <w:pPr>
        <w:adjustRightInd w:val="0"/>
        <w:snapToGrid w:val="0"/>
        <w:rPr>
          <w:rFonts w:ascii="宋体" w:hAnsi="宋体" w:cs="宋体"/>
          <w:color w:val="auto"/>
          <w:kern w:val="0"/>
          <w:szCs w:val="21"/>
        </w:rPr>
      </w:pPr>
      <w:r>
        <w:rPr>
          <w:rFonts w:hint="eastAsia" w:ascii="宋体" w:hAnsi="宋体" w:cs="宋体"/>
          <w:color w:val="auto"/>
          <w:kern w:val="0"/>
          <w:szCs w:val="21"/>
        </w:rPr>
        <w:t>1、</w:t>
      </w:r>
    </w:p>
    <w:p>
      <w:pPr>
        <w:adjustRightInd w:val="0"/>
        <w:snapToGrid w:val="0"/>
        <w:rPr>
          <w:rFonts w:ascii="宋体" w:hAnsi="宋体" w:cs="宋体"/>
          <w:color w:val="auto"/>
          <w:kern w:val="0"/>
          <w:szCs w:val="21"/>
        </w:rPr>
      </w:pPr>
      <w:r>
        <w:rPr>
          <w:rFonts w:hint="eastAsia" w:ascii="宋体" w:hAnsi="宋体" w:cs="宋体"/>
          <w:color w:val="auto"/>
          <w:kern w:val="0"/>
          <w:szCs w:val="21"/>
        </w:rPr>
        <w:t>2、</w:t>
      </w:r>
    </w:p>
    <w:p>
      <w:pPr>
        <w:adjustRightInd w:val="0"/>
        <w:snapToGrid w:val="0"/>
        <w:rPr>
          <w:rFonts w:ascii="宋体" w:hAnsi="宋体" w:cs="宋体"/>
          <w:color w:val="auto"/>
          <w:kern w:val="0"/>
          <w:szCs w:val="21"/>
        </w:rPr>
      </w:pPr>
      <w:r>
        <w:rPr>
          <w:rFonts w:hint="eastAsia" w:ascii="宋体" w:hAnsi="宋体" w:cs="宋体"/>
          <w:color w:val="auto"/>
          <w:kern w:val="0"/>
          <w:szCs w:val="21"/>
        </w:rPr>
        <w:t>3、</w:t>
      </w:r>
    </w:p>
    <w:p>
      <w:pPr>
        <w:adjustRightInd w:val="0"/>
        <w:snapToGrid w:val="0"/>
        <w:rPr>
          <w:rFonts w:ascii="宋体" w:hAnsi="宋体" w:cs="宋体"/>
          <w:color w:val="auto"/>
          <w:kern w:val="0"/>
          <w:szCs w:val="21"/>
        </w:rPr>
      </w:pPr>
      <w:r>
        <w:rPr>
          <w:rFonts w:hint="eastAsia" w:ascii="宋体" w:hAnsi="宋体" w:cs="宋体"/>
          <w:color w:val="auto"/>
          <w:kern w:val="0"/>
          <w:szCs w:val="21"/>
        </w:rPr>
        <w:t>…</w:t>
      </w:r>
    </w:p>
    <w:p>
      <w:pPr>
        <w:adjustRightInd w:val="0"/>
        <w:snapToGrid w:val="0"/>
        <w:rPr>
          <w:rFonts w:ascii="宋体" w:hAnsi="宋体" w:cs="宋体"/>
          <w:color w:val="auto"/>
          <w:kern w:val="0"/>
          <w:szCs w:val="21"/>
        </w:rPr>
      </w:pPr>
    </w:p>
    <w:p>
      <w:pPr>
        <w:adjustRightInd w:val="0"/>
        <w:snapToGrid w:val="0"/>
        <w:rPr>
          <w:rFonts w:ascii="宋体" w:hAnsi="宋体" w:cs="宋体"/>
          <w:color w:val="auto"/>
          <w:kern w:val="0"/>
          <w:szCs w:val="21"/>
          <w:u w:val="single"/>
        </w:rPr>
      </w:pPr>
      <w:r>
        <w:rPr>
          <w:rFonts w:hint="eastAsia" w:ascii="宋体" w:hAnsi="宋体" w:cs="宋体"/>
          <w:color w:val="auto"/>
          <w:kern w:val="0"/>
          <w:szCs w:val="21"/>
        </w:rPr>
        <w:t>项目负责人：×××  签名：</w:t>
      </w:r>
    </w:p>
    <w:p>
      <w:pPr>
        <w:adjustRightInd w:val="0"/>
        <w:snapToGrid w:val="0"/>
        <w:rPr>
          <w:rFonts w:ascii="宋体" w:hAnsi="宋体" w:cs="宋体"/>
          <w:color w:val="auto"/>
          <w:kern w:val="0"/>
          <w:szCs w:val="21"/>
        </w:rPr>
      </w:pPr>
    </w:p>
    <w:p>
      <w:pPr>
        <w:adjustRightInd w:val="0"/>
        <w:snapToGrid w:val="0"/>
        <w:rPr>
          <w:rFonts w:ascii="宋体" w:hAnsi="宋体" w:cs="宋体"/>
          <w:color w:val="auto"/>
          <w:kern w:val="0"/>
          <w:szCs w:val="21"/>
          <w:u w:val="single"/>
        </w:rPr>
      </w:pPr>
      <w:r>
        <w:rPr>
          <w:rFonts w:hint="eastAsia" w:ascii="宋体" w:hAnsi="宋体" w:cs="宋体"/>
          <w:color w:val="auto"/>
          <w:kern w:val="0"/>
          <w:szCs w:val="21"/>
        </w:rPr>
        <w:t>部门负责人：×××  签名：</w:t>
      </w:r>
    </w:p>
    <w:p>
      <w:pPr>
        <w:adjustRightInd w:val="0"/>
        <w:snapToGrid w:val="0"/>
        <w:rPr>
          <w:rFonts w:ascii="宋体" w:hAnsi="宋体" w:cs="宋体"/>
          <w:color w:val="auto"/>
          <w:kern w:val="0"/>
          <w:szCs w:val="21"/>
        </w:rPr>
      </w:pPr>
    </w:p>
    <w:p>
      <w:pPr>
        <w:adjustRightInd w:val="0"/>
        <w:snapToGrid w:val="0"/>
        <w:rPr>
          <w:rFonts w:ascii="宋体" w:hAnsi="宋体" w:cs="宋体"/>
          <w:color w:val="auto"/>
          <w:kern w:val="0"/>
          <w:szCs w:val="21"/>
        </w:rPr>
      </w:pPr>
      <w:r>
        <w:rPr>
          <w:rFonts w:hint="eastAsia" w:ascii="宋体" w:hAnsi="宋体" w:cs="宋体"/>
          <w:color w:val="auto"/>
          <w:kern w:val="0"/>
          <w:szCs w:val="21"/>
        </w:rPr>
        <w:t>日期：      年    月    日</w:t>
      </w:r>
    </w:p>
    <w:p>
      <w:pPr>
        <w:adjustRightInd w:val="0"/>
        <w:snapToGrid w:val="0"/>
        <w:rPr>
          <w:rFonts w:ascii="宋体" w:hAnsi="宋体" w:cs="宋体"/>
          <w:color w:val="auto"/>
          <w:kern w:val="0"/>
          <w:szCs w:val="21"/>
        </w:rPr>
      </w:pPr>
    </w:p>
    <w:p>
      <w:pPr>
        <w:spacing w:line="560" w:lineRule="exact"/>
        <w:rPr>
          <w:rFonts w:ascii="仿宋_GB2312" w:eastAsia="仿宋_GB2312"/>
          <w:strike/>
          <w:color w:val="auto"/>
          <w:sz w:val="32"/>
          <w:szCs w:val="32"/>
        </w:rPr>
      </w:pPr>
      <w:r>
        <w:rPr>
          <w:rFonts w:ascii="宋体" w:hAnsi="宋体"/>
          <w:b/>
          <w:color w:val="auto"/>
          <w:szCs w:val="21"/>
        </w:rPr>
        <w:br w:type="page"/>
      </w:r>
      <w:r>
        <w:rPr>
          <w:rFonts w:hint="eastAsia" w:ascii="仿宋_GB2312" w:eastAsia="仿宋_GB2312"/>
          <w:strike/>
          <w:color w:val="auto"/>
          <w:sz w:val="32"/>
          <w:szCs w:val="32"/>
        </w:rPr>
        <w:t>附件三</w:t>
      </w:r>
    </w:p>
    <w:tbl>
      <w:tblPr>
        <w:tblStyle w:val="55"/>
        <w:tblW w:w="9366" w:type="dxa"/>
        <w:jc w:val="center"/>
        <w:tblLayout w:type="fixed"/>
        <w:tblCellMar>
          <w:top w:w="0" w:type="dxa"/>
          <w:left w:w="108" w:type="dxa"/>
          <w:bottom w:w="0" w:type="dxa"/>
          <w:right w:w="108" w:type="dxa"/>
        </w:tblCellMar>
      </w:tblPr>
      <w:tblGrid>
        <w:gridCol w:w="460"/>
        <w:gridCol w:w="1393"/>
        <w:gridCol w:w="709"/>
        <w:gridCol w:w="2551"/>
        <w:gridCol w:w="3261"/>
        <w:gridCol w:w="992"/>
      </w:tblGrid>
      <w:tr>
        <w:tblPrEx>
          <w:tblCellMar>
            <w:top w:w="0" w:type="dxa"/>
            <w:left w:w="108" w:type="dxa"/>
            <w:bottom w:w="0" w:type="dxa"/>
            <w:right w:w="108" w:type="dxa"/>
          </w:tblCellMar>
        </w:tblPrEx>
        <w:trPr>
          <w:trHeight w:val="795" w:hRule="atLeast"/>
          <w:jc w:val="center"/>
        </w:trPr>
        <w:tc>
          <w:tcPr>
            <w:tcW w:w="9366" w:type="dxa"/>
            <w:gridSpan w:val="6"/>
            <w:tcBorders>
              <w:top w:val="nil"/>
              <w:left w:val="nil"/>
              <w:bottom w:val="nil"/>
              <w:right w:val="nil"/>
            </w:tcBorders>
            <w:noWrap/>
            <w:vAlign w:val="center"/>
          </w:tcPr>
          <w:p>
            <w:pPr>
              <w:widowControl/>
              <w:jc w:val="center"/>
              <w:rPr>
                <w:rFonts w:ascii="仿宋_GB2312" w:hAnsi="宋体" w:eastAsia="仿宋_GB2312"/>
                <w:strike/>
                <w:color w:val="auto"/>
                <w:sz w:val="28"/>
                <w:szCs w:val="28"/>
              </w:rPr>
            </w:pPr>
            <w:r>
              <w:rPr>
                <w:rFonts w:hint="eastAsia" w:ascii="仿宋_GB2312" w:hAnsi="宋体" w:eastAsia="仿宋_GB2312"/>
                <w:strike/>
                <w:color w:val="auto"/>
                <w:sz w:val="28"/>
                <w:szCs w:val="28"/>
              </w:rPr>
              <w:t>施工图设计阶段设计合同履约评价表</w:t>
            </w:r>
          </w:p>
        </w:tc>
      </w:tr>
      <w:tr>
        <w:tblPrEx>
          <w:tblCellMar>
            <w:top w:w="0" w:type="dxa"/>
            <w:left w:w="108" w:type="dxa"/>
            <w:bottom w:w="0" w:type="dxa"/>
            <w:right w:w="108" w:type="dxa"/>
          </w:tblCellMar>
        </w:tblPrEx>
        <w:trPr>
          <w:jc w:val="center"/>
        </w:trPr>
        <w:tc>
          <w:tcPr>
            <w:tcW w:w="4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b/>
                <w:bCs/>
                <w:strike/>
                <w:color w:val="auto"/>
                <w:kern w:val="0"/>
                <w:szCs w:val="21"/>
              </w:rPr>
            </w:pPr>
            <w:r>
              <w:rPr>
                <w:rFonts w:hint="eastAsia" w:ascii="宋体" w:hAnsi="宋体" w:cs="宋体"/>
                <w:b/>
                <w:bCs/>
                <w:strike/>
                <w:color w:val="auto"/>
                <w:kern w:val="0"/>
                <w:szCs w:val="21"/>
              </w:rPr>
              <w:t>序号</w:t>
            </w:r>
          </w:p>
        </w:tc>
        <w:tc>
          <w:tcPr>
            <w:tcW w:w="1393"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b/>
                <w:bCs/>
                <w:strike/>
                <w:color w:val="auto"/>
                <w:kern w:val="0"/>
                <w:szCs w:val="21"/>
              </w:rPr>
            </w:pPr>
            <w:r>
              <w:rPr>
                <w:rFonts w:hint="eastAsia" w:ascii="宋体" w:hAnsi="宋体" w:cs="宋体"/>
                <w:b/>
                <w:bCs/>
                <w:strike/>
                <w:color w:val="auto"/>
                <w:kern w:val="0"/>
                <w:szCs w:val="21"/>
              </w:rPr>
              <w:t>内容</w:t>
            </w:r>
          </w:p>
        </w:tc>
        <w:tc>
          <w:tcPr>
            <w:tcW w:w="709"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b/>
                <w:bCs/>
                <w:strike/>
                <w:color w:val="auto"/>
                <w:kern w:val="0"/>
                <w:szCs w:val="21"/>
              </w:rPr>
            </w:pPr>
            <w:r>
              <w:rPr>
                <w:rFonts w:hint="eastAsia" w:ascii="宋体" w:hAnsi="宋体" w:cs="宋体"/>
                <w:b/>
                <w:bCs/>
                <w:strike/>
                <w:color w:val="auto"/>
                <w:kern w:val="0"/>
                <w:szCs w:val="21"/>
              </w:rPr>
              <w:t>单项</w:t>
            </w:r>
          </w:p>
          <w:p>
            <w:pPr>
              <w:widowControl/>
              <w:jc w:val="center"/>
              <w:rPr>
                <w:rFonts w:ascii="宋体" w:hAnsi="宋体" w:cs="宋体"/>
                <w:b/>
                <w:bCs/>
                <w:strike/>
                <w:color w:val="auto"/>
                <w:kern w:val="0"/>
                <w:szCs w:val="21"/>
              </w:rPr>
            </w:pPr>
            <w:r>
              <w:rPr>
                <w:rFonts w:hint="eastAsia" w:ascii="宋体" w:hAnsi="宋体" w:cs="宋体"/>
                <w:b/>
                <w:bCs/>
                <w:strike/>
                <w:color w:val="auto"/>
                <w:kern w:val="0"/>
                <w:szCs w:val="21"/>
              </w:rPr>
              <w:t>分值</w:t>
            </w:r>
          </w:p>
        </w:tc>
        <w:tc>
          <w:tcPr>
            <w:tcW w:w="2551"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b/>
                <w:bCs/>
                <w:strike/>
                <w:color w:val="auto"/>
                <w:kern w:val="0"/>
                <w:szCs w:val="21"/>
              </w:rPr>
            </w:pPr>
            <w:r>
              <w:rPr>
                <w:rFonts w:hint="eastAsia" w:ascii="宋体" w:hAnsi="宋体" w:cs="宋体"/>
                <w:b/>
                <w:bCs/>
                <w:strike/>
                <w:color w:val="auto"/>
                <w:kern w:val="0"/>
                <w:szCs w:val="21"/>
              </w:rPr>
              <w:t>评价指标</w:t>
            </w:r>
          </w:p>
        </w:tc>
        <w:tc>
          <w:tcPr>
            <w:tcW w:w="3261"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b/>
                <w:bCs/>
                <w:strike/>
                <w:color w:val="auto"/>
                <w:kern w:val="0"/>
                <w:szCs w:val="21"/>
              </w:rPr>
            </w:pPr>
            <w:r>
              <w:rPr>
                <w:rFonts w:hint="eastAsia" w:ascii="宋体" w:hAnsi="宋体" w:cs="宋体"/>
                <w:b/>
                <w:bCs/>
                <w:strike/>
                <w:color w:val="auto"/>
                <w:kern w:val="0"/>
                <w:szCs w:val="21"/>
              </w:rPr>
              <w:t>评分标准</w:t>
            </w:r>
          </w:p>
        </w:tc>
        <w:tc>
          <w:tcPr>
            <w:tcW w:w="992"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strike/>
                <w:color w:val="auto"/>
                <w:kern w:val="0"/>
                <w:szCs w:val="21"/>
              </w:rPr>
            </w:pPr>
            <w:r>
              <w:rPr>
                <w:rFonts w:hint="eastAsia" w:ascii="宋体" w:hAnsi="宋体" w:cs="宋体"/>
                <w:strike/>
                <w:color w:val="auto"/>
                <w:kern w:val="0"/>
                <w:szCs w:val="21"/>
              </w:rPr>
              <w:t>得分</w:t>
            </w:r>
          </w:p>
        </w:tc>
      </w:tr>
      <w:tr>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ign w:val="center"/>
          </w:tcPr>
          <w:p>
            <w:pPr>
              <w:widowControl/>
              <w:jc w:val="center"/>
              <w:rPr>
                <w:strike/>
                <w:color w:val="auto"/>
                <w:kern w:val="0"/>
                <w:szCs w:val="21"/>
              </w:rPr>
            </w:pPr>
            <w:r>
              <w:rPr>
                <w:rFonts w:hint="eastAsia" w:ascii="宋体" w:hAnsi="宋体"/>
                <w:strike/>
                <w:color w:val="auto"/>
                <w:kern w:val="0"/>
                <w:szCs w:val="21"/>
              </w:rPr>
              <w:t>一</w:t>
            </w:r>
          </w:p>
        </w:tc>
        <w:tc>
          <w:tcPr>
            <w:tcW w:w="1393" w:type="dxa"/>
            <w:tcBorders>
              <w:top w:val="nil"/>
              <w:left w:val="nil"/>
              <w:bottom w:val="single" w:color="auto" w:sz="4" w:space="0"/>
              <w:right w:val="single" w:color="auto" w:sz="4" w:space="0"/>
            </w:tcBorders>
            <w:noWrap/>
            <w:vAlign w:val="center"/>
          </w:tcPr>
          <w:p>
            <w:pPr>
              <w:widowControl/>
              <w:jc w:val="center"/>
              <w:rPr>
                <w:strike/>
                <w:color w:val="auto"/>
                <w:kern w:val="0"/>
                <w:szCs w:val="21"/>
              </w:rPr>
            </w:pPr>
            <w:r>
              <w:rPr>
                <w:rFonts w:hint="eastAsia" w:ascii="宋体" w:hAnsi="宋体"/>
                <w:strike/>
                <w:color w:val="auto"/>
                <w:kern w:val="0"/>
                <w:szCs w:val="21"/>
              </w:rPr>
              <w:t>人员配备</w:t>
            </w:r>
          </w:p>
        </w:tc>
        <w:tc>
          <w:tcPr>
            <w:tcW w:w="709" w:type="dxa"/>
            <w:tcBorders>
              <w:top w:val="nil"/>
              <w:left w:val="nil"/>
              <w:bottom w:val="single" w:color="auto" w:sz="4" w:space="0"/>
              <w:right w:val="single" w:color="auto" w:sz="4" w:space="0"/>
            </w:tcBorders>
            <w:noWrap/>
            <w:vAlign w:val="center"/>
          </w:tcPr>
          <w:p>
            <w:pPr>
              <w:widowControl/>
              <w:jc w:val="center"/>
              <w:rPr>
                <w:strike/>
                <w:color w:val="auto"/>
                <w:kern w:val="0"/>
                <w:szCs w:val="21"/>
              </w:rPr>
            </w:pPr>
            <w:r>
              <w:rPr>
                <w:strike/>
                <w:color w:val="auto"/>
                <w:kern w:val="0"/>
                <w:szCs w:val="21"/>
              </w:rPr>
              <w:t>10</w:t>
            </w:r>
          </w:p>
        </w:tc>
        <w:tc>
          <w:tcPr>
            <w:tcW w:w="2551" w:type="dxa"/>
            <w:tcBorders>
              <w:top w:val="nil"/>
              <w:left w:val="nil"/>
              <w:bottom w:val="single" w:color="auto" w:sz="4" w:space="0"/>
              <w:right w:val="single" w:color="auto" w:sz="4" w:space="0"/>
            </w:tcBorders>
            <w:noWrap/>
            <w:vAlign w:val="center"/>
          </w:tcPr>
          <w:p>
            <w:pPr>
              <w:widowControl/>
              <w:jc w:val="center"/>
              <w:rPr>
                <w:b/>
                <w:bCs/>
                <w:strike/>
                <w:color w:val="auto"/>
                <w:kern w:val="0"/>
                <w:szCs w:val="21"/>
              </w:rPr>
            </w:pPr>
            <w:r>
              <w:rPr>
                <w:rFonts w:hint="eastAsia"/>
                <w:b/>
                <w:bCs/>
                <w:strike/>
                <w:color w:val="auto"/>
                <w:kern w:val="0"/>
                <w:szCs w:val="21"/>
              </w:rPr>
              <w:t>　</w:t>
            </w:r>
          </w:p>
        </w:tc>
        <w:tc>
          <w:tcPr>
            <w:tcW w:w="3261" w:type="dxa"/>
            <w:tcBorders>
              <w:top w:val="nil"/>
              <w:left w:val="nil"/>
              <w:bottom w:val="single" w:color="auto" w:sz="4" w:space="0"/>
              <w:right w:val="single" w:color="auto" w:sz="4" w:space="0"/>
            </w:tcBorders>
            <w:noWrap/>
            <w:vAlign w:val="center"/>
          </w:tcPr>
          <w:p>
            <w:pPr>
              <w:widowControl/>
              <w:jc w:val="center"/>
              <w:rPr>
                <w:b/>
                <w:bCs/>
                <w:strike/>
                <w:color w:val="auto"/>
                <w:kern w:val="0"/>
                <w:szCs w:val="21"/>
              </w:rPr>
            </w:pPr>
            <w:r>
              <w:rPr>
                <w:rFonts w:hint="eastAsia"/>
                <w:b/>
                <w:bCs/>
                <w:strike/>
                <w:color w:val="auto"/>
                <w:kern w:val="0"/>
                <w:szCs w:val="21"/>
              </w:rPr>
              <w:t>　</w:t>
            </w:r>
          </w:p>
        </w:tc>
        <w:tc>
          <w:tcPr>
            <w:tcW w:w="992" w:type="dxa"/>
            <w:tcBorders>
              <w:top w:val="nil"/>
              <w:left w:val="nil"/>
              <w:bottom w:val="single" w:color="auto" w:sz="4" w:space="0"/>
              <w:right w:val="single" w:color="auto" w:sz="4" w:space="0"/>
            </w:tcBorders>
            <w:noWrap/>
            <w:vAlign w:val="center"/>
          </w:tcPr>
          <w:p>
            <w:pPr>
              <w:widowControl/>
              <w:jc w:val="center"/>
              <w:rPr>
                <w:strike/>
                <w:color w:val="auto"/>
                <w:kern w:val="0"/>
                <w:szCs w:val="21"/>
              </w:rPr>
            </w:pPr>
            <w:r>
              <w:rPr>
                <w:rFonts w:hint="eastAsia"/>
                <w:strike/>
                <w:color w:val="auto"/>
                <w:kern w:val="0"/>
                <w:szCs w:val="21"/>
              </w:rPr>
              <w:t>　</w:t>
            </w:r>
          </w:p>
        </w:tc>
      </w:tr>
      <w:tr>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ign w:val="center"/>
          </w:tcPr>
          <w:p>
            <w:pPr>
              <w:widowControl/>
              <w:jc w:val="center"/>
              <w:rPr>
                <w:strike/>
                <w:color w:val="auto"/>
                <w:kern w:val="0"/>
                <w:szCs w:val="21"/>
              </w:rPr>
            </w:pPr>
            <w:r>
              <w:rPr>
                <w:strike/>
                <w:color w:val="auto"/>
                <w:kern w:val="0"/>
                <w:szCs w:val="21"/>
              </w:rPr>
              <w:t>1</w:t>
            </w:r>
          </w:p>
        </w:tc>
        <w:tc>
          <w:tcPr>
            <w:tcW w:w="1393" w:type="dxa"/>
            <w:tcBorders>
              <w:top w:val="nil"/>
              <w:left w:val="nil"/>
              <w:bottom w:val="single" w:color="auto" w:sz="4" w:space="0"/>
              <w:right w:val="nil"/>
            </w:tcBorders>
            <w:noWrap/>
            <w:vAlign w:val="center"/>
          </w:tcPr>
          <w:p>
            <w:pPr>
              <w:widowControl/>
              <w:jc w:val="center"/>
              <w:rPr>
                <w:strike/>
                <w:color w:val="auto"/>
                <w:kern w:val="0"/>
                <w:szCs w:val="21"/>
              </w:rPr>
            </w:pPr>
            <w:r>
              <w:rPr>
                <w:rFonts w:hint="eastAsia" w:ascii="宋体" w:hAnsi="宋体"/>
                <w:strike/>
                <w:color w:val="auto"/>
                <w:kern w:val="0"/>
                <w:szCs w:val="21"/>
              </w:rPr>
              <w:t>项目负责人</w:t>
            </w:r>
          </w:p>
        </w:tc>
        <w:tc>
          <w:tcPr>
            <w:tcW w:w="709" w:type="dxa"/>
            <w:tcBorders>
              <w:top w:val="nil"/>
              <w:left w:val="single" w:color="auto" w:sz="4" w:space="0"/>
              <w:bottom w:val="single" w:color="auto" w:sz="4" w:space="0"/>
              <w:right w:val="single" w:color="auto" w:sz="4" w:space="0"/>
            </w:tcBorders>
            <w:noWrap/>
            <w:vAlign w:val="center"/>
          </w:tcPr>
          <w:p>
            <w:pPr>
              <w:widowControl/>
              <w:jc w:val="center"/>
              <w:rPr>
                <w:strike/>
                <w:color w:val="auto"/>
                <w:kern w:val="0"/>
                <w:szCs w:val="21"/>
              </w:rPr>
            </w:pPr>
            <w:r>
              <w:rPr>
                <w:strike/>
                <w:color w:val="auto"/>
                <w:kern w:val="0"/>
                <w:szCs w:val="21"/>
              </w:rPr>
              <w:t>5</w:t>
            </w:r>
          </w:p>
        </w:tc>
        <w:tc>
          <w:tcPr>
            <w:tcW w:w="2551" w:type="dxa"/>
            <w:tcBorders>
              <w:top w:val="nil"/>
              <w:left w:val="nil"/>
              <w:bottom w:val="single" w:color="auto" w:sz="4" w:space="0"/>
              <w:right w:val="single" w:color="auto" w:sz="4" w:space="0"/>
            </w:tcBorders>
            <w:noWrap/>
            <w:vAlign w:val="center"/>
          </w:tcPr>
          <w:p>
            <w:pPr>
              <w:widowControl/>
              <w:jc w:val="left"/>
              <w:rPr>
                <w:strike/>
                <w:color w:val="auto"/>
                <w:kern w:val="0"/>
                <w:szCs w:val="21"/>
              </w:rPr>
            </w:pPr>
            <w:r>
              <w:rPr>
                <w:rFonts w:hint="eastAsia" w:ascii="宋体" w:hAnsi="宋体"/>
                <w:strike/>
                <w:color w:val="auto"/>
                <w:kern w:val="0"/>
                <w:szCs w:val="21"/>
              </w:rPr>
              <w:t>是否按合同到位</w:t>
            </w:r>
          </w:p>
        </w:tc>
        <w:tc>
          <w:tcPr>
            <w:tcW w:w="3261" w:type="dxa"/>
            <w:tcBorders>
              <w:top w:val="nil"/>
              <w:left w:val="nil"/>
              <w:bottom w:val="single" w:color="auto" w:sz="4" w:space="0"/>
              <w:right w:val="single" w:color="auto" w:sz="4" w:space="0"/>
            </w:tcBorders>
            <w:noWrap/>
            <w:vAlign w:val="center"/>
          </w:tcPr>
          <w:p>
            <w:pPr>
              <w:widowControl/>
              <w:jc w:val="left"/>
              <w:rPr>
                <w:rFonts w:ascii="宋体" w:hAnsi="宋体"/>
                <w:strike/>
                <w:color w:val="auto"/>
                <w:kern w:val="0"/>
                <w:szCs w:val="21"/>
              </w:rPr>
            </w:pPr>
            <w:r>
              <w:rPr>
                <w:rFonts w:hint="eastAsia" w:ascii="宋体" w:hAnsi="宋体"/>
                <w:strike/>
                <w:color w:val="auto"/>
                <w:kern w:val="0"/>
                <w:szCs w:val="21"/>
              </w:rPr>
              <w:t>未按合同到位且未经甲方同意，每自行更换一次</w:t>
            </w:r>
            <w:r>
              <w:rPr>
                <w:rFonts w:hint="eastAsia"/>
                <w:strike/>
                <w:color w:val="auto"/>
                <w:kern w:val="0"/>
                <w:szCs w:val="21"/>
              </w:rPr>
              <w:t>，</w:t>
            </w:r>
            <w:r>
              <w:rPr>
                <w:rFonts w:hint="eastAsia" w:ascii="宋体" w:hAnsi="宋体"/>
                <w:strike/>
                <w:color w:val="auto"/>
                <w:kern w:val="0"/>
                <w:szCs w:val="21"/>
              </w:rPr>
              <w:t>扣</w:t>
            </w:r>
            <w:r>
              <w:rPr>
                <w:strike/>
                <w:color w:val="auto"/>
                <w:kern w:val="0"/>
                <w:szCs w:val="21"/>
              </w:rPr>
              <w:t>2</w:t>
            </w:r>
            <w:r>
              <w:rPr>
                <w:rFonts w:hint="eastAsia" w:ascii="宋体" w:hAnsi="宋体"/>
                <w:strike/>
                <w:color w:val="auto"/>
                <w:kern w:val="0"/>
                <w:szCs w:val="21"/>
              </w:rPr>
              <w:t>分；</w:t>
            </w:r>
          </w:p>
          <w:p>
            <w:pPr>
              <w:widowControl/>
              <w:jc w:val="left"/>
              <w:rPr>
                <w:strike/>
                <w:color w:val="auto"/>
                <w:kern w:val="0"/>
                <w:szCs w:val="21"/>
              </w:rPr>
            </w:pPr>
            <w:r>
              <w:rPr>
                <w:rFonts w:hint="eastAsia" w:ascii="宋体" w:hAnsi="宋体"/>
                <w:strike/>
                <w:color w:val="auto"/>
                <w:kern w:val="0"/>
                <w:szCs w:val="21"/>
              </w:rPr>
              <w:t>缺席甲方要求参加的重要会议，每次扣</w:t>
            </w:r>
            <w:r>
              <w:rPr>
                <w:rFonts w:ascii="宋体" w:hAnsi="宋体"/>
                <w:strike/>
                <w:color w:val="auto"/>
                <w:kern w:val="0"/>
                <w:szCs w:val="21"/>
              </w:rPr>
              <w:t>1分。</w:t>
            </w:r>
          </w:p>
        </w:tc>
        <w:tc>
          <w:tcPr>
            <w:tcW w:w="992" w:type="dxa"/>
            <w:tcBorders>
              <w:top w:val="nil"/>
              <w:left w:val="nil"/>
              <w:bottom w:val="single" w:color="auto" w:sz="4" w:space="0"/>
              <w:right w:val="single" w:color="auto" w:sz="4" w:space="0"/>
            </w:tcBorders>
            <w:noWrap/>
            <w:vAlign w:val="center"/>
          </w:tcPr>
          <w:p>
            <w:pPr>
              <w:widowControl/>
              <w:jc w:val="center"/>
              <w:rPr>
                <w:strike/>
                <w:color w:val="auto"/>
                <w:kern w:val="0"/>
                <w:szCs w:val="21"/>
              </w:rPr>
            </w:pPr>
            <w:r>
              <w:rPr>
                <w:rFonts w:hint="eastAsia"/>
                <w:strike/>
                <w:color w:val="auto"/>
                <w:kern w:val="0"/>
                <w:szCs w:val="21"/>
              </w:rPr>
              <w:t>　</w:t>
            </w:r>
          </w:p>
        </w:tc>
      </w:tr>
      <w:tr>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ign w:val="center"/>
          </w:tcPr>
          <w:p>
            <w:pPr>
              <w:widowControl/>
              <w:jc w:val="center"/>
              <w:rPr>
                <w:strike/>
                <w:color w:val="auto"/>
                <w:kern w:val="0"/>
                <w:szCs w:val="21"/>
              </w:rPr>
            </w:pPr>
            <w:r>
              <w:rPr>
                <w:strike/>
                <w:color w:val="auto"/>
                <w:kern w:val="0"/>
                <w:szCs w:val="21"/>
              </w:rPr>
              <w:t>2</w:t>
            </w:r>
          </w:p>
        </w:tc>
        <w:tc>
          <w:tcPr>
            <w:tcW w:w="1393" w:type="dxa"/>
            <w:tcBorders>
              <w:top w:val="single" w:color="auto" w:sz="4" w:space="0"/>
              <w:left w:val="nil"/>
              <w:bottom w:val="nil"/>
              <w:right w:val="nil"/>
            </w:tcBorders>
            <w:noWrap/>
            <w:vAlign w:val="center"/>
          </w:tcPr>
          <w:p>
            <w:pPr>
              <w:widowControl/>
              <w:jc w:val="left"/>
              <w:rPr>
                <w:rFonts w:ascii="宋体" w:hAnsi="宋体"/>
                <w:strike/>
                <w:color w:val="auto"/>
                <w:kern w:val="0"/>
                <w:szCs w:val="21"/>
              </w:rPr>
            </w:pPr>
            <w:r>
              <w:rPr>
                <w:rFonts w:hint="eastAsia" w:ascii="宋体" w:hAnsi="宋体"/>
                <w:strike/>
                <w:color w:val="auto"/>
                <w:kern w:val="0"/>
                <w:szCs w:val="21"/>
              </w:rPr>
              <w:t>各专业负责人</w:t>
            </w:r>
          </w:p>
        </w:tc>
        <w:tc>
          <w:tcPr>
            <w:tcW w:w="709" w:type="dxa"/>
            <w:tcBorders>
              <w:top w:val="nil"/>
              <w:left w:val="single" w:color="auto" w:sz="4" w:space="0"/>
              <w:bottom w:val="single" w:color="auto" w:sz="4" w:space="0"/>
              <w:right w:val="single" w:color="auto" w:sz="4" w:space="0"/>
            </w:tcBorders>
            <w:noWrap/>
            <w:vAlign w:val="center"/>
          </w:tcPr>
          <w:p>
            <w:pPr>
              <w:widowControl/>
              <w:jc w:val="center"/>
              <w:rPr>
                <w:strike/>
                <w:color w:val="auto"/>
                <w:kern w:val="0"/>
                <w:szCs w:val="21"/>
              </w:rPr>
            </w:pPr>
            <w:r>
              <w:rPr>
                <w:strike/>
                <w:color w:val="auto"/>
                <w:kern w:val="0"/>
                <w:szCs w:val="21"/>
              </w:rPr>
              <w:t>5</w:t>
            </w:r>
          </w:p>
        </w:tc>
        <w:tc>
          <w:tcPr>
            <w:tcW w:w="2551" w:type="dxa"/>
            <w:tcBorders>
              <w:top w:val="nil"/>
              <w:left w:val="nil"/>
              <w:bottom w:val="single" w:color="auto" w:sz="4" w:space="0"/>
              <w:right w:val="single" w:color="auto" w:sz="4" w:space="0"/>
            </w:tcBorders>
            <w:noWrap/>
            <w:vAlign w:val="center"/>
          </w:tcPr>
          <w:p>
            <w:pPr>
              <w:widowControl/>
              <w:jc w:val="left"/>
              <w:rPr>
                <w:rFonts w:ascii="宋体" w:hAnsi="宋体"/>
                <w:strike/>
                <w:color w:val="auto"/>
                <w:kern w:val="0"/>
                <w:szCs w:val="21"/>
              </w:rPr>
            </w:pPr>
            <w:r>
              <w:rPr>
                <w:rFonts w:hint="eastAsia" w:ascii="宋体" w:hAnsi="宋体"/>
                <w:strike/>
                <w:color w:val="auto"/>
                <w:kern w:val="0"/>
                <w:szCs w:val="21"/>
              </w:rPr>
              <w:t>人员是否稳定无更换</w:t>
            </w:r>
          </w:p>
        </w:tc>
        <w:tc>
          <w:tcPr>
            <w:tcW w:w="3261" w:type="dxa"/>
            <w:tcBorders>
              <w:top w:val="nil"/>
              <w:left w:val="nil"/>
              <w:bottom w:val="single" w:color="auto" w:sz="4" w:space="0"/>
              <w:right w:val="single" w:color="auto" w:sz="4" w:space="0"/>
            </w:tcBorders>
            <w:noWrap/>
            <w:vAlign w:val="center"/>
          </w:tcPr>
          <w:p>
            <w:pPr>
              <w:widowControl/>
              <w:jc w:val="left"/>
              <w:rPr>
                <w:rFonts w:ascii="宋体" w:hAnsi="宋体"/>
                <w:strike/>
                <w:color w:val="auto"/>
                <w:kern w:val="0"/>
                <w:szCs w:val="21"/>
              </w:rPr>
            </w:pPr>
            <w:r>
              <w:rPr>
                <w:rFonts w:hint="eastAsia" w:ascii="宋体" w:hAnsi="宋体"/>
                <w:strike/>
                <w:color w:val="auto"/>
                <w:kern w:val="0"/>
                <w:szCs w:val="21"/>
              </w:rPr>
              <w:t>未按合同到位且未经甲方同意，每自行更换一次</w:t>
            </w:r>
            <w:r>
              <w:rPr>
                <w:rFonts w:hint="eastAsia"/>
                <w:strike/>
                <w:color w:val="auto"/>
                <w:kern w:val="0"/>
                <w:szCs w:val="21"/>
              </w:rPr>
              <w:t>，</w:t>
            </w:r>
            <w:r>
              <w:rPr>
                <w:rFonts w:hint="eastAsia" w:ascii="宋体" w:hAnsi="宋体"/>
                <w:strike/>
                <w:color w:val="auto"/>
                <w:kern w:val="0"/>
                <w:szCs w:val="21"/>
              </w:rPr>
              <w:t>扣</w:t>
            </w:r>
            <w:r>
              <w:rPr>
                <w:strike/>
                <w:color w:val="auto"/>
                <w:kern w:val="0"/>
                <w:szCs w:val="21"/>
              </w:rPr>
              <w:t>2</w:t>
            </w:r>
            <w:r>
              <w:rPr>
                <w:rFonts w:hint="eastAsia" w:ascii="宋体" w:hAnsi="宋体"/>
                <w:strike/>
                <w:color w:val="auto"/>
                <w:kern w:val="0"/>
                <w:szCs w:val="21"/>
              </w:rPr>
              <w:t>分；</w:t>
            </w:r>
          </w:p>
          <w:p>
            <w:pPr>
              <w:widowControl/>
              <w:jc w:val="left"/>
              <w:rPr>
                <w:strike/>
                <w:color w:val="auto"/>
                <w:kern w:val="0"/>
                <w:szCs w:val="21"/>
              </w:rPr>
            </w:pPr>
            <w:r>
              <w:rPr>
                <w:rFonts w:hint="eastAsia" w:ascii="宋体" w:hAnsi="宋体"/>
                <w:strike/>
                <w:color w:val="auto"/>
                <w:kern w:val="0"/>
                <w:szCs w:val="21"/>
              </w:rPr>
              <w:t>缺席甲方要求参加的有关会议，每次扣</w:t>
            </w:r>
            <w:r>
              <w:rPr>
                <w:rFonts w:ascii="宋体" w:hAnsi="宋体"/>
                <w:strike/>
                <w:color w:val="auto"/>
                <w:kern w:val="0"/>
                <w:szCs w:val="21"/>
              </w:rPr>
              <w:t>1分。</w:t>
            </w:r>
          </w:p>
        </w:tc>
        <w:tc>
          <w:tcPr>
            <w:tcW w:w="992" w:type="dxa"/>
            <w:tcBorders>
              <w:top w:val="nil"/>
              <w:left w:val="nil"/>
              <w:bottom w:val="single" w:color="auto" w:sz="4" w:space="0"/>
              <w:right w:val="single" w:color="auto" w:sz="4" w:space="0"/>
            </w:tcBorders>
            <w:noWrap/>
            <w:vAlign w:val="center"/>
          </w:tcPr>
          <w:p>
            <w:pPr>
              <w:widowControl/>
              <w:jc w:val="center"/>
              <w:rPr>
                <w:strike/>
                <w:color w:val="auto"/>
                <w:kern w:val="0"/>
                <w:szCs w:val="21"/>
              </w:rPr>
            </w:pPr>
          </w:p>
        </w:tc>
      </w:tr>
      <w:tr>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ign w:val="center"/>
          </w:tcPr>
          <w:p>
            <w:pPr>
              <w:widowControl/>
              <w:jc w:val="center"/>
              <w:rPr>
                <w:strike/>
                <w:color w:val="auto"/>
                <w:kern w:val="0"/>
                <w:szCs w:val="21"/>
              </w:rPr>
            </w:pPr>
            <w:r>
              <w:rPr>
                <w:rFonts w:hint="eastAsia" w:ascii="宋体" w:hAnsi="宋体"/>
                <w:strike/>
                <w:color w:val="auto"/>
                <w:kern w:val="0"/>
                <w:szCs w:val="21"/>
              </w:rPr>
              <w:t>二</w:t>
            </w:r>
          </w:p>
        </w:tc>
        <w:tc>
          <w:tcPr>
            <w:tcW w:w="1393" w:type="dxa"/>
            <w:tcBorders>
              <w:top w:val="single" w:color="auto" w:sz="4" w:space="0"/>
              <w:left w:val="nil"/>
              <w:bottom w:val="single" w:color="auto" w:sz="4" w:space="0"/>
              <w:right w:val="single" w:color="auto" w:sz="4" w:space="0"/>
            </w:tcBorders>
            <w:noWrap/>
            <w:vAlign w:val="center"/>
          </w:tcPr>
          <w:p>
            <w:pPr>
              <w:widowControl/>
              <w:jc w:val="left"/>
              <w:rPr>
                <w:strike/>
                <w:color w:val="auto"/>
                <w:kern w:val="0"/>
                <w:szCs w:val="21"/>
              </w:rPr>
            </w:pPr>
            <w:r>
              <w:rPr>
                <w:rFonts w:hint="eastAsia" w:ascii="宋体" w:hAnsi="宋体"/>
                <w:strike/>
                <w:color w:val="auto"/>
                <w:kern w:val="0"/>
                <w:szCs w:val="21"/>
              </w:rPr>
              <w:t>能力水平及履约表现</w:t>
            </w:r>
          </w:p>
        </w:tc>
        <w:tc>
          <w:tcPr>
            <w:tcW w:w="709" w:type="dxa"/>
            <w:tcBorders>
              <w:top w:val="nil"/>
              <w:left w:val="nil"/>
              <w:bottom w:val="single" w:color="auto" w:sz="4" w:space="0"/>
              <w:right w:val="single" w:color="auto" w:sz="4" w:space="0"/>
            </w:tcBorders>
            <w:noWrap/>
            <w:vAlign w:val="center"/>
          </w:tcPr>
          <w:p>
            <w:pPr>
              <w:widowControl/>
              <w:jc w:val="center"/>
              <w:rPr>
                <w:strike/>
                <w:color w:val="auto"/>
                <w:kern w:val="0"/>
                <w:szCs w:val="21"/>
              </w:rPr>
            </w:pPr>
            <w:r>
              <w:rPr>
                <w:strike/>
                <w:color w:val="auto"/>
                <w:kern w:val="0"/>
                <w:szCs w:val="21"/>
              </w:rPr>
              <w:t>10</w:t>
            </w:r>
          </w:p>
        </w:tc>
        <w:tc>
          <w:tcPr>
            <w:tcW w:w="2551" w:type="dxa"/>
            <w:tcBorders>
              <w:top w:val="nil"/>
              <w:left w:val="nil"/>
              <w:bottom w:val="single" w:color="auto" w:sz="4" w:space="0"/>
              <w:right w:val="single" w:color="auto" w:sz="4" w:space="0"/>
            </w:tcBorders>
            <w:noWrap/>
            <w:vAlign w:val="center"/>
          </w:tcPr>
          <w:p>
            <w:pPr>
              <w:widowControl/>
              <w:jc w:val="left"/>
              <w:rPr>
                <w:strike/>
                <w:color w:val="auto"/>
                <w:kern w:val="0"/>
                <w:szCs w:val="21"/>
              </w:rPr>
            </w:pPr>
            <w:r>
              <w:rPr>
                <w:rFonts w:hint="eastAsia"/>
                <w:strike/>
                <w:color w:val="auto"/>
                <w:kern w:val="0"/>
                <w:szCs w:val="21"/>
              </w:rPr>
              <w:t>　</w:t>
            </w:r>
          </w:p>
        </w:tc>
        <w:tc>
          <w:tcPr>
            <w:tcW w:w="3261" w:type="dxa"/>
            <w:tcBorders>
              <w:top w:val="nil"/>
              <w:left w:val="nil"/>
              <w:bottom w:val="single" w:color="auto" w:sz="4" w:space="0"/>
              <w:right w:val="single" w:color="auto" w:sz="4" w:space="0"/>
            </w:tcBorders>
            <w:noWrap/>
            <w:vAlign w:val="center"/>
          </w:tcPr>
          <w:p>
            <w:pPr>
              <w:widowControl/>
              <w:jc w:val="left"/>
              <w:rPr>
                <w:strike/>
                <w:color w:val="auto"/>
                <w:kern w:val="0"/>
                <w:szCs w:val="21"/>
              </w:rPr>
            </w:pPr>
          </w:p>
        </w:tc>
        <w:tc>
          <w:tcPr>
            <w:tcW w:w="992" w:type="dxa"/>
            <w:tcBorders>
              <w:top w:val="nil"/>
              <w:left w:val="nil"/>
              <w:bottom w:val="single" w:color="auto" w:sz="4" w:space="0"/>
              <w:right w:val="single" w:color="auto" w:sz="4" w:space="0"/>
            </w:tcBorders>
            <w:noWrap/>
            <w:vAlign w:val="center"/>
          </w:tcPr>
          <w:p>
            <w:pPr>
              <w:widowControl/>
              <w:jc w:val="center"/>
              <w:rPr>
                <w:strike/>
                <w:color w:val="auto"/>
                <w:kern w:val="0"/>
                <w:szCs w:val="21"/>
              </w:rPr>
            </w:pPr>
            <w:r>
              <w:rPr>
                <w:rFonts w:hint="eastAsia"/>
                <w:strike/>
                <w:color w:val="auto"/>
                <w:kern w:val="0"/>
                <w:szCs w:val="21"/>
              </w:rPr>
              <w:t>　</w:t>
            </w:r>
          </w:p>
        </w:tc>
      </w:tr>
      <w:tr>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ign w:val="center"/>
          </w:tcPr>
          <w:p>
            <w:pPr>
              <w:widowControl/>
              <w:jc w:val="center"/>
              <w:rPr>
                <w:strike/>
                <w:color w:val="auto"/>
                <w:kern w:val="0"/>
                <w:szCs w:val="21"/>
              </w:rPr>
            </w:pPr>
            <w:r>
              <w:rPr>
                <w:strike/>
                <w:color w:val="auto"/>
                <w:kern w:val="0"/>
                <w:szCs w:val="21"/>
              </w:rPr>
              <w:t>1</w:t>
            </w:r>
          </w:p>
        </w:tc>
        <w:tc>
          <w:tcPr>
            <w:tcW w:w="1393" w:type="dxa"/>
            <w:tcBorders>
              <w:top w:val="nil"/>
              <w:left w:val="nil"/>
              <w:bottom w:val="single" w:color="auto" w:sz="4" w:space="0"/>
              <w:right w:val="single" w:color="auto" w:sz="4" w:space="0"/>
            </w:tcBorders>
            <w:noWrap/>
            <w:vAlign w:val="center"/>
          </w:tcPr>
          <w:p>
            <w:pPr>
              <w:widowControl/>
              <w:jc w:val="left"/>
              <w:rPr>
                <w:strike/>
                <w:color w:val="auto"/>
                <w:kern w:val="0"/>
                <w:szCs w:val="21"/>
              </w:rPr>
            </w:pPr>
            <w:r>
              <w:rPr>
                <w:rFonts w:hint="eastAsia" w:ascii="宋体" w:hAnsi="宋体"/>
                <w:strike/>
                <w:color w:val="auto"/>
                <w:kern w:val="0"/>
                <w:szCs w:val="21"/>
              </w:rPr>
              <w:t>项目负责人</w:t>
            </w:r>
          </w:p>
        </w:tc>
        <w:tc>
          <w:tcPr>
            <w:tcW w:w="709" w:type="dxa"/>
            <w:tcBorders>
              <w:top w:val="nil"/>
              <w:left w:val="nil"/>
              <w:bottom w:val="single" w:color="auto" w:sz="4" w:space="0"/>
              <w:right w:val="single" w:color="auto" w:sz="4" w:space="0"/>
            </w:tcBorders>
            <w:noWrap/>
            <w:vAlign w:val="center"/>
          </w:tcPr>
          <w:p>
            <w:pPr>
              <w:widowControl/>
              <w:jc w:val="center"/>
              <w:rPr>
                <w:strike/>
                <w:color w:val="auto"/>
                <w:kern w:val="0"/>
                <w:szCs w:val="21"/>
              </w:rPr>
            </w:pPr>
            <w:r>
              <w:rPr>
                <w:strike/>
                <w:color w:val="auto"/>
                <w:kern w:val="0"/>
                <w:szCs w:val="21"/>
              </w:rPr>
              <w:t>5</w:t>
            </w:r>
          </w:p>
        </w:tc>
        <w:tc>
          <w:tcPr>
            <w:tcW w:w="2551" w:type="dxa"/>
            <w:tcBorders>
              <w:top w:val="nil"/>
              <w:left w:val="nil"/>
              <w:bottom w:val="single" w:color="auto" w:sz="4" w:space="0"/>
              <w:right w:val="single" w:color="auto" w:sz="4" w:space="0"/>
            </w:tcBorders>
            <w:noWrap/>
            <w:vAlign w:val="center"/>
          </w:tcPr>
          <w:p>
            <w:pPr>
              <w:widowControl/>
              <w:jc w:val="left"/>
              <w:rPr>
                <w:strike/>
                <w:color w:val="auto"/>
                <w:kern w:val="0"/>
                <w:szCs w:val="21"/>
              </w:rPr>
            </w:pPr>
            <w:r>
              <w:rPr>
                <w:rFonts w:hint="eastAsia" w:ascii="宋体" w:hAnsi="宋体"/>
                <w:strike/>
                <w:color w:val="auto"/>
                <w:kern w:val="0"/>
                <w:szCs w:val="21"/>
              </w:rPr>
              <w:t>是否具有较强的协调组织能力；是否及时发现问题和处理问题；是否能与甲方、使用单位及业务主管部门等相关单位充分沟通</w:t>
            </w:r>
          </w:p>
        </w:tc>
        <w:tc>
          <w:tcPr>
            <w:tcW w:w="3261" w:type="dxa"/>
            <w:tcBorders>
              <w:top w:val="nil"/>
              <w:left w:val="nil"/>
              <w:bottom w:val="single" w:color="auto" w:sz="4" w:space="0"/>
              <w:right w:val="single" w:color="auto" w:sz="4" w:space="0"/>
            </w:tcBorders>
            <w:noWrap/>
            <w:vAlign w:val="center"/>
          </w:tcPr>
          <w:p>
            <w:pPr>
              <w:widowControl/>
              <w:jc w:val="left"/>
              <w:rPr>
                <w:rFonts w:ascii="宋体" w:hAnsi="宋体"/>
                <w:strike/>
                <w:color w:val="auto"/>
                <w:kern w:val="0"/>
                <w:szCs w:val="21"/>
              </w:rPr>
            </w:pPr>
            <w:r>
              <w:rPr>
                <w:strike/>
                <w:color w:val="auto"/>
                <w:kern w:val="0"/>
                <w:szCs w:val="21"/>
              </w:rPr>
              <w:t>1</w:t>
            </w:r>
            <w:r>
              <w:rPr>
                <w:rFonts w:hint="eastAsia" w:ascii="宋体" w:hAnsi="宋体"/>
                <w:strike/>
                <w:color w:val="auto"/>
                <w:kern w:val="0"/>
                <w:szCs w:val="21"/>
              </w:rPr>
              <w:t>、责任心不强、工作协调不到位；</w:t>
            </w:r>
          </w:p>
          <w:p>
            <w:pPr>
              <w:widowControl/>
              <w:jc w:val="left"/>
              <w:rPr>
                <w:rFonts w:ascii="宋体" w:hAnsi="宋体"/>
                <w:strike/>
                <w:color w:val="auto"/>
                <w:kern w:val="0"/>
                <w:szCs w:val="21"/>
              </w:rPr>
            </w:pPr>
            <w:r>
              <w:rPr>
                <w:strike/>
                <w:color w:val="auto"/>
                <w:kern w:val="0"/>
                <w:szCs w:val="21"/>
              </w:rPr>
              <w:t>2</w:t>
            </w:r>
            <w:r>
              <w:rPr>
                <w:rFonts w:hint="eastAsia" w:ascii="宋体" w:hAnsi="宋体"/>
                <w:strike/>
                <w:color w:val="auto"/>
                <w:kern w:val="0"/>
                <w:szCs w:val="21"/>
              </w:rPr>
              <w:t>、发现问题后未及时处理；</w:t>
            </w:r>
          </w:p>
          <w:p>
            <w:pPr>
              <w:widowControl/>
              <w:jc w:val="left"/>
              <w:rPr>
                <w:rFonts w:ascii="宋体" w:hAnsi="宋体"/>
                <w:strike/>
                <w:color w:val="auto"/>
                <w:kern w:val="0"/>
                <w:szCs w:val="21"/>
              </w:rPr>
            </w:pPr>
            <w:r>
              <w:rPr>
                <w:strike/>
                <w:color w:val="auto"/>
                <w:kern w:val="0"/>
                <w:szCs w:val="21"/>
              </w:rPr>
              <w:t>3</w:t>
            </w:r>
            <w:r>
              <w:rPr>
                <w:rFonts w:hint="eastAsia" w:ascii="宋体" w:hAnsi="宋体"/>
                <w:strike/>
                <w:color w:val="auto"/>
                <w:kern w:val="0"/>
                <w:szCs w:val="21"/>
              </w:rPr>
              <w:t>、未与相关参建单位或管理部门及时沟通；</w:t>
            </w:r>
          </w:p>
          <w:p>
            <w:pPr>
              <w:widowControl/>
              <w:jc w:val="left"/>
              <w:rPr>
                <w:rFonts w:ascii="宋体" w:hAnsi="宋体"/>
                <w:strike/>
                <w:color w:val="auto"/>
                <w:kern w:val="0"/>
                <w:szCs w:val="21"/>
              </w:rPr>
            </w:pPr>
            <w:r>
              <w:rPr>
                <w:strike/>
                <w:color w:val="auto"/>
                <w:kern w:val="0"/>
                <w:szCs w:val="21"/>
              </w:rPr>
              <w:t>4</w:t>
            </w:r>
            <w:r>
              <w:rPr>
                <w:rFonts w:hint="eastAsia" w:ascii="宋体" w:hAnsi="宋体"/>
                <w:strike/>
                <w:color w:val="auto"/>
                <w:kern w:val="0"/>
                <w:szCs w:val="21"/>
              </w:rPr>
              <w:t>、未落实甲方的相关要求或会议纪要等文件精神。</w:t>
            </w:r>
          </w:p>
          <w:p>
            <w:pPr>
              <w:widowControl/>
              <w:jc w:val="left"/>
              <w:rPr>
                <w:strike/>
                <w:color w:val="auto"/>
                <w:kern w:val="0"/>
                <w:szCs w:val="21"/>
              </w:rPr>
            </w:pPr>
            <w:r>
              <w:rPr>
                <w:rFonts w:hint="eastAsia" w:ascii="宋体" w:hAnsi="宋体"/>
                <w:strike/>
                <w:color w:val="auto"/>
                <w:kern w:val="0"/>
                <w:szCs w:val="21"/>
              </w:rPr>
              <w:t>以上各项每发生一次扣</w:t>
            </w:r>
            <w:r>
              <w:rPr>
                <w:strike/>
                <w:color w:val="auto"/>
                <w:kern w:val="0"/>
                <w:szCs w:val="21"/>
              </w:rPr>
              <w:t>2</w:t>
            </w:r>
            <w:r>
              <w:rPr>
                <w:rFonts w:hint="eastAsia" w:ascii="宋体" w:hAnsi="宋体"/>
                <w:strike/>
                <w:color w:val="auto"/>
                <w:kern w:val="0"/>
                <w:szCs w:val="21"/>
              </w:rPr>
              <w:t>分。</w:t>
            </w:r>
          </w:p>
        </w:tc>
        <w:tc>
          <w:tcPr>
            <w:tcW w:w="992" w:type="dxa"/>
            <w:tcBorders>
              <w:top w:val="nil"/>
              <w:left w:val="nil"/>
              <w:bottom w:val="single" w:color="auto" w:sz="4" w:space="0"/>
              <w:right w:val="single" w:color="auto" w:sz="4" w:space="0"/>
            </w:tcBorders>
            <w:noWrap/>
            <w:vAlign w:val="center"/>
          </w:tcPr>
          <w:p>
            <w:pPr>
              <w:widowControl/>
              <w:jc w:val="center"/>
              <w:rPr>
                <w:strike/>
                <w:color w:val="auto"/>
                <w:kern w:val="0"/>
                <w:szCs w:val="21"/>
              </w:rPr>
            </w:pPr>
            <w:r>
              <w:rPr>
                <w:rFonts w:hint="eastAsia"/>
                <w:strike/>
                <w:color w:val="auto"/>
                <w:kern w:val="0"/>
                <w:szCs w:val="21"/>
              </w:rPr>
              <w:t>　</w:t>
            </w:r>
          </w:p>
        </w:tc>
      </w:tr>
      <w:tr>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ign w:val="center"/>
          </w:tcPr>
          <w:p>
            <w:pPr>
              <w:widowControl/>
              <w:jc w:val="center"/>
              <w:rPr>
                <w:strike/>
                <w:color w:val="auto"/>
                <w:kern w:val="0"/>
                <w:szCs w:val="21"/>
              </w:rPr>
            </w:pPr>
            <w:r>
              <w:rPr>
                <w:strike/>
                <w:color w:val="auto"/>
                <w:kern w:val="0"/>
                <w:szCs w:val="21"/>
              </w:rPr>
              <w:t>2</w:t>
            </w:r>
          </w:p>
        </w:tc>
        <w:tc>
          <w:tcPr>
            <w:tcW w:w="1393" w:type="dxa"/>
            <w:tcBorders>
              <w:top w:val="nil"/>
              <w:left w:val="nil"/>
              <w:bottom w:val="single" w:color="auto" w:sz="4" w:space="0"/>
              <w:right w:val="single" w:color="auto" w:sz="4" w:space="0"/>
            </w:tcBorders>
            <w:noWrap/>
            <w:vAlign w:val="center"/>
          </w:tcPr>
          <w:p>
            <w:pPr>
              <w:widowControl/>
              <w:jc w:val="left"/>
              <w:rPr>
                <w:strike/>
                <w:color w:val="auto"/>
                <w:kern w:val="0"/>
                <w:szCs w:val="21"/>
              </w:rPr>
            </w:pPr>
            <w:r>
              <w:rPr>
                <w:rFonts w:hint="eastAsia" w:ascii="宋体" w:hAnsi="宋体"/>
                <w:strike/>
                <w:color w:val="auto"/>
                <w:kern w:val="0"/>
                <w:szCs w:val="21"/>
              </w:rPr>
              <w:t>各专业负责人</w:t>
            </w:r>
          </w:p>
        </w:tc>
        <w:tc>
          <w:tcPr>
            <w:tcW w:w="709" w:type="dxa"/>
            <w:tcBorders>
              <w:top w:val="nil"/>
              <w:left w:val="nil"/>
              <w:bottom w:val="single" w:color="auto" w:sz="4" w:space="0"/>
              <w:right w:val="single" w:color="auto" w:sz="4" w:space="0"/>
            </w:tcBorders>
            <w:noWrap/>
            <w:vAlign w:val="center"/>
          </w:tcPr>
          <w:p>
            <w:pPr>
              <w:widowControl/>
              <w:jc w:val="center"/>
              <w:rPr>
                <w:strike/>
                <w:color w:val="auto"/>
                <w:kern w:val="0"/>
                <w:szCs w:val="21"/>
              </w:rPr>
            </w:pPr>
            <w:r>
              <w:rPr>
                <w:strike/>
                <w:color w:val="auto"/>
                <w:kern w:val="0"/>
                <w:szCs w:val="21"/>
              </w:rPr>
              <w:t>5</w:t>
            </w:r>
          </w:p>
        </w:tc>
        <w:tc>
          <w:tcPr>
            <w:tcW w:w="2551" w:type="dxa"/>
            <w:tcBorders>
              <w:top w:val="nil"/>
              <w:left w:val="nil"/>
              <w:bottom w:val="single" w:color="auto" w:sz="4" w:space="0"/>
              <w:right w:val="single" w:color="auto" w:sz="4" w:space="0"/>
            </w:tcBorders>
            <w:noWrap/>
            <w:vAlign w:val="center"/>
          </w:tcPr>
          <w:p>
            <w:pPr>
              <w:widowControl/>
              <w:jc w:val="left"/>
              <w:rPr>
                <w:strike/>
                <w:color w:val="auto"/>
                <w:kern w:val="0"/>
                <w:szCs w:val="21"/>
              </w:rPr>
            </w:pPr>
            <w:r>
              <w:rPr>
                <w:rFonts w:hint="eastAsia" w:ascii="宋体" w:hAnsi="宋体"/>
                <w:strike/>
                <w:color w:val="auto"/>
                <w:kern w:val="0"/>
                <w:szCs w:val="21"/>
              </w:rPr>
              <w:t>是否有责任心；是否有较高的专业水平；与甲方、使用单位的沟通是否顺畅</w:t>
            </w:r>
          </w:p>
        </w:tc>
        <w:tc>
          <w:tcPr>
            <w:tcW w:w="3261" w:type="dxa"/>
            <w:tcBorders>
              <w:top w:val="nil"/>
              <w:left w:val="nil"/>
              <w:bottom w:val="single" w:color="auto" w:sz="4" w:space="0"/>
              <w:right w:val="single" w:color="auto" w:sz="4" w:space="0"/>
            </w:tcBorders>
            <w:noWrap/>
            <w:vAlign w:val="center"/>
          </w:tcPr>
          <w:p>
            <w:pPr>
              <w:widowControl/>
              <w:jc w:val="left"/>
              <w:rPr>
                <w:rFonts w:ascii="宋体" w:hAnsi="宋体"/>
                <w:strike/>
                <w:color w:val="auto"/>
                <w:kern w:val="0"/>
                <w:szCs w:val="21"/>
              </w:rPr>
            </w:pPr>
            <w:r>
              <w:rPr>
                <w:strike/>
                <w:color w:val="auto"/>
                <w:kern w:val="0"/>
                <w:szCs w:val="21"/>
              </w:rPr>
              <w:t>1</w:t>
            </w:r>
            <w:r>
              <w:rPr>
                <w:rFonts w:hint="eastAsia" w:ascii="宋体" w:hAnsi="宋体"/>
                <w:strike/>
                <w:color w:val="auto"/>
                <w:kern w:val="0"/>
                <w:szCs w:val="21"/>
              </w:rPr>
              <w:t>、责任心不强；</w:t>
            </w:r>
          </w:p>
          <w:p>
            <w:pPr>
              <w:widowControl/>
              <w:jc w:val="left"/>
              <w:rPr>
                <w:rFonts w:ascii="宋体" w:hAnsi="宋体"/>
                <w:strike/>
                <w:color w:val="auto"/>
                <w:kern w:val="0"/>
                <w:szCs w:val="21"/>
              </w:rPr>
            </w:pPr>
            <w:r>
              <w:rPr>
                <w:strike/>
                <w:color w:val="auto"/>
                <w:kern w:val="0"/>
                <w:szCs w:val="21"/>
              </w:rPr>
              <w:t>2</w:t>
            </w:r>
            <w:r>
              <w:rPr>
                <w:rFonts w:hint="eastAsia" w:ascii="宋体" w:hAnsi="宋体"/>
                <w:strike/>
                <w:color w:val="auto"/>
                <w:kern w:val="0"/>
                <w:szCs w:val="21"/>
              </w:rPr>
              <w:t>、专业水平不高；</w:t>
            </w:r>
          </w:p>
          <w:p>
            <w:pPr>
              <w:widowControl/>
              <w:jc w:val="left"/>
              <w:rPr>
                <w:rFonts w:ascii="宋体" w:hAnsi="宋体"/>
                <w:strike/>
                <w:color w:val="auto"/>
                <w:kern w:val="0"/>
                <w:szCs w:val="21"/>
              </w:rPr>
            </w:pPr>
            <w:r>
              <w:rPr>
                <w:strike/>
                <w:color w:val="auto"/>
                <w:kern w:val="0"/>
                <w:szCs w:val="21"/>
              </w:rPr>
              <w:t>3</w:t>
            </w:r>
            <w:r>
              <w:rPr>
                <w:rFonts w:hint="eastAsia" w:ascii="宋体" w:hAnsi="宋体"/>
                <w:strike/>
                <w:color w:val="auto"/>
                <w:kern w:val="0"/>
                <w:szCs w:val="21"/>
              </w:rPr>
              <w:t>、与甲方、使用单位的沟通不到位；</w:t>
            </w:r>
          </w:p>
          <w:p>
            <w:pPr>
              <w:widowControl/>
              <w:jc w:val="left"/>
              <w:rPr>
                <w:strike/>
                <w:color w:val="auto"/>
                <w:kern w:val="0"/>
                <w:szCs w:val="21"/>
              </w:rPr>
            </w:pPr>
            <w:r>
              <w:rPr>
                <w:rFonts w:hint="eastAsia" w:ascii="宋体" w:hAnsi="宋体"/>
                <w:strike/>
                <w:color w:val="auto"/>
                <w:kern w:val="0"/>
                <w:szCs w:val="21"/>
              </w:rPr>
              <w:t>以上各项每发生一次扣</w:t>
            </w:r>
            <w:r>
              <w:rPr>
                <w:strike/>
                <w:color w:val="auto"/>
                <w:kern w:val="0"/>
                <w:szCs w:val="21"/>
              </w:rPr>
              <w:t>1</w:t>
            </w:r>
            <w:r>
              <w:rPr>
                <w:rFonts w:hint="eastAsia" w:ascii="宋体" w:hAnsi="宋体"/>
                <w:strike/>
                <w:color w:val="auto"/>
                <w:kern w:val="0"/>
                <w:szCs w:val="21"/>
              </w:rPr>
              <w:t>分。</w:t>
            </w:r>
          </w:p>
        </w:tc>
        <w:tc>
          <w:tcPr>
            <w:tcW w:w="992" w:type="dxa"/>
            <w:tcBorders>
              <w:top w:val="nil"/>
              <w:left w:val="nil"/>
              <w:bottom w:val="single" w:color="auto" w:sz="4" w:space="0"/>
              <w:right w:val="single" w:color="auto" w:sz="4" w:space="0"/>
            </w:tcBorders>
            <w:noWrap/>
            <w:vAlign w:val="center"/>
          </w:tcPr>
          <w:p>
            <w:pPr>
              <w:widowControl/>
              <w:jc w:val="center"/>
              <w:rPr>
                <w:strike/>
                <w:color w:val="auto"/>
                <w:kern w:val="0"/>
                <w:szCs w:val="21"/>
              </w:rPr>
            </w:pPr>
            <w:r>
              <w:rPr>
                <w:rFonts w:hint="eastAsia"/>
                <w:strike/>
                <w:color w:val="auto"/>
                <w:kern w:val="0"/>
                <w:szCs w:val="21"/>
              </w:rPr>
              <w:t>　</w:t>
            </w:r>
          </w:p>
        </w:tc>
      </w:tr>
      <w:tr>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strike/>
                <w:color w:val="auto"/>
                <w:kern w:val="0"/>
                <w:szCs w:val="21"/>
              </w:rPr>
            </w:pPr>
            <w:r>
              <w:rPr>
                <w:rFonts w:hint="eastAsia" w:ascii="宋体" w:hAnsi="宋体" w:cs="宋体"/>
                <w:strike/>
                <w:color w:val="auto"/>
                <w:kern w:val="0"/>
                <w:szCs w:val="21"/>
              </w:rPr>
              <w:t>三</w:t>
            </w:r>
          </w:p>
        </w:tc>
        <w:tc>
          <w:tcPr>
            <w:tcW w:w="1393" w:type="dxa"/>
            <w:tcBorders>
              <w:top w:val="nil"/>
              <w:left w:val="nil"/>
              <w:bottom w:val="single" w:color="auto" w:sz="4" w:space="0"/>
              <w:right w:val="single" w:color="auto" w:sz="4" w:space="0"/>
            </w:tcBorders>
            <w:noWrap/>
            <w:vAlign w:val="center"/>
          </w:tcPr>
          <w:p>
            <w:pPr>
              <w:widowControl/>
              <w:jc w:val="center"/>
              <w:rPr>
                <w:rFonts w:ascii="宋体" w:hAnsi="宋体" w:cs="宋体"/>
                <w:strike/>
                <w:color w:val="auto"/>
                <w:kern w:val="0"/>
                <w:szCs w:val="21"/>
              </w:rPr>
            </w:pPr>
            <w:r>
              <w:rPr>
                <w:rFonts w:hint="eastAsia" w:ascii="宋体" w:hAnsi="宋体" w:cs="宋体"/>
                <w:strike/>
                <w:color w:val="auto"/>
                <w:kern w:val="0"/>
                <w:szCs w:val="21"/>
              </w:rPr>
              <w:t>设计质量</w:t>
            </w:r>
          </w:p>
        </w:tc>
        <w:tc>
          <w:tcPr>
            <w:tcW w:w="709"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strike/>
                <w:color w:val="auto"/>
                <w:kern w:val="0"/>
                <w:szCs w:val="21"/>
              </w:rPr>
            </w:pPr>
            <w:r>
              <w:rPr>
                <w:rFonts w:ascii="仿宋_GB2312" w:hAnsi="宋体" w:eastAsia="仿宋_GB2312" w:cs="宋体"/>
                <w:strike/>
                <w:color w:val="auto"/>
                <w:kern w:val="0"/>
                <w:szCs w:val="21"/>
              </w:rPr>
              <w:t>50</w:t>
            </w:r>
          </w:p>
        </w:tc>
        <w:tc>
          <w:tcPr>
            <w:tcW w:w="2551" w:type="dxa"/>
            <w:tcBorders>
              <w:top w:val="nil"/>
              <w:left w:val="nil"/>
              <w:bottom w:val="single" w:color="auto" w:sz="4" w:space="0"/>
              <w:right w:val="single" w:color="auto" w:sz="4" w:space="0"/>
            </w:tcBorders>
            <w:noWrap/>
            <w:vAlign w:val="center"/>
          </w:tcPr>
          <w:p>
            <w:pPr>
              <w:widowControl/>
              <w:jc w:val="left"/>
              <w:rPr>
                <w:rFonts w:ascii="宋体" w:hAnsi="宋体" w:cs="宋体"/>
                <w:strike/>
                <w:color w:val="auto"/>
                <w:kern w:val="0"/>
                <w:szCs w:val="21"/>
              </w:rPr>
            </w:pPr>
            <w:r>
              <w:rPr>
                <w:rFonts w:hint="eastAsia" w:ascii="宋体" w:hAnsi="宋体" w:cs="宋体"/>
                <w:strike/>
                <w:color w:val="auto"/>
                <w:kern w:val="0"/>
                <w:szCs w:val="21"/>
              </w:rPr>
              <w:t>　</w:t>
            </w:r>
          </w:p>
        </w:tc>
        <w:tc>
          <w:tcPr>
            <w:tcW w:w="3261" w:type="dxa"/>
            <w:tcBorders>
              <w:top w:val="nil"/>
              <w:left w:val="nil"/>
              <w:bottom w:val="single" w:color="auto" w:sz="4" w:space="0"/>
              <w:right w:val="single" w:color="auto" w:sz="4" w:space="0"/>
            </w:tcBorders>
            <w:noWrap/>
            <w:vAlign w:val="center"/>
          </w:tcPr>
          <w:p>
            <w:pPr>
              <w:widowControl/>
              <w:jc w:val="left"/>
              <w:rPr>
                <w:rFonts w:ascii="宋体" w:hAnsi="宋体" w:cs="宋体"/>
                <w:strike/>
                <w:color w:val="auto"/>
                <w:kern w:val="0"/>
                <w:szCs w:val="21"/>
              </w:rPr>
            </w:pPr>
            <w:r>
              <w:rPr>
                <w:rFonts w:hint="eastAsia" w:ascii="宋体" w:hAnsi="宋体" w:cs="宋体"/>
                <w:strike/>
                <w:color w:val="auto"/>
                <w:kern w:val="0"/>
                <w:szCs w:val="21"/>
              </w:rPr>
              <w:t>　</w:t>
            </w:r>
          </w:p>
        </w:tc>
        <w:tc>
          <w:tcPr>
            <w:tcW w:w="992" w:type="dxa"/>
            <w:tcBorders>
              <w:top w:val="nil"/>
              <w:left w:val="nil"/>
              <w:bottom w:val="single" w:color="auto" w:sz="4" w:space="0"/>
              <w:right w:val="single" w:color="auto" w:sz="4" w:space="0"/>
            </w:tcBorders>
            <w:noWrap/>
            <w:vAlign w:val="center"/>
          </w:tcPr>
          <w:p>
            <w:pPr>
              <w:widowControl/>
              <w:jc w:val="left"/>
              <w:rPr>
                <w:rFonts w:ascii="宋体" w:hAnsi="宋体" w:cs="宋体"/>
                <w:strike/>
                <w:color w:val="auto"/>
                <w:kern w:val="0"/>
                <w:szCs w:val="21"/>
              </w:rPr>
            </w:pPr>
            <w:r>
              <w:rPr>
                <w:rFonts w:hint="eastAsia" w:ascii="宋体" w:hAnsi="宋体" w:cs="宋体"/>
                <w:strike/>
                <w:color w:val="auto"/>
                <w:kern w:val="0"/>
                <w:szCs w:val="21"/>
              </w:rPr>
              <w:t>　</w:t>
            </w:r>
          </w:p>
        </w:tc>
      </w:tr>
      <w:tr>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strike/>
                <w:color w:val="auto"/>
                <w:kern w:val="0"/>
                <w:szCs w:val="21"/>
              </w:rPr>
            </w:pPr>
            <w:r>
              <w:rPr>
                <w:rFonts w:ascii="宋体" w:hAnsi="宋体" w:cs="宋体"/>
                <w:strike/>
                <w:color w:val="auto"/>
                <w:kern w:val="0"/>
                <w:szCs w:val="21"/>
              </w:rPr>
              <w:t>1</w:t>
            </w:r>
          </w:p>
        </w:tc>
        <w:tc>
          <w:tcPr>
            <w:tcW w:w="1393" w:type="dxa"/>
            <w:tcBorders>
              <w:top w:val="nil"/>
              <w:left w:val="nil"/>
              <w:bottom w:val="single" w:color="auto" w:sz="4" w:space="0"/>
              <w:right w:val="single" w:color="auto" w:sz="4" w:space="0"/>
            </w:tcBorders>
            <w:noWrap/>
            <w:vAlign w:val="center"/>
          </w:tcPr>
          <w:p>
            <w:pPr>
              <w:widowControl/>
              <w:jc w:val="center"/>
              <w:rPr>
                <w:rFonts w:ascii="宋体" w:hAnsi="宋体" w:cs="宋体"/>
                <w:strike/>
                <w:color w:val="auto"/>
                <w:kern w:val="0"/>
                <w:szCs w:val="21"/>
              </w:rPr>
            </w:pPr>
            <w:r>
              <w:rPr>
                <w:rFonts w:hint="eastAsia" w:ascii="宋体" w:hAnsi="宋体" w:cs="宋体"/>
                <w:strike/>
                <w:color w:val="auto"/>
                <w:kern w:val="0"/>
                <w:szCs w:val="21"/>
              </w:rPr>
              <w:t>设计错误</w:t>
            </w:r>
          </w:p>
        </w:tc>
        <w:tc>
          <w:tcPr>
            <w:tcW w:w="709"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strike/>
                <w:color w:val="auto"/>
                <w:kern w:val="0"/>
                <w:szCs w:val="21"/>
              </w:rPr>
            </w:pPr>
            <w:r>
              <w:rPr>
                <w:rFonts w:ascii="仿宋_GB2312" w:hAnsi="宋体" w:eastAsia="仿宋_GB2312" w:cs="宋体"/>
                <w:strike/>
                <w:color w:val="auto"/>
                <w:kern w:val="0"/>
                <w:szCs w:val="21"/>
              </w:rPr>
              <w:t>20</w:t>
            </w:r>
          </w:p>
        </w:tc>
        <w:tc>
          <w:tcPr>
            <w:tcW w:w="2551" w:type="dxa"/>
            <w:tcBorders>
              <w:top w:val="nil"/>
              <w:left w:val="nil"/>
              <w:bottom w:val="single" w:color="auto" w:sz="4" w:space="0"/>
              <w:right w:val="single" w:color="auto" w:sz="4" w:space="0"/>
            </w:tcBorders>
            <w:noWrap/>
            <w:vAlign w:val="center"/>
          </w:tcPr>
          <w:p>
            <w:pPr>
              <w:widowControl/>
              <w:jc w:val="left"/>
              <w:rPr>
                <w:rFonts w:ascii="宋体" w:hAnsi="宋体" w:cs="宋体"/>
                <w:strike/>
                <w:color w:val="auto"/>
                <w:kern w:val="0"/>
                <w:szCs w:val="21"/>
              </w:rPr>
            </w:pPr>
            <w:r>
              <w:rPr>
                <w:rFonts w:hint="eastAsia" w:ascii="宋体" w:hAnsi="宋体" w:cs="宋体"/>
                <w:strike/>
                <w:color w:val="auto"/>
                <w:kern w:val="0"/>
                <w:szCs w:val="21"/>
              </w:rPr>
              <w:t>施工图审查过程中是否出现Ⅰ类错误、Ⅱ类错误、Ⅲ类错误、Ⅳ类错误（分类详见附件六）</w:t>
            </w:r>
          </w:p>
        </w:tc>
        <w:tc>
          <w:tcPr>
            <w:tcW w:w="3261" w:type="dxa"/>
            <w:tcBorders>
              <w:top w:val="nil"/>
              <w:left w:val="nil"/>
              <w:bottom w:val="single" w:color="auto" w:sz="4" w:space="0"/>
              <w:right w:val="single" w:color="auto" w:sz="4" w:space="0"/>
            </w:tcBorders>
            <w:noWrap/>
            <w:vAlign w:val="center"/>
          </w:tcPr>
          <w:p>
            <w:pPr>
              <w:widowControl/>
              <w:jc w:val="left"/>
              <w:rPr>
                <w:rFonts w:ascii="宋体" w:hAnsi="宋体" w:cs="宋体"/>
                <w:strike/>
                <w:color w:val="auto"/>
                <w:kern w:val="0"/>
                <w:szCs w:val="21"/>
              </w:rPr>
            </w:pPr>
            <w:r>
              <w:rPr>
                <w:rFonts w:hint="eastAsia" w:ascii="宋体" w:hAnsi="宋体" w:cs="宋体"/>
                <w:strike/>
                <w:color w:val="auto"/>
                <w:kern w:val="0"/>
                <w:szCs w:val="21"/>
              </w:rPr>
              <w:t>每出现Ⅰ类问题的一项一次扣</w:t>
            </w:r>
            <w:r>
              <w:rPr>
                <w:rFonts w:ascii="宋体" w:hAnsi="宋体" w:cs="宋体"/>
                <w:strike/>
                <w:color w:val="auto"/>
                <w:kern w:val="0"/>
                <w:szCs w:val="21"/>
              </w:rPr>
              <w:t>4分；</w:t>
            </w:r>
          </w:p>
          <w:p>
            <w:pPr>
              <w:widowControl/>
              <w:jc w:val="left"/>
              <w:rPr>
                <w:rFonts w:ascii="宋体" w:hAnsi="宋体" w:cs="宋体"/>
                <w:strike/>
                <w:color w:val="auto"/>
                <w:kern w:val="0"/>
                <w:szCs w:val="21"/>
              </w:rPr>
            </w:pPr>
            <w:r>
              <w:rPr>
                <w:rFonts w:hint="eastAsia" w:ascii="宋体" w:hAnsi="宋体" w:cs="宋体"/>
                <w:strike/>
                <w:color w:val="auto"/>
                <w:kern w:val="0"/>
                <w:szCs w:val="21"/>
              </w:rPr>
              <w:t>每出现Ⅱ类问题的一项一次扣</w:t>
            </w:r>
            <w:r>
              <w:rPr>
                <w:rFonts w:ascii="宋体" w:hAnsi="宋体" w:cs="宋体"/>
                <w:strike/>
                <w:color w:val="auto"/>
                <w:kern w:val="0"/>
                <w:szCs w:val="21"/>
              </w:rPr>
              <w:t>3分；</w:t>
            </w:r>
          </w:p>
          <w:p>
            <w:pPr>
              <w:widowControl/>
              <w:jc w:val="left"/>
              <w:rPr>
                <w:rFonts w:ascii="宋体" w:hAnsi="宋体" w:cs="宋体"/>
                <w:strike/>
                <w:color w:val="auto"/>
                <w:kern w:val="0"/>
                <w:szCs w:val="21"/>
              </w:rPr>
            </w:pPr>
            <w:r>
              <w:rPr>
                <w:rFonts w:hint="eastAsia" w:ascii="宋体" w:hAnsi="宋体" w:cs="宋体"/>
                <w:strike/>
                <w:color w:val="auto"/>
                <w:kern w:val="0"/>
                <w:szCs w:val="21"/>
              </w:rPr>
              <w:t>每出现Ⅲ类问题的一项一次扣</w:t>
            </w:r>
            <w:r>
              <w:rPr>
                <w:rFonts w:ascii="宋体" w:hAnsi="宋体" w:cs="宋体"/>
                <w:strike/>
                <w:color w:val="auto"/>
                <w:kern w:val="0"/>
                <w:szCs w:val="21"/>
              </w:rPr>
              <w:t>2分；</w:t>
            </w:r>
          </w:p>
          <w:p>
            <w:pPr>
              <w:widowControl/>
              <w:jc w:val="left"/>
              <w:rPr>
                <w:rFonts w:ascii="宋体" w:hAnsi="宋体" w:cs="宋体"/>
                <w:strike/>
                <w:color w:val="auto"/>
                <w:kern w:val="0"/>
                <w:szCs w:val="21"/>
              </w:rPr>
            </w:pPr>
            <w:r>
              <w:rPr>
                <w:rFonts w:hint="eastAsia" w:ascii="宋体" w:hAnsi="宋体" w:cs="宋体"/>
                <w:strike/>
                <w:color w:val="auto"/>
                <w:kern w:val="0"/>
                <w:szCs w:val="21"/>
              </w:rPr>
              <w:t>每出现Ⅳ类问题的满五项一次扣</w:t>
            </w:r>
            <w:r>
              <w:rPr>
                <w:rFonts w:ascii="宋体" w:hAnsi="宋体" w:cs="宋体"/>
                <w:strike/>
                <w:color w:val="auto"/>
                <w:kern w:val="0"/>
                <w:szCs w:val="21"/>
              </w:rPr>
              <w:t>1分</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strike/>
                <w:color w:val="auto"/>
                <w:kern w:val="0"/>
                <w:szCs w:val="21"/>
              </w:rPr>
            </w:pPr>
          </w:p>
        </w:tc>
      </w:tr>
      <w:tr>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strike/>
                <w:color w:val="auto"/>
                <w:kern w:val="0"/>
                <w:szCs w:val="21"/>
              </w:rPr>
            </w:pPr>
            <w:r>
              <w:rPr>
                <w:rFonts w:ascii="宋体" w:hAnsi="宋体" w:cs="宋体"/>
                <w:strike/>
                <w:color w:val="auto"/>
                <w:kern w:val="0"/>
                <w:szCs w:val="21"/>
              </w:rPr>
              <w:t>2</w:t>
            </w:r>
          </w:p>
        </w:tc>
        <w:tc>
          <w:tcPr>
            <w:tcW w:w="1393" w:type="dxa"/>
            <w:tcBorders>
              <w:top w:val="nil"/>
              <w:left w:val="nil"/>
              <w:bottom w:val="single" w:color="auto" w:sz="4" w:space="0"/>
              <w:right w:val="single" w:color="auto" w:sz="4" w:space="0"/>
            </w:tcBorders>
            <w:noWrap/>
            <w:vAlign w:val="center"/>
          </w:tcPr>
          <w:p>
            <w:pPr>
              <w:widowControl/>
              <w:jc w:val="center"/>
              <w:rPr>
                <w:rFonts w:ascii="宋体" w:hAnsi="宋体" w:cs="宋体"/>
                <w:strike/>
                <w:color w:val="auto"/>
                <w:kern w:val="0"/>
                <w:szCs w:val="21"/>
              </w:rPr>
            </w:pPr>
            <w:r>
              <w:rPr>
                <w:rFonts w:hint="eastAsia" w:ascii="宋体" w:hAnsi="宋体" w:cs="宋体"/>
                <w:strike/>
                <w:color w:val="auto"/>
                <w:kern w:val="0"/>
                <w:szCs w:val="21"/>
              </w:rPr>
              <w:t>限额设计</w:t>
            </w:r>
          </w:p>
        </w:tc>
        <w:tc>
          <w:tcPr>
            <w:tcW w:w="709"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strike/>
                <w:color w:val="auto"/>
                <w:kern w:val="0"/>
                <w:szCs w:val="21"/>
              </w:rPr>
            </w:pPr>
            <w:r>
              <w:rPr>
                <w:rFonts w:ascii="仿宋_GB2312" w:hAnsi="宋体" w:eastAsia="仿宋_GB2312" w:cs="宋体"/>
                <w:strike/>
                <w:color w:val="auto"/>
                <w:kern w:val="0"/>
                <w:szCs w:val="21"/>
              </w:rPr>
              <w:t>30</w:t>
            </w:r>
          </w:p>
        </w:tc>
        <w:tc>
          <w:tcPr>
            <w:tcW w:w="2551" w:type="dxa"/>
            <w:tcBorders>
              <w:top w:val="nil"/>
              <w:left w:val="nil"/>
              <w:bottom w:val="single" w:color="auto" w:sz="4" w:space="0"/>
              <w:right w:val="single" w:color="auto" w:sz="4" w:space="0"/>
            </w:tcBorders>
            <w:noWrap/>
            <w:vAlign w:val="center"/>
          </w:tcPr>
          <w:p>
            <w:pPr>
              <w:widowControl/>
              <w:jc w:val="left"/>
              <w:rPr>
                <w:rFonts w:ascii="宋体" w:hAnsi="宋体" w:cs="宋体"/>
                <w:strike/>
                <w:color w:val="auto"/>
                <w:kern w:val="0"/>
                <w:szCs w:val="21"/>
              </w:rPr>
            </w:pPr>
            <w:r>
              <w:rPr>
                <w:rFonts w:hint="eastAsia" w:ascii="宋体" w:hAnsi="宋体" w:cs="宋体"/>
                <w:strike/>
                <w:color w:val="auto"/>
                <w:kern w:val="0"/>
                <w:szCs w:val="21"/>
              </w:rPr>
              <w:t>是否按合同要求进行限额设计</w:t>
            </w:r>
          </w:p>
        </w:tc>
        <w:tc>
          <w:tcPr>
            <w:tcW w:w="3261" w:type="dxa"/>
            <w:tcBorders>
              <w:top w:val="nil"/>
              <w:left w:val="nil"/>
              <w:bottom w:val="single" w:color="auto" w:sz="4" w:space="0"/>
              <w:right w:val="single" w:color="auto" w:sz="4" w:space="0"/>
            </w:tcBorders>
            <w:noWrap/>
            <w:vAlign w:val="center"/>
          </w:tcPr>
          <w:p>
            <w:pPr>
              <w:widowControl/>
              <w:jc w:val="left"/>
              <w:rPr>
                <w:rFonts w:ascii="宋体" w:hAnsi="宋体" w:cs="宋体"/>
                <w:strike/>
                <w:color w:val="auto"/>
                <w:kern w:val="0"/>
                <w:szCs w:val="21"/>
              </w:rPr>
            </w:pPr>
            <w:r>
              <w:rPr>
                <w:rFonts w:hint="eastAsia" w:ascii="宋体" w:hAnsi="宋体" w:cs="宋体"/>
                <w:strike/>
                <w:color w:val="auto"/>
                <w:kern w:val="0"/>
                <w:szCs w:val="21"/>
              </w:rPr>
              <w:t>编制的施工图预算由于设计原因</w:t>
            </w:r>
          </w:p>
          <w:p>
            <w:pPr>
              <w:widowControl/>
              <w:jc w:val="left"/>
              <w:rPr>
                <w:rFonts w:ascii="宋体" w:hAnsi="宋体" w:cs="宋体"/>
                <w:strike/>
                <w:color w:val="auto"/>
                <w:kern w:val="0"/>
                <w:szCs w:val="21"/>
              </w:rPr>
            </w:pPr>
            <w:r>
              <w:rPr>
                <w:rFonts w:hint="eastAsia" w:ascii="宋体" w:hAnsi="宋体" w:cs="宋体"/>
                <w:strike/>
                <w:color w:val="auto"/>
                <w:kern w:val="0"/>
                <w:szCs w:val="21"/>
              </w:rPr>
              <w:t>造成建安工程费超出经发改部门批复的初步设计概算，每超出</w:t>
            </w:r>
            <w:r>
              <w:rPr>
                <w:rFonts w:ascii="宋体" w:hAnsi="宋体" w:cs="宋体"/>
                <w:strike/>
                <w:color w:val="auto"/>
                <w:kern w:val="0"/>
                <w:szCs w:val="21"/>
              </w:rPr>
              <w:t>1%扣2分。</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strike/>
                <w:color w:val="auto"/>
                <w:kern w:val="0"/>
                <w:szCs w:val="21"/>
              </w:rPr>
            </w:pPr>
          </w:p>
        </w:tc>
      </w:tr>
      <w:tr>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strike/>
                <w:color w:val="auto"/>
                <w:kern w:val="0"/>
                <w:szCs w:val="21"/>
              </w:rPr>
            </w:pPr>
            <w:r>
              <w:rPr>
                <w:rFonts w:hint="eastAsia" w:ascii="宋体" w:hAnsi="宋体" w:cs="宋体"/>
                <w:strike/>
                <w:color w:val="auto"/>
                <w:kern w:val="0"/>
                <w:szCs w:val="21"/>
              </w:rPr>
              <w:t>四</w:t>
            </w:r>
          </w:p>
        </w:tc>
        <w:tc>
          <w:tcPr>
            <w:tcW w:w="1393" w:type="dxa"/>
            <w:tcBorders>
              <w:top w:val="nil"/>
              <w:left w:val="nil"/>
              <w:bottom w:val="single" w:color="auto" w:sz="4" w:space="0"/>
              <w:right w:val="single" w:color="auto" w:sz="4" w:space="0"/>
            </w:tcBorders>
            <w:noWrap/>
            <w:vAlign w:val="center"/>
          </w:tcPr>
          <w:p>
            <w:pPr>
              <w:widowControl/>
              <w:jc w:val="center"/>
              <w:rPr>
                <w:rFonts w:ascii="宋体" w:hAnsi="宋体" w:cs="宋体"/>
                <w:strike/>
                <w:color w:val="auto"/>
                <w:kern w:val="0"/>
                <w:szCs w:val="21"/>
              </w:rPr>
            </w:pPr>
            <w:r>
              <w:rPr>
                <w:rFonts w:hint="eastAsia" w:ascii="宋体" w:hAnsi="宋体" w:cs="宋体"/>
                <w:strike/>
                <w:color w:val="auto"/>
                <w:kern w:val="0"/>
                <w:szCs w:val="21"/>
              </w:rPr>
              <w:t>设计进度</w:t>
            </w:r>
          </w:p>
        </w:tc>
        <w:tc>
          <w:tcPr>
            <w:tcW w:w="709"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strike/>
                <w:color w:val="auto"/>
                <w:kern w:val="0"/>
                <w:szCs w:val="21"/>
              </w:rPr>
            </w:pPr>
            <w:r>
              <w:rPr>
                <w:rFonts w:ascii="仿宋_GB2312" w:hAnsi="宋体" w:eastAsia="仿宋_GB2312" w:cs="宋体"/>
                <w:strike/>
                <w:color w:val="auto"/>
                <w:kern w:val="0"/>
                <w:szCs w:val="21"/>
              </w:rPr>
              <w:t>20</w:t>
            </w:r>
          </w:p>
        </w:tc>
        <w:tc>
          <w:tcPr>
            <w:tcW w:w="2551" w:type="dxa"/>
            <w:tcBorders>
              <w:top w:val="nil"/>
              <w:left w:val="nil"/>
              <w:bottom w:val="single" w:color="auto" w:sz="4" w:space="0"/>
              <w:right w:val="single" w:color="auto" w:sz="4" w:space="0"/>
            </w:tcBorders>
            <w:noWrap/>
            <w:vAlign w:val="center"/>
          </w:tcPr>
          <w:p>
            <w:pPr>
              <w:widowControl/>
              <w:jc w:val="left"/>
              <w:rPr>
                <w:rFonts w:ascii="宋体" w:hAnsi="宋体" w:cs="宋体"/>
                <w:strike/>
                <w:color w:val="auto"/>
                <w:kern w:val="0"/>
                <w:szCs w:val="21"/>
              </w:rPr>
            </w:pPr>
            <w:r>
              <w:rPr>
                <w:rFonts w:hint="eastAsia" w:ascii="宋体" w:hAnsi="宋体" w:cs="宋体"/>
                <w:strike/>
                <w:color w:val="auto"/>
                <w:kern w:val="0"/>
                <w:szCs w:val="21"/>
              </w:rPr>
              <w:t>　</w:t>
            </w:r>
          </w:p>
        </w:tc>
        <w:tc>
          <w:tcPr>
            <w:tcW w:w="3261" w:type="dxa"/>
            <w:tcBorders>
              <w:top w:val="nil"/>
              <w:left w:val="nil"/>
              <w:bottom w:val="single" w:color="auto" w:sz="4" w:space="0"/>
              <w:right w:val="single" w:color="auto" w:sz="4" w:space="0"/>
            </w:tcBorders>
            <w:noWrap/>
            <w:vAlign w:val="center"/>
          </w:tcPr>
          <w:p>
            <w:pPr>
              <w:widowControl/>
              <w:jc w:val="left"/>
              <w:rPr>
                <w:rFonts w:ascii="宋体" w:hAnsi="宋体" w:cs="宋体"/>
                <w:strike/>
                <w:color w:val="auto"/>
                <w:kern w:val="0"/>
                <w:szCs w:val="21"/>
              </w:rPr>
            </w:pPr>
            <w:r>
              <w:rPr>
                <w:rFonts w:hint="eastAsia" w:ascii="宋体" w:hAnsi="宋体" w:cs="宋体"/>
                <w:strike/>
                <w:color w:val="auto"/>
                <w:kern w:val="0"/>
                <w:szCs w:val="21"/>
              </w:rPr>
              <w:t>　</w:t>
            </w:r>
          </w:p>
        </w:tc>
        <w:tc>
          <w:tcPr>
            <w:tcW w:w="992" w:type="dxa"/>
            <w:tcBorders>
              <w:top w:val="nil"/>
              <w:left w:val="nil"/>
              <w:bottom w:val="single" w:color="auto" w:sz="4" w:space="0"/>
              <w:right w:val="single" w:color="auto" w:sz="4" w:space="0"/>
            </w:tcBorders>
            <w:noWrap/>
            <w:vAlign w:val="center"/>
          </w:tcPr>
          <w:p>
            <w:pPr>
              <w:widowControl/>
              <w:jc w:val="left"/>
              <w:rPr>
                <w:rFonts w:ascii="宋体" w:hAnsi="宋体" w:cs="宋体"/>
                <w:strike/>
                <w:color w:val="auto"/>
                <w:kern w:val="0"/>
                <w:szCs w:val="21"/>
              </w:rPr>
            </w:pPr>
            <w:r>
              <w:rPr>
                <w:rFonts w:hint="eastAsia" w:ascii="宋体" w:hAnsi="宋体" w:cs="宋体"/>
                <w:strike/>
                <w:color w:val="auto"/>
                <w:kern w:val="0"/>
                <w:szCs w:val="21"/>
              </w:rPr>
              <w:t>　</w:t>
            </w:r>
          </w:p>
        </w:tc>
      </w:tr>
      <w:tr>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strike/>
                <w:color w:val="auto"/>
                <w:kern w:val="0"/>
                <w:szCs w:val="21"/>
              </w:rPr>
            </w:pPr>
            <w:r>
              <w:rPr>
                <w:rFonts w:ascii="宋体" w:hAnsi="宋体" w:cs="宋体"/>
                <w:strike/>
                <w:color w:val="auto"/>
                <w:kern w:val="0"/>
                <w:szCs w:val="21"/>
              </w:rPr>
              <w:t>1</w:t>
            </w:r>
          </w:p>
        </w:tc>
        <w:tc>
          <w:tcPr>
            <w:tcW w:w="1393" w:type="dxa"/>
            <w:tcBorders>
              <w:top w:val="nil"/>
              <w:left w:val="nil"/>
              <w:bottom w:val="single" w:color="auto" w:sz="4" w:space="0"/>
              <w:right w:val="single" w:color="auto" w:sz="4" w:space="0"/>
            </w:tcBorders>
            <w:noWrap/>
            <w:vAlign w:val="center"/>
          </w:tcPr>
          <w:p>
            <w:pPr>
              <w:widowControl/>
              <w:jc w:val="center"/>
              <w:rPr>
                <w:rFonts w:ascii="宋体" w:hAnsi="宋体" w:cs="宋体"/>
                <w:strike/>
                <w:color w:val="auto"/>
                <w:kern w:val="0"/>
                <w:szCs w:val="21"/>
              </w:rPr>
            </w:pPr>
            <w:r>
              <w:rPr>
                <w:rFonts w:hint="eastAsia" w:ascii="宋体" w:hAnsi="宋体" w:cs="宋体"/>
                <w:strike/>
                <w:color w:val="auto"/>
                <w:kern w:val="0"/>
                <w:szCs w:val="21"/>
              </w:rPr>
              <w:t>设计进度</w:t>
            </w:r>
          </w:p>
        </w:tc>
        <w:tc>
          <w:tcPr>
            <w:tcW w:w="709"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strike/>
                <w:color w:val="auto"/>
                <w:kern w:val="0"/>
                <w:szCs w:val="21"/>
              </w:rPr>
            </w:pPr>
            <w:r>
              <w:rPr>
                <w:rFonts w:ascii="仿宋_GB2312" w:hAnsi="宋体" w:eastAsia="仿宋_GB2312" w:cs="宋体"/>
                <w:strike/>
                <w:color w:val="auto"/>
                <w:kern w:val="0"/>
                <w:szCs w:val="21"/>
              </w:rPr>
              <w:t>20</w:t>
            </w:r>
          </w:p>
        </w:tc>
        <w:tc>
          <w:tcPr>
            <w:tcW w:w="2551" w:type="dxa"/>
            <w:tcBorders>
              <w:top w:val="nil"/>
              <w:left w:val="nil"/>
              <w:bottom w:val="single" w:color="auto" w:sz="4" w:space="0"/>
              <w:right w:val="single" w:color="auto" w:sz="4" w:space="0"/>
            </w:tcBorders>
            <w:noWrap/>
            <w:vAlign w:val="center"/>
          </w:tcPr>
          <w:p>
            <w:pPr>
              <w:widowControl/>
              <w:jc w:val="left"/>
              <w:rPr>
                <w:rFonts w:ascii="宋体" w:hAnsi="宋体" w:cs="宋体"/>
                <w:strike/>
                <w:color w:val="auto"/>
                <w:kern w:val="0"/>
                <w:szCs w:val="21"/>
              </w:rPr>
            </w:pPr>
            <w:r>
              <w:rPr>
                <w:rFonts w:hint="eastAsia" w:ascii="宋体" w:hAnsi="宋体" w:cs="宋体"/>
                <w:strike/>
                <w:color w:val="auto"/>
                <w:kern w:val="0"/>
                <w:szCs w:val="21"/>
              </w:rPr>
              <w:t>是否按照合同、会议纪要、通知、函件等对进度的要求完成各项工作；能否按期完成甲方交办的其它相关工作</w:t>
            </w:r>
          </w:p>
        </w:tc>
        <w:tc>
          <w:tcPr>
            <w:tcW w:w="3261" w:type="dxa"/>
            <w:tcBorders>
              <w:top w:val="nil"/>
              <w:left w:val="nil"/>
              <w:bottom w:val="single" w:color="auto" w:sz="4" w:space="0"/>
              <w:right w:val="single" w:color="auto" w:sz="4" w:space="0"/>
            </w:tcBorders>
            <w:noWrap/>
            <w:vAlign w:val="center"/>
          </w:tcPr>
          <w:p>
            <w:pPr>
              <w:widowControl/>
              <w:jc w:val="left"/>
              <w:rPr>
                <w:rFonts w:ascii="宋体" w:hAnsi="宋体" w:cs="宋体"/>
                <w:strike/>
                <w:color w:val="auto"/>
                <w:kern w:val="0"/>
                <w:szCs w:val="21"/>
              </w:rPr>
            </w:pPr>
            <w:r>
              <w:rPr>
                <w:rFonts w:hint="eastAsia" w:ascii="宋体" w:hAnsi="宋体" w:cs="宋体"/>
                <w:strike/>
                <w:color w:val="auto"/>
                <w:kern w:val="0"/>
                <w:szCs w:val="21"/>
              </w:rPr>
              <w:t>因乙方原因，每延误一天扣</w:t>
            </w:r>
            <w:r>
              <w:rPr>
                <w:rFonts w:ascii="宋体" w:hAnsi="宋体" w:cs="宋体"/>
                <w:strike/>
                <w:color w:val="auto"/>
                <w:kern w:val="0"/>
                <w:szCs w:val="21"/>
              </w:rPr>
              <w:t>1分。</w:t>
            </w:r>
          </w:p>
        </w:tc>
        <w:tc>
          <w:tcPr>
            <w:tcW w:w="992" w:type="dxa"/>
            <w:tcBorders>
              <w:top w:val="nil"/>
              <w:left w:val="nil"/>
              <w:bottom w:val="single" w:color="auto" w:sz="4" w:space="0"/>
              <w:right w:val="single" w:color="auto" w:sz="4" w:space="0"/>
            </w:tcBorders>
            <w:noWrap/>
            <w:vAlign w:val="center"/>
          </w:tcPr>
          <w:p>
            <w:pPr>
              <w:widowControl/>
              <w:jc w:val="left"/>
              <w:rPr>
                <w:rFonts w:ascii="宋体" w:hAnsi="宋体" w:cs="宋体"/>
                <w:strike/>
                <w:color w:val="auto"/>
                <w:kern w:val="0"/>
                <w:szCs w:val="21"/>
              </w:rPr>
            </w:pPr>
            <w:r>
              <w:rPr>
                <w:rFonts w:hint="eastAsia" w:ascii="宋体" w:hAnsi="宋体" w:cs="宋体"/>
                <w:strike/>
                <w:color w:val="auto"/>
                <w:kern w:val="0"/>
                <w:szCs w:val="21"/>
              </w:rPr>
              <w:t>　</w:t>
            </w:r>
          </w:p>
        </w:tc>
      </w:tr>
      <w:tr>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strike/>
                <w:color w:val="auto"/>
                <w:kern w:val="0"/>
                <w:szCs w:val="21"/>
              </w:rPr>
            </w:pPr>
            <w:r>
              <w:rPr>
                <w:rFonts w:hint="eastAsia" w:ascii="宋体" w:hAnsi="宋体" w:cs="宋体"/>
                <w:strike/>
                <w:color w:val="auto"/>
                <w:kern w:val="0"/>
                <w:szCs w:val="21"/>
              </w:rPr>
              <w:t>五</w:t>
            </w:r>
          </w:p>
        </w:tc>
        <w:tc>
          <w:tcPr>
            <w:tcW w:w="1393" w:type="dxa"/>
            <w:tcBorders>
              <w:top w:val="nil"/>
              <w:left w:val="nil"/>
              <w:bottom w:val="single" w:color="auto" w:sz="4" w:space="0"/>
              <w:right w:val="single" w:color="auto" w:sz="4" w:space="0"/>
            </w:tcBorders>
            <w:noWrap/>
            <w:vAlign w:val="center"/>
          </w:tcPr>
          <w:p>
            <w:pPr>
              <w:widowControl/>
              <w:jc w:val="center"/>
              <w:rPr>
                <w:rFonts w:ascii="宋体" w:hAnsi="宋体" w:cs="宋体"/>
                <w:strike/>
                <w:color w:val="auto"/>
                <w:kern w:val="0"/>
                <w:szCs w:val="21"/>
              </w:rPr>
            </w:pPr>
            <w:r>
              <w:rPr>
                <w:rFonts w:hint="eastAsia" w:ascii="宋体" w:hAnsi="宋体" w:cs="宋体"/>
                <w:strike/>
                <w:color w:val="auto"/>
                <w:kern w:val="0"/>
                <w:szCs w:val="21"/>
              </w:rPr>
              <w:t>设计配合</w:t>
            </w:r>
          </w:p>
        </w:tc>
        <w:tc>
          <w:tcPr>
            <w:tcW w:w="709"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strike/>
                <w:color w:val="auto"/>
                <w:kern w:val="0"/>
                <w:szCs w:val="21"/>
              </w:rPr>
            </w:pPr>
            <w:r>
              <w:rPr>
                <w:rFonts w:ascii="仿宋_GB2312" w:hAnsi="宋体" w:eastAsia="仿宋_GB2312" w:cs="宋体"/>
                <w:strike/>
                <w:color w:val="auto"/>
                <w:kern w:val="0"/>
                <w:szCs w:val="21"/>
              </w:rPr>
              <w:t>10</w:t>
            </w:r>
          </w:p>
        </w:tc>
        <w:tc>
          <w:tcPr>
            <w:tcW w:w="2551" w:type="dxa"/>
            <w:tcBorders>
              <w:top w:val="nil"/>
              <w:left w:val="nil"/>
              <w:bottom w:val="single" w:color="auto" w:sz="4" w:space="0"/>
              <w:right w:val="single" w:color="auto" w:sz="4" w:space="0"/>
            </w:tcBorders>
            <w:noWrap/>
            <w:vAlign w:val="center"/>
          </w:tcPr>
          <w:p>
            <w:pPr>
              <w:widowControl/>
              <w:jc w:val="left"/>
              <w:rPr>
                <w:rFonts w:ascii="宋体" w:hAnsi="宋体" w:cs="宋体"/>
                <w:strike/>
                <w:color w:val="auto"/>
                <w:kern w:val="0"/>
                <w:szCs w:val="21"/>
              </w:rPr>
            </w:pPr>
            <w:r>
              <w:rPr>
                <w:rFonts w:hint="eastAsia" w:ascii="宋体" w:hAnsi="宋体" w:cs="宋体"/>
                <w:strike/>
                <w:color w:val="auto"/>
                <w:kern w:val="0"/>
                <w:szCs w:val="21"/>
              </w:rPr>
              <w:t>　</w:t>
            </w:r>
          </w:p>
        </w:tc>
        <w:tc>
          <w:tcPr>
            <w:tcW w:w="3261" w:type="dxa"/>
            <w:tcBorders>
              <w:top w:val="nil"/>
              <w:left w:val="nil"/>
              <w:bottom w:val="single" w:color="auto" w:sz="4" w:space="0"/>
              <w:right w:val="single" w:color="auto" w:sz="4" w:space="0"/>
            </w:tcBorders>
            <w:noWrap/>
            <w:vAlign w:val="center"/>
          </w:tcPr>
          <w:p>
            <w:pPr>
              <w:widowControl/>
              <w:jc w:val="left"/>
              <w:rPr>
                <w:rFonts w:ascii="宋体" w:hAnsi="宋体" w:cs="宋体"/>
                <w:strike/>
                <w:color w:val="auto"/>
                <w:kern w:val="0"/>
                <w:szCs w:val="21"/>
              </w:rPr>
            </w:pPr>
            <w:r>
              <w:rPr>
                <w:rFonts w:hint="eastAsia" w:ascii="宋体" w:hAnsi="宋体" w:cs="宋体"/>
                <w:strike/>
                <w:color w:val="auto"/>
                <w:kern w:val="0"/>
                <w:szCs w:val="21"/>
              </w:rPr>
              <w:t>　</w:t>
            </w:r>
          </w:p>
        </w:tc>
        <w:tc>
          <w:tcPr>
            <w:tcW w:w="992" w:type="dxa"/>
            <w:tcBorders>
              <w:top w:val="nil"/>
              <w:left w:val="nil"/>
              <w:bottom w:val="single" w:color="auto" w:sz="4" w:space="0"/>
              <w:right w:val="single" w:color="auto" w:sz="4" w:space="0"/>
            </w:tcBorders>
            <w:noWrap/>
            <w:vAlign w:val="center"/>
          </w:tcPr>
          <w:p>
            <w:pPr>
              <w:widowControl/>
              <w:jc w:val="left"/>
              <w:rPr>
                <w:rFonts w:ascii="宋体" w:hAnsi="宋体" w:cs="宋体"/>
                <w:strike/>
                <w:color w:val="auto"/>
                <w:kern w:val="0"/>
                <w:szCs w:val="21"/>
              </w:rPr>
            </w:pPr>
            <w:r>
              <w:rPr>
                <w:rFonts w:hint="eastAsia" w:ascii="宋体" w:hAnsi="宋体" w:cs="宋体"/>
                <w:strike/>
                <w:color w:val="auto"/>
                <w:kern w:val="0"/>
                <w:szCs w:val="21"/>
              </w:rPr>
              <w:t>　</w:t>
            </w:r>
          </w:p>
        </w:tc>
      </w:tr>
      <w:tr>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strike/>
                <w:color w:val="auto"/>
                <w:kern w:val="0"/>
                <w:szCs w:val="21"/>
              </w:rPr>
            </w:pPr>
            <w:r>
              <w:rPr>
                <w:rFonts w:ascii="宋体" w:hAnsi="宋体" w:cs="宋体"/>
                <w:strike/>
                <w:color w:val="auto"/>
                <w:kern w:val="0"/>
                <w:szCs w:val="21"/>
              </w:rPr>
              <w:t>1</w:t>
            </w:r>
          </w:p>
        </w:tc>
        <w:tc>
          <w:tcPr>
            <w:tcW w:w="1393" w:type="dxa"/>
            <w:tcBorders>
              <w:top w:val="nil"/>
              <w:left w:val="nil"/>
              <w:bottom w:val="single" w:color="auto" w:sz="4" w:space="0"/>
              <w:right w:val="single" w:color="auto" w:sz="4" w:space="0"/>
            </w:tcBorders>
            <w:noWrap/>
            <w:vAlign w:val="center"/>
          </w:tcPr>
          <w:p>
            <w:pPr>
              <w:widowControl/>
              <w:jc w:val="center"/>
              <w:rPr>
                <w:rFonts w:ascii="宋体" w:hAnsi="宋体" w:cs="宋体"/>
                <w:strike/>
                <w:color w:val="auto"/>
                <w:kern w:val="0"/>
                <w:szCs w:val="21"/>
              </w:rPr>
            </w:pPr>
            <w:r>
              <w:rPr>
                <w:rFonts w:hint="eastAsia" w:ascii="宋体" w:hAnsi="宋体" w:cs="宋体"/>
                <w:strike/>
                <w:color w:val="auto"/>
                <w:kern w:val="0"/>
                <w:szCs w:val="21"/>
              </w:rPr>
              <w:t>设计配合</w:t>
            </w:r>
          </w:p>
        </w:tc>
        <w:tc>
          <w:tcPr>
            <w:tcW w:w="709"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strike/>
                <w:color w:val="auto"/>
                <w:kern w:val="0"/>
                <w:szCs w:val="21"/>
              </w:rPr>
            </w:pPr>
            <w:r>
              <w:rPr>
                <w:rFonts w:ascii="仿宋_GB2312" w:hAnsi="宋体" w:eastAsia="仿宋_GB2312" w:cs="宋体"/>
                <w:strike/>
                <w:color w:val="auto"/>
                <w:kern w:val="0"/>
                <w:szCs w:val="21"/>
              </w:rPr>
              <w:t>10</w:t>
            </w:r>
          </w:p>
        </w:tc>
        <w:tc>
          <w:tcPr>
            <w:tcW w:w="2551" w:type="dxa"/>
            <w:tcBorders>
              <w:top w:val="nil"/>
              <w:left w:val="nil"/>
              <w:bottom w:val="single" w:color="auto" w:sz="4" w:space="0"/>
              <w:right w:val="single" w:color="auto" w:sz="4" w:space="0"/>
            </w:tcBorders>
            <w:noWrap/>
            <w:vAlign w:val="center"/>
          </w:tcPr>
          <w:p>
            <w:pPr>
              <w:widowControl/>
              <w:jc w:val="left"/>
              <w:rPr>
                <w:rFonts w:ascii="宋体" w:hAnsi="宋体" w:cs="宋体"/>
                <w:strike/>
                <w:color w:val="auto"/>
                <w:kern w:val="0"/>
                <w:szCs w:val="21"/>
              </w:rPr>
            </w:pPr>
            <w:r>
              <w:rPr>
                <w:rFonts w:hint="eastAsia" w:ascii="宋体" w:hAnsi="宋体" w:cs="宋体"/>
                <w:strike/>
                <w:color w:val="auto"/>
                <w:kern w:val="0"/>
                <w:szCs w:val="21"/>
              </w:rPr>
              <w:t>能否按合同及甲方要求及时协调配合甲方、专项设计单位及其它相关部门的工作；是否具有较强的沟通协调能力</w:t>
            </w:r>
          </w:p>
        </w:tc>
        <w:tc>
          <w:tcPr>
            <w:tcW w:w="3261" w:type="dxa"/>
            <w:tcBorders>
              <w:top w:val="nil"/>
              <w:left w:val="nil"/>
              <w:bottom w:val="single" w:color="auto" w:sz="4" w:space="0"/>
              <w:right w:val="single" w:color="auto" w:sz="4" w:space="0"/>
            </w:tcBorders>
            <w:noWrap/>
            <w:vAlign w:val="center"/>
          </w:tcPr>
          <w:p>
            <w:pPr>
              <w:widowControl/>
              <w:jc w:val="left"/>
              <w:rPr>
                <w:rFonts w:ascii="宋体" w:hAnsi="宋体" w:cs="宋体"/>
                <w:strike/>
                <w:color w:val="auto"/>
                <w:kern w:val="0"/>
                <w:szCs w:val="21"/>
              </w:rPr>
            </w:pPr>
            <w:r>
              <w:rPr>
                <w:rFonts w:hint="eastAsia" w:ascii="宋体" w:hAnsi="宋体" w:cs="宋体"/>
                <w:strike/>
                <w:color w:val="auto"/>
                <w:kern w:val="0"/>
                <w:szCs w:val="21"/>
              </w:rPr>
              <w:t>好：得</w:t>
            </w:r>
            <w:r>
              <w:rPr>
                <w:rFonts w:ascii="宋体" w:hAnsi="宋体" w:cs="宋体"/>
                <w:strike/>
                <w:color w:val="auto"/>
                <w:kern w:val="0"/>
                <w:szCs w:val="21"/>
              </w:rPr>
              <w:t>10分</w:t>
            </w:r>
          </w:p>
          <w:p>
            <w:pPr>
              <w:widowControl/>
              <w:jc w:val="left"/>
              <w:rPr>
                <w:rFonts w:ascii="宋体" w:hAnsi="宋体" w:cs="宋体"/>
                <w:strike/>
                <w:color w:val="auto"/>
                <w:kern w:val="0"/>
                <w:szCs w:val="21"/>
              </w:rPr>
            </w:pPr>
            <w:r>
              <w:rPr>
                <w:rFonts w:hint="eastAsia" w:ascii="宋体" w:hAnsi="宋体" w:cs="宋体"/>
                <w:strike/>
                <w:color w:val="auto"/>
                <w:kern w:val="0"/>
                <w:szCs w:val="21"/>
              </w:rPr>
              <w:t>较好：得</w:t>
            </w:r>
            <w:r>
              <w:rPr>
                <w:rFonts w:ascii="宋体" w:hAnsi="宋体" w:cs="宋体"/>
                <w:strike/>
                <w:color w:val="auto"/>
                <w:kern w:val="0"/>
                <w:szCs w:val="21"/>
              </w:rPr>
              <w:t>8分</w:t>
            </w:r>
          </w:p>
          <w:p>
            <w:pPr>
              <w:widowControl/>
              <w:jc w:val="left"/>
              <w:rPr>
                <w:rFonts w:ascii="宋体" w:hAnsi="宋体" w:cs="宋体"/>
                <w:strike/>
                <w:color w:val="auto"/>
                <w:kern w:val="0"/>
                <w:szCs w:val="21"/>
              </w:rPr>
            </w:pPr>
            <w:r>
              <w:rPr>
                <w:rFonts w:hint="eastAsia" w:ascii="宋体" w:hAnsi="宋体" w:cs="宋体"/>
                <w:strike/>
                <w:color w:val="auto"/>
                <w:kern w:val="0"/>
                <w:szCs w:val="21"/>
              </w:rPr>
              <w:t>一般：得</w:t>
            </w:r>
            <w:r>
              <w:rPr>
                <w:rFonts w:ascii="宋体" w:hAnsi="宋体" w:cs="宋体"/>
                <w:strike/>
                <w:color w:val="auto"/>
                <w:kern w:val="0"/>
                <w:szCs w:val="21"/>
              </w:rPr>
              <w:t>6分</w:t>
            </w:r>
          </w:p>
          <w:p>
            <w:pPr>
              <w:widowControl/>
              <w:jc w:val="left"/>
              <w:rPr>
                <w:rFonts w:ascii="宋体" w:hAnsi="宋体" w:cs="宋体"/>
                <w:strike/>
                <w:color w:val="auto"/>
                <w:kern w:val="0"/>
                <w:szCs w:val="21"/>
              </w:rPr>
            </w:pPr>
            <w:r>
              <w:rPr>
                <w:rFonts w:hint="eastAsia" w:ascii="宋体" w:hAnsi="宋体" w:cs="宋体"/>
                <w:strike/>
                <w:color w:val="auto"/>
                <w:kern w:val="0"/>
                <w:szCs w:val="21"/>
              </w:rPr>
              <w:t>较差：得</w:t>
            </w:r>
            <w:r>
              <w:rPr>
                <w:rFonts w:ascii="宋体" w:hAnsi="宋体" w:cs="宋体"/>
                <w:strike/>
                <w:color w:val="auto"/>
                <w:kern w:val="0"/>
                <w:szCs w:val="21"/>
              </w:rPr>
              <w:t>4分</w:t>
            </w:r>
          </w:p>
          <w:p>
            <w:pPr>
              <w:widowControl/>
              <w:jc w:val="left"/>
              <w:rPr>
                <w:rFonts w:ascii="宋体" w:hAnsi="宋体" w:cs="宋体"/>
                <w:strike/>
                <w:color w:val="auto"/>
                <w:kern w:val="0"/>
                <w:szCs w:val="21"/>
              </w:rPr>
            </w:pPr>
            <w:r>
              <w:rPr>
                <w:rFonts w:hint="eastAsia" w:ascii="宋体" w:hAnsi="宋体" w:cs="宋体"/>
                <w:strike/>
                <w:color w:val="auto"/>
                <w:kern w:val="0"/>
                <w:szCs w:val="21"/>
              </w:rPr>
              <w:t>差：得</w:t>
            </w:r>
            <w:r>
              <w:rPr>
                <w:rFonts w:ascii="宋体" w:hAnsi="宋体" w:cs="宋体"/>
                <w:strike/>
                <w:color w:val="auto"/>
                <w:kern w:val="0"/>
                <w:szCs w:val="21"/>
              </w:rPr>
              <w:t>2分</w:t>
            </w:r>
          </w:p>
        </w:tc>
        <w:tc>
          <w:tcPr>
            <w:tcW w:w="992" w:type="dxa"/>
            <w:tcBorders>
              <w:top w:val="nil"/>
              <w:left w:val="nil"/>
              <w:bottom w:val="single" w:color="auto" w:sz="4" w:space="0"/>
              <w:right w:val="single" w:color="auto" w:sz="4" w:space="0"/>
            </w:tcBorders>
            <w:noWrap/>
            <w:vAlign w:val="center"/>
          </w:tcPr>
          <w:p>
            <w:pPr>
              <w:widowControl/>
              <w:jc w:val="left"/>
              <w:rPr>
                <w:rFonts w:ascii="宋体" w:hAnsi="宋体" w:cs="宋体"/>
                <w:strike/>
                <w:color w:val="auto"/>
                <w:kern w:val="0"/>
                <w:szCs w:val="21"/>
              </w:rPr>
            </w:pPr>
            <w:r>
              <w:rPr>
                <w:rFonts w:hint="eastAsia" w:ascii="宋体" w:hAnsi="宋体" w:cs="宋体"/>
                <w:strike/>
                <w:color w:val="auto"/>
                <w:kern w:val="0"/>
                <w:szCs w:val="21"/>
              </w:rPr>
              <w:t>　</w:t>
            </w:r>
          </w:p>
        </w:tc>
      </w:tr>
      <w:tr>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ign w:val="center"/>
          </w:tcPr>
          <w:p>
            <w:pPr>
              <w:widowControl/>
              <w:jc w:val="center"/>
              <w:rPr>
                <w:strike/>
                <w:color w:val="auto"/>
                <w:kern w:val="0"/>
                <w:szCs w:val="21"/>
              </w:rPr>
            </w:pPr>
            <w:r>
              <w:rPr>
                <w:rFonts w:hint="eastAsia"/>
                <w:strike/>
                <w:color w:val="auto"/>
                <w:kern w:val="0"/>
                <w:szCs w:val="21"/>
              </w:rPr>
              <w:t>　</w:t>
            </w:r>
          </w:p>
        </w:tc>
        <w:tc>
          <w:tcPr>
            <w:tcW w:w="1393" w:type="dxa"/>
            <w:tcBorders>
              <w:top w:val="nil"/>
              <w:left w:val="nil"/>
              <w:bottom w:val="single" w:color="auto" w:sz="4" w:space="0"/>
              <w:right w:val="single" w:color="auto" w:sz="4" w:space="0"/>
            </w:tcBorders>
            <w:noWrap/>
            <w:vAlign w:val="center"/>
          </w:tcPr>
          <w:p>
            <w:pPr>
              <w:widowControl/>
              <w:jc w:val="center"/>
              <w:rPr>
                <w:strike/>
                <w:color w:val="auto"/>
                <w:kern w:val="0"/>
                <w:szCs w:val="21"/>
              </w:rPr>
            </w:pPr>
            <w:r>
              <w:rPr>
                <w:rFonts w:hint="eastAsia"/>
                <w:strike/>
                <w:color w:val="auto"/>
                <w:kern w:val="0"/>
                <w:szCs w:val="21"/>
              </w:rPr>
              <w:t>合计</w:t>
            </w:r>
          </w:p>
        </w:tc>
        <w:tc>
          <w:tcPr>
            <w:tcW w:w="709" w:type="dxa"/>
            <w:tcBorders>
              <w:top w:val="nil"/>
              <w:left w:val="nil"/>
              <w:bottom w:val="single" w:color="auto" w:sz="4" w:space="0"/>
              <w:right w:val="single" w:color="auto" w:sz="4" w:space="0"/>
            </w:tcBorders>
            <w:noWrap/>
            <w:vAlign w:val="center"/>
          </w:tcPr>
          <w:p>
            <w:pPr>
              <w:widowControl/>
              <w:jc w:val="center"/>
              <w:rPr>
                <w:strike/>
                <w:color w:val="auto"/>
                <w:kern w:val="0"/>
                <w:szCs w:val="21"/>
              </w:rPr>
            </w:pPr>
            <w:r>
              <w:rPr>
                <w:strike/>
                <w:color w:val="auto"/>
                <w:kern w:val="0"/>
                <w:szCs w:val="21"/>
              </w:rPr>
              <w:t>100</w:t>
            </w:r>
          </w:p>
        </w:tc>
        <w:tc>
          <w:tcPr>
            <w:tcW w:w="2551" w:type="dxa"/>
            <w:tcBorders>
              <w:top w:val="nil"/>
              <w:left w:val="nil"/>
              <w:bottom w:val="single" w:color="auto" w:sz="4" w:space="0"/>
              <w:right w:val="single" w:color="auto" w:sz="4" w:space="0"/>
            </w:tcBorders>
            <w:noWrap/>
            <w:vAlign w:val="center"/>
          </w:tcPr>
          <w:p>
            <w:pPr>
              <w:widowControl/>
              <w:jc w:val="center"/>
              <w:rPr>
                <w:strike/>
                <w:color w:val="auto"/>
                <w:kern w:val="0"/>
                <w:szCs w:val="21"/>
              </w:rPr>
            </w:pPr>
            <w:r>
              <w:rPr>
                <w:rFonts w:hint="eastAsia"/>
                <w:strike/>
                <w:color w:val="auto"/>
                <w:kern w:val="0"/>
                <w:szCs w:val="21"/>
              </w:rPr>
              <w:t>　</w:t>
            </w:r>
          </w:p>
        </w:tc>
        <w:tc>
          <w:tcPr>
            <w:tcW w:w="3261" w:type="dxa"/>
            <w:tcBorders>
              <w:top w:val="nil"/>
              <w:left w:val="nil"/>
              <w:bottom w:val="single" w:color="auto" w:sz="4" w:space="0"/>
              <w:right w:val="single" w:color="auto" w:sz="4" w:space="0"/>
            </w:tcBorders>
            <w:noWrap/>
            <w:vAlign w:val="center"/>
          </w:tcPr>
          <w:p>
            <w:pPr>
              <w:widowControl/>
              <w:jc w:val="center"/>
              <w:rPr>
                <w:strike/>
                <w:color w:val="auto"/>
                <w:kern w:val="0"/>
                <w:szCs w:val="21"/>
              </w:rPr>
            </w:pPr>
            <w:r>
              <w:rPr>
                <w:rFonts w:hint="eastAsia"/>
                <w:strike/>
                <w:color w:val="auto"/>
                <w:kern w:val="0"/>
                <w:szCs w:val="21"/>
              </w:rPr>
              <w:t>　</w:t>
            </w:r>
          </w:p>
        </w:tc>
        <w:tc>
          <w:tcPr>
            <w:tcW w:w="992" w:type="dxa"/>
            <w:tcBorders>
              <w:top w:val="nil"/>
              <w:left w:val="nil"/>
              <w:bottom w:val="single" w:color="auto" w:sz="4" w:space="0"/>
              <w:right w:val="single" w:color="auto" w:sz="4" w:space="0"/>
            </w:tcBorders>
            <w:noWrap/>
            <w:vAlign w:val="center"/>
          </w:tcPr>
          <w:p>
            <w:pPr>
              <w:widowControl/>
              <w:jc w:val="center"/>
              <w:rPr>
                <w:strike/>
                <w:color w:val="auto"/>
                <w:kern w:val="0"/>
                <w:szCs w:val="21"/>
              </w:rPr>
            </w:pPr>
            <w:r>
              <w:rPr>
                <w:rFonts w:hint="eastAsia"/>
                <w:strike/>
                <w:color w:val="auto"/>
                <w:kern w:val="0"/>
                <w:szCs w:val="21"/>
              </w:rPr>
              <w:t>　</w:t>
            </w:r>
          </w:p>
        </w:tc>
      </w:tr>
    </w:tbl>
    <w:p>
      <w:pPr>
        <w:adjustRightInd w:val="0"/>
        <w:snapToGrid w:val="0"/>
        <w:rPr>
          <w:rFonts w:ascii="宋体" w:hAnsi="宋体" w:cs="宋体"/>
          <w:strike/>
          <w:color w:val="auto"/>
          <w:kern w:val="0"/>
          <w:szCs w:val="21"/>
        </w:rPr>
      </w:pPr>
      <w:r>
        <w:rPr>
          <w:rFonts w:hint="eastAsia" w:ascii="宋体" w:hAnsi="宋体" w:cs="宋体"/>
          <w:strike/>
          <w:color w:val="auto"/>
          <w:kern w:val="0"/>
          <w:szCs w:val="21"/>
        </w:rPr>
        <w:t>一、注：</w:t>
      </w:r>
    </w:p>
    <w:p>
      <w:pPr>
        <w:adjustRightInd w:val="0"/>
        <w:snapToGrid w:val="0"/>
        <w:rPr>
          <w:rFonts w:ascii="宋体" w:hAnsi="宋体" w:cs="宋体"/>
          <w:strike/>
          <w:color w:val="auto"/>
          <w:kern w:val="0"/>
          <w:szCs w:val="21"/>
        </w:rPr>
      </w:pPr>
      <w:r>
        <w:rPr>
          <w:rFonts w:ascii="宋体" w:hAnsi="宋体" w:cs="宋体"/>
          <w:strike/>
          <w:color w:val="auto"/>
          <w:kern w:val="0"/>
          <w:szCs w:val="21"/>
        </w:rPr>
        <w:t>1、每一评分项扣分，至该项对应分值扣完为止。</w:t>
      </w:r>
    </w:p>
    <w:p>
      <w:pPr>
        <w:adjustRightInd w:val="0"/>
        <w:snapToGrid w:val="0"/>
        <w:rPr>
          <w:rFonts w:ascii="宋体" w:hAnsi="宋体" w:cs="宋体"/>
          <w:strike/>
          <w:color w:val="auto"/>
          <w:kern w:val="0"/>
          <w:szCs w:val="21"/>
        </w:rPr>
      </w:pPr>
      <w:r>
        <w:rPr>
          <w:rFonts w:ascii="宋体" w:hAnsi="宋体" w:cs="宋体"/>
          <w:strike/>
          <w:color w:val="auto"/>
          <w:kern w:val="0"/>
          <w:szCs w:val="21"/>
        </w:rPr>
        <w:t>2、应在岗实际未在岗累计达到3天的，或经问询明显不了解项目具体情况累计达到3次的，或未按甲方要求出席会议累计达到3次的，可认定自行更换</w:t>
      </w:r>
    </w:p>
    <w:p>
      <w:pPr>
        <w:adjustRightInd w:val="0"/>
        <w:snapToGrid w:val="0"/>
        <w:rPr>
          <w:rFonts w:ascii="宋体" w:hAnsi="宋体" w:cs="宋体"/>
          <w:strike/>
          <w:color w:val="auto"/>
          <w:kern w:val="0"/>
          <w:szCs w:val="21"/>
        </w:rPr>
      </w:pPr>
    </w:p>
    <w:p>
      <w:pPr>
        <w:adjustRightInd w:val="0"/>
        <w:snapToGrid w:val="0"/>
        <w:rPr>
          <w:rFonts w:ascii="宋体" w:hAnsi="宋体" w:cs="宋体"/>
          <w:strike/>
          <w:color w:val="auto"/>
          <w:kern w:val="0"/>
          <w:szCs w:val="21"/>
        </w:rPr>
      </w:pPr>
      <w:r>
        <w:rPr>
          <w:rFonts w:hint="eastAsia" w:ascii="宋体" w:hAnsi="宋体" w:cs="宋体"/>
          <w:strike/>
          <w:color w:val="auto"/>
          <w:kern w:val="0"/>
          <w:szCs w:val="21"/>
        </w:rPr>
        <w:t>二、扣分情况说明：</w:t>
      </w:r>
    </w:p>
    <w:p>
      <w:pPr>
        <w:adjustRightInd w:val="0"/>
        <w:snapToGrid w:val="0"/>
        <w:rPr>
          <w:rFonts w:ascii="宋体" w:hAnsi="宋体" w:cs="宋体"/>
          <w:strike/>
          <w:color w:val="auto"/>
          <w:kern w:val="0"/>
          <w:szCs w:val="21"/>
        </w:rPr>
      </w:pPr>
      <w:r>
        <w:rPr>
          <w:rFonts w:ascii="宋体" w:hAnsi="宋体" w:cs="宋体"/>
          <w:strike/>
          <w:color w:val="auto"/>
          <w:kern w:val="0"/>
          <w:szCs w:val="21"/>
        </w:rPr>
        <w:t>1、</w:t>
      </w:r>
    </w:p>
    <w:p>
      <w:pPr>
        <w:adjustRightInd w:val="0"/>
        <w:snapToGrid w:val="0"/>
        <w:rPr>
          <w:rFonts w:ascii="宋体" w:hAnsi="宋体" w:cs="宋体"/>
          <w:strike/>
          <w:color w:val="auto"/>
          <w:kern w:val="0"/>
          <w:szCs w:val="21"/>
        </w:rPr>
      </w:pPr>
      <w:r>
        <w:rPr>
          <w:rFonts w:ascii="宋体" w:hAnsi="宋体" w:cs="宋体"/>
          <w:strike/>
          <w:color w:val="auto"/>
          <w:kern w:val="0"/>
          <w:szCs w:val="21"/>
        </w:rPr>
        <w:t>2、</w:t>
      </w:r>
    </w:p>
    <w:p>
      <w:pPr>
        <w:adjustRightInd w:val="0"/>
        <w:snapToGrid w:val="0"/>
        <w:rPr>
          <w:rFonts w:ascii="宋体" w:hAnsi="宋体" w:cs="宋体"/>
          <w:strike/>
          <w:color w:val="auto"/>
          <w:kern w:val="0"/>
          <w:szCs w:val="21"/>
        </w:rPr>
      </w:pPr>
      <w:r>
        <w:rPr>
          <w:rFonts w:ascii="宋体" w:hAnsi="宋体" w:cs="宋体"/>
          <w:strike/>
          <w:color w:val="auto"/>
          <w:kern w:val="0"/>
          <w:szCs w:val="21"/>
        </w:rPr>
        <w:t>3、</w:t>
      </w:r>
    </w:p>
    <w:p>
      <w:pPr>
        <w:adjustRightInd w:val="0"/>
        <w:snapToGrid w:val="0"/>
        <w:rPr>
          <w:rFonts w:ascii="宋体" w:hAnsi="宋体" w:cs="宋体"/>
          <w:strike/>
          <w:color w:val="auto"/>
          <w:kern w:val="0"/>
          <w:szCs w:val="21"/>
        </w:rPr>
      </w:pPr>
      <w:r>
        <w:rPr>
          <w:rFonts w:hint="eastAsia" w:ascii="宋体" w:hAnsi="宋体" w:cs="宋体"/>
          <w:strike/>
          <w:color w:val="auto"/>
          <w:kern w:val="0"/>
          <w:szCs w:val="21"/>
        </w:rPr>
        <w:t>…</w:t>
      </w:r>
    </w:p>
    <w:p>
      <w:pPr>
        <w:adjustRightInd w:val="0"/>
        <w:snapToGrid w:val="0"/>
        <w:rPr>
          <w:rFonts w:ascii="宋体" w:hAnsi="宋体" w:cs="宋体"/>
          <w:strike/>
          <w:color w:val="auto"/>
          <w:kern w:val="0"/>
          <w:szCs w:val="21"/>
        </w:rPr>
      </w:pPr>
    </w:p>
    <w:p>
      <w:pPr>
        <w:adjustRightInd w:val="0"/>
        <w:snapToGrid w:val="0"/>
        <w:rPr>
          <w:rFonts w:ascii="宋体" w:hAnsi="宋体" w:cs="宋体"/>
          <w:strike/>
          <w:color w:val="auto"/>
          <w:kern w:val="0"/>
          <w:szCs w:val="21"/>
          <w:u w:val="single"/>
        </w:rPr>
      </w:pPr>
      <w:r>
        <w:rPr>
          <w:rFonts w:hint="eastAsia" w:ascii="宋体" w:hAnsi="宋体" w:cs="宋体"/>
          <w:strike/>
          <w:color w:val="auto"/>
          <w:kern w:val="0"/>
          <w:szCs w:val="21"/>
        </w:rPr>
        <w:t>项目负责人：×××</w:t>
      </w:r>
      <w:r>
        <w:rPr>
          <w:rFonts w:ascii="宋体" w:hAnsi="宋体" w:cs="宋体"/>
          <w:strike/>
          <w:color w:val="auto"/>
          <w:kern w:val="0"/>
          <w:szCs w:val="21"/>
        </w:rPr>
        <w:t xml:space="preserve">  </w:t>
      </w:r>
      <w:r>
        <w:rPr>
          <w:rFonts w:hint="eastAsia" w:ascii="宋体" w:hAnsi="宋体" w:cs="宋体"/>
          <w:strike/>
          <w:color w:val="auto"/>
          <w:kern w:val="0"/>
          <w:szCs w:val="21"/>
        </w:rPr>
        <w:t>签名：</w:t>
      </w:r>
    </w:p>
    <w:p>
      <w:pPr>
        <w:adjustRightInd w:val="0"/>
        <w:snapToGrid w:val="0"/>
        <w:rPr>
          <w:rFonts w:ascii="宋体" w:hAnsi="宋体" w:cs="宋体"/>
          <w:strike/>
          <w:color w:val="auto"/>
          <w:kern w:val="0"/>
          <w:szCs w:val="21"/>
        </w:rPr>
      </w:pPr>
    </w:p>
    <w:p>
      <w:pPr>
        <w:adjustRightInd w:val="0"/>
        <w:snapToGrid w:val="0"/>
        <w:rPr>
          <w:rFonts w:ascii="宋体" w:hAnsi="宋体" w:cs="宋体"/>
          <w:strike/>
          <w:color w:val="auto"/>
          <w:kern w:val="0"/>
          <w:szCs w:val="21"/>
          <w:u w:val="single"/>
        </w:rPr>
      </w:pPr>
      <w:r>
        <w:rPr>
          <w:rFonts w:hint="eastAsia" w:ascii="宋体" w:hAnsi="宋体" w:cs="宋体"/>
          <w:strike/>
          <w:color w:val="auto"/>
          <w:kern w:val="0"/>
          <w:szCs w:val="21"/>
        </w:rPr>
        <w:t>部门负责人：×××</w:t>
      </w:r>
      <w:r>
        <w:rPr>
          <w:rFonts w:ascii="宋体" w:hAnsi="宋体" w:cs="宋体"/>
          <w:strike/>
          <w:color w:val="auto"/>
          <w:kern w:val="0"/>
          <w:szCs w:val="21"/>
        </w:rPr>
        <w:t xml:space="preserve">  </w:t>
      </w:r>
      <w:r>
        <w:rPr>
          <w:rFonts w:hint="eastAsia" w:ascii="宋体" w:hAnsi="宋体" w:cs="宋体"/>
          <w:strike/>
          <w:color w:val="auto"/>
          <w:kern w:val="0"/>
          <w:szCs w:val="21"/>
        </w:rPr>
        <w:t>签名：</w:t>
      </w:r>
    </w:p>
    <w:p>
      <w:pPr>
        <w:adjustRightInd w:val="0"/>
        <w:snapToGrid w:val="0"/>
        <w:rPr>
          <w:rFonts w:ascii="宋体" w:hAnsi="宋体" w:cs="宋体"/>
          <w:strike/>
          <w:color w:val="auto"/>
          <w:kern w:val="0"/>
          <w:szCs w:val="21"/>
        </w:rPr>
      </w:pPr>
    </w:p>
    <w:p>
      <w:pPr>
        <w:adjustRightInd w:val="0"/>
        <w:snapToGrid w:val="0"/>
        <w:rPr>
          <w:rFonts w:ascii="宋体" w:hAnsi="宋体" w:cs="宋体"/>
          <w:strike/>
          <w:color w:val="auto"/>
          <w:kern w:val="0"/>
          <w:szCs w:val="21"/>
        </w:rPr>
      </w:pPr>
      <w:r>
        <w:rPr>
          <w:rFonts w:hint="eastAsia" w:ascii="宋体" w:hAnsi="宋体" w:cs="宋体"/>
          <w:strike/>
          <w:color w:val="auto"/>
          <w:kern w:val="0"/>
          <w:szCs w:val="21"/>
        </w:rPr>
        <w:t>日期：</w:t>
      </w:r>
      <w:r>
        <w:rPr>
          <w:rFonts w:ascii="宋体" w:hAnsi="宋体" w:cs="宋体"/>
          <w:strike/>
          <w:color w:val="auto"/>
          <w:kern w:val="0"/>
          <w:szCs w:val="21"/>
        </w:rPr>
        <w:t xml:space="preserve">      </w:t>
      </w:r>
      <w:r>
        <w:rPr>
          <w:rFonts w:hint="eastAsia" w:ascii="宋体" w:hAnsi="宋体" w:cs="宋体"/>
          <w:strike/>
          <w:color w:val="auto"/>
          <w:kern w:val="0"/>
          <w:szCs w:val="21"/>
        </w:rPr>
        <w:t>年</w:t>
      </w:r>
      <w:r>
        <w:rPr>
          <w:rFonts w:ascii="宋体" w:hAnsi="宋体" w:cs="宋体"/>
          <w:strike/>
          <w:color w:val="auto"/>
          <w:kern w:val="0"/>
          <w:szCs w:val="21"/>
        </w:rPr>
        <w:t xml:space="preserve">    </w:t>
      </w:r>
      <w:r>
        <w:rPr>
          <w:rFonts w:hint="eastAsia" w:ascii="宋体" w:hAnsi="宋体" w:cs="宋体"/>
          <w:strike/>
          <w:color w:val="auto"/>
          <w:kern w:val="0"/>
          <w:szCs w:val="21"/>
        </w:rPr>
        <w:t>月</w:t>
      </w:r>
      <w:r>
        <w:rPr>
          <w:rFonts w:ascii="宋体" w:hAnsi="宋体" w:cs="宋体"/>
          <w:strike/>
          <w:color w:val="auto"/>
          <w:kern w:val="0"/>
          <w:szCs w:val="21"/>
        </w:rPr>
        <w:t xml:space="preserve">    </w:t>
      </w:r>
      <w:r>
        <w:rPr>
          <w:rFonts w:hint="eastAsia" w:ascii="宋体" w:hAnsi="宋体" w:cs="宋体"/>
          <w:strike/>
          <w:color w:val="auto"/>
          <w:kern w:val="0"/>
          <w:szCs w:val="21"/>
        </w:rPr>
        <w:t>日</w:t>
      </w:r>
    </w:p>
    <w:p>
      <w:pPr>
        <w:adjustRightInd w:val="0"/>
        <w:snapToGrid w:val="0"/>
        <w:rPr>
          <w:rFonts w:ascii="宋体" w:hAnsi="宋体" w:cs="宋体"/>
          <w:strike/>
          <w:color w:val="auto"/>
          <w:kern w:val="0"/>
          <w:szCs w:val="21"/>
        </w:rPr>
      </w:pPr>
    </w:p>
    <w:p>
      <w:pPr>
        <w:spacing w:line="560" w:lineRule="exact"/>
        <w:rPr>
          <w:rFonts w:ascii="仿宋_GB2312" w:eastAsia="仿宋_GB2312"/>
          <w:strike/>
          <w:color w:val="auto"/>
          <w:sz w:val="32"/>
          <w:szCs w:val="32"/>
        </w:rPr>
      </w:pPr>
      <w:r>
        <w:rPr>
          <w:rFonts w:ascii="宋体" w:hAnsi="宋体"/>
          <w:b/>
          <w:strike/>
          <w:color w:val="auto"/>
          <w:szCs w:val="21"/>
        </w:rPr>
        <w:br w:type="page"/>
      </w:r>
      <w:r>
        <w:rPr>
          <w:rFonts w:hint="eastAsia" w:ascii="仿宋_GB2312" w:eastAsia="仿宋_GB2312"/>
          <w:strike/>
          <w:color w:val="auto"/>
          <w:sz w:val="32"/>
          <w:szCs w:val="32"/>
        </w:rPr>
        <w:t>附件四</w:t>
      </w:r>
    </w:p>
    <w:tbl>
      <w:tblPr>
        <w:tblStyle w:val="55"/>
        <w:tblW w:w="9376" w:type="dxa"/>
        <w:jc w:val="center"/>
        <w:tblLayout w:type="fixed"/>
        <w:tblCellMar>
          <w:top w:w="0" w:type="dxa"/>
          <w:left w:w="108" w:type="dxa"/>
          <w:bottom w:w="0" w:type="dxa"/>
          <w:right w:w="108" w:type="dxa"/>
        </w:tblCellMar>
      </w:tblPr>
      <w:tblGrid>
        <w:gridCol w:w="499"/>
        <w:gridCol w:w="1274"/>
        <w:gridCol w:w="799"/>
        <w:gridCol w:w="2551"/>
        <w:gridCol w:w="3261"/>
        <w:gridCol w:w="992"/>
      </w:tblGrid>
      <w:tr>
        <w:tblPrEx>
          <w:tblCellMar>
            <w:top w:w="0" w:type="dxa"/>
            <w:left w:w="108" w:type="dxa"/>
            <w:bottom w:w="0" w:type="dxa"/>
            <w:right w:w="108" w:type="dxa"/>
          </w:tblCellMar>
        </w:tblPrEx>
        <w:trPr>
          <w:trHeight w:val="570" w:hRule="atLeast"/>
          <w:jc w:val="center"/>
        </w:trPr>
        <w:tc>
          <w:tcPr>
            <w:tcW w:w="9376" w:type="dxa"/>
            <w:gridSpan w:val="6"/>
            <w:tcBorders>
              <w:top w:val="nil"/>
              <w:left w:val="nil"/>
              <w:bottom w:val="nil"/>
              <w:right w:val="nil"/>
            </w:tcBorders>
            <w:noWrap/>
            <w:vAlign w:val="center"/>
          </w:tcPr>
          <w:p>
            <w:pPr>
              <w:widowControl/>
              <w:jc w:val="center"/>
              <w:rPr>
                <w:rFonts w:ascii="仿宋_GB2312" w:hAnsi="宋体" w:eastAsia="仿宋_GB2312"/>
                <w:strike/>
                <w:color w:val="auto"/>
                <w:sz w:val="28"/>
                <w:szCs w:val="28"/>
              </w:rPr>
            </w:pPr>
            <w:r>
              <w:rPr>
                <w:rFonts w:hint="eastAsia" w:ascii="仿宋_GB2312" w:hAnsi="宋体" w:eastAsia="仿宋_GB2312"/>
                <w:strike/>
                <w:color w:val="auto"/>
                <w:sz w:val="28"/>
                <w:szCs w:val="28"/>
              </w:rPr>
              <w:t>施工阶段设计合同履约评价表</w:t>
            </w:r>
          </w:p>
          <w:p>
            <w:pPr>
              <w:widowControl/>
              <w:jc w:val="right"/>
              <w:rPr>
                <w:rFonts w:ascii="仿宋_GB2312" w:hAnsi="宋体" w:eastAsia="仿宋_GB2312"/>
                <w:strike/>
                <w:color w:val="auto"/>
                <w:sz w:val="28"/>
                <w:szCs w:val="28"/>
              </w:rPr>
            </w:pPr>
            <w:r>
              <w:rPr>
                <w:rFonts w:ascii="仿宋_GB2312" w:hAnsi="宋体" w:eastAsia="仿宋_GB2312"/>
                <w:strike/>
                <w:color w:val="auto"/>
                <w:sz w:val="24"/>
              </w:rPr>
              <w:t xml:space="preserve">20   </w:t>
            </w:r>
            <w:r>
              <w:rPr>
                <w:rFonts w:hint="eastAsia" w:ascii="仿宋_GB2312" w:hAnsi="宋体" w:eastAsia="仿宋_GB2312"/>
                <w:strike/>
                <w:color w:val="auto"/>
                <w:sz w:val="24"/>
              </w:rPr>
              <w:t>年第</w:t>
            </w:r>
            <w:r>
              <w:rPr>
                <w:rFonts w:ascii="仿宋_GB2312" w:hAnsi="宋体" w:eastAsia="仿宋_GB2312"/>
                <w:strike/>
                <w:color w:val="auto"/>
                <w:sz w:val="24"/>
              </w:rPr>
              <w:t xml:space="preserve">  </w:t>
            </w:r>
            <w:r>
              <w:rPr>
                <w:rFonts w:hint="eastAsia" w:ascii="仿宋_GB2312" w:hAnsi="宋体" w:eastAsia="仿宋_GB2312"/>
                <w:strike/>
                <w:color w:val="auto"/>
                <w:sz w:val="24"/>
              </w:rPr>
              <w:t>季度</w:t>
            </w:r>
          </w:p>
        </w:tc>
      </w:tr>
      <w:tr>
        <w:tblPrEx>
          <w:tblCellMar>
            <w:top w:w="0" w:type="dxa"/>
            <w:left w:w="108" w:type="dxa"/>
            <w:bottom w:w="0" w:type="dxa"/>
            <w:right w:w="108" w:type="dxa"/>
          </w:tblCellMar>
        </w:tblPrEx>
        <w:trPr>
          <w:jc w:val="center"/>
        </w:trPr>
        <w:tc>
          <w:tcPr>
            <w:tcW w:w="49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b/>
                <w:bCs/>
                <w:strike/>
                <w:color w:val="auto"/>
                <w:kern w:val="0"/>
                <w:szCs w:val="21"/>
              </w:rPr>
            </w:pPr>
            <w:r>
              <w:rPr>
                <w:rFonts w:hint="eastAsia" w:ascii="宋体" w:hAnsi="宋体" w:cs="宋体"/>
                <w:b/>
                <w:bCs/>
                <w:strike/>
                <w:color w:val="auto"/>
                <w:kern w:val="0"/>
                <w:szCs w:val="21"/>
              </w:rPr>
              <w:t>序</w:t>
            </w:r>
          </w:p>
          <w:p>
            <w:pPr>
              <w:widowControl/>
              <w:jc w:val="center"/>
              <w:rPr>
                <w:rFonts w:ascii="宋体" w:hAnsi="宋体" w:cs="宋体"/>
                <w:b/>
                <w:bCs/>
                <w:strike/>
                <w:color w:val="auto"/>
                <w:kern w:val="0"/>
                <w:szCs w:val="21"/>
              </w:rPr>
            </w:pPr>
            <w:r>
              <w:rPr>
                <w:rFonts w:hint="eastAsia" w:ascii="宋体" w:hAnsi="宋体" w:cs="宋体"/>
                <w:b/>
                <w:bCs/>
                <w:strike/>
                <w:color w:val="auto"/>
                <w:kern w:val="0"/>
                <w:szCs w:val="21"/>
              </w:rPr>
              <w:t>号</w:t>
            </w:r>
          </w:p>
        </w:tc>
        <w:tc>
          <w:tcPr>
            <w:tcW w:w="1274"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b/>
                <w:bCs/>
                <w:strike/>
                <w:color w:val="auto"/>
                <w:kern w:val="0"/>
                <w:szCs w:val="21"/>
              </w:rPr>
            </w:pPr>
            <w:r>
              <w:rPr>
                <w:rFonts w:hint="eastAsia" w:ascii="宋体" w:hAnsi="宋体" w:cs="宋体"/>
                <w:b/>
                <w:bCs/>
                <w:strike/>
                <w:color w:val="auto"/>
                <w:kern w:val="0"/>
                <w:szCs w:val="21"/>
              </w:rPr>
              <w:t>内容</w:t>
            </w:r>
          </w:p>
        </w:tc>
        <w:tc>
          <w:tcPr>
            <w:tcW w:w="799"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b/>
                <w:bCs/>
                <w:strike/>
                <w:color w:val="auto"/>
                <w:kern w:val="0"/>
                <w:szCs w:val="21"/>
              </w:rPr>
            </w:pPr>
            <w:r>
              <w:rPr>
                <w:rFonts w:hint="eastAsia" w:ascii="宋体" w:hAnsi="宋体" w:cs="宋体"/>
                <w:b/>
                <w:bCs/>
                <w:strike/>
                <w:color w:val="auto"/>
                <w:kern w:val="0"/>
                <w:szCs w:val="21"/>
              </w:rPr>
              <w:t>单项</w:t>
            </w:r>
            <w:r>
              <w:rPr>
                <w:rFonts w:ascii="宋体" w:hAnsi="宋体" w:cs="宋体"/>
                <w:b/>
                <w:bCs/>
                <w:strike/>
                <w:color w:val="auto"/>
                <w:kern w:val="0"/>
                <w:szCs w:val="21"/>
              </w:rPr>
              <w:br w:type="textWrapping"/>
            </w:r>
            <w:r>
              <w:rPr>
                <w:rFonts w:hint="eastAsia" w:ascii="宋体" w:hAnsi="宋体" w:cs="宋体"/>
                <w:b/>
                <w:bCs/>
                <w:strike/>
                <w:color w:val="auto"/>
                <w:kern w:val="0"/>
                <w:szCs w:val="21"/>
              </w:rPr>
              <w:t>分值</w:t>
            </w:r>
          </w:p>
        </w:tc>
        <w:tc>
          <w:tcPr>
            <w:tcW w:w="2551"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b/>
                <w:bCs/>
                <w:strike/>
                <w:color w:val="auto"/>
                <w:kern w:val="0"/>
                <w:szCs w:val="21"/>
              </w:rPr>
            </w:pPr>
            <w:r>
              <w:rPr>
                <w:rFonts w:hint="eastAsia" w:ascii="宋体" w:hAnsi="宋体" w:cs="宋体"/>
                <w:b/>
                <w:bCs/>
                <w:strike/>
                <w:color w:val="auto"/>
                <w:kern w:val="0"/>
                <w:szCs w:val="21"/>
              </w:rPr>
              <w:t>评价指标</w:t>
            </w:r>
          </w:p>
        </w:tc>
        <w:tc>
          <w:tcPr>
            <w:tcW w:w="3261"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b/>
                <w:bCs/>
                <w:strike/>
                <w:color w:val="auto"/>
                <w:kern w:val="0"/>
                <w:szCs w:val="21"/>
              </w:rPr>
            </w:pPr>
            <w:r>
              <w:rPr>
                <w:rFonts w:hint="eastAsia" w:ascii="宋体" w:hAnsi="宋体" w:cs="宋体"/>
                <w:b/>
                <w:bCs/>
                <w:strike/>
                <w:color w:val="auto"/>
                <w:kern w:val="0"/>
                <w:szCs w:val="21"/>
              </w:rPr>
              <w:t>评分标准</w:t>
            </w:r>
          </w:p>
        </w:tc>
        <w:tc>
          <w:tcPr>
            <w:tcW w:w="992"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strike/>
                <w:color w:val="auto"/>
                <w:kern w:val="0"/>
                <w:szCs w:val="21"/>
              </w:rPr>
            </w:pPr>
            <w:r>
              <w:rPr>
                <w:rFonts w:hint="eastAsia" w:ascii="宋体" w:hAnsi="宋体" w:cs="宋体"/>
                <w:strike/>
                <w:color w:val="auto"/>
                <w:kern w:val="0"/>
                <w:szCs w:val="21"/>
              </w:rPr>
              <w:t>得分</w:t>
            </w:r>
          </w:p>
        </w:tc>
      </w:tr>
      <w:tr>
        <w:tblPrEx>
          <w:tblCellMar>
            <w:top w:w="0" w:type="dxa"/>
            <w:left w:w="108" w:type="dxa"/>
            <w:bottom w:w="0" w:type="dxa"/>
            <w:right w:w="108" w:type="dxa"/>
          </w:tblCellMar>
        </w:tblPrEx>
        <w:trPr>
          <w:jc w:val="center"/>
        </w:trPr>
        <w:tc>
          <w:tcPr>
            <w:tcW w:w="499"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strike/>
                <w:color w:val="auto"/>
                <w:kern w:val="0"/>
                <w:szCs w:val="21"/>
              </w:rPr>
            </w:pPr>
            <w:r>
              <w:rPr>
                <w:rFonts w:hint="eastAsia" w:ascii="宋体" w:hAnsi="宋体" w:cs="宋体"/>
                <w:strike/>
                <w:color w:val="auto"/>
                <w:kern w:val="0"/>
                <w:szCs w:val="21"/>
              </w:rPr>
              <w:t>一</w:t>
            </w:r>
          </w:p>
        </w:tc>
        <w:tc>
          <w:tcPr>
            <w:tcW w:w="1274" w:type="dxa"/>
            <w:tcBorders>
              <w:top w:val="nil"/>
              <w:left w:val="nil"/>
              <w:bottom w:val="single" w:color="auto" w:sz="4" w:space="0"/>
              <w:right w:val="single" w:color="auto" w:sz="4" w:space="0"/>
            </w:tcBorders>
            <w:noWrap/>
            <w:vAlign w:val="center"/>
          </w:tcPr>
          <w:p>
            <w:pPr>
              <w:widowControl/>
              <w:jc w:val="left"/>
              <w:rPr>
                <w:strike/>
                <w:color w:val="auto"/>
                <w:kern w:val="0"/>
                <w:szCs w:val="21"/>
              </w:rPr>
            </w:pPr>
            <w:r>
              <w:rPr>
                <w:rFonts w:hint="eastAsia" w:ascii="宋体" w:hAnsi="宋体"/>
                <w:strike/>
                <w:color w:val="auto"/>
                <w:kern w:val="0"/>
                <w:szCs w:val="21"/>
              </w:rPr>
              <w:t>能力水平及履约表现</w:t>
            </w:r>
          </w:p>
        </w:tc>
        <w:tc>
          <w:tcPr>
            <w:tcW w:w="799" w:type="dxa"/>
            <w:tcBorders>
              <w:top w:val="nil"/>
              <w:left w:val="nil"/>
              <w:bottom w:val="single" w:color="auto" w:sz="4" w:space="0"/>
              <w:right w:val="single" w:color="auto" w:sz="4" w:space="0"/>
            </w:tcBorders>
            <w:noWrap/>
            <w:vAlign w:val="center"/>
          </w:tcPr>
          <w:p>
            <w:pPr>
              <w:widowControl/>
              <w:jc w:val="center"/>
              <w:rPr>
                <w:strike/>
                <w:color w:val="auto"/>
                <w:kern w:val="0"/>
                <w:szCs w:val="21"/>
              </w:rPr>
            </w:pPr>
            <w:r>
              <w:rPr>
                <w:strike/>
                <w:color w:val="auto"/>
                <w:kern w:val="0"/>
                <w:szCs w:val="21"/>
              </w:rPr>
              <w:t>20</w:t>
            </w:r>
          </w:p>
        </w:tc>
        <w:tc>
          <w:tcPr>
            <w:tcW w:w="2551" w:type="dxa"/>
            <w:tcBorders>
              <w:top w:val="nil"/>
              <w:left w:val="nil"/>
              <w:bottom w:val="single" w:color="auto" w:sz="4" w:space="0"/>
              <w:right w:val="single" w:color="auto" w:sz="4" w:space="0"/>
            </w:tcBorders>
            <w:noWrap/>
            <w:vAlign w:val="center"/>
          </w:tcPr>
          <w:p>
            <w:pPr>
              <w:widowControl/>
              <w:jc w:val="left"/>
              <w:rPr>
                <w:strike/>
                <w:color w:val="auto"/>
                <w:kern w:val="0"/>
                <w:szCs w:val="21"/>
              </w:rPr>
            </w:pPr>
            <w:r>
              <w:rPr>
                <w:rFonts w:hint="eastAsia"/>
                <w:strike/>
                <w:color w:val="auto"/>
                <w:kern w:val="0"/>
                <w:szCs w:val="21"/>
              </w:rPr>
              <w:t>　</w:t>
            </w:r>
          </w:p>
        </w:tc>
        <w:tc>
          <w:tcPr>
            <w:tcW w:w="3261" w:type="dxa"/>
            <w:tcBorders>
              <w:top w:val="nil"/>
              <w:left w:val="nil"/>
              <w:bottom w:val="single" w:color="auto" w:sz="4" w:space="0"/>
              <w:right w:val="single" w:color="auto" w:sz="4" w:space="0"/>
            </w:tcBorders>
            <w:noWrap/>
            <w:vAlign w:val="center"/>
          </w:tcPr>
          <w:p>
            <w:pPr>
              <w:widowControl/>
              <w:jc w:val="left"/>
              <w:rPr>
                <w:strike/>
                <w:color w:val="auto"/>
                <w:kern w:val="0"/>
                <w:szCs w:val="21"/>
              </w:rPr>
            </w:pPr>
          </w:p>
        </w:tc>
        <w:tc>
          <w:tcPr>
            <w:tcW w:w="992" w:type="dxa"/>
            <w:tcBorders>
              <w:top w:val="nil"/>
              <w:left w:val="nil"/>
              <w:bottom w:val="single" w:color="auto" w:sz="4" w:space="0"/>
              <w:right w:val="single" w:color="auto" w:sz="4" w:space="0"/>
            </w:tcBorders>
            <w:noWrap/>
            <w:vAlign w:val="center"/>
          </w:tcPr>
          <w:p>
            <w:pPr>
              <w:widowControl/>
              <w:jc w:val="center"/>
              <w:rPr>
                <w:strike/>
                <w:color w:val="auto"/>
                <w:kern w:val="0"/>
                <w:szCs w:val="21"/>
              </w:rPr>
            </w:pPr>
            <w:r>
              <w:rPr>
                <w:rFonts w:hint="eastAsia"/>
                <w:strike/>
                <w:color w:val="auto"/>
                <w:kern w:val="0"/>
                <w:szCs w:val="21"/>
              </w:rPr>
              <w:t>　</w:t>
            </w:r>
          </w:p>
        </w:tc>
      </w:tr>
      <w:tr>
        <w:tblPrEx>
          <w:tblCellMar>
            <w:top w:w="0" w:type="dxa"/>
            <w:left w:w="108" w:type="dxa"/>
            <w:bottom w:w="0" w:type="dxa"/>
            <w:right w:w="108" w:type="dxa"/>
          </w:tblCellMar>
        </w:tblPrEx>
        <w:trPr>
          <w:jc w:val="center"/>
        </w:trPr>
        <w:tc>
          <w:tcPr>
            <w:tcW w:w="499"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strike/>
                <w:color w:val="auto"/>
                <w:kern w:val="0"/>
                <w:szCs w:val="21"/>
              </w:rPr>
            </w:pPr>
            <w:r>
              <w:rPr>
                <w:rFonts w:ascii="宋体" w:hAnsi="宋体" w:cs="宋体"/>
                <w:strike/>
                <w:color w:val="auto"/>
                <w:kern w:val="0"/>
                <w:szCs w:val="21"/>
              </w:rPr>
              <w:t>1</w:t>
            </w:r>
          </w:p>
        </w:tc>
        <w:tc>
          <w:tcPr>
            <w:tcW w:w="1274" w:type="dxa"/>
            <w:tcBorders>
              <w:top w:val="nil"/>
              <w:left w:val="nil"/>
              <w:bottom w:val="single" w:color="auto" w:sz="4" w:space="0"/>
              <w:right w:val="single" w:color="auto" w:sz="4" w:space="0"/>
            </w:tcBorders>
            <w:noWrap/>
            <w:vAlign w:val="center"/>
          </w:tcPr>
          <w:p>
            <w:pPr>
              <w:widowControl/>
              <w:jc w:val="center"/>
              <w:rPr>
                <w:rFonts w:ascii="宋体" w:hAnsi="宋体" w:cs="宋体"/>
                <w:strike/>
                <w:color w:val="auto"/>
                <w:kern w:val="0"/>
                <w:szCs w:val="21"/>
              </w:rPr>
            </w:pPr>
            <w:r>
              <w:rPr>
                <w:rFonts w:hint="eastAsia" w:ascii="宋体" w:hAnsi="宋体" w:cs="宋体"/>
                <w:strike/>
                <w:color w:val="auto"/>
                <w:kern w:val="0"/>
                <w:szCs w:val="21"/>
              </w:rPr>
              <w:t>现场配合人员</w:t>
            </w:r>
          </w:p>
        </w:tc>
        <w:tc>
          <w:tcPr>
            <w:tcW w:w="799"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strike/>
                <w:color w:val="auto"/>
                <w:kern w:val="0"/>
                <w:szCs w:val="21"/>
              </w:rPr>
            </w:pPr>
            <w:r>
              <w:rPr>
                <w:rFonts w:ascii="仿宋_GB2312" w:hAnsi="宋体" w:eastAsia="仿宋_GB2312" w:cs="宋体"/>
                <w:strike/>
                <w:color w:val="auto"/>
                <w:kern w:val="0"/>
                <w:szCs w:val="21"/>
              </w:rPr>
              <w:t>10</w:t>
            </w:r>
          </w:p>
        </w:tc>
        <w:tc>
          <w:tcPr>
            <w:tcW w:w="2551" w:type="dxa"/>
            <w:tcBorders>
              <w:top w:val="nil"/>
              <w:left w:val="nil"/>
              <w:bottom w:val="single" w:color="auto" w:sz="4" w:space="0"/>
              <w:right w:val="single" w:color="auto" w:sz="4" w:space="0"/>
            </w:tcBorders>
            <w:noWrap/>
            <w:vAlign w:val="center"/>
          </w:tcPr>
          <w:p>
            <w:pPr>
              <w:widowControl/>
              <w:jc w:val="left"/>
              <w:rPr>
                <w:rFonts w:ascii="宋体" w:hAnsi="宋体" w:cs="宋体"/>
                <w:strike/>
                <w:color w:val="auto"/>
                <w:kern w:val="0"/>
                <w:szCs w:val="21"/>
              </w:rPr>
            </w:pPr>
            <w:r>
              <w:rPr>
                <w:rFonts w:hint="eastAsia" w:ascii="宋体" w:hAnsi="宋体" w:cs="宋体"/>
                <w:strike/>
                <w:color w:val="auto"/>
                <w:kern w:val="0"/>
                <w:szCs w:val="21"/>
              </w:rPr>
              <w:t>能否按合同及甲方要求及时协调配合甲方、专项设计单位及其它相关部门的工作；是否具有较强的沟通协调能力；能否在验收环节积极协助甲方完成相关工作；设计配合是否及时；能否按要求参加项目例会</w:t>
            </w:r>
          </w:p>
        </w:tc>
        <w:tc>
          <w:tcPr>
            <w:tcW w:w="3261" w:type="dxa"/>
            <w:tcBorders>
              <w:top w:val="nil"/>
              <w:left w:val="nil"/>
              <w:bottom w:val="single" w:color="auto" w:sz="4" w:space="0"/>
              <w:right w:val="single" w:color="auto" w:sz="4" w:space="0"/>
            </w:tcBorders>
            <w:noWrap/>
            <w:vAlign w:val="center"/>
          </w:tcPr>
          <w:p>
            <w:pPr>
              <w:widowControl/>
              <w:jc w:val="left"/>
              <w:rPr>
                <w:rFonts w:ascii="宋体" w:hAnsi="宋体" w:cs="宋体"/>
                <w:strike/>
                <w:color w:val="auto"/>
                <w:kern w:val="0"/>
                <w:szCs w:val="21"/>
              </w:rPr>
            </w:pPr>
            <w:r>
              <w:rPr>
                <w:rFonts w:hint="eastAsia" w:ascii="宋体" w:hAnsi="宋体" w:cs="宋体"/>
                <w:strike/>
                <w:color w:val="auto"/>
                <w:kern w:val="0"/>
                <w:szCs w:val="21"/>
              </w:rPr>
              <w:t>好：得</w:t>
            </w:r>
            <w:r>
              <w:rPr>
                <w:rFonts w:ascii="宋体" w:hAnsi="宋体" w:cs="宋体"/>
                <w:strike/>
                <w:color w:val="auto"/>
                <w:kern w:val="0"/>
                <w:szCs w:val="21"/>
              </w:rPr>
              <w:t>10分</w:t>
            </w:r>
          </w:p>
          <w:p>
            <w:pPr>
              <w:widowControl/>
              <w:jc w:val="left"/>
              <w:rPr>
                <w:rFonts w:ascii="宋体" w:hAnsi="宋体" w:cs="宋体"/>
                <w:strike/>
                <w:color w:val="auto"/>
                <w:kern w:val="0"/>
                <w:szCs w:val="21"/>
              </w:rPr>
            </w:pPr>
            <w:r>
              <w:rPr>
                <w:rFonts w:hint="eastAsia" w:ascii="宋体" w:hAnsi="宋体" w:cs="宋体"/>
                <w:strike/>
                <w:color w:val="auto"/>
                <w:kern w:val="0"/>
                <w:szCs w:val="21"/>
              </w:rPr>
              <w:t>较好：得</w:t>
            </w:r>
            <w:r>
              <w:rPr>
                <w:rFonts w:ascii="宋体" w:hAnsi="宋体" w:cs="宋体"/>
                <w:strike/>
                <w:color w:val="auto"/>
                <w:kern w:val="0"/>
                <w:szCs w:val="21"/>
              </w:rPr>
              <w:t>8分</w:t>
            </w:r>
          </w:p>
          <w:p>
            <w:pPr>
              <w:widowControl/>
              <w:jc w:val="left"/>
              <w:rPr>
                <w:rFonts w:ascii="宋体" w:hAnsi="宋体" w:cs="宋体"/>
                <w:strike/>
                <w:color w:val="auto"/>
                <w:kern w:val="0"/>
                <w:szCs w:val="21"/>
              </w:rPr>
            </w:pPr>
            <w:r>
              <w:rPr>
                <w:rFonts w:hint="eastAsia" w:ascii="宋体" w:hAnsi="宋体" w:cs="宋体"/>
                <w:strike/>
                <w:color w:val="auto"/>
                <w:kern w:val="0"/>
                <w:szCs w:val="21"/>
              </w:rPr>
              <w:t>一般：得</w:t>
            </w:r>
            <w:r>
              <w:rPr>
                <w:rFonts w:ascii="宋体" w:hAnsi="宋体" w:cs="宋体"/>
                <w:strike/>
                <w:color w:val="auto"/>
                <w:kern w:val="0"/>
                <w:szCs w:val="21"/>
              </w:rPr>
              <w:t>6分</w:t>
            </w:r>
          </w:p>
          <w:p>
            <w:pPr>
              <w:widowControl/>
              <w:jc w:val="left"/>
              <w:rPr>
                <w:rFonts w:ascii="宋体" w:hAnsi="宋体" w:cs="宋体"/>
                <w:strike/>
                <w:color w:val="auto"/>
                <w:kern w:val="0"/>
                <w:szCs w:val="21"/>
              </w:rPr>
            </w:pPr>
            <w:r>
              <w:rPr>
                <w:rFonts w:hint="eastAsia" w:ascii="宋体" w:hAnsi="宋体" w:cs="宋体"/>
                <w:strike/>
                <w:color w:val="auto"/>
                <w:kern w:val="0"/>
                <w:szCs w:val="21"/>
              </w:rPr>
              <w:t>较差：得</w:t>
            </w:r>
            <w:r>
              <w:rPr>
                <w:rFonts w:ascii="宋体" w:hAnsi="宋体" w:cs="宋体"/>
                <w:strike/>
                <w:color w:val="auto"/>
                <w:kern w:val="0"/>
                <w:szCs w:val="21"/>
              </w:rPr>
              <w:t>4分</w:t>
            </w:r>
          </w:p>
          <w:p>
            <w:pPr>
              <w:widowControl/>
              <w:jc w:val="left"/>
              <w:rPr>
                <w:rFonts w:ascii="宋体" w:hAnsi="宋体" w:cs="宋体"/>
                <w:strike/>
                <w:color w:val="auto"/>
                <w:kern w:val="0"/>
                <w:szCs w:val="21"/>
              </w:rPr>
            </w:pPr>
            <w:r>
              <w:rPr>
                <w:rFonts w:hint="eastAsia" w:ascii="宋体" w:hAnsi="宋体" w:cs="宋体"/>
                <w:strike/>
                <w:color w:val="auto"/>
                <w:kern w:val="0"/>
                <w:szCs w:val="21"/>
              </w:rPr>
              <w:t>差：得</w:t>
            </w:r>
            <w:r>
              <w:rPr>
                <w:rFonts w:ascii="宋体" w:hAnsi="宋体" w:cs="宋体"/>
                <w:strike/>
                <w:color w:val="auto"/>
                <w:kern w:val="0"/>
                <w:szCs w:val="21"/>
              </w:rPr>
              <w:t>2分</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strike/>
                <w:color w:val="auto"/>
                <w:kern w:val="0"/>
                <w:szCs w:val="21"/>
              </w:rPr>
            </w:pPr>
            <w:r>
              <w:rPr>
                <w:rFonts w:hint="eastAsia" w:ascii="宋体" w:hAnsi="宋体" w:cs="宋体"/>
                <w:strike/>
                <w:color w:val="auto"/>
                <w:kern w:val="0"/>
                <w:szCs w:val="21"/>
              </w:rPr>
              <w:t>　</w:t>
            </w:r>
          </w:p>
        </w:tc>
      </w:tr>
      <w:tr>
        <w:tblPrEx>
          <w:tblCellMar>
            <w:top w:w="0" w:type="dxa"/>
            <w:left w:w="108" w:type="dxa"/>
            <w:bottom w:w="0" w:type="dxa"/>
            <w:right w:w="108" w:type="dxa"/>
          </w:tblCellMar>
        </w:tblPrEx>
        <w:trPr>
          <w:jc w:val="center"/>
        </w:trPr>
        <w:tc>
          <w:tcPr>
            <w:tcW w:w="499"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strike/>
                <w:color w:val="auto"/>
                <w:kern w:val="0"/>
                <w:szCs w:val="21"/>
              </w:rPr>
            </w:pPr>
            <w:r>
              <w:rPr>
                <w:rFonts w:ascii="宋体" w:hAnsi="宋体" w:cs="宋体"/>
                <w:strike/>
                <w:color w:val="auto"/>
                <w:kern w:val="0"/>
                <w:szCs w:val="21"/>
              </w:rPr>
              <w:t>2</w:t>
            </w:r>
          </w:p>
        </w:tc>
        <w:tc>
          <w:tcPr>
            <w:tcW w:w="1274" w:type="dxa"/>
            <w:tcBorders>
              <w:top w:val="nil"/>
              <w:left w:val="nil"/>
              <w:bottom w:val="single" w:color="auto" w:sz="4" w:space="0"/>
              <w:right w:val="single" w:color="auto" w:sz="4" w:space="0"/>
            </w:tcBorders>
            <w:noWrap/>
            <w:vAlign w:val="center"/>
          </w:tcPr>
          <w:p>
            <w:pPr>
              <w:widowControl/>
              <w:jc w:val="center"/>
              <w:rPr>
                <w:rFonts w:ascii="宋体" w:hAnsi="宋体" w:cs="宋体"/>
                <w:strike/>
                <w:color w:val="auto"/>
                <w:kern w:val="0"/>
                <w:szCs w:val="21"/>
              </w:rPr>
            </w:pPr>
            <w:r>
              <w:rPr>
                <w:rFonts w:hint="eastAsia" w:ascii="宋体" w:hAnsi="宋体" w:cs="宋体"/>
                <w:strike/>
                <w:color w:val="auto"/>
                <w:kern w:val="0"/>
                <w:szCs w:val="21"/>
              </w:rPr>
              <w:t>设计技术交底</w:t>
            </w:r>
          </w:p>
        </w:tc>
        <w:tc>
          <w:tcPr>
            <w:tcW w:w="799" w:type="dxa"/>
            <w:tcBorders>
              <w:top w:val="single" w:color="auto" w:sz="4" w:space="0"/>
              <w:left w:val="nil"/>
              <w:bottom w:val="nil"/>
              <w:right w:val="single" w:color="auto" w:sz="4" w:space="0"/>
            </w:tcBorders>
            <w:noWrap/>
            <w:vAlign w:val="center"/>
          </w:tcPr>
          <w:p>
            <w:pPr>
              <w:widowControl/>
              <w:jc w:val="center"/>
              <w:rPr>
                <w:rFonts w:ascii="仿宋_GB2312" w:hAnsi="宋体" w:eastAsia="仿宋_GB2312" w:cs="宋体"/>
                <w:strike/>
                <w:color w:val="auto"/>
                <w:kern w:val="0"/>
                <w:szCs w:val="21"/>
              </w:rPr>
            </w:pPr>
            <w:r>
              <w:rPr>
                <w:rFonts w:ascii="仿宋_GB2312" w:hAnsi="宋体" w:eastAsia="仿宋_GB2312" w:cs="宋体"/>
                <w:strike/>
                <w:color w:val="auto"/>
                <w:kern w:val="0"/>
                <w:szCs w:val="21"/>
              </w:rPr>
              <w:t>10</w:t>
            </w:r>
          </w:p>
        </w:tc>
        <w:tc>
          <w:tcPr>
            <w:tcW w:w="2551" w:type="dxa"/>
            <w:tcBorders>
              <w:top w:val="nil"/>
              <w:left w:val="nil"/>
              <w:bottom w:val="single" w:color="auto" w:sz="4" w:space="0"/>
              <w:right w:val="single" w:color="auto" w:sz="4" w:space="0"/>
            </w:tcBorders>
            <w:noWrap/>
            <w:vAlign w:val="center"/>
          </w:tcPr>
          <w:p>
            <w:pPr>
              <w:widowControl/>
              <w:jc w:val="left"/>
              <w:rPr>
                <w:rFonts w:ascii="宋体" w:hAnsi="宋体" w:cs="宋体"/>
                <w:strike/>
                <w:color w:val="auto"/>
                <w:kern w:val="0"/>
                <w:szCs w:val="21"/>
              </w:rPr>
            </w:pPr>
            <w:r>
              <w:rPr>
                <w:rFonts w:hint="eastAsia" w:ascii="宋体" w:hAnsi="宋体" w:cs="宋体"/>
                <w:strike/>
                <w:color w:val="auto"/>
                <w:kern w:val="0"/>
                <w:szCs w:val="21"/>
              </w:rPr>
              <w:t>是否满足现场施工要求</w:t>
            </w:r>
          </w:p>
        </w:tc>
        <w:tc>
          <w:tcPr>
            <w:tcW w:w="3261" w:type="dxa"/>
            <w:tcBorders>
              <w:top w:val="nil"/>
              <w:left w:val="nil"/>
              <w:bottom w:val="single" w:color="auto" w:sz="4" w:space="0"/>
              <w:right w:val="single" w:color="auto" w:sz="4" w:space="0"/>
            </w:tcBorders>
            <w:noWrap/>
            <w:vAlign w:val="center"/>
          </w:tcPr>
          <w:p>
            <w:pPr>
              <w:widowControl/>
              <w:jc w:val="left"/>
              <w:rPr>
                <w:rFonts w:ascii="宋体" w:hAnsi="宋体" w:cs="宋体"/>
                <w:strike/>
                <w:color w:val="auto"/>
                <w:kern w:val="0"/>
                <w:szCs w:val="21"/>
              </w:rPr>
            </w:pPr>
            <w:r>
              <w:rPr>
                <w:rFonts w:hint="eastAsia" w:ascii="宋体" w:hAnsi="宋体" w:cs="宋体"/>
                <w:strike/>
                <w:color w:val="auto"/>
                <w:kern w:val="0"/>
                <w:szCs w:val="21"/>
              </w:rPr>
              <w:t>好：得</w:t>
            </w:r>
            <w:r>
              <w:rPr>
                <w:rFonts w:ascii="宋体" w:hAnsi="宋体" w:cs="宋体"/>
                <w:strike/>
                <w:color w:val="auto"/>
                <w:kern w:val="0"/>
                <w:szCs w:val="21"/>
              </w:rPr>
              <w:t>10分</w:t>
            </w:r>
          </w:p>
          <w:p>
            <w:pPr>
              <w:widowControl/>
              <w:jc w:val="left"/>
              <w:rPr>
                <w:rFonts w:ascii="宋体" w:hAnsi="宋体" w:cs="宋体"/>
                <w:strike/>
                <w:color w:val="auto"/>
                <w:kern w:val="0"/>
                <w:szCs w:val="21"/>
              </w:rPr>
            </w:pPr>
            <w:r>
              <w:rPr>
                <w:rFonts w:hint="eastAsia" w:ascii="宋体" w:hAnsi="宋体" w:cs="宋体"/>
                <w:strike/>
                <w:color w:val="auto"/>
                <w:kern w:val="0"/>
                <w:szCs w:val="21"/>
              </w:rPr>
              <w:t>较好：得</w:t>
            </w:r>
            <w:r>
              <w:rPr>
                <w:rFonts w:ascii="宋体" w:hAnsi="宋体" w:cs="宋体"/>
                <w:strike/>
                <w:color w:val="auto"/>
                <w:kern w:val="0"/>
                <w:szCs w:val="21"/>
              </w:rPr>
              <w:t>8分</w:t>
            </w:r>
          </w:p>
          <w:p>
            <w:pPr>
              <w:widowControl/>
              <w:jc w:val="left"/>
              <w:rPr>
                <w:rFonts w:ascii="宋体" w:hAnsi="宋体" w:cs="宋体"/>
                <w:strike/>
                <w:color w:val="auto"/>
                <w:kern w:val="0"/>
                <w:szCs w:val="21"/>
              </w:rPr>
            </w:pPr>
            <w:r>
              <w:rPr>
                <w:rFonts w:hint="eastAsia" w:ascii="宋体" w:hAnsi="宋体" w:cs="宋体"/>
                <w:strike/>
                <w:color w:val="auto"/>
                <w:kern w:val="0"/>
                <w:szCs w:val="21"/>
              </w:rPr>
              <w:t>一般：得</w:t>
            </w:r>
            <w:r>
              <w:rPr>
                <w:rFonts w:ascii="宋体" w:hAnsi="宋体" w:cs="宋体"/>
                <w:strike/>
                <w:color w:val="auto"/>
                <w:kern w:val="0"/>
                <w:szCs w:val="21"/>
              </w:rPr>
              <w:t>6分</w:t>
            </w:r>
          </w:p>
          <w:p>
            <w:pPr>
              <w:widowControl/>
              <w:jc w:val="left"/>
              <w:rPr>
                <w:rFonts w:ascii="宋体" w:hAnsi="宋体" w:cs="宋体"/>
                <w:strike/>
                <w:color w:val="auto"/>
                <w:kern w:val="0"/>
                <w:szCs w:val="21"/>
              </w:rPr>
            </w:pPr>
            <w:r>
              <w:rPr>
                <w:rFonts w:hint="eastAsia" w:ascii="宋体" w:hAnsi="宋体" w:cs="宋体"/>
                <w:strike/>
                <w:color w:val="auto"/>
                <w:kern w:val="0"/>
                <w:szCs w:val="21"/>
              </w:rPr>
              <w:t>较差：得</w:t>
            </w:r>
            <w:r>
              <w:rPr>
                <w:rFonts w:ascii="宋体" w:hAnsi="宋体" w:cs="宋体"/>
                <w:strike/>
                <w:color w:val="auto"/>
                <w:kern w:val="0"/>
                <w:szCs w:val="21"/>
              </w:rPr>
              <w:t>4分</w:t>
            </w:r>
          </w:p>
          <w:p>
            <w:pPr>
              <w:widowControl/>
              <w:jc w:val="left"/>
              <w:rPr>
                <w:rFonts w:ascii="宋体" w:hAnsi="宋体" w:cs="宋体"/>
                <w:strike/>
                <w:color w:val="auto"/>
                <w:kern w:val="0"/>
                <w:szCs w:val="21"/>
              </w:rPr>
            </w:pPr>
            <w:r>
              <w:rPr>
                <w:rFonts w:hint="eastAsia" w:ascii="宋体" w:hAnsi="宋体" w:cs="宋体"/>
                <w:strike/>
                <w:color w:val="auto"/>
                <w:kern w:val="0"/>
                <w:szCs w:val="21"/>
              </w:rPr>
              <w:t>差：得</w:t>
            </w:r>
            <w:r>
              <w:rPr>
                <w:rFonts w:ascii="宋体" w:hAnsi="宋体" w:cs="宋体"/>
                <w:strike/>
                <w:color w:val="auto"/>
                <w:kern w:val="0"/>
                <w:szCs w:val="21"/>
              </w:rPr>
              <w:t>2分</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strike/>
                <w:color w:val="auto"/>
                <w:kern w:val="0"/>
                <w:szCs w:val="21"/>
              </w:rPr>
            </w:pPr>
          </w:p>
        </w:tc>
      </w:tr>
      <w:tr>
        <w:tblPrEx>
          <w:tblCellMar>
            <w:top w:w="0" w:type="dxa"/>
            <w:left w:w="108" w:type="dxa"/>
            <w:bottom w:w="0" w:type="dxa"/>
            <w:right w:w="108" w:type="dxa"/>
          </w:tblCellMar>
        </w:tblPrEx>
        <w:trPr>
          <w:jc w:val="center"/>
        </w:trPr>
        <w:tc>
          <w:tcPr>
            <w:tcW w:w="499"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strike/>
                <w:color w:val="auto"/>
                <w:kern w:val="0"/>
                <w:szCs w:val="21"/>
              </w:rPr>
            </w:pPr>
            <w:r>
              <w:rPr>
                <w:rFonts w:hint="eastAsia" w:ascii="宋体" w:hAnsi="宋体" w:cs="宋体"/>
                <w:strike/>
                <w:color w:val="auto"/>
                <w:kern w:val="0"/>
                <w:szCs w:val="21"/>
              </w:rPr>
              <w:t>二</w:t>
            </w:r>
          </w:p>
        </w:tc>
        <w:tc>
          <w:tcPr>
            <w:tcW w:w="1274" w:type="dxa"/>
            <w:tcBorders>
              <w:top w:val="nil"/>
              <w:left w:val="nil"/>
              <w:bottom w:val="single" w:color="auto" w:sz="4" w:space="0"/>
              <w:right w:val="single" w:color="auto" w:sz="4" w:space="0"/>
            </w:tcBorders>
            <w:noWrap/>
            <w:vAlign w:val="center"/>
          </w:tcPr>
          <w:p>
            <w:pPr>
              <w:widowControl/>
              <w:jc w:val="center"/>
              <w:rPr>
                <w:rFonts w:ascii="宋体" w:hAnsi="宋体" w:cs="宋体"/>
                <w:strike/>
                <w:color w:val="auto"/>
                <w:kern w:val="0"/>
                <w:szCs w:val="21"/>
              </w:rPr>
            </w:pPr>
            <w:r>
              <w:rPr>
                <w:rFonts w:hint="eastAsia" w:ascii="宋体" w:hAnsi="宋体" w:cs="宋体"/>
                <w:strike/>
                <w:color w:val="auto"/>
                <w:kern w:val="0"/>
                <w:szCs w:val="21"/>
              </w:rPr>
              <w:t>设计图纸质量</w:t>
            </w:r>
          </w:p>
        </w:tc>
        <w:tc>
          <w:tcPr>
            <w:tcW w:w="799" w:type="dxa"/>
            <w:tcBorders>
              <w:top w:val="single" w:color="auto" w:sz="4" w:space="0"/>
              <w:left w:val="nil"/>
              <w:bottom w:val="single" w:color="auto" w:sz="4" w:space="0"/>
              <w:right w:val="single" w:color="auto" w:sz="4" w:space="0"/>
            </w:tcBorders>
            <w:noWrap/>
            <w:vAlign w:val="center"/>
          </w:tcPr>
          <w:p>
            <w:pPr>
              <w:widowControl/>
              <w:jc w:val="center"/>
              <w:rPr>
                <w:rFonts w:ascii="仿宋_GB2312" w:hAnsi="宋体" w:eastAsia="仿宋_GB2312" w:cs="宋体"/>
                <w:strike/>
                <w:color w:val="auto"/>
                <w:kern w:val="0"/>
                <w:szCs w:val="21"/>
              </w:rPr>
            </w:pPr>
            <w:r>
              <w:rPr>
                <w:rFonts w:ascii="仿宋_GB2312" w:hAnsi="宋体" w:eastAsia="仿宋_GB2312" w:cs="宋体"/>
                <w:strike/>
                <w:color w:val="auto"/>
                <w:kern w:val="0"/>
                <w:szCs w:val="21"/>
              </w:rPr>
              <w:t>30</w:t>
            </w:r>
          </w:p>
        </w:tc>
        <w:tc>
          <w:tcPr>
            <w:tcW w:w="2551" w:type="dxa"/>
            <w:tcBorders>
              <w:top w:val="nil"/>
              <w:left w:val="nil"/>
              <w:bottom w:val="single" w:color="auto" w:sz="4" w:space="0"/>
              <w:right w:val="single" w:color="auto" w:sz="4" w:space="0"/>
            </w:tcBorders>
            <w:noWrap/>
            <w:vAlign w:val="center"/>
          </w:tcPr>
          <w:p>
            <w:pPr>
              <w:widowControl/>
              <w:jc w:val="left"/>
              <w:rPr>
                <w:rFonts w:ascii="宋体" w:hAnsi="宋体" w:cs="宋体"/>
                <w:strike/>
                <w:color w:val="auto"/>
                <w:kern w:val="0"/>
                <w:szCs w:val="21"/>
              </w:rPr>
            </w:pPr>
            <w:r>
              <w:rPr>
                <w:rFonts w:hint="eastAsia" w:ascii="宋体" w:hAnsi="宋体" w:cs="宋体"/>
                <w:strike/>
                <w:color w:val="auto"/>
                <w:kern w:val="0"/>
                <w:szCs w:val="21"/>
              </w:rPr>
              <w:t>　</w:t>
            </w:r>
          </w:p>
        </w:tc>
        <w:tc>
          <w:tcPr>
            <w:tcW w:w="3261" w:type="dxa"/>
            <w:tcBorders>
              <w:top w:val="nil"/>
              <w:left w:val="nil"/>
              <w:bottom w:val="single" w:color="auto" w:sz="4" w:space="0"/>
              <w:right w:val="single" w:color="auto" w:sz="4" w:space="0"/>
            </w:tcBorders>
            <w:noWrap/>
            <w:vAlign w:val="center"/>
          </w:tcPr>
          <w:p>
            <w:pPr>
              <w:widowControl/>
              <w:jc w:val="left"/>
              <w:rPr>
                <w:rFonts w:ascii="宋体" w:hAnsi="宋体" w:cs="宋体"/>
                <w:strike/>
                <w:color w:val="auto"/>
                <w:kern w:val="0"/>
                <w:szCs w:val="21"/>
              </w:rPr>
            </w:pPr>
          </w:p>
        </w:tc>
        <w:tc>
          <w:tcPr>
            <w:tcW w:w="992" w:type="dxa"/>
            <w:tcBorders>
              <w:top w:val="nil"/>
              <w:left w:val="nil"/>
              <w:bottom w:val="single" w:color="auto" w:sz="4" w:space="0"/>
              <w:right w:val="single" w:color="auto" w:sz="4" w:space="0"/>
            </w:tcBorders>
            <w:noWrap/>
            <w:vAlign w:val="center"/>
          </w:tcPr>
          <w:p>
            <w:pPr>
              <w:widowControl/>
              <w:jc w:val="left"/>
              <w:rPr>
                <w:rFonts w:ascii="宋体" w:hAnsi="宋体" w:cs="宋体"/>
                <w:strike/>
                <w:color w:val="auto"/>
                <w:kern w:val="0"/>
                <w:szCs w:val="21"/>
              </w:rPr>
            </w:pPr>
            <w:r>
              <w:rPr>
                <w:rFonts w:hint="eastAsia" w:ascii="宋体" w:hAnsi="宋体" w:cs="宋体"/>
                <w:strike/>
                <w:color w:val="auto"/>
                <w:kern w:val="0"/>
                <w:szCs w:val="21"/>
              </w:rPr>
              <w:t>　</w:t>
            </w:r>
          </w:p>
        </w:tc>
      </w:tr>
      <w:tr>
        <w:tblPrEx>
          <w:tblCellMar>
            <w:top w:w="0" w:type="dxa"/>
            <w:left w:w="108" w:type="dxa"/>
            <w:bottom w:w="0" w:type="dxa"/>
            <w:right w:w="108" w:type="dxa"/>
          </w:tblCellMar>
        </w:tblPrEx>
        <w:trPr>
          <w:jc w:val="center"/>
        </w:trPr>
        <w:tc>
          <w:tcPr>
            <w:tcW w:w="499"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strike/>
                <w:color w:val="auto"/>
                <w:kern w:val="0"/>
                <w:szCs w:val="21"/>
              </w:rPr>
            </w:pPr>
            <w:r>
              <w:rPr>
                <w:rFonts w:ascii="宋体" w:hAnsi="宋体" w:cs="宋体"/>
                <w:strike/>
                <w:color w:val="auto"/>
                <w:kern w:val="0"/>
                <w:szCs w:val="21"/>
              </w:rPr>
              <w:t>1</w:t>
            </w:r>
          </w:p>
        </w:tc>
        <w:tc>
          <w:tcPr>
            <w:tcW w:w="1274" w:type="dxa"/>
            <w:tcBorders>
              <w:top w:val="nil"/>
              <w:left w:val="nil"/>
              <w:bottom w:val="single" w:color="auto" w:sz="4" w:space="0"/>
              <w:right w:val="single" w:color="auto" w:sz="4" w:space="0"/>
            </w:tcBorders>
            <w:noWrap/>
            <w:vAlign w:val="center"/>
          </w:tcPr>
          <w:p>
            <w:pPr>
              <w:widowControl/>
              <w:jc w:val="center"/>
              <w:rPr>
                <w:rFonts w:ascii="宋体" w:hAnsi="宋体" w:cs="宋体"/>
                <w:strike/>
                <w:color w:val="auto"/>
                <w:kern w:val="0"/>
                <w:szCs w:val="21"/>
              </w:rPr>
            </w:pPr>
            <w:r>
              <w:rPr>
                <w:rFonts w:hint="eastAsia" w:ascii="宋体" w:hAnsi="宋体" w:cs="宋体"/>
                <w:strike/>
                <w:color w:val="auto"/>
                <w:kern w:val="0"/>
                <w:szCs w:val="21"/>
              </w:rPr>
              <w:t>错漏碰缺</w:t>
            </w:r>
          </w:p>
        </w:tc>
        <w:tc>
          <w:tcPr>
            <w:tcW w:w="799"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strike/>
                <w:color w:val="auto"/>
                <w:kern w:val="0"/>
                <w:szCs w:val="21"/>
              </w:rPr>
            </w:pPr>
            <w:r>
              <w:rPr>
                <w:rFonts w:ascii="仿宋_GB2312" w:hAnsi="宋体" w:eastAsia="仿宋_GB2312" w:cs="宋体"/>
                <w:strike/>
                <w:color w:val="auto"/>
                <w:kern w:val="0"/>
                <w:szCs w:val="21"/>
              </w:rPr>
              <w:t>20</w:t>
            </w:r>
          </w:p>
        </w:tc>
        <w:tc>
          <w:tcPr>
            <w:tcW w:w="2551" w:type="dxa"/>
            <w:tcBorders>
              <w:top w:val="nil"/>
              <w:left w:val="nil"/>
              <w:bottom w:val="single" w:color="auto" w:sz="4" w:space="0"/>
              <w:right w:val="single" w:color="auto" w:sz="4" w:space="0"/>
            </w:tcBorders>
            <w:noWrap/>
            <w:vAlign w:val="center"/>
          </w:tcPr>
          <w:p>
            <w:pPr>
              <w:widowControl/>
              <w:jc w:val="left"/>
              <w:rPr>
                <w:rFonts w:ascii="宋体" w:hAnsi="宋体" w:cs="宋体"/>
                <w:strike/>
                <w:color w:val="auto"/>
                <w:kern w:val="0"/>
                <w:szCs w:val="21"/>
              </w:rPr>
            </w:pPr>
            <w:r>
              <w:rPr>
                <w:rFonts w:hint="eastAsia" w:ascii="宋体" w:hAnsi="宋体" w:cs="宋体"/>
                <w:strike/>
                <w:color w:val="auto"/>
                <w:kern w:val="0"/>
                <w:szCs w:val="21"/>
              </w:rPr>
              <w:t>施工过程中发现设计图纸上存在的错漏碰缺对造价及工期的影响</w:t>
            </w:r>
          </w:p>
        </w:tc>
        <w:tc>
          <w:tcPr>
            <w:tcW w:w="3261" w:type="dxa"/>
            <w:tcBorders>
              <w:top w:val="nil"/>
              <w:left w:val="nil"/>
              <w:bottom w:val="single" w:color="auto" w:sz="4" w:space="0"/>
              <w:right w:val="single" w:color="auto" w:sz="4" w:space="0"/>
            </w:tcBorders>
            <w:noWrap/>
            <w:vAlign w:val="center"/>
          </w:tcPr>
          <w:p>
            <w:pPr>
              <w:widowControl/>
              <w:jc w:val="left"/>
              <w:rPr>
                <w:rFonts w:ascii="宋体" w:hAnsi="宋体" w:cs="宋体"/>
                <w:strike/>
                <w:color w:val="auto"/>
                <w:kern w:val="0"/>
                <w:szCs w:val="21"/>
              </w:rPr>
            </w:pPr>
            <w:r>
              <w:rPr>
                <w:rFonts w:hint="eastAsia" w:ascii="宋体" w:hAnsi="宋体" w:cs="宋体"/>
                <w:strike/>
                <w:color w:val="auto"/>
                <w:kern w:val="0"/>
                <w:szCs w:val="21"/>
              </w:rPr>
              <w:t>设计图纸上存在的错漏碰缺，产生以下影响：</w:t>
            </w:r>
          </w:p>
          <w:p>
            <w:pPr>
              <w:widowControl/>
              <w:jc w:val="left"/>
              <w:rPr>
                <w:rFonts w:ascii="宋体" w:hAnsi="宋体" w:cs="宋体"/>
                <w:strike/>
                <w:color w:val="auto"/>
                <w:kern w:val="0"/>
                <w:szCs w:val="21"/>
              </w:rPr>
            </w:pPr>
            <w:r>
              <w:rPr>
                <w:rFonts w:ascii="宋体" w:hAnsi="宋体" w:cs="宋体"/>
                <w:strike/>
                <w:color w:val="auto"/>
                <w:kern w:val="0"/>
                <w:szCs w:val="21"/>
              </w:rPr>
              <w:t>1、工程造价增加10</w:t>
            </w:r>
            <w:r>
              <w:rPr>
                <w:rFonts w:hint="eastAsia" w:ascii="宋体" w:hAnsi="宋体" w:cs="宋体"/>
                <w:strike/>
                <w:color w:val="auto"/>
                <w:kern w:val="0"/>
                <w:szCs w:val="21"/>
              </w:rPr>
              <w:t>万元（含）以上，或影响总工期</w:t>
            </w:r>
            <w:r>
              <w:rPr>
                <w:rFonts w:ascii="宋体" w:hAnsi="宋体" w:cs="宋体"/>
                <w:strike/>
                <w:color w:val="auto"/>
                <w:kern w:val="0"/>
                <w:szCs w:val="21"/>
              </w:rPr>
              <w:t>10</w:t>
            </w:r>
            <w:r>
              <w:rPr>
                <w:rFonts w:hint="eastAsia" w:ascii="宋体" w:hAnsi="宋体" w:cs="宋体"/>
                <w:strike/>
                <w:color w:val="auto"/>
                <w:kern w:val="0"/>
                <w:szCs w:val="21"/>
              </w:rPr>
              <w:t>天（含）以上的，扣</w:t>
            </w:r>
            <w:r>
              <w:rPr>
                <w:rFonts w:ascii="宋体" w:hAnsi="宋体" w:cs="宋体"/>
                <w:strike/>
                <w:color w:val="auto"/>
                <w:kern w:val="0"/>
                <w:szCs w:val="21"/>
              </w:rPr>
              <w:t>10分；</w:t>
            </w:r>
          </w:p>
          <w:p>
            <w:pPr>
              <w:widowControl/>
              <w:jc w:val="left"/>
              <w:rPr>
                <w:rFonts w:ascii="宋体" w:hAnsi="宋体" w:cs="宋体"/>
                <w:strike/>
                <w:color w:val="auto"/>
                <w:kern w:val="0"/>
                <w:szCs w:val="21"/>
              </w:rPr>
            </w:pPr>
            <w:r>
              <w:rPr>
                <w:rFonts w:ascii="宋体" w:hAnsi="宋体" w:cs="宋体"/>
                <w:strike/>
                <w:color w:val="auto"/>
                <w:kern w:val="0"/>
                <w:szCs w:val="21"/>
              </w:rPr>
              <w:t>2、工程造价增加5</w:t>
            </w:r>
            <w:r>
              <w:rPr>
                <w:rFonts w:hint="eastAsia" w:ascii="宋体" w:hAnsi="宋体" w:cs="宋体"/>
                <w:strike/>
                <w:color w:val="auto"/>
                <w:kern w:val="0"/>
                <w:szCs w:val="21"/>
              </w:rPr>
              <w:t>万元（含）</w:t>
            </w:r>
            <w:r>
              <w:rPr>
                <w:rFonts w:ascii="宋体" w:hAnsi="宋体" w:cs="宋体"/>
                <w:strike/>
                <w:color w:val="auto"/>
                <w:kern w:val="0"/>
                <w:szCs w:val="21"/>
              </w:rPr>
              <w:t>-10</w:t>
            </w:r>
            <w:r>
              <w:rPr>
                <w:rFonts w:hint="eastAsia" w:ascii="宋体" w:hAnsi="宋体" w:cs="宋体"/>
                <w:strike/>
                <w:color w:val="auto"/>
                <w:kern w:val="0"/>
                <w:szCs w:val="21"/>
              </w:rPr>
              <w:t>万元的，或影响总工期</w:t>
            </w:r>
            <w:r>
              <w:rPr>
                <w:rFonts w:ascii="宋体" w:hAnsi="宋体" w:cs="宋体"/>
                <w:strike/>
                <w:color w:val="auto"/>
                <w:kern w:val="0"/>
                <w:szCs w:val="21"/>
              </w:rPr>
              <w:t>5天（含）-10</w:t>
            </w:r>
            <w:r>
              <w:rPr>
                <w:rFonts w:hint="eastAsia" w:ascii="宋体" w:hAnsi="宋体" w:cs="宋体"/>
                <w:strike/>
                <w:color w:val="auto"/>
                <w:kern w:val="0"/>
                <w:szCs w:val="21"/>
              </w:rPr>
              <w:t>天的，扣</w:t>
            </w:r>
            <w:r>
              <w:rPr>
                <w:rFonts w:ascii="宋体" w:hAnsi="宋体" w:cs="宋体"/>
                <w:strike/>
                <w:color w:val="auto"/>
                <w:kern w:val="0"/>
                <w:szCs w:val="21"/>
              </w:rPr>
              <w:t>5分；</w:t>
            </w:r>
          </w:p>
          <w:p>
            <w:pPr>
              <w:widowControl/>
              <w:jc w:val="left"/>
              <w:rPr>
                <w:rFonts w:ascii="宋体" w:hAnsi="宋体" w:cs="宋体"/>
                <w:strike/>
                <w:color w:val="auto"/>
                <w:kern w:val="0"/>
                <w:szCs w:val="21"/>
              </w:rPr>
            </w:pPr>
            <w:r>
              <w:rPr>
                <w:rFonts w:ascii="宋体" w:hAnsi="宋体" w:cs="宋体"/>
                <w:strike/>
                <w:color w:val="auto"/>
                <w:kern w:val="0"/>
                <w:szCs w:val="21"/>
              </w:rPr>
              <w:t>3、工程造价增加5</w:t>
            </w:r>
            <w:r>
              <w:rPr>
                <w:rFonts w:hint="eastAsia" w:ascii="宋体" w:hAnsi="宋体" w:cs="宋体"/>
                <w:strike/>
                <w:color w:val="auto"/>
                <w:kern w:val="0"/>
                <w:szCs w:val="21"/>
              </w:rPr>
              <w:t>万元以下的，或影响总工期</w:t>
            </w:r>
            <w:r>
              <w:rPr>
                <w:rFonts w:ascii="宋体" w:hAnsi="宋体" w:cs="宋体"/>
                <w:strike/>
                <w:color w:val="auto"/>
                <w:kern w:val="0"/>
                <w:szCs w:val="21"/>
              </w:rPr>
              <w:t>5天以内的，扣2分。</w:t>
            </w:r>
          </w:p>
        </w:tc>
        <w:tc>
          <w:tcPr>
            <w:tcW w:w="992" w:type="dxa"/>
            <w:tcBorders>
              <w:top w:val="nil"/>
              <w:left w:val="nil"/>
              <w:bottom w:val="single" w:color="auto" w:sz="4" w:space="0"/>
              <w:right w:val="single" w:color="auto" w:sz="4" w:space="0"/>
            </w:tcBorders>
            <w:noWrap/>
            <w:vAlign w:val="center"/>
          </w:tcPr>
          <w:p>
            <w:pPr>
              <w:widowControl/>
              <w:jc w:val="left"/>
              <w:rPr>
                <w:rFonts w:ascii="宋体" w:hAnsi="宋体" w:cs="宋体"/>
                <w:strike/>
                <w:color w:val="auto"/>
                <w:kern w:val="0"/>
                <w:szCs w:val="21"/>
              </w:rPr>
            </w:pPr>
            <w:r>
              <w:rPr>
                <w:rFonts w:hint="eastAsia" w:ascii="宋体" w:hAnsi="宋体" w:cs="宋体"/>
                <w:strike/>
                <w:color w:val="auto"/>
                <w:kern w:val="0"/>
                <w:szCs w:val="21"/>
              </w:rPr>
              <w:t>　</w:t>
            </w:r>
          </w:p>
        </w:tc>
      </w:tr>
      <w:tr>
        <w:tblPrEx>
          <w:tblCellMar>
            <w:top w:w="0" w:type="dxa"/>
            <w:left w:w="108" w:type="dxa"/>
            <w:bottom w:w="0" w:type="dxa"/>
            <w:right w:w="108" w:type="dxa"/>
          </w:tblCellMar>
        </w:tblPrEx>
        <w:trPr>
          <w:jc w:val="center"/>
        </w:trPr>
        <w:tc>
          <w:tcPr>
            <w:tcW w:w="499"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strike/>
                <w:color w:val="auto"/>
                <w:kern w:val="0"/>
                <w:szCs w:val="21"/>
              </w:rPr>
            </w:pPr>
            <w:r>
              <w:rPr>
                <w:rFonts w:ascii="宋体" w:hAnsi="宋体" w:cs="宋体"/>
                <w:strike/>
                <w:color w:val="auto"/>
                <w:kern w:val="0"/>
                <w:szCs w:val="21"/>
              </w:rPr>
              <w:t>2</w:t>
            </w:r>
          </w:p>
        </w:tc>
        <w:tc>
          <w:tcPr>
            <w:tcW w:w="1274" w:type="dxa"/>
            <w:tcBorders>
              <w:top w:val="nil"/>
              <w:left w:val="nil"/>
              <w:bottom w:val="single" w:color="auto" w:sz="4" w:space="0"/>
              <w:right w:val="single" w:color="auto" w:sz="4" w:space="0"/>
            </w:tcBorders>
            <w:noWrap/>
            <w:vAlign w:val="center"/>
          </w:tcPr>
          <w:p>
            <w:pPr>
              <w:widowControl/>
              <w:jc w:val="center"/>
              <w:rPr>
                <w:rFonts w:ascii="宋体" w:hAnsi="宋体" w:cs="宋体"/>
                <w:strike/>
                <w:color w:val="auto"/>
                <w:kern w:val="0"/>
                <w:szCs w:val="21"/>
              </w:rPr>
            </w:pPr>
            <w:r>
              <w:rPr>
                <w:rFonts w:hint="eastAsia" w:ascii="宋体" w:hAnsi="宋体" w:cs="宋体"/>
                <w:strike/>
                <w:color w:val="auto"/>
                <w:kern w:val="0"/>
                <w:szCs w:val="21"/>
              </w:rPr>
              <w:t>编制竣工图</w:t>
            </w:r>
          </w:p>
        </w:tc>
        <w:tc>
          <w:tcPr>
            <w:tcW w:w="799"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strike/>
                <w:color w:val="auto"/>
                <w:kern w:val="0"/>
                <w:szCs w:val="21"/>
              </w:rPr>
            </w:pPr>
            <w:r>
              <w:rPr>
                <w:rFonts w:ascii="仿宋_GB2312" w:hAnsi="宋体" w:eastAsia="仿宋_GB2312" w:cs="宋体"/>
                <w:strike/>
                <w:color w:val="auto"/>
                <w:kern w:val="0"/>
                <w:szCs w:val="21"/>
              </w:rPr>
              <w:t>10</w:t>
            </w:r>
          </w:p>
        </w:tc>
        <w:tc>
          <w:tcPr>
            <w:tcW w:w="2551" w:type="dxa"/>
            <w:tcBorders>
              <w:top w:val="nil"/>
              <w:left w:val="nil"/>
              <w:bottom w:val="single" w:color="auto" w:sz="4" w:space="0"/>
              <w:right w:val="single" w:color="auto" w:sz="4" w:space="0"/>
            </w:tcBorders>
            <w:noWrap/>
            <w:vAlign w:val="center"/>
          </w:tcPr>
          <w:p>
            <w:pPr>
              <w:widowControl/>
              <w:jc w:val="left"/>
              <w:rPr>
                <w:rFonts w:ascii="宋体" w:hAnsi="宋体" w:cs="宋体"/>
                <w:strike/>
                <w:color w:val="auto"/>
                <w:kern w:val="0"/>
                <w:szCs w:val="21"/>
              </w:rPr>
            </w:pPr>
            <w:r>
              <w:rPr>
                <w:rFonts w:hint="eastAsia" w:ascii="宋体" w:hAnsi="宋体" w:cs="宋体"/>
                <w:strike/>
                <w:color w:val="auto"/>
                <w:kern w:val="0"/>
                <w:szCs w:val="21"/>
              </w:rPr>
              <w:t>竣工图是否准确反映实际情况</w:t>
            </w:r>
          </w:p>
        </w:tc>
        <w:tc>
          <w:tcPr>
            <w:tcW w:w="3261" w:type="dxa"/>
            <w:tcBorders>
              <w:top w:val="nil"/>
              <w:left w:val="nil"/>
              <w:bottom w:val="single" w:color="auto" w:sz="4" w:space="0"/>
              <w:right w:val="single" w:color="auto" w:sz="4" w:space="0"/>
            </w:tcBorders>
            <w:noWrap/>
            <w:vAlign w:val="center"/>
          </w:tcPr>
          <w:p>
            <w:pPr>
              <w:widowControl/>
              <w:jc w:val="left"/>
              <w:rPr>
                <w:rFonts w:ascii="宋体" w:hAnsi="宋体" w:cs="宋体"/>
                <w:strike/>
                <w:color w:val="auto"/>
                <w:kern w:val="0"/>
                <w:szCs w:val="21"/>
              </w:rPr>
            </w:pPr>
            <w:r>
              <w:rPr>
                <w:rFonts w:hint="eastAsia" w:ascii="宋体" w:hAnsi="宋体" w:cs="宋体"/>
                <w:strike/>
                <w:color w:val="auto"/>
                <w:kern w:val="0"/>
                <w:szCs w:val="21"/>
              </w:rPr>
              <w:t>竣工图不符合实际情况的，每处扣</w:t>
            </w:r>
            <w:r>
              <w:rPr>
                <w:rFonts w:ascii="宋体" w:hAnsi="宋体" w:cs="宋体"/>
                <w:strike/>
                <w:color w:val="auto"/>
                <w:kern w:val="0"/>
                <w:szCs w:val="21"/>
              </w:rPr>
              <w:t>2分。</w:t>
            </w:r>
          </w:p>
        </w:tc>
        <w:tc>
          <w:tcPr>
            <w:tcW w:w="992" w:type="dxa"/>
            <w:tcBorders>
              <w:top w:val="nil"/>
              <w:left w:val="nil"/>
              <w:bottom w:val="single" w:color="auto" w:sz="4" w:space="0"/>
              <w:right w:val="single" w:color="auto" w:sz="4" w:space="0"/>
            </w:tcBorders>
            <w:noWrap/>
            <w:vAlign w:val="center"/>
          </w:tcPr>
          <w:p>
            <w:pPr>
              <w:widowControl/>
              <w:jc w:val="left"/>
              <w:rPr>
                <w:rFonts w:ascii="宋体" w:hAnsi="宋体" w:cs="宋体"/>
                <w:strike/>
                <w:color w:val="auto"/>
                <w:kern w:val="0"/>
                <w:szCs w:val="21"/>
              </w:rPr>
            </w:pPr>
          </w:p>
        </w:tc>
      </w:tr>
      <w:tr>
        <w:tblPrEx>
          <w:tblCellMar>
            <w:top w:w="0" w:type="dxa"/>
            <w:left w:w="108" w:type="dxa"/>
            <w:bottom w:w="0" w:type="dxa"/>
            <w:right w:w="108" w:type="dxa"/>
          </w:tblCellMar>
        </w:tblPrEx>
        <w:trPr>
          <w:jc w:val="center"/>
        </w:trPr>
        <w:tc>
          <w:tcPr>
            <w:tcW w:w="499"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strike/>
                <w:color w:val="auto"/>
                <w:kern w:val="0"/>
                <w:szCs w:val="21"/>
              </w:rPr>
            </w:pPr>
            <w:r>
              <w:rPr>
                <w:rFonts w:hint="eastAsia" w:ascii="宋体" w:hAnsi="宋体" w:cs="宋体"/>
                <w:strike/>
                <w:color w:val="auto"/>
                <w:kern w:val="0"/>
                <w:szCs w:val="21"/>
              </w:rPr>
              <w:t>三</w:t>
            </w:r>
          </w:p>
        </w:tc>
        <w:tc>
          <w:tcPr>
            <w:tcW w:w="1274" w:type="dxa"/>
            <w:tcBorders>
              <w:top w:val="nil"/>
              <w:left w:val="nil"/>
              <w:bottom w:val="single" w:color="auto" w:sz="4" w:space="0"/>
              <w:right w:val="single" w:color="auto" w:sz="4" w:space="0"/>
            </w:tcBorders>
            <w:noWrap/>
            <w:vAlign w:val="center"/>
          </w:tcPr>
          <w:p>
            <w:pPr>
              <w:widowControl/>
              <w:jc w:val="center"/>
              <w:rPr>
                <w:rFonts w:ascii="宋体" w:hAnsi="宋体" w:cs="宋体"/>
                <w:strike/>
                <w:color w:val="auto"/>
                <w:kern w:val="0"/>
                <w:szCs w:val="21"/>
              </w:rPr>
            </w:pPr>
            <w:r>
              <w:rPr>
                <w:rFonts w:hint="eastAsia" w:ascii="宋体" w:hAnsi="宋体" w:cs="宋体"/>
                <w:strike/>
                <w:color w:val="auto"/>
                <w:kern w:val="0"/>
                <w:szCs w:val="21"/>
              </w:rPr>
              <w:t>工程变更</w:t>
            </w:r>
          </w:p>
        </w:tc>
        <w:tc>
          <w:tcPr>
            <w:tcW w:w="799"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strike/>
                <w:color w:val="auto"/>
                <w:kern w:val="0"/>
                <w:szCs w:val="21"/>
              </w:rPr>
            </w:pPr>
            <w:r>
              <w:rPr>
                <w:rFonts w:ascii="仿宋_GB2312" w:hAnsi="宋体" w:eastAsia="仿宋_GB2312" w:cs="宋体"/>
                <w:strike/>
                <w:color w:val="auto"/>
                <w:kern w:val="0"/>
                <w:szCs w:val="21"/>
              </w:rPr>
              <w:t>50</w:t>
            </w:r>
          </w:p>
        </w:tc>
        <w:tc>
          <w:tcPr>
            <w:tcW w:w="2551" w:type="dxa"/>
            <w:tcBorders>
              <w:top w:val="nil"/>
              <w:left w:val="nil"/>
              <w:bottom w:val="single" w:color="auto" w:sz="4" w:space="0"/>
              <w:right w:val="single" w:color="auto" w:sz="4" w:space="0"/>
            </w:tcBorders>
            <w:noWrap/>
            <w:vAlign w:val="center"/>
          </w:tcPr>
          <w:p>
            <w:pPr>
              <w:keepNext/>
              <w:keepLines/>
              <w:widowControl/>
              <w:spacing w:before="340" w:after="330" w:line="578" w:lineRule="auto"/>
              <w:jc w:val="left"/>
              <w:outlineLvl w:val="0"/>
              <w:rPr>
                <w:rFonts w:ascii="宋体" w:hAnsi="宋体" w:cs="宋体"/>
                <w:strike/>
                <w:color w:val="auto"/>
                <w:kern w:val="0"/>
                <w:szCs w:val="21"/>
              </w:rPr>
            </w:pPr>
          </w:p>
        </w:tc>
        <w:tc>
          <w:tcPr>
            <w:tcW w:w="3261" w:type="dxa"/>
            <w:tcBorders>
              <w:top w:val="nil"/>
              <w:left w:val="nil"/>
              <w:bottom w:val="single" w:color="auto" w:sz="4" w:space="0"/>
              <w:right w:val="single" w:color="auto" w:sz="4" w:space="0"/>
            </w:tcBorders>
            <w:noWrap/>
            <w:vAlign w:val="center"/>
          </w:tcPr>
          <w:p>
            <w:pPr>
              <w:keepNext/>
              <w:keepLines/>
              <w:widowControl/>
              <w:spacing w:before="340" w:after="330" w:line="578" w:lineRule="auto"/>
              <w:jc w:val="left"/>
              <w:outlineLvl w:val="0"/>
              <w:rPr>
                <w:rFonts w:ascii="宋体" w:hAnsi="宋体" w:cs="宋体"/>
                <w:strike/>
                <w:color w:val="auto"/>
                <w:kern w:val="0"/>
                <w:szCs w:val="21"/>
              </w:rPr>
            </w:pPr>
          </w:p>
        </w:tc>
        <w:tc>
          <w:tcPr>
            <w:tcW w:w="992" w:type="dxa"/>
            <w:tcBorders>
              <w:top w:val="nil"/>
              <w:left w:val="nil"/>
              <w:bottom w:val="single" w:color="auto" w:sz="4" w:space="0"/>
              <w:right w:val="single" w:color="auto" w:sz="4" w:space="0"/>
            </w:tcBorders>
            <w:noWrap/>
            <w:vAlign w:val="center"/>
          </w:tcPr>
          <w:p>
            <w:pPr>
              <w:keepNext/>
              <w:keepLines/>
              <w:widowControl/>
              <w:spacing w:before="340" w:after="330" w:line="578" w:lineRule="auto"/>
              <w:jc w:val="left"/>
              <w:outlineLvl w:val="0"/>
              <w:rPr>
                <w:rFonts w:ascii="宋体" w:hAnsi="宋体" w:cs="宋体"/>
                <w:strike/>
                <w:color w:val="auto"/>
                <w:kern w:val="0"/>
                <w:szCs w:val="21"/>
              </w:rPr>
            </w:pPr>
          </w:p>
        </w:tc>
      </w:tr>
      <w:tr>
        <w:tblPrEx>
          <w:tblCellMar>
            <w:top w:w="0" w:type="dxa"/>
            <w:left w:w="108" w:type="dxa"/>
            <w:bottom w:w="0" w:type="dxa"/>
            <w:right w:w="108" w:type="dxa"/>
          </w:tblCellMar>
        </w:tblPrEx>
        <w:trPr>
          <w:jc w:val="center"/>
        </w:trPr>
        <w:tc>
          <w:tcPr>
            <w:tcW w:w="499"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strike/>
                <w:color w:val="auto"/>
                <w:kern w:val="0"/>
                <w:szCs w:val="21"/>
              </w:rPr>
            </w:pPr>
            <w:r>
              <w:rPr>
                <w:rFonts w:ascii="宋体" w:hAnsi="宋体" w:cs="宋体"/>
                <w:strike/>
                <w:color w:val="auto"/>
                <w:kern w:val="0"/>
                <w:szCs w:val="21"/>
              </w:rPr>
              <w:t>1</w:t>
            </w:r>
          </w:p>
        </w:tc>
        <w:tc>
          <w:tcPr>
            <w:tcW w:w="1274" w:type="dxa"/>
            <w:tcBorders>
              <w:top w:val="nil"/>
              <w:left w:val="nil"/>
              <w:bottom w:val="single" w:color="auto" w:sz="4" w:space="0"/>
              <w:right w:val="single" w:color="auto" w:sz="4" w:space="0"/>
            </w:tcBorders>
            <w:noWrap/>
            <w:vAlign w:val="center"/>
          </w:tcPr>
          <w:p>
            <w:pPr>
              <w:widowControl/>
              <w:jc w:val="center"/>
              <w:rPr>
                <w:rFonts w:ascii="宋体" w:hAnsi="宋体" w:cs="宋体"/>
                <w:strike/>
                <w:color w:val="auto"/>
                <w:kern w:val="0"/>
                <w:szCs w:val="21"/>
              </w:rPr>
            </w:pPr>
            <w:r>
              <w:rPr>
                <w:rFonts w:hint="eastAsia" w:ascii="宋体" w:hAnsi="宋体" w:cs="宋体"/>
                <w:strike/>
                <w:color w:val="auto"/>
                <w:kern w:val="0"/>
                <w:szCs w:val="21"/>
              </w:rPr>
              <w:t>工程变更</w:t>
            </w:r>
          </w:p>
        </w:tc>
        <w:tc>
          <w:tcPr>
            <w:tcW w:w="799"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strike/>
                <w:color w:val="auto"/>
                <w:kern w:val="0"/>
                <w:szCs w:val="21"/>
              </w:rPr>
            </w:pPr>
            <w:r>
              <w:rPr>
                <w:rFonts w:ascii="仿宋_GB2312" w:hAnsi="宋体" w:eastAsia="仿宋_GB2312" w:cs="宋体"/>
                <w:strike/>
                <w:color w:val="auto"/>
                <w:kern w:val="0"/>
                <w:szCs w:val="21"/>
              </w:rPr>
              <w:t>40</w:t>
            </w:r>
          </w:p>
        </w:tc>
        <w:tc>
          <w:tcPr>
            <w:tcW w:w="2551" w:type="dxa"/>
            <w:tcBorders>
              <w:top w:val="nil"/>
              <w:left w:val="nil"/>
              <w:bottom w:val="single" w:color="auto" w:sz="4" w:space="0"/>
              <w:right w:val="single" w:color="auto" w:sz="4" w:space="0"/>
            </w:tcBorders>
            <w:noWrap/>
            <w:vAlign w:val="center"/>
          </w:tcPr>
          <w:p>
            <w:pPr>
              <w:widowControl/>
              <w:jc w:val="left"/>
              <w:rPr>
                <w:rFonts w:ascii="宋体" w:hAnsi="宋体" w:cs="宋体"/>
                <w:strike/>
                <w:color w:val="auto"/>
                <w:kern w:val="0"/>
                <w:szCs w:val="21"/>
              </w:rPr>
            </w:pPr>
            <w:r>
              <w:rPr>
                <w:rFonts w:hint="eastAsia" w:ascii="宋体" w:hAnsi="宋体" w:cs="宋体"/>
                <w:strike/>
                <w:color w:val="auto"/>
                <w:kern w:val="0"/>
                <w:szCs w:val="21"/>
              </w:rPr>
              <w:t>是否由乙方设计原因造成设计变更，设计变更是否引起工程费用增加，是否影响工程总工期</w:t>
            </w:r>
          </w:p>
        </w:tc>
        <w:tc>
          <w:tcPr>
            <w:tcW w:w="3261" w:type="dxa"/>
            <w:tcBorders>
              <w:top w:val="nil"/>
              <w:left w:val="nil"/>
              <w:bottom w:val="single" w:color="auto" w:sz="4" w:space="0"/>
              <w:right w:val="single" w:color="auto" w:sz="4" w:space="0"/>
            </w:tcBorders>
            <w:noWrap/>
            <w:vAlign w:val="center"/>
          </w:tcPr>
          <w:p>
            <w:pPr>
              <w:widowControl/>
              <w:jc w:val="left"/>
              <w:rPr>
                <w:rFonts w:ascii="宋体" w:hAnsi="宋体" w:cs="宋体"/>
                <w:strike/>
                <w:color w:val="auto"/>
                <w:kern w:val="0"/>
                <w:szCs w:val="21"/>
              </w:rPr>
            </w:pPr>
            <w:r>
              <w:rPr>
                <w:rFonts w:hint="eastAsia" w:ascii="宋体" w:hAnsi="宋体" w:cs="宋体"/>
                <w:strike/>
                <w:color w:val="auto"/>
                <w:kern w:val="0"/>
                <w:szCs w:val="21"/>
              </w:rPr>
              <w:t>由乙方原因造成的设计变更，产生以下影响：</w:t>
            </w:r>
          </w:p>
          <w:p>
            <w:pPr>
              <w:widowControl/>
              <w:jc w:val="left"/>
              <w:rPr>
                <w:rFonts w:ascii="宋体" w:hAnsi="宋体" w:cs="宋体"/>
                <w:strike/>
                <w:color w:val="auto"/>
                <w:kern w:val="0"/>
                <w:szCs w:val="21"/>
              </w:rPr>
            </w:pPr>
            <w:r>
              <w:rPr>
                <w:rFonts w:hint="eastAsia" w:ascii="宋体" w:hAnsi="宋体" w:cs="宋体"/>
                <w:strike/>
                <w:color w:val="auto"/>
                <w:kern w:val="0"/>
                <w:szCs w:val="21"/>
              </w:rPr>
              <w:t>设计变更超过施工合同价</w:t>
            </w:r>
            <w:r>
              <w:rPr>
                <w:rFonts w:ascii="宋体" w:hAnsi="宋体" w:cs="宋体"/>
                <w:strike/>
                <w:color w:val="auto"/>
                <w:kern w:val="0"/>
                <w:szCs w:val="21"/>
              </w:rPr>
              <w:t>10%的，扣40分；</w:t>
            </w:r>
          </w:p>
          <w:p>
            <w:pPr>
              <w:widowControl/>
              <w:jc w:val="left"/>
              <w:rPr>
                <w:rFonts w:ascii="宋体" w:hAnsi="宋体" w:cs="宋体"/>
                <w:strike/>
                <w:color w:val="auto"/>
                <w:kern w:val="0"/>
                <w:szCs w:val="21"/>
              </w:rPr>
            </w:pPr>
            <w:r>
              <w:rPr>
                <w:rFonts w:hint="eastAsia" w:ascii="宋体" w:hAnsi="宋体" w:cs="宋体"/>
                <w:strike/>
                <w:color w:val="auto"/>
                <w:kern w:val="0"/>
                <w:szCs w:val="21"/>
              </w:rPr>
              <w:t>设计变更超过施工合同价</w:t>
            </w:r>
            <w:r>
              <w:rPr>
                <w:rFonts w:ascii="宋体" w:hAnsi="宋体" w:cs="宋体"/>
                <w:strike/>
                <w:color w:val="auto"/>
                <w:kern w:val="0"/>
                <w:szCs w:val="21"/>
              </w:rPr>
              <w:t>5%的，扣20分；</w:t>
            </w:r>
          </w:p>
          <w:p>
            <w:pPr>
              <w:widowControl/>
              <w:jc w:val="left"/>
              <w:rPr>
                <w:rFonts w:ascii="宋体" w:hAnsi="宋体" w:cs="宋体"/>
                <w:strike/>
                <w:color w:val="auto"/>
                <w:kern w:val="0"/>
                <w:szCs w:val="21"/>
              </w:rPr>
            </w:pPr>
            <w:r>
              <w:rPr>
                <w:rFonts w:hint="eastAsia" w:ascii="宋体" w:hAnsi="宋体" w:cs="宋体"/>
                <w:strike/>
                <w:color w:val="auto"/>
                <w:kern w:val="0"/>
                <w:szCs w:val="21"/>
              </w:rPr>
              <w:t>需调整工程总概算来处理其费用变化，或影响总工期</w:t>
            </w:r>
            <w:r>
              <w:rPr>
                <w:rFonts w:ascii="宋体" w:hAnsi="宋体" w:cs="宋体"/>
                <w:strike/>
                <w:color w:val="auto"/>
                <w:kern w:val="0"/>
                <w:szCs w:val="21"/>
              </w:rPr>
              <w:t>30天以上（含30天），每次扣20分；</w:t>
            </w:r>
          </w:p>
          <w:p>
            <w:pPr>
              <w:widowControl/>
              <w:jc w:val="left"/>
              <w:rPr>
                <w:rFonts w:ascii="宋体" w:hAnsi="宋体" w:cs="宋体"/>
                <w:strike/>
                <w:color w:val="auto"/>
                <w:kern w:val="0"/>
                <w:szCs w:val="21"/>
              </w:rPr>
            </w:pPr>
            <w:r>
              <w:rPr>
                <w:rFonts w:hint="eastAsia" w:ascii="宋体" w:hAnsi="宋体" w:cs="宋体"/>
                <w:strike/>
                <w:color w:val="auto"/>
                <w:kern w:val="0"/>
                <w:szCs w:val="21"/>
              </w:rPr>
              <w:t>一次工程变更估算金额增加在</w:t>
            </w:r>
            <w:r>
              <w:rPr>
                <w:rFonts w:ascii="宋体" w:hAnsi="宋体" w:cs="宋体"/>
                <w:strike/>
                <w:color w:val="auto"/>
                <w:kern w:val="0"/>
                <w:szCs w:val="21"/>
              </w:rPr>
              <w:t>50万元（含）以上，或影响总工期10-30天（含10天）的工程变更，扣10分；</w:t>
            </w:r>
          </w:p>
          <w:p>
            <w:pPr>
              <w:widowControl/>
              <w:jc w:val="left"/>
              <w:rPr>
                <w:rFonts w:ascii="宋体" w:hAnsi="宋体" w:cs="宋体"/>
                <w:strike/>
                <w:color w:val="auto"/>
                <w:kern w:val="0"/>
                <w:szCs w:val="21"/>
              </w:rPr>
            </w:pPr>
            <w:r>
              <w:rPr>
                <w:rFonts w:hint="eastAsia" w:ascii="宋体" w:hAnsi="宋体" w:cs="宋体"/>
                <w:strike/>
                <w:color w:val="auto"/>
                <w:kern w:val="0"/>
                <w:szCs w:val="21"/>
              </w:rPr>
              <w:t>一次工程变更估算金额增加在</w:t>
            </w:r>
            <w:r>
              <w:rPr>
                <w:rFonts w:ascii="宋体" w:hAnsi="宋体" w:cs="宋体"/>
                <w:strike/>
                <w:color w:val="auto"/>
                <w:kern w:val="0"/>
                <w:szCs w:val="21"/>
              </w:rPr>
              <w:t>5-50万元（含5万元）的工程变更，或影响总工期10天以内的工程变更，扣5分；</w:t>
            </w:r>
          </w:p>
          <w:p>
            <w:pPr>
              <w:widowControl/>
              <w:jc w:val="left"/>
              <w:rPr>
                <w:rFonts w:ascii="宋体" w:hAnsi="宋体" w:cs="宋体"/>
                <w:strike/>
                <w:color w:val="auto"/>
                <w:kern w:val="0"/>
                <w:szCs w:val="21"/>
              </w:rPr>
            </w:pPr>
            <w:r>
              <w:rPr>
                <w:rFonts w:hint="eastAsia" w:ascii="宋体" w:hAnsi="宋体" w:cs="宋体"/>
                <w:strike/>
                <w:color w:val="auto"/>
                <w:kern w:val="0"/>
                <w:szCs w:val="21"/>
              </w:rPr>
              <w:t>一次工程变更估算金额增加在</w:t>
            </w:r>
            <w:r>
              <w:rPr>
                <w:rFonts w:ascii="宋体" w:hAnsi="宋体" w:cs="宋体"/>
                <w:strike/>
                <w:color w:val="auto"/>
                <w:kern w:val="0"/>
                <w:szCs w:val="21"/>
              </w:rPr>
              <w:t>5万元以下的工程变更，扣3分。</w:t>
            </w:r>
          </w:p>
        </w:tc>
        <w:tc>
          <w:tcPr>
            <w:tcW w:w="992" w:type="dxa"/>
            <w:tcBorders>
              <w:top w:val="nil"/>
              <w:left w:val="nil"/>
              <w:bottom w:val="single" w:color="auto" w:sz="4" w:space="0"/>
              <w:right w:val="single" w:color="auto" w:sz="4" w:space="0"/>
            </w:tcBorders>
            <w:noWrap/>
            <w:vAlign w:val="center"/>
          </w:tcPr>
          <w:p>
            <w:pPr>
              <w:widowControl/>
              <w:jc w:val="left"/>
              <w:rPr>
                <w:rFonts w:ascii="宋体" w:hAnsi="宋体" w:cs="宋体"/>
                <w:strike/>
                <w:color w:val="auto"/>
                <w:kern w:val="0"/>
                <w:szCs w:val="21"/>
              </w:rPr>
            </w:pPr>
          </w:p>
        </w:tc>
      </w:tr>
      <w:tr>
        <w:tblPrEx>
          <w:tblCellMar>
            <w:top w:w="0" w:type="dxa"/>
            <w:left w:w="108" w:type="dxa"/>
            <w:bottom w:w="0" w:type="dxa"/>
            <w:right w:w="108" w:type="dxa"/>
          </w:tblCellMar>
        </w:tblPrEx>
        <w:trPr>
          <w:jc w:val="center"/>
        </w:trPr>
        <w:tc>
          <w:tcPr>
            <w:tcW w:w="499"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strike/>
                <w:color w:val="auto"/>
                <w:kern w:val="0"/>
                <w:szCs w:val="21"/>
              </w:rPr>
            </w:pPr>
            <w:r>
              <w:rPr>
                <w:rFonts w:ascii="宋体" w:hAnsi="宋体" w:cs="宋体"/>
                <w:strike/>
                <w:color w:val="auto"/>
                <w:kern w:val="0"/>
                <w:szCs w:val="21"/>
              </w:rPr>
              <w:t>2</w:t>
            </w:r>
          </w:p>
        </w:tc>
        <w:tc>
          <w:tcPr>
            <w:tcW w:w="1274" w:type="dxa"/>
            <w:tcBorders>
              <w:top w:val="nil"/>
              <w:left w:val="nil"/>
              <w:bottom w:val="single" w:color="auto" w:sz="4" w:space="0"/>
              <w:right w:val="single" w:color="auto" w:sz="4" w:space="0"/>
            </w:tcBorders>
            <w:noWrap/>
            <w:vAlign w:val="center"/>
          </w:tcPr>
          <w:p>
            <w:pPr>
              <w:widowControl/>
              <w:jc w:val="center"/>
              <w:rPr>
                <w:rFonts w:ascii="宋体" w:hAnsi="宋体" w:cs="宋体"/>
                <w:strike/>
                <w:color w:val="auto"/>
                <w:kern w:val="0"/>
                <w:szCs w:val="21"/>
              </w:rPr>
            </w:pPr>
            <w:r>
              <w:rPr>
                <w:rFonts w:hint="eastAsia" w:ascii="宋体" w:hAnsi="宋体" w:cs="宋体"/>
                <w:strike/>
                <w:color w:val="auto"/>
                <w:kern w:val="0"/>
                <w:szCs w:val="21"/>
              </w:rPr>
              <w:t>工程变更设计进度</w:t>
            </w:r>
          </w:p>
        </w:tc>
        <w:tc>
          <w:tcPr>
            <w:tcW w:w="799"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strike/>
                <w:color w:val="auto"/>
                <w:kern w:val="0"/>
                <w:szCs w:val="21"/>
              </w:rPr>
            </w:pPr>
            <w:r>
              <w:rPr>
                <w:rFonts w:ascii="仿宋_GB2312" w:hAnsi="宋体" w:eastAsia="仿宋_GB2312" w:cs="宋体"/>
                <w:strike/>
                <w:color w:val="auto"/>
                <w:kern w:val="0"/>
                <w:szCs w:val="21"/>
              </w:rPr>
              <w:t>10</w:t>
            </w:r>
          </w:p>
        </w:tc>
        <w:tc>
          <w:tcPr>
            <w:tcW w:w="2551" w:type="dxa"/>
            <w:tcBorders>
              <w:top w:val="nil"/>
              <w:left w:val="nil"/>
              <w:bottom w:val="single" w:color="auto" w:sz="4" w:space="0"/>
              <w:right w:val="single" w:color="auto" w:sz="4" w:space="0"/>
            </w:tcBorders>
            <w:noWrap/>
            <w:vAlign w:val="center"/>
          </w:tcPr>
          <w:p>
            <w:pPr>
              <w:widowControl/>
              <w:jc w:val="left"/>
              <w:rPr>
                <w:rFonts w:ascii="宋体" w:hAnsi="宋体" w:cs="宋体"/>
                <w:strike/>
                <w:color w:val="auto"/>
                <w:kern w:val="0"/>
                <w:szCs w:val="21"/>
              </w:rPr>
            </w:pPr>
            <w:r>
              <w:rPr>
                <w:rFonts w:hint="eastAsia" w:ascii="宋体" w:hAnsi="宋体" w:cs="宋体"/>
                <w:strike/>
                <w:color w:val="auto"/>
                <w:kern w:val="0"/>
                <w:szCs w:val="21"/>
              </w:rPr>
              <w:t>是否及时按甲方要求完成设计变更</w:t>
            </w:r>
          </w:p>
        </w:tc>
        <w:tc>
          <w:tcPr>
            <w:tcW w:w="3261" w:type="dxa"/>
            <w:tcBorders>
              <w:top w:val="nil"/>
              <w:left w:val="nil"/>
              <w:bottom w:val="single" w:color="auto" w:sz="4" w:space="0"/>
              <w:right w:val="single" w:color="auto" w:sz="4" w:space="0"/>
            </w:tcBorders>
            <w:noWrap/>
            <w:vAlign w:val="center"/>
          </w:tcPr>
          <w:p>
            <w:pPr>
              <w:widowControl/>
              <w:jc w:val="left"/>
              <w:rPr>
                <w:rFonts w:ascii="宋体" w:hAnsi="宋体" w:cs="宋体"/>
                <w:strike/>
                <w:color w:val="auto"/>
                <w:kern w:val="0"/>
                <w:szCs w:val="21"/>
              </w:rPr>
            </w:pPr>
            <w:r>
              <w:rPr>
                <w:rFonts w:hint="eastAsia" w:ascii="宋体" w:hAnsi="宋体" w:cs="宋体"/>
                <w:strike/>
                <w:color w:val="auto"/>
                <w:kern w:val="0"/>
                <w:szCs w:val="21"/>
              </w:rPr>
              <w:t>好：得</w:t>
            </w:r>
            <w:r>
              <w:rPr>
                <w:rFonts w:ascii="宋体" w:hAnsi="宋体" w:cs="宋体"/>
                <w:strike/>
                <w:color w:val="auto"/>
                <w:kern w:val="0"/>
                <w:szCs w:val="21"/>
              </w:rPr>
              <w:t>10分</w:t>
            </w:r>
          </w:p>
          <w:p>
            <w:pPr>
              <w:widowControl/>
              <w:jc w:val="left"/>
              <w:rPr>
                <w:rFonts w:ascii="宋体" w:hAnsi="宋体" w:cs="宋体"/>
                <w:strike/>
                <w:color w:val="auto"/>
                <w:kern w:val="0"/>
                <w:szCs w:val="21"/>
              </w:rPr>
            </w:pPr>
            <w:r>
              <w:rPr>
                <w:rFonts w:hint="eastAsia" w:ascii="宋体" w:hAnsi="宋体" w:cs="宋体"/>
                <w:strike/>
                <w:color w:val="auto"/>
                <w:kern w:val="0"/>
                <w:szCs w:val="21"/>
              </w:rPr>
              <w:t>较好：得</w:t>
            </w:r>
            <w:r>
              <w:rPr>
                <w:rFonts w:ascii="宋体" w:hAnsi="宋体" w:cs="宋体"/>
                <w:strike/>
                <w:color w:val="auto"/>
                <w:kern w:val="0"/>
                <w:szCs w:val="21"/>
              </w:rPr>
              <w:t>8分</w:t>
            </w:r>
          </w:p>
          <w:p>
            <w:pPr>
              <w:widowControl/>
              <w:jc w:val="left"/>
              <w:rPr>
                <w:rFonts w:ascii="宋体" w:hAnsi="宋体" w:cs="宋体"/>
                <w:strike/>
                <w:color w:val="auto"/>
                <w:kern w:val="0"/>
                <w:szCs w:val="21"/>
              </w:rPr>
            </w:pPr>
            <w:r>
              <w:rPr>
                <w:rFonts w:hint="eastAsia" w:ascii="宋体" w:hAnsi="宋体" w:cs="宋体"/>
                <w:strike/>
                <w:color w:val="auto"/>
                <w:kern w:val="0"/>
                <w:szCs w:val="21"/>
              </w:rPr>
              <w:t>一般：得</w:t>
            </w:r>
            <w:r>
              <w:rPr>
                <w:rFonts w:ascii="宋体" w:hAnsi="宋体" w:cs="宋体"/>
                <w:strike/>
                <w:color w:val="auto"/>
                <w:kern w:val="0"/>
                <w:szCs w:val="21"/>
              </w:rPr>
              <w:t>6分</w:t>
            </w:r>
          </w:p>
          <w:p>
            <w:pPr>
              <w:widowControl/>
              <w:jc w:val="left"/>
              <w:rPr>
                <w:rFonts w:ascii="宋体" w:hAnsi="宋体" w:cs="宋体"/>
                <w:strike/>
                <w:color w:val="auto"/>
                <w:kern w:val="0"/>
                <w:szCs w:val="21"/>
              </w:rPr>
            </w:pPr>
            <w:r>
              <w:rPr>
                <w:rFonts w:hint="eastAsia" w:ascii="宋体" w:hAnsi="宋体" w:cs="宋体"/>
                <w:strike/>
                <w:color w:val="auto"/>
                <w:kern w:val="0"/>
                <w:szCs w:val="21"/>
              </w:rPr>
              <w:t>较差：得</w:t>
            </w:r>
            <w:r>
              <w:rPr>
                <w:rFonts w:ascii="宋体" w:hAnsi="宋体" w:cs="宋体"/>
                <w:strike/>
                <w:color w:val="auto"/>
                <w:kern w:val="0"/>
                <w:szCs w:val="21"/>
              </w:rPr>
              <w:t>4分</w:t>
            </w:r>
          </w:p>
          <w:p>
            <w:pPr>
              <w:widowControl/>
              <w:jc w:val="left"/>
              <w:rPr>
                <w:rFonts w:ascii="宋体" w:hAnsi="宋体" w:cs="宋体"/>
                <w:strike/>
                <w:color w:val="auto"/>
                <w:kern w:val="0"/>
                <w:szCs w:val="21"/>
              </w:rPr>
            </w:pPr>
            <w:r>
              <w:rPr>
                <w:rFonts w:hint="eastAsia" w:ascii="宋体" w:hAnsi="宋体" w:cs="宋体"/>
                <w:strike/>
                <w:color w:val="auto"/>
                <w:kern w:val="0"/>
                <w:szCs w:val="21"/>
              </w:rPr>
              <w:t>差：得</w:t>
            </w:r>
            <w:r>
              <w:rPr>
                <w:rFonts w:ascii="宋体" w:hAnsi="宋体" w:cs="宋体"/>
                <w:strike/>
                <w:color w:val="auto"/>
                <w:kern w:val="0"/>
                <w:szCs w:val="21"/>
              </w:rPr>
              <w:t>2分</w:t>
            </w:r>
          </w:p>
        </w:tc>
        <w:tc>
          <w:tcPr>
            <w:tcW w:w="992" w:type="dxa"/>
            <w:tcBorders>
              <w:top w:val="nil"/>
              <w:left w:val="nil"/>
              <w:bottom w:val="single" w:color="auto" w:sz="4" w:space="0"/>
              <w:right w:val="single" w:color="auto" w:sz="4" w:space="0"/>
            </w:tcBorders>
            <w:noWrap/>
            <w:vAlign w:val="center"/>
          </w:tcPr>
          <w:p>
            <w:pPr>
              <w:widowControl/>
              <w:jc w:val="left"/>
              <w:rPr>
                <w:rFonts w:ascii="宋体" w:hAnsi="宋体" w:cs="宋体"/>
                <w:strike/>
                <w:color w:val="auto"/>
                <w:kern w:val="0"/>
                <w:szCs w:val="21"/>
              </w:rPr>
            </w:pPr>
          </w:p>
        </w:tc>
      </w:tr>
      <w:tr>
        <w:tblPrEx>
          <w:tblCellMar>
            <w:top w:w="0" w:type="dxa"/>
            <w:left w:w="108" w:type="dxa"/>
            <w:bottom w:w="0" w:type="dxa"/>
            <w:right w:w="108" w:type="dxa"/>
          </w:tblCellMar>
        </w:tblPrEx>
        <w:trPr>
          <w:jc w:val="center"/>
        </w:trPr>
        <w:tc>
          <w:tcPr>
            <w:tcW w:w="499" w:type="dxa"/>
            <w:tcBorders>
              <w:top w:val="nil"/>
              <w:left w:val="single" w:color="auto" w:sz="4" w:space="0"/>
              <w:bottom w:val="single" w:color="auto" w:sz="4" w:space="0"/>
              <w:right w:val="single" w:color="auto" w:sz="4" w:space="0"/>
            </w:tcBorders>
            <w:noWrap/>
            <w:vAlign w:val="center"/>
          </w:tcPr>
          <w:p>
            <w:pPr>
              <w:widowControl/>
              <w:jc w:val="center"/>
              <w:rPr>
                <w:strike/>
                <w:color w:val="auto"/>
                <w:kern w:val="0"/>
                <w:szCs w:val="21"/>
              </w:rPr>
            </w:pPr>
            <w:r>
              <w:rPr>
                <w:rFonts w:hint="eastAsia"/>
                <w:strike/>
                <w:color w:val="auto"/>
                <w:kern w:val="0"/>
                <w:szCs w:val="21"/>
              </w:rPr>
              <w:t>　</w:t>
            </w:r>
          </w:p>
        </w:tc>
        <w:tc>
          <w:tcPr>
            <w:tcW w:w="1274" w:type="dxa"/>
            <w:tcBorders>
              <w:top w:val="nil"/>
              <w:left w:val="nil"/>
              <w:bottom w:val="single" w:color="auto" w:sz="4" w:space="0"/>
              <w:right w:val="single" w:color="auto" w:sz="4" w:space="0"/>
            </w:tcBorders>
            <w:noWrap/>
            <w:vAlign w:val="center"/>
          </w:tcPr>
          <w:p>
            <w:pPr>
              <w:widowControl/>
              <w:jc w:val="center"/>
              <w:rPr>
                <w:strike/>
                <w:color w:val="auto"/>
                <w:kern w:val="0"/>
                <w:szCs w:val="21"/>
              </w:rPr>
            </w:pPr>
            <w:r>
              <w:rPr>
                <w:rFonts w:hint="eastAsia"/>
                <w:strike/>
                <w:color w:val="auto"/>
                <w:kern w:val="0"/>
                <w:szCs w:val="21"/>
              </w:rPr>
              <w:t>合计</w:t>
            </w:r>
          </w:p>
        </w:tc>
        <w:tc>
          <w:tcPr>
            <w:tcW w:w="799" w:type="dxa"/>
            <w:tcBorders>
              <w:top w:val="nil"/>
              <w:left w:val="nil"/>
              <w:bottom w:val="single" w:color="auto" w:sz="4" w:space="0"/>
              <w:right w:val="single" w:color="auto" w:sz="4" w:space="0"/>
            </w:tcBorders>
            <w:noWrap/>
            <w:vAlign w:val="center"/>
          </w:tcPr>
          <w:p>
            <w:pPr>
              <w:widowControl/>
              <w:jc w:val="center"/>
              <w:rPr>
                <w:strike/>
                <w:color w:val="auto"/>
                <w:kern w:val="0"/>
                <w:szCs w:val="21"/>
              </w:rPr>
            </w:pPr>
            <w:r>
              <w:rPr>
                <w:strike/>
                <w:color w:val="auto"/>
                <w:kern w:val="0"/>
                <w:szCs w:val="21"/>
              </w:rPr>
              <w:t>100</w:t>
            </w:r>
          </w:p>
        </w:tc>
        <w:tc>
          <w:tcPr>
            <w:tcW w:w="2551" w:type="dxa"/>
            <w:tcBorders>
              <w:top w:val="nil"/>
              <w:left w:val="nil"/>
              <w:bottom w:val="single" w:color="auto" w:sz="4" w:space="0"/>
              <w:right w:val="single" w:color="auto" w:sz="4" w:space="0"/>
            </w:tcBorders>
            <w:noWrap/>
            <w:vAlign w:val="center"/>
          </w:tcPr>
          <w:p>
            <w:pPr>
              <w:keepNext/>
              <w:keepLines/>
              <w:widowControl/>
              <w:spacing w:before="340" w:after="330" w:line="578" w:lineRule="auto"/>
              <w:outlineLvl w:val="0"/>
              <w:rPr>
                <w:strike/>
                <w:color w:val="auto"/>
                <w:kern w:val="0"/>
                <w:szCs w:val="21"/>
              </w:rPr>
            </w:pPr>
          </w:p>
        </w:tc>
        <w:tc>
          <w:tcPr>
            <w:tcW w:w="3261" w:type="dxa"/>
            <w:tcBorders>
              <w:top w:val="nil"/>
              <w:left w:val="nil"/>
              <w:bottom w:val="single" w:color="auto" w:sz="4" w:space="0"/>
              <w:right w:val="single" w:color="auto" w:sz="4" w:space="0"/>
            </w:tcBorders>
            <w:noWrap/>
            <w:vAlign w:val="center"/>
          </w:tcPr>
          <w:p>
            <w:pPr>
              <w:keepNext/>
              <w:keepLines/>
              <w:widowControl/>
              <w:spacing w:before="340" w:after="330" w:line="578" w:lineRule="auto"/>
              <w:outlineLvl w:val="0"/>
              <w:rPr>
                <w:strike/>
                <w:color w:val="auto"/>
                <w:kern w:val="0"/>
                <w:szCs w:val="21"/>
              </w:rPr>
            </w:pPr>
          </w:p>
        </w:tc>
        <w:tc>
          <w:tcPr>
            <w:tcW w:w="992" w:type="dxa"/>
            <w:tcBorders>
              <w:top w:val="nil"/>
              <w:left w:val="nil"/>
              <w:bottom w:val="single" w:color="auto" w:sz="4" w:space="0"/>
              <w:right w:val="single" w:color="auto" w:sz="4" w:space="0"/>
            </w:tcBorders>
            <w:noWrap/>
            <w:vAlign w:val="center"/>
          </w:tcPr>
          <w:p>
            <w:pPr>
              <w:keepNext/>
              <w:keepLines/>
              <w:widowControl/>
              <w:spacing w:before="340" w:after="330" w:line="578" w:lineRule="auto"/>
              <w:outlineLvl w:val="0"/>
              <w:rPr>
                <w:strike/>
                <w:color w:val="auto"/>
                <w:kern w:val="0"/>
                <w:szCs w:val="21"/>
              </w:rPr>
            </w:pPr>
          </w:p>
        </w:tc>
      </w:tr>
    </w:tbl>
    <w:p>
      <w:pPr>
        <w:adjustRightInd w:val="0"/>
        <w:snapToGrid w:val="0"/>
        <w:rPr>
          <w:rFonts w:ascii="宋体" w:hAnsi="宋体" w:cs="宋体"/>
          <w:strike/>
          <w:color w:val="auto"/>
          <w:kern w:val="0"/>
          <w:szCs w:val="21"/>
        </w:rPr>
      </w:pPr>
      <w:r>
        <w:rPr>
          <w:rFonts w:hint="eastAsia" w:ascii="宋体" w:hAnsi="宋体" w:cs="宋体"/>
          <w:strike/>
          <w:color w:val="auto"/>
          <w:kern w:val="0"/>
          <w:szCs w:val="21"/>
        </w:rPr>
        <w:t>一、注：</w:t>
      </w:r>
    </w:p>
    <w:p>
      <w:pPr>
        <w:adjustRightInd w:val="0"/>
        <w:snapToGrid w:val="0"/>
        <w:rPr>
          <w:rFonts w:ascii="宋体" w:hAnsi="宋体" w:cs="宋体"/>
          <w:strike/>
          <w:color w:val="auto"/>
          <w:kern w:val="0"/>
          <w:szCs w:val="21"/>
        </w:rPr>
      </w:pPr>
      <w:r>
        <w:rPr>
          <w:rFonts w:ascii="宋体" w:hAnsi="宋体" w:cs="宋体"/>
          <w:strike/>
          <w:color w:val="auto"/>
          <w:kern w:val="0"/>
          <w:szCs w:val="21"/>
        </w:rPr>
        <w:t>1、每一评分项扣分，至该项对应分值扣完为止。</w:t>
      </w:r>
    </w:p>
    <w:p>
      <w:pPr>
        <w:adjustRightInd w:val="0"/>
        <w:snapToGrid w:val="0"/>
        <w:rPr>
          <w:rFonts w:ascii="宋体" w:hAnsi="宋体" w:cs="宋体"/>
          <w:strike/>
          <w:color w:val="auto"/>
          <w:kern w:val="0"/>
          <w:szCs w:val="21"/>
        </w:rPr>
      </w:pPr>
      <w:r>
        <w:rPr>
          <w:rFonts w:ascii="宋体" w:hAnsi="宋体" w:cs="宋体"/>
          <w:strike/>
          <w:color w:val="auto"/>
          <w:kern w:val="0"/>
          <w:szCs w:val="21"/>
        </w:rPr>
        <w:t>2、应在岗实际未在岗累计达到3天的，或经问询明显不了解项目具体情况累计达到3次的，或未按甲方要求出席会议累计达到3次的，可认定自行更换</w:t>
      </w:r>
    </w:p>
    <w:p>
      <w:pPr>
        <w:adjustRightInd w:val="0"/>
        <w:snapToGrid w:val="0"/>
        <w:rPr>
          <w:rFonts w:ascii="宋体" w:hAnsi="宋体" w:cs="宋体"/>
          <w:strike/>
          <w:color w:val="auto"/>
          <w:kern w:val="0"/>
          <w:szCs w:val="21"/>
        </w:rPr>
      </w:pPr>
    </w:p>
    <w:p>
      <w:pPr>
        <w:adjustRightInd w:val="0"/>
        <w:snapToGrid w:val="0"/>
        <w:rPr>
          <w:rFonts w:ascii="宋体" w:hAnsi="宋体" w:cs="宋体"/>
          <w:strike/>
          <w:color w:val="auto"/>
          <w:kern w:val="0"/>
          <w:szCs w:val="21"/>
        </w:rPr>
      </w:pPr>
      <w:r>
        <w:rPr>
          <w:rFonts w:hint="eastAsia" w:ascii="宋体" w:hAnsi="宋体" w:cs="宋体"/>
          <w:strike/>
          <w:color w:val="auto"/>
          <w:kern w:val="0"/>
          <w:szCs w:val="21"/>
        </w:rPr>
        <w:t>二、扣分情况说明：</w:t>
      </w:r>
    </w:p>
    <w:p>
      <w:pPr>
        <w:adjustRightInd w:val="0"/>
        <w:snapToGrid w:val="0"/>
        <w:rPr>
          <w:rFonts w:ascii="宋体" w:hAnsi="宋体" w:cs="宋体"/>
          <w:strike/>
          <w:color w:val="auto"/>
          <w:kern w:val="0"/>
          <w:szCs w:val="21"/>
        </w:rPr>
      </w:pPr>
      <w:r>
        <w:rPr>
          <w:rFonts w:ascii="宋体" w:hAnsi="宋体" w:cs="宋体"/>
          <w:strike/>
          <w:color w:val="auto"/>
          <w:kern w:val="0"/>
          <w:szCs w:val="21"/>
        </w:rPr>
        <w:t>1、</w:t>
      </w:r>
    </w:p>
    <w:p>
      <w:pPr>
        <w:adjustRightInd w:val="0"/>
        <w:snapToGrid w:val="0"/>
        <w:rPr>
          <w:rFonts w:ascii="宋体" w:hAnsi="宋体" w:cs="宋体"/>
          <w:strike/>
          <w:color w:val="auto"/>
          <w:kern w:val="0"/>
          <w:szCs w:val="21"/>
        </w:rPr>
      </w:pPr>
      <w:r>
        <w:rPr>
          <w:rFonts w:ascii="宋体" w:hAnsi="宋体" w:cs="宋体"/>
          <w:strike/>
          <w:color w:val="auto"/>
          <w:kern w:val="0"/>
          <w:szCs w:val="21"/>
        </w:rPr>
        <w:t>2、</w:t>
      </w:r>
    </w:p>
    <w:p>
      <w:pPr>
        <w:adjustRightInd w:val="0"/>
        <w:snapToGrid w:val="0"/>
        <w:rPr>
          <w:rFonts w:ascii="宋体" w:hAnsi="宋体" w:cs="宋体"/>
          <w:strike/>
          <w:color w:val="auto"/>
          <w:kern w:val="0"/>
          <w:szCs w:val="21"/>
        </w:rPr>
      </w:pPr>
      <w:r>
        <w:rPr>
          <w:rFonts w:ascii="宋体" w:hAnsi="宋体" w:cs="宋体"/>
          <w:strike/>
          <w:color w:val="auto"/>
          <w:kern w:val="0"/>
          <w:szCs w:val="21"/>
        </w:rPr>
        <w:t>3、</w:t>
      </w:r>
    </w:p>
    <w:p>
      <w:pPr>
        <w:adjustRightInd w:val="0"/>
        <w:snapToGrid w:val="0"/>
        <w:rPr>
          <w:rFonts w:ascii="宋体" w:hAnsi="宋体" w:cs="宋体"/>
          <w:strike/>
          <w:color w:val="auto"/>
          <w:kern w:val="0"/>
          <w:szCs w:val="21"/>
        </w:rPr>
      </w:pPr>
      <w:r>
        <w:rPr>
          <w:rFonts w:hint="eastAsia" w:ascii="宋体" w:hAnsi="宋体" w:cs="宋体"/>
          <w:strike/>
          <w:color w:val="auto"/>
          <w:kern w:val="0"/>
          <w:szCs w:val="21"/>
        </w:rPr>
        <w:t>…</w:t>
      </w:r>
    </w:p>
    <w:p>
      <w:pPr>
        <w:adjustRightInd w:val="0"/>
        <w:snapToGrid w:val="0"/>
        <w:rPr>
          <w:rFonts w:ascii="宋体" w:hAnsi="宋体" w:cs="宋体"/>
          <w:strike/>
          <w:color w:val="auto"/>
          <w:kern w:val="0"/>
          <w:szCs w:val="21"/>
        </w:rPr>
      </w:pPr>
    </w:p>
    <w:p>
      <w:pPr>
        <w:adjustRightInd w:val="0"/>
        <w:snapToGrid w:val="0"/>
        <w:rPr>
          <w:rFonts w:ascii="宋体" w:hAnsi="宋体" w:cs="宋体"/>
          <w:strike/>
          <w:color w:val="auto"/>
          <w:kern w:val="0"/>
          <w:szCs w:val="21"/>
          <w:u w:val="single"/>
        </w:rPr>
      </w:pPr>
      <w:r>
        <w:rPr>
          <w:rFonts w:hint="eastAsia" w:ascii="宋体" w:hAnsi="宋体" w:cs="宋体"/>
          <w:strike/>
          <w:color w:val="auto"/>
          <w:kern w:val="0"/>
          <w:szCs w:val="21"/>
        </w:rPr>
        <w:t>项目负责人：×××</w:t>
      </w:r>
      <w:r>
        <w:rPr>
          <w:rFonts w:ascii="宋体" w:hAnsi="宋体" w:cs="宋体"/>
          <w:strike/>
          <w:color w:val="auto"/>
          <w:kern w:val="0"/>
          <w:szCs w:val="21"/>
        </w:rPr>
        <w:t xml:space="preserve">  </w:t>
      </w:r>
      <w:r>
        <w:rPr>
          <w:rFonts w:hint="eastAsia" w:ascii="宋体" w:hAnsi="宋体" w:cs="宋体"/>
          <w:strike/>
          <w:color w:val="auto"/>
          <w:kern w:val="0"/>
          <w:szCs w:val="21"/>
        </w:rPr>
        <w:t>签名：</w:t>
      </w:r>
    </w:p>
    <w:p>
      <w:pPr>
        <w:adjustRightInd w:val="0"/>
        <w:snapToGrid w:val="0"/>
        <w:rPr>
          <w:rFonts w:ascii="宋体" w:hAnsi="宋体" w:cs="宋体"/>
          <w:strike/>
          <w:color w:val="auto"/>
          <w:kern w:val="0"/>
          <w:szCs w:val="21"/>
        </w:rPr>
      </w:pPr>
    </w:p>
    <w:p>
      <w:pPr>
        <w:adjustRightInd w:val="0"/>
        <w:snapToGrid w:val="0"/>
        <w:rPr>
          <w:rFonts w:ascii="宋体" w:hAnsi="宋体" w:cs="宋体"/>
          <w:strike/>
          <w:color w:val="auto"/>
          <w:kern w:val="0"/>
          <w:szCs w:val="21"/>
          <w:u w:val="single"/>
        </w:rPr>
      </w:pPr>
      <w:r>
        <w:rPr>
          <w:rFonts w:hint="eastAsia" w:ascii="宋体" w:hAnsi="宋体" w:cs="宋体"/>
          <w:strike/>
          <w:color w:val="auto"/>
          <w:kern w:val="0"/>
          <w:szCs w:val="21"/>
        </w:rPr>
        <w:t>部门负责人：×××</w:t>
      </w:r>
      <w:r>
        <w:rPr>
          <w:rFonts w:ascii="宋体" w:hAnsi="宋体" w:cs="宋体"/>
          <w:strike/>
          <w:color w:val="auto"/>
          <w:kern w:val="0"/>
          <w:szCs w:val="21"/>
        </w:rPr>
        <w:t xml:space="preserve">  </w:t>
      </w:r>
      <w:r>
        <w:rPr>
          <w:rFonts w:hint="eastAsia" w:ascii="宋体" w:hAnsi="宋体" w:cs="宋体"/>
          <w:strike/>
          <w:color w:val="auto"/>
          <w:kern w:val="0"/>
          <w:szCs w:val="21"/>
        </w:rPr>
        <w:t>签名：</w:t>
      </w:r>
    </w:p>
    <w:p>
      <w:pPr>
        <w:adjustRightInd w:val="0"/>
        <w:snapToGrid w:val="0"/>
        <w:rPr>
          <w:rFonts w:ascii="宋体" w:hAnsi="宋体" w:cs="宋体"/>
          <w:strike/>
          <w:color w:val="auto"/>
          <w:kern w:val="0"/>
          <w:szCs w:val="21"/>
        </w:rPr>
      </w:pPr>
    </w:p>
    <w:p>
      <w:pPr>
        <w:adjustRightInd w:val="0"/>
        <w:snapToGrid w:val="0"/>
        <w:rPr>
          <w:rFonts w:ascii="宋体" w:hAnsi="宋体" w:cs="宋体"/>
          <w:strike/>
          <w:color w:val="auto"/>
          <w:kern w:val="0"/>
          <w:szCs w:val="21"/>
        </w:rPr>
      </w:pPr>
      <w:r>
        <w:rPr>
          <w:rFonts w:hint="eastAsia" w:ascii="宋体" w:hAnsi="宋体" w:cs="宋体"/>
          <w:strike/>
          <w:color w:val="auto"/>
          <w:kern w:val="0"/>
          <w:szCs w:val="21"/>
        </w:rPr>
        <w:t>日期：</w:t>
      </w:r>
      <w:r>
        <w:rPr>
          <w:rFonts w:ascii="宋体" w:hAnsi="宋体" w:cs="宋体"/>
          <w:strike/>
          <w:color w:val="auto"/>
          <w:kern w:val="0"/>
          <w:szCs w:val="21"/>
        </w:rPr>
        <w:t xml:space="preserve">      </w:t>
      </w:r>
      <w:r>
        <w:rPr>
          <w:rFonts w:hint="eastAsia" w:ascii="宋体" w:hAnsi="宋体" w:cs="宋体"/>
          <w:strike/>
          <w:color w:val="auto"/>
          <w:kern w:val="0"/>
          <w:szCs w:val="21"/>
        </w:rPr>
        <w:t>年</w:t>
      </w:r>
      <w:r>
        <w:rPr>
          <w:rFonts w:ascii="宋体" w:hAnsi="宋体" w:cs="宋体"/>
          <w:strike/>
          <w:color w:val="auto"/>
          <w:kern w:val="0"/>
          <w:szCs w:val="21"/>
        </w:rPr>
        <w:t xml:space="preserve">    </w:t>
      </w:r>
      <w:r>
        <w:rPr>
          <w:rFonts w:hint="eastAsia" w:ascii="宋体" w:hAnsi="宋体" w:cs="宋体"/>
          <w:strike/>
          <w:color w:val="auto"/>
          <w:kern w:val="0"/>
          <w:szCs w:val="21"/>
        </w:rPr>
        <w:t>月</w:t>
      </w:r>
      <w:r>
        <w:rPr>
          <w:rFonts w:ascii="宋体" w:hAnsi="宋体" w:cs="宋体"/>
          <w:strike/>
          <w:color w:val="auto"/>
          <w:kern w:val="0"/>
          <w:szCs w:val="21"/>
        </w:rPr>
        <w:t xml:space="preserve">    </w:t>
      </w:r>
      <w:r>
        <w:rPr>
          <w:rFonts w:hint="eastAsia" w:ascii="宋体" w:hAnsi="宋体" w:cs="宋体"/>
          <w:strike/>
          <w:color w:val="auto"/>
          <w:kern w:val="0"/>
          <w:szCs w:val="21"/>
        </w:rPr>
        <w:t>日</w:t>
      </w:r>
    </w:p>
    <w:p>
      <w:pPr>
        <w:adjustRightInd w:val="0"/>
        <w:snapToGrid w:val="0"/>
        <w:rPr>
          <w:rFonts w:ascii="宋体" w:hAnsi="宋体" w:cs="宋体"/>
          <w:strike/>
          <w:color w:val="auto"/>
          <w:kern w:val="0"/>
          <w:szCs w:val="21"/>
        </w:rPr>
      </w:pPr>
    </w:p>
    <w:p>
      <w:pPr>
        <w:spacing w:line="560" w:lineRule="exact"/>
        <w:rPr>
          <w:rFonts w:ascii="仿宋_GB2312" w:eastAsia="仿宋_GB2312"/>
          <w:strike/>
          <w:color w:val="auto"/>
          <w:sz w:val="32"/>
          <w:szCs w:val="32"/>
        </w:rPr>
      </w:pPr>
      <w:r>
        <w:rPr>
          <w:rFonts w:ascii="宋体" w:hAnsi="宋体"/>
          <w:b/>
          <w:strike/>
          <w:color w:val="auto"/>
          <w:szCs w:val="21"/>
        </w:rPr>
        <w:br w:type="page"/>
      </w:r>
      <w:r>
        <w:rPr>
          <w:rFonts w:hint="eastAsia" w:ascii="仿宋_GB2312" w:eastAsia="仿宋_GB2312"/>
          <w:strike/>
          <w:color w:val="auto"/>
          <w:sz w:val="32"/>
          <w:szCs w:val="32"/>
        </w:rPr>
        <w:t>附件五</w:t>
      </w:r>
    </w:p>
    <w:tbl>
      <w:tblPr>
        <w:tblStyle w:val="55"/>
        <w:tblW w:w="9376" w:type="dxa"/>
        <w:jc w:val="center"/>
        <w:tblLayout w:type="fixed"/>
        <w:tblCellMar>
          <w:top w:w="0" w:type="dxa"/>
          <w:left w:w="108" w:type="dxa"/>
          <w:bottom w:w="0" w:type="dxa"/>
          <w:right w:w="108" w:type="dxa"/>
        </w:tblCellMar>
      </w:tblPr>
      <w:tblGrid>
        <w:gridCol w:w="499"/>
        <w:gridCol w:w="1274"/>
        <w:gridCol w:w="799"/>
        <w:gridCol w:w="2551"/>
        <w:gridCol w:w="3261"/>
        <w:gridCol w:w="992"/>
      </w:tblGrid>
      <w:tr>
        <w:tblPrEx>
          <w:tblCellMar>
            <w:top w:w="0" w:type="dxa"/>
            <w:left w:w="108" w:type="dxa"/>
            <w:bottom w:w="0" w:type="dxa"/>
            <w:right w:w="108" w:type="dxa"/>
          </w:tblCellMar>
        </w:tblPrEx>
        <w:trPr>
          <w:trHeight w:val="570" w:hRule="atLeast"/>
          <w:jc w:val="center"/>
        </w:trPr>
        <w:tc>
          <w:tcPr>
            <w:tcW w:w="9376" w:type="dxa"/>
            <w:gridSpan w:val="6"/>
            <w:tcBorders>
              <w:top w:val="nil"/>
              <w:left w:val="nil"/>
              <w:bottom w:val="nil"/>
              <w:right w:val="nil"/>
            </w:tcBorders>
            <w:noWrap/>
            <w:vAlign w:val="center"/>
          </w:tcPr>
          <w:p>
            <w:pPr>
              <w:widowControl/>
              <w:jc w:val="center"/>
              <w:rPr>
                <w:rFonts w:ascii="仿宋_GB2312" w:hAnsi="宋体" w:eastAsia="仿宋_GB2312"/>
                <w:strike/>
                <w:color w:val="auto"/>
                <w:sz w:val="28"/>
                <w:szCs w:val="28"/>
              </w:rPr>
            </w:pPr>
            <w:r>
              <w:rPr>
                <w:rFonts w:hint="eastAsia" w:ascii="仿宋_GB2312" w:hAnsi="宋体" w:eastAsia="仿宋_GB2312"/>
                <w:strike/>
                <w:color w:val="auto"/>
                <w:sz w:val="28"/>
                <w:szCs w:val="28"/>
              </w:rPr>
              <w:t>缺陷责任期阶段设计合同履约评价表</w:t>
            </w:r>
          </w:p>
          <w:p>
            <w:pPr>
              <w:widowControl/>
              <w:wordWrap w:val="0"/>
              <w:jc w:val="right"/>
              <w:rPr>
                <w:rFonts w:ascii="仿宋_GB2312" w:hAnsi="宋体" w:eastAsia="仿宋_GB2312"/>
                <w:strike/>
                <w:color w:val="auto"/>
                <w:sz w:val="24"/>
              </w:rPr>
            </w:pPr>
            <w:r>
              <w:rPr>
                <w:rFonts w:ascii="仿宋_GB2312" w:hAnsi="宋体" w:eastAsia="仿宋_GB2312"/>
                <w:strike/>
                <w:color w:val="auto"/>
                <w:sz w:val="24"/>
              </w:rPr>
              <w:t xml:space="preserve">20   </w:t>
            </w:r>
            <w:r>
              <w:rPr>
                <w:rFonts w:hint="eastAsia" w:ascii="仿宋_GB2312" w:hAnsi="宋体" w:eastAsia="仿宋_GB2312"/>
                <w:strike/>
                <w:color w:val="auto"/>
                <w:sz w:val="24"/>
              </w:rPr>
              <w:t>年度</w:t>
            </w:r>
          </w:p>
        </w:tc>
      </w:tr>
      <w:tr>
        <w:tblPrEx>
          <w:tblCellMar>
            <w:top w:w="0" w:type="dxa"/>
            <w:left w:w="108" w:type="dxa"/>
            <w:bottom w:w="0" w:type="dxa"/>
            <w:right w:w="108" w:type="dxa"/>
          </w:tblCellMar>
        </w:tblPrEx>
        <w:trPr>
          <w:trHeight w:val="750" w:hRule="atLeast"/>
          <w:jc w:val="center"/>
        </w:trPr>
        <w:tc>
          <w:tcPr>
            <w:tcW w:w="49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b/>
                <w:bCs/>
                <w:strike/>
                <w:color w:val="auto"/>
                <w:kern w:val="0"/>
                <w:szCs w:val="21"/>
              </w:rPr>
            </w:pPr>
            <w:r>
              <w:rPr>
                <w:rFonts w:hint="eastAsia" w:ascii="宋体" w:hAnsi="宋体" w:cs="宋体"/>
                <w:b/>
                <w:bCs/>
                <w:strike/>
                <w:color w:val="auto"/>
                <w:kern w:val="0"/>
                <w:szCs w:val="21"/>
              </w:rPr>
              <w:t>序</w:t>
            </w:r>
          </w:p>
          <w:p>
            <w:pPr>
              <w:widowControl/>
              <w:jc w:val="center"/>
              <w:rPr>
                <w:rFonts w:ascii="宋体" w:hAnsi="宋体" w:cs="宋体"/>
                <w:b/>
                <w:bCs/>
                <w:strike/>
                <w:color w:val="auto"/>
                <w:kern w:val="0"/>
                <w:szCs w:val="21"/>
              </w:rPr>
            </w:pPr>
            <w:r>
              <w:rPr>
                <w:rFonts w:hint="eastAsia" w:ascii="宋体" w:hAnsi="宋体" w:cs="宋体"/>
                <w:b/>
                <w:bCs/>
                <w:strike/>
                <w:color w:val="auto"/>
                <w:kern w:val="0"/>
                <w:szCs w:val="21"/>
              </w:rPr>
              <w:t>号</w:t>
            </w:r>
          </w:p>
        </w:tc>
        <w:tc>
          <w:tcPr>
            <w:tcW w:w="1274"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b/>
                <w:bCs/>
                <w:strike/>
                <w:color w:val="auto"/>
                <w:kern w:val="0"/>
                <w:szCs w:val="21"/>
              </w:rPr>
            </w:pPr>
            <w:r>
              <w:rPr>
                <w:rFonts w:hint="eastAsia" w:ascii="宋体" w:hAnsi="宋体" w:cs="宋体"/>
                <w:b/>
                <w:bCs/>
                <w:strike/>
                <w:color w:val="auto"/>
                <w:kern w:val="0"/>
                <w:szCs w:val="21"/>
              </w:rPr>
              <w:t>内容</w:t>
            </w:r>
          </w:p>
        </w:tc>
        <w:tc>
          <w:tcPr>
            <w:tcW w:w="799"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b/>
                <w:bCs/>
                <w:strike/>
                <w:color w:val="auto"/>
                <w:kern w:val="0"/>
                <w:szCs w:val="21"/>
              </w:rPr>
            </w:pPr>
            <w:r>
              <w:rPr>
                <w:rFonts w:hint="eastAsia" w:ascii="宋体" w:hAnsi="宋体" w:cs="宋体"/>
                <w:b/>
                <w:bCs/>
                <w:strike/>
                <w:color w:val="auto"/>
                <w:kern w:val="0"/>
                <w:szCs w:val="21"/>
              </w:rPr>
              <w:t>单项</w:t>
            </w:r>
            <w:r>
              <w:rPr>
                <w:rFonts w:ascii="宋体" w:hAnsi="宋体" w:cs="宋体"/>
                <w:b/>
                <w:bCs/>
                <w:strike/>
                <w:color w:val="auto"/>
                <w:kern w:val="0"/>
                <w:szCs w:val="21"/>
              </w:rPr>
              <w:br w:type="textWrapping"/>
            </w:r>
            <w:r>
              <w:rPr>
                <w:rFonts w:hint="eastAsia" w:ascii="宋体" w:hAnsi="宋体" w:cs="宋体"/>
                <w:b/>
                <w:bCs/>
                <w:strike/>
                <w:color w:val="auto"/>
                <w:kern w:val="0"/>
                <w:szCs w:val="21"/>
              </w:rPr>
              <w:t>分值</w:t>
            </w:r>
          </w:p>
        </w:tc>
        <w:tc>
          <w:tcPr>
            <w:tcW w:w="2551"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b/>
                <w:bCs/>
                <w:strike/>
                <w:color w:val="auto"/>
                <w:kern w:val="0"/>
                <w:szCs w:val="21"/>
              </w:rPr>
            </w:pPr>
            <w:r>
              <w:rPr>
                <w:rFonts w:hint="eastAsia" w:ascii="宋体" w:hAnsi="宋体" w:cs="宋体"/>
                <w:b/>
                <w:bCs/>
                <w:strike/>
                <w:color w:val="auto"/>
                <w:kern w:val="0"/>
                <w:szCs w:val="21"/>
              </w:rPr>
              <w:t>评价指标</w:t>
            </w:r>
          </w:p>
        </w:tc>
        <w:tc>
          <w:tcPr>
            <w:tcW w:w="3261"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b/>
                <w:bCs/>
                <w:strike/>
                <w:color w:val="auto"/>
                <w:kern w:val="0"/>
                <w:szCs w:val="21"/>
              </w:rPr>
            </w:pPr>
            <w:r>
              <w:rPr>
                <w:rFonts w:hint="eastAsia" w:ascii="宋体" w:hAnsi="宋体" w:cs="宋体"/>
                <w:b/>
                <w:bCs/>
                <w:strike/>
                <w:color w:val="auto"/>
                <w:kern w:val="0"/>
                <w:szCs w:val="21"/>
              </w:rPr>
              <w:t>评分标准</w:t>
            </w:r>
          </w:p>
        </w:tc>
        <w:tc>
          <w:tcPr>
            <w:tcW w:w="992"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strike/>
                <w:color w:val="auto"/>
                <w:kern w:val="0"/>
                <w:szCs w:val="21"/>
              </w:rPr>
            </w:pPr>
            <w:r>
              <w:rPr>
                <w:rFonts w:hint="eastAsia" w:ascii="宋体" w:hAnsi="宋体" w:cs="宋体"/>
                <w:strike/>
                <w:color w:val="auto"/>
                <w:kern w:val="0"/>
                <w:szCs w:val="21"/>
              </w:rPr>
              <w:t>得分</w:t>
            </w:r>
          </w:p>
        </w:tc>
      </w:tr>
      <w:tr>
        <w:tblPrEx>
          <w:tblCellMar>
            <w:top w:w="0" w:type="dxa"/>
            <w:left w:w="108" w:type="dxa"/>
            <w:bottom w:w="0" w:type="dxa"/>
            <w:right w:w="108" w:type="dxa"/>
          </w:tblCellMar>
        </w:tblPrEx>
        <w:trPr>
          <w:trHeight w:val="870" w:hRule="atLeast"/>
          <w:jc w:val="center"/>
        </w:trPr>
        <w:tc>
          <w:tcPr>
            <w:tcW w:w="499"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strike/>
                <w:color w:val="auto"/>
                <w:kern w:val="0"/>
                <w:szCs w:val="21"/>
              </w:rPr>
            </w:pPr>
            <w:r>
              <w:rPr>
                <w:rFonts w:hint="eastAsia" w:ascii="宋体" w:hAnsi="宋体" w:cs="宋体"/>
                <w:strike/>
                <w:color w:val="auto"/>
                <w:kern w:val="0"/>
                <w:szCs w:val="21"/>
              </w:rPr>
              <w:t>一</w:t>
            </w:r>
          </w:p>
        </w:tc>
        <w:tc>
          <w:tcPr>
            <w:tcW w:w="1274" w:type="dxa"/>
            <w:tcBorders>
              <w:top w:val="nil"/>
              <w:left w:val="nil"/>
              <w:bottom w:val="single" w:color="auto" w:sz="4" w:space="0"/>
              <w:right w:val="single" w:color="auto" w:sz="4" w:space="0"/>
            </w:tcBorders>
            <w:noWrap/>
            <w:vAlign w:val="center"/>
          </w:tcPr>
          <w:p>
            <w:pPr>
              <w:widowControl/>
              <w:jc w:val="left"/>
              <w:rPr>
                <w:strike/>
                <w:color w:val="auto"/>
                <w:kern w:val="0"/>
                <w:szCs w:val="21"/>
              </w:rPr>
            </w:pPr>
            <w:r>
              <w:rPr>
                <w:rFonts w:hint="eastAsia" w:ascii="宋体" w:hAnsi="宋体"/>
                <w:strike/>
                <w:color w:val="auto"/>
                <w:kern w:val="0"/>
                <w:szCs w:val="21"/>
              </w:rPr>
              <w:t>能力水平及履约表现</w:t>
            </w:r>
          </w:p>
        </w:tc>
        <w:tc>
          <w:tcPr>
            <w:tcW w:w="799" w:type="dxa"/>
            <w:tcBorders>
              <w:top w:val="nil"/>
              <w:left w:val="nil"/>
              <w:bottom w:val="single" w:color="auto" w:sz="4" w:space="0"/>
              <w:right w:val="single" w:color="auto" w:sz="4" w:space="0"/>
            </w:tcBorders>
            <w:noWrap/>
            <w:vAlign w:val="center"/>
          </w:tcPr>
          <w:p>
            <w:pPr>
              <w:widowControl/>
              <w:jc w:val="center"/>
              <w:rPr>
                <w:strike/>
                <w:color w:val="auto"/>
                <w:kern w:val="0"/>
                <w:szCs w:val="21"/>
              </w:rPr>
            </w:pPr>
            <w:r>
              <w:rPr>
                <w:strike/>
                <w:color w:val="auto"/>
                <w:kern w:val="0"/>
                <w:szCs w:val="21"/>
              </w:rPr>
              <w:t>30</w:t>
            </w:r>
          </w:p>
        </w:tc>
        <w:tc>
          <w:tcPr>
            <w:tcW w:w="2551" w:type="dxa"/>
            <w:tcBorders>
              <w:top w:val="nil"/>
              <w:left w:val="nil"/>
              <w:bottom w:val="single" w:color="auto" w:sz="4" w:space="0"/>
              <w:right w:val="single" w:color="auto" w:sz="4" w:space="0"/>
            </w:tcBorders>
            <w:noWrap/>
            <w:vAlign w:val="center"/>
          </w:tcPr>
          <w:p>
            <w:pPr>
              <w:widowControl/>
              <w:jc w:val="left"/>
              <w:rPr>
                <w:strike/>
                <w:color w:val="auto"/>
                <w:kern w:val="0"/>
                <w:szCs w:val="21"/>
              </w:rPr>
            </w:pPr>
            <w:r>
              <w:rPr>
                <w:rFonts w:hint="eastAsia"/>
                <w:strike/>
                <w:color w:val="auto"/>
                <w:kern w:val="0"/>
                <w:szCs w:val="21"/>
              </w:rPr>
              <w:t>　</w:t>
            </w:r>
          </w:p>
        </w:tc>
        <w:tc>
          <w:tcPr>
            <w:tcW w:w="3261" w:type="dxa"/>
            <w:tcBorders>
              <w:top w:val="nil"/>
              <w:left w:val="nil"/>
              <w:bottom w:val="single" w:color="auto" w:sz="4" w:space="0"/>
              <w:right w:val="single" w:color="auto" w:sz="4" w:space="0"/>
            </w:tcBorders>
            <w:noWrap/>
            <w:vAlign w:val="center"/>
          </w:tcPr>
          <w:p>
            <w:pPr>
              <w:widowControl/>
              <w:jc w:val="left"/>
              <w:rPr>
                <w:strike/>
                <w:color w:val="auto"/>
                <w:kern w:val="0"/>
                <w:szCs w:val="21"/>
              </w:rPr>
            </w:pPr>
          </w:p>
        </w:tc>
        <w:tc>
          <w:tcPr>
            <w:tcW w:w="992" w:type="dxa"/>
            <w:tcBorders>
              <w:top w:val="nil"/>
              <w:left w:val="nil"/>
              <w:bottom w:val="single" w:color="auto" w:sz="4" w:space="0"/>
              <w:right w:val="single" w:color="auto" w:sz="4" w:space="0"/>
            </w:tcBorders>
            <w:noWrap/>
            <w:vAlign w:val="center"/>
          </w:tcPr>
          <w:p>
            <w:pPr>
              <w:widowControl/>
              <w:jc w:val="center"/>
              <w:rPr>
                <w:strike/>
                <w:color w:val="auto"/>
                <w:kern w:val="0"/>
                <w:szCs w:val="21"/>
              </w:rPr>
            </w:pPr>
            <w:r>
              <w:rPr>
                <w:rFonts w:hint="eastAsia"/>
                <w:strike/>
                <w:color w:val="auto"/>
                <w:kern w:val="0"/>
                <w:szCs w:val="21"/>
              </w:rPr>
              <w:t>　</w:t>
            </w:r>
          </w:p>
        </w:tc>
      </w:tr>
      <w:tr>
        <w:tblPrEx>
          <w:tblCellMar>
            <w:top w:w="0" w:type="dxa"/>
            <w:left w:w="108" w:type="dxa"/>
            <w:bottom w:w="0" w:type="dxa"/>
            <w:right w:w="108" w:type="dxa"/>
          </w:tblCellMar>
        </w:tblPrEx>
        <w:trPr>
          <w:trHeight w:val="1890" w:hRule="atLeast"/>
          <w:jc w:val="center"/>
        </w:trPr>
        <w:tc>
          <w:tcPr>
            <w:tcW w:w="499"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strike/>
                <w:color w:val="auto"/>
                <w:kern w:val="0"/>
                <w:szCs w:val="21"/>
              </w:rPr>
            </w:pPr>
            <w:r>
              <w:rPr>
                <w:rFonts w:ascii="宋体" w:hAnsi="宋体" w:cs="宋体"/>
                <w:strike/>
                <w:color w:val="auto"/>
                <w:kern w:val="0"/>
                <w:szCs w:val="21"/>
              </w:rPr>
              <w:t>1</w:t>
            </w:r>
          </w:p>
        </w:tc>
        <w:tc>
          <w:tcPr>
            <w:tcW w:w="1274" w:type="dxa"/>
            <w:tcBorders>
              <w:top w:val="nil"/>
              <w:left w:val="nil"/>
              <w:bottom w:val="single" w:color="auto" w:sz="4" w:space="0"/>
              <w:right w:val="single" w:color="auto" w:sz="4" w:space="0"/>
            </w:tcBorders>
            <w:noWrap/>
            <w:vAlign w:val="center"/>
          </w:tcPr>
          <w:p>
            <w:pPr>
              <w:widowControl/>
              <w:jc w:val="center"/>
              <w:rPr>
                <w:rFonts w:ascii="宋体" w:hAnsi="宋体" w:cs="宋体"/>
                <w:strike/>
                <w:color w:val="auto"/>
                <w:kern w:val="0"/>
                <w:szCs w:val="21"/>
              </w:rPr>
            </w:pPr>
            <w:r>
              <w:rPr>
                <w:rFonts w:hint="eastAsia" w:ascii="宋体" w:hAnsi="宋体" w:cs="宋体"/>
                <w:strike/>
                <w:color w:val="auto"/>
                <w:kern w:val="0"/>
                <w:szCs w:val="21"/>
              </w:rPr>
              <w:t>现场配合人员</w:t>
            </w:r>
          </w:p>
        </w:tc>
        <w:tc>
          <w:tcPr>
            <w:tcW w:w="799"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strike/>
                <w:color w:val="auto"/>
                <w:kern w:val="0"/>
                <w:szCs w:val="21"/>
              </w:rPr>
            </w:pPr>
            <w:r>
              <w:rPr>
                <w:rFonts w:ascii="仿宋_GB2312" w:hAnsi="宋体" w:eastAsia="仿宋_GB2312" w:cs="宋体"/>
                <w:strike/>
                <w:color w:val="auto"/>
                <w:kern w:val="0"/>
                <w:szCs w:val="21"/>
              </w:rPr>
              <w:t>30</w:t>
            </w:r>
          </w:p>
        </w:tc>
        <w:tc>
          <w:tcPr>
            <w:tcW w:w="2551" w:type="dxa"/>
            <w:tcBorders>
              <w:top w:val="nil"/>
              <w:left w:val="nil"/>
              <w:bottom w:val="single" w:color="auto" w:sz="4" w:space="0"/>
              <w:right w:val="single" w:color="auto" w:sz="4" w:space="0"/>
            </w:tcBorders>
            <w:noWrap/>
            <w:vAlign w:val="center"/>
          </w:tcPr>
          <w:p>
            <w:pPr>
              <w:widowControl/>
              <w:jc w:val="left"/>
              <w:rPr>
                <w:rFonts w:ascii="宋体" w:hAnsi="宋体" w:cs="宋体"/>
                <w:strike/>
                <w:color w:val="auto"/>
                <w:kern w:val="0"/>
                <w:szCs w:val="21"/>
              </w:rPr>
            </w:pPr>
            <w:r>
              <w:rPr>
                <w:rFonts w:hint="eastAsia" w:ascii="宋体" w:hAnsi="宋体" w:cs="宋体"/>
                <w:strike/>
                <w:color w:val="auto"/>
                <w:kern w:val="0"/>
                <w:szCs w:val="21"/>
              </w:rPr>
              <w:t>能否按合同及甲方要求及时协调配合甲方、专项设计单位及其它相关部门的工作；是否具有较强的沟通协调能力；能否在该阶段积极协助甲方完成相关工作；设计配合是否及时；能否按要求参加有关会议</w:t>
            </w:r>
          </w:p>
        </w:tc>
        <w:tc>
          <w:tcPr>
            <w:tcW w:w="3261" w:type="dxa"/>
            <w:tcBorders>
              <w:top w:val="nil"/>
              <w:left w:val="nil"/>
              <w:bottom w:val="single" w:color="auto" w:sz="4" w:space="0"/>
              <w:right w:val="single" w:color="auto" w:sz="4" w:space="0"/>
            </w:tcBorders>
            <w:noWrap/>
            <w:vAlign w:val="center"/>
          </w:tcPr>
          <w:p>
            <w:pPr>
              <w:widowControl/>
              <w:jc w:val="left"/>
              <w:rPr>
                <w:rFonts w:ascii="宋体" w:hAnsi="宋体" w:cs="宋体"/>
                <w:strike/>
                <w:color w:val="auto"/>
                <w:kern w:val="0"/>
                <w:szCs w:val="21"/>
              </w:rPr>
            </w:pPr>
            <w:r>
              <w:rPr>
                <w:rFonts w:hint="eastAsia" w:ascii="宋体" w:hAnsi="宋体" w:cs="宋体"/>
                <w:strike/>
                <w:color w:val="auto"/>
                <w:kern w:val="0"/>
                <w:szCs w:val="21"/>
              </w:rPr>
              <w:t>好：得</w:t>
            </w:r>
            <w:r>
              <w:rPr>
                <w:rFonts w:ascii="宋体" w:hAnsi="宋体" w:cs="宋体"/>
                <w:strike/>
                <w:color w:val="auto"/>
                <w:kern w:val="0"/>
                <w:szCs w:val="21"/>
              </w:rPr>
              <w:t>30分</w:t>
            </w:r>
          </w:p>
          <w:p>
            <w:pPr>
              <w:widowControl/>
              <w:jc w:val="left"/>
              <w:rPr>
                <w:rFonts w:ascii="宋体" w:hAnsi="宋体" w:cs="宋体"/>
                <w:strike/>
                <w:color w:val="auto"/>
                <w:kern w:val="0"/>
                <w:szCs w:val="21"/>
              </w:rPr>
            </w:pPr>
            <w:r>
              <w:rPr>
                <w:rFonts w:hint="eastAsia" w:ascii="宋体" w:hAnsi="宋体" w:cs="宋体"/>
                <w:strike/>
                <w:color w:val="auto"/>
                <w:kern w:val="0"/>
                <w:szCs w:val="21"/>
              </w:rPr>
              <w:t>较好：得</w:t>
            </w:r>
            <w:r>
              <w:rPr>
                <w:rFonts w:ascii="宋体" w:hAnsi="宋体" w:cs="宋体"/>
                <w:strike/>
                <w:color w:val="auto"/>
                <w:kern w:val="0"/>
                <w:szCs w:val="21"/>
              </w:rPr>
              <w:t>20分</w:t>
            </w:r>
          </w:p>
          <w:p>
            <w:pPr>
              <w:widowControl/>
              <w:jc w:val="left"/>
              <w:rPr>
                <w:rFonts w:ascii="宋体" w:hAnsi="宋体" w:cs="宋体"/>
                <w:strike/>
                <w:color w:val="auto"/>
                <w:kern w:val="0"/>
                <w:szCs w:val="21"/>
              </w:rPr>
            </w:pPr>
            <w:r>
              <w:rPr>
                <w:rFonts w:hint="eastAsia" w:ascii="宋体" w:hAnsi="宋体" w:cs="宋体"/>
                <w:strike/>
                <w:color w:val="auto"/>
                <w:kern w:val="0"/>
                <w:szCs w:val="21"/>
              </w:rPr>
              <w:t>一般：得</w:t>
            </w:r>
            <w:r>
              <w:rPr>
                <w:rFonts w:ascii="宋体" w:hAnsi="宋体" w:cs="宋体"/>
                <w:strike/>
                <w:color w:val="auto"/>
                <w:kern w:val="0"/>
                <w:szCs w:val="21"/>
              </w:rPr>
              <w:t>10分</w:t>
            </w:r>
          </w:p>
          <w:p>
            <w:pPr>
              <w:widowControl/>
              <w:jc w:val="left"/>
              <w:rPr>
                <w:rFonts w:ascii="宋体" w:hAnsi="宋体" w:cs="宋体"/>
                <w:strike/>
                <w:color w:val="auto"/>
                <w:kern w:val="0"/>
                <w:szCs w:val="21"/>
              </w:rPr>
            </w:pPr>
            <w:r>
              <w:rPr>
                <w:rFonts w:hint="eastAsia" w:ascii="宋体" w:hAnsi="宋体" w:cs="宋体"/>
                <w:strike/>
                <w:color w:val="auto"/>
                <w:kern w:val="0"/>
                <w:szCs w:val="21"/>
              </w:rPr>
              <w:t>较差：得</w:t>
            </w:r>
            <w:r>
              <w:rPr>
                <w:rFonts w:ascii="宋体" w:hAnsi="宋体" w:cs="宋体"/>
                <w:strike/>
                <w:color w:val="auto"/>
                <w:kern w:val="0"/>
                <w:szCs w:val="21"/>
              </w:rPr>
              <w:t>5分</w:t>
            </w:r>
          </w:p>
          <w:p>
            <w:pPr>
              <w:widowControl/>
              <w:jc w:val="left"/>
              <w:rPr>
                <w:rFonts w:ascii="宋体" w:hAnsi="宋体" w:cs="宋体"/>
                <w:strike/>
                <w:color w:val="auto"/>
                <w:kern w:val="0"/>
                <w:szCs w:val="21"/>
              </w:rPr>
            </w:pPr>
            <w:r>
              <w:rPr>
                <w:rFonts w:hint="eastAsia" w:ascii="宋体" w:hAnsi="宋体" w:cs="宋体"/>
                <w:strike/>
                <w:color w:val="auto"/>
                <w:kern w:val="0"/>
                <w:szCs w:val="21"/>
              </w:rPr>
              <w:t>差：得</w:t>
            </w:r>
            <w:r>
              <w:rPr>
                <w:rFonts w:ascii="宋体" w:hAnsi="宋体" w:cs="宋体"/>
                <w:strike/>
                <w:color w:val="auto"/>
                <w:kern w:val="0"/>
                <w:szCs w:val="21"/>
              </w:rPr>
              <w:t>2分</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strike/>
                <w:color w:val="auto"/>
                <w:kern w:val="0"/>
                <w:szCs w:val="21"/>
              </w:rPr>
            </w:pPr>
            <w:r>
              <w:rPr>
                <w:rFonts w:hint="eastAsia" w:ascii="宋体" w:hAnsi="宋体" w:cs="宋体"/>
                <w:strike/>
                <w:color w:val="auto"/>
                <w:kern w:val="0"/>
                <w:szCs w:val="21"/>
              </w:rPr>
              <w:t>　</w:t>
            </w:r>
          </w:p>
        </w:tc>
      </w:tr>
      <w:tr>
        <w:tblPrEx>
          <w:tblCellMar>
            <w:top w:w="0" w:type="dxa"/>
            <w:left w:w="108" w:type="dxa"/>
            <w:bottom w:w="0" w:type="dxa"/>
            <w:right w:w="108" w:type="dxa"/>
          </w:tblCellMar>
        </w:tblPrEx>
        <w:trPr>
          <w:trHeight w:val="720" w:hRule="atLeast"/>
          <w:jc w:val="center"/>
        </w:trPr>
        <w:tc>
          <w:tcPr>
            <w:tcW w:w="499"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strike/>
                <w:color w:val="auto"/>
                <w:kern w:val="0"/>
                <w:szCs w:val="21"/>
              </w:rPr>
            </w:pPr>
            <w:r>
              <w:rPr>
                <w:rFonts w:hint="eastAsia" w:ascii="宋体" w:hAnsi="宋体" w:cs="宋体"/>
                <w:strike/>
                <w:color w:val="auto"/>
                <w:kern w:val="0"/>
                <w:szCs w:val="21"/>
              </w:rPr>
              <w:t>二</w:t>
            </w:r>
          </w:p>
        </w:tc>
        <w:tc>
          <w:tcPr>
            <w:tcW w:w="1274" w:type="dxa"/>
            <w:tcBorders>
              <w:top w:val="nil"/>
              <w:left w:val="nil"/>
              <w:bottom w:val="single" w:color="auto" w:sz="4" w:space="0"/>
              <w:right w:val="single" w:color="auto" w:sz="4" w:space="0"/>
            </w:tcBorders>
            <w:noWrap/>
            <w:vAlign w:val="center"/>
          </w:tcPr>
          <w:p>
            <w:pPr>
              <w:widowControl/>
              <w:jc w:val="center"/>
              <w:rPr>
                <w:rFonts w:ascii="宋体" w:hAnsi="宋体" w:cs="宋体"/>
                <w:strike/>
                <w:color w:val="auto"/>
                <w:kern w:val="0"/>
                <w:szCs w:val="21"/>
              </w:rPr>
            </w:pPr>
            <w:r>
              <w:rPr>
                <w:rFonts w:hint="eastAsia" w:ascii="宋体" w:hAnsi="宋体" w:cs="宋体"/>
                <w:strike/>
                <w:color w:val="auto"/>
                <w:kern w:val="0"/>
                <w:szCs w:val="21"/>
              </w:rPr>
              <w:t>设计质量</w:t>
            </w:r>
          </w:p>
        </w:tc>
        <w:tc>
          <w:tcPr>
            <w:tcW w:w="799" w:type="dxa"/>
            <w:tcBorders>
              <w:top w:val="single" w:color="auto" w:sz="4" w:space="0"/>
              <w:left w:val="nil"/>
              <w:bottom w:val="single" w:color="auto" w:sz="4" w:space="0"/>
              <w:right w:val="single" w:color="auto" w:sz="4" w:space="0"/>
            </w:tcBorders>
            <w:noWrap/>
            <w:vAlign w:val="center"/>
          </w:tcPr>
          <w:p>
            <w:pPr>
              <w:widowControl/>
              <w:jc w:val="center"/>
              <w:rPr>
                <w:rFonts w:ascii="仿宋_GB2312" w:hAnsi="宋体" w:eastAsia="仿宋_GB2312" w:cs="宋体"/>
                <w:strike/>
                <w:color w:val="auto"/>
                <w:kern w:val="0"/>
                <w:szCs w:val="21"/>
              </w:rPr>
            </w:pPr>
            <w:r>
              <w:rPr>
                <w:rFonts w:ascii="仿宋_GB2312" w:hAnsi="宋体" w:eastAsia="仿宋_GB2312" w:cs="宋体"/>
                <w:strike/>
                <w:color w:val="auto"/>
                <w:kern w:val="0"/>
                <w:szCs w:val="21"/>
              </w:rPr>
              <w:t>70</w:t>
            </w:r>
          </w:p>
        </w:tc>
        <w:tc>
          <w:tcPr>
            <w:tcW w:w="2551" w:type="dxa"/>
            <w:tcBorders>
              <w:top w:val="nil"/>
              <w:left w:val="nil"/>
              <w:bottom w:val="single" w:color="auto" w:sz="4" w:space="0"/>
              <w:right w:val="single" w:color="auto" w:sz="4" w:space="0"/>
            </w:tcBorders>
            <w:noWrap/>
            <w:vAlign w:val="center"/>
          </w:tcPr>
          <w:p>
            <w:pPr>
              <w:widowControl/>
              <w:jc w:val="left"/>
              <w:rPr>
                <w:rFonts w:ascii="宋体" w:hAnsi="宋体" w:cs="宋体"/>
                <w:strike/>
                <w:color w:val="auto"/>
                <w:kern w:val="0"/>
                <w:szCs w:val="21"/>
              </w:rPr>
            </w:pPr>
            <w:r>
              <w:rPr>
                <w:rFonts w:hint="eastAsia" w:ascii="宋体" w:hAnsi="宋体" w:cs="宋体"/>
                <w:strike/>
                <w:color w:val="auto"/>
                <w:kern w:val="0"/>
                <w:szCs w:val="21"/>
              </w:rPr>
              <w:t>　</w:t>
            </w:r>
          </w:p>
        </w:tc>
        <w:tc>
          <w:tcPr>
            <w:tcW w:w="3261" w:type="dxa"/>
            <w:tcBorders>
              <w:top w:val="nil"/>
              <w:left w:val="nil"/>
              <w:bottom w:val="single" w:color="auto" w:sz="4" w:space="0"/>
              <w:right w:val="single" w:color="auto" w:sz="4" w:space="0"/>
            </w:tcBorders>
            <w:noWrap/>
            <w:vAlign w:val="center"/>
          </w:tcPr>
          <w:p>
            <w:pPr>
              <w:widowControl/>
              <w:jc w:val="left"/>
              <w:rPr>
                <w:rFonts w:ascii="宋体" w:hAnsi="宋体" w:cs="宋体"/>
                <w:strike/>
                <w:color w:val="auto"/>
                <w:kern w:val="0"/>
                <w:szCs w:val="21"/>
              </w:rPr>
            </w:pPr>
          </w:p>
        </w:tc>
        <w:tc>
          <w:tcPr>
            <w:tcW w:w="992" w:type="dxa"/>
            <w:tcBorders>
              <w:top w:val="nil"/>
              <w:left w:val="nil"/>
              <w:bottom w:val="single" w:color="auto" w:sz="4" w:space="0"/>
              <w:right w:val="single" w:color="auto" w:sz="4" w:space="0"/>
            </w:tcBorders>
            <w:noWrap/>
            <w:vAlign w:val="center"/>
          </w:tcPr>
          <w:p>
            <w:pPr>
              <w:widowControl/>
              <w:jc w:val="left"/>
              <w:rPr>
                <w:rFonts w:ascii="宋体" w:hAnsi="宋体" w:cs="宋体"/>
                <w:strike/>
                <w:color w:val="auto"/>
                <w:kern w:val="0"/>
                <w:szCs w:val="21"/>
              </w:rPr>
            </w:pPr>
            <w:r>
              <w:rPr>
                <w:rFonts w:hint="eastAsia" w:ascii="宋体" w:hAnsi="宋体" w:cs="宋体"/>
                <w:strike/>
                <w:color w:val="auto"/>
                <w:kern w:val="0"/>
                <w:szCs w:val="21"/>
              </w:rPr>
              <w:t>　</w:t>
            </w:r>
          </w:p>
        </w:tc>
      </w:tr>
      <w:tr>
        <w:tblPrEx>
          <w:tblCellMar>
            <w:top w:w="0" w:type="dxa"/>
            <w:left w:w="108" w:type="dxa"/>
            <w:bottom w:w="0" w:type="dxa"/>
            <w:right w:w="108" w:type="dxa"/>
          </w:tblCellMar>
        </w:tblPrEx>
        <w:trPr>
          <w:trHeight w:val="2430" w:hRule="atLeast"/>
          <w:jc w:val="center"/>
        </w:trPr>
        <w:tc>
          <w:tcPr>
            <w:tcW w:w="499"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strike/>
                <w:color w:val="auto"/>
                <w:kern w:val="0"/>
                <w:szCs w:val="21"/>
              </w:rPr>
            </w:pPr>
            <w:r>
              <w:rPr>
                <w:rFonts w:ascii="宋体" w:hAnsi="宋体" w:cs="宋体"/>
                <w:strike/>
                <w:color w:val="auto"/>
                <w:kern w:val="0"/>
                <w:szCs w:val="21"/>
              </w:rPr>
              <w:t>1</w:t>
            </w:r>
          </w:p>
        </w:tc>
        <w:tc>
          <w:tcPr>
            <w:tcW w:w="1274" w:type="dxa"/>
            <w:tcBorders>
              <w:top w:val="nil"/>
              <w:left w:val="nil"/>
              <w:bottom w:val="single" w:color="auto" w:sz="4" w:space="0"/>
              <w:right w:val="single" w:color="auto" w:sz="4" w:space="0"/>
            </w:tcBorders>
            <w:noWrap/>
            <w:vAlign w:val="center"/>
          </w:tcPr>
          <w:p>
            <w:pPr>
              <w:widowControl/>
              <w:jc w:val="center"/>
              <w:rPr>
                <w:rFonts w:ascii="宋体" w:hAnsi="宋体" w:cs="宋体"/>
                <w:strike/>
                <w:color w:val="auto"/>
                <w:kern w:val="0"/>
                <w:szCs w:val="21"/>
              </w:rPr>
            </w:pPr>
            <w:r>
              <w:rPr>
                <w:rFonts w:hint="eastAsia" w:ascii="宋体" w:hAnsi="宋体" w:cs="宋体"/>
                <w:strike/>
                <w:color w:val="auto"/>
                <w:kern w:val="0"/>
                <w:szCs w:val="21"/>
              </w:rPr>
              <w:t>设计缺陷</w:t>
            </w:r>
          </w:p>
        </w:tc>
        <w:tc>
          <w:tcPr>
            <w:tcW w:w="799"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strike/>
                <w:color w:val="auto"/>
                <w:kern w:val="0"/>
                <w:szCs w:val="21"/>
              </w:rPr>
            </w:pPr>
            <w:r>
              <w:rPr>
                <w:rFonts w:ascii="仿宋_GB2312" w:hAnsi="宋体" w:eastAsia="仿宋_GB2312" w:cs="宋体"/>
                <w:strike/>
                <w:color w:val="auto"/>
                <w:kern w:val="0"/>
                <w:szCs w:val="21"/>
              </w:rPr>
              <w:t>40</w:t>
            </w:r>
          </w:p>
        </w:tc>
        <w:tc>
          <w:tcPr>
            <w:tcW w:w="2551" w:type="dxa"/>
            <w:tcBorders>
              <w:top w:val="nil"/>
              <w:left w:val="nil"/>
              <w:bottom w:val="single" w:color="auto" w:sz="4" w:space="0"/>
              <w:right w:val="single" w:color="auto" w:sz="4" w:space="0"/>
            </w:tcBorders>
            <w:noWrap/>
            <w:vAlign w:val="center"/>
          </w:tcPr>
          <w:p>
            <w:pPr>
              <w:widowControl/>
              <w:jc w:val="left"/>
              <w:rPr>
                <w:rFonts w:ascii="宋体" w:hAnsi="宋体" w:cs="宋体"/>
                <w:strike/>
                <w:color w:val="auto"/>
                <w:kern w:val="0"/>
                <w:szCs w:val="21"/>
              </w:rPr>
            </w:pPr>
            <w:r>
              <w:rPr>
                <w:rFonts w:hint="eastAsia" w:ascii="宋体" w:hAnsi="宋体" w:cs="宋体"/>
                <w:strike/>
                <w:color w:val="auto"/>
                <w:kern w:val="0"/>
                <w:szCs w:val="21"/>
              </w:rPr>
              <w:t>使用过程中发现由于设计原因造成使用功能缺陷、使用上的不便等情形</w:t>
            </w:r>
          </w:p>
        </w:tc>
        <w:tc>
          <w:tcPr>
            <w:tcW w:w="3261" w:type="dxa"/>
            <w:tcBorders>
              <w:top w:val="nil"/>
              <w:left w:val="nil"/>
              <w:bottom w:val="single" w:color="auto" w:sz="4" w:space="0"/>
              <w:right w:val="single" w:color="auto" w:sz="4" w:space="0"/>
            </w:tcBorders>
            <w:noWrap/>
            <w:vAlign w:val="center"/>
          </w:tcPr>
          <w:p>
            <w:pPr>
              <w:widowControl/>
              <w:jc w:val="left"/>
              <w:rPr>
                <w:rFonts w:ascii="宋体" w:hAnsi="宋体" w:cs="宋体"/>
                <w:strike/>
                <w:color w:val="auto"/>
                <w:kern w:val="0"/>
                <w:szCs w:val="21"/>
              </w:rPr>
            </w:pPr>
            <w:r>
              <w:rPr>
                <w:rFonts w:hint="eastAsia" w:ascii="宋体" w:hAnsi="宋体" w:cs="宋体"/>
                <w:strike/>
                <w:color w:val="auto"/>
                <w:kern w:val="0"/>
                <w:szCs w:val="21"/>
              </w:rPr>
              <w:t>使用过程中由于设计原因，产生以下影响：</w:t>
            </w:r>
          </w:p>
          <w:p>
            <w:pPr>
              <w:widowControl/>
              <w:jc w:val="left"/>
              <w:rPr>
                <w:rFonts w:ascii="宋体" w:hAnsi="宋体" w:cs="宋体"/>
                <w:strike/>
                <w:color w:val="auto"/>
                <w:kern w:val="0"/>
                <w:szCs w:val="21"/>
              </w:rPr>
            </w:pPr>
            <w:r>
              <w:rPr>
                <w:rFonts w:ascii="宋体" w:hAnsi="宋体" w:cs="宋体"/>
                <w:strike/>
                <w:color w:val="auto"/>
                <w:kern w:val="0"/>
                <w:szCs w:val="21"/>
              </w:rPr>
              <w:t>1、修补费用10</w:t>
            </w:r>
            <w:r>
              <w:rPr>
                <w:rFonts w:hint="eastAsia" w:ascii="宋体" w:hAnsi="宋体" w:cs="宋体"/>
                <w:strike/>
                <w:color w:val="auto"/>
                <w:kern w:val="0"/>
                <w:szCs w:val="21"/>
              </w:rPr>
              <w:t>万元（含）以上，扣</w:t>
            </w:r>
            <w:r>
              <w:rPr>
                <w:rFonts w:ascii="宋体" w:hAnsi="宋体" w:cs="宋体"/>
                <w:strike/>
                <w:color w:val="auto"/>
                <w:kern w:val="0"/>
                <w:szCs w:val="21"/>
              </w:rPr>
              <w:t>10分；</w:t>
            </w:r>
          </w:p>
          <w:p>
            <w:pPr>
              <w:widowControl/>
              <w:jc w:val="left"/>
              <w:rPr>
                <w:rFonts w:ascii="宋体" w:hAnsi="宋体" w:cs="宋体"/>
                <w:strike/>
                <w:color w:val="auto"/>
                <w:kern w:val="0"/>
                <w:szCs w:val="21"/>
              </w:rPr>
            </w:pPr>
            <w:r>
              <w:rPr>
                <w:rFonts w:ascii="宋体" w:hAnsi="宋体" w:cs="宋体"/>
                <w:strike/>
                <w:color w:val="auto"/>
                <w:kern w:val="0"/>
                <w:szCs w:val="21"/>
              </w:rPr>
              <w:t>2、修补费用5</w:t>
            </w:r>
            <w:r>
              <w:rPr>
                <w:rFonts w:hint="eastAsia" w:ascii="宋体" w:hAnsi="宋体" w:cs="宋体"/>
                <w:strike/>
                <w:color w:val="auto"/>
                <w:kern w:val="0"/>
                <w:szCs w:val="21"/>
              </w:rPr>
              <w:t>万元（含）</w:t>
            </w:r>
            <w:r>
              <w:rPr>
                <w:rFonts w:ascii="宋体" w:hAnsi="宋体" w:cs="宋体"/>
                <w:strike/>
                <w:color w:val="auto"/>
                <w:kern w:val="0"/>
                <w:szCs w:val="21"/>
              </w:rPr>
              <w:t>-10</w:t>
            </w:r>
            <w:r>
              <w:rPr>
                <w:rFonts w:hint="eastAsia" w:ascii="宋体" w:hAnsi="宋体" w:cs="宋体"/>
                <w:strike/>
                <w:color w:val="auto"/>
                <w:kern w:val="0"/>
                <w:szCs w:val="21"/>
              </w:rPr>
              <w:t>万元的扣</w:t>
            </w:r>
            <w:r>
              <w:rPr>
                <w:rFonts w:ascii="宋体" w:hAnsi="宋体" w:cs="宋体"/>
                <w:strike/>
                <w:color w:val="auto"/>
                <w:kern w:val="0"/>
                <w:szCs w:val="21"/>
              </w:rPr>
              <w:t>6分；</w:t>
            </w:r>
          </w:p>
          <w:p>
            <w:pPr>
              <w:widowControl/>
              <w:jc w:val="left"/>
              <w:rPr>
                <w:rFonts w:ascii="宋体" w:hAnsi="宋体" w:cs="宋体"/>
                <w:strike/>
                <w:color w:val="auto"/>
                <w:kern w:val="0"/>
                <w:szCs w:val="21"/>
              </w:rPr>
            </w:pPr>
            <w:r>
              <w:rPr>
                <w:rFonts w:ascii="宋体" w:hAnsi="宋体" w:cs="宋体"/>
                <w:strike/>
                <w:color w:val="auto"/>
                <w:kern w:val="0"/>
                <w:szCs w:val="21"/>
              </w:rPr>
              <w:t>3、修补费用5</w:t>
            </w:r>
            <w:r>
              <w:rPr>
                <w:rFonts w:hint="eastAsia" w:ascii="宋体" w:hAnsi="宋体" w:cs="宋体"/>
                <w:strike/>
                <w:color w:val="auto"/>
                <w:kern w:val="0"/>
                <w:szCs w:val="21"/>
              </w:rPr>
              <w:t>万元以下的，扣</w:t>
            </w:r>
            <w:r>
              <w:rPr>
                <w:rFonts w:ascii="宋体" w:hAnsi="宋体" w:cs="宋体"/>
                <w:strike/>
                <w:color w:val="auto"/>
                <w:kern w:val="0"/>
                <w:szCs w:val="21"/>
              </w:rPr>
              <w:t>4分；</w:t>
            </w:r>
          </w:p>
          <w:p>
            <w:pPr>
              <w:widowControl/>
              <w:jc w:val="left"/>
              <w:rPr>
                <w:rFonts w:ascii="宋体" w:hAnsi="宋体" w:cs="宋体"/>
                <w:strike/>
                <w:color w:val="auto"/>
                <w:kern w:val="0"/>
                <w:szCs w:val="21"/>
              </w:rPr>
            </w:pPr>
            <w:r>
              <w:rPr>
                <w:rFonts w:ascii="宋体" w:hAnsi="宋体" w:cs="宋体"/>
                <w:strike/>
                <w:color w:val="auto"/>
                <w:kern w:val="0"/>
                <w:szCs w:val="21"/>
              </w:rPr>
              <w:t>4、使用上不便造成使用单位接到投诉的，每次扣2分。</w:t>
            </w:r>
          </w:p>
        </w:tc>
        <w:tc>
          <w:tcPr>
            <w:tcW w:w="992" w:type="dxa"/>
            <w:tcBorders>
              <w:top w:val="nil"/>
              <w:left w:val="nil"/>
              <w:bottom w:val="single" w:color="auto" w:sz="4" w:space="0"/>
              <w:right w:val="single" w:color="auto" w:sz="4" w:space="0"/>
            </w:tcBorders>
            <w:noWrap/>
            <w:vAlign w:val="center"/>
          </w:tcPr>
          <w:p>
            <w:pPr>
              <w:widowControl/>
              <w:jc w:val="left"/>
              <w:rPr>
                <w:rFonts w:ascii="宋体" w:hAnsi="宋体" w:cs="宋体"/>
                <w:strike/>
                <w:color w:val="auto"/>
                <w:kern w:val="0"/>
                <w:szCs w:val="21"/>
              </w:rPr>
            </w:pPr>
            <w:r>
              <w:rPr>
                <w:rFonts w:hint="eastAsia" w:ascii="宋体" w:hAnsi="宋体" w:cs="宋体"/>
                <w:strike/>
                <w:color w:val="auto"/>
                <w:kern w:val="0"/>
                <w:szCs w:val="21"/>
              </w:rPr>
              <w:t>　</w:t>
            </w:r>
          </w:p>
        </w:tc>
      </w:tr>
      <w:tr>
        <w:tblPrEx>
          <w:tblCellMar>
            <w:top w:w="0" w:type="dxa"/>
            <w:left w:w="108" w:type="dxa"/>
            <w:bottom w:w="0" w:type="dxa"/>
            <w:right w:w="108" w:type="dxa"/>
          </w:tblCellMar>
        </w:tblPrEx>
        <w:trPr>
          <w:trHeight w:val="540" w:hRule="atLeast"/>
          <w:jc w:val="center"/>
        </w:trPr>
        <w:tc>
          <w:tcPr>
            <w:tcW w:w="499"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strike/>
                <w:color w:val="auto"/>
                <w:kern w:val="0"/>
                <w:szCs w:val="21"/>
              </w:rPr>
            </w:pPr>
            <w:r>
              <w:rPr>
                <w:rFonts w:ascii="宋体" w:hAnsi="宋体" w:cs="宋体"/>
                <w:strike/>
                <w:color w:val="auto"/>
                <w:kern w:val="0"/>
                <w:szCs w:val="21"/>
              </w:rPr>
              <w:t>2</w:t>
            </w:r>
          </w:p>
        </w:tc>
        <w:tc>
          <w:tcPr>
            <w:tcW w:w="1274" w:type="dxa"/>
            <w:tcBorders>
              <w:top w:val="nil"/>
              <w:left w:val="nil"/>
              <w:bottom w:val="single" w:color="auto" w:sz="4" w:space="0"/>
              <w:right w:val="single" w:color="auto" w:sz="4" w:space="0"/>
            </w:tcBorders>
            <w:noWrap/>
            <w:vAlign w:val="center"/>
          </w:tcPr>
          <w:p>
            <w:pPr>
              <w:widowControl/>
              <w:jc w:val="center"/>
              <w:rPr>
                <w:rFonts w:ascii="宋体" w:hAnsi="宋体" w:cs="宋体"/>
                <w:strike/>
                <w:color w:val="auto"/>
                <w:kern w:val="0"/>
                <w:szCs w:val="21"/>
              </w:rPr>
            </w:pPr>
            <w:r>
              <w:rPr>
                <w:rFonts w:hint="eastAsia" w:ascii="宋体" w:hAnsi="宋体" w:cs="宋体"/>
                <w:strike/>
                <w:color w:val="auto"/>
                <w:kern w:val="0"/>
                <w:szCs w:val="21"/>
              </w:rPr>
              <w:t>设计缺陷处理进度</w:t>
            </w:r>
          </w:p>
        </w:tc>
        <w:tc>
          <w:tcPr>
            <w:tcW w:w="799"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strike/>
                <w:color w:val="auto"/>
                <w:kern w:val="0"/>
                <w:szCs w:val="21"/>
              </w:rPr>
            </w:pPr>
            <w:r>
              <w:rPr>
                <w:rFonts w:ascii="仿宋_GB2312" w:hAnsi="宋体" w:eastAsia="仿宋_GB2312" w:cs="宋体"/>
                <w:strike/>
                <w:color w:val="auto"/>
                <w:kern w:val="0"/>
                <w:szCs w:val="21"/>
              </w:rPr>
              <w:t>30</w:t>
            </w:r>
          </w:p>
        </w:tc>
        <w:tc>
          <w:tcPr>
            <w:tcW w:w="2551" w:type="dxa"/>
            <w:tcBorders>
              <w:top w:val="nil"/>
              <w:left w:val="nil"/>
              <w:bottom w:val="single" w:color="auto" w:sz="4" w:space="0"/>
              <w:right w:val="single" w:color="auto" w:sz="4" w:space="0"/>
            </w:tcBorders>
            <w:noWrap/>
            <w:vAlign w:val="center"/>
          </w:tcPr>
          <w:p>
            <w:pPr>
              <w:widowControl/>
              <w:jc w:val="left"/>
              <w:rPr>
                <w:rFonts w:ascii="宋体" w:hAnsi="宋体" w:cs="宋体"/>
                <w:strike/>
                <w:color w:val="auto"/>
                <w:kern w:val="0"/>
                <w:szCs w:val="21"/>
              </w:rPr>
            </w:pPr>
            <w:r>
              <w:rPr>
                <w:rFonts w:hint="eastAsia" w:ascii="宋体" w:hAnsi="宋体" w:cs="宋体"/>
                <w:strike/>
                <w:color w:val="auto"/>
                <w:kern w:val="0"/>
                <w:szCs w:val="21"/>
              </w:rPr>
              <w:t>是否及时按甲方要求完成设计工作</w:t>
            </w:r>
          </w:p>
        </w:tc>
        <w:tc>
          <w:tcPr>
            <w:tcW w:w="3261" w:type="dxa"/>
            <w:tcBorders>
              <w:top w:val="nil"/>
              <w:left w:val="nil"/>
              <w:bottom w:val="single" w:color="auto" w:sz="4" w:space="0"/>
              <w:right w:val="single" w:color="auto" w:sz="4" w:space="0"/>
            </w:tcBorders>
            <w:noWrap/>
            <w:vAlign w:val="center"/>
          </w:tcPr>
          <w:p>
            <w:pPr>
              <w:widowControl/>
              <w:jc w:val="left"/>
              <w:rPr>
                <w:rFonts w:ascii="宋体" w:hAnsi="宋体" w:cs="宋体"/>
                <w:strike/>
                <w:color w:val="auto"/>
                <w:kern w:val="0"/>
                <w:szCs w:val="21"/>
              </w:rPr>
            </w:pPr>
            <w:r>
              <w:rPr>
                <w:rFonts w:hint="eastAsia" w:ascii="宋体" w:hAnsi="宋体" w:cs="宋体"/>
                <w:strike/>
                <w:color w:val="auto"/>
                <w:kern w:val="0"/>
                <w:szCs w:val="21"/>
              </w:rPr>
              <w:t>好：得</w:t>
            </w:r>
            <w:r>
              <w:rPr>
                <w:rFonts w:ascii="宋体" w:hAnsi="宋体" w:cs="宋体"/>
                <w:strike/>
                <w:color w:val="auto"/>
                <w:kern w:val="0"/>
                <w:szCs w:val="21"/>
              </w:rPr>
              <w:t>30分</w:t>
            </w:r>
          </w:p>
          <w:p>
            <w:pPr>
              <w:widowControl/>
              <w:jc w:val="left"/>
              <w:rPr>
                <w:rFonts w:ascii="宋体" w:hAnsi="宋体" w:cs="宋体"/>
                <w:strike/>
                <w:color w:val="auto"/>
                <w:kern w:val="0"/>
                <w:szCs w:val="21"/>
              </w:rPr>
            </w:pPr>
            <w:r>
              <w:rPr>
                <w:rFonts w:hint="eastAsia" w:ascii="宋体" w:hAnsi="宋体" w:cs="宋体"/>
                <w:strike/>
                <w:color w:val="auto"/>
                <w:kern w:val="0"/>
                <w:szCs w:val="21"/>
              </w:rPr>
              <w:t>较好：得</w:t>
            </w:r>
            <w:r>
              <w:rPr>
                <w:rFonts w:ascii="宋体" w:hAnsi="宋体" w:cs="宋体"/>
                <w:strike/>
                <w:color w:val="auto"/>
                <w:kern w:val="0"/>
                <w:szCs w:val="21"/>
              </w:rPr>
              <w:t>20分</w:t>
            </w:r>
          </w:p>
          <w:p>
            <w:pPr>
              <w:widowControl/>
              <w:jc w:val="left"/>
              <w:rPr>
                <w:rFonts w:ascii="宋体" w:hAnsi="宋体" w:cs="宋体"/>
                <w:strike/>
                <w:color w:val="auto"/>
                <w:kern w:val="0"/>
                <w:szCs w:val="21"/>
              </w:rPr>
            </w:pPr>
            <w:r>
              <w:rPr>
                <w:rFonts w:hint="eastAsia" w:ascii="宋体" w:hAnsi="宋体" w:cs="宋体"/>
                <w:strike/>
                <w:color w:val="auto"/>
                <w:kern w:val="0"/>
                <w:szCs w:val="21"/>
              </w:rPr>
              <w:t>一般：得</w:t>
            </w:r>
            <w:r>
              <w:rPr>
                <w:rFonts w:ascii="宋体" w:hAnsi="宋体" w:cs="宋体"/>
                <w:strike/>
                <w:color w:val="auto"/>
                <w:kern w:val="0"/>
                <w:szCs w:val="21"/>
              </w:rPr>
              <w:t>10分</w:t>
            </w:r>
          </w:p>
          <w:p>
            <w:pPr>
              <w:widowControl/>
              <w:jc w:val="left"/>
              <w:rPr>
                <w:rFonts w:ascii="宋体" w:hAnsi="宋体" w:cs="宋体"/>
                <w:strike/>
                <w:color w:val="auto"/>
                <w:kern w:val="0"/>
                <w:szCs w:val="21"/>
              </w:rPr>
            </w:pPr>
            <w:r>
              <w:rPr>
                <w:rFonts w:hint="eastAsia" w:ascii="宋体" w:hAnsi="宋体" w:cs="宋体"/>
                <w:strike/>
                <w:color w:val="auto"/>
                <w:kern w:val="0"/>
                <w:szCs w:val="21"/>
              </w:rPr>
              <w:t>较差：得</w:t>
            </w:r>
            <w:r>
              <w:rPr>
                <w:rFonts w:ascii="宋体" w:hAnsi="宋体" w:cs="宋体"/>
                <w:strike/>
                <w:color w:val="auto"/>
                <w:kern w:val="0"/>
                <w:szCs w:val="21"/>
              </w:rPr>
              <w:t>5分</w:t>
            </w:r>
          </w:p>
          <w:p>
            <w:pPr>
              <w:widowControl/>
              <w:jc w:val="left"/>
              <w:rPr>
                <w:rFonts w:ascii="宋体" w:hAnsi="宋体" w:cs="宋体"/>
                <w:strike/>
                <w:color w:val="auto"/>
                <w:kern w:val="0"/>
                <w:szCs w:val="21"/>
              </w:rPr>
            </w:pPr>
            <w:r>
              <w:rPr>
                <w:rFonts w:hint="eastAsia" w:ascii="宋体" w:hAnsi="宋体" w:cs="宋体"/>
                <w:strike/>
                <w:color w:val="auto"/>
                <w:kern w:val="0"/>
                <w:szCs w:val="21"/>
              </w:rPr>
              <w:t>差：得</w:t>
            </w:r>
            <w:r>
              <w:rPr>
                <w:rFonts w:ascii="宋体" w:hAnsi="宋体" w:cs="宋体"/>
                <w:strike/>
                <w:color w:val="auto"/>
                <w:kern w:val="0"/>
                <w:szCs w:val="21"/>
              </w:rPr>
              <w:t>2分</w:t>
            </w:r>
          </w:p>
        </w:tc>
        <w:tc>
          <w:tcPr>
            <w:tcW w:w="992" w:type="dxa"/>
            <w:tcBorders>
              <w:top w:val="nil"/>
              <w:left w:val="nil"/>
              <w:bottom w:val="single" w:color="auto" w:sz="4" w:space="0"/>
              <w:right w:val="single" w:color="auto" w:sz="4" w:space="0"/>
            </w:tcBorders>
            <w:noWrap/>
            <w:vAlign w:val="center"/>
          </w:tcPr>
          <w:p>
            <w:pPr>
              <w:widowControl/>
              <w:jc w:val="left"/>
              <w:rPr>
                <w:rFonts w:ascii="宋体" w:hAnsi="宋体" w:cs="宋体"/>
                <w:strike/>
                <w:color w:val="auto"/>
                <w:kern w:val="0"/>
                <w:szCs w:val="21"/>
              </w:rPr>
            </w:pPr>
            <w:r>
              <w:rPr>
                <w:rFonts w:hint="eastAsia" w:ascii="宋体" w:hAnsi="宋体" w:cs="宋体"/>
                <w:strike/>
                <w:color w:val="auto"/>
                <w:kern w:val="0"/>
                <w:szCs w:val="21"/>
              </w:rPr>
              <w:t>　</w:t>
            </w:r>
          </w:p>
        </w:tc>
      </w:tr>
      <w:tr>
        <w:tblPrEx>
          <w:tblCellMar>
            <w:top w:w="0" w:type="dxa"/>
            <w:left w:w="108" w:type="dxa"/>
            <w:bottom w:w="0" w:type="dxa"/>
            <w:right w:w="108" w:type="dxa"/>
          </w:tblCellMar>
        </w:tblPrEx>
        <w:trPr>
          <w:trHeight w:val="499" w:hRule="atLeast"/>
          <w:jc w:val="center"/>
        </w:trPr>
        <w:tc>
          <w:tcPr>
            <w:tcW w:w="499" w:type="dxa"/>
            <w:tcBorders>
              <w:top w:val="nil"/>
              <w:left w:val="single" w:color="auto" w:sz="4" w:space="0"/>
              <w:bottom w:val="single" w:color="auto" w:sz="4" w:space="0"/>
              <w:right w:val="single" w:color="auto" w:sz="4" w:space="0"/>
            </w:tcBorders>
            <w:noWrap/>
            <w:vAlign w:val="center"/>
          </w:tcPr>
          <w:p>
            <w:pPr>
              <w:widowControl/>
              <w:jc w:val="center"/>
              <w:rPr>
                <w:strike/>
                <w:color w:val="auto"/>
                <w:kern w:val="0"/>
                <w:szCs w:val="21"/>
              </w:rPr>
            </w:pPr>
            <w:r>
              <w:rPr>
                <w:rFonts w:hint="eastAsia"/>
                <w:strike/>
                <w:color w:val="auto"/>
                <w:kern w:val="0"/>
                <w:szCs w:val="21"/>
              </w:rPr>
              <w:t>　</w:t>
            </w:r>
          </w:p>
        </w:tc>
        <w:tc>
          <w:tcPr>
            <w:tcW w:w="1274" w:type="dxa"/>
            <w:tcBorders>
              <w:top w:val="nil"/>
              <w:left w:val="nil"/>
              <w:bottom w:val="single" w:color="auto" w:sz="4" w:space="0"/>
              <w:right w:val="single" w:color="auto" w:sz="4" w:space="0"/>
            </w:tcBorders>
            <w:noWrap/>
            <w:vAlign w:val="center"/>
          </w:tcPr>
          <w:p>
            <w:pPr>
              <w:widowControl/>
              <w:jc w:val="center"/>
              <w:rPr>
                <w:strike/>
                <w:color w:val="auto"/>
                <w:kern w:val="0"/>
                <w:szCs w:val="21"/>
              </w:rPr>
            </w:pPr>
            <w:r>
              <w:rPr>
                <w:rFonts w:hint="eastAsia"/>
                <w:strike/>
                <w:color w:val="auto"/>
                <w:kern w:val="0"/>
                <w:szCs w:val="21"/>
              </w:rPr>
              <w:t>合计</w:t>
            </w:r>
          </w:p>
        </w:tc>
        <w:tc>
          <w:tcPr>
            <w:tcW w:w="799" w:type="dxa"/>
            <w:tcBorders>
              <w:top w:val="nil"/>
              <w:left w:val="nil"/>
              <w:bottom w:val="single" w:color="auto" w:sz="4" w:space="0"/>
              <w:right w:val="single" w:color="auto" w:sz="4" w:space="0"/>
            </w:tcBorders>
            <w:noWrap/>
            <w:vAlign w:val="center"/>
          </w:tcPr>
          <w:p>
            <w:pPr>
              <w:widowControl/>
              <w:jc w:val="center"/>
              <w:rPr>
                <w:strike/>
                <w:color w:val="auto"/>
                <w:kern w:val="0"/>
                <w:szCs w:val="21"/>
              </w:rPr>
            </w:pPr>
            <w:r>
              <w:rPr>
                <w:strike/>
                <w:color w:val="auto"/>
                <w:kern w:val="0"/>
                <w:szCs w:val="21"/>
              </w:rPr>
              <w:t>100</w:t>
            </w:r>
          </w:p>
        </w:tc>
        <w:tc>
          <w:tcPr>
            <w:tcW w:w="2551" w:type="dxa"/>
            <w:tcBorders>
              <w:top w:val="nil"/>
              <w:left w:val="nil"/>
              <w:bottom w:val="single" w:color="auto" w:sz="4" w:space="0"/>
              <w:right w:val="single" w:color="auto" w:sz="4" w:space="0"/>
            </w:tcBorders>
            <w:noWrap/>
            <w:vAlign w:val="center"/>
          </w:tcPr>
          <w:p>
            <w:pPr>
              <w:widowControl/>
              <w:jc w:val="center"/>
              <w:rPr>
                <w:strike/>
                <w:color w:val="auto"/>
                <w:kern w:val="0"/>
                <w:szCs w:val="21"/>
              </w:rPr>
            </w:pPr>
            <w:r>
              <w:rPr>
                <w:rFonts w:hint="eastAsia"/>
                <w:strike/>
                <w:color w:val="auto"/>
                <w:kern w:val="0"/>
                <w:szCs w:val="21"/>
              </w:rPr>
              <w:t>　</w:t>
            </w:r>
          </w:p>
        </w:tc>
        <w:tc>
          <w:tcPr>
            <w:tcW w:w="3261" w:type="dxa"/>
            <w:tcBorders>
              <w:top w:val="nil"/>
              <w:left w:val="nil"/>
              <w:bottom w:val="single" w:color="auto" w:sz="4" w:space="0"/>
              <w:right w:val="single" w:color="auto" w:sz="4" w:space="0"/>
            </w:tcBorders>
            <w:noWrap/>
            <w:vAlign w:val="center"/>
          </w:tcPr>
          <w:p>
            <w:pPr>
              <w:widowControl/>
              <w:jc w:val="center"/>
              <w:rPr>
                <w:strike/>
                <w:color w:val="auto"/>
                <w:kern w:val="0"/>
                <w:szCs w:val="21"/>
              </w:rPr>
            </w:pPr>
            <w:r>
              <w:rPr>
                <w:rFonts w:hint="eastAsia"/>
                <w:strike/>
                <w:color w:val="auto"/>
                <w:kern w:val="0"/>
                <w:szCs w:val="21"/>
              </w:rPr>
              <w:t>　</w:t>
            </w:r>
          </w:p>
        </w:tc>
        <w:tc>
          <w:tcPr>
            <w:tcW w:w="992" w:type="dxa"/>
            <w:tcBorders>
              <w:top w:val="nil"/>
              <w:left w:val="nil"/>
              <w:bottom w:val="single" w:color="auto" w:sz="4" w:space="0"/>
              <w:right w:val="single" w:color="auto" w:sz="4" w:space="0"/>
            </w:tcBorders>
            <w:noWrap/>
            <w:vAlign w:val="center"/>
          </w:tcPr>
          <w:p>
            <w:pPr>
              <w:widowControl/>
              <w:jc w:val="center"/>
              <w:rPr>
                <w:strike/>
                <w:color w:val="auto"/>
                <w:kern w:val="0"/>
                <w:szCs w:val="21"/>
              </w:rPr>
            </w:pPr>
            <w:r>
              <w:rPr>
                <w:rFonts w:hint="eastAsia"/>
                <w:strike/>
                <w:color w:val="auto"/>
                <w:kern w:val="0"/>
                <w:szCs w:val="21"/>
              </w:rPr>
              <w:t>　</w:t>
            </w:r>
          </w:p>
        </w:tc>
      </w:tr>
    </w:tbl>
    <w:p>
      <w:pPr>
        <w:adjustRightInd w:val="0"/>
        <w:snapToGrid w:val="0"/>
        <w:rPr>
          <w:rFonts w:ascii="宋体" w:hAnsi="宋体" w:cs="宋体"/>
          <w:strike/>
          <w:color w:val="auto"/>
          <w:kern w:val="0"/>
          <w:szCs w:val="21"/>
        </w:rPr>
      </w:pPr>
      <w:r>
        <w:rPr>
          <w:rFonts w:hint="eastAsia" w:ascii="宋体" w:hAnsi="宋体" w:cs="宋体"/>
          <w:strike/>
          <w:color w:val="auto"/>
          <w:kern w:val="0"/>
          <w:szCs w:val="21"/>
        </w:rPr>
        <w:t>一、注：</w:t>
      </w:r>
    </w:p>
    <w:p>
      <w:pPr>
        <w:adjustRightInd w:val="0"/>
        <w:snapToGrid w:val="0"/>
        <w:rPr>
          <w:rFonts w:ascii="宋体" w:hAnsi="宋体" w:cs="宋体"/>
          <w:strike/>
          <w:color w:val="auto"/>
          <w:kern w:val="0"/>
          <w:szCs w:val="21"/>
        </w:rPr>
      </w:pPr>
      <w:r>
        <w:rPr>
          <w:rFonts w:ascii="宋体" w:hAnsi="宋体" w:cs="宋体"/>
          <w:strike/>
          <w:color w:val="auto"/>
          <w:kern w:val="0"/>
          <w:szCs w:val="21"/>
        </w:rPr>
        <w:t>1、每一评分项扣分，至该项对应分值扣完为止。</w:t>
      </w:r>
    </w:p>
    <w:p>
      <w:pPr>
        <w:adjustRightInd w:val="0"/>
        <w:snapToGrid w:val="0"/>
        <w:rPr>
          <w:rFonts w:ascii="宋体" w:hAnsi="宋体" w:cs="宋体"/>
          <w:strike/>
          <w:color w:val="auto"/>
          <w:kern w:val="0"/>
          <w:szCs w:val="21"/>
        </w:rPr>
      </w:pPr>
      <w:r>
        <w:rPr>
          <w:rFonts w:ascii="宋体" w:hAnsi="宋体" w:cs="宋体"/>
          <w:strike/>
          <w:color w:val="auto"/>
          <w:kern w:val="0"/>
          <w:szCs w:val="21"/>
        </w:rPr>
        <w:t>2、应在岗实际未在岗累计达到3天的，或经问询明显不了解项目具体情况累计达到3次的，或未按甲方要求出席会议累计达到3次的，可认定自行更换</w:t>
      </w:r>
    </w:p>
    <w:p>
      <w:pPr>
        <w:adjustRightInd w:val="0"/>
        <w:snapToGrid w:val="0"/>
        <w:rPr>
          <w:rFonts w:ascii="宋体" w:hAnsi="宋体" w:cs="宋体"/>
          <w:strike/>
          <w:color w:val="auto"/>
          <w:kern w:val="0"/>
          <w:szCs w:val="21"/>
        </w:rPr>
      </w:pPr>
    </w:p>
    <w:p>
      <w:pPr>
        <w:adjustRightInd w:val="0"/>
        <w:snapToGrid w:val="0"/>
        <w:rPr>
          <w:rFonts w:ascii="宋体" w:hAnsi="宋体" w:cs="宋体"/>
          <w:strike/>
          <w:color w:val="auto"/>
          <w:kern w:val="0"/>
          <w:szCs w:val="21"/>
        </w:rPr>
      </w:pPr>
      <w:r>
        <w:rPr>
          <w:rFonts w:hint="eastAsia" w:ascii="宋体" w:hAnsi="宋体" w:cs="宋体"/>
          <w:strike/>
          <w:color w:val="auto"/>
          <w:kern w:val="0"/>
          <w:szCs w:val="21"/>
        </w:rPr>
        <w:t>二、扣分情况说明：</w:t>
      </w:r>
    </w:p>
    <w:p>
      <w:pPr>
        <w:adjustRightInd w:val="0"/>
        <w:snapToGrid w:val="0"/>
        <w:rPr>
          <w:rFonts w:ascii="宋体" w:hAnsi="宋体" w:cs="宋体"/>
          <w:strike/>
          <w:color w:val="auto"/>
          <w:kern w:val="0"/>
          <w:szCs w:val="21"/>
        </w:rPr>
      </w:pPr>
      <w:r>
        <w:rPr>
          <w:rFonts w:ascii="宋体" w:hAnsi="宋体" w:cs="宋体"/>
          <w:strike/>
          <w:color w:val="auto"/>
          <w:kern w:val="0"/>
          <w:szCs w:val="21"/>
        </w:rPr>
        <w:t>1、</w:t>
      </w:r>
    </w:p>
    <w:p>
      <w:pPr>
        <w:adjustRightInd w:val="0"/>
        <w:snapToGrid w:val="0"/>
        <w:rPr>
          <w:rFonts w:ascii="宋体" w:hAnsi="宋体" w:cs="宋体"/>
          <w:strike/>
          <w:color w:val="auto"/>
          <w:kern w:val="0"/>
          <w:szCs w:val="21"/>
        </w:rPr>
      </w:pPr>
      <w:r>
        <w:rPr>
          <w:rFonts w:ascii="宋体" w:hAnsi="宋体" w:cs="宋体"/>
          <w:strike/>
          <w:color w:val="auto"/>
          <w:kern w:val="0"/>
          <w:szCs w:val="21"/>
        </w:rPr>
        <w:t>2、</w:t>
      </w:r>
    </w:p>
    <w:p>
      <w:pPr>
        <w:adjustRightInd w:val="0"/>
        <w:snapToGrid w:val="0"/>
        <w:rPr>
          <w:rFonts w:ascii="宋体" w:hAnsi="宋体" w:cs="宋体"/>
          <w:strike/>
          <w:color w:val="auto"/>
          <w:kern w:val="0"/>
          <w:szCs w:val="21"/>
        </w:rPr>
      </w:pPr>
      <w:r>
        <w:rPr>
          <w:rFonts w:ascii="宋体" w:hAnsi="宋体" w:cs="宋体"/>
          <w:strike/>
          <w:color w:val="auto"/>
          <w:kern w:val="0"/>
          <w:szCs w:val="21"/>
        </w:rPr>
        <w:t>3、</w:t>
      </w:r>
    </w:p>
    <w:p>
      <w:pPr>
        <w:adjustRightInd w:val="0"/>
        <w:snapToGrid w:val="0"/>
        <w:rPr>
          <w:rFonts w:ascii="宋体" w:hAnsi="宋体" w:cs="宋体"/>
          <w:strike/>
          <w:color w:val="auto"/>
          <w:kern w:val="0"/>
          <w:szCs w:val="21"/>
        </w:rPr>
      </w:pPr>
      <w:r>
        <w:rPr>
          <w:rFonts w:hint="eastAsia" w:ascii="宋体" w:hAnsi="宋体" w:cs="宋体"/>
          <w:strike/>
          <w:color w:val="auto"/>
          <w:kern w:val="0"/>
          <w:szCs w:val="21"/>
        </w:rPr>
        <w:t>…</w:t>
      </w:r>
    </w:p>
    <w:p>
      <w:pPr>
        <w:adjustRightInd w:val="0"/>
        <w:snapToGrid w:val="0"/>
        <w:rPr>
          <w:rFonts w:ascii="宋体" w:hAnsi="宋体" w:cs="宋体"/>
          <w:strike/>
          <w:color w:val="auto"/>
          <w:kern w:val="0"/>
          <w:szCs w:val="21"/>
        </w:rPr>
      </w:pPr>
    </w:p>
    <w:p>
      <w:pPr>
        <w:adjustRightInd w:val="0"/>
        <w:snapToGrid w:val="0"/>
        <w:rPr>
          <w:rFonts w:ascii="宋体" w:hAnsi="宋体" w:cs="宋体"/>
          <w:strike/>
          <w:color w:val="auto"/>
          <w:kern w:val="0"/>
          <w:szCs w:val="21"/>
          <w:u w:val="single"/>
        </w:rPr>
      </w:pPr>
      <w:r>
        <w:rPr>
          <w:rFonts w:hint="eastAsia" w:ascii="宋体" w:hAnsi="宋体" w:cs="宋体"/>
          <w:strike/>
          <w:color w:val="auto"/>
          <w:kern w:val="0"/>
          <w:szCs w:val="21"/>
        </w:rPr>
        <w:t>项目负责人：×××</w:t>
      </w:r>
      <w:r>
        <w:rPr>
          <w:rFonts w:ascii="宋体" w:hAnsi="宋体" w:cs="宋体"/>
          <w:strike/>
          <w:color w:val="auto"/>
          <w:kern w:val="0"/>
          <w:szCs w:val="21"/>
        </w:rPr>
        <w:t xml:space="preserve">  </w:t>
      </w:r>
      <w:r>
        <w:rPr>
          <w:rFonts w:hint="eastAsia" w:ascii="宋体" w:hAnsi="宋体" w:cs="宋体"/>
          <w:strike/>
          <w:color w:val="auto"/>
          <w:kern w:val="0"/>
          <w:szCs w:val="21"/>
        </w:rPr>
        <w:t>签名：</w:t>
      </w:r>
    </w:p>
    <w:p>
      <w:pPr>
        <w:adjustRightInd w:val="0"/>
        <w:snapToGrid w:val="0"/>
        <w:rPr>
          <w:rFonts w:ascii="宋体" w:hAnsi="宋体" w:cs="宋体"/>
          <w:strike/>
          <w:color w:val="auto"/>
          <w:kern w:val="0"/>
          <w:szCs w:val="21"/>
        </w:rPr>
      </w:pPr>
    </w:p>
    <w:p>
      <w:pPr>
        <w:adjustRightInd w:val="0"/>
        <w:snapToGrid w:val="0"/>
        <w:rPr>
          <w:rFonts w:ascii="宋体" w:hAnsi="宋体" w:cs="宋体"/>
          <w:strike/>
          <w:color w:val="auto"/>
          <w:kern w:val="0"/>
          <w:szCs w:val="21"/>
          <w:u w:val="single"/>
        </w:rPr>
      </w:pPr>
      <w:r>
        <w:rPr>
          <w:rFonts w:hint="eastAsia" w:ascii="宋体" w:hAnsi="宋体" w:cs="宋体"/>
          <w:strike/>
          <w:color w:val="auto"/>
          <w:kern w:val="0"/>
          <w:szCs w:val="21"/>
        </w:rPr>
        <w:t>部门负责人：×××</w:t>
      </w:r>
      <w:r>
        <w:rPr>
          <w:rFonts w:ascii="宋体" w:hAnsi="宋体" w:cs="宋体"/>
          <w:strike/>
          <w:color w:val="auto"/>
          <w:kern w:val="0"/>
          <w:szCs w:val="21"/>
        </w:rPr>
        <w:t xml:space="preserve">  </w:t>
      </w:r>
      <w:r>
        <w:rPr>
          <w:rFonts w:hint="eastAsia" w:ascii="宋体" w:hAnsi="宋体" w:cs="宋体"/>
          <w:strike/>
          <w:color w:val="auto"/>
          <w:kern w:val="0"/>
          <w:szCs w:val="21"/>
        </w:rPr>
        <w:t>签名：</w:t>
      </w:r>
    </w:p>
    <w:p>
      <w:pPr>
        <w:adjustRightInd w:val="0"/>
        <w:snapToGrid w:val="0"/>
        <w:rPr>
          <w:rFonts w:ascii="宋体" w:hAnsi="宋体" w:cs="宋体"/>
          <w:strike/>
          <w:color w:val="auto"/>
          <w:kern w:val="0"/>
          <w:szCs w:val="21"/>
        </w:rPr>
      </w:pPr>
    </w:p>
    <w:p>
      <w:pPr>
        <w:adjustRightInd w:val="0"/>
        <w:snapToGrid w:val="0"/>
        <w:rPr>
          <w:rFonts w:ascii="宋体" w:hAnsi="宋体" w:cs="宋体"/>
          <w:strike/>
          <w:color w:val="auto"/>
          <w:kern w:val="0"/>
          <w:szCs w:val="21"/>
        </w:rPr>
      </w:pPr>
      <w:r>
        <w:rPr>
          <w:rFonts w:hint="eastAsia" w:ascii="宋体" w:hAnsi="宋体" w:cs="宋体"/>
          <w:strike/>
          <w:color w:val="auto"/>
          <w:kern w:val="0"/>
          <w:szCs w:val="21"/>
        </w:rPr>
        <w:t>日期：</w:t>
      </w:r>
      <w:r>
        <w:rPr>
          <w:rFonts w:ascii="宋体" w:hAnsi="宋体" w:cs="宋体"/>
          <w:strike/>
          <w:color w:val="auto"/>
          <w:kern w:val="0"/>
          <w:szCs w:val="21"/>
        </w:rPr>
        <w:t xml:space="preserve">      </w:t>
      </w:r>
      <w:r>
        <w:rPr>
          <w:rFonts w:hint="eastAsia" w:ascii="宋体" w:hAnsi="宋体" w:cs="宋体"/>
          <w:strike/>
          <w:color w:val="auto"/>
          <w:kern w:val="0"/>
          <w:szCs w:val="21"/>
        </w:rPr>
        <w:t>年</w:t>
      </w:r>
      <w:r>
        <w:rPr>
          <w:rFonts w:ascii="宋体" w:hAnsi="宋体" w:cs="宋体"/>
          <w:strike/>
          <w:color w:val="auto"/>
          <w:kern w:val="0"/>
          <w:szCs w:val="21"/>
        </w:rPr>
        <w:t xml:space="preserve">    </w:t>
      </w:r>
      <w:r>
        <w:rPr>
          <w:rFonts w:hint="eastAsia" w:ascii="宋体" w:hAnsi="宋体" w:cs="宋体"/>
          <w:strike/>
          <w:color w:val="auto"/>
          <w:kern w:val="0"/>
          <w:szCs w:val="21"/>
        </w:rPr>
        <w:t>月</w:t>
      </w:r>
      <w:r>
        <w:rPr>
          <w:rFonts w:ascii="宋体" w:hAnsi="宋体" w:cs="宋体"/>
          <w:strike/>
          <w:color w:val="auto"/>
          <w:kern w:val="0"/>
          <w:szCs w:val="21"/>
        </w:rPr>
        <w:t xml:space="preserve">    </w:t>
      </w:r>
      <w:r>
        <w:rPr>
          <w:rFonts w:hint="eastAsia" w:ascii="宋体" w:hAnsi="宋体" w:cs="宋体"/>
          <w:strike/>
          <w:color w:val="auto"/>
          <w:kern w:val="0"/>
          <w:szCs w:val="21"/>
        </w:rPr>
        <w:t>日</w:t>
      </w:r>
    </w:p>
    <w:p>
      <w:pPr>
        <w:adjustRightInd w:val="0"/>
        <w:snapToGrid w:val="0"/>
        <w:rPr>
          <w:rFonts w:ascii="宋体" w:hAnsi="宋体" w:cs="宋体"/>
          <w:color w:val="auto"/>
          <w:kern w:val="0"/>
          <w:szCs w:val="21"/>
        </w:rPr>
      </w:pPr>
    </w:p>
    <w:p>
      <w:pPr>
        <w:spacing w:line="560" w:lineRule="exact"/>
        <w:rPr>
          <w:rFonts w:ascii="仿宋_GB2312" w:eastAsia="仿宋_GB2312"/>
          <w:color w:val="auto"/>
          <w:sz w:val="32"/>
          <w:szCs w:val="32"/>
        </w:rPr>
      </w:pPr>
      <w:r>
        <w:rPr>
          <w:rFonts w:ascii="宋体" w:hAnsi="宋体"/>
          <w:b/>
          <w:color w:val="auto"/>
          <w:szCs w:val="21"/>
        </w:rPr>
        <w:br w:type="page"/>
      </w:r>
      <w:r>
        <w:rPr>
          <w:rFonts w:hint="eastAsia" w:ascii="仿宋_GB2312" w:eastAsia="仿宋_GB2312"/>
          <w:color w:val="auto"/>
          <w:sz w:val="32"/>
          <w:szCs w:val="32"/>
        </w:rPr>
        <w:t>附件六</w:t>
      </w:r>
    </w:p>
    <w:p>
      <w:pPr>
        <w:adjustRightInd w:val="0"/>
        <w:snapToGrid w:val="0"/>
        <w:jc w:val="center"/>
        <w:rPr>
          <w:rFonts w:ascii="仿宋_GB2312" w:hAnsi="宋体" w:eastAsia="仿宋_GB2312"/>
          <w:color w:val="auto"/>
          <w:sz w:val="28"/>
          <w:szCs w:val="28"/>
        </w:rPr>
      </w:pPr>
      <w:r>
        <w:rPr>
          <w:rFonts w:hint="eastAsia" w:ascii="仿宋_GB2312" w:hAnsi="宋体" w:eastAsia="仿宋_GB2312"/>
          <w:color w:val="auto"/>
          <w:sz w:val="28"/>
          <w:szCs w:val="28"/>
        </w:rPr>
        <w:t>设计错误分类</w:t>
      </w:r>
    </w:p>
    <w:p>
      <w:pPr>
        <w:adjustRightInd w:val="0"/>
        <w:snapToGrid w:val="0"/>
        <w:rPr>
          <w:rFonts w:ascii="宋体" w:hAnsi="宋体"/>
          <w:b/>
          <w:color w:val="auto"/>
          <w:szCs w:val="21"/>
        </w:rPr>
      </w:pPr>
    </w:p>
    <w:p>
      <w:pPr>
        <w:adjustRightInd w:val="0"/>
        <w:snapToGrid w:val="0"/>
        <w:ind w:firstLine="527" w:firstLineChars="250"/>
        <w:rPr>
          <w:rFonts w:ascii="宋体" w:hAnsi="宋体"/>
          <w:b/>
          <w:color w:val="auto"/>
          <w:szCs w:val="21"/>
        </w:rPr>
      </w:pPr>
      <w:r>
        <w:rPr>
          <w:rFonts w:hint="eastAsia" w:ascii="宋体" w:hAnsi="宋体"/>
          <w:b/>
          <w:color w:val="auto"/>
          <w:szCs w:val="21"/>
        </w:rPr>
        <w:t>Ⅰ类错误：</w:t>
      </w:r>
    </w:p>
    <w:p>
      <w:pPr>
        <w:adjustRightInd w:val="0"/>
        <w:snapToGrid w:val="0"/>
        <w:ind w:firstLine="525" w:firstLineChars="250"/>
        <w:rPr>
          <w:rFonts w:ascii="宋体" w:hAnsi="宋体"/>
          <w:color w:val="auto"/>
          <w:szCs w:val="21"/>
        </w:rPr>
      </w:pPr>
      <w:r>
        <w:rPr>
          <w:rFonts w:hint="eastAsia" w:ascii="宋体" w:hAnsi="宋体"/>
          <w:color w:val="auto"/>
          <w:szCs w:val="21"/>
        </w:rPr>
        <w:t>指设计文件中存在原则性或方案性的错误，并将导致工程决策错误，或造成不能正常使用、返工，或造成重大经济损失，或造成安全事故，如：1、违反国家有关法律、法规及政策，或选用无效的标准规范；2、不符合合同要求的用途或目的或规定的规模；3、不满足城市规划对项目控制性指标的规定和要求；4、违反国家现行技术规范、规定、标准的强制性条文；5、设计方案不正确；6、主要部位设计错误并影响安全性能或使用功能，或结构施工图设计没有计算书；7、出现因设计责任引起的一类变更；8、造价文件严重失实。</w:t>
      </w:r>
    </w:p>
    <w:p>
      <w:pPr>
        <w:adjustRightInd w:val="0"/>
        <w:snapToGrid w:val="0"/>
        <w:ind w:firstLine="525" w:firstLineChars="250"/>
        <w:rPr>
          <w:rFonts w:ascii="宋体" w:hAnsi="宋体"/>
          <w:color w:val="auto"/>
          <w:szCs w:val="21"/>
        </w:rPr>
      </w:pPr>
      <w:r>
        <w:rPr>
          <w:rFonts w:hint="eastAsia" w:ascii="宋体" w:hAnsi="宋体"/>
          <w:color w:val="auto"/>
          <w:szCs w:val="21"/>
        </w:rPr>
        <w:t>具体按照专业又可分为：</w:t>
      </w:r>
    </w:p>
    <w:p>
      <w:pPr>
        <w:adjustRightInd w:val="0"/>
        <w:snapToGrid w:val="0"/>
        <w:ind w:firstLine="525" w:firstLineChars="250"/>
        <w:rPr>
          <w:rFonts w:ascii="宋体" w:hAnsi="宋体"/>
          <w:color w:val="auto"/>
          <w:szCs w:val="21"/>
        </w:rPr>
      </w:pPr>
      <w:r>
        <w:rPr>
          <w:rFonts w:hint="eastAsia" w:ascii="宋体" w:hAnsi="宋体"/>
          <w:color w:val="auto"/>
          <w:szCs w:val="21"/>
        </w:rPr>
        <w:t>严重违反规范、标准、规定，有可能造成严重影响安全和使用的错误，如：</w:t>
      </w:r>
    </w:p>
    <w:p>
      <w:pPr>
        <w:adjustRightInd w:val="0"/>
        <w:snapToGrid w:val="0"/>
        <w:ind w:firstLine="525" w:firstLineChars="250"/>
        <w:rPr>
          <w:rFonts w:ascii="宋体" w:hAnsi="宋体"/>
          <w:color w:val="auto"/>
          <w:szCs w:val="21"/>
        </w:rPr>
      </w:pPr>
      <w:r>
        <w:rPr>
          <w:rFonts w:hint="eastAsia" w:ascii="宋体" w:hAnsi="宋体"/>
          <w:color w:val="auto"/>
          <w:szCs w:val="21"/>
        </w:rPr>
        <w:t>建筑专业：规范中消防间距不够，而又未采取措施；规划中日照间距不够；防火分区面积超规定，电梯/楼梯厅不符合防火要求等。</w:t>
      </w:r>
    </w:p>
    <w:p>
      <w:pPr>
        <w:adjustRightInd w:val="0"/>
        <w:snapToGrid w:val="0"/>
        <w:ind w:firstLine="525" w:firstLineChars="250"/>
        <w:rPr>
          <w:rFonts w:ascii="宋体" w:hAnsi="宋体"/>
          <w:color w:val="auto"/>
          <w:szCs w:val="21"/>
        </w:rPr>
      </w:pPr>
      <w:r>
        <w:rPr>
          <w:rFonts w:hint="eastAsia" w:ascii="宋体" w:hAnsi="宋体"/>
          <w:color w:val="auto"/>
          <w:szCs w:val="21"/>
        </w:rPr>
        <w:t>结构专业：结构(含基础、基坑支护)选型错误；计算原则错误；未考虑抗震设计；出现超限而未采取任何措施等。</w:t>
      </w:r>
    </w:p>
    <w:p>
      <w:pPr>
        <w:adjustRightInd w:val="0"/>
        <w:snapToGrid w:val="0"/>
        <w:ind w:firstLine="525" w:firstLineChars="250"/>
        <w:rPr>
          <w:rFonts w:ascii="宋体" w:hAnsi="宋体"/>
          <w:color w:val="auto"/>
          <w:szCs w:val="21"/>
        </w:rPr>
      </w:pPr>
      <w:r>
        <w:rPr>
          <w:rFonts w:hint="eastAsia" w:ascii="宋体" w:hAnsi="宋体"/>
          <w:color w:val="auto"/>
          <w:szCs w:val="21"/>
        </w:rPr>
        <w:t>给排水专业：规范要求的消防设施未设计；消防水量、水压达不到规范要求；生活给水水量、水压达不到规范要求等。</w:t>
      </w:r>
    </w:p>
    <w:p>
      <w:pPr>
        <w:adjustRightInd w:val="0"/>
        <w:snapToGrid w:val="0"/>
        <w:ind w:firstLine="525" w:firstLineChars="250"/>
        <w:rPr>
          <w:rFonts w:ascii="宋体" w:hAnsi="宋体"/>
          <w:color w:val="auto"/>
          <w:szCs w:val="21"/>
        </w:rPr>
      </w:pPr>
      <w:r>
        <w:rPr>
          <w:rFonts w:hint="eastAsia" w:ascii="宋体" w:hAnsi="宋体"/>
          <w:color w:val="auto"/>
          <w:szCs w:val="21"/>
        </w:rPr>
        <w:t>暖通专业：规范要求的防火排烟设施未设计，排烟风量达不到规范要求，又未采取必要的措施等。</w:t>
      </w:r>
    </w:p>
    <w:p>
      <w:pPr>
        <w:adjustRightInd w:val="0"/>
        <w:snapToGrid w:val="0"/>
        <w:ind w:firstLine="525" w:firstLineChars="250"/>
        <w:rPr>
          <w:rFonts w:ascii="宋体" w:hAnsi="宋体"/>
          <w:color w:val="auto"/>
          <w:szCs w:val="21"/>
        </w:rPr>
      </w:pPr>
      <w:r>
        <w:rPr>
          <w:rFonts w:hint="eastAsia" w:ascii="宋体" w:hAnsi="宋体"/>
          <w:color w:val="auto"/>
          <w:szCs w:val="21"/>
        </w:rPr>
        <w:t>电气专业：变配电、电话、电视、消防、广播音响等系统及各种机房平、剖面设备布置等严重违反规范、标准、规定；配电方案有严重缺陷等。</w:t>
      </w:r>
    </w:p>
    <w:p>
      <w:pPr>
        <w:adjustRightInd w:val="0"/>
        <w:snapToGrid w:val="0"/>
        <w:ind w:firstLine="525" w:firstLineChars="250"/>
        <w:rPr>
          <w:rFonts w:ascii="宋体" w:hAnsi="宋体"/>
          <w:color w:val="auto"/>
          <w:szCs w:val="21"/>
        </w:rPr>
      </w:pPr>
      <w:r>
        <w:rPr>
          <w:rFonts w:hint="eastAsia" w:ascii="宋体" w:hAnsi="宋体"/>
          <w:color w:val="auto"/>
          <w:szCs w:val="21"/>
        </w:rPr>
        <w:t>造价专业：提交给甲方的造价文件，经核查后，偏差大于±30%的。</w:t>
      </w:r>
    </w:p>
    <w:p>
      <w:pPr>
        <w:adjustRightInd w:val="0"/>
        <w:snapToGrid w:val="0"/>
        <w:ind w:firstLine="525" w:firstLineChars="250"/>
        <w:rPr>
          <w:rFonts w:ascii="宋体" w:hAnsi="宋体"/>
          <w:color w:val="auto"/>
          <w:szCs w:val="21"/>
        </w:rPr>
      </w:pPr>
    </w:p>
    <w:p>
      <w:pPr>
        <w:adjustRightInd w:val="0"/>
        <w:snapToGrid w:val="0"/>
        <w:ind w:firstLine="527" w:firstLineChars="250"/>
        <w:rPr>
          <w:rFonts w:ascii="宋体" w:hAnsi="宋体"/>
          <w:b/>
          <w:color w:val="auto"/>
          <w:szCs w:val="21"/>
        </w:rPr>
      </w:pPr>
      <w:r>
        <w:rPr>
          <w:rFonts w:hint="eastAsia" w:ascii="宋体" w:hAnsi="宋体"/>
          <w:b/>
          <w:color w:val="auto"/>
          <w:szCs w:val="21"/>
        </w:rPr>
        <w:t>Ⅱ类错误</w:t>
      </w:r>
    </w:p>
    <w:p>
      <w:pPr>
        <w:adjustRightInd w:val="0"/>
        <w:snapToGrid w:val="0"/>
        <w:ind w:firstLine="525" w:firstLineChars="250"/>
        <w:rPr>
          <w:rFonts w:ascii="宋体" w:hAnsi="宋体"/>
          <w:color w:val="auto"/>
          <w:szCs w:val="21"/>
        </w:rPr>
      </w:pPr>
      <w:r>
        <w:rPr>
          <w:rFonts w:hint="eastAsia" w:ascii="宋体" w:hAnsi="宋体"/>
          <w:color w:val="auto"/>
          <w:szCs w:val="21"/>
        </w:rPr>
        <w:t>指设计文件中存在错误，有可能造成施工困难、使用困难或较大经济损失,如：1、违反国家现行技术规范、规定、标准的重要条文；2、设计漏项；3、选用淘汰的设备; 4、出现因设计责任引起的二类变更；5、造价文件失实较严重。</w:t>
      </w:r>
    </w:p>
    <w:p>
      <w:pPr>
        <w:adjustRightInd w:val="0"/>
        <w:snapToGrid w:val="0"/>
        <w:ind w:firstLine="525" w:firstLineChars="250"/>
        <w:rPr>
          <w:rFonts w:ascii="宋体" w:hAnsi="宋体"/>
          <w:color w:val="auto"/>
          <w:szCs w:val="21"/>
        </w:rPr>
      </w:pPr>
      <w:r>
        <w:rPr>
          <w:rFonts w:hint="eastAsia" w:ascii="宋体" w:hAnsi="宋体"/>
          <w:color w:val="auto"/>
          <w:szCs w:val="21"/>
        </w:rPr>
        <w:t>具体按照专业又可分为：</w:t>
      </w:r>
    </w:p>
    <w:p>
      <w:pPr>
        <w:adjustRightInd w:val="0"/>
        <w:snapToGrid w:val="0"/>
        <w:ind w:firstLine="525" w:firstLineChars="250"/>
        <w:rPr>
          <w:rFonts w:ascii="宋体" w:hAnsi="宋体"/>
          <w:color w:val="auto"/>
          <w:szCs w:val="21"/>
        </w:rPr>
      </w:pPr>
      <w:r>
        <w:rPr>
          <w:rFonts w:hint="eastAsia" w:ascii="宋体" w:hAnsi="宋体"/>
          <w:color w:val="auto"/>
          <w:szCs w:val="21"/>
        </w:rPr>
        <w:t>A、设计存在错误，有可能造成施工困难、使用困难或较大经济损失，如：</w:t>
      </w:r>
    </w:p>
    <w:p>
      <w:pPr>
        <w:adjustRightInd w:val="0"/>
        <w:snapToGrid w:val="0"/>
        <w:ind w:firstLine="525" w:firstLineChars="250"/>
        <w:rPr>
          <w:rFonts w:ascii="宋体" w:hAnsi="宋体"/>
          <w:color w:val="auto"/>
          <w:szCs w:val="21"/>
        </w:rPr>
      </w:pPr>
      <w:r>
        <w:rPr>
          <w:rFonts w:hint="eastAsia" w:ascii="宋体" w:hAnsi="宋体"/>
          <w:color w:val="auto"/>
          <w:szCs w:val="21"/>
        </w:rPr>
        <w:t>建筑专业：总平面竖向设计错误；轴线错误或对不上，楼梯碰头；视线计算错误等。</w:t>
      </w:r>
    </w:p>
    <w:p>
      <w:pPr>
        <w:adjustRightInd w:val="0"/>
        <w:snapToGrid w:val="0"/>
        <w:ind w:firstLine="525" w:firstLineChars="250"/>
        <w:rPr>
          <w:rFonts w:ascii="宋体" w:hAnsi="宋体"/>
          <w:color w:val="auto"/>
          <w:szCs w:val="21"/>
        </w:rPr>
      </w:pPr>
      <w:r>
        <w:rPr>
          <w:rFonts w:hint="eastAsia" w:ascii="宋体" w:hAnsi="宋体"/>
          <w:color w:val="auto"/>
          <w:szCs w:val="21"/>
        </w:rPr>
        <w:t>结构专业：计算书未经校对；结构构件安全储备不足；结构与建筑节点不一致等。</w:t>
      </w:r>
    </w:p>
    <w:p>
      <w:pPr>
        <w:adjustRightInd w:val="0"/>
        <w:snapToGrid w:val="0"/>
        <w:ind w:firstLine="525" w:firstLineChars="250"/>
        <w:rPr>
          <w:rFonts w:ascii="宋体" w:hAnsi="宋体"/>
          <w:color w:val="auto"/>
          <w:szCs w:val="21"/>
        </w:rPr>
      </w:pPr>
      <w:r>
        <w:rPr>
          <w:rFonts w:hint="eastAsia" w:ascii="宋体" w:hAnsi="宋体"/>
          <w:color w:val="auto"/>
          <w:szCs w:val="21"/>
        </w:rPr>
        <w:t>给排水专业：由于设计的水塔或水箱高度不够，造成水压不足，出水量不能满足使用要求；高层建筑消防减压、止回等设计不当等。</w:t>
      </w:r>
    </w:p>
    <w:p>
      <w:pPr>
        <w:adjustRightInd w:val="0"/>
        <w:snapToGrid w:val="0"/>
        <w:ind w:firstLine="525" w:firstLineChars="250"/>
        <w:rPr>
          <w:rFonts w:ascii="宋体" w:hAnsi="宋体"/>
          <w:color w:val="auto"/>
          <w:szCs w:val="21"/>
        </w:rPr>
      </w:pPr>
      <w:r>
        <w:rPr>
          <w:rFonts w:hint="eastAsia" w:ascii="宋体" w:hAnsi="宋体"/>
          <w:color w:val="auto"/>
          <w:szCs w:val="21"/>
        </w:rPr>
        <w:t>暖通专业：冷、热负荷计算有重大错误或系统选择不当；膨胀水箱高度低于采暖系统等。</w:t>
      </w:r>
    </w:p>
    <w:p>
      <w:pPr>
        <w:adjustRightInd w:val="0"/>
        <w:snapToGrid w:val="0"/>
        <w:ind w:firstLine="525" w:firstLineChars="250"/>
        <w:rPr>
          <w:rFonts w:ascii="宋体" w:hAnsi="宋体"/>
          <w:color w:val="auto"/>
          <w:szCs w:val="21"/>
        </w:rPr>
      </w:pPr>
      <w:r>
        <w:rPr>
          <w:rFonts w:hint="eastAsia" w:ascii="宋体" w:hAnsi="宋体"/>
          <w:color w:val="auto"/>
          <w:szCs w:val="21"/>
        </w:rPr>
        <w:t>电气专业：选用国家已公布的机电淘汰产品；供配电系统的控制保护，自动控制和自动调节原理图，各站弱电设备之间线路连接图等设计不周或有严重错误；低压配电柜开关与所保护电缆选型不匹配，电缆母线容量不匹配等。</w:t>
      </w:r>
    </w:p>
    <w:p>
      <w:pPr>
        <w:adjustRightInd w:val="0"/>
        <w:snapToGrid w:val="0"/>
        <w:ind w:firstLine="525" w:firstLineChars="250"/>
        <w:rPr>
          <w:rFonts w:ascii="宋体" w:hAnsi="宋体"/>
          <w:color w:val="auto"/>
          <w:szCs w:val="21"/>
        </w:rPr>
      </w:pPr>
      <w:r>
        <w:rPr>
          <w:rFonts w:hint="eastAsia" w:ascii="宋体" w:hAnsi="宋体"/>
          <w:color w:val="auto"/>
          <w:szCs w:val="21"/>
        </w:rPr>
        <w:t>造价专业：提交给甲方的造价文件，经核查后，偏差大于±20%的。</w:t>
      </w:r>
    </w:p>
    <w:p>
      <w:pPr>
        <w:adjustRightInd w:val="0"/>
        <w:snapToGrid w:val="0"/>
        <w:ind w:firstLine="525" w:firstLineChars="250"/>
        <w:rPr>
          <w:rFonts w:ascii="宋体" w:hAnsi="宋体"/>
          <w:color w:val="auto"/>
          <w:szCs w:val="21"/>
        </w:rPr>
      </w:pPr>
      <w:r>
        <w:rPr>
          <w:rFonts w:hint="eastAsia" w:ascii="宋体" w:hAnsi="宋体"/>
          <w:color w:val="auto"/>
          <w:szCs w:val="21"/>
        </w:rPr>
        <w:t>B、严重影响报建：如计容积率面积（包含各个分部）超过允许的误差范围；平立剖面对不上；民防单元面积超过规范。</w:t>
      </w:r>
    </w:p>
    <w:p>
      <w:pPr>
        <w:adjustRightInd w:val="0"/>
        <w:snapToGrid w:val="0"/>
        <w:ind w:firstLine="525" w:firstLineChars="250"/>
        <w:rPr>
          <w:rFonts w:ascii="宋体" w:hAnsi="宋体"/>
          <w:color w:val="auto"/>
          <w:szCs w:val="21"/>
        </w:rPr>
      </w:pPr>
    </w:p>
    <w:p>
      <w:pPr>
        <w:adjustRightInd w:val="0"/>
        <w:snapToGrid w:val="0"/>
        <w:ind w:firstLine="527" w:firstLineChars="250"/>
        <w:rPr>
          <w:rFonts w:ascii="宋体" w:hAnsi="宋体"/>
          <w:b/>
          <w:color w:val="auto"/>
          <w:szCs w:val="21"/>
        </w:rPr>
      </w:pPr>
      <w:r>
        <w:rPr>
          <w:rFonts w:hint="eastAsia" w:ascii="宋体" w:hAnsi="宋体"/>
          <w:b/>
          <w:color w:val="auto"/>
          <w:szCs w:val="21"/>
        </w:rPr>
        <w:t>Ⅲ类错误</w:t>
      </w:r>
    </w:p>
    <w:p>
      <w:pPr>
        <w:adjustRightInd w:val="0"/>
        <w:snapToGrid w:val="0"/>
        <w:ind w:firstLine="525" w:firstLineChars="250"/>
        <w:rPr>
          <w:rFonts w:ascii="宋体" w:hAnsi="宋体"/>
          <w:color w:val="auto"/>
          <w:szCs w:val="21"/>
        </w:rPr>
      </w:pPr>
      <w:r>
        <w:rPr>
          <w:rFonts w:hint="eastAsia" w:ascii="宋体" w:hAnsi="宋体"/>
          <w:color w:val="auto"/>
          <w:szCs w:val="21"/>
        </w:rPr>
        <w:t>设计中局部细节存在不合理或缺点，但对工程决策和质量无重大影响，如：1、违反国家现行技术规范、规定、标准的一般条文；2、设计的流程、系统、平面布置不够合理；3、设备、构造、材料等选用不当；4、重要的数据、计量单位、尺寸出错；5、不符合国家对工程设计文件内容深度及格式的规定要求;6、出现因设计责任引起的三类变更；6、造价文件失实。</w:t>
      </w:r>
    </w:p>
    <w:p>
      <w:pPr>
        <w:adjustRightInd w:val="0"/>
        <w:snapToGrid w:val="0"/>
        <w:ind w:firstLine="525" w:firstLineChars="250"/>
        <w:rPr>
          <w:rFonts w:ascii="宋体" w:hAnsi="宋体"/>
          <w:color w:val="auto"/>
          <w:szCs w:val="21"/>
        </w:rPr>
      </w:pPr>
      <w:r>
        <w:rPr>
          <w:rFonts w:hint="eastAsia" w:ascii="宋体" w:hAnsi="宋体"/>
          <w:color w:val="auto"/>
          <w:szCs w:val="21"/>
        </w:rPr>
        <w:t>具体按照专业又可分为：</w:t>
      </w:r>
    </w:p>
    <w:p>
      <w:pPr>
        <w:adjustRightInd w:val="0"/>
        <w:snapToGrid w:val="0"/>
        <w:ind w:firstLine="525" w:firstLineChars="250"/>
        <w:rPr>
          <w:rFonts w:ascii="宋体" w:hAnsi="宋体"/>
          <w:color w:val="auto"/>
          <w:szCs w:val="21"/>
        </w:rPr>
      </w:pPr>
      <w:r>
        <w:rPr>
          <w:rFonts w:hint="eastAsia" w:ascii="宋体" w:hAnsi="宋体"/>
          <w:color w:val="auto"/>
          <w:szCs w:val="21"/>
        </w:rPr>
        <w:t>A、局部违反规范、标准、规定，但容易修正、且返工量不大，如：</w:t>
      </w:r>
    </w:p>
    <w:p>
      <w:pPr>
        <w:adjustRightInd w:val="0"/>
        <w:snapToGrid w:val="0"/>
        <w:ind w:firstLine="525" w:firstLineChars="250"/>
        <w:rPr>
          <w:rFonts w:ascii="宋体" w:hAnsi="宋体"/>
          <w:color w:val="auto"/>
          <w:szCs w:val="21"/>
        </w:rPr>
      </w:pPr>
      <w:r>
        <w:rPr>
          <w:rFonts w:hint="eastAsia" w:ascii="宋体" w:hAnsi="宋体"/>
          <w:color w:val="auto"/>
          <w:szCs w:val="21"/>
        </w:rPr>
        <w:t>建筑专业：栏杆的高度及强度不符合要求；消防电梯不合防火要求，疏散门宽度不够、管道井不合防火规范等。</w:t>
      </w:r>
    </w:p>
    <w:p>
      <w:pPr>
        <w:adjustRightInd w:val="0"/>
        <w:snapToGrid w:val="0"/>
        <w:ind w:firstLine="525" w:firstLineChars="250"/>
        <w:rPr>
          <w:rFonts w:ascii="宋体" w:hAnsi="宋体"/>
          <w:color w:val="auto"/>
          <w:szCs w:val="21"/>
        </w:rPr>
      </w:pPr>
      <w:r>
        <w:rPr>
          <w:rFonts w:hint="eastAsia" w:ascii="宋体" w:hAnsi="宋体"/>
          <w:color w:val="auto"/>
          <w:szCs w:val="21"/>
        </w:rPr>
        <w:t>结构专业：按简支计算的梁、支座与梁柱整体连接构造用负筋不够；悬挑构件配筋错误等。</w:t>
      </w:r>
    </w:p>
    <w:p>
      <w:pPr>
        <w:adjustRightInd w:val="0"/>
        <w:snapToGrid w:val="0"/>
        <w:ind w:firstLine="525" w:firstLineChars="250"/>
        <w:rPr>
          <w:rFonts w:ascii="宋体" w:hAnsi="宋体"/>
          <w:color w:val="auto"/>
          <w:szCs w:val="21"/>
        </w:rPr>
      </w:pPr>
      <w:r>
        <w:rPr>
          <w:rFonts w:hint="eastAsia" w:ascii="宋体" w:hAnsi="宋体"/>
          <w:color w:val="auto"/>
          <w:szCs w:val="21"/>
        </w:rPr>
        <w:t>给排水专业：生活饮用水管理与非饮用水道连接，未采取防回流污染措施等。</w:t>
      </w:r>
    </w:p>
    <w:p>
      <w:pPr>
        <w:adjustRightInd w:val="0"/>
        <w:snapToGrid w:val="0"/>
        <w:ind w:firstLine="525" w:firstLineChars="250"/>
        <w:rPr>
          <w:rFonts w:ascii="宋体" w:hAnsi="宋体"/>
          <w:color w:val="auto"/>
          <w:szCs w:val="21"/>
        </w:rPr>
      </w:pPr>
      <w:r>
        <w:rPr>
          <w:rFonts w:hint="eastAsia" w:ascii="宋体" w:hAnsi="宋体"/>
          <w:color w:val="auto"/>
          <w:szCs w:val="21"/>
        </w:rPr>
        <w:t>暖通专业：管道井不符合防火规定；穿越防火墙未装防火阀；风管材料及保温材料不符合防火要求等。</w:t>
      </w:r>
    </w:p>
    <w:p>
      <w:pPr>
        <w:adjustRightInd w:val="0"/>
        <w:snapToGrid w:val="0"/>
        <w:ind w:firstLine="525" w:firstLineChars="250"/>
        <w:rPr>
          <w:rFonts w:ascii="宋体" w:hAnsi="宋体"/>
          <w:color w:val="auto"/>
          <w:szCs w:val="21"/>
        </w:rPr>
      </w:pPr>
      <w:r>
        <w:rPr>
          <w:rFonts w:hint="eastAsia" w:ascii="宋体" w:hAnsi="宋体"/>
          <w:color w:val="auto"/>
          <w:szCs w:val="21"/>
        </w:rPr>
        <w:t>电气专业：低压配电级数超过三级；照明系统中单向回路灯和插座数量超过25个；烟、温感探测器位置；自动喷淋、排烟防火等系统连锁方式局部违反规范、标准、规定；双电源未考虑末端切换等。</w:t>
      </w:r>
    </w:p>
    <w:p>
      <w:pPr>
        <w:adjustRightInd w:val="0"/>
        <w:snapToGrid w:val="0"/>
        <w:ind w:firstLine="525" w:firstLineChars="250"/>
        <w:rPr>
          <w:rFonts w:ascii="宋体" w:hAnsi="宋体"/>
          <w:color w:val="auto"/>
          <w:szCs w:val="21"/>
        </w:rPr>
      </w:pPr>
      <w:r>
        <w:rPr>
          <w:rFonts w:hint="eastAsia" w:ascii="宋体" w:hAnsi="宋体"/>
          <w:color w:val="auto"/>
          <w:szCs w:val="21"/>
        </w:rPr>
        <w:t>造价专业：提交给甲方的造价文件，经核查后，偏差大于±10%的。</w:t>
      </w:r>
    </w:p>
    <w:p>
      <w:pPr>
        <w:adjustRightInd w:val="0"/>
        <w:snapToGrid w:val="0"/>
        <w:ind w:firstLine="525" w:firstLineChars="250"/>
        <w:rPr>
          <w:rFonts w:ascii="宋体" w:hAnsi="宋体"/>
          <w:color w:val="auto"/>
          <w:szCs w:val="21"/>
        </w:rPr>
      </w:pPr>
      <w:r>
        <w:rPr>
          <w:rFonts w:hint="eastAsia" w:ascii="宋体" w:hAnsi="宋体"/>
          <w:color w:val="auto"/>
          <w:szCs w:val="21"/>
        </w:rPr>
        <w:t>B、设计不周、构造或用料不当，有可能造成影响局部使用效果，或重要部位尺寸错误，有可能造成严重后果，如：</w:t>
      </w:r>
    </w:p>
    <w:p>
      <w:pPr>
        <w:adjustRightInd w:val="0"/>
        <w:snapToGrid w:val="0"/>
        <w:ind w:firstLine="525" w:firstLineChars="250"/>
        <w:rPr>
          <w:rFonts w:ascii="宋体" w:hAnsi="宋体"/>
          <w:color w:val="auto"/>
          <w:szCs w:val="21"/>
        </w:rPr>
      </w:pPr>
      <w:r>
        <w:rPr>
          <w:rFonts w:hint="eastAsia" w:ascii="宋体" w:hAnsi="宋体"/>
          <w:color w:val="auto"/>
          <w:szCs w:val="21"/>
        </w:rPr>
        <w:t>建筑专业：结构承重部分在建筑图中未完全反映或错误；声光热防水防潮等的技术处理欠妥等。</w:t>
      </w:r>
    </w:p>
    <w:p>
      <w:pPr>
        <w:adjustRightInd w:val="0"/>
        <w:snapToGrid w:val="0"/>
        <w:ind w:firstLine="525" w:firstLineChars="250"/>
        <w:rPr>
          <w:rFonts w:ascii="宋体" w:hAnsi="宋体"/>
          <w:color w:val="auto"/>
          <w:szCs w:val="21"/>
        </w:rPr>
      </w:pPr>
      <w:r>
        <w:rPr>
          <w:rFonts w:hint="eastAsia" w:ascii="宋体" w:hAnsi="宋体"/>
          <w:color w:val="auto"/>
          <w:szCs w:val="21"/>
        </w:rPr>
        <w:t>结构专业:各种门/窗洞高度不符合建筑设计要求，严重影响使用要求；存在明显的未设计部分，影响现场进度；结构标高与建筑面层要求不符；阳台、雨蓬的倾覆安全不够，钢筋混凝土构件配筋与计算书不符；应设置构造钢筋的部位不设或少设。</w:t>
      </w:r>
    </w:p>
    <w:p>
      <w:pPr>
        <w:adjustRightInd w:val="0"/>
        <w:snapToGrid w:val="0"/>
        <w:ind w:firstLine="525" w:firstLineChars="250"/>
        <w:rPr>
          <w:rFonts w:ascii="宋体" w:hAnsi="宋体"/>
          <w:color w:val="auto"/>
          <w:szCs w:val="21"/>
        </w:rPr>
      </w:pPr>
      <w:r>
        <w:rPr>
          <w:rFonts w:hint="eastAsia" w:ascii="宋体" w:hAnsi="宋体"/>
          <w:color w:val="auto"/>
          <w:szCs w:val="21"/>
        </w:rPr>
        <w:t>给排水专业:选用了已淘汰的耗能大的设备。热交换间未考虑检修条件等。</w:t>
      </w:r>
    </w:p>
    <w:p>
      <w:pPr>
        <w:adjustRightInd w:val="0"/>
        <w:snapToGrid w:val="0"/>
        <w:ind w:firstLine="525" w:firstLineChars="250"/>
        <w:rPr>
          <w:rFonts w:ascii="宋体" w:hAnsi="宋体"/>
          <w:color w:val="auto"/>
          <w:szCs w:val="21"/>
        </w:rPr>
      </w:pPr>
      <w:r>
        <w:rPr>
          <w:rFonts w:hint="eastAsia" w:ascii="宋体" w:hAnsi="宋体"/>
          <w:color w:val="auto"/>
          <w:szCs w:val="21"/>
        </w:rPr>
        <w:t>暖通专业:选用了已淘汰的产品；机房布置未考虑检修条件；地下室的机房未考虑设备进出孔；风机的消声、减震处理不当等。</w:t>
      </w:r>
    </w:p>
    <w:p>
      <w:pPr>
        <w:adjustRightInd w:val="0"/>
        <w:snapToGrid w:val="0"/>
        <w:ind w:firstLine="525" w:firstLineChars="250"/>
        <w:rPr>
          <w:rFonts w:ascii="宋体" w:hAnsi="宋体"/>
          <w:color w:val="auto"/>
          <w:szCs w:val="21"/>
        </w:rPr>
      </w:pPr>
      <w:r>
        <w:rPr>
          <w:rFonts w:hint="eastAsia" w:ascii="宋体" w:hAnsi="宋体"/>
          <w:color w:val="auto"/>
          <w:szCs w:val="21"/>
        </w:rPr>
        <w:t>电气专业:强、弱电各种线路布局，设备选型不当，安装图和非标准图制作尺寸以及安装不符等。</w:t>
      </w:r>
    </w:p>
    <w:p>
      <w:pPr>
        <w:adjustRightInd w:val="0"/>
        <w:snapToGrid w:val="0"/>
        <w:ind w:firstLine="525" w:firstLineChars="250"/>
        <w:rPr>
          <w:rFonts w:ascii="宋体" w:hAnsi="宋体"/>
          <w:color w:val="auto"/>
          <w:szCs w:val="21"/>
        </w:rPr>
      </w:pPr>
      <w:r>
        <w:rPr>
          <w:rFonts w:hint="eastAsia" w:ascii="宋体" w:hAnsi="宋体"/>
          <w:color w:val="auto"/>
          <w:szCs w:val="21"/>
        </w:rPr>
        <w:t>C、工种配合严重错误或局部遗漏有可能造成影响使用，或造成施工返工，如梁上预埋孔洞严重影响结构安全。</w:t>
      </w:r>
    </w:p>
    <w:p>
      <w:pPr>
        <w:adjustRightInd w:val="0"/>
        <w:snapToGrid w:val="0"/>
        <w:ind w:firstLine="525" w:firstLineChars="250"/>
        <w:rPr>
          <w:rFonts w:ascii="宋体" w:hAnsi="宋体"/>
          <w:color w:val="auto"/>
          <w:szCs w:val="21"/>
        </w:rPr>
      </w:pPr>
      <w:r>
        <w:rPr>
          <w:rFonts w:hint="eastAsia" w:ascii="宋体" w:hAnsi="宋体"/>
          <w:color w:val="auto"/>
          <w:szCs w:val="21"/>
        </w:rPr>
        <w:t>D、结构专业计算、构造层层加码，造成严重浪费者。如设计荷载取用过大，实际配筋又大于计算要求很多等。</w:t>
      </w:r>
    </w:p>
    <w:p>
      <w:pPr>
        <w:adjustRightInd w:val="0"/>
        <w:snapToGrid w:val="0"/>
        <w:ind w:firstLine="525" w:firstLineChars="250"/>
        <w:rPr>
          <w:rFonts w:ascii="宋体" w:hAnsi="宋体"/>
          <w:color w:val="auto"/>
          <w:szCs w:val="21"/>
        </w:rPr>
      </w:pPr>
      <w:r>
        <w:rPr>
          <w:rFonts w:hint="eastAsia" w:ascii="宋体" w:hAnsi="宋体"/>
          <w:color w:val="auto"/>
          <w:szCs w:val="21"/>
        </w:rPr>
        <w:t>E、影响报建工作的进行；各配套设施建筑或功能区未详细标明或建筑标识不清，影响面积查丈及验收。</w:t>
      </w:r>
    </w:p>
    <w:p>
      <w:pPr>
        <w:adjustRightInd w:val="0"/>
        <w:snapToGrid w:val="0"/>
        <w:ind w:firstLine="525" w:firstLineChars="250"/>
        <w:rPr>
          <w:rFonts w:ascii="宋体" w:hAnsi="宋体"/>
          <w:color w:val="auto"/>
          <w:szCs w:val="21"/>
        </w:rPr>
      </w:pPr>
    </w:p>
    <w:p>
      <w:pPr>
        <w:adjustRightInd w:val="0"/>
        <w:snapToGrid w:val="0"/>
        <w:ind w:firstLine="527" w:firstLineChars="250"/>
        <w:rPr>
          <w:rFonts w:ascii="宋体" w:hAnsi="宋体"/>
          <w:b/>
          <w:color w:val="auto"/>
          <w:szCs w:val="21"/>
        </w:rPr>
      </w:pPr>
      <w:r>
        <w:rPr>
          <w:rFonts w:hint="eastAsia" w:ascii="宋体" w:hAnsi="宋体"/>
          <w:b/>
          <w:color w:val="auto"/>
          <w:szCs w:val="21"/>
        </w:rPr>
        <w:t>Ⅳ类错误</w:t>
      </w:r>
    </w:p>
    <w:p>
      <w:pPr>
        <w:adjustRightInd w:val="0"/>
        <w:snapToGrid w:val="0"/>
        <w:ind w:firstLine="525" w:firstLineChars="250"/>
        <w:rPr>
          <w:rFonts w:ascii="宋体" w:hAnsi="宋体"/>
          <w:color w:val="auto"/>
          <w:szCs w:val="21"/>
        </w:rPr>
      </w:pPr>
      <w:r>
        <w:rPr>
          <w:rFonts w:hint="eastAsia" w:ascii="宋体" w:hAnsi="宋体"/>
          <w:color w:val="auto"/>
          <w:szCs w:val="21"/>
        </w:rPr>
        <w:t>指设计文件编制上的差错，如1、说明表达错误；2、不重要的数据、计量单位、尺寸出错；3、不重要的尺寸线、剖面线、引出线等漏划；4、出现因设计责任引起的四类变更；5、造价文件失实较轻。</w:t>
      </w:r>
    </w:p>
    <w:p>
      <w:pPr>
        <w:adjustRightInd w:val="0"/>
        <w:snapToGrid w:val="0"/>
        <w:ind w:firstLine="525" w:firstLineChars="250"/>
        <w:rPr>
          <w:rFonts w:ascii="宋体" w:hAnsi="宋体"/>
          <w:color w:val="auto"/>
          <w:szCs w:val="21"/>
        </w:rPr>
      </w:pPr>
      <w:r>
        <w:rPr>
          <w:rFonts w:hint="eastAsia" w:ascii="宋体" w:hAnsi="宋体"/>
          <w:color w:val="auto"/>
          <w:szCs w:val="21"/>
        </w:rPr>
        <w:t>按照专业具体分为：</w:t>
      </w:r>
    </w:p>
    <w:p>
      <w:pPr>
        <w:adjustRightInd w:val="0"/>
        <w:snapToGrid w:val="0"/>
        <w:ind w:firstLine="525" w:firstLineChars="250"/>
        <w:rPr>
          <w:rFonts w:ascii="宋体" w:hAnsi="宋体"/>
          <w:color w:val="auto"/>
          <w:szCs w:val="21"/>
        </w:rPr>
      </w:pPr>
      <w:r>
        <w:rPr>
          <w:rFonts w:hint="eastAsia" w:ascii="宋体" w:hAnsi="宋体"/>
          <w:color w:val="auto"/>
          <w:szCs w:val="21"/>
        </w:rPr>
        <w:t>A、容易修正、且不造成使用或安全缺陷，但会给建设单位、施工单位带来麻烦，如：</w:t>
      </w:r>
    </w:p>
    <w:p>
      <w:pPr>
        <w:adjustRightInd w:val="0"/>
        <w:snapToGrid w:val="0"/>
        <w:ind w:firstLine="525" w:firstLineChars="250"/>
        <w:rPr>
          <w:rFonts w:ascii="宋体" w:hAnsi="宋体"/>
          <w:color w:val="auto"/>
          <w:szCs w:val="21"/>
        </w:rPr>
      </w:pPr>
      <w:r>
        <w:rPr>
          <w:rFonts w:hint="eastAsia" w:ascii="宋体" w:hAnsi="宋体"/>
          <w:color w:val="auto"/>
          <w:szCs w:val="21"/>
        </w:rPr>
        <w:t>建筑、结构、水、暖、电各专业；图纸目录不全、表达不够清楚、平立剖面图不一致、一般性尺寸错误或不全、图例或符号不合规定、平面图与系统图不一致等。又如：设计文件、计算书及存档材料的完整性不够；设计说明、图纸目录不全、图例符号表达不合规定；系统图与平面图的一致性的错、漏、碰、缺等。</w:t>
      </w:r>
    </w:p>
    <w:p>
      <w:pPr>
        <w:adjustRightInd w:val="0"/>
        <w:snapToGrid w:val="0"/>
        <w:ind w:firstLine="525" w:firstLineChars="250"/>
        <w:rPr>
          <w:rFonts w:ascii="宋体" w:hAnsi="宋体"/>
          <w:color w:val="auto"/>
          <w:szCs w:val="21"/>
        </w:rPr>
      </w:pPr>
      <w:r>
        <w:rPr>
          <w:rFonts w:hint="eastAsia" w:ascii="宋体" w:hAnsi="宋体"/>
          <w:color w:val="auto"/>
          <w:szCs w:val="21"/>
        </w:rPr>
        <w:t>造价专业：提交给甲方的造价文件，经核查后，偏差大于±5%的。</w:t>
      </w:r>
    </w:p>
    <w:p>
      <w:pPr>
        <w:adjustRightInd w:val="0"/>
        <w:snapToGrid w:val="0"/>
        <w:ind w:firstLine="525" w:firstLineChars="250"/>
        <w:rPr>
          <w:rFonts w:ascii="宋体" w:hAnsi="宋体"/>
          <w:color w:val="auto"/>
          <w:szCs w:val="21"/>
        </w:rPr>
      </w:pPr>
      <w:r>
        <w:rPr>
          <w:rFonts w:hint="eastAsia" w:ascii="宋体" w:hAnsi="宋体"/>
          <w:color w:val="auto"/>
          <w:szCs w:val="21"/>
        </w:rPr>
        <w:t>B、工种配合中的一般性错误，容易修正，且不致造成影响使用效果或安全。</w:t>
      </w:r>
    </w:p>
    <w:p>
      <w:pPr>
        <w:pStyle w:val="210"/>
        <w:spacing w:line="360" w:lineRule="auto"/>
        <w:ind w:firstLine="480"/>
        <w:rPr>
          <w:rFonts w:asciiTheme="minorEastAsia" w:hAnsiTheme="minorEastAsia" w:eastAsiaTheme="minorEastAsia"/>
          <w:color w:val="auto"/>
          <w:sz w:val="24"/>
          <w:szCs w:val="24"/>
        </w:rPr>
      </w:pPr>
    </w:p>
    <w:bookmarkEnd w:id="1040"/>
    <w:sectPr>
      <w:pgSz w:w="12240" w:h="15840"/>
      <w:pgMar w:top="1440" w:right="1440" w:bottom="1440" w:left="1440" w:header="113" w:footer="1020" w:gutter="0"/>
      <w:cols w:space="720" w:num="1"/>
      <w:rtlGutter w:val="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w:panose1 w:val="020B0604020202020204"/>
    <w:charset w:val="00"/>
    <w:family w:val="swiss"/>
    <w:pitch w:val="default"/>
    <w:sig w:usb0="E0002EFF" w:usb1="C000785B" w:usb2="00000009" w:usb3="00000000" w:csb0="400001FF" w:csb1="FFFF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S Sans Serif">
    <w:altName w:val="Segoe Print"/>
    <w:panose1 w:val="00000000000000000000"/>
    <w:charset w:val="00"/>
    <w:family w:val="swiss"/>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Arial Black">
    <w:panose1 w:val="020B0A04020102020204"/>
    <w:charset w:val="00"/>
    <w:family w:val="swiss"/>
    <w:pitch w:val="default"/>
    <w:sig w:usb0="A00002AF" w:usb1="400078FB" w:usb2="00000000" w:usb3="00000000" w:csb0="6000009F" w:csb1="DFD70000"/>
  </w:font>
  <w:font w:name="Consolas">
    <w:panose1 w:val="020B0609020204030204"/>
    <w:charset w:val="00"/>
    <w:family w:val="modern"/>
    <w:pitch w:val="default"/>
    <w:sig w:usb0="E00006FF" w:usb1="0000FCFF" w:usb2="00000001" w:usb3="00000000" w:csb0="6000019F" w:csb1="DFD70000"/>
  </w:font>
  <w:font w:name="华文仿宋">
    <w:altName w:val="仿宋"/>
    <w:panose1 w:val="02010600040101010101"/>
    <w:charset w:val="86"/>
    <w:family w:val="auto"/>
    <w:pitch w:val="default"/>
    <w:sig w:usb0="00000000" w:usb1="00000000" w:usb2="00000010" w:usb3="00000000" w:csb0="0004009F" w:csb1="00000000"/>
  </w:font>
  <w:font w:name="Verdana">
    <w:panose1 w:val="020B0604030504040204"/>
    <w:charset w:val="00"/>
    <w:family w:val="swiss"/>
    <w:pitch w:val="default"/>
    <w:sig w:usb0="A00006FF" w:usb1="4000205B" w:usb2="00000010" w:usb3="00000000" w:csb0="2000019F" w:csb1="00000000"/>
  </w:font>
  <w:font w:name="Lucida Fax">
    <w:altName w:val="Segoe Print"/>
    <w:panose1 w:val="02060602050505020204"/>
    <w:charset w:val="00"/>
    <w:family w:val="roman"/>
    <w:pitch w:val="default"/>
    <w:sig w:usb0="00000000" w:usb1="00000000" w:usb2="00000000" w:usb3="00000000" w:csb0="00000001" w:csb1="00000000"/>
  </w:font>
  <w:font w:name="长城仿宋">
    <w:altName w:val="仿宋"/>
    <w:panose1 w:val="00000000000000000000"/>
    <w:charset w:val="86"/>
    <w:family w:val="modern"/>
    <w:pitch w:val="default"/>
    <w:sig w:usb0="00000000" w:usb1="00000000" w:usb2="00000010" w:usb3="00000000" w:csb0="00040000" w:csb1="00000000"/>
  </w:font>
  <w:font w:name="Calisto MT">
    <w:altName w:val="Segoe Print"/>
    <w:panose1 w:val="00000000000000000000"/>
    <w:charset w:val="00"/>
    <w:family w:val="roman"/>
    <w:pitch w:val="default"/>
    <w:sig w:usb0="00000000" w:usb1="00000000" w:usb2="00000000" w:usb3="00000000" w:csb0="20000001" w:csb1="00000000"/>
  </w:font>
  <w:font w:name="Times New Roman Bold">
    <w:altName w:val="Times New Roman"/>
    <w:panose1 w:val="02020803070505020304"/>
    <w:charset w:val="00"/>
    <w:family w:val="auto"/>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Arial Unicode MS">
    <w:altName w:val="宋体"/>
    <w:panose1 w:val="020B0604020202020204"/>
    <w:charset w:val="86"/>
    <w:family w:val="swiss"/>
    <w:pitch w:val="default"/>
    <w:sig w:usb0="00000000" w:usb1="00000000" w:usb2="0000003F" w:usb3="00000000" w:csb0="003F01FF" w:csb1="00000000"/>
  </w:font>
  <w:font w:name="Arial Bold">
    <w:altName w:val="Arial"/>
    <w:panose1 w:val="020B0704020202020204"/>
    <w:charset w:val="00"/>
    <w:family w:val="auto"/>
    <w:pitch w:val="default"/>
    <w:sig w:usb0="00000000" w:usb1="00000000" w:usb2="00000000" w:usb3="00000000" w:csb0="00000000" w:csb1="00000000"/>
  </w:font>
  <w:font w:name="Helvetica">
    <w:altName w:val="Arial"/>
    <w:panose1 w:val="020B0604020202020204"/>
    <w:charset w:val="00"/>
    <w:family w:val="swiss"/>
    <w:pitch w:val="default"/>
    <w:sig w:usb0="00000000" w:usb1="00000000" w:usb2="00000000" w:usb3="00000000" w:csb0="00000001" w:csb1="00000000"/>
  </w:font>
  <w:font w:name="Adobe 宋体 Std L">
    <w:altName w:val="宋体"/>
    <w:panose1 w:val="00000000000000000000"/>
    <w:charset w:val="00"/>
    <w:family w:val="roman"/>
    <w:pitch w:val="default"/>
    <w:sig w:usb0="00000000" w:usb1="00000000" w:usb2="00000016" w:usb3="00000000" w:csb0="00060007" w:csb1="00000000"/>
  </w:font>
  <w:font w:name="新宋体">
    <w:panose1 w:val="02010609030101010101"/>
    <w:charset w:val="86"/>
    <w:family w:val="modern"/>
    <w:pitch w:val="default"/>
    <w:sig w:usb0="00000203" w:usb1="288F0000" w:usb2="00000006" w:usb3="00000000" w:csb0="00040001" w:csb1="00000000"/>
  </w:font>
  <w:font w:name="方正书宋简体">
    <w:altName w:val="宋体"/>
    <w:panose1 w:val="00000000000000000000"/>
    <w:charset w:val="86"/>
    <w:family w:val="auto"/>
    <w:pitch w:val="default"/>
    <w:sig w:usb0="00000000" w:usb1="00000000" w:usb2="00000010" w:usb3="00000000" w:csb0="00040000" w:csb1="00000000"/>
  </w:font>
  <w:font w:name="Tms Rmn">
    <w:altName w:val="Segoe Print"/>
    <w:panose1 w:val="02020603040505020304"/>
    <w:charset w:val="00"/>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LNUHNF+SimSun">
    <w:altName w:val="微软雅黑"/>
    <w:panose1 w:val="00000000000000000000"/>
    <w:charset w:val="00"/>
    <w:family w:val="roman"/>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华文中宋">
    <w:altName w:val="宋体"/>
    <w:panose1 w:val="02010600040101010101"/>
    <w:charset w:val="86"/>
    <w:family w:val="auto"/>
    <w:pitch w:val="default"/>
    <w:sig w:usb0="00000000" w:usb1="0000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393"/>
      </w:tabs>
      <w:spacing w:after="120"/>
      <w:ind w:firstLine="360"/>
      <w:jc w:val="center"/>
      <w:rPr>
        <w:sz w:val="18"/>
        <w:szCs w:val="18"/>
      </w:rPr>
    </w:pPr>
    <w:r>
      <w:rPr>
        <w:sz w:val="18"/>
      </w:rPr>
      <w:pict>
        <v:shape id="_x0000_s2057" o:spid="_x0000_s2057"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joinstyle="miter"/>
          <v:imagedata o:title=""/>
          <o:lock v:ext="edit"/>
          <v:textbox inset="0mm,0mm,0mm,0mm" style="mso-fit-shape-to-text:t;">
            <w:txbxContent>
              <w:p>
                <w:pPr>
                  <w:pStyle w:val="36"/>
                </w:pPr>
                <w:r>
                  <w:fldChar w:fldCharType="begin"/>
                </w:r>
                <w:r>
                  <w:instrText xml:space="preserve"> PAGE  \* MERGEFORMAT </w:instrText>
                </w:r>
                <w:r>
                  <w:fldChar w:fldCharType="separate"/>
                </w:r>
                <w:r>
                  <w:t>12</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120"/>
      <w:rPr>
        <w:sz w:val="18"/>
        <w:szCs w:val="18"/>
      </w:rPr>
    </w:pPr>
    <w:r>
      <w:rPr>
        <w:sz w:val="18"/>
      </w:rPr>
      <w:pict>
        <v:shape id="_x0000_s2056" o:spid="_x0000_s2056"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joinstyle="miter"/>
          <v:imagedata o:title=""/>
          <o:lock v:ext="edit"/>
          <v:textbox inset="0mm,0mm,0mm,0mm" style="mso-fit-shape-to-text:t;">
            <w:txbxContent>
              <w:p>
                <w:pPr>
                  <w:pStyle w:val="36"/>
                </w:pPr>
                <w:r>
                  <w:fldChar w:fldCharType="begin"/>
                </w:r>
                <w:r>
                  <w:instrText xml:space="preserve"> PAGE  \* MERGEFORMAT </w:instrText>
                </w:r>
                <w:r>
                  <w:fldChar w:fldCharType="separate"/>
                </w:r>
                <w:r>
                  <w:t>61</w:t>
                </w:r>
                <w:r>
                  <w:fldChar w:fldCharType="end"/>
                </w:r>
              </w:p>
            </w:txbxContent>
          </v:textbox>
        </v:shape>
      </w:pict>
    </w:r>
    <w:r>
      <w:rPr>
        <w:sz w:val="18"/>
        <w:szCs w:val="18"/>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20" w:after="120" w:line="200" w:lineRule="exact"/>
      <w:ind w:left="40"/>
      <w:jc w:val="left"/>
      <w:rPr>
        <w:sz w:val="20"/>
      </w:rPr>
    </w:pPr>
    <w:r>
      <w:rPr>
        <w:sz w:val="20"/>
      </w:rPr>
      <w:pict>
        <v:shape id="_x0000_s2058" o:spid="_x0000_s2058"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joinstyle="miter"/>
          <v:imagedata o:title=""/>
          <o:lock v:ext="edit"/>
          <v:textbox inset="0mm,0mm,0mm,0mm" style="mso-fit-shape-to-text:t;">
            <w:txbxContent>
              <w:p>
                <w:pPr>
                  <w:pStyle w:val="36"/>
                </w:pPr>
                <w:r>
                  <w:fldChar w:fldCharType="begin"/>
                </w:r>
                <w:r>
                  <w:instrText xml:space="preserve"> PAGE  \* MERGEFORMAT </w:instrText>
                </w:r>
                <w:r>
                  <w:fldChar w:fldCharType="separate"/>
                </w:r>
                <w:r>
                  <w:t>114</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center"/>
    </w:pPr>
    <w:r>
      <w:rPr>
        <w:lang w:val="en-US"/>
      </w:rPr>
      <w:pict>
        <v:shape id="_x0000_s2066" o:spid="_x0000_s2066" o:spt="202" type="#_x0000_t202" style="position:absolute;left:0pt;margin-top:0pt;height:10.35pt;width:13.55pt;mso-position-horizontal:center;mso-position-horizontal-relative:margin;mso-wrap-style:none;z-index:251659264;mso-width-relative:page;mso-height-relative:page;" filled="f" stroked="f" coordsize="21600,21600">
          <v:path/>
          <v:fill on="f" focussize="0,0"/>
          <v:stroke on="f" joinstyle="miter"/>
          <v:imagedata o:title=""/>
          <o:lock v:ext="edit"/>
          <v:textbox inset="0mm,0mm,0mm,0mm" style="mso-fit-shape-to-text:t;">
            <w:txbxContent>
              <w:p>
                <w:pPr>
                  <w:pStyle w:val="36"/>
                </w:pPr>
                <w:r>
                  <w:fldChar w:fldCharType="begin"/>
                </w:r>
                <w:r>
                  <w:instrText xml:space="preserve"> PAGE  \* MERGEFORMAT </w:instrText>
                </w:r>
                <w:r>
                  <w:fldChar w:fldCharType="separate"/>
                </w:r>
                <w:r>
                  <w:t>137</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6F3534"/>
    <w:multiLevelType w:val="singleLevel"/>
    <w:tmpl w:val="9B6F3534"/>
    <w:lvl w:ilvl="0" w:tentative="0">
      <w:start w:val="6"/>
      <w:numFmt w:val="decimal"/>
      <w:suff w:val="nothing"/>
      <w:lvlText w:val="%1）"/>
      <w:lvlJc w:val="left"/>
    </w:lvl>
  </w:abstractNum>
  <w:abstractNum w:abstractNumId="1">
    <w:nsid w:val="C0BBA91B"/>
    <w:multiLevelType w:val="singleLevel"/>
    <w:tmpl w:val="C0BBA91B"/>
    <w:lvl w:ilvl="0" w:tentative="0">
      <w:start w:val="1"/>
      <w:numFmt w:val="decimal"/>
      <w:suff w:val="nothing"/>
      <w:lvlText w:val="（%1）"/>
      <w:lvlJc w:val="left"/>
    </w:lvl>
  </w:abstractNum>
  <w:abstractNum w:abstractNumId="2">
    <w:nsid w:val="CBC6FA2E"/>
    <w:multiLevelType w:val="multilevel"/>
    <w:tmpl w:val="CBC6FA2E"/>
    <w:lvl w:ilvl="0" w:tentative="0">
      <w:start w:val="1"/>
      <w:numFmt w:val="decimal"/>
      <w:suff w:val="nothing"/>
      <w:lvlText w:val="%1　"/>
      <w:lvlJc w:val="left"/>
      <w:pPr>
        <w:tabs>
          <w:tab w:val="left" w:pos="0"/>
        </w:tabs>
        <w:ind w:left="0" w:firstLine="0"/>
      </w:pPr>
      <w:rPr>
        <w:rFonts w:hint="default" w:ascii="黑体" w:hAnsi="Times New Roman" w:eastAsia="黑体"/>
        <w:b/>
        <w:i w:val="0"/>
        <w:sz w:val="28"/>
        <w:szCs w:val="21"/>
        <w:lang w:val="en-US"/>
      </w:rPr>
    </w:lvl>
    <w:lvl w:ilvl="1" w:tentative="0">
      <w:start w:val="1"/>
      <w:numFmt w:val="decimal"/>
      <w:suff w:val="nothing"/>
      <w:lvlText w:val="%1.%2　"/>
      <w:lvlJc w:val="left"/>
      <w:pPr>
        <w:tabs>
          <w:tab w:val="left" w:pos="0"/>
        </w:tabs>
        <w:ind w:left="105" w:firstLine="0"/>
      </w:pPr>
      <w:rPr>
        <w:rFonts w:hint="default" w:ascii="宋体" w:hAnsi="宋体" w:eastAsia="宋体" w:cs="宋体"/>
        <w:b/>
        <w:bCs w:val="0"/>
        <w:i w:val="0"/>
        <w:iCs w:val="0"/>
        <w:caps w:val="0"/>
        <w:strike w:val="0"/>
        <w:dstrike w:val="0"/>
        <w:vanish w:val="0"/>
        <w:spacing w:val="0"/>
        <w:kern w:val="0"/>
        <w:position w:val="0"/>
        <w:sz w:val="21"/>
        <w:szCs w:val="21"/>
        <w:u w:val="none"/>
        <w:vertAlign w:val="baseline"/>
      </w:rPr>
    </w:lvl>
    <w:lvl w:ilvl="2" w:tentative="0">
      <w:start w:val="1"/>
      <w:numFmt w:val="decimal"/>
      <w:lvlRestart w:val="1"/>
      <w:pStyle w:val="584"/>
      <w:suff w:val="nothing"/>
      <w:lvlText w:val="1.0.%3　"/>
      <w:lvlJc w:val="left"/>
      <w:pPr>
        <w:tabs>
          <w:tab w:val="left" w:pos="0"/>
        </w:tabs>
        <w:ind w:left="0" w:firstLine="0"/>
      </w:pPr>
      <w:rPr>
        <w:rFonts w:hint="default" w:ascii="Times New Roman" w:hAnsi="Times New Roman" w:eastAsia="宋体" w:cs="Times New Roman"/>
        <w:b/>
        <w:i w:val="0"/>
        <w:color w:val="auto"/>
        <w:sz w:val="21"/>
      </w:rPr>
    </w:lvl>
    <w:lvl w:ilvl="3" w:tentative="0">
      <w:start w:val="1"/>
      <w:numFmt w:val="decimal"/>
      <w:suff w:val="nothing"/>
      <w:lvlText w:val="%1.%2.%3.%4　"/>
      <w:lvlJc w:val="left"/>
      <w:pPr>
        <w:ind w:left="851"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3">
    <w:nsid w:val="F0A99418"/>
    <w:multiLevelType w:val="multilevel"/>
    <w:tmpl w:val="F0A99418"/>
    <w:lvl w:ilvl="0" w:tentative="0">
      <w:start w:val="1"/>
      <w:numFmt w:val="decimal"/>
      <w:pStyle w:val="583"/>
      <w:suff w:val="nothing"/>
      <w:lvlText w:val="%1　"/>
      <w:lvlJc w:val="left"/>
      <w:pPr>
        <w:tabs>
          <w:tab w:val="left" w:pos="0"/>
        </w:tabs>
        <w:ind w:left="0" w:firstLine="0"/>
      </w:pPr>
      <w:rPr>
        <w:rFonts w:hint="default" w:ascii="Times New Roman" w:hAnsi="Times New Roman" w:eastAsia="黑体" w:cs="Times New Roman"/>
        <w:b/>
        <w:bCs/>
        <w:i w:val="0"/>
        <w:sz w:val="28"/>
        <w:szCs w:val="21"/>
        <w:lang w:val="en-US"/>
      </w:rPr>
    </w:lvl>
    <w:lvl w:ilvl="1" w:tentative="0">
      <w:start w:val="1"/>
      <w:numFmt w:val="decimal"/>
      <w:pStyle w:val="585"/>
      <w:suff w:val="nothing"/>
      <w:lvlText w:val="%1.%2　"/>
      <w:lvlJc w:val="left"/>
      <w:pPr>
        <w:tabs>
          <w:tab w:val="left" w:pos="0"/>
        </w:tabs>
        <w:ind w:left="105" w:firstLine="0"/>
      </w:pPr>
      <w:rPr>
        <w:rFonts w:hint="default" w:ascii="Times New Roman" w:hAnsi="Times New Roman" w:eastAsia="黑体" w:cs="Times New Roman"/>
        <w:b/>
        <w:bCs w:val="0"/>
        <w:i w:val="0"/>
        <w:iCs w:val="0"/>
        <w:caps w:val="0"/>
        <w:strike w:val="0"/>
        <w:dstrike w:val="0"/>
        <w:vanish w:val="0"/>
        <w:spacing w:val="0"/>
        <w:kern w:val="0"/>
        <w:position w:val="0"/>
        <w:sz w:val="24"/>
        <w:szCs w:val="24"/>
        <w:u w:val="none"/>
        <w:vertAlign w:val="baseline"/>
      </w:rPr>
    </w:lvl>
    <w:lvl w:ilvl="2" w:tentative="0">
      <w:start w:val="1"/>
      <w:numFmt w:val="decimal"/>
      <w:suff w:val="nothing"/>
      <w:lvlText w:val="%1.%2.%3　"/>
      <w:lvlJc w:val="left"/>
      <w:pPr>
        <w:tabs>
          <w:tab w:val="left" w:pos="0"/>
        </w:tabs>
        <w:ind w:left="0" w:firstLine="0"/>
      </w:pPr>
      <w:rPr>
        <w:rFonts w:hint="default" w:ascii="Times New Roman" w:hAnsi="Times New Roman" w:eastAsia="宋体" w:cs="Times New Roman"/>
        <w:b/>
        <w:i w:val="0"/>
        <w:color w:val="auto"/>
        <w:sz w:val="21"/>
      </w:rPr>
    </w:lvl>
    <w:lvl w:ilvl="3" w:tentative="0">
      <w:start w:val="1"/>
      <w:numFmt w:val="decimal"/>
      <w:suff w:val="nothing"/>
      <w:lvlText w:val="%1.%2.%3.%4　"/>
      <w:lvlJc w:val="left"/>
      <w:pPr>
        <w:ind w:left="851"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4">
    <w:nsid w:val="FBEBFCAE"/>
    <w:multiLevelType w:val="multilevel"/>
    <w:tmpl w:val="FBEBFCAE"/>
    <w:lvl w:ilvl="0" w:tentative="0">
      <w:start w:val="1"/>
      <w:numFmt w:val="decimal"/>
      <w:suff w:val="nothing"/>
      <w:lvlText w:val="%1　"/>
      <w:lvlJc w:val="left"/>
      <w:pPr>
        <w:tabs>
          <w:tab w:val="left" w:pos="0"/>
        </w:tabs>
        <w:ind w:left="0" w:firstLine="0"/>
      </w:pPr>
      <w:rPr>
        <w:rFonts w:hint="default" w:ascii="黑体" w:hAnsi="Times New Roman" w:eastAsia="黑体"/>
        <w:b/>
        <w:i w:val="0"/>
        <w:sz w:val="28"/>
        <w:szCs w:val="21"/>
        <w:lang w:val="en-US"/>
      </w:rPr>
    </w:lvl>
    <w:lvl w:ilvl="1" w:tentative="0">
      <w:start w:val="1"/>
      <w:numFmt w:val="decimal"/>
      <w:suff w:val="nothing"/>
      <w:lvlText w:val="%1.%2　"/>
      <w:lvlJc w:val="left"/>
      <w:pPr>
        <w:tabs>
          <w:tab w:val="left" w:pos="0"/>
        </w:tabs>
        <w:ind w:left="105" w:firstLine="0"/>
      </w:pPr>
      <w:rPr>
        <w:rFonts w:hint="default" w:ascii="宋体" w:hAnsi="宋体" w:eastAsia="宋体" w:cs="宋体"/>
        <w:b/>
        <w:bCs w:val="0"/>
        <w:i w:val="0"/>
        <w:iCs w:val="0"/>
        <w:caps w:val="0"/>
        <w:strike w:val="0"/>
        <w:dstrike w:val="0"/>
        <w:vanish w:val="0"/>
        <w:spacing w:val="0"/>
        <w:kern w:val="0"/>
        <w:position w:val="0"/>
        <w:sz w:val="21"/>
        <w:szCs w:val="21"/>
        <w:u w:val="none"/>
        <w:vertAlign w:val="baseline"/>
      </w:rPr>
    </w:lvl>
    <w:lvl w:ilvl="2" w:tentative="0">
      <w:start w:val="1"/>
      <w:numFmt w:val="decimal"/>
      <w:lvlRestart w:val="1"/>
      <w:pStyle w:val="587"/>
      <w:isLgl/>
      <w:lvlText w:val="3.1.%3　"/>
      <w:lvlJc w:val="left"/>
      <w:pPr>
        <w:tabs>
          <w:tab w:val="left" w:pos="420"/>
        </w:tabs>
        <w:ind w:left="0" w:firstLine="0"/>
      </w:pPr>
      <w:rPr>
        <w:rFonts w:hint="default" w:ascii="宋体" w:hAnsi="宋体" w:eastAsia="宋体" w:cs="宋体"/>
        <w:b/>
        <w:i w:val="0"/>
        <w:color w:val="auto"/>
        <w:sz w:val="21"/>
      </w:rPr>
    </w:lvl>
    <w:lvl w:ilvl="3" w:tentative="0">
      <w:start w:val="1"/>
      <w:numFmt w:val="decimal"/>
      <w:suff w:val="nothing"/>
      <w:lvlText w:val="%1.%2.%3.%4　"/>
      <w:lvlJc w:val="left"/>
      <w:pPr>
        <w:ind w:left="851"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5">
    <w:nsid w:val="011B290E"/>
    <w:multiLevelType w:val="multilevel"/>
    <w:tmpl w:val="011B290E"/>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1080"/>
        </w:tabs>
        <w:ind w:left="1080" w:hanging="420"/>
      </w:pPr>
    </w:lvl>
    <w:lvl w:ilvl="2" w:tentative="0">
      <w:start w:val="1"/>
      <w:numFmt w:val="lowerRoman"/>
      <w:lvlText w:val="%3."/>
      <w:lvlJc w:val="right"/>
      <w:pPr>
        <w:tabs>
          <w:tab w:val="left" w:pos="1500"/>
        </w:tabs>
        <w:ind w:left="1500" w:hanging="420"/>
      </w:pPr>
    </w:lvl>
    <w:lvl w:ilvl="3" w:tentative="0">
      <w:start w:val="1"/>
      <w:numFmt w:val="decimal"/>
      <w:lvlText w:val="%4."/>
      <w:lvlJc w:val="left"/>
      <w:pPr>
        <w:tabs>
          <w:tab w:val="left" w:pos="1920"/>
        </w:tabs>
        <w:ind w:left="1920" w:hanging="420"/>
      </w:pPr>
    </w:lvl>
    <w:lvl w:ilvl="4" w:tentative="0">
      <w:start w:val="1"/>
      <w:numFmt w:val="lowerLetter"/>
      <w:lvlText w:val="%5)"/>
      <w:lvlJc w:val="left"/>
      <w:pPr>
        <w:tabs>
          <w:tab w:val="left" w:pos="2340"/>
        </w:tabs>
        <w:ind w:left="2340" w:hanging="420"/>
      </w:pPr>
    </w:lvl>
    <w:lvl w:ilvl="5" w:tentative="0">
      <w:start w:val="1"/>
      <w:numFmt w:val="lowerRoman"/>
      <w:lvlText w:val="%6."/>
      <w:lvlJc w:val="right"/>
      <w:pPr>
        <w:tabs>
          <w:tab w:val="left" w:pos="2760"/>
        </w:tabs>
        <w:ind w:left="2760" w:hanging="420"/>
      </w:pPr>
    </w:lvl>
    <w:lvl w:ilvl="6" w:tentative="0">
      <w:start w:val="1"/>
      <w:numFmt w:val="decimal"/>
      <w:lvlText w:val="%7."/>
      <w:lvlJc w:val="left"/>
      <w:pPr>
        <w:tabs>
          <w:tab w:val="left" w:pos="3180"/>
        </w:tabs>
        <w:ind w:left="3180" w:hanging="420"/>
      </w:pPr>
    </w:lvl>
    <w:lvl w:ilvl="7" w:tentative="0">
      <w:start w:val="1"/>
      <w:numFmt w:val="lowerLetter"/>
      <w:lvlText w:val="%8)"/>
      <w:lvlJc w:val="left"/>
      <w:pPr>
        <w:tabs>
          <w:tab w:val="left" w:pos="3600"/>
        </w:tabs>
        <w:ind w:left="3600" w:hanging="420"/>
      </w:pPr>
    </w:lvl>
    <w:lvl w:ilvl="8" w:tentative="0">
      <w:start w:val="1"/>
      <w:numFmt w:val="lowerRoman"/>
      <w:lvlText w:val="%9."/>
      <w:lvlJc w:val="right"/>
      <w:pPr>
        <w:tabs>
          <w:tab w:val="left" w:pos="4020"/>
        </w:tabs>
        <w:ind w:left="4020" w:hanging="420"/>
      </w:pPr>
    </w:lvl>
  </w:abstractNum>
  <w:abstractNum w:abstractNumId="6">
    <w:nsid w:val="19CF79DD"/>
    <w:multiLevelType w:val="multilevel"/>
    <w:tmpl w:val="19CF79DD"/>
    <w:lvl w:ilvl="0" w:tentative="0">
      <w:start w:val="1"/>
      <w:numFmt w:val="decimal"/>
      <w:lvlText w:val="2.0.%1 "/>
      <w:lvlJc w:val="left"/>
      <w:pPr>
        <w:ind w:left="420" w:hanging="420"/>
      </w:pPr>
      <w:rPr>
        <w:rFonts w:hint="default" w:ascii="Times New Roman" w:hAnsi="Times New Roman" w:eastAsia="宋体" w:cs="Times New Roman"/>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2D3B5F1D"/>
    <w:multiLevelType w:val="multilevel"/>
    <w:tmpl w:val="2D3B5F1D"/>
    <w:lvl w:ilvl="0" w:tentative="0">
      <w:start w:val="1"/>
      <w:numFmt w:val="decimal"/>
      <w:lvlText w:val="%1、"/>
      <w:lvlJc w:val="left"/>
      <w:pPr>
        <w:tabs>
          <w:tab w:val="left" w:pos="840"/>
        </w:tabs>
        <w:ind w:left="840" w:hanging="600"/>
      </w:pPr>
      <w:rPr>
        <w:rFonts w:hint="default"/>
      </w:rPr>
    </w:lvl>
    <w:lvl w:ilvl="1" w:tentative="0">
      <w:start w:val="1"/>
      <w:numFmt w:val="lowerLetter"/>
      <w:lvlText w:val="%2)"/>
      <w:lvlJc w:val="left"/>
      <w:pPr>
        <w:tabs>
          <w:tab w:val="left" w:pos="1080"/>
        </w:tabs>
        <w:ind w:left="1080" w:hanging="420"/>
      </w:pPr>
    </w:lvl>
    <w:lvl w:ilvl="2" w:tentative="0">
      <w:start w:val="1"/>
      <w:numFmt w:val="lowerRoman"/>
      <w:lvlText w:val="%3."/>
      <w:lvlJc w:val="right"/>
      <w:pPr>
        <w:tabs>
          <w:tab w:val="left" w:pos="1500"/>
        </w:tabs>
        <w:ind w:left="1500" w:hanging="420"/>
      </w:pPr>
    </w:lvl>
    <w:lvl w:ilvl="3" w:tentative="0">
      <w:start w:val="1"/>
      <w:numFmt w:val="decimal"/>
      <w:lvlText w:val="%4."/>
      <w:lvlJc w:val="left"/>
      <w:pPr>
        <w:tabs>
          <w:tab w:val="left" w:pos="1920"/>
        </w:tabs>
        <w:ind w:left="1920" w:hanging="420"/>
      </w:pPr>
    </w:lvl>
    <w:lvl w:ilvl="4" w:tentative="0">
      <w:start w:val="1"/>
      <w:numFmt w:val="lowerLetter"/>
      <w:lvlText w:val="%5)"/>
      <w:lvlJc w:val="left"/>
      <w:pPr>
        <w:tabs>
          <w:tab w:val="left" w:pos="2340"/>
        </w:tabs>
        <w:ind w:left="2340" w:hanging="420"/>
      </w:pPr>
    </w:lvl>
    <w:lvl w:ilvl="5" w:tentative="0">
      <w:start w:val="1"/>
      <w:numFmt w:val="lowerRoman"/>
      <w:lvlText w:val="%6."/>
      <w:lvlJc w:val="right"/>
      <w:pPr>
        <w:tabs>
          <w:tab w:val="left" w:pos="2760"/>
        </w:tabs>
        <w:ind w:left="2760" w:hanging="420"/>
      </w:pPr>
    </w:lvl>
    <w:lvl w:ilvl="6" w:tentative="0">
      <w:start w:val="1"/>
      <w:numFmt w:val="decimal"/>
      <w:lvlText w:val="%7."/>
      <w:lvlJc w:val="left"/>
      <w:pPr>
        <w:tabs>
          <w:tab w:val="left" w:pos="3180"/>
        </w:tabs>
        <w:ind w:left="3180" w:hanging="420"/>
      </w:pPr>
    </w:lvl>
    <w:lvl w:ilvl="7" w:tentative="0">
      <w:start w:val="1"/>
      <w:numFmt w:val="lowerLetter"/>
      <w:lvlText w:val="%8)"/>
      <w:lvlJc w:val="left"/>
      <w:pPr>
        <w:tabs>
          <w:tab w:val="left" w:pos="3600"/>
        </w:tabs>
        <w:ind w:left="3600" w:hanging="420"/>
      </w:pPr>
    </w:lvl>
    <w:lvl w:ilvl="8" w:tentative="0">
      <w:start w:val="1"/>
      <w:numFmt w:val="lowerRoman"/>
      <w:lvlText w:val="%9."/>
      <w:lvlJc w:val="right"/>
      <w:pPr>
        <w:tabs>
          <w:tab w:val="left" w:pos="4020"/>
        </w:tabs>
        <w:ind w:left="4020" w:hanging="420"/>
      </w:pPr>
    </w:lvl>
  </w:abstractNum>
  <w:abstractNum w:abstractNumId="8">
    <w:nsid w:val="36301677"/>
    <w:multiLevelType w:val="multilevel"/>
    <w:tmpl w:val="36301677"/>
    <w:lvl w:ilvl="0" w:tentative="0">
      <w:start w:val="1"/>
      <w:numFmt w:val="decimal"/>
      <w:lvlText w:val="%1、"/>
      <w:lvlJc w:val="left"/>
      <w:pPr>
        <w:ind w:left="926" w:hanging="360"/>
      </w:pPr>
      <w:rPr>
        <w:rFonts w:hint="default"/>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pStyle w:val="9"/>
      <w:lvlText w:val="%7."/>
      <w:lvlJc w:val="left"/>
      <w:pPr>
        <w:ind w:left="3506" w:hanging="420"/>
      </w:pPr>
    </w:lvl>
    <w:lvl w:ilvl="7" w:tentative="0">
      <w:start w:val="1"/>
      <w:numFmt w:val="lowerLetter"/>
      <w:pStyle w:val="10"/>
      <w:lvlText w:val="%8)"/>
      <w:lvlJc w:val="left"/>
      <w:pPr>
        <w:ind w:left="3926" w:hanging="420"/>
      </w:pPr>
    </w:lvl>
    <w:lvl w:ilvl="8" w:tentative="0">
      <w:start w:val="1"/>
      <w:numFmt w:val="lowerRoman"/>
      <w:pStyle w:val="11"/>
      <w:lvlText w:val="%9."/>
      <w:lvlJc w:val="right"/>
      <w:pPr>
        <w:ind w:left="4346" w:hanging="420"/>
      </w:pPr>
    </w:lvl>
  </w:abstractNum>
  <w:abstractNum w:abstractNumId="9">
    <w:nsid w:val="39B63B1A"/>
    <w:multiLevelType w:val="multilevel"/>
    <w:tmpl w:val="39B63B1A"/>
    <w:lvl w:ilvl="0" w:tentative="0">
      <w:start w:val="1"/>
      <w:numFmt w:val="decimal"/>
      <w:lvlText w:val="%1、"/>
      <w:lvlJc w:val="left"/>
      <w:pPr>
        <w:tabs>
          <w:tab w:val="left" w:pos="644"/>
        </w:tabs>
        <w:ind w:left="644" w:hanging="360"/>
      </w:pPr>
      <w:rPr>
        <w:rFonts w:hint="default"/>
      </w:rPr>
    </w:lvl>
    <w:lvl w:ilvl="1" w:tentative="0">
      <w:start w:val="1"/>
      <w:numFmt w:val="decimal"/>
      <w:lvlText w:val="%2．"/>
      <w:lvlJc w:val="left"/>
      <w:pPr>
        <w:tabs>
          <w:tab w:val="left" w:pos="1020"/>
        </w:tabs>
        <w:ind w:left="1020" w:hanging="360"/>
      </w:pPr>
      <w:rPr>
        <w:rFonts w:hint="default"/>
      </w:rPr>
    </w:lvl>
    <w:lvl w:ilvl="2" w:tentative="0">
      <w:start w:val="1"/>
      <w:numFmt w:val="lowerRoman"/>
      <w:lvlText w:val="%3."/>
      <w:lvlJc w:val="right"/>
      <w:pPr>
        <w:tabs>
          <w:tab w:val="left" w:pos="1500"/>
        </w:tabs>
        <w:ind w:left="1500" w:hanging="420"/>
      </w:pPr>
    </w:lvl>
    <w:lvl w:ilvl="3" w:tentative="0">
      <w:start w:val="1"/>
      <w:numFmt w:val="decimal"/>
      <w:lvlText w:val="%4."/>
      <w:lvlJc w:val="left"/>
      <w:pPr>
        <w:tabs>
          <w:tab w:val="left" w:pos="1920"/>
        </w:tabs>
        <w:ind w:left="1920" w:hanging="420"/>
      </w:pPr>
    </w:lvl>
    <w:lvl w:ilvl="4" w:tentative="0">
      <w:start w:val="1"/>
      <w:numFmt w:val="lowerLetter"/>
      <w:lvlText w:val="%5)"/>
      <w:lvlJc w:val="left"/>
      <w:pPr>
        <w:tabs>
          <w:tab w:val="left" w:pos="2340"/>
        </w:tabs>
        <w:ind w:left="2340" w:hanging="420"/>
      </w:pPr>
    </w:lvl>
    <w:lvl w:ilvl="5" w:tentative="0">
      <w:start w:val="1"/>
      <w:numFmt w:val="lowerRoman"/>
      <w:lvlText w:val="%6."/>
      <w:lvlJc w:val="right"/>
      <w:pPr>
        <w:tabs>
          <w:tab w:val="left" w:pos="2760"/>
        </w:tabs>
        <w:ind w:left="2760" w:hanging="420"/>
      </w:pPr>
    </w:lvl>
    <w:lvl w:ilvl="6" w:tentative="0">
      <w:start w:val="1"/>
      <w:numFmt w:val="decimal"/>
      <w:lvlText w:val="%7."/>
      <w:lvlJc w:val="left"/>
      <w:pPr>
        <w:tabs>
          <w:tab w:val="left" w:pos="3180"/>
        </w:tabs>
        <w:ind w:left="3180" w:hanging="420"/>
      </w:pPr>
    </w:lvl>
    <w:lvl w:ilvl="7" w:tentative="0">
      <w:start w:val="1"/>
      <w:numFmt w:val="lowerLetter"/>
      <w:lvlText w:val="%8)"/>
      <w:lvlJc w:val="left"/>
      <w:pPr>
        <w:tabs>
          <w:tab w:val="left" w:pos="3600"/>
        </w:tabs>
        <w:ind w:left="3600" w:hanging="420"/>
      </w:pPr>
    </w:lvl>
    <w:lvl w:ilvl="8" w:tentative="0">
      <w:start w:val="1"/>
      <w:numFmt w:val="lowerRoman"/>
      <w:lvlText w:val="%9."/>
      <w:lvlJc w:val="right"/>
      <w:pPr>
        <w:tabs>
          <w:tab w:val="left" w:pos="4020"/>
        </w:tabs>
        <w:ind w:left="4020" w:hanging="420"/>
      </w:pPr>
    </w:lvl>
  </w:abstractNum>
  <w:abstractNum w:abstractNumId="10">
    <w:nsid w:val="6CEA2025"/>
    <w:multiLevelType w:val="multilevel"/>
    <w:tmpl w:val="6CEA2025"/>
    <w:lvl w:ilvl="0" w:tentative="0">
      <w:start w:val="1"/>
      <w:numFmt w:val="none"/>
      <w:pStyle w:val="498"/>
      <w:suff w:val="nothing"/>
      <w:lvlText w:val="%1"/>
      <w:lvlJc w:val="left"/>
      <w:rPr>
        <w:rFonts w:hint="default" w:ascii="Times New Roman" w:hAnsi="Times New Roman" w:cs="Times New Roman"/>
        <w:b/>
        <w:i w:val="0"/>
        <w:sz w:val="21"/>
      </w:rPr>
    </w:lvl>
    <w:lvl w:ilvl="1" w:tentative="0">
      <w:start w:val="1"/>
      <w:numFmt w:val="decimal"/>
      <w:suff w:val="nothing"/>
      <w:lvlText w:val="%1%2　"/>
      <w:lvlJc w:val="left"/>
      <w:rPr>
        <w:rFonts w:hint="eastAsia" w:ascii="黑体" w:hAnsi="Times New Roman" w:eastAsia="黑体" w:cs="Times New Roman"/>
        <w:b w:val="0"/>
        <w:i w:val="0"/>
        <w:sz w:val="21"/>
      </w:rPr>
    </w:lvl>
    <w:lvl w:ilvl="2" w:tentative="0">
      <w:start w:val="1"/>
      <w:numFmt w:val="decimal"/>
      <w:suff w:val="nothing"/>
      <w:lvlText w:val="%1%2.%3　"/>
      <w:lvlJc w:val="left"/>
      <w:rPr>
        <w:rFonts w:hint="eastAsia" w:ascii="黑体" w:hAnsi="Times New Roman" w:eastAsia="黑体" w:cs="Times New Roman"/>
        <w:b w:val="0"/>
        <w:i w:val="0"/>
        <w:sz w:val="21"/>
      </w:rPr>
    </w:lvl>
    <w:lvl w:ilvl="3" w:tentative="0">
      <w:start w:val="1"/>
      <w:numFmt w:val="decimal"/>
      <w:suff w:val="nothing"/>
      <w:lvlText w:val="%1%2.%3.%4　"/>
      <w:lvlJc w:val="left"/>
      <w:rPr>
        <w:rFonts w:hint="eastAsia" w:ascii="黑体" w:hAnsi="Times New Roman" w:eastAsia="黑体" w:cs="Times New Roman"/>
        <w:b w:val="0"/>
        <w:i w:val="0"/>
        <w:sz w:val="21"/>
      </w:rPr>
    </w:lvl>
    <w:lvl w:ilvl="4" w:tentative="0">
      <w:start w:val="1"/>
      <w:numFmt w:val="decimal"/>
      <w:suff w:val="nothing"/>
      <w:lvlText w:val="%1%2.%3.%4.%5　"/>
      <w:lvlJc w:val="left"/>
      <w:rPr>
        <w:rFonts w:hint="eastAsia" w:ascii="黑体" w:hAnsi="Times New Roman" w:eastAsia="黑体" w:cs="Times New Roman"/>
        <w:b w:val="0"/>
        <w:i w:val="0"/>
        <w:sz w:val="21"/>
      </w:rPr>
    </w:lvl>
    <w:lvl w:ilvl="5" w:tentative="0">
      <w:start w:val="1"/>
      <w:numFmt w:val="decimal"/>
      <w:suff w:val="nothing"/>
      <w:lvlText w:val="%1%2.%3.%4.%5.%6　"/>
      <w:lvlJc w:val="left"/>
      <w:rPr>
        <w:rFonts w:hint="eastAsia" w:ascii="黑体" w:hAnsi="Times New Roman" w:eastAsia="黑体" w:cs="Times New Roman"/>
        <w:b w:val="0"/>
        <w:i w:val="0"/>
        <w:sz w:val="21"/>
      </w:rPr>
    </w:lvl>
    <w:lvl w:ilvl="6" w:tentative="0">
      <w:start w:val="1"/>
      <w:numFmt w:val="decimal"/>
      <w:suff w:val="nothing"/>
      <w:lvlText w:val="%1%2.%3.%4.%5.%6.%7　"/>
      <w:lvlJc w:val="left"/>
      <w:rPr>
        <w:rFonts w:hint="eastAsia" w:ascii="黑体" w:hAnsi="Times New Roman" w:eastAsia="黑体" w:cs="Times New Roman"/>
        <w:b w:val="0"/>
        <w:i w:val="0"/>
        <w:sz w:val="21"/>
      </w:rPr>
    </w:lvl>
    <w:lvl w:ilvl="7" w:tentative="0">
      <w:start w:val="1"/>
      <w:numFmt w:val="decimal"/>
      <w:lvlText w:val="%1.%2.%3.%4.%5.%6.%7.%8"/>
      <w:lvlJc w:val="left"/>
      <w:pPr>
        <w:tabs>
          <w:tab w:val="left" w:pos="4351"/>
        </w:tabs>
        <w:ind w:left="3969" w:hanging="1418"/>
      </w:pPr>
      <w:rPr>
        <w:rFonts w:hint="eastAsia" w:cs="Times New Roman"/>
      </w:rPr>
    </w:lvl>
    <w:lvl w:ilvl="8" w:tentative="0">
      <w:start w:val="1"/>
      <w:numFmt w:val="decimal"/>
      <w:lvlText w:val="%1.%2.%3.%4.%5.%6.%7.%8.%9"/>
      <w:lvlJc w:val="left"/>
      <w:pPr>
        <w:tabs>
          <w:tab w:val="left" w:pos="4777"/>
        </w:tabs>
        <w:ind w:left="4677" w:hanging="1700"/>
      </w:pPr>
      <w:rPr>
        <w:rFonts w:hint="eastAsia" w:cs="Times New Roman"/>
      </w:rPr>
    </w:lvl>
  </w:abstractNum>
  <w:abstractNum w:abstractNumId="11">
    <w:nsid w:val="6F65467A"/>
    <w:multiLevelType w:val="multilevel"/>
    <w:tmpl w:val="6F65467A"/>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7B2610F4"/>
    <w:multiLevelType w:val="singleLevel"/>
    <w:tmpl w:val="7B2610F4"/>
    <w:lvl w:ilvl="0" w:tentative="0">
      <w:start w:val="1"/>
      <w:numFmt w:val="decimal"/>
      <w:suff w:val="nothing"/>
      <w:lvlText w:val="（%1）"/>
      <w:lvlJc w:val="left"/>
    </w:lvl>
  </w:abstractNum>
  <w:num w:numId="1">
    <w:abstractNumId w:val="8"/>
  </w:num>
  <w:num w:numId="2">
    <w:abstractNumId w:val="10"/>
  </w:num>
  <w:num w:numId="3">
    <w:abstractNumId w:val="3"/>
  </w:num>
  <w:num w:numId="4">
    <w:abstractNumId w:val="2"/>
  </w:num>
  <w:num w:numId="5">
    <w:abstractNumId w:val="4"/>
  </w:num>
  <w:num w:numId="6">
    <w:abstractNumId w:val="1"/>
  </w:num>
  <w:num w:numId="7">
    <w:abstractNumId w:val="0"/>
  </w:num>
  <w:num w:numId="8">
    <w:abstractNumId w:val="9"/>
  </w:num>
  <w:num w:numId="9">
    <w:abstractNumId w:val="7"/>
  </w:num>
  <w:num w:numId="10">
    <w:abstractNumId w:val="5"/>
  </w:num>
  <w:num w:numId="11">
    <w:abstractNumId w:val="11"/>
  </w:num>
  <w:num w:numId="12">
    <w:abstractNumId w:val="6"/>
  </w:num>
  <w:num w:numId="13">
    <w:abstractNumId w:val="12"/>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hideSpellingErrors/>
  <w:documentProtection w:enforcement="0"/>
  <w:defaultTabStop w:val="420"/>
  <w:drawingGridHorizontalSpacing w:val="105"/>
  <w:drawingGridVerticalSpacing w:val="38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MjliMTgxZjExZTg3YWMxNmVhZTg3MDc0NDdlYWQwNGQifQ=="/>
  </w:docVars>
  <w:rsids>
    <w:rsidRoot w:val="009B643B"/>
    <w:rsid w:val="00005654"/>
    <w:rsid w:val="000204D4"/>
    <w:rsid w:val="00020F71"/>
    <w:rsid w:val="00022677"/>
    <w:rsid w:val="0002367D"/>
    <w:rsid w:val="00023E26"/>
    <w:rsid w:val="000311F7"/>
    <w:rsid w:val="000312C8"/>
    <w:rsid w:val="0003274E"/>
    <w:rsid w:val="00032D9A"/>
    <w:rsid w:val="00033020"/>
    <w:rsid w:val="00034B38"/>
    <w:rsid w:val="00034D8A"/>
    <w:rsid w:val="00044534"/>
    <w:rsid w:val="0004505C"/>
    <w:rsid w:val="000454F8"/>
    <w:rsid w:val="000563C5"/>
    <w:rsid w:val="00067449"/>
    <w:rsid w:val="00072188"/>
    <w:rsid w:val="00073D1F"/>
    <w:rsid w:val="00076796"/>
    <w:rsid w:val="00080FEB"/>
    <w:rsid w:val="00084478"/>
    <w:rsid w:val="00085454"/>
    <w:rsid w:val="00091D6B"/>
    <w:rsid w:val="000A1701"/>
    <w:rsid w:val="000A5DE8"/>
    <w:rsid w:val="000B5074"/>
    <w:rsid w:val="000B6578"/>
    <w:rsid w:val="000B6E16"/>
    <w:rsid w:val="000C20CF"/>
    <w:rsid w:val="000C2827"/>
    <w:rsid w:val="000D1B85"/>
    <w:rsid w:val="000D70FA"/>
    <w:rsid w:val="000E3793"/>
    <w:rsid w:val="000E4911"/>
    <w:rsid w:val="000E6752"/>
    <w:rsid w:val="0010001F"/>
    <w:rsid w:val="0010192D"/>
    <w:rsid w:val="00101E10"/>
    <w:rsid w:val="00103C5F"/>
    <w:rsid w:val="001057A7"/>
    <w:rsid w:val="001057E5"/>
    <w:rsid w:val="00120DFB"/>
    <w:rsid w:val="00121C64"/>
    <w:rsid w:val="00121CEF"/>
    <w:rsid w:val="00123217"/>
    <w:rsid w:val="00124692"/>
    <w:rsid w:val="00124F52"/>
    <w:rsid w:val="00125064"/>
    <w:rsid w:val="00125EF4"/>
    <w:rsid w:val="001359A6"/>
    <w:rsid w:val="00136491"/>
    <w:rsid w:val="00136ACB"/>
    <w:rsid w:val="00143686"/>
    <w:rsid w:val="00145161"/>
    <w:rsid w:val="00146D8C"/>
    <w:rsid w:val="00153C4B"/>
    <w:rsid w:val="00154782"/>
    <w:rsid w:val="001571C9"/>
    <w:rsid w:val="001612D2"/>
    <w:rsid w:val="00162C9F"/>
    <w:rsid w:val="00165D9A"/>
    <w:rsid w:val="001743ED"/>
    <w:rsid w:val="0017732E"/>
    <w:rsid w:val="00177BD2"/>
    <w:rsid w:val="00182396"/>
    <w:rsid w:val="00184084"/>
    <w:rsid w:val="001921CC"/>
    <w:rsid w:val="001A5133"/>
    <w:rsid w:val="001A647A"/>
    <w:rsid w:val="001B084F"/>
    <w:rsid w:val="001B141E"/>
    <w:rsid w:val="001B1518"/>
    <w:rsid w:val="001B1555"/>
    <w:rsid w:val="001B25F4"/>
    <w:rsid w:val="001B3DB2"/>
    <w:rsid w:val="001C4206"/>
    <w:rsid w:val="001C6298"/>
    <w:rsid w:val="001D22B4"/>
    <w:rsid w:val="001D3607"/>
    <w:rsid w:val="001E31B0"/>
    <w:rsid w:val="001E7A44"/>
    <w:rsid w:val="001E7E6C"/>
    <w:rsid w:val="001F0167"/>
    <w:rsid w:val="001F0EEC"/>
    <w:rsid w:val="001F49D6"/>
    <w:rsid w:val="001F7CE8"/>
    <w:rsid w:val="0020143E"/>
    <w:rsid w:val="00204CB7"/>
    <w:rsid w:val="00212C75"/>
    <w:rsid w:val="002130B4"/>
    <w:rsid w:val="00217F55"/>
    <w:rsid w:val="0022015D"/>
    <w:rsid w:val="002260BF"/>
    <w:rsid w:val="0023616B"/>
    <w:rsid w:val="0024055A"/>
    <w:rsid w:val="0024170C"/>
    <w:rsid w:val="00243F12"/>
    <w:rsid w:val="0024779C"/>
    <w:rsid w:val="002608F5"/>
    <w:rsid w:val="00262811"/>
    <w:rsid w:val="00262E3F"/>
    <w:rsid w:val="00263768"/>
    <w:rsid w:val="002658C0"/>
    <w:rsid w:val="00270B5E"/>
    <w:rsid w:val="00274BFB"/>
    <w:rsid w:val="002917E8"/>
    <w:rsid w:val="002958BD"/>
    <w:rsid w:val="002A053A"/>
    <w:rsid w:val="002A6644"/>
    <w:rsid w:val="002B244E"/>
    <w:rsid w:val="002B7018"/>
    <w:rsid w:val="002B7E40"/>
    <w:rsid w:val="002C3584"/>
    <w:rsid w:val="002C5530"/>
    <w:rsid w:val="002C65B1"/>
    <w:rsid w:val="002D39F1"/>
    <w:rsid w:val="002E037A"/>
    <w:rsid w:val="002E1214"/>
    <w:rsid w:val="002E260F"/>
    <w:rsid w:val="002F0B64"/>
    <w:rsid w:val="00300824"/>
    <w:rsid w:val="00301E5D"/>
    <w:rsid w:val="0032144D"/>
    <w:rsid w:val="003254F4"/>
    <w:rsid w:val="00326C67"/>
    <w:rsid w:val="0033179A"/>
    <w:rsid w:val="003343D8"/>
    <w:rsid w:val="00346EFB"/>
    <w:rsid w:val="003505FA"/>
    <w:rsid w:val="00353CE0"/>
    <w:rsid w:val="00354C88"/>
    <w:rsid w:val="00355D76"/>
    <w:rsid w:val="00355ED6"/>
    <w:rsid w:val="003701AE"/>
    <w:rsid w:val="00370FED"/>
    <w:rsid w:val="0037646F"/>
    <w:rsid w:val="00381A77"/>
    <w:rsid w:val="00381C77"/>
    <w:rsid w:val="00382EAF"/>
    <w:rsid w:val="003848CC"/>
    <w:rsid w:val="0038541F"/>
    <w:rsid w:val="00386050"/>
    <w:rsid w:val="00386354"/>
    <w:rsid w:val="00391F07"/>
    <w:rsid w:val="0039361E"/>
    <w:rsid w:val="0039743F"/>
    <w:rsid w:val="003A4E51"/>
    <w:rsid w:val="003B0245"/>
    <w:rsid w:val="003B5095"/>
    <w:rsid w:val="003C1B19"/>
    <w:rsid w:val="003C2A81"/>
    <w:rsid w:val="003C30BC"/>
    <w:rsid w:val="003C74C4"/>
    <w:rsid w:val="003C7F9D"/>
    <w:rsid w:val="003D53AB"/>
    <w:rsid w:val="003D6C7C"/>
    <w:rsid w:val="003E00E2"/>
    <w:rsid w:val="003E1143"/>
    <w:rsid w:val="003E2AB6"/>
    <w:rsid w:val="003F6291"/>
    <w:rsid w:val="003F7782"/>
    <w:rsid w:val="003F7EF7"/>
    <w:rsid w:val="00405F97"/>
    <w:rsid w:val="004061FD"/>
    <w:rsid w:val="00411F6D"/>
    <w:rsid w:val="00413421"/>
    <w:rsid w:val="0041613C"/>
    <w:rsid w:val="00427920"/>
    <w:rsid w:val="00430AA5"/>
    <w:rsid w:val="00431754"/>
    <w:rsid w:val="00433977"/>
    <w:rsid w:val="004354CD"/>
    <w:rsid w:val="0044162F"/>
    <w:rsid w:val="00441AD5"/>
    <w:rsid w:val="0044271F"/>
    <w:rsid w:val="00443468"/>
    <w:rsid w:val="00444AA5"/>
    <w:rsid w:val="00447ACD"/>
    <w:rsid w:val="004513D7"/>
    <w:rsid w:val="00457C06"/>
    <w:rsid w:val="0046030E"/>
    <w:rsid w:val="00461159"/>
    <w:rsid w:val="004644B5"/>
    <w:rsid w:val="00465CA1"/>
    <w:rsid w:val="0046687B"/>
    <w:rsid w:val="00466B7E"/>
    <w:rsid w:val="004676BE"/>
    <w:rsid w:val="004811ED"/>
    <w:rsid w:val="00483A0D"/>
    <w:rsid w:val="004A0961"/>
    <w:rsid w:val="004A2AC5"/>
    <w:rsid w:val="004A548A"/>
    <w:rsid w:val="004B183E"/>
    <w:rsid w:val="004B1DEE"/>
    <w:rsid w:val="004B1F19"/>
    <w:rsid w:val="004C01F3"/>
    <w:rsid w:val="004C2160"/>
    <w:rsid w:val="004C38C0"/>
    <w:rsid w:val="004C3BB7"/>
    <w:rsid w:val="004D25CC"/>
    <w:rsid w:val="004D6A29"/>
    <w:rsid w:val="004E03B1"/>
    <w:rsid w:val="004E0FEB"/>
    <w:rsid w:val="004E3B64"/>
    <w:rsid w:val="004E491D"/>
    <w:rsid w:val="004E6049"/>
    <w:rsid w:val="004F094E"/>
    <w:rsid w:val="004F41FA"/>
    <w:rsid w:val="004F5B1C"/>
    <w:rsid w:val="005018D6"/>
    <w:rsid w:val="00502256"/>
    <w:rsid w:val="00503A2A"/>
    <w:rsid w:val="00505C63"/>
    <w:rsid w:val="00506BBB"/>
    <w:rsid w:val="00507CD1"/>
    <w:rsid w:val="0051037E"/>
    <w:rsid w:val="00512348"/>
    <w:rsid w:val="00514591"/>
    <w:rsid w:val="005164DF"/>
    <w:rsid w:val="005209AB"/>
    <w:rsid w:val="00523E40"/>
    <w:rsid w:val="00524230"/>
    <w:rsid w:val="005267D2"/>
    <w:rsid w:val="005318FA"/>
    <w:rsid w:val="005333E0"/>
    <w:rsid w:val="00534A5B"/>
    <w:rsid w:val="00543CE0"/>
    <w:rsid w:val="0055009C"/>
    <w:rsid w:val="00554F09"/>
    <w:rsid w:val="00556C15"/>
    <w:rsid w:val="00557228"/>
    <w:rsid w:val="00557498"/>
    <w:rsid w:val="0056363C"/>
    <w:rsid w:val="00564927"/>
    <w:rsid w:val="00565885"/>
    <w:rsid w:val="00571106"/>
    <w:rsid w:val="00572826"/>
    <w:rsid w:val="00574EB9"/>
    <w:rsid w:val="0058245C"/>
    <w:rsid w:val="00587CB4"/>
    <w:rsid w:val="00594C98"/>
    <w:rsid w:val="00596631"/>
    <w:rsid w:val="00596E03"/>
    <w:rsid w:val="00597123"/>
    <w:rsid w:val="00597AA4"/>
    <w:rsid w:val="005A5D0C"/>
    <w:rsid w:val="005A7072"/>
    <w:rsid w:val="005A718F"/>
    <w:rsid w:val="005B4F7A"/>
    <w:rsid w:val="005C2C54"/>
    <w:rsid w:val="005C4F63"/>
    <w:rsid w:val="005D5AFC"/>
    <w:rsid w:val="005F1E1B"/>
    <w:rsid w:val="005F3C46"/>
    <w:rsid w:val="005F4585"/>
    <w:rsid w:val="005F65E8"/>
    <w:rsid w:val="005F6C85"/>
    <w:rsid w:val="00611B92"/>
    <w:rsid w:val="006218CC"/>
    <w:rsid w:val="00622365"/>
    <w:rsid w:val="0062268C"/>
    <w:rsid w:val="006234A2"/>
    <w:rsid w:val="0062680B"/>
    <w:rsid w:val="00626CE9"/>
    <w:rsid w:val="006306B5"/>
    <w:rsid w:val="00631A7E"/>
    <w:rsid w:val="0065694C"/>
    <w:rsid w:val="00661EB0"/>
    <w:rsid w:val="00663434"/>
    <w:rsid w:val="00664DE8"/>
    <w:rsid w:val="00670D64"/>
    <w:rsid w:val="0067557E"/>
    <w:rsid w:val="00684CC5"/>
    <w:rsid w:val="006872AC"/>
    <w:rsid w:val="00690F24"/>
    <w:rsid w:val="006A0664"/>
    <w:rsid w:val="006A696A"/>
    <w:rsid w:val="006A7C3D"/>
    <w:rsid w:val="006A7F28"/>
    <w:rsid w:val="006B0EAB"/>
    <w:rsid w:val="006B21A9"/>
    <w:rsid w:val="006B34B0"/>
    <w:rsid w:val="006B3CA7"/>
    <w:rsid w:val="006B5214"/>
    <w:rsid w:val="006B5FE6"/>
    <w:rsid w:val="006B6994"/>
    <w:rsid w:val="006C04B9"/>
    <w:rsid w:val="006C6282"/>
    <w:rsid w:val="006D7BC8"/>
    <w:rsid w:val="006E36EA"/>
    <w:rsid w:val="006E41EB"/>
    <w:rsid w:val="006F1764"/>
    <w:rsid w:val="006F5552"/>
    <w:rsid w:val="007004D3"/>
    <w:rsid w:val="0070296B"/>
    <w:rsid w:val="007070D6"/>
    <w:rsid w:val="00712B6C"/>
    <w:rsid w:val="00715D56"/>
    <w:rsid w:val="00716D96"/>
    <w:rsid w:val="00717EFA"/>
    <w:rsid w:val="00722362"/>
    <w:rsid w:val="00732038"/>
    <w:rsid w:val="00732F97"/>
    <w:rsid w:val="0075335A"/>
    <w:rsid w:val="007542AC"/>
    <w:rsid w:val="00764850"/>
    <w:rsid w:val="007701D4"/>
    <w:rsid w:val="007732F9"/>
    <w:rsid w:val="0078228C"/>
    <w:rsid w:val="00791A62"/>
    <w:rsid w:val="00794FE2"/>
    <w:rsid w:val="00795343"/>
    <w:rsid w:val="007959E1"/>
    <w:rsid w:val="007A16D6"/>
    <w:rsid w:val="007A1853"/>
    <w:rsid w:val="007A2660"/>
    <w:rsid w:val="007A52B0"/>
    <w:rsid w:val="007B1A3C"/>
    <w:rsid w:val="007B4E91"/>
    <w:rsid w:val="007B5F5C"/>
    <w:rsid w:val="007C046C"/>
    <w:rsid w:val="007C0900"/>
    <w:rsid w:val="007C6FA1"/>
    <w:rsid w:val="007D4BEF"/>
    <w:rsid w:val="007D51D7"/>
    <w:rsid w:val="007D530F"/>
    <w:rsid w:val="007F0D42"/>
    <w:rsid w:val="00807F79"/>
    <w:rsid w:val="008102BD"/>
    <w:rsid w:val="00811C3B"/>
    <w:rsid w:val="008238A7"/>
    <w:rsid w:val="0082669C"/>
    <w:rsid w:val="00827CF0"/>
    <w:rsid w:val="008309E2"/>
    <w:rsid w:val="0083286E"/>
    <w:rsid w:val="00833002"/>
    <w:rsid w:val="00846500"/>
    <w:rsid w:val="00851771"/>
    <w:rsid w:val="00855272"/>
    <w:rsid w:val="00856A29"/>
    <w:rsid w:val="00860467"/>
    <w:rsid w:val="008609E6"/>
    <w:rsid w:val="00862704"/>
    <w:rsid w:val="00862DBD"/>
    <w:rsid w:val="00864A11"/>
    <w:rsid w:val="00865168"/>
    <w:rsid w:val="0086662C"/>
    <w:rsid w:val="00867859"/>
    <w:rsid w:val="00870241"/>
    <w:rsid w:val="008823D5"/>
    <w:rsid w:val="008855B4"/>
    <w:rsid w:val="00896038"/>
    <w:rsid w:val="008A1100"/>
    <w:rsid w:val="008A18DE"/>
    <w:rsid w:val="008A769D"/>
    <w:rsid w:val="008C54FC"/>
    <w:rsid w:val="008C7135"/>
    <w:rsid w:val="008D4706"/>
    <w:rsid w:val="008D512D"/>
    <w:rsid w:val="008D680C"/>
    <w:rsid w:val="008E2E66"/>
    <w:rsid w:val="008E67F2"/>
    <w:rsid w:val="008F17F0"/>
    <w:rsid w:val="008F3120"/>
    <w:rsid w:val="009065E6"/>
    <w:rsid w:val="00912DEE"/>
    <w:rsid w:val="0091571B"/>
    <w:rsid w:val="0092031F"/>
    <w:rsid w:val="00921628"/>
    <w:rsid w:val="00921CFD"/>
    <w:rsid w:val="00921F14"/>
    <w:rsid w:val="00922936"/>
    <w:rsid w:val="00926BEA"/>
    <w:rsid w:val="009335F6"/>
    <w:rsid w:val="00936630"/>
    <w:rsid w:val="00936D56"/>
    <w:rsid w:val="009461D5"/>
    <w:rsid w:val="00956326"/>
    <w:rsid w:val="009564F0"/>
    <w:rsid w:val="00956675"/>
    <w:rsid w:val="0096206D"/>
    <w:rsid w:val="00963DC0"/>
    <w:rsid w:val="00970FE7"/>
    <w:rsid w:val="00972FB1"/>
    <w:rsid w:val="009733FC"/>
    <w:rsid w:val="00982E11"/>
    <w:rsid w:val="00985C2D"/>
    <w:rsid w:val="009912B8"/>
    <w:rsid w:val="00991406"/>
    <w:rsid w:val="00994E01"/>
    <w:rsid w:val="009A17EB"/>
    <w:rsid w:val="009A2652"/>
    <w:rsid w:val="009A2906"/>
    <w:rsid w:val="009A50A2"/>
    <w:rsid w:val="009A6661"/>
    <w:rsid w:val="009A6FB5"/>
    <w:rsid w:val="009A7B16"/>
    <w:rsid w:val="009B0FF8"/>
    <w:rsid w:val="009B5106"/>
    <w:rsid w:val="009B643B"/>
    <w:rsid w:val="009C4C77"/>
    <w:rsid w:val="009D0E25"/>
    <w:rsid w:val="009D2AF3"/>
    <w:rsid w:val="009D5107"/>
    <w:rsid w:val="009E42CD"/>
    <w:rsid w:val="009F2C4C"/>
    <w:rsid w:val="009F60ED"/>
    <w:rsid w:val="00A0155D"/>
    <w:rsid w:val="00A064A3"/>
    <w:rsid w:val="00A11152"/>
    <w:rsid w:val="00A130F4"/>
    <w:rsid w:val="00A150F8"/>
    <w:rsid w:val="00A21D4A"/>
    <w:rsid w:val="00A22A5A"/>
    <w:rsid w:val="00A23AA2"/>
    <w:rsid w:val="00A24818"/>
    <w:rsid w:val="00A2629F"/>
    <w:rsid w:val="00A26B3D"/>
    <w:rsid w:val="00A2763A"/>
    <w:rsid w:val="00A336B6"/>
    <w:rsid w:val="00A339CA"/>
    <w:rsid w:val="00A35EE7"/>
    <w:rsid w:val="00A36AB0"/>
    <w:rsid w:val="00A41916"/>
    <w:rsid w:val="00A519F3"/>
    <w:rsid w:val="00A54997"/>
    <w:rsid w:val="00A54D89"/>
    <w:rsid w:val="00A6078F"/>
    <w:rsid w:val="00A61B86"/>
    <w:rsid w:val="00A70724"/>
    <w:rsid w:val="00A7172C"/>
    <w:rsid w:val="00A80598"/>
    <w:rsid w:val="00A83891"/>
    <w:rsid w:val="00A84180"/>
    <w:rsid w:val="00A843FE"/>
    <w:rsid w:val="00A856EE"/>
    <w:rsid w:val="00A92DC5"/>
    <w:rsid w:val="00A95A69"/>
    <w:rsid w:val="00AA3B13"/>
    <w:rsid w:val="00AA4260"/>
    <w:rsid w:val="00AA5673"/>
    <w:rsid w:val="00AB2683"/>
    <w:rsid w:val="00AC18A1"/>
    <w:rsid w:val="00AC2610"/>
    <w:rsid w:val="00AD4569"/>
    <w:rsid w:val="00AD5C6E"/>
    <w:rsid w:val="00AE06B8"/>
    <w:rsid w:val="00AE33F5"/>
    <w:rsid w:val="00AF73FF"/>
    <w:rsid w:val="00AF76D7"/>
    <w:rsid w:val="00B00920"/>
    <w:rsid w:val="00B053C2"/>
    <w:rsid w:val="00B0546F"/>
    <w:rsid w:val="00B06E2D"/>
    <w:rsid w:val="00B1001B"/>
    <w:rsid w:val="00B21EBC"/>
    <w:rsid w:val="00B21F70"/>
    <w:rsid w:val="00B22C69"/>
    <w:rsid w:val="00B23627"/>
    <w:rsid w:val="00B25E00"/>
    <w:rsid w:val="00B2622C"/>
    <w:rsid w:val="00B271F8"/>
    <w:rsid w:val="00B323CE"/>
    <w:rsid w:val="00B40180"/>
    <w:rsid w:val="00B42985"/>
    <w:rsid w:val="00B469AA"/>
    <w:rsid w:val="00B5317A"/>
    <w:rsid w:val="00B535AD"/>
    <w:rsid w:val="00B56959"/>
    <w:rsid w:val="00B60F85"/>
    <w:rsid w:val="00B62049"/>
    <w:rsid w:val="00B648DB"/>
    <w:rsid w:val="00B64D20"/>
    <w:rsid w:val="00B72B33"/>
    <w:rsid w:val="00B72BC5"/>
    <w:rsid w:val="00B74590"/>
    <w:rsid w:val="00B753C5"/>
    <w:rsid w:val="00B906E0"/>
    <w:rsid w:val="00B92F4B"/>
    <w:rsid w:val="00B95FAA"/>
    <w:rsid w:val="00BA0B5D"/>
    <w:rsid w:val="00BA3F2C"/>
    <w:rsid w:val="00BC1138"/>
    <w:rsid w:val="00BC4761"/>
    <w:rsid w:val="00BC6533"/>
    <w:rsid w:val="00BC7BF0"/>
    <w:rsid w:val="00BD2BFF"/>
    <w:rsid w:val="00BD75BC"/>
    <w:rsid w:val="00BE614E"/>
    <w:rsid w:val="00BF5962"/>
    <w:rsid w:val="00BF6156"/>
    <w:rsid w:val="00BF6F42"/>
    <w:rsid w:val="00C01BB9"/>
    <w:rsid w:val="00C03918"/>
    <w:rsid w:val="00C058B3"/>
    <w:rsid w:val="00C12F51"/>
    <w:rsid w:val="00C13ABB"/>
    <w:rsid w:val="00C14D6A"/>
    <w:rsid w:val="00C17DE1"/>
    <w:rsid w:val="00C21DF0"/>
    <w:rsid w:val="00C235C1"/>
    <w:rsid w:val="00C24328"/>
    <w:rsid w:val="00C24A53"/>
    <w:rsid w:val="00C25414"/>
    <w:rsid w:val="00C46A49"/>
    <w:rsid w:val="00C50475"/>
    <w:rsid w:val="00C51D20"/>
    <w:rsid w:val="00C52FEF"/>
    <w:rsid w:val="00C55818"/>
    <w:rsid w:val="00C61811"/>
    <w:rsid w:val="00C63E1D"/>
    <w:rsid w:val="00C67A03"/>
    <w:rsid w:val="00C703C6"/>
    <w:rsid w:val="00C70D42"/>
    <w:rsid w:val="00C75F42"/>
    <w:rsid w:val="00C77FE6"/>
    <w:rsid w:val="00C8156B"/>
    <w:rsid w:val="00C81CEE"/>
    <w:rsid w:val="00C86494"/>
    <w:rsid w:val="00C93518"/>
    <w:rsid w:val="00CA3220"/>
    <w:rsid w:val="00CA749D"/>
    <w:rsid w:val="00CA7649"/>
    <w:rsid w:val="00CB0251"/>
    <w:rsid w:val="00CB55A6"/>
    <w:rsid w:val="00CC48D3"/>
    <w:rsid w:val="00CC6BBD"/>
    <w:rsid w:val="00CC76DB"/>
    <w:rsid w:val="00CD03DD"/>
    <w:rsid w:val="00CD1FBE"/>
    <w:rsid w:val="00CD6675"/>
    <w:rsid w:val="00CE4BEB"/>
    <w:rsid w:val="00CF0359"/>
    <w:rsid w:val="00CF08BC"/>
    <w:rsid w:val="00CF14F1"/>
    <w:rsid w:val="00CF27C0"/>
    <w:rsid w:val="00CF51FC"/>
    <w:rsid w:val="00D00010"/>
    <w:rsid w:val="00D018E3"/>
    <w:rsid w:val="00D0378C"/>
    <w:rsid w:val="00D05114"/>
    <w:rsid w:val="00D12A83"/>
    <w:rsid w:val="00D13BE5"/>
    <w:rsid w:val="00D2129D"/>
    <w:rsid w:val="00D3044E"/>
    <w:rsid w:val="00D30A9B"/>
    <w:rsid w:val="00D33EB3"/>
    <w:rsid w:val="00D35DD9"/>
    <w:rsid w:val="00D36C4B"/>
    <w:rsid w:val="00D44CBD"/>
    <w:rsid w:val="00D45551"/>
    <w:rsid w:val="00D45FAC"/>
    <w:rsid w:val="00D476CF"/>
    <w:rsid w:val="00D47960"/>
    <w:rsid w:val="00D52A40"/>
    <w:rsid w:val="00D54079"/>
    <w:rsid w:val="00D540BE"/>
    <w:rsid w:val="00D54908"/>
    <w:rsid w:val="00D5750D"/>
    <w:rsid w:val="00D61D7A"/>
    <w:rsid w:val="00D621E6"/>
    <w:rsid w:val="00D71F00"/>
    <w:rsid w:val="00D77687"/>
    <w:rsid w:val="00D80A58"/>
    <w:rsid w:val="00D87F6E"/>
    <w:rsid w:val="00D90D68"/>
    <w:rsid w:val="00D94D10"/>
    <w:rsid w:val="00D95894"/>
    <w:rsid w:val="00D97082"/>
    <w:rsid w:val="00D97390"/>
    <w:rsid w:val="00DA4A9F"/>
    <w:rsid w:val="00DA4F79"/>
    <w:rsid w:val="00DA5B2E"/>
    <w:rsid w:val="00DA664D"/>
    <w:rsid w:val="00DB12F7"/>
    <w:rsid w:val="00DC05CC"/>
    <w:rsid w:val="00DC14DF"/>
    <w:rsid w:val="00DC2E92"/>
    <w:rsid w:val="00DC5020"/>
    <w:rsid w:val="00DC5683"/>
    <w:rsid w:val="00DD2150"/>
    <w:rsid w:val="00DD45B9"/>
    <w:rsid w:val="00DE29BF"/>
    <w:rsid w:val="00E02B8A"/>
    <w:rsid w:val="00E037A1"/>
    <w:rsid w:val="00E052A5"/>
    <w:rsid w:val="00E06A27"/>
    <w:rsid w:val="00E11095"/>
    <w:rsid w:val="00E21D08"/>
    <w:rsid w:val="00E2554E"/>
    <w:rsid w:val="00E33C6C"/>
    <w:rsid w:val="00E36C1D"/>
    <w:rsid w:val="00E4283A"/>
    <w:rsid w:val="00E50CC7"/>
    <w:rsid w:val="00E51907"/>
    <w:rsid w:val="00E61AEB"/>
    <w:rsid w:val="00E62589"/>
    <w:rsid w:val="00E63C6F"/>
    <w:rsid w:val="00E7156D"/>
    <w:rsid w:val="00E72795"/>
    <w:rsid w:val="00E72C83"/>
    <w:rsid w:val="00E76973"/>
    <w:rsid w:val="00E81476"/>
    <w:rsid w:val="00E85AC0"/>
    <w:rsid w:val="00E8671F"/>
    <w:rsid w:val="00E86CA1"/>
    <w:rsid w:val="00E87D95"/>
    <w:rsid w:val="00E9796B"/>
    <w:rsid w:val="00EB20DC"/>
    <w:rsid w:val="00EC10CF"/>
    <w:rsid w:val="00EC267A"/>
    <w:rsid w:val="00ED0234"/>
    <w:rsid w:val="00EE22A8"/>
    <w:rsid w:val="00EE420C"/>
    <w:rsid w:val="00EF013E"/>
    <w:rsid w:val="00EF30F8"/>
    <w:rsid w:val="00EF4FB1"/>
    <w:rsid w:val="00F01BE8"/>
    <w:rsid w:val="00F02546"/>
    <w:rsid w:val="00F04C7C"/>
    <w:rsid w:val="00F04F4A"/>
    <w:rsid w:val="00F10F69"/>
    <w:rsid w:val="00F11799"/>
    <w:rsid w:val="00F137BA"/>
    <w:rsid w:val="00F22237"/>
    <w:rsid w:val="00F22A98"/>
    <w:rsid w:val="00F276CB"/>
    <w:rsid w:val="00F27D19"/>
    <w:rsid w:val="00F31FD3"/>
    <w:rsid w:val="00F457F6"/>
    <w:rsid w:val="00F516F3"/>
    <w:rsid w:val="00F52545"/>
    <w:rsid w:val="00F57410"/>
    <w:rsid w:val="00F64493"/>
    <w:rsid w:val="00F64ABA"/>
    <w:rsid w:val="00F654C6"/>
    <w:rsid w:val="00F65F80"/>
    <w:rsid w:val="00F728E6"/>
    <w:rsid w:val="00F80DEE"/>
    <w:rsid w:val="00F840C7"/>
    <w:rsid w:val="00F85953"/>
    <w:rsid w:val="00F906CD"/>
    <w:rsid w:val="00F9263C"/>
    <w:rsid w:val="00F955FE"/>
    <w:rsid w:val="00F96A4D"/>
    <w:rsid w:val="00F974B7"/>
    <w:rsid w:val="00FA5FF0"/>
    <w:rsid w:val="00FA7F3D"/>
    <w:rsid w:val="00FB04EE"/>
    <w:rsid w:val="00FB5182"/>
    <w:rsid w:val="00FB6F11"/>
    <w:rsid w:val="00FC621D"/>
    <w:rsid w:val="00FC70B3"/>
    <w:rsid w:val="00FE0E98"/>
    <w:rsid w:val="00FE2C00"/>
    <w:rsid w:val="00FE5D85"/>
    <w:rsid w:val="00FE717E"/>
    <w:rsid w:val="00FE7DC5"/>
    <w:rsid w:val="00FF013C"/>
    <w:rsid w:val="00FF24D5"/>
    <w:rsid w:val="00FF6E43"/>
    <w:rsid w:val="06D33DE7"/>
    <w:rsid w:val="076B31DA"/>
    <w:rsid w:val="0A8E182F"/>
    <w:rsid w:val="0C1D0813"/>
    <w:rsid w:val="0C8632B7"/>
    <w:rsid w:val="168B7D38"/>
    <w:rsid w:val="168D6F99"/>
    <w:rsid w:val="1A735080"/>
    <w:rsid w:val="1EA63630"/>
    <w:rsid w:val="1F1F382D"/>
    <w:rsid w:val="20DD23DD"/>
    <w:rsid w:val="212B02A4"/>
    <w:rsid w:val="232B6774"/>
    <w:rsid w:val="24BB62D9"/>
    <w:rsid w:val="25705B8F"/>
    <w:rsid w:val="26436741"/>
    <w:rsid w:val="28232243"/>
    <w:rsid w:val="28A82888"/>
    <w:rsid w:val="28F765AC"/>
    <w:rsid w:val="29AB6313"/>
    <w:rsid w:val="2BAD4593"/>
    <w:rsid w:val="2C6B68C9"/>
    <w:rsid w:val="2CF409C8"/>
    <w:rsid w:val="2EC667B9"/>
    <w:rsid w:val="2F342A24"/>
    <w:rsid w:val="30D20969"/>
    <w:rsid w:val="31E073C1"/>
    <w:rsid w:val="3487790E"/>
    <w:rsid w:val="3CAE31DE"/>
    <w:rsid w:val="3D333EC8"/>
    <w:rsid w:val="3D5151C1"/>
    <w:rsid w:val="42B80EA6"/>
    <w:rsid w:val="47715A3A"/>
    <w:rsid w:val="490A1142"/>
    <w:rsid w:val="4C5E7653"/>
    <w:rsid w:val="4D1B1F75"/>
    <w:rsid w:val="4D9F17A7"/>
    <w:rsid w:val="503C2246"/>
    <w:rsid w:val="50453A98"/>
    <w:rsid w:val="51286E90"/>
    <w:rsid w:val="5198253B"/>
    <w:rsid w:val="5836349C"/>
    <w:rsid w:val="596B6097"/>
    <w:rsid w:val="5A761F59"/>
    <w:rsid w:val="6547100E"/>
    <w:rsid w:val="67E0180D"/>
    <w:rsid w:val="6D5841E8"/>
    <w:rsid w:val="6EFA1300"/>
    <w:rsid w:val="71FF6DFA"/>
    <w:rsid w:val="73A17281"/>
    <w:rsid w:val="760449E2"/>
    <w:rsid w:val="792AB290"/>
    <w:rsid w:val="7AFB19E6"/>
    <w:rsid w:val="7BCD71C5"/>
    <w:rsid w:val="7C404136"/>
    <w:rsid w:val="7D551BBA"/>
    <w:rsid w:val="7E5285CC"/>
    <w:rsid w:val="7EBA265B"/>
    <w:rsid w:val="7F2FA8F5"/>
    <w:rsid w:val="7FF9A171"/>
    <w:rsid w:val="B7FFCCA6"/>
    <w:rsid w:val="D9770036"/>
    <w:rsid w:val="EFFFE15A"/>
    <w:rsid w:val="F4EDF5DE"/>
    <w:rsid w:val="FCF69401"/>
    <w:rsid w:val="FCFF367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1"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nhideWhenUsed="0" w:uiPriority="39" w:semiHidden="0" w:name="toc 3"/>
    <w:lsdException w:qFormat="1" w:uiPriority="1" w:semiHidden="0" w:name="toc 4"/>
    <w:lsdException w:qFormat="1" w:uiPriority="0" w:semiHidden="0" w:name="toc 5"/>
    <w:lsdException w:qFormat="1" w:uiPriority="0" w:semiHidden="0" w:name="toc 6"/>
    <w:lsdException w:qFormat="1" w:uiPriority="0" w:semiHidden="0" w:name="toc 7"/>
    <w:lsdException w:qFormat="1" w:uiPriority="0" w:semiHidden="0" w:name="toc 8"/>
    <w:lsdException w:qFormat="1" w:uiPriority="0" w:semiHidden="0" w:name="toc 9"/>
    <w:lsdException w:qFormat="1" w:unhideWhenUsed="0" w:uiPriority="0" w:semiHidden="0" w:name="Normal Indent"/>
    <w:lsdException w:qFormat="1" w:uiPriority="0" w:semiHidden="0" w:name="footnote text"/>
    <w:lsdException w:qFormat="1" w:uiPriority="0" w:semiHidden="0" w:name="annotation text"/>
    <w:lsdException w:qFormat="1" w:uiPriority="0"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iPriority="0" w:semiHidden="0" w:name="annotation reference"/>
    <w:lsdException w:uiPriority="99"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iPriority="99" w:name="table of authorities"/>
    <w:lsdException w:uiPriority="99" w:name="macro"/>
    <w:lsdException w:uiPriority="99" w:name="toa heading"/>
    <w:lsdException w:qFormat="1" w:unhideWhenUsed="0" w:uiPriority="0" w:semiHidden="0" w:name="List"/>
    <w:lsdException w:qFormat="1" w:unhideWhenUsed="0" w:uiPriority="0" w:semiHidden="0" w:name="List Bullet"/>
    <w:lsdException w:uiPriority="99" w:name="List Number"/>
    <w:lsdException w:qFormat="1" w:unhideWhenUsed="0" w:uiPriority="0" w:semiHidden="0" w:name="List 2"/>
    <w:lsdException w:qFormat="1" w:unhideWhenUsed="0" w:uiPriority="0" w:semiHidden="0" w:name="List 3"/>
    <w:lsdException w:uiPriority="99" w:name="List 4"/>
    <w:lsdException w:uiPriority="99" w:name="List 5"/>
    <w:lsdException w:qFormat="1" w:unhideWhenUsed="0" w:uiPriority="0" w:semiHidden="0"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iPriority="1" w:semiHidden="0" w:name="Body Text"/>
    <w:lsdException w:qFormat="1" w:unhideWhenUsed="0" w:uiPriority="0" w:semiHidden="0" w:name="Body Text Indent"/>
    <w:lsdException w:qFormat="1" w:unhideWhenUsed="0" w:uiPriority="0" w:semiHidden="0"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iPriority="0" w:semiHidden="0" w:name="FollowedHyperlink"/>
    <w:lsdException w:qFormat="1" w:unhideWhenUsed="0" w:uiPriority="0" w:semiHidden="0" w:name="Strong"/>
    <w:lsdException w:qFormat="1" w:unhideWhenUsed="0" w:uiPriority="0" w:semiHidden="0" w:name="Emphasis"/>
    <w:lsdException w:qFormat="1" w:uiPriority="99" w:semiHidden="0"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link w:val="253"/>
    <w:qFormat/>
    <w:uiPriority w:val="1"/>
    <w:pPr>
      <w:keepNext/>
      <w:keepLines/>
      <w:spacing w:before="340" w:after="330" w:line="578" w:lineRule="auto"/>
      <w:outlineLvl w:val="0"/>
    </w:pPr>
    <w:rPr>
      <w:b/>
      <w:bCs/>
      <w:kern w:val="44"/>
      <w:sz w:val="44"/>
      <w:szCs w:val="44"/>
      <w:lang w:val="zh-CN"/>
    </w:rPr>
  </w:style>
  <w:style w:type="paragraph" w:styleId="4">
    <w:name w:val="heading 2"/>
    <w:basedOn w:val="1"/>
    <w:next w:val="1"/>
    <w:link w:val="239"/>
    <w:qFormat/>
    <w:uiPriority w:val="1"/>
    <w:pPr>
      <w:keepNext/>
      <w:keepLines/>
      <w:spacing w:before="260" w:after="260" w:line="416" w:lineRule="auto"/>
      <w:outlineLvl w:val="1"/>
    </w:pPr>
    <w:rPr>
      <w:rFonts w:ascii="Calibri Light" w:hAnsi="Calibri Light"/>
      <w:b/>
      <w:bCs/>
      <w:kern w:val="0"/>
      <w:sz w:val="32"/>
      <w:szCs w:val="32"/>
      <w:lang w:val="zh-CN"/>
    </w:rPr>
  </w:style>
  <w:style w:type="paragraph" w:styleId="5">
    <w:name w:val="heading 3"/>
    <w:basedOn w:val="1"/>
    <w:next w:val="1"/>
    <w:link w:val="235"/>
    <w:qFormat/>
    <w:uiPriority w:val="0"/>
    <w:pPr>
      <w:keepNext/>
      <w:keepLines/>
      <w:spacing w:before="260" w:after="260" w:line="416" w:lineRule="auto"/>
      <w:outlineLvl w:val="2"/>
    </w:pPr>
    <w:rPr>
      <w:rFonts w:ascii="宋体"/>
      <w:b/>
      <w:bCs/>
      <w:kern w:val="0"/>
      <w:sz w:val="32"/>
      <w:szCs w:val="32"/>
    </w:rPr>
  </w:style>
  <w:style w:type="paragraph" w:styleId="6">
    <w:name w:val="heading 4"/>
    <w:basedOn w:val="1"/>
    <w:next w:val="1"/>
    <w:link w:val="245"/>
    <w:qFormat/>
    <w:uiPriority w:val="0"/>
    <w:pPr>
      <w:keepNext/>
      <w:keepLines/>
      <w:spacing w:before="280" w:after="290" w:line="376" w:lineRule="auto"/>
      <w:outlineLvl w:val="3"/>
    </w:pPr>
    <w:rPr>
      <w:rFonts w:ascii="Calibri Light" w:hAnsi="Calibri Light"/>
      <w:b/>
      <w:bCs/>
      <w:kern w:val="0"/>
      <w:sz w:val="28"/>
      <w:szCs w:val="28"/>
      <w:lang w:val="zh-CN"/>
    </w:rPr>
  </w:style>
  <w:style w:type="paragraph" w:styleId="7">
    <w:name w:val="heading 5"/>
    <w:basedOn w:val="1"/>
    <w:next w:val="1"/>
    <w:link w:val="213"/>
    <w:qFormat/>
    <w:uiPriority w:val="0"/>
    <w:pPr>
      <w:keepNext/>
      <w:keepLines/>
      <w:spacing w:before="280" w:after="290" w:line="376" w:lineRule="auto"/>
      <w:outlineLvl w:val="4"/>
    </w:pPr>
    <w:rPr>
      <w:b/>
      <w:bCs/>
      <w:sz w:val="28"/>
      <w:szCs w:val="28"/>
    </w:rPr>
  </w:style>
  <w:style w:type="paragraph" w:styleId="8">
    <w:name w:val="heading 6"/>
    <w:basedOn w:val="1"/>
    <w:next w:val="1"/>
    <w:link w:val="233"/>
    <w:qFormat/>
    <w:uiPriority w:val="0"/>
    <w:pPr>
      <w:keepNext/>
      <w:keepLines/>
      <w:widowControl/>
      <w:spacing w:before="240" w:after="64" w:line="320" w:lineRule="auto"/>
      <w:jc w:val="left"/>
      <w:outlineLvl w:val="5"/>
    </w:pPr>
    <w:rPr>
      <w:rFonts w:ascii="Cambria" w:hAnsi="Cambria"/>
      <w:b/>
      <w:bCs/>
      <w:kern w:val="0"/>
      <w:sz w:val="24"/>
      <w:szCs w:val="24"/>
    </w:rPr>
  </w:style>
  <w:style w:type="paragraph" w:styleId="9">
    <w:name w:val="heading 7"/>
    <w:basedOn w:val="1"/>
    <w:next w:val="1"/>
    <w:link w:val="258"/>
    <w:qFormat/>
    <w:uiPriority w:val="0"/>
    <w:pPr>
      <w:keepNext/>
      <w:keepLines/>
      <w:numPr>
        <w:ilvl w:val="6"/>
        <w:numId w:val="1"/>
      </w:numPr>
      <w:adjustRightInd w:val="0"/>
      <w:spacing w:before="240" w:after="64" w:line="320" w:lineRule="atLeast"/>
      <w:textAlignment w:val="baseline"/>
      <w:outlineLvl w:val="6"/>
    </w:pPr>
    <w:rPr>
      <w:rFonts w:ascii="Times New Roman" w:hAnsi="Times New Roman"/>
      <w:b/>
      <w:kern w:val="0"/>
      <w:sz w:val="24"/>
      <w:szCs w:val="20"/>
    </w:rPr>
  </w:style>
  <w:style w:type="paragraph" w:styleId="10">
    <w:name w:val="heading 8"/>
    <w:basedOn w:val="1"/>
    <w:next w:val="1"/>
    <w:link w:val="212"/>
    <w:qFormat/>
    <w:uiPriority w:val="0"/>
    <w:pPr>
      <w:keepNext/>
      <w:keepLines/>
      <w:numPr>
        <w:ilvl w:val="7"/>
        <w:numId w:val="1"/>
      </w:numPr>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211"/>
    <w:qFormat/>
    <w:uiPriority w:val="0"/>
    <w:pPr>
      <w:keepNext/>
      <w:keepLines/>
      <w:numPr>
        <w:ilvl w:val="8"/>
        <w:numId w:val="1"/>
      </w:numPr>
      <w:adjustRightInd w:val="0"/>
      <w:spacing w:before="240" w:after="64" w:line="320" w:lineRule="atLeast"/>
      <w:textAlignment w:val="baseline"/>
      <w:outlineLvl w:val="8"/>
    </w:pPr>
    <w:rPr>
      <w:rFonts w:ascii="Arial" w:hAnsi="Arial" w:eastAsia="黑体"/>
      <w:kern w:val="0"/>
      <w:sz w:val="24"/>
      <w:szCs w:val="20"/>
    </w:rPr>
  </w:style>
  <w:style w:type="character" w:default="1" w:styleId="57">
    <w:name w:val="Default Paragraph Font"/>
    <w:semiHidden/>
    <w:unhideWhenUsed/>
    <w:uiPriority w:val="1"/>
  </w:style>
  <w:style w:type="table" w:default="1" w:styleId="55">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link w:val="178"/>
    <w:qFormat/>
    <w:uiPriority w:val="0"/>
    <w:pPr>
      <w:ind w:firstLine="420"/>
    </w:pPr>
    <w:rPr>
      <w:rFonts w:ascii="宋体"/>
      <w:kern w:val="0"/>
      <w:sz w:val="34"/>
      <w:szCs w:val="20"/>
    </w:rPr>
  </w:style>
  <w:style w:type="paragraph" w:styleId="12">
    <w:name w:val="List 3"/>
    <w:basedOn w:val="1"/>
    <w:qFormat/>
    <w:uiPriority w:val="0"/>
    <w:pPr>
      <w:ind w:left="100" w:leftChars="400" w:hanging="200" w:hangingChars="200"/>
    </w:pPr>
    <w:rPr>
      <w:szCs w:val="24"/>
    </w:rPr>
  </w:style>
  <w:style w:type="paragraph" w:styleId="13">
    <w:name w:val="toc 7"/>
    <w:basedOn w:val="1"/>
    <w:next w:val="1"/>
    <w:unhideWhenUsed/>
    <w:qFormat/>
    <w:uiPriority w:val="0"/>
    <w:pPr>
      <w:ind w:left="2520" w:leftChars="1200"/>
    </w:pPr>
  </w:style>
  <w:style w:type="paragraph" w:styleId="14">
    <w:name w:val="caption"/>
    <w:basedOn w:val="1"/>
    <w:next w:val="1"/>
    <w:qFormat/>
    <w:uiPriority w:val="0"/>
    <w:rPr>
      <w:rFonts w:ascii="Cambria" w:hAnsi="Cambria" w:eastAsia="黑体"/>
      <w:sz w:val="20"/>
      <w:szCs w:val="20"/>
    </w:rPr>
  </w:style>
  <w:style w:type="paragraph" w:styleId="15">
    <w:name w:val="List Bullet"/>
    <w:basedOn w:val="1"/>
    <w:qFormat/>
    <w:uiPriority w:val="0"/>
    <w:pPr>
      <w:tabs>
        <w:tab w:val="left" w:pos="360"/>
      </w:tabs>
      <w:ind w:left="360" w:hanging="360"/>
      <w:contextualSpacing/>
    </w:pPr>
    <w:rPr>
      <w:szCs w:val="24"/>
    </w:rPr>
  </w:style>
  <w:style w:type="paragraph" w:styleId="16">
    <w:name w:val="Document Map"/>
    <w:basedOn w:val="1"/>
    <w:link w:val="237"/>
    <w:unhideWhenUsed/>
    <w:qFormat/>
    <w:uiPriority w:val="99"/>
    <w:rPr>
      <w:rFonts w:ascii="宋体"/>
      <w:sz w:val="18"/>
      <w:szCs w:val="18"/>
      <w:lang w:val="zh-CN"/>
    </w:rPr>
  </w:style>
  <w:style w:type="paragraph" w:styleId="17">
    <w:name w:val="annotation text"/>
    <w:basedOn w:val="1"/>
    <w:link w:val="249"/>
    <w:unhideWhenUsed/>
    <w:qFormat/>
    <w:uiPriority w:val="0"/>
    <w:pPr>
      <w:jc w:val="left"/>
    </w:pPr>
    <w:rPr>
      <w:kern w:val="0"/>
      <w:sz w:val="20"/>
      <w:szCs w:val="20"/>
      <w:lang w:val="zh-CN"/>
    </w:rPr>
  </w:style>
  <w:style w:type="paragraph" w:styleId="18">
    <w:name w:val="index 6"/>
    <w:basedOn w:val="1"/>
    <w:next w:val="1"/>
    <w:qFormat/>
    <w:uiPriority w:val="0"/>
    <w:pPr>
      <w:ind w:left="1000" w:leftChars="1000"/>
    </w:pPr>
    <w:rPr>
      <w:szCs w:val="24"/>
    </w:rPr>
  </w:style>
  <w:style w:type="paragraph" w:styleId="19">
    <w:name w:val="Salutation"/>
    <w:basedOn w:val="1"/>
    <w:next w:val="1"/>
    <w:link w:val="192"/>
    <w:qFormat/>
    <w:uiPriority w:val="0"/>
    <w:rPr>
      <w:rFonts w:ascii="宋体" w:hAnsi="Times New Roman" w:eastAsia="仿宋_GB2312"/>
      <w:kern w:val="0"/>
      <w:sz w:val="24"/>
      <w:szCs w:val="20"/>
    </w:rPr>
  </w:style>
  <w:style w:type="paragraph" w:styleId="20">
    <w:name w:val="Body Text 3"/>
    <w:basedOn w:val="1"/>
    <w:link w:val="216"/>
    <w:qFormat/>
    <w:uiPriority w:val="0"/>
    <w:pPr>
      <w:widowControl/>
      <w:jc w:val="left"/>
    </w:pPr>
    <w:rPr>
      <w:rFonts w:ascii="宋体"/>
      <w:kern w:val="0"/>
      <w:sz w:val="24"/>
      <w:szCs w:val="20"/>
    </w:rPr>
  </w:style>
  <w:style w:type="paragraph" w:styleId="21">
    <w:name w:val="Body Text"/>
    <w:basedOn w:val="1"/>
    <w:link w:val="244"/>
    <w:unhideWhenUsed/>
    <w:qFormat/>
    <w:uiPriority w:val="1"/>
    <w:pPr>
      <w:spacing w:after="120"/>
    </w:pPr>
  </w:style>
  <w:style w:type="paragraph" w:styleId="22">
    <w:name w:val="Body Text Indent"/>
    <w:basedOn w:val="1"/>
    <w:link w:val="246"/>
    <w:qFormat/>
    <w:uiPriority w:val="0"/>
    <w:pPr>
      <w:ind w:firstLine="560" w:firstLineChars="200"/>
    </w:pPr>
    <w:rPr>
      <w:rFonts w:ascii="Times New Roman" w:hAnsi="Times New Roman"/>
      <w:kern w:val="0"/>
      <w:sz w:val="28"/>
      <w:szCs w:val="24"/>
      <w:lang w:val="zh-CN"/>
    </w:rPr>
  </w:style>
  <w:style w:type="paragraph" w:styleId="23">
    <w:name w:val="List 2"/>
    <w:basedOn w:val="1"/>
    <w:qFormat/>
    <w:uiPriority w:val="0"/>
    <w:pPr>
      <w:widowControl/>
      <w:ind w:left="840" w:hanging="420"/>
      <w:jc w:val="left"/>
    </w:pPr>
    <w:rPr>
      <w:rFonts w:ascii="宋体"/>
      <w:kern w:val="0"/>
      <w:sz w:val="22"/>
      <w:szCs w:val="20"/>
    </w:rPr>
  </w:style>
  <w:style w:type="paragraph" w:styleId="24">
    <w:name w:val="List Continue"/>
    <w:basedOn w:val="1"/>
    <w:qFormat/>
    <w:uiPriority w:val="0"/>
    <w:pPr>
      <w:widowControl/>
      <w:spacing w:after="120"/>
      <w:ind w:left="420"/>
      <w:jc w:val="left"/>
    </w:pPr>
    <w:rPr>
      <w:rFonts w:ascii="宋体"/>
      <w:kern w:val="0"/>
      <w:sz w:val="22"/>
      <w:szCs w:val="20"/>
    </w:rPr>
  </w:style>
  <w:style w:type="paragraph" w:styleId="25">
    <w:name w:val="Block Text"/>
    <w:basedOn w:val="1"/>
    <w:qFormat/>
    <w:uiPriority w:val="0"/>
    <w:pPr>
      <w:autoSpaceDE w:val="0"/>
      <w:autoSpaceDN w:val="0"/>
      <w:adjustRightInd w:val="0"/>
      <w:spacing w:line="360" w:lineRule="auto"/>
      <w:ind w:left="286" w:right="6" w:firstLine="554"/>
    </w:pPr>
    <w:rPr>
      <w:kern w:val="0"/>
      <w:sz w:val="24"/>
      <w:szCs w:val="24"/>
    </w:rPr>
  </w:style>
  <w:style w:type="paragraph" w:styleId="26">
    <w:name w:val="List Bullet 2"/>
    <w:basedOn w:val="1"/>
    <w:qFormat/>
    <w:uiPriority w:val="0"/>
    <w:pPr>
      <w:widowControl/>
      <w:tabs>
        <w:tab w:val="left" w:pos="360"/>
        <w:tab w:val="left" w:pos="720"/>
      </w:tabs>
      <w:spacing w:after="200" w:line="276" w:lineRule="auto"/>
      <w:ind w:left="720" w:hanging="720"/>
      <w:jc w:val="left"/>
    </w:pPr>
    <w:rPr>
      <w:kern w:val="0"/>
      <w:sz w:val="22"/>
    </w:rPr>
  </w:style>
  <w:style w:type="paragraph" w:styleId="27">
    <w:name w:val="index 4"/>
    <w:basedOn w:val="1"/>
    <w:next w:val="1"/>
    <w:qFormat/>
    <w:uiPriority w:val="0"/>
    <w:pPr>
      <w:ind w:left="600" w:leftChars="600"/>
    </w:pPr>
    <w:rPr>
      <w:szCs w:val="24"/>
    </w:rPr>
  </w:style>
  <w:style w:type="paragraph" w:styleId="28">
    <w:name w:val="toc 5"/>
    <w:basedOn w:val="1"/>
    <w:next w:val="1"/>
    <w:unhideWhenUsed/>
    <w:qFormat/>
    <w:uiPriority w:val="0"/>
    <w:pPr>
      <w:ind w:left="1680" w:leftChars="800"/>
    </w:pPr>
  </w:style>
  <w:style w:type="paragraph" w:styleId="29">
    <w:name w:val="toc 3"/>
    <w:basedOn w:val="1"/>
    <w:next w:val="1"/>
    <w:qFormat/>
    <w:uiPriority w:val="39"/>
    <w:pPr>
      <w:widowControl/>
      <w:ind w:left="400" w:leftChars="400"/>
      <w:jc w:val="left"/>
    </w:pPr>
    <w:rPr>
      <w:kern w:val="0"/>
      <w:sz w:val="20"/>
      <w:szCs w:val="20"/>
    </w:rPr>
  </w:style>
  <w:style w:type="paragraph" w:styleId="30">
    <w:name w:val="Plain Text"/>
    <w:basedOn w:val="1"/>
    <w:next w:val="1"/>
    <w:link w:val="232"/>
    <w:qFormat/>
    <w:uiPriority w:val="0"/>
    <w:pPr>
      <w:widowControl/>
      <w:jc w:val="left"/>
    </w:pPr>
    <w:rPr>
      <w:rFonts w:ascii="宋体" w:hAnsi="Courier New" w:eastAsia="楷体_GB2312"/>
      <w:kern w:val="0"/>
      <w:sz w:val="20"/>
      <w:szCs w:val="20"/>
    </w:rPr>
  </w:style>
  <w:style w:type="paragraph" w:styleId="31">
    <w:name w:val="toc 8"/>
    <w:basedOn w:val="1"/>
    <w:next w:val="1"/>
    <w:unhideWhenUsed/>
    <w:qFormat/>
    <w:uiPriority w:val="0"/>
    <w:pPr>
      <w:ind w:left="2940" w:leftChars="1400"/>
    </w:pPr>
  </w:style>
  <w:style w:type="paragraph" w:styleId="32">
    <w:name w:val="Date"/>
    <w:basedOn w:val="1"/>
    <w:next w:val="1"/>
    <w:link w:val="162"/>
    <w:qFormat/>
    <w:uiPriority w:val="0"/>
    <w:rPr>
      <w:rFonts w:ascii="Times New Roman" w:hAnsi="Times New Roman"/>
      <w:kern w:val="0"/>
      <w:sz w:val="24"/>
      <w:szCs w:val="20"/>
    </w:rPr>
  </w:style>
  <w:style w:type="paragraph" w:styleId="33">
    <w:name w:val="Body Text Indent 2"/>
    <w:basedOn w:val="1"/>
    <w:link w:val="228"/>
    <w:unhideWhenUsed/>
    <w:qFormat/>
    <w:uiPriority w:val="0"/>
    <w:pPr>
      <w:widowControl/>
      <w:spacing w:after="120" w:line="480" w:lineRule="auto"/>
      <w:ind w:left="420" w:leftChars="200"/>
      <w:jc w:val="left"/>
    </w:pPr>
    <w:rPr>
      <w:rFonts w:ascii="Times New Roman" w:hAnsi="Times New Roman"/>
      <w:kern w:val="0"/>
      <w:sz w:val="20"/>
      <w:szCs w:val="20"/>
    </w:rPr>
  </w:style>
  <w:style w:type="paragraph" w:styleId="34">
    <w:name w:val="endnote text"/>
    <w:basedOn w:val="1"/>
    <w:link w:val="188"/>
    <w:qFormat/>
    <w:uiPriority w:val="0"/>
    <w:pPr>
      <w:snapToGrid w:val="0"/>
      <w:jc w:val="left"/>
    </w:pPr>
    <w:rPr>
      <w:rFonts w:ascii="Times New Roman" w:hAnsi="Times New Roman"/>
      <w:kern w:val="0"/>
      <w:sz w:val="20"/>
      <w:szCs w:val="24"/>
    </w:rPr>
  </w:style>
  <w:style w:type="paragraph" w:styleId="35">
    <w:name w:val="Balloon Text"/>
    <w:basedOn w:val="1"/>
    <w:link w:val="248"/>
    <w:unhideWhenUsed/>
    <w:qFormat/>
    <w:uiPriority w:val="0"/>
    <w:rPr>
      <w:rFonts w:ascii="Times New Roman" w:hAnsi="Times New Roman"/>
      <w:kern w:val="0"/>
      <w:sz w:val="18"/>
      <w:szCs w:val="18"/>
      <w:lang w:val="zh-CN"/>
    </w:rPr>
  </w:style>
  <w:style w:type="paragraph" w:styleId="36">
    <w:name w:val="footer"/>
    <w:basedOn w:val="1"/>
    <w:link w:val="240"/>
    <w:unhideWhenUsed/>
    <w:qFormat/>
    <w:uiPriority w:val="99"/>
    <w:pPr>
      <w:tabs>
        <w:tab w:val="center" w:pos="4153"/>
        <w:tab w:val="right" w:pos="8306"/>
      </w:tabs>
      <w:snapToGrid w:val="0"/>
      <w:jc w:val="left"/>
    </w:pPr>
    <w:rPr>
      <w:rFonts w:ascii="Times New Roman" w:hAnsi="Times New Roman"/>
      <w:kern w:val="0"/>
      <w:sz w:val="18"/>
      <w:szCs w:val="18"/>
      <w:lang w:val="zh-CN"/>
    </w:rPr>
  </w:style>
  <w:style w:type="paragraph" w:styleId="37">
    <w:name w:val="header"/>
    <w:basedOn w:val="1"/>
    <w:link w:val="241"/>
    <w:unhideWhenUsed/>
    <w:qFormat/>
    <w:uiPriority w:val="0"/>
    <w:pPr>
      <w:pBdr>
        <w:bottom w:val="single" w:color="auto" w:sz="6" w:space="1"/>
      </w:pBdr>
      <w:tabs>
        <w:tab w:val="center" w:pos="4153"/>
        <w:tab w:val="right" w:pos="8306"/>
      </w:tabs>
      <w:snapToGrid w:val="0"/>
      <w:jc w:val="center"/>
    </w:pPr>
    <w:rPr>
      <w:rFonts w:ascii="Times New Roman" w:hAnsi="Times New Roman"/>
      <w:kern w:val="0"/>
      <w:sz w:val="18"/>
      <w:szCs w:val="18"/>
      <w:lang w:val="zh-CN"/>
    </w:rPr>
  </w:style>
  <w:style w:type="paragraph" w:styleId="38">
    <w:name w:val="toc 1"/>
    <w:basedOn w:val="1"/>
    <w:next w:val="1"/>
    <w:unhideWhenUsed/>
    <w:qFormat/>
    <w:uiPriority w:val="39"/>
    <w:pPr>
      <w:widowControl/>
      <w:tabs>
        <w:tab w:val="right" w:leader="dot" w:pos="8296"/>
      </w:tabs>
      <w:spacing w:after="100" w:line="276" w:lineRule="auto"/>
      <w:jc w:val="center"/>
    </w:pPr>
    <w:rPr>
      <w:rFonts w:ascii="Times New Roman" w:hAnsi="Times New Roman" w:eastAsia="仿宋_GB2312"/>
      <w:b/>
      <w:kern w:val="0"/>
      <w:sz w:val="28"/>
    </w:rPr>
  </w:style>
  <w:style w:type="paragraph" w:styleId="39">
    <w:name w:val="toc 4"/>
    <w:basedOn w:val="1"/>
    <w:next w:val="1"/>
    <w:unhideWhenUsed/>
    <w:qFormat/>
    <w:uiPriority w:val="1"/>
    <w:pPr>
      <w:ind w:left="1260" w:leftChars="600"/>
    </w:pPr>
  </w:style>
  <w:style w:type="paragraph" w:styleId="40">
    <w:name w:val="Subtitle"/>
    <w:basedOn w:val="1"/>
    <w:next w:val="1"/>
    <w:link w:val="196"/>
    <w:qFormat/>
    <w:uiPriority w:val="0"/>
    <w:pPr>
      <w:spacing w:before="240" w:after="60" w:line="312" w:lineRule="auto"/>
      <w:jc w:val="center"/>
      <w:outlineLvl w:val="1"/>
    </w:pPr>
    <w:rPr>
      <w:rFonts w:ascii="Times New Roman" w:hAnsi="Times New Roman"/>
      <w:kern w:val="0"/>
      <w:sz w:val="18"/>
      <w:szCs w:val="18"/>
    </w:rPr>
  </w:style>
  <w:style w:type="paragraph" w:styleId="41">
    <w:name w:val="List"/>
    <w:basedOn w:val="1"/>
    <w:qFormat/>
    <w:uiPriority w:val="0"/>
    <w:pPr>
      <w:widowControl/>
      <w:ind w:left="420" w:hanging="420"/>
      <w:jc w:val="left"/>
    </w:pPr>
    <w:rPr>
      <w:rFonts w:ascii="宋体"/>
      <w:kern w:val="0"/>
      <w:sz w:val="22"/>
      <w:szCs w:val="20"/>
    </w:rPr>
  </w:style>
  <w:style w:type="paragraph" w:styleId="42">
    <w:name w:val="footnote text"/>
    <w:basedOn w:val="1"/>
    <w:unhideWhenUsed/>
    <w:qFormat/>
    <w:uiPriority w:val="0"/>
    <w:pPr>
      <w:spacing w:beforeLines="50"/>
      <w:jc w:val="left"/>
    </w:pPr>
    <w:rPr>
      <w:rFonts w:ascii="Times New Roman" w:hAnsi="Times New Roman"/>
      <w:sz w:val="18"/>
      <w:szCs w:val="18"/>
    </w:rPr>
  </w:style>
  <w:style w:type="paragraph" w:styleId="43">
    <w:name w:val="toc 6"/>
    <w:basedOn w:val="1"/>
    <w:next w:val="1"/>
    <w:unhideWhenUsed/>
    <w:qFormat/>
    <w:uiPriority w:val="0"/>
    <w:pPr>
      <w:ind w:left="2100" w:leftChars="1000"/>
    </w:pPr>
  </w:style>
  <w:style w:type="paragraph" w:styleId="44">
    <w:name w:val="Body Text Indent 3"/>
    <w:basedOn w:val="1"/>
    <w:link w:val="254"/>
    <w:qFormat/>
    <w:uiPriority w:val="0"/>
    <w:pPr>
      <w:widowControl/>
      <w:overflowPunct w:val="0"/>
      <w:autoSpaceDE w:val="0"/>
      <w:autoSpaceDN w:val="0"/>
      <w:adjustRightInd w:val="0"/>
      <w:spacing w:line="360" w:lineRule="auto"/>
      <w:ind w:firstLine="540"/>
      <w:textAlignment w:val="baseline"/>
    </w:pPr>
    <w:rPr>
      <w:rFonts w:ascii="宋体" w:hAnsi="MS Sans Serif"/>
      <w:color w:val="000000"/>
      <w:kern w:val="0"/>
      <w:sz w:val="24"/>
      <w:szCs w:val="20"/>
    </w:rPr>
  </w:style>
  <w:style w:type="paragraph" w:styleId="45">
    <w:name w:val="toc 2"/>
    <w:basedOn w:val="1"/>
    <w:next w:val="1"/>
    <w:unhideWhenUsed/>
    <w:qFormat/>
    <w:uiPriority w:val="39"/>
    <w:pPr>
      <w:widowControl/>
      <w:spacing w:after="100" w:line="276" w:lineRule="auto"/>
      <w:ind w:left="220"/>
      <w:jc w:val="left"/>
    </w:pPr>
    <w:rPr>
      <w:rFonts w:ascii="Times New Roman" w:hAnsi="Times New Roman" w:eastAsia="仿宋_GB2312"/>
      <w:kern w:val="0"/>
      <w:sz w:val="22"/>
    </w:rPr>
  </w:style>
  <w:style w:type="paragraph" w:styleId="46">
    <w:name w:val="toc 9"/>
    <w:basedOn w:val="1"/>
    <w:next w:val="1"/>
    <w:unhideWhenUsed/>
    <w:qFormat/>
    <w:uiPriority w:val="0"/>
    <w:pPr>
      <w:ind w:left="3360" w:leftChars="1600"/>
    </w:pPr>
  </w:style>
  <w:style w:type="paragraph" w:styleId="47">
    <w:name w:val="Body Text 2"/>
    <w:basedOn w:val="1"/>
    <w:link w:val="218"/>
    <w:qFormat/>
    <w:uiPriority w:val="0"/>
    <w:pPr>
      <w:widowControl/>
      <w:jc w:val="left"/>
    </w:pPr>
    <w:rPr>
      <w:sz w:val="44"/>
      <w:szCs w:val="24"/>
    </w:rPr>
  </w:style>
  <w:style w:type="paragraph" w:styleId="48">
    <w:name w:val="HTML Preformatted"/>
    <w:basedOn w:val="1"/>
    <w:link w:val="25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49">
    <w:name w:val="Normal (Web)"/>
    <w:basedOn w:val="1"/>
    <w:unhideWhenUsed/>
    <w:qFormat/>
    <w:uiPriority w:val="0"/>
    <w:pPr>
      <w:widowControl/>
      <w:spacing w:before="100" w:beforeAutospacing="1" w:after="100" w:afterAutospacing="1"/>
      <w:jc w:val="left"/>
    </w:pPr>
    <w:rPr>
      <w:rFonts w:ascii="宋体" w:hAnsi="宋体" w:cs="宋体"/>
      <w:kern w:val="0"/>
      <w:sz w:val="24"/>
      <w:szCs w:val="24"/>
    </w:rPr>
  </w:style>
  <w:style w:type="paragraph" w:styleId="50">
    <w:name w:val="index 1"/>
    <w:basedOn w:val="1"/>
    <w:next w:val="1"/>
    <w:qFormat/>
    <w:uiPriority w:val="0"/>
    <w:pPr>
      <w:spacing w:line="220" w:lineRule="exact"/>
      <w:jc w:val="center"/>
    </w:pPr>
    <w:rPr>
      <w:rFonts w:ascii="仿宋_GB2312" w:hAnsi="Times New Roman" w:eastAsia="仿宋_GB2312"/>
      <w:szCs w:val="21"/>
    </w:rPr>
  </w:style>
  <w:style w:type="paragraph" w:styleId="51">
    <w:name w:val="Title"/>
    <w:basedOn w:val="1"/>
    <w:next w:val="1"/>
    <w:link w:val="140"/>
    <w:qFormat/>
    <w:uiPriority w:val="0"/>
    <w:pPr>
      <w:spacing w:before="240" w:after="60"/>
      <w:jc w:val="center"/>
      <w:outlineLvl w:val="0"/>
    </w:pPr>
    <w:rPr>
      <w:rFonts w:ascii="Cambria" w:hAnsi="Cambria"/>
      <w:b/>
      <w:bCs/>
      <w:kern w:val="0"/>
      <w:sz w:val="32"/>
      <w:szCs w:val="32"/>
    </w:rPr>
  </w:style>
  <w:style w:type="paragraph" w:styleId="52">
    <w:name w:val="annotation subject"/>
    <w:basedOn w:val="17"/>
    <w:next w:val="17"/>
    <w:link w:val="224"/>
    <w:unhideWhenUsed/>
    <w:qFormat/>
    <w:uiPriority w:val="0"/>
    <w:pPr>
      <w:widowControl/>
    </w:pPr>
    <w:rPr>
      <w:rFonts w:ascii="Times New Roman" w:hAnsi="Times New Roman"/>
      <w:lang w:val="en-US"/>
    </w:rPr>
  </w:style>
  <w:style w:type="paragraph" w:styleId="53">
    <w:name w:val="Body Text First Indent"/>
    <w:basedOn w:val="21"/>
    <w:link w:val="231"/>
    <w:unhideWhenUsed/>
    <w:qFormat/>
    <w:uiPriority w:val="0"/>
    <w:pPr>
      <w:widowControl/>
      <w:ind w:firstLine="420" w:firstLineChars="100"/>
      <w:jc w:val="left"/>
    </w:pPr>
    <w:rPr>
      <w:rFonts w:ascii="Times New Roman" w:hAnsi="Times New Roman"/>
      <w:kern w:val="0"/>
      <w:sz w:val="20"/>
      <w:szCs w:val="20"/>
    </w:rPr>
  </w:style>
  <w:style w:type="paragraph" w:styleId="54">
    <w:name w:val="Body Text First Indent 2"/>
    <w:basedOn w:val="22"/>
    <w:link w:val="540"/>
    <w:qFormat/>
    <w:uiPriority w:val="0"/>
    <w:pPr>
      <w:spacing w:after="120"/>
      <w:ind w:left="420" w:leftChars="200" w:firstLine="420"/>
    </w:pPr>
    <w:rPr>
      <w:rFonts w:ascii="Calibri" w:hAnsi="Calibri"/>
      <w:sz w:val="20"/>
      <w:lang w:val="en-US"/>
    </w:rPr>
  </w:style>
  <w:style w:type="table" w:styleId="56">
    <w:name w:val="Table Grid"/>
    <w:basedOn w:val="5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58">
    <w:name w:val="Strong"/>
    <w:qFormat/>
    <w:uiPriority w:val="0"/>
    <w:rPr>
      <w:b/>
      <w:bCs/>
    </w:rPr>
  </w:style>
  <w:style w:type="character" w:styleId="59">
    <w:name w:val="endnote reference"/>
    <w:qFormat/>
    <w:uiPriority w:val="0"/>
    <w:rPr>
      <w:vertAlign w:val="superscript"/>
    </w:rPr>
  </w:style>
  <w:style w:type="character" w:styleId="60">
    <w:name w:val="page number"/>
    <w:qFormat/>
    <w:uiPriority w:val="0"/>
  </w:style>
  <w:style w:type="character" w:styleId="61">
    <w:name w:val="FollowedHyperlink"/>
    <w:unhideWhenUsed/>
    <w:qFormat/>
    <w:uiPriority w:val="0"/>
    <w:rPr>
      <w:color w:val="000000"/>
      <w:u w:val="none"/>
    </w:rPr>
  </w:style>
  <w:style w:type="character" w:styleId="62">
    <w:name w:val="Emphasis"/>
    <w:qFormat/>
    <w:uiPriority w:val="0"/>
    <w:rPr>
      <w:rFonts w:ascii="Arial Black" w:hAnsi="Arial Black" w:eastAsia="黑体"/>
      <w:b/>
      <w:spacing w:val="0"/>
      <w:sz w:val="21"/>
      <w:lang w:eastAsia="zh-CN"/>
    </w:rPr>
  </w:style>
  <w:style w:type="character" w:styleId="63">
    <w:name w:val="HTML Definition"/>
    <w:qFormat/>
    <w:uiPriority w:val="0"/>
    <w:rPr>
      <w:i/>
    </w:rPr>
  </w:style>
  <w:style w:type="character" w:styleId="64">
    <w:name w:val="Hyperlink"/>
    <w:unhideWhenUsed/>
    <w:qFormat/>
    <w:uiPriority w:val="99"/>
    <w:rPr>
      <w:color w:val="6D6D6D"/>
      <w:u w:val="none"/>
      <w:shd w:val="clear" w:color="auto" w:fill="auto"/>
    </w:rPr>
  </w:style>
  <w:style w:type="character" w:styleId="65">
    <w:name w:val="HTML Code"/>
    <w:qFormat/>
    <w:uiPriority w:val="0"/>
    <w:rPr>
      <w:rFonts w:hint="default" w:ascii="Consolas" w:hAnsi="Consolas" w:eastAsia="Consolas" w:cs="Consolas"/>
      <w:color w:val="C7254E"/>
      <w:sz w:val="21"/>
      <w:szCs w:val="21"/>
      <w:bdr w:val="single" w:color="E1E1E1" w:sz="6" w:space="0"/>
      <w:shd w:val="clear" w:color="auto" w:fill="F9F2F4"/>
    </w:rPr>
  </w:style>
  <w:style w:type="character" w:styleId="66">
    <w:name w:val="annotation reference"/>
    <w:unhideWhenUsed/>
    <w:qFormat/>
    <w:uiPriority w:val="0"/>
    <w:rPr>
      <w:sz w:val="21"/>
      <w:szCs w:val="21"/>
    </w:rPr>
  </w:style>
  <w:style w:type="character" w:styleId="67">
    <w:name w:val="footnote reference"/>
    <w:qFormat/>
    <w:uiPriority w:val="0"/>
    <w:rPr>
      <w:vertAlign w:val="superscript"/>
    </w:rPr>
  </w:style>
  <w:style w:type="character" w:styleId="68">
    <w:name w:val="HTML Keyboard"/>
    <w:qFormat/>
    <w:uiPriority w:val="0"/>
    <w:rPr>
      <w:rFonts w:ascii="Consolas" w:hAnsi="Consolas" w:eastAsia="Consolas" w:cs="Consolas"/>
      <w:color w:val="FFFFFF"/>
      <w:sz w:val="21"/>
      <w:szCs w:val="21"/>
      <w:shd w:val="clear" w:color="auto" w:fill="333333"/>
    </w:rPr>
  </w:style>
  <w:style w:type="character" w:styleId="69">
    <w:name w:val="HTML Sample"/>
    <w:qFormat/>
    <w:uiPriority w:val="0"/>
    <w:rPr>
      <w:rFonts w:hint="default" w:ascii="Consolas" w:hAnsi="Consolas" w:eastAsia="Consolas" w:cs="Consolas"/>
      <w:sz w:val="21"/>
      <w:szCs w:val="21"/>
    </w:rPr>
  </w:style>
  <w:style w:type="character" w:customStyle="1" w:styleId="70">
    <w:name w:val="msoins"/>
    <w:qFormat/>
    <w:uiPriority w:val="0"/>
  </w:style>
  <w:style w:type="character" w:customStyle="1" w:styleId="71">
    <w:name w:val="明显强调1"/>
    <w:qFormat/>
    <w:uiPriority w:val="0"/>
    <w:rPr>
      <w:b/>
      <w:bCs/>
      <w:i/>
      <w:iCs/>
      <w:color w:val="4F81BD"/>
    </w:rPr>
  </w:style>
  <w:style w:type="character" w:customStyle="1" w:styleId="72">
    <w:name w:val="文档结构图 Char2"/>
    <w:semiHidden/>
    <w:qFormat/>
    <w:uiPriority w:val="0"/>
    <w:rPr>
      <w:rFonts w:ascii="宋体"/>
      <w:kern w:val="2"/>
      <w:sz w:val="18"/>
    </w:rPr>
  </w:style>
  <w:style w:type="character" w:customStyle="1" w:styleId="73">
    <w:name w:val="style_kwd"/>
    <w:basedOn w:val="57"/>
    <w:qFormat/>
    <w:uiPriority w:val="0"/>
  </w:style>
  <w:style w:type="character" w:customStyle="1" w:styleId="74">
    <w:name w:val="正文文本缩进 2 Char2"/>
    <w:qFormat/>
    <w:uiPriority w:val="99"/>
    <w:rPr>
      <w:rFonts w:eastAsia="楷体_GB2312"/>
      <w:kern w:val="2"/>
      <w:sz w:val="21"/>
    </w:rPr>
  </w:style>
  <w:style w:type="character" w:customStyle="1" w:styleId="75">
    <w:name w:val="正文文本 2 Char2"/>
    <w:semiHidden/>
    <w:qFormat/>
    <w:uiPriority w:val="99"/>
    <w:rPr>
      <w:rFonts w:ascii="Calibri" w:hAnsi="Calibri" w:eastAsia="宋体" w:cs="Times New Roman"/>
      <w:kern w:val="0"/>
      <w:sz w:val="20"/>
      <w:szCs w:val="20"/>
    </w:rPr>
  </w:style>
  <w:style w:type="character" w:customStyle="1" w:styleId="76">
    <w:name w:val="不明显参考1"/>
    <w:qFormat/>
    <w:uiPriority w:val="0"/>
    <w:rPr>
      <w:smallCaps/>
      <w:color w:val="C0504D"/>
      <w:u w:val="single"/>
    </w:rPr>
  </w:style>
  <w:style w:type="character" w:customStyle="1" w:styleId="77">
    <w:name w:val="批注文字 Char2"/>
    <w:semiHidden/>
    <w:qFormat/>
    <w:uiPriority w:val="99"/>
    <w:rPr>
      <w:rFonts w:ascii="Calibri" w:hAnsi="Calibri" w:eastAsia="宋体" w:cs="Times New Roman"/>
      <w:kern w:val="0"/>
      <w:sz w:val="20"/>
      <w:szCs w:val="20"/>
    </w:rPr>
  </w:style>
  <w:style w:type="character" w:customStyle="1" w:styleId="78">
    <w:name w:val="正文文本缩进 Char2"/>
    <w:qFormat/>
    <w:uiPriority w:val="99"/>
    <w:rPr>
      <w:rFonts w:eastAsia="楷体_GB2312"/>
      <w:kern w:val="2"/>
      <w:sz w:val="21"/>
    </w:rPr>
  </w:style>
  <w:style w:type="character" w:customStyle="1" w:styleId="79">
    <w:name w:val="纯文本 Char4"/>
    <w:semiHidden/>
    <w:qFormat/>
    <w:uiPriority w:val="99"/>
    <w:rPr>
      <w:rFonts w:ascii="宋体" w:hAnsi="Courier New" w:eastAsia="宋体" w:cs="Courier New"/>
      <w:kern w:val="0"/>
      <w:szCs w:val="21"/>
    </w:rPr>
  </w:style>
  <w:style w:type="character" w:customStyle="1" w:styleId="80">
    <w:name w:val="纯文本 Char3"/>
    <w:qFormat/>
    <w:locked/>
    <w:uiPriority w:val="0"/>
    <w:rPr>
      <w:rFonts w:ascii="宋体" w:hAnsi="Courier New" w:cs="Courier New"/>
      <w:szCs w:val="21"/>
    </w:rPr>
  </w:style>
  <w:style w:type="character" w:customStyle="1" w:styleId="81">
    <w:name w:val="Comment Text Char"/>
    <w:qFormat/>
    <w:locked/>
    <w:uiPriority w:val="0"/>
    <w:rPr>
      <w:rFonts w:eastAsia="宋体"/>
      <w:kern w:val="2"/>
      <w:sz w:val="24"/>
      <w:lang w:val="en-US" w:eastAsia="zh-CN"/>
    </w:rPr>
  </w:style>
  <w:style w:type="character" w:customStyle="1" w:styleId="82">
    <w:name w:val="Plain Text Char"/>
    <w:qFormat/>
    <w:locked/>
    <w:uiPriority w:val="99"/>
    <w:rPr>
      <w:rFonts w:ascii="宋体" w:hAnsi="Courier New" w:eastAsia="宋体"/>
      <w:kern w:val="2"/>
      <w:sz w:val="21"/>
      <w:lang w:val="en-US" w:eastAsia="zh-CN"/>
    </w:rPr>
  </w:style>
  <w:style w:type="character" w:customStyle="1" w:styleId="83">
    <w:name w:val="Endnote Text Char"/>
    <w:qFormat/>
    <w:locked/>
    <w:uiPriority w:val="0"/>
    <w:rPr>
      <w:rFonts w:cs="Times New Roman"/>
      <w:kern w:val="2"/>
      <w:sz w:val="21"/>
    </w:rPr>
  </w:style>
  <w:style w:type="character" w:customStyle="1" w:styleId="84">
    <w:name w:val="正文文本 Char2"/>
    <w:qFormat/>
    <w:uiPriority w:val="99"/>
    <w:rPr>
      <w:rFonts w:eastAsia="楷体_GB2312"/>
      <w:kern w:val="2"/>
      <w:sz w:val="21"/>
    </w:rPr>
  </w:style>
  <w:style w:type="character" w:customStyle="1" w:styleId="85">
    <w:name w:val="批注引用1"/>
    <w:qFormat/>
    <w:uiPriority w:val="0"/>
    <w:rPr>
      <w:sz w:val="21"/>
    </w:rPr>
  </w:style>
  <w:style w:type="character" w:customStyle="1" w:styleId="86">
    <w:name w:val="明显引用 Char2"/>
    <w:semiHidden/>
    <w:qFormat/>
    <w:uiPriority w:val="99"/>
    <w:rPr>
      <w:rFonts w:ascii="Calibri" w:hAnsi="Calibri"/>
      <w:b/>
      <w:bCs/>
      <w:i/>
      <w:iCs/>
      <w:color w:val="4F81BD"/>
      <w:kern w:val="2"/>
      <w:sz w:val="21"/>
      <w:szCs w:val="22"/>
    </w:rPr>
  </w:style>
  <w:style w:type="character" w:customStyle="1" w:styleId="87">
    <w:name w:val="引用 Char2"/>
    <w:semiHidden/>
    <w:qFormat/>
    <w:uiPriority w:val="99"/>
    <w:rPr>
      <w:rFonts w:ascii="Calibri" w:hAnsi="Calibri"/>
      <w:i/>
      <w:iCs/>
      <w:color w:val="000000"/>
      <w:kern w:val="2"/>
      <w:sz w:val="21"/>
      <w:szCs w:val="22"/>
    </w:rPr>
  </w:style>
  <w:style w:type="character" w:customStyle="1" w:styleId="88">
    <w:name w:val="页码1"/>
    <w:qFormat/>
    <w:uiPriority w:val="0"/>
    <w:rPr>
      <w:rFonts w:cs="Times New Roman"/>
    </w:rPr>
  </w:style>
  <w:style w:type="character" w:customStyle="1" w:styleId="89">
    <w:name w:val="称呼 Char1"/>
    <w:semiHidden/>
    <w:qFormat/>
    <w:uiPriority w:val="99"/>
    <w:rPr>
      <w:rFonts w:ascii="Calibri" w:hAnsi="Calibri"/>
      <w:kern w:val="2"/>
      <w:sz w:val="21"/>
      <w:szCs w:val="22"/>
    </w:rPr>
  </w:style>
  <w:style w:type="character" w:customStyle="1" w:styleId="90">
    <w:name w:val="正文文本缩进 3 Char1"/>
    <w:qFormat/>
    <w:uiPriority w:val="0"/>
    <w:rPr>
      <w:rFonts w:ascii="Calibri" w:hAnsi="Calibri"/>
      <w:kern w:val="2"/>
      <w:sz w:val="16"/>
      <w:szCs w:val="16"/>
    </w:rPr>
  </w:style>
  <w:style w:type="character" w:customStyle="1" w:styleId="91">
    <w:name w:val="HTML 预设格式 Char2"/>
    <w:semiHidden/>
    <w:qFormat/>
    <w:uiPriority w:val="99"/>
    <w:rPr>
      <w:rFonts w:ascii="Courier New" w:hAnsi="Courier New" w:cs="Courier New"/>
      <w:kern w:val="2"/>
    </w:rPr>
  </w:style>
  <w:style w:type="character" w:customStyle="1" w:styleId="92">
    <w:name w:val="标题 Char2"/>
    <w:qFormat/>
    <w:uiPriority w:val="10"/>
    <w:rPr>
      <w:rFonts w:ascii="Cambria" w:hAnsi="Cambria" w:cs="Times New Roman"/>
      <w:b/>
      <w:bCs/>
      <w:kern w:val="2"/>
      <w:sz w:val="32"/>
      <w:szCs w:val="32"/>
    </w:rPr>
  </w:style>
  <w:style w:type="character" w:customStyle="1" w:styleId="93">
    <w:name w:val="尾注文本 Char4"/>
    <w:semiHidden/>
    <w:qFormat/>
    <w:uiPriority w:val="99"/>
    <w:rPr>
      <w:rFonts w:ascii="Calibri" w:hAnsi="Calibri"/>
      <w:kern w:val="2"/>
      <w:sz w:val="21"/>
      <w:szCs w:val="22"/>
    </w:rPr>
  </w:style>
  <w:style w:type="character" w:customStyle="1" w:styleId="94">
    <w:name w:val="副标题 Char3"/>
    <w:qFormat/>
    <w:uiPriority w:val="11"/>
    <w:rPr>
      <w:rFonts w:ascii="Cambria" w:hAnsi="Cambria" w:cs="Times New Roman"/>
      <w:b/>
      <w:bCs/>
      <w:kern w:val="28"/>
      <w:sz w:val="32"/>
      <w:szCs w:val="32"/>
    </w:rPr>
  </w:style>
  <w:style w:type="character" w:customStyle="1" w:styleId="95">
    <w:name w:val="批注主题 字符"/>
    <w:qFormat/>
    <w:uiPriority w:val="0"/>
    <w:rPr>
      <w:b/>
      <w:bCs/>
      <w:kern w:val="2"/>
      <w:sz w:val="21"/>
      <w:szCs w:val="24"/>
    </w:rPr>
  </w:style>
  <w:style w:type="character" w:customStyle="1" w:styleId="96">
    <w:name w:val="标题 2 Char Char Char1"/>
    <w:qFormat/>
    <w:uiPriority w:val="0"/>
    <w:rPr>
      <w:rFonts w:ascii="Arial" w:hAnsi="Arial" w:eastAsia="黑体"/>
      <w:b/>
      <w:bCs/>
      <w:kern w:val="2"/>
      <w:sz w:val="32"/>
      <w:szCs w:val="32"/>
      <w:lang w:val="en-US" w:eastAsia="zh-CN" w:bidi="ar-SA"/>
    </w:rPr>
  </w:style>
  <w:style w:type="character" w:customStyle="1" w:styleId="97">
    <w:name w:val="Char Char15"/>
    <w:qFormat/>
    <w:uiPriority w:val="0"/>
    <w:rPr>
      <w:rFonts w:ascii="Arial" w:hAnsi="Arial" w:eastAsia="宋体"/>
      <w:b/>
      <w:bCs/>
      <w:kern w:val="2"/>
      <w:sz w:val="21"/>
      <w:szCs w:val="28"/>
      <w:lang w:val="en-US" w:eastAsia="zh-CN" w:bidi="ar-SA"/>
    </w:rPr>
  </w:style>
  <w:style w:type="character" w:customStyle="1" w:styleId="98">
    <w:name w:val="页眉 Char1"/>
    <w:semiHidden/>
    <w:qFormat/>
    <w:uiPriority w:val="99"/>
    <w:rPr>
      <w:rFonts w:ascii="Times New Roman" w:hAnsi="Times New Roman" w:eastAsia="宋体" w:cs="Times New Roman"/>
      <w:kern w:val="0"/>
      <w:sz w:val="18"/>
      <w:szCs w:val="18"/>
      <w:lang w:eastAsia="en-US"/>
    </w:rPr>
  </w:style>
  <w:style w:type="character" w:customStyle="1" w:styleId="99">
    <w:name w:val="批注文字 字符"/>
    <w:qFormat/>
    <w:uiPriority w:val="0"/>
    <w:rPr>
      <w:kern w:val="2"/>
      <w:sz w:val="21"/>
      <w:szCs w:val="24"/>
    </w:rPr>
  </w:style>
  <w:style w:type="character" w:customStyle="1" w:styleId="100">
    <w:name w:val="HTML Markup"/>
    <w:qFormat/>
    <w:uiPriority w:val="0"/>
    <w:rPr>
      <w:vanish/>
      <w:color w:val="FF0000"/>
    </w:rPr>
  </w:style>
  <w:style w:type="character" w:customStyle="1" w:styleId="101">
    <w:name w:val="标题1"/>
    <w:qFormat/>
    <w:uiPriority w:val="0"/>
    <w:rPr>
      <w:rFonts w:ascii="宋体" w:hAnsi="宋体" w:cs="宋体"/>
      <w:kern w:val="2"/>
      <w:sz w:val="24"/>
      <w:szCs w:val="24"/>
    </w:rPr>
  </w:style>
  <w:style w:type="character" w:customStyle="1" w:styleId="102">
    <w:name w:val="日期 Char1"/>
    <w:qFormat/>
    <w:uiPriority w:val="99"/>
    <w:rPr>
      <w:kern w:val="2"/>
      <w:sz w:val="21"/>
      <w:szCs w:val="22"/>
    </w:rPr>
  </w:style>
  <w:style w:type="character" w:customStyle="1" w:styleId="103">
    <w:name w:val="日期 Char3"/>
    <w:semiHidden/>
    <w:qFormat/>
    <w:uiPriority w:val="99"/>
    <w:rPr>
      <w:rFonts w:ascii="Calibri" w:hAnsi="Calibri" w:eastAsia="宋体" w:cs="Times New Roman"/>
      <w:kern w:val="0"/>
      <w:sz w:val="20"/>
      <w:szCs w:val="20"/>
    </w:rPr>
  </w:style>
  <w:style w:type="character" w:customStyle="1" w:styleId="104">
    <w:name w:val="tdrownotice1"/>
    <w:qFormat/>
    <w:uiPriority w:val="0"/>
    <w:rPr>
      <w:sz w:val="22"/>
      <w:szCs w:val="22"/>
    </w:rPr>
  </w:style>
  <w:style w:type="character" w:customStyle="1" w:styleId="105">
    <w:name w:val="H1 Char"/>
    <w:qFormat/>
    <w:uiPriority w:val="0"/>
    <w:rPr>
      <w:rFonts w:eastAsia="宋体"/>
      <w:b/>
      <w:bCs/>
      <w:kern w:val="44"/>
      <w:sz w:val="32"/>
      <w:szCs w:val="44"/>
      <w:lang w:val="en-US" w:eastAsia="zh-CN" w:bidi="ar-SA"/>
    </w:rPr>
  </w:style>
  <w:style w:type="character" w:customStyle="1" w:styleId="106">
    <w:name w:val="ca-10"/>
    <w:qFormat/>
    <w:uiPriority w:val="0"/>
  </w:style>
  <w:style w:type="character" w:customStyle="1" w:styleId="107">
    <w:name w:val="font161"/>
    <w:qFormat/>
    <w:uiPriority w:val="0"/>
    <w:rPr>
      <w:b/>
      <w:bCs/>
      <w:sz w:val="32"/>
      <w:szCs w:val="32"/>
    </w:rPr>
  </w:style>
  <w:style w:type="character" w:customStyle="1" w:styleId="108">
    <w:name w:val="正文编号 Char"/>
    <w:link w:val="109"/>
    <w:qFormat/>
    <w:uiPriority w:val="0"/>
    <w:rPr>
      <w:rFonts w:ascii="宋体" w:hAnsi="宋体"/>
      <w:kern w:val="2"/>
      <w:sz w:val="24"/>
      <w:szCs w:val="24"/>
    </w:rPr>
  </w:style>
  <w:style w:type="paragraph" w:customStyle="1" w:styleId="109">
    <w:name w:val="正文编号"/>
    <w:basedOn w:val="110"/>
    <w:link w:val="108"/>
    <w:qFormat/>
    <w:uiPriority w:val="0"/>
    <w:pPr>
      <w:widowControl/>
      <w:tabs>
        <w:tab w:val="left" w:pos="567"/>
      </w:tabs>
      <w:snapToGrid w:val="0"/>
      <w:spacing w:beforeLines="50" w:afterLines="50" w:line="288" w:lineRule="auto"/>
      <w:ind w:left="567" w:hanging="567"/>
      <w:jc w:val="left"/>
    </w:pPr>
    <w:rPr>
      <w:rFonts w:ascii="宋体" w:hAnsi="宋体"/>
      <w:color w:val="auto"/>
      <w:kern w:val="2"/>
      <w:sz w:val="24"/>
      <w:szCs w:val="24"/>
    </w:rPr>
  </w:style>
  <w:style w:type="paragraph" w:customStyle="1" w:styleId="110">
    <w:name w:val="_Style 7"/>
    <w:basedOn w:val="1"/>
    <w:qFormat/>
    <w:uiPriority w:val="0"/>
    <w:pPr>
      <w:spacing w:line="312" w:lineRule="atLeast"/>
      <w:ind w:firstLine="420"/>
    </w:pPr>
    <w:rPr>
      <w:color w:val="000000"/>
      <w:kern w:val="0"/>
      <w:szCs w:val="20"/>
    </w:rPr>
  </w:style>
  <w:style w:type="character" w:customStyle="1" w:styleId="111">
    <w:name w:val="h3 Char2"/>
    <w:qFormat/>
    <w:uiPriority w:val="0"/>
    <w:rPr>
      <w:rFonts w:eastAsia="宋体"/>
      <w:b/>
      <w:bCs/>
      <w:kern w:val="2"/>
      <w:sz w:val="24"/>
      <w:szCs w:val="32"/>
      <w:lang w:val="en-US" w:eastAsia="zh-CN" w:bidi="ar-SA"/>
    </w:rPr>
  </w:style>
  <w:style w:type="character" w:customStyle="1" w:styleId="112">
    <w:name w:val="明显参考1"/>
    <w:qFormat/>
    <w:uiPriority w:val="0"/>
    <w:rPr>
      <w:b/>
      <w:bCs/>
      <w:smallCaps/>
      <w:color w:val="C0504D"/>
      <w:spacing w:val="5"/>
      <w:u w:val="single"/>
    </w:rPr>
  </w:style>
  <w:style w:type="character" w:customStyle="1" w:styleId="113">
    <w:name w:val="Char Char3"/>
    <w:qFormat/>
    <w:uiPriority w:val="0"/>
    <w:rPr>
      <w:rFonts w:eastAsia="宋体"/>
      <w:kern w:val="2"/>
      <w:sz w:val="21"/>
      <w:szCs w:val="24"/>
      <w:lang w:val="en-US" w:eastAsia="zh-CN" w:bidi="ar-SA"/>
    </w:rPr>
  </w:style>
  <w:style w:type="character" w:customStyle="1" w:styleId="114">
    <w:name w:val="article"/>
    <w:qFormat/>
    <w:uiPriority w:val="0"/>
  </w:style>
  <w:style w:type="character" w:customStyle="1" w:styleId="115">
    <w:name w:val="页脚 字符"/>
    <w:qFormat/>
    <w:uiPriority w:val="99"/>
    <w:rPr>
      <w:kern w:val="2"/>
      <w:sz w:val="18"/>
      <w:szCs w:val="18"/>
    </w:rPr>
  </w:style>
  <w:style w:type="character" w:customStyle="1" w:styleId="116">
    <w:name w:val="副标题 Char1"/>
    <w:qFormat/>
    <w:uiPriority w:val="0"/>
    <w:rPr>
      <w:rFonts w:ascii="Calibri Light" w:hAnsi="Calibri Light" w:eastAsia="宋体" w:cs="Times New Roman"/>
      <w:b/>
      <w:bCs/>
      <w:kern w:val="28"/>
      <w:sz w:val="32"/>
      <w:szCs w:val="32"/>
    </w:rPr>
  </w:style>
  <w:style w:type="character" w:customStyle="1" w:styleId="117">
    <w:name w:val="纯文本 Char2"/>
    <w:qFormat/>
    <w:uiPriority w:val="0"/>
    <w:rPr>
      <w:rFonts w:ascii="宋体" w:hAnsi="Courier New" w:cs="Courier New"/>
      <w:sz w:val="21"/>
      <w:szCs w:val="21"/>
    </w:rPr>
  </w:style>
  <w:style w:type="character" w:customStyle="1" w:styleId="118">
    <w:name w:val="文一 Char Char"/>
    <w:qFormat/>
    <w:uiPriority w:val="0"/>
    <w:rPr>
      <w:snapToGrid/>
      <w:spacing w:val="4"/>
      <w:sz w:val="24"/>
      <w:szCs w:val="24"/>
    </w:rPr>
  </w:style>
  <w:style w:type="character" w:customStyle="1" w:styleId="119">
    <w:name w:val="正文文本 2 字符"/>
    <w:qFormat/>
    <w:uiPriority w:val="0"/>
    <w:rPr>
      <w:kern w:val="2"/>
      <w:sz w:val="44"/>
      <w:szCs w:val="24"/>
    </w:rPr>
  </w:style>
  <w:style w:type="character" w:customStyle="1" w:styleId="120">
    <w:name w:val="标题 5 字符"/>
    <w:qFormat/>
    <w:uiPriority w:val="0"/>
    <w:rPr>
      <w:b/>
      <w:bCs/>
      <w:kern w:val="2"/>
      <w:sz w:val="28"/>
      <w:szCs w:val="28"/>
    </w:rPr>
  </w:style>
  <w:style w:type="character" w:customStyle="1" w:styleId="121">
    <w:name w:val="标题5 Char Char"/>
    <w:link w:val="122"/>
    <w:qFormat/>
    <w:uiPriority w:val="0"/>
    <w:rPr>
      <w:rFonts w:ascii="Arial" w:hAnsi="Arial"/>
      <w:b/>
      <w:bCs/>
      <w:sz w:val="24"/>
      <w:szCs w:val="32"/>
    </w:rPr>
  </w:style>
  <w:style w:type="paragraph" w:customStyle="1" w:styleId="122">
    <w:name w:val="标题5"/>
    <w:basedOn w:val="5"/>
    <w:link w:val="121"/>
    <w:qFormat/>
    <w:uiPriority w:val="0"/>
    <w:pPr>
      <w:spacing w:line="413" w:lineRule="auto"/>
    </w:pPr>
    <w:rPr>
      <w:rFonts w:ascii="Arial" w:hAnsi="Arial"/>
      <w:sz w:val="24"/>
    </w:rPr>
  </w:style>
  <w:style w:type="character" w:customStyle="1" w:styleId="123">
    <w:name w:val="Char Char7"/>
    <w:qFormat/>
    <w:locked/>
    <w:uiPriority w:val="0"/>
    <w:rPr>
      <w:rFonts w:ascii="宋体" w:hAnsi="宋体" w:eastAsia="宋体"/>
      <w:kern w:val="2"/>
      <w:sz w:val="21"/>
      <w:szCs w:val="24"/>
      <w:lang w:val="en-US" w:eastAsia="zh-CN" w:bidi="ar-SA"/>
    </w:rPr>
  </w:style>
  <w:style w:type="character" w:customStyle="1" w:styleId="124">
    <w:name w:val="书籍标题1"/>
    <w:qFormat/>
    <w:uiPriority w:val="0"/>
    <w:rPr>
      <w:b/>
      <w:bCs/>
      <w:smallCaps/>
      <w:spacing w:val="5"/>
    </w:rPr>
  </w:style>
  <w:style w:type="character" w:customStyle="1" w:styleId="125">
    <w:name w:val="正文首行缩进 Char2"/>
    <w:qFormat/>
    <w:uiPriority w:val="99"/>
    <w:rPr>
      <w:rFonts w:eastAsia="宋体"/>
      <w:kern w:val="2"/>
      <w:sz w:val="21"/>
      <w:szCs w:val="24"/>
      <w:lang w:val="en-US" w:eastAsia="zh-CN" w:bidi="ar-SA"/>
    </w:rPr>
  </w:style>
  <w:style w:type="character" w:customStyle="1" w:styleId="126">
    <w:name w:val="highlight1"/>
    <w:qFormat/>
    <w:uiPriority w:val="0"/>
    <w:rPr>
      <w:sz w:val="21"/>
      <w:szCs w:val="21"/>
    </w:rPr>
  </w:style>
  <w:style w:type="character" w:customStyle="1" w:styleId="127">
    <w:name w:val="副标题 字符"/>
    <w:qFormat/>
    <w:uiPriority w:val="0"/>
    <w:rPr>
      <w:rFonts w:ascii="Cambria" w:hAnsi="Cambria" w:cs="宋体"/>
      <w:b/>
      <w:bCs/>
      <w:kern w:val="28"/>
      <w:sz w:val="32"/>
      <w:szCs w:val="32"/>
    </w:rPr>
  </w:style>
  <w:style w:type="character" w:customStyle="1" w:styleId="128">
    <w:name w:val="正文文本 Char1"/>
    <w:qFormat/>
    <w:uiPriority w:val="0"/>
    <w:rPr>
      <w:kern w:val="2"/>
      <w:sz w:val="21"/>
      <w:szCs w:val="22"/>
    </w:rPr>
  </w:style>
  <w:style w:type="character" w:customStyle="1" w:styleId="129">
    <w:name w:val="正文文本缩进 3 字符"/>
    <w:qFormat/>
    <w:uiPriority w:val="0"/>
    <w:rPr>
      <w:rFonts w:ascii="仿宋_GB2312" w:eastAsia="仿宋_GB2312"/>
      <w:bCs/>
      <w:spacing w:val="24"/>
      <w:kern w:val="2"/>
      <w:sz w:val="23"/>
      <w:szCs w:val="24"/>
    </w:rPr>
  </w:style>
  <w:style w:type="character" w:customStyle="1" w:styleId="130">
    <w:name w:val="Hyperlink.0"/>
    <w:qFormat/>
    <w:uiPriority w:val="0"/>
    <w:rPr>
      <w:color w:val="000000"/>
      <w:u w:val="none" w:color="000000"/>
    </w:rPr>
  </w:style>
  <w:style w:type="character" w:customStyle="1" w:styleId="131">
    <w:name w:val="文一 Char"/>
    <w:link w:val="132"/>
    <w:qFormat/>
    <w:uiPriority w:val="0"/>
    <w:rPr>
      <w:snapToGrid w:val="0"/>
      <w:spacing w:val="4"/>
      <w:sz w:val="24"/>
      <w:szCs w:val="24"/>
    </w:rPr>
  </w:style>
  <w:style w:type="paragraph" w:customStyle="1" w:styleId="132">
    <w:name w:val="文一"/>
    <w:basedOn w:val="1"/>
    <w:link w:val="131"/>
    <w:qFormat/>
    <w:uiPriority w:val="0"/>
    <w:pPr>
      <w:topLinePunct/>
      <w:adjustRightInd w:val="0"/>
      <w:snapToGrid w:val="0"/>
      <w:spacing w:line="360" w:lineRule="auto"/>
      <w:ind w:firstLine="200" w:firstLineChars="200"/>
    </w:pPr>
    <w:rPr>
      <w:rFonts w:ascii="Times New Roman" w:hAnsi="Times New Roman"/>
      <w:snapToGrid w:val="0"/>
      <w:spacing w:val="4"/>
      <w:kern w:val="0"/>
      <w:sz w:val="24"/>
      <w:szCs w:val="24"/>
    </w:rPr>
  </w:style>
  <w:style w:type="character" w:customStyle="1" w:styleId="133">
    <w:name w:val="批注文字 Char1"/>
    <w:qFormat/>
    <w:uiPriority w:val="0"/>
    <w:rPr>
      <w:kern w:val="2"/>
      <w:sz w:val="21"/>
      <w:szCs w:val="24"/>
    </w:rPr>
  </w:style>
  <w:style w:type="character" w:customStyle="1" w:styleId="134">
    <w:name w:val="样式 正文缩进表正文正文非缩进特点上海中望标准正文（首行缩进两字）文字正文（首行缩进两字） Char正文（首行缩进...1 Char"/>
    <w:link w:val="135"/>
    <w:qFormat/>
    <w:uiPriority w:val="0"/>
    <w:rPr>
      <w:rFonts w:ascii="华文仿宋" w:hAnsi="华文仿宋" w:eastAsia="华文仿宋" w:cs="宋体"/>
      <w:kern w:val="2"/>
      <w:sz w:val="28"/>
      <w:szCs w:val="24"/>
    </w:rPr>
  </w:style>
  <w:style w:type="paragraph" w:customStyle="1" w:styleId="135">
    <w:name w:val="样式 正文缩进表正文正文非缩进特点上海中望标准正文（首行缩进两字）文字正文（首行缩进两字） Char正文（首行缩进...1"/>
    <w:basedOn w:val="2"/>
    <w:link w:val="134"/>
    <w:qFormat/>
    <w:uiPriority w:val="0"/>
    <w:pPr>
      <w:adjustRightInd w:val="0"/>
      <w:snapToGrid w:val="0"/>
      <w:spacing w:line="360" w:lineRule="auto"/>
      <w:ind w:firstLine="560" w:firstLineChars="200"/>
    </w:pPr>
    <w:rPr>
      <w:rFonts w:ascii="华文仿宋" w:hAnsi="华文仿宋" w:eastAsia="华文仿宋" w:cs="宋体"/>
      <w:kern w:val="2"/>
      <w:sz w:val="28"/>
      <w:szCs w:val="24"/>
    </w:rPr>
  </w:style>
  <w:style w:type="character" w:customStyle="1" w:styleId="136">
    <w:name w:val="HTML 预设格式 Char1"/>
    <w:qFormat/>
    <w:uiPriority w:val="0"/>
    <w:rPr>
      <w:rFonts w:ascii="Courier New" w:hAnsi="Courier New" w:cs="Courier New"/>
      <w:kern w:val="2"/>
    </w:rPr>
  </w:style>
  <w:style w:type="character" w:customStyle="1" w:styleId="137">
    <w:name w:val="章节二 Char"/>
    <w:qFormat/>
    <w:uiPriority w:val="0"/>
    <w:rPr>
      <w:rFonts w:ascii="Verdana" w:hAnsi="Verdana" w:eastAsia="黑体"/>
      <w:b/>
      <w:i/>
      <w:iCs/>
      <w:snapToGrid w:val="0"/>
      <w:color w:val="000000"/>
      <w:spacing w:val="4"/>
      <w:kern w:val="0"/>
      <w:sz w:val="30"/>
      <w:szCs w:val="30"/>
      <w:lang w:val="en-US" w:eastAsia="zh-CN" w:bidi="ar-SA"/>
    </w:rPr>
  </w:style>
  <w:style w:type="character" w:customStyle="1" w:styleId="138">
    <w:name w:val="apple-converted-space"/>
    <w:qFormat/>
    <w:uiPriority w:val="0"/>
  </w:style>
  <w:style w:type="character" w:customStyle="1" w:styleId="139">
    <w:name w:val="批注主题 Char2"/>
    <w:semiHidden/>
    <w:qFormat/>
    <w:uiPriority w:val="99"/>
    <w:rPr>
      <w:rFonts w:ascii="Calibri" w:hAnsi="Calibri" w:eastAsia="宋体" w:cs="Times New Roman"/>
      <w:b/>
      <w:bCs/>
      <w:kern w:val="0"/>
      <w:sz w:val="20"/>
      <w:szCs w:val="20"/>
    </w:rPr>
  </w:style>
  <w:style w:type="character" w:customStyle="1" w:styleId="140">
    <w:name w:val="标题 Char"/>
    <w:link w:val="51"/>
    <w:qFormat/>
    <w:uiPriority w:val="0"/>
    <w:rPr>
      <w:rFonts w:ascii="Cambria" w:hAnsi="Cambria"/>
      <w:b/>
      <w:bCs/>
      <w:sz w:val="32"/>
      <w:szCs w:val="32"/>
    </w:rPr>
  </w:style>
  <w:style w:type="character" w:customStyle="1" w:styleId="141">
    <w:name w:val="标题 1 字符"/>
    <w:qFormat/>
    <w:uiPriority w:val="0"/>
    <w:rPr>
      <w:rFonts w:ascii="Arial" w:hAnsi="Arial"/>
      <w:bCs/>
      <w:kern w:val="44"/>
      <w:sz w:val="44"/>
      <w:szCs w:val="44"/>
    </w:rPr>
  </w:style>
  <w:style w:type="character" w:customStyle="1" w:styleId="142">
    <w:name w:val="明显强调11"/>
    <w:qFormat/>
    <w:uiPriority w:val="0"/>
    <w:rPr>
      <w:b/>
      <w:bCs/>
      <w:i/>
      <w:iCs/>
      <w:color w:val="4F81BD"/>
    </w:rPr>
  </w:style>
  <w:style w:type="character" w:customStyle="1" w:styleId="143">
    <w:name w:val="英文"/>
    <w:qFormat/>
    <w:uiPriority w:val="0"/>
    <w:rPr>
      <w:rFonts w:ascii="Lucida Fax" w:hAnsi="Lucida Fax" w:cs="Times New Roman"/>
      <w:b/>
      <w:bCs/>
    </w:rPr>
  </w:style>
  <w:style w:type="character" w:customStyle="1" w:styleId="144">
    <w:name w:val="Char Char6"/>
    <w:qFormat/>
    <w:uiPriority w:val="0"/>
    <w:rPr>
      <w:rFonts w:eastAsia="宋体"/>
      <w:kern w:val="2"/>
      <w:sz w:val="21"/>
      <w:szCs w:val="24"/>
      <w:lang w:val="en-US" w:eastAsia="zh-CN" w:bidi="ar-SA"/>
    </w:rPr>
  </w:style>
  <w:style w:type="character" w:customStyle="1" w:styleId="145">
    <w:name w:val="ggbt1"/>
    <w:qFormat/>
    <w:uiPriority w:val="0"/>
    <w:rPr>
      <w:b/>
      <w:bCs/>
      <w:sz w:val="28"/>
      <w:szCs w:val="28"/>
    </w:rPr>
  </w:style>
  <w:style w:type="character" w:customStyle="1" w:styleId="146">
    <w:name w:val="日期 字符"/>
    <w:qFormat/>
    <w:uiPriority w:val="0"/>
    <w:rPr>
      <w:rFonts w:eastAsia="黑体"/>
      <w:kern w:val="2"/>
      <w:sz w:val="28"/>
    </w:rPr>
  </w:style>
  <w:style w:type="character" w:customStyle="1" w:styleId="147">
    <w:name w:val="gonggao-downline1"/>
    <w:qFormat/>
    <w:uiPriority w:val="0"/>
    <w:rPr>
      <w:b/>
      <w:bCs/>
      <w:u w:val="single"/>
    </w:rPr>
  </w:style>
  <w:style w:type="character" w:customStyle="1" w:styleId="148">
    <w:name w:val="HTML 预设格式 字符"/>
    <w:qFormat/>
    <w:uiPriority w:val="99"/>
    <w:rPr>
      <w:rFonts w:ascii="宋体" w:hAnsi="宋体" w:cs="宋体"/>
      <w:sz w:val="24"/>
      <w:szCs w:val="24"/>
    </w:rPr>
  </w:style>
  <w:style w:type="character" w:customStyle="1" w:styleId="149">
    <w:name w:val="文档结构图 字符"/>
    <w:qFormat/>
    <w:uiPriority w:val="0"/>
    <w:rPr>
      <w:kern w:val="2"/>
      <w:sz w:val="21"/>
      <w:szCs w:val="24"/>
      <w:shd w:val="clear" w:color="auto" w:fill="000080"/>
    </w:rPr>
  </w:style>
  <w:style w:type="character" w:customStyle="1" w:styleId="150">
    <w:name w:val="111"/>
    <w:qFormat/>
    <w:uiPriority w:val="0"/>
  </w:style>
  <w:style w:type="character" w:customStyle="1" w:styleId="151">
    <w:name w:val="章节一 Char"/>
    <w:qFormat/>
    <w:uiPriority w:val="0"/>
    <w:rPr>
      <w:rFonts w:ascii="Verdana" w:hAnsi="Verdana" w:eastAsia="黑体"/>
      <w:b/>
      <w:i/>
      <w:iCs/>
      <w:snapToGrid w:val="0"/>
      <w:color w:val="000000"/>
      <w:spacing w:val="4"/>
      <w:kern w:val="0"/>
      <w:sz w:val="36"/>
      <w:szCs w:val="36"/>
      <w:lang w:val="en-US" w:eastAsia="zh-CN" w:bidi="ar-SA"/>
    </w:rPr>
  </w:style>
  <w:style w:type="character" w:customStyle="1" w:styleId="152">
    <w:name w:val="尾注文本 Char"/>
    <w:qFormat/>
    <w:uiPriority w:val="0"/>
    <w:rPr>
      <w:rFonts w:ascii="Times New Roman" w:hAnsi="Times New Roman"/>
      <w:kern w:val="2"/>
      <w:sz w:val="24"/>
      <w:szCs w:val="24"/>
    </w:rPr>
  </w:style>
  <w:style w:type="character" w:customStyle="1" w:styleId="153">
    <w:name w:val="正文文本 字符"/>
    <w:qFormat/>
    <w:uiPriority w:val="0"/>
    <w:rPr>
      <w:rFonts w:ascii="仿宋_GB2312" w:eastAsia="仿宋_GB2312"/>
      <w:kern w:val="2"/>
      <w:sz w:val="28"/>
      <w:szCs w:val="24"/>
    </w:rPr>
  </w:style>
  <w:style w:type="character" w:customStyle="1" w:styleId="154">
    <w:name w:val="正文文本缩进 字符"/>
    <w:qFormat/>
    <w:uiPriority w:val="0"/>
    <w:rPr>
      <w:rFonts w:ascii="仿宋_GB2312" w:eastAsia="仿宋_GB2312"/>
      <w:spacing w:val="7"/>
      <w:kern w:val="2"/>
      <w:sz w:val="23"/>
      <w:szCs w:val="24"/>
    </w:rPr>
  </w:style>
  <w:style w:type="character" w:customStyle="1" w:styleId="155">
    <w:name w:val="标题 字符"/>
    <w:qFormat/>
    <w:uiPriority w:val="0"/>
    <w:rPr>
      <w:rFonts w:ascii="Arial" w:hAnsi="Arial"/>
      <w:b/>
      <w:kern w:val="2"/>
      <w:sz w:val="44"/>
      <w:szCs w:val="24"/>
    </w:rPr>
  </w:style>
  <w:style w:type="character" w:customStyle="1" w:styleId="156">
    <w:name w:val="标题 2 字符"/>
    <w:qFormat/>
    <w:uiPriority w:val="0"/>
    <w:rPr>
      <w:rFonts w:ascii="Arial" w:hAnsi="Arial" w:eastAsia="仿宋_GB2312"/>
      <w:b/>
      <w:bCs/>
      <w:kern w:val="2"/>
      <w:sz w:val="32"/>
      <w:szCs w:val="32"/>
    </w:rPr>
  </w:style>
  <w:style w:type="character" w:customStyle="1" w:styleId="157">
    <w:name w:val="font1"/>
    <w:qFormat/>
    <w:uiPriority w:val="0"/>
    <w:rPr>
      <w:color w:val="000000"/>
      <w:sz w:val="18"/>
      <w:szCs w:val="18"/>
      <w:u w:val="none"/>
    </w:rPr>
  </w:style>
  <w:style w:type="character" w:customStyle="1" w:styleId="158">
    <w:name w:val="表中文字 Char"/>
    <w:qFormat/>
    <w:uiPriority w:val="0"/>
    <w:rPr>
      <w:rFonts w:eastAsia="宋体"/>
      <w:kern w:val="2"/>
      <w:sz w:val="21"/>
      <w:szCs w:val="24"/>
      <w:lang w:val="en-US" w:eastAsia="zh-CN" w:bidi="ar-SA"/>
    </w:rPr>
  </w:style>
  <w:style w:type="character" w:customStyle="1" w:styleId="159">
    <w:name w:val="Char Char101"/>
    <w:qFormat/>
    <w:uiPriority w:val="0"/>
    <w:rPr>
      <w:rFonts w:hint="eastAsia" w:ascii="宋体" w:hAnsi="Courier New" w:eastAsia="宋体"/>
      <w:kern w:val="2"/>
      <w:sz w:val="24"/>
      <w:szCs w:val="24"/>
      <w:lang w:val="en-US" w:eastAsia="zh-CN" w:bidi="ar-SA"/>
    </w:rPr>
  </w:style>
  <w:style w:type="character" w:customStyle="1" w:styleId="160">
    <w:name w:val="Char Char8"/>
    <w:qFormat/>
    <w:uiPriority w:val="0"/>
    <w:rPr>
      <w:rFonts w:ascii="Arial" w:hAnsi="Arial" w:eastAsia="宋体"/>
      <w:b/>
      <w:bCs/>
      <w:kern w:val="2"/>
      <w:sz w:val="21"/>
      <w:szCs w:val="28"/>
      <w:lang w:val="en-US" w:eastAsia="zh-CN" w:bidi="ar-SA"/>
    </w:rPr>
  </w:style>
  <w:style w:type="character" w:customStyle="1" w:styleId="161">
    <w:name w:val="Char Char91"/>
    <w:qFormat/>
    <w:uiPriority w:val="0"/>
    <w:rPr>
      <w:rFonts w:eastAsia="宋体"/>
      <w:kern w:val="2"/>
      <w:sz w:val="18"/>
      <w:szCs w:val="18"/>
      <w:lang w:val="en-US" w:eastAsia="zh-CN" w:bidi="ar-SA"/>
    </w:rPr>
  </w:style>
  <w:style w:type="character" w:customStyle="1" w:styleId="162">
    <w:name w:val="日期 Char"/>
    <w:link w:val="32"/>
    <w:qFormat/>
    <w:uiPriority w:val="0"/>
    <w:rPr>
      <w:sz w:val="24"/>
    </w:rPr>
  </w:style>
  <w:style w:type="character" w:customStyle="1" w:styleId="163">
    <w:name w:val="批注框文本 Char2"/>
    <w:semiHidden/>
    <w:qFormat/>
    <w:uiPriority w:val="99"/>
    <w:rPr>
      <w:rFonts w:ascii="Times New Roman" w:hAnsi="Times New Roman" w:eastAsia="宋体" w:cs="Times New Roman"/>
      <w:kern w:val="0"/>
      <w:sz w:val="18"/>
      <w:szCs w:val="18"/>
      <w:lang w:eastAsia="en-US"/>
    </w:rPr>
  </w:style>
  <w:style w:type="character" w:customStyle="1" w:styleId="164">
    <w:name w:val="Char Char1"/>
    <w:qFormat/>
    <w:uiPriority w:val="0"/>
    <w:rPr>
      <w:rFonts w:ascii="宋体" w:eastAsia="宋体"/>
      <w:sz w:val="22"/>
      <w:lang w:val="en-US" w:eastAsia="zh-CN" w:bidi="ar-SA"/>
    </w:rPr>
  </w:style>
  <w:style w:type="character" w:customStyle="1" w:styleId="165">
    <w:name w:val="不明显参考11"/>
    <w:qFormat/>
    <w:uiPriority w:val="0"/>
    <w:rPr>
      <w:smallCaps/>
      <w:color w:val="C0504D"/>
      <w:u w:val="single"/>
    </w:rPr>
  </w:style>
  <w:style w:type="character" w:customStyle="1" w:styleId="166">
    <w:name w:val="样式 仿宋_GB2312 四号"/>
    <w:qFormat/>
    <w:uiPriority w:val="0"/>
    <w:rPr>
      <w:rFonts w:ascii="仿宋_GB2312" w:hAnsi="仿宋_GB2312" w:eastAsia="华文仿宋" w:cs="宋体"/>
      <w:kern w:val="2"/>
      <w:sz w:val="28"/>
      <w:szCs w:val="24"/>
    </w:rPr>
  </w:style>
  <w:style w:type="character" w:customStyle="1" w:styleId="167">
    <w:name w:val="正文 1 Char1"/>
    <w:link w:val="168"/>
    <w:qFormat/>
    <w:uiPriority w:val="0"/>
    <w:rPr>
      <w:rFonts w:ascii="宋体" w:hAnsi="宋体" w:cs="宋体"/>
      <w:color w:val="000000"/>
      <w:sz w:val="24"/>
      <w:lang w:val="zh-CN"/>
    </w:rPr>
  </w:style>
  <w:style w:type="paragraph" w:customStyle="1" w:styleId="168">
    <w:name w:val="正文 1"/>
    <w:basedOn w:val="1"/>
    <w:link w:val="167"/>
    <w:qFormat/>
    <w:uiPriority w:val="0"/>
    <w:pPr>
      <w:spacing w:line="360" w:lineRule="auto"/>
      <w:ind w:left="350" w:firstLine="200"/>
    </w:pPr>
    <w:rPr>
      <w:rFonts w:ascii="宋体" w:hAnsi="宋体" w:cs="宋体"/>
      <w:color w:val="000000"/>
      <w:kern w:val="0"/>
      <w:sz w:val="24"/>
      <w:szCs w:val="20"/>
      <w:lang w:val="zh-CN"/>
    </w:rPr>
  </w:style>
  <w:style w:type="character" w:customStyle="1" w:styleId="169">
    <w:name w:val="页眉 字符"/>
    <w:qFormat/>
    <w:uiPriority w:val="0"/>
    <w:rPr>
      <w:kern w:val="2"/>
      <w:sz w:val="18"/>
      <w:szCs w:val="18"/>
    </w:rPr>
  </w:style>
  <w:style w:type="character" w:customStyle="1" w:styleId="170">
    <w:name w:val="Char Char4"/>
    <w:qFormat/>
    <w:uiPriority w:val="0"/>
    <w:rPr>
      <w:rFonts w:eastAsia="宋体"/>
      <w:kern w:val="2"/>
      <w:sz w:val="18"/>
      <w:szCs w:val="18"/>
      <w:lang w:val="en-US" w:eastAsia="zh-CN" w:bidi="ar-SA"/>
    </w:rPr>
  </w:style>
  <w:style w:type="character" w:customStyle="1" w:styleId="171">
    <w:name w:val="文档结构图 Char1"/>
    <w:qFormat/>
    <w:uiPriority w:val="0"/>
    <w:rPr>
      <w:rFonts w:ascii="宋体"/>
      <w:kern w:val="2"/>
      <w:sz w:val="18"/>
      <w:szCs w:val="18"/>
    </w:rPr>
  </w:style>
  <w:style w:type="character" w:customStyle="1" w:styleId="172">
    <w:name w:val="不明显强调1"/>
    <w:qFormat/>
    <w:uiPriority w:val="0"/>
    <w:rPr>
      <w:i/>
      <w:iCs/>
      <w:color w:val="808080"/>
    </w:rPr>
  </w:style>
  <w:style w:type="character" w:customStyle="1" w:styleId="173">
    <w:name w:val="日期 Char2"/>
    <w:qFormat/>
    <w:uiPriority w:val="0"/>
    <w:rPr>
      <w:rFonts w:ascii="Calibri" w:hAnsi="Calibri"/>
      <w:kern w:val="2"/>
      <w:sz w:val="21"/>
      <w:szCs w:val="22"/>
    </w:rPr>
  </w:style>
  <w:style w:type="character" w:customStyle="1" w:styleId="174">
    <w:name w:val="f142"/>
    <w:qFormat/>
    <w:uiPriority w:val="0"/>
    <w:rPr>
      <w:sz w:val="26"/>
      <w:szCs w:val="26"/>
    </w:rPr>
  </w:style>
  <w:style w:type="character" w:customStyle="1" w:styleId="175">
    <w:name w:val="标题 Char1"/>
    <w:qFormat/>
    <w:uiPriority w:val="0"/>
    <w:rPr>
      <w:rFonts w:ascii="Cambria" w:hAnsi="Cambria" w:cs="Times New Roman"/>
      <w:b/>
      <w:bCs/>
      <w:color w:val="000000"/>
      <w:sz w:val="32"/>
      <w:szCs w:val="32"/>
    </w:rPr>
  </w:style>
  <w:style w:type="character" w:customStyle="1" w:styleId="176">
    <w:name w:val="标题4 Char Char"/>
    <w:link w:val="177"/>
    <w:qFormat/>
    <w:uiPriority w:val="0"/>
    <w:rPr>
      <w:rFonts w:ascii="Arial" w:hAnsi="Arial"/>
      <w:b/>
      <w:bCs/>
      <w:sz w:val="24"/>
      <w:szCs w:val="32"/>
    </w:rPr>
  </w:style>
  <w:style w:type="paragraph" w:customStyle="1" w:styleId="177">
    <w:name w:val="标题4"/>
    <w:basedOn w:val="4"/>
    <w:next w:val="27"/>
    <w:link w:val="176"/>
    <w:qFormat/>
    <w:uiPriority w:val="0"/>
    <w:pPr>
      <w:spacing w:line="413" w:lineRule="auto"/>
    </w:pPr>
    <w:rPr>
      <w:rFonts w:ascii="Arial" w:hAnsi="Arial"/>
      <w:sz w:val="24"/>
      <w:lang w:val="en-US"/>
    </w:rPr>
  </w:style>
  <w:style w:type="character" w:customStyle="1" w:styleId="178">
    <w:name w:val="正文缩进 Char"/>
    <w:link w:val="2"/>
    <w:qFormat/>
    <w:uiPriority w:val="0"/>
    <w:rPr>
      <w:rFonts w:ascii="宋体" w:hAnsi="Calibri"/>
      <w:sz w:val="34"/>
    </w:rPr>
  </w:style>
  <w:style w:type="character" w:customStyle="1" w:styleId="179">
    <w:name w:val="尾注文本 Char2"/>
    <w:qFormat/>
    <w:uiPriority w:val="0"/>
    <w:rPr>
      <w:kern w:val="2"/>
      <w:sz w:val="21"/>
      <w:szCs w:val="24"/>
    </w:rPr>
  </w:style>
  <w:style w:type="character" w:customStyle="1" w:styleId="180">
    <w:name w:val="明显引用 Char"/>
    <w:link w:val="181"/>
    <w:qFormat/>
    <w:uiPriority w:val="0"/>
    <w:rPr>
      <w:b/>
      <w:bCs/>
      <w:i/>
      <w:iCs/>
      <w:color w:val="4F81BD"/>
    </w:rPr>
  </w:style>
  <w:style w:type="paragraph" w:customStyle="1" w:styleId="181">
    <w:name w:val="明显引用1"/>
    <w:basedOn w:val="1"/>
    <w:next w:val="1"/>
    <w:link w:val="180"/>
    <w:qFormat/>
    <w:uiPriority w:val="0"/>
    <w:pPr>
      <w:pBdr>
        <w:bottom w:val="single" w:color="4F81BD" w:sz="4" w:space="4"/>
      </w:pBdr>
      <w:spacing w:before="200" w:after="280"/>
      <w:ind w:left="936" w:right="936"/>
    </w:pPr>
    <w:rPr>
      <w:rFonts w:ascii="Times New Roman" w:hAnsi="Times New Roman"/>
      <w:b/>
      <w:bCs/>
      <w:i/>
      <w:iCs/>
      <w:color w:val="4F81BD"/>
      <w:kern w:val="0"/>
      <w:sz w:val="20"/>
      <w:szCs w:val="20"/>
    </w:rPr>
  </w:style>
  <w:style w:type="character" w:customStyle="1" w:styleId="182">
    <w:name w:val="引用 Char"/>
    <w:link w:val="183"/>
    <w:qFormat/>
    <w:uiPriority w:val="0"/>
    <w:rPr>
      <w:i/>
      <w:iCs/>
      <w:color w:val="000000"/>
    </w:rPr>
  </w:style>
  <w:style w:type="paragraph" w:customStyle="1" w:styleId="183">
    <w:name w:val="引用1"/>
    <w:basedOn w:val="1"/>
    <w:next w:val="1"/>
    <w:link w:val="182"/>
    <w:qFormat/>
    <w:uiPriority w:val="0"/>
    <w:rPr>
      <w:rFonts w:ascii="Times New Roman" w:hAnsi="Times New Roman"/>
      <w:i/>
      <w:iCs/>
      <w:color w:val="000000"/>
      <w:kern w:val="0"/>
      <w:sz w:val="20"/>
      <w:szCs w:val="20"/>
    </w:rPr>
  </w:style>
  <w:style w:type="character" w:customStyle="1" w:styleId="184">
    <w:name w:val="2级标题 Char"/>
    <w:link w:val="185"/>
    <w:qFormat/>
    <w:uiPriority w:val="0"/>
    <w:rPr>
      <w:rFonts w:ascii="黑体" w:hAnsi="黑体" w:eastAsia="黑体"/>
      <w:color w:val="0070C0"/>
      <w:sz w:val="30"/>
      <w:szCs w:val="32"/>
      <w:lang w:val="zh-CN"/>
    </w:rPr>
  </w:style>
  <w:style w:type="paragraph" w:customStyle="1" w:styleId="185">
    <w:name w:val="2级标题"/>
    <w:basedOn w:val="4"/>
    <w:link w:val="184"/>
    <w:qFormat/>
    <w:uiPriority w:val="0"/>
    <w:pPr>
      <w:keepNext w:val="0"/>
      <w:keepLines w:val="0"/>
      <w:tabs>
        <w:tab w:val="left" w:pos="747"/>
      </w:tabs>
      <w:spacing w:before="0" w:after="0" w:line="360" w:lineRule="auto"/>
      <w:ind w:left="1185" w:hanging="1185"/>
      <w:jc w:val="left"/>
    </w:pPr>
    <w:rPr>
      <w:rFonts w:ascii="黑体" w:hAnsi="黑体" w:eastAsia="黑体"/>
      <w:b w:val="0"/>
      <w:bCs w:val="0"/>
      <w:color w:val="0070C0"/>
      <w:sz w:val="30"/>
    </w:rPr>
  </w:style>
  <w:style w:type="character" w:customStyle="1" w:styleId="186">
    <w:name w:val="first-child"/>
    <w:qFormat/>
    <w:uiPriority w:val="0"/>
    <w:rPr>
      <w:vanish/>
    </w:rPr>
  </w:style>
  <w:style w:type="character" w:customStyle="1" w:styleId="187">
    <w:name w:val="尾注文本 Char1"/>
    <w:semiHidden/>
    <w:qFormat/>
    <w:uiPriority w:val="99"/>
    <w:rPr>
      <w:rFonts w:ascii="宋体" w:hAnsi="宋体" w:cs="宋体"/>
      <w:color w:val="000000"/>
      <w:sz w:val="21"/>
      <w:szCs w:val="24"/>
    </w:rPr>
  </w:style>
  <w:style w:type="character" w:customStyle="1" w:styleId="188">
    <w:name w:val="尾注文本 Char3"/>
    <w:link w:val="34"/>
    <w:qFormat/>
    <w:uiPriority w:val="0"/>
    <w:rPr>
      <w:szCs w:val="24"/>
    </w:rPr>
  </w:style>
  <w:style w:type="character" w:customStyle="1" w:styleId="189">
    <w:name w:val="正文文本 2 Char1"/>
    <w:semiHidden/>
    <w:qFormat/>
    <w:uiPriority w:val="99"/>
    <w:rPr>
      <w:rFonts w:ascii="Times New Roman" w:hAnsi="Times New Roman" w:eastAsia="宋体" w:cs="Times New Roman"/>
      <w:kern w:val="0"/>
      <w:sz w:val="24"/>
      <w:szCs w:val="24"/>
      <w:lang w:eastAsia="en-US"/>
    </w:rPr>
  </w:style>
  <w:style w:type="character" w:customStyle="1" w:styleId="190">
    <w:name w:val="javascript"/>
    <w:qFormat/>
    <w:uiPriority w:val="0"/>
  </w:style>
  <w:style w:type="character" w:customStyle="1" w:styleId="191">
    <w:name w:val="Char Char5"/>
    <w:qFormat/>
    <w:uiPriority w:val="0"/>
    <w:rPr>
      <w:rFonts w:eastAsia="宋体"/>
      <w:kern w:val="2"/>
      <w:sz w:val="21"/>
      <w:szCs w:val="24"/>
      <w:lang w:val="en-US" w:eastAsia="zh-CN" w:bidi="ar-SA"/>
    </w:rPr>
  </w:style>
  <w:style w:type="character" w:customStyle="1" w:styleId="192">
    <w:name w:val="称呼 Char"/>
    <w:link w:val="19"/>
    <w:qFormat/>
    <w:uiPriority w:val="0"/>
    <w:rPr>
      <w:rFonts w:ascii="宋体" w:eastAsia="仿宋_GB2312"/>
      <w:sz w:val="24"/>
    </w:rPr>
  </w:style>
  <w:style w:type="character" w:customStyle="1" w:styleId="193">
    <w:name w:val="Char Char10"/>
    <w:qFormat/>
    <w:uiPriority w:val="0"/>
    <w:rPr>
      <w:rFonts w:ascii="宋体" w:hAnsi="Courier New" w:eastAsia="宋体"/>
      <w:kern w:val="2"/>
      <w:sz w:val="24"/>
      <w:szCs w:val="24"/>
      <w:lang w:val="en-US" w:eastAsia="zh-CN" w:bidi="ar-SA"/>
    </w:rPr>
  </w:style>
  <w:style w:type="character" w:customStyle="1" w:styleId="194">
    <w:name w:val="标题3下的文字 Char"/>
    <w:link w:val="195"/>
    <w:qFormat/>
    <w:uiPriority w:val="0"/>
    <w:rPr>
      <w:sz w:val="24"/>
      <w:szCs w:val="22"/>
    </w:rPr>
  </w:style>
  <w:style w:type="paragraph" w:customStyle="1" w:styleId="195">
    <w:name w:val="标题3下的文字"/>
    <w:link w:val="194"/>
    <w:qFormat/>
    <w:uiPriority w:val="0"/>
    <w:pPr>
      <w:widowControl w:val="0"/>
      <w:adjustRightInd w:val="0"/>
      <w:snapToGrid w:val="0"/>
      <w:spacing w:line="312" w:lineRule="auto"/>
      <w:ind w:left="200" w:leftChars="200" w:firstLine="200" w:firstLineChars="200"/>
      <w:jc w:val="both"/>
    </w:pPr>
    <w:rPr>
      <w:rFonts w:ascii="Times New Roman" w:hAnsi="Times New Roman" w:eastAsia="宋体" w:cs="Times New Roman"/>
      <w:sz w:val="24"/>
      <w:szCs w:val="22"/>
      <w:lang w:val="en-US" w:eastAsia="zh-CN" w:bidi="ar-SA"/>
    </w:rPr>
  </w:style>
  <w:style w:type="character" w:customStyle="1" w:styleId="196">
    <w:name w:val="副标题 Char"/>
    <w:link w:val="40"/>
    <w:qFormat/>
    <w:uiPriority w:val="0"/>
    <w:rPr>
      <w:sz w:val="18"/>
      <w:szCs w:val="18"/>
    </w:rPr>
  </w:style>
  <w:style w:type="character" w:customStyle="1" w:styleId="197">
    <w:name w:val="引用 Char1"/>
    <w:qFormat/>
    <w:uiPriority w:val="29"/>
    <w:rPr>
      <w:rFonts w:ascii="Times New Roman" w:hAnsi="Times New Roman" w:eastAsia="宋体" w:cs="Times New Roman"/>
      <w:i/>
      <w:iCs/>
      <w:color w:val="3F3F3F"/>
      <w:sz w:val="24"/>
      <w:szCs w:val="24"/>
    </w:rPr>
  </w:style>
  <w:style w:type="character" w:customStyle="1" w:styleId="198">
    <w:name w:val="普通(网站) Char"/>
    <w:qFormat/>
    <w:uiPriority w:val="0"/>
  </w:style>
  <w:style w:type="character" w:customStyle="1" w:styleId="199">
    <w:name w:val="页脚 Char1"/>
    <w:semiHidden/>
    <w:qFormat/>
    <w:uiPriority w:val="99"/>
    <w:rPr>
      <w:rFonts w:ascii="Times New Roman" w:hAnsi="Times New Roman" w:eastAsia="宋体" w:cs="Times New Roman"/>
      <w:kern w:val="0"/>
      <w:sz w:val="18"/>
      <w:szCs w:val="18"/>
      <w:lang w:eastAsia="en-US"/>
    </w:rPr>
  </w:style>
  <w:style w:type="character" w:customStyle="1" w:styleId="200">
    <w:name w:val="h3 Char"/>
    <w:qFormat/>
    <w:uiPriority w:val="0"/>
    <w:rPr>
      <w:rFonts w:ascii="Times New Roman" w:hAnsi="Times New Roman" w:eastAsia="宋体" w:cs="Times New Roman"/>
      <w:b/>
      <w:bCs/>
      <w:sz w:val="32"/>
      <w:szCs w:val="32"/>
    </w:rPr>
  </w:style>
  <w:style w:type="character" w:customStyle="1" w:styleId="201">
    <w:name w:val="href"/>
    <w:qFormat/>
    <w:uiPriority w:val="0"/>
    <w:rPr>
      <w:color w:val="0000FF"/>
      <w:u w:val="single"/>
    </w:rPr>
  </w:style>
  <w:style w:type="character" w:customStyle="1" w:styleId="202">
    <w:name w:val="明显引用 Char1"/>
    <w:qFormat/>
    <w:uiPriority w:val="30"/>
    <w:rPr>
      <w:rFonts w:ascii="Times New Roman" w:hAnsi="Times New Roman" w:eastAsia="宋体" w:cs="Times New Roman"/>
      <w:i/>
      <w:iCs/>
      <w:color w:val="5B9BD5"/>
      <w:sz w:val="24"/>
      <w:szCs w:val="24"/>
    </w:rPr>
  </w:style>
  <w:style w:type="character" w:customStyle="1" w:styleId="203">
    <w:name w:val="纯文本 字符"/>
    <w:qFormat/>
    <w:uiPriority w:val="0"/>
    <w:rPr>
      <w:rFonts w:ascii="宋体" w:hAnsi="Courier New" w:cs="Courier New"/>
      <w:kern w:val="2"/>
      <w:sz w:val="21"/>
      <w:szCs w:val="21"/>
    </w:rPr>
  </w:style>
  <w:style w:type="character" w:customStyle="1" w:styleId="204">
    <w:name w:val="Char Char12"/>
    <w:qFormat/>
    <w:uiPriority w:val="0"/>
    <w:rPr>
      <w:rFonts w:eastAsia="宋体"/>
      <w:kern w:val="2"/>
      <w:sz w:val="18"/>
      <w:szCs w:val="18"/>
      <w:lang w:val="en-US" w:eastAsia="zh-CN" w:bidi="ar-SA"/>
    </w:rPr>
  </w:style>
  <w:style w:type="character" w:customStyle="1" w:styleId="205">
    <w:name w:val="书籍标题11"/>
    <w:qFormat/>
    <w:uiPriority w:val="0"/>
    <w:rPr>
      <w:b/>
      <w:bCs/>
      <w:smallCaps/>
      <w:spacing w:val="5"/>
    </w:rPr>
  </w:style>
  <w:style w:type="character" w:customStyle="1" w:styleId="206">
    <w:name w:val="ca-2"/>
    <w:qFormat/>
    <w:uiPriority w:val="0"/>
  </w:style>
  <w:style w:type="character" w:customStyle="1" w:styleId="207">
    <w:name w:val="style71"/>
    <w:qFormat/>
    <w:uiPriority w:val="0"/>
    <w:rPr>
      <w:sz w:val="30"/>
    </w:rPr>
  </w:style>
  <w:style w:type="character" w:customStyle="1" w:styleId="208">
    <w:name w:val="1级标题 Char"/>
    <w:link w:val="209"/>
    <w:qFormat/>
    <w:uiPriority w:val="0"/>
    <w:rPr>
      <w:rFonts w:ascii="黑体" w:hAnsi="黑体" w:eastAsia="黑体"/>
      <w:b/>
      <w:color w:val="000000"/>
      <w:sz w:val="32"/>
      <w:szCs w:val="32"/>
      <w:lang w:val="zh-CN"/>
    </w:rPr>
  </w:style>
  <w:style w:type="paragraph" w:customStyle="1" w:styleId="209">
    <w:name w:val="1级标题"/>
    <w:basedOn w:val="210"/>
    <w:link w:val="208"/>
    <w:qFormat/>
    <w:uiPriority w:val="0"/>
    <w:pPr>
      <w:tabs>
        <w:tab w:val="left" w:pos="360"/>
      </w:tabs>
      <w:spacing w:before="156" w:after="156" w:line="360" w:lineRule="auto"/>
      <w:ind w:left="885" w:hanging="885" w:firstLineChars="0"/>
      <w:jc w:val="center"/>
      <w:outlineLvl w:val="0"/>
    </w:pPr>
    <w:rPr>
      <w:rFonts w:ascii="黑体" w:hAnsi="黑体" w:eastAsia="黑体"/>
      <w:b/>
      <w:color w:val="000000"/>
      <w:kern w:val="0"/>
      <w:sz w:val="32"/>
      <w:szCs w:val="32"/>
      <w:lang w:val="zh-CN"/>
    </w:rPr>
  </w:style>
  <w:style w:type="paragraph" w:customStyle="1" w:styleId="210">
    <w:name w:val="列出段落4"/>
    <w:basedOn w:val="1"/>
    <w:qFormat/>
    <w:uiPriority w:val="0"/>
    <w:pPr>
      <w:ind w:firstLine="420" w:firstLineChars="200"/>
    </w:pPr>
  </w:style>
  <w:style w:type="character" w:customStyle="1" w:styleId="211">
    <w:name w:val="标题 9 Char"/>
    <w:link w:val="11"/>
    <w:qFormat/>
    <w:uiPriority w:val="0"/>
    <w:rPr>
      <w:rFonts w:ascii="Arial" w:hAnsi="Arial" w:eastAsia="黑体"/>
      <w:sz w:val="24"/>
    </w:rPr>
  </w:style>
  <w:style w:type="character" w:customStyle="1" w:styleId="212">
    <w:name w:val="标题 8 Char"/>
    <w:link w:val="10"/>
    <w:qFormat/>
    <w:uiPriority w:val="0"/>
    <w:rPr>
      <w:rFonts w:ascii="Arial" w:hAnsi="Arial" w:eastAsia="黑体"/>
      <w:sz w:val="24"/>
    </w:rPr>
  </w:style>
  <w:style w:type="character" w:customStyle="1" w:styleId="213">
    <w:name w:val="标题 5 Char"/>
    <w:link w:val="7"/>
    <w:qFormat/>
    <w:uiPriority w:val="0"/>
    <w:rPr>
      <w:rFonts w:ascii="Calibri" w:hAnsi="Calibri"/>
      <w:b/>
      <w:bCs/>
      <w:kern w:val="2"/>
      <w:sz w:val="28"/>
      <w:szCs w:val="28"/>
    </w:rPr>
  </w:style>
  <w:style w:type="character" w:customStyle="1" w:styleId="214">
    <w:name w:val="正文文本缩进 2 字符"/>
    <w:qFormat/>
    <w:uiPriority w:val="0"/>
    <w:rPr>
      <w:rFonts w:ascii="仿宋_GB2312" w:eastAsia="仿宋_GB2312"/>
      <w:spacing w:val="5"/>
      <w:kern w:val="2"/>
      <w:sz w:val="23"/>
      <w:szCs w:val="24"/>
    </w:rPr>
  </w:style>
  <w:style w:type="character" w:customStyle="1" w:styleId="215">
    <w:name w:val="Char Char2"/>
    <w:qFormat/>
    <w:uiPriority w:val="0"/>
    <w:rPr>
      <w:rFonts w:eastAsia="宋体"/>
      <w:kern w:val="2"/>
      <w:sz w:val="21"/>
      <w:szCs w:val="24"/>
      <w:lang w:val="en-US" w:eastAsia="zh-CN" w:bidi="ar-SA"/>
    </w:rPr>
  </w:style>
  <w:style w:type="character" w:customStyle="1" w:styleId="216">
    <w:name w:val="正文文本 3 Char"/>
    <w:link w:val="20"/>
    <w:qFormat/>
    <w:uiPriority w:val="0"/>
    <w:rPr>
      <w:rFonts w:ascii="宋体" w:hAnsi="Calibri"/>
      <w:sz w:val="24"/>
    </w:rPr>
  </w:style>
  <w:style w:type="character" w:customStyle="1" w:styleId="217">
    <w:name w:val="纯文本 Char1"/>
    <w:qFormat/>
    <w:uiPriority w:val="0"/>
    <w:rPr>
      <w:rFonts w:ascii="宋体" w:hAnsi="Courier New" w:cs="Courier New"/>
      <w:kern w:val="2"/>
      <w:sz w:val="21"/>
      <w:szCs w:val="21"/>
    </w:rPr>
  </w:style>
  <w:style w:type="character" w:customStyle="1" w:styleId="218">
    <w:name w:val="正文文本 2 Char"/>
    <w:link w:val="47"/>
    <w:qFormat/>
    <w:uiPriority w:val="0"/>
    <w:rPr>
      <w:rFonts w:ascii="Calibri" w:hAnsi="Calibri"/>
      <w:kern w:val="2"/>
      <w:sz w:val="44"/>
      <w:szCs w:val="24"/>
    </w:rPr>
  </w:style>
  <w:style w:type="character" w:customStyle="1" w:styleId="219">
    <w:name w:val="不明显强调2"/>
    <w:qFormat/>
    <w:uiPriority w:val="0"/>
    <w:rPr>
      <w:i/>
      <w:iCs/>
      <w:color w:val="808080"/>
    </w:rPr>
  </w:style>
  <w:style w:type="character" w:customStyle="1" w:styleId="220">
    <w:name w:val="正文文本缩进 2 Char1"/>
    <w:semiHidden/>
    <w:qFormat/>
    <w:uiPriority w:val="99"/>
    <w:rPr>
      <w:rFonts w:ascii="Calibri" w:hAnsi="Calibri"/>
      <w:kern w:val="2"/>
      <w:sz w:val="21"/>
      <w:szCs w:val="22"/>
    </w:rPr>
  </w:style>
  <w:style w:type="character" w:customStyle="1" w:styleId="221">
    <w:name w:val="Char Char9"/>
    <w:qFormat/>
    <w:uiPriority w:val="0"/>
    <w:rPr>
      <w:rFonts w:eastAsia="宋体"/>
      <w:b/>
      <w:bCs/>
      <w:kern w:val="2"/>
      <w:sz w:val="24"/>
      <w:szCs w:val="32"/>
      <w:lang w:val="en-US" w:eastAsia="zh-CN" w:bidi="ar-SA"/>
    </w:rPr>
  </w:style>
  <w:style w:type="character" w:customStyle="1" w:styleId="222">
    <w:name w:val="批注主题 Char1"/>
    <w:qFormat/>
    <w:uiPriority w:val="0"/>
    <w:rPr>
      <w:rFonts w:ascii="Calibri" w:hAnsi="Calibri" w:eastAsia="宋体" w:cs="Times New Roman"/>
      <w:b/>
      <w:bCs/>
      <w:kern w:val="2"/>
      <w:sz w:val="21"/>
      <w:szCs w:val="22"/>
    </w:rPr>
  </w:style>
  <w:style w:type="character" w:customStyle="1" w:styleId="223">
    <w:name w:val="正文首行缩进 Char1"/>
    <w:qFormat/>
    <w:uiPriority w:val="0"/>
    <w:rPr>
      <w:rFonts w:ascii="Calibri" w:hAnsi="Calibri"/>
      <w:kern w:val="2"/>
      <w:sz w:val="21"/>
      <w:szCs w:val="22"/>
    </w:rPr>
  </w:style>
  <w:style w:type="character" w:customStyle="1" w:styleId="224">
    <w:name w:val="批注主题 Char"/>
    <w:link w:val="52"/>
    <w:qFormat/>
    <w:uiPriority w:val="0"/>
  </w:style>
  <w:style w:type="character" w:customStyle="1" w:styleId="225">
    <w:name w:val="hover42"/>
    <w:qFormat/>
    <w:uiPriority w:val="0"/>
  </w:style>
  <w:style w:type="character" w:customStyle="1" w:styleId="226">
    <w:name w:val="times1"/>
    <w:qFormat/>
    <w:uiPriority w:val="0"/>
    <w:rPr>
      <w:color w:val="3399FF"/>
      <w:bdr w:val="single" w:color="D1EDF8" w:sz="6" w:space="0"/>
      <w:shd w:val="clear" w:color="auto" w:fill="EAF9FF"/>
    </w:rPr>
  </w:style>
  <w:style w:type="character" w:customStyle="1" w:styleId="227">
    <w:name w:val="hover40"/>
    <w:qFormat/>
    <w:uiPriority w:val="0"/>
  </w:style>
  <w:style w:type="character" w:customStyle="1" w:styleId="228">
    <w:name w:val="正文文本缩进 2 Char"/>
    <w:link w:val="33"/>
    <w:qFormat/>
    <w:uiPriority w:val="0"/>
  </w:style>
  <w:style w:type="character" w:customStyle="1" w:styleId="229">
    <w:name w:val="h3 Char1"/>
    <w:qFormat/>
    <w:uiPriority w:val="0"/>
    <w:rPr>
      <w:rFonts w:eastAsia="宋体"/>
      <w:b/>
      <w:bCs/>
      <w:kern w:val="2"/>
      <w:sz w:val="32"/>
      <w:szCs w:val="32"/>
      <w:lang w:val="en-US" w:eastAsia="zh-CN" w:bidi="ar-SA"/>
    </w:rPr>
  </w:style>
  <w:style w:type="character" w:customStyle="1" w:styleId="230">
    <w:name w:val="times"/>
    <w:qFormat/>
    <w:uiPriority w:val="0"/>
    <w:rPr>
      <w:color w:val="CDCDCD"/>
      <w:bdr w:val="single" w:color="CDCDCD" w:sz="6" w:space="0"/>
      <w:shd w:val="clear" w:color="auto" w:fill="EFEFEF"/>
    </w:rPr>
  </w:style>
  <w:style w:type="character" w:customStyle="1" w:styleId="231">
    <w:name w:val="正文首行缩进 Char"/>
    <w:link w:val="53"/>
    <w:qFormat/>
    <w:uiPriority w:val="0"/>
  </w:style>
  <w:style w:type="character" w:customStyle="1" w:styleId="232">
    <w:name w:val="纯文本 Char"/>
    <w:link w:val="30"/>
    <w:qFormat/>
    <w:uiPriority w:val="0"/>
    <w:rPr>
      <w:rFonts w:ascii="宋体" w:hAnsi="Courier New" w:eastAsia="楷体_GB2312"/>
    </w:rPr>
  </w:style>
  <w:style w:type="character" w:customStyle="1" w:styleId="233">
    <w:name w:val="标题 6 Char"/>
    <w:link w:val="8"/>
    <w:qFormat/>
    <w:uiPriority w:val="0"/>
    <w:rPr>
      <w:rFonts w:ascii="Cambria" w:hAnsi="Cambria"/>
      <w:b/>
      <w:bCs/>
      <w:sz w:val="24"/>
      <w:szCs w:val="24"/>
    </w:rPr>
  </w:style>
  <w:style w:type="character" w:customStyle="1" w:styleId="234">
    <w:name w:val="批注框文本 Char1"/>
    <w:qFormat/>
    <w:uiPriority w:val="0"/>
    <w:rPr>
      <w:kern w:val="2"/>
      <w:sz w:val="18"/>
      <w:szCs w:val="18"/>
    </w:rPr>
  </w:style>
  <w:style w:type="character" w:customStyle="1" w:styleId="235">
    <w:name w:val="标题 3 Char"/>
    <w:link w:val="5"/>
    <w:qFormat/>
    <w:uiPriority w:val="0"/>
    <w:rPr>
      <w:rFonts w:ascii="宋体" w:hAnsi="Calibri"/>
      <w:b/>
      <w:bCs/>
      <w:sz w:val="32"/>
      <w:szCs w:val="32"/>
    </w:rPr>
  </w:style>
  <w:style w:type="character" w:customStyle="1" w:styleId="236">
    <w:name w:val="标题 3 Char Char Char Char Char Char Char Char Char Char Char Char Char Char Char Char Char Char Char Char Char Char"/>
    <w:qFormat/>
    <w:uiPriority w:val="0"/>
    <w:rPr>
      <w:rFonts w:eastAsia="宋体"/>
      <w:b/>
      <w:sz w:val="32"/>
      <w:lang w:val="en-US" w:eastAsia="zh-CN" w:bidi="ar-SA"/>
    </w:rPr>
  </w:style>
  <w:style w:type="character" w:customStyle="1" w:styleId="237">
    <w:name w:val="文档结构图 Char"/>
    <w:link w:val="16"/>
    <w:qFormat/>
    <w:uiPriority w:val="99"/>
    <w:rPr>
      <w:rFonts w:ascii="宋体" w:hAnsi="Calibri" w:cs="Times New Roman"/>
      <w:kern w:val="2"/>
      <w:sz w:val="18"/>
      <w:szCs w:val="18"/>
    </w:rPr>
  </w:style>
  <w:style w:type="character" w:customStyle="1" w:styleId="238">
    <w:name w:val="textcontents"/>
    <w:qFormat/>
    <w:uiPriority w:val="0"/>
    <w:rPr>
      <w:rFonts w:cs="Times New Roman"/>
    </w:rPr>
  </w:style>
  <w:style w:type="character" w:customStyle="1" w:styleId="239">
    <w:name w:val="标题 2 Char"/>
    <w:link w:val="4"/>
    <w:qFormat/>
    <w:uiPriority w:val="9"/>
    <w:rPr>
      <w:rFonts w:ascii="Calibri Light" w:hAnsi="Calibri Light" w:eastAsia="宋体" w:cs="Times New Roman"/>
      <w:b/>
      <w:bCs/>
      <w:sz w:val="32"/>
      <w:szCs w:val="32"/>
    </w:rPr>
  </w:style>
  <w:style w:type="character" w:customStyle="1" w:styleId="240">
    <w:name w:val="页脚 Char"/>
    <w:link w:val="36"/>
    <w:qFormat/>
    <w:uiPriority w:val="99"/>
    <w:rPr>
      <w:sz w:val="18"/>
      <w:szCs w:val="18"/>
    </w:rPr>
  </w:style>
  <w:style w:type="character" w:customStyle="1" w:styleId="241">
    <w:name w:val="页眉 Char"/>
    <w:link w:val="37"/>
    <w:qFormat/>
    <w:uiPriority w:val="0"/>
    <w:rPr>
      <w:sz w:val="18"/>
      <w:szCs w:val="18"/>
    </w:rPr>
  </w:style>
  <w:style w:type="character" w:customStyle="1" w:styleId="242">
    <w:name w:val="标题4 Char"/>
    <w:qFormat/>
    <w:locked/>
    <w:uiPriority w:val="99"/>
    <w:rPr>
      <w:rFonts w:ascii="宋体" w:cs="宋体"/>
      <w:sz w:val="24"/>
      <w:szCs w:val="24"/>
    </w:rPr>
  </w:style>
  <w:style w:type="character" w:customStyle="1" w:styleId="243">
    <w:name w:val="批注框文本 字符"/>
    <w:qFormat/>
    <w:uiPriority w:val="0"/>
    <w:rPr>
      <w:kern w:val="2"/>
      <w:sz w:val="18"/>
      <w:szCs w:val="18"/>
    </w:rPr>
  </w:style>
  <w:style w:type="character" w:customStyle="1" w:styleId="244">
    <w:name w:val="正文文本 Char"/>
    <w:basedOn w:val="57"/>
    <w:link w:val="21"/>
    <w:qFormat/>
    <w:uiPriority w:val="1"/>
  </w:style>
  <w:style w:type="character" w:customStyle="1" w:styleId="245">
    <w:name w:val="标题 4 Char"/>
    <w:link w:val="6"/>
    <w:qFormat/>
    <w:uiPriority w:val="0"/>
    <w:rPr>
      <w:rFonts w:ascii="Calibri Light" w:hAnsi="Calibri Light" w:eastAsia="宋体" w:cs="Times New Roman"/>
      <w:b/>
      <w:bCs/>
      <w:sz w:val="28"/>
      <w:szCs w:val="28"/>
    </w:rPr>
  </w:style>
  <w:style w:type="character" w:customStyle="1" w:styleId="246">
    <w:name w:val="正文文本缩进 Char"/>
    <w:link w:val="22"/>
    <w:qFormat/>
    <w:uiPriority w:val="0"/>
    <w:rPr>
      <w:rFonts w:ascii="Times New Roman" w:hAnsi="Times New Roman" w:eastAsia="宋体" w:cs="Times New Roman"/>
      <w:sz w:val="28"/>
      <w:szCs w:val="24"/>
    </w:rPr>
  </w:style>
  <w:style w:type="character" w:customStyle="1" w:styleId="247">
    <w:name w:val="明显参考2"/>
    <w:qFormat/>
    <w:uiPriority w:val="0"/>
    <w:rPr>
      <w:b/>
      <w:bCs/>
      <w:smallCaps/>
      <w:color w:val="C0504D"/>
      <w:spacing w:val="5"/>
      <w:u w:val="single"/>
    </w:rPr>
  </w:style>
  <w:style w:type="character" w:customStyle="1" w:styleId="248">
    <w:name w:val="批注框文本 Char"/>
    <w:link w:val="35"/>
    <w:qFormat/>
    <w:uiPriority w:val="0"/>
    <w:rPr>
      <w:sz w:val="18"/>
      <w:szCs w:val="18"/>
    </w:rPr>
  </w:style>
  <w:style w:type="character" w:customStyle="1" w:styleId="249">
    <w:name w:val="批注文字 Char"/>
    <w:link w:val="17"/>
    <w:qFormat/>
    <w:uiPriority w:val="0"/>
    <w:rPr>
      <w:rFonts w:ascii="Calibri" w:hAnsi="Calibri" w:eastAsia="宋体" w:cs="Times New Roman"/>
    </w:rPr>
  </w:style>
  <w:style w:type="character" w:customStyle="1" w:styleId="250">
    <w:name w:val="HTML 预设格式 Char"/>
    <w:link w:val="48"/>
    <w:qFormat/>
    <w:uiPriority w:val="0"/>
    <w:rPr>
      <w:rFonts w:ascii="黑体" w:hAnsi="Courier New" w:eastAsia="黑体"/>
    </w:rPr>
  </w:style>
  <w:style w:type="character" w:customStyle="1" w:styleId="251">
    <w:name w:val="标题 2 Char1"/>
    <w:qFormat/>
    <w:uiPriority w:val="0"/>
    <w:rPr>
      <w:rFonts w:ascii="Arial" w:hAnsi="Arial" w:eastAsia="黑体"/>
      <w:b/>
      <w:bCs/>
      <w:kern w:val="2"/>
      <w:sz w:val="32"/>
      <w:szCs w:val="32"/>
      <w:lang w:val="en-US" w:eastAsia="zh-CN" w:bidi="ar-SA"/>
    </w:rPr>
  </w:style>
  <w:style w:type="character" w:customStyle="1" w:styleId="252">
    <w:name w:val="Footer Char"/>
    <w:qFormat/>
    <w:locked/>
    <w:uiPriority w:val="99"/>
    <w:rPr>
      <w:rFonts w:eastAsia="长城仿宋"/>
      <w:sz w:val="18"/>
    </w:rPr>
  </w:style>
  <w:style w:type="character" w:customStyle="1" w:styleId="253">
    <w:name w:val="标题 1 Char"/>
    <w:link w:val="3"/>
    <w:qFormat/>
    <w:uiPriority w:val="9"/>
    <w:rPr>
      <w:rFonts w:ascii="Calibri" w:hAnsi="Calibri"/>
      <w:b/>
      <w:bCs/>
      <w:kern w:val="44"/>
      <w:sz w:val="44"/>
      <w:szCs w:val="44"/>
    </w:rPr>
  </w:style>
  <w:style w:type="character" w:customStyle="1" w:styleId="254">
    <w:name w:val="正文文本缩进 3 Char"/>
    <w:link w:val="44"/>
    <w:qFormat/>
    <w:uiPriority w:val="0"/>
    <w:rPr>
      <w:rFonts w:ascii="宋体" w:hAnsi="MS Sans Serif"/>
      <w:color w:val="000000"/>
      <w:sz w:val="24"/>
    </w:rPr>
  </w:style>
  <w:style w:type="character" w:customStyle="1" w:styleId="255">
    <w:name w:val="副标题 Char2"/>
    <w:qFormat/>
    <w:uiPriority w:val="0"/>
    <w:rPr>
      <w:rFonts w:ascii="Cambria" w:hAnsi="Cambria" w:cs="Times New Roman"/>
      <w:b/>
      <w:bCs/>
      <w:kern w:val="28"/>
      <w:sz w:val="32"/>
      <w:szCs w:val="32"/>
    </w:rPr>
  </w:style>
  <w:style w:type="character" w:customStyle="1" w:styleId="256">
    <w:name w:val="Char Char14"/>
    <w:qFormat/>
    <w:uiPriority w:val="0"/>
    <w:rPr>
      <w:rFonts w:eastAsia="宋体"/>
      <w:kern w:val="2"/>
      <w:sz w:val="21"/>
      <w:szCs w:val="24"/>
      <w:lang w:val="en-US" w:eastAsia="zh-CN" w:bidi="ar-SA"/>
    </w:rPr>
  </w:style>
  <w:style w:type="character" w:customStyle="1" w:styleId="257">
    <w:name w:val="批注文字 Char Char"/>
    <w:qFormat/>
    <w:uiPriority w:val="0"/>
    <w:rPr>
      <w:rFonts w:ascii="宋体" w:hAnsi="Times New Roman" w:eastAsia="宋体" w:cs="Times New Roman"/>
      <w:sz w:val="28"/>
      <w:szCs w:val="20"/>
    </w:rPr>
  </w:style>
  <w:style w:type="character" w:customStyle="1" w:styleId="258">
    <w:name w:val="标题 7 Char"/>
    <w:link w:val="9"/>
    <w:qFormat/>
    <w:uiPriority w:val="0"/>
    <w:rPr>
      <w:b/>
      <w:sz w:val="24"/>
    </w:rPr>
  </w:style>
  <w:style w:type="character" w:customStyle="1" w:styleId="259">
    <w:name w:val="样式 标题 3  1、Heading 3 - old子系统h33rd level3H3章标题1三级标题l3CT... Char"/>
    <w:qFormat/>
    <w:uiPriority w:val="0"/>
    <w:rPr>
      <w:b/>
      <w:color w:val="000000"/>
      <w:sz w:val="32"/>
      <w:szCs w:val="32"/>
    </w:rPr>
  </w:style>
  <w:style w:type="character" w:customStyle="1" w:styleId="260">
    <w:name w:val="Char Char"/>
    <w:qFormat/>
    <w:uiPriority w:val="0"/>
    <w:rPr>
      <w:rFonts w:ascii="黑体" w:hAnsi="Courier New" w:eastAsia="黑体" w:cs="Courier New"/>
      <w:lang w:val="en-US" w:eastAsia="zh-CN" w:bidi="ar-SA"/>
    </w:rPr>
  </w:style>
  <w:style w:type="paragraph" w:customStyle="1" w:styleId="261">
    <w:name w:val="TOC 标题1"/>
    <w:basedOn w:val="3"/>
    <w:next w:val="1"/>
    <w:qFormat/>
    <w:uiPriority w:val="0"/>
    <w:pPr>
      <w:widowControl/>
      <w:spacing w:before="480" w:after="0" w:line="276" w:lineRule="auto"/>
      <w:jc w:val="left"/>
      <w:outlineLvl w:val="9"/>
    </w:pPr>
    <w:rPr>
      <w:rFonts w:ascii="Cambria" w:hAnsi="Cambria"/>
      <w:color w:val="365F91"/>
      <w:kern w:val="0"/>
      <w:sz w:val="28"/>
      <w:szCs w:val="28"/>
      <w:lang w:val="en-US"/>
    </w:rPr>
  </w:style>
  <w:style w:type="paragraph" w:customStyle="1" w:styleId="262">
    <w:name w:val="Char"/>
    <w:basedOn w:val="1"/>
    <w:qFormat/>
    <w:uiPriority w:val="0"/>
    <w:pPr>
      <w:widowControl/>
      <w:spacing w:line="400" w:lineRule="exact"/>
      <w:jc w:val="center"/>
    </w:pPr>
    <w:rPr>
      <w:rFonts w:ascii="Times New Roman" w:hAnsi="Times New Roman"/>
      <w:sz w:val="24"/>
      <w:szCs w:val="24"/>
    </w:rPr>
  </w:style>
  <w:style w:type="paragraph" w:customStyle="1" w:styleId="263">
    <w:name w:val="列出段落3"/>
    <w:basedOn w:val="1"/>
    <w:qFormat/>
    <w:uiPriority w:val="0"/>
    <w:pPr>
      <w:ind w:firstLine="420" w:firstLineChars="200"/>
    </w:pPr>
  </w:style>
  <w:style w:type="paragraph" w:customStyle="1" w:styleId="264">
    <w:name w:val="导则正文"/>
    <w:basedOn w:val="1"/>
    <w:qFormat/>
    <w:uiPriority w:val="0"/>
    <w:pPr>
      <w:ind w:firstLine="200"/>
      <w:jc w:val="left"/>
    </w:pPr>
    <w:rPr>
      <w:szCs w:val="24"/>
    </w:rPr>
  </w:style>
  <w:style w:type="paragraph" w:customStyle="1" w:styleId="265">
    <w:name w:val="标2"/>
    <w:basedOn w:val="1"/>
    <w:qFormat/>
    <w:uiPriority w:val="0"/>
    <w:pPr>
      <w:ind w:firstLine="420" w:firstLineChars="200"/>
    </w:pPr>
    <w:rPr>
      <w:rFonts w:ascii="Times New Roman" w:hAnsi="Times New Roman"/>
      <w:szCs w:val="21"/>
    </w:rPr>
  </w:style>
  <w:style w:type="paragraph" w:customStyle="1" w:styleId="266">
    <w:name w:val="文档结构图1"/>
    <w:basedOn w:val="1"/>
    <w:qFormat/>
    <w:uiPriority w:val="0"/>
    <w:rPr>
      <w:rFonts w:ascii="宋体"/>
      <w:sz w:val="18"/>
      <w:szCs w:val="18"/>
    </w:rPr>
  </w:style>
  <w:style w:type="paragraph" w:customStyle="1" w:styleId="267">
    <w:name w:val="我的正文"/>
    <w:basedOn w:val="1"/>
    <w:qFormat/>
    <w:uiPriority w:val="0"/>
    <w:rPr>
      <w:rFonts w:ascii="宋体" w:hAnsi="宋体"/>
      <w:sz w:val="24"/>
      <w:szCs w:val="24"/>
    </w:rPr>
  </w:style>
  <w:style w:type="paragraph" w:customStyle="1" w:styleId="268">
    <w:name w:val="1"/>
    <w:basedOn w:val="1"/>
    <w:qFormat/>
    <w:uiPriority w:val="0"/>
    <w:rPr>
      <w:rFonts w:ascii="Times New Roman" w:hAnsi="Times New Roman"/>
      <w:szCs w:val="20"/>
    </w:rPr>
  </w:style>
  <w:style w:type="paragraph" w:customStyle="1" w:styleId="269">
    <w:name w:val="a4"/>
    <w:basedOn w:val="1"/>
    <w:qFormat/>
    <w:uiPriority w:val="0"/>
    <w:pPr>
      <w:widowControl/>
      <w:jc w:val="left"/>
    </w:pPr>
    <w:rPr>
      <w:rFonts w:ascii="宋体" w:hAnsi="宋体" w:cs="宋体"/>
      <w:kern w:val="0"/>
      <w:sz w:val="24"/>
      <w:szCs w:val="24"/>
    </w:rPr>
  </w:style>
  <w:style w:type="paragraph" w:customStyle="1" w:styleId="270">
    <w:name w:val="TOC 标题3"/>
    <w:basedOn w:val="3"/>
    <w:next w:val="1"/>
    <w:qFormat/>
    <w:uiPriority w:val="0"/>
    <w:pPr>
      <w:widowControl/>
      <w:spacing w:before="480" w:after="0" w:line="276" w:lineRule="auto"/>
      <w:jc w:val="left"/>
      <w:outlineLvl w:val="9"/>
    </w:pPr>
    <w:rPr>
      <w:rFonts w:ascii="Cambria" w:hAnsi="Cambria"/>
      <w:color w:val="365F91"/>
      <w:kern w:val="0"/>
      <w:sz w:val="28"/>
      <w:szCs w:val="28"/>
    </w:rPr>
  </w:style>
  <w:style w:type="paragraph" w:customStyle="1" w:styleId="271">
    <w:name w:val="表头"/>
    <w:basedOn w:val="1"/>
    <w:qFormat/>
    <w:uiPriority w:val="0"/>
    <w:pPr>
      <w:widowControl/>
      <w:spacing w:line="360" w:lineRule="auto"/>
      <w:jc w:val="center"/>
    </w:pPr>
    <w:rPr>
      <w:rFonts w:ascii="黑体" w:hAnsi="Times New Roman" w:eastAsia="黑体"/>
      <w:kern w:val="0"/>
      <w:sz w:val="24"/>
      <w:szCs w:val="20"/>
    </w:rPr>
  </w:style>
  <w:style w:type="paragraph" w:customStyle="1" w:styleId="272">
    <w:name w:val="_Style 468"/>
    <w:qFormat/>
    <w:uiPriority w:val="0"/>
    <w:pPr>
      <w:widowControl w:val="0"/>
      <w:jc w:val="both"/>
    </w:pPr>
    <w:rPr>
      <w:rFonts w:ascii="Calibri" w:hAnsi="Calibri" w:eastAsia="宋体" w:cs="Times New Roman"/>
      <w:kern w:val="2"/>
      <w:sz w:val="21"/>
      <w:szCs w:val="22"/>
      <w:lang w:val="en-US" w:eastAsia="zh-CN" w:bidi="ar-SA"/>
    </w:rPr>
  </w:style>
  <w:style w:type="paragraph" w:customStyle="1" w:styleId="273">
    <w:name w:val="发文落款"/>
    <w:basedOn w:val="274"/>
    <w:qFormat/>
    <w:uiPriority w:val="0"/>
    <w:pPr>
      <w:ind w:left="4094" w:right="607" w:firstLine="0"/>
      <w:jc w:val="center"/>
    </w:pPr>
  </w:style>
  <w:style w:type="paragraph" w:customStyle="1" w:styleId="274">
    <w:name w:val="公文正文"/>
    <w:qFormat/>
    <w:uiPriority w:val="0"/>
    <w:pPr>
      <w:widowControl w:val="0"/>
      <w:spacing w:line="360" w:lineRule="auto"/>
      <w:ind w:firstLine="629"/>
      <w:jc w:val="both"/>
    </w:pPr>
    <w:rPr>
      <w:rFonts w:ascii="仿宋_GB2312" w:hAnsi="Calisto MT" w:eastAsia="仿宋_GB2312" w:cs="Times New Roman"/>
      <w:color w:val="000000"/>
      <w:sz w:val="32"/>
      <w:lang w:val="en-US" w:eastAsia="zh-CN" w:bidi="ar-SA"/>
    </w:rPr>
  </w:style>
  <w:style w:type="paragraph" w:customStyle="1" w:styleId="275">
    <w:name w:val="xl147"/>
    <w:basedOn w:val="1"/>
    <w:qFormat/>
    <w:uiPriority w:val="0"/>
    <w:pPr>
      <w:widowControl/>
      <w:pBdr>
        <w:top w:val="single" w:color="auto" w:sz="4" w:space="0"/>
        <w:left w:val="single" w:color="auto" w:sz="8"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76">
    <w:name w:val="条款节部分"/>
    <w:basedOn w:val="1"/>
    <w:qFormat/>
    <w:uiPriority w:val="0"/>
    <w:pPr>
      <w:tabs>
        <w:tab w:val="left" w:pos="2850"/>
      </w:tabs>
    </w:pPr>
    <w:rPr>
      <w:rFonts w:eastAsia="仿宋_GB2312"/>
      <w:sz w:val="32"/>
      <w:szCs w:val="32"/>
    </w:rPr>
  </w:style>
  <w:style w:type="paragraph" w:customStyle="1" w:styleId="277">
    <w:name w:val="Char Char Char Char1"/>
    <w:basedOn w:val="1"/>
    <w:qFormat/>
    <w:uiPriority w:val="0"/>
    <w:rPr>
      <w:szCs w:val="24"/>
    </w:rPr>
  </w:style>
  <w:style w:type="paragraph" w:customStyle="1" w:styleId="278">
    <w:name w:val="正文 New New New New New"/>
    <w:qFormat/>
    <w:uiPriority w:val="0"/>
    <w:pPr>
      <w:widowControl w:val="0"/>
      <w:jc w:val="both"/>
    </w:pPr>
    <w:rPr>
      <w:rFonts w:ascii="Calibri" w:hAnsi="Calibri" w:eastAsia="宋体" w:cs="Times New Roman"/>
      <w:kern w:val="2"/>
      <w:sz w:val="24"/>
      <w:szCs w:val="24"/>
      <w:lang w:val="en-US" w:eastAsia="zh-CN" w:bidi="ar-SA"/>
    </w:rPr>
  </w:style>
  <w:style w:type="paragraph" w:customStyle="1" w:styleId="279">
    <w:name w:val="1."/>
    <w:basedOn w:val="1"/>
    <w:qFormat/>
    <w:uiPriority w:val="0"/>
    <w:pPr>
      <w:tabs>
        <w:tab w:val="left" w:pos="0"/>
        <w:tab w:val="left" w:pos="426"/>
        <w:tab w:val="left" w:pos="714"/>
      </w:tabs>
      <w:adjustRightInd w:val="0"/>
      <w:snapToGrid w:val="0"/>
      <w:spacing w:before="120" w:after="120" w:line="400" w:lineRule="atLeast"/>
      <w:ind w:left="425" w:hanging="425"/>
      <w:jc w:val="center"/>
      <w:textAlignment w:val="baseline"/>
    </w:pPr>
    <w:rPr>
      <w:rFonts w:ascii="Arial" w:hAnsi="Arial"/>
      <w:b/>
      <w:bCs/>
      <w:kern w:val="0"/>
      <w:sz w:val="32"/>
      <w:szCs w:val="20"/>
    </w:rPr>
  </w:style>
  <w:style w:type="paragraph" w:customStyle="1" w:styleId="280">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16"/>
      <w:szCs w:val="16"/>
    </w:rPr>
  </w:style>
  <w:style w:type="paragraph" w:customStyle="1" w:styleId="281">
    <w:name w:val="正题"/>
    <w:basedOn w:val="132"/>
    <w:next w:val="132"/>
    <w:qFormat/>
    <w:uiPriority w:val="0"/>
    <w:pPr>
      <w:ind w:firstLine="0" w:firstLineChars="0"/>
      <w:jc w:val="center"/>
    </w:pPr>
    <w:rPr>
      <w:rFonts w:eastAsia="黑体"/>
      <w:b/>
      <w:sz w:val="36"/>
      <w:szCs w:val="36"/>
    </w:rPr>
  </w:style>
  <w:style w:type="paragraph" w:customStyle="1" w:styleId="282">
    <w:name w:val="xl65"/>
    <w:basedOn w:val="1"/>
    <w:qFormat/>
    <w:uiPriority w:val="0"/>
    <w:pPr>
      <w:widowControl/>
      <w:spacing w:before="100" w:beforeAutospacing="1" w:after="100" w:afterAutospacing="1"/>
      <w:jc w:val="center"/>
    </w:pPr>
    <w:rPr>
      <w:rFonts w:ascii="宋体" w:hAnsi="宋体" w:cs="宋体"/>
      <w:kern w:val="0"/>
      <w:sz w:val="24"/>
      <w:szCs w:val="24"/>
    </w:rPr>
  </w:style>
  <w:style w:type="paragraph" w:customStyle="1" w:styleId="283">
    <w:name w:val="目录 32"/>
    <w:qFormat/>
    <w:uiPriority w:val="0"/>
    <w:rPr>
      <w:rFonts w:ascii="Calibri" w:hAnsi="Calibri" w:eastAsia="Calibri" w:cs="Calibri"/>
      <w:color w:val="000000"/>
      <w:lang w:val="en-US" w:eastAsia="zh-CN" w:bidi="ar-SA"/>
    </w:rPr>
  </w:style>
  <w:style w:type="paragraph" w:customStyle="1" w:styleId="284">
    <w:name w:val="样式 标题 2 + 段前: 0.5 行 段后: 0.5 行"/>
    <w:basedOn w:val="4"/>
    <w:qFormat/>
    <w:uiPriority w:val="0"/>
    <w:pPr>
      <w:spacing w:beforeLines="50" w:afterLines="50" w:line="400" w:lineRule="exact"/>
      <w:ind w:firstLine="643" w:firstLineChars="200"/>
      <w:jc w:val="center"/>
    </w:pPr>
    <w:rPr>
      <w:rFonts w:ascii="Arial" w:hAnsi="Arial" w:eastAsia="黑体" w:cs="宋体"/>
      <w:kern w:val="2"/>
      <w:szCs w:val="20"/>
      <w:lang w:val="en-US"/>
    </w:rPr>
  </w:style>
  <w:style w:type="paragraph" w:customStyle="1" w:styleId="285">
    <w:name w:val="列出段落2"/>
    <w:basedOn w:val="1"/>
    <w:qFormat/>
    <w:uiPriority w:val="0"/>
    <w:pPr>
      <w:widowControl/>
      <w:ind w:firstLine="420" w:firstLineChars="200"/>
      <w:jc w:val="left"/>
    </w:pPr>
    <w:rPr>
      <w:kern w:val="0"/>
      <w:sz w:val="24"/>
      <w:szCs w:val="24"/>
      <w:lang w:eastAsia="en-US"/>
    </w:rPr>
  </w:style>
  <w:style w:type="paragraph" w:customStyle="1" w:styleId="286">
    <w:name w:val="目录 21"/>
    <w:qFormat/>
    <w:uiPriority w:val="0"/>
    <w:pPr>
      <w:widowControl w:val="0"/>
      <w:tabs>
        <w:tab w:val="right" w:leader="dot" w:pos="9710"/>
      </w:tabs>
      <w:ind w:left="283"/>
    </w:pPr>
    <w:rPr>
      <w:rFonts w:ascii="Times New Roman Bold" w:hAnsi="Times New Roman Bold" w:eastAsia="Times New Roman Bold" w:cs="Times New Roman Bold"/>
      <w:color w:val="000000"/>
      <w:kern w:val="2"/>
      <w:lang w:val="en-US" w:eastAsia="zh-CN" w:bidi="ar-SA"/>
    </w:rPr>
  </w:style>
  <w:style w:type="paragraph" w:customStyle="1" w:styleId="287">
    <w:name w:val="封四"/>
    <w:basedOn w:val="132"/>
    <w:next w:val="132"/>
    <w:qFormat/>
    <w:uiPriority w:val="0"/>
    <w:pPr>
      <w:jc w:val="left"/>
    </w:pPr>
    <w:rPr>
      <w:sz w:val="30"/>
      <w:szCs w:val="30"/>
    </w:rPr>
  </w:style>
  <w:style w:type="paragraph" w:customStyle="1" w:styleId="288">
    <w:name w:val="Char Char Char Char Char Char Char Char Char1 Char Char Char Char Char Char Char Char Char Char Char Char Char"/>
    <w:basedOn w:val="3"/>
    <w:qFormat/>
    <w:uiPriority w:val="0"/>
    <w:pPr>
      <w:snapToGrid w:val="0"/>
      <w:spacing w:before="240" w:after="240" w:line="348" w:lineRule="auto"/>
    </w:pPr>
    <w:rPr>
      <w:rFonts w:ascii="Times New Roman" w:hAnsi="Times New Roman"/>
      <w:lang w:val="en-US"/>
    </w:rPr>
  </w:style>
  <w:style w:type="paragraph" w:customStyle="1" w:styleId="289">
    <w:name w:val="xl99"/>
    <w:basedOn w:val="1"/>
    <w:qFormat/>
    <w:uiPriority w:val="0"/>
    <w:pPr>
      <w:widowControl/>
      <w:pBdr>
        <w:left w:val="single" w:color="auto" w:sz="4" w:space="0"/>
        <w:bottom w:val="double" w:color="auto" w:sz="6" w:space="0"/>
        <w:right w:val="single" w:color="auto" w:sz="4" w:space="0"/>
      </w:pBdr>
      <w:spacing w:before="100" w:beforeAutospacing="1" w:after="100" w:afterAutospacing="1"/>
      <w:jc w:val="left"/>
      <w:textAlignment w:val="top"/>
    </w:pPr>
    <w:rPr>
      <w:rFonts w:ascii="宋体" w:hAnsi="宋体" w:cs="宋体"/>
      <w:kern w:val="0"/>
      <w:sz w:val="16"/>
      <w:szCs w:val="16"/>
    </w:rPr>
  </w:style>
  <w:style w:type="paragraph" w:customStyle="1" w:styleId="290">
    <w:name w:val="xl102"/>
    <w:basedOn w:val="1"/>
    <w:qFormat/>
    <w:uiPriority w:val="0"/>
    <w:pPr>
      <w:widowControl/>
      <w:pBdr>
        <w:top w:val="single" w:color="auto" w:sz="4" w:space="0"/>
        <w:left w:val="single" w:color="auto" w:sz="4" w:space="0"/>
        <w:right w:val="single" w:color="auto" w:sz="8" w:space="0"/>
      </w:pBdr>
      <w:spacing w:before="100" w:beforeAutospacing="1" w:after="100" w:afterAutospacing="1"/>
      <w:jc w:val="left"/>
      <w:textAlignment w:val="top"/>
    </w:pPr>
    <w:rPr>
      <w:rFonts w:ascii="宋体" w:hAnsi="宋体" w:cs="宋体"/>
      <w:kern w:val="0"/>
      <w:sz w:val="16"/>
      <w:szCs w:val="16"/>
    </w:rPr>
  </w:style>
  <w:style w:type="paragraph" w:customStyle="1" w:styleId="291">
    <w:name w:val="目录 31"/>
    <w:qFormat/>
    <w:uiPriority w:val="0"/>
    <w:rPr>
      <w:rFonts w:ascii="Calibri" w:hAnsi="Calibri" w:eastAsia="Calibri" w:cs="Calibri"/>
      <w:color w:val="000000"/>
      <w:lang w:val="en-US" w:eastAsia="zh-CN" w:bidi="ar-SA"/>
    </w:rPr>
  </w:style>
  <w:style w:type="paragraph" w:customStyle="1" w:styleId="292">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6"/>
      <w:szCs w:val="16"/>
    </w:rPr>
  </w:style>
  <w:style w:type="paragraph" w:customStyle="1" w:styleId="293">
    <w:name w:val="修订11"/>
    <w:qFormat/>
    <w:uiPriority w:val="0"/>
    <w:rPr>
      <w:rFonts w:ascii="Calibri" w:hAnsi="Calibri" w:eastAsia="宋体" w:cs="Times New Roman"/>
      <w:kern w:val="2"/>
      <w:sz w:val="21"/>
      <w:szCs w:val="24"/>
      <w:lang w:val="en-US" w:eastAsia="zh-CN" w:bidi="ar-SA"/>
    </w:rPr>
  </w:style>
  <w:style w:type="paragraph" w:customStyle="1" w:styleId="294">
    <w:name w:val="普通 (Web)"/>
    <w:basedOn w:val="1"/>
    <w:qFormat/>
    <w:uiPriority w:val="99"/>
    <w:pPr>
      <w:widowControl/>
      <w:spacing w:before="102" w:after="102" w:line="351" w:lineRule="atLeast"/>
      <w:ind w:firstLine="419"/>
      <w:jc w:val="left"/>
      <w:textAlignment w:val="baseline"/>
    </w:pPr>
    <w:rPr>
      <w:rFonts w:ascii="宋体"/>
      <w:color w:val="999999"/>
      <w:kern w:val="0"/>
      <w:sz w:val="24"/>
      <w:szCs w:val="20"/>
    </w:rPr>
  </w:style>
  <w:style w:type="paragraph" w:customStyle="1" w:styleId="295">
    <w:name w:val="标题2"/>
    <w:basedOn w:val="4"/>
    <w:next w:val="1"/>
    <w:qFormat/>
    <w:uiPriority w:val="0"/>
    <w:pPr>
      <w:spacing w:before="120" w:after="0" w:line="240" w:lineRule="auto"/>
      <w:ind w:left="284" w:firstLine="567"/>
    </w:pPr>
    <w:rPr>
      <w:rFonts w:ascii="Cambria" w:hAnsi="Cambria"/>
      <w:kern w:val="2"/>
      <w:lang w:val="en-US"/>
    </w:rPr>
  </w:style>
  <w:style w:type="paragraph" w:customStyle="1" w:styleId="296">
    <w:name w:val="默认段落字体 Para Char Char Char Char Char Char Char Char Char Char Char Char Char"/>
    <w:basedOn w:val="1"/>
    <w:qFormat/>
    <w:uiPriority w:val="0"/>
    <w:rPr>
      <w:szCs w:val="24"/>
    </w:rPr>
  </w:style>
  <w:style w:type="paragraph" w:customStyle="1" w:styleId="297">
    <w:name w:val="xl159"/>
    <w:basedOn w:val="1"/>
    <w:qFormat/>
    <w:uiPriority w:val="0"/>
    <w:pPr>
      <w:widowControl/>
      <w:pBdr>
        <w:top w:val="double" w:color="auto" w:sz="6" w:space="0"/>
        <w:right w:val="single" w:color="auto" w:sz="4" w:space="0"/>
      </w:pBdr>
      <w:spacing w:before="100" w:beforeAutospacing="1" w:after="100" w:afterAutospacing="1"/>
      <w:jc w:val="center"/>
    </w:pPr>
    <w:rPr>
      <w:rFonts w:ascii="宋体" w:hAnsi="宋体" w:cs="宋体"/>
      <w:color w:val="000000"/>
      <w:kern w:val="0"/>
      <w:sz w:val="16"/>
      <w:szCs w:val="16"/>
    </w:rPr>
  </w:style>
  <w:style w:type="paragraph" w:customStyle="1" w:styleId="298">
    <w:name w:val="List Paragraph1"/>
    <w:basedOn w:val="1"/>
    <w:qFormat/>
    <w:uiPriority w:val="0"/>
    <w:pPr>
      <w:ind w:firstLine="420" w:firstLineChars="200"/>
    </w:pPr>
    <w:rPr>
      <w:szCs w:val="20"/>
    </w:rPr>
  </w:style>
  <w:style w:type="paragraph" w:customStyle="1" w:styleId="299">
    <w:name w:val="xl74"/>
    <w:basedOn w:val="1"/>
    <w:qFormat/>
    <w:uiPriority w:val="0"/>
    <w:pPr>
      <w:widowControl/>
      <w:pBdr>
        <w:top w:val="double" w:color="auto" w:sz="6" w:space="0"/>
        <w:left w:val="single" w:color="auto" w:sz="4" w:space="0"/>
        <w:bottom w:val="single" w:color="auto" w:sz="4" w:space="0"/>
        <w:right w:val="single" w:color="auto" w:sz="8" w:space="0"/>
      </w:pBdr>
      <w:spacing w:before="100" w:beforeAutospacing="1" w:after="100" w:afterAutospacing="1"/>
      <w:jc w:val="center"/>
    </w:pPr>
    <w:rPr>
      <w:rFonts w:ascii="宋体" w:hAnsi="宋体" w:cs="宋体"/>
      <w:kern w:val="0"/>
      <w:sz w:val="16"/>
      <w:szCs w:val="16"/>
    </w:rPr>
  </w:style>
  <w:style w:type="paragraph" w:customStyle="1" w:styleId="300">
    <w:name w:val="xl89"/>
    <w:basedOn w:val="1"/>
    <w:qFormat/>
    <w:uiPriority w:val="0"/>
    <w:pPr>
      <w:widowControl/>
      <w:pBdr>
        <w:top w:val="double" w:color="auto" w:sz="6"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C0C0C0"/>
      <w:kern w:val="0"/>
      <w:sz w:val="16"/>
      <w:szCs w:val="16"/>
    </w:rPr>
  </w:style>
  <w:style w:type="paragraph" w:customStyle="1" w:styleId="301">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302">
    <w:name w:val="封一"/>
    <w:basedOn w:val="1"/>
    <w:next w:val="1"/>
    <w:qFormat/>
    <w:uiPriority w:val="0"/>
    <w:pPr>
      <w:topLinePunct/>
      <w:adjustRightInd w:val="0"/>
      <w:snapToGrid w:val="0"/>
      <w:spacing w:line="360" w:lineRule="auto"/>
      <w:jc w:val="center"/>
    </w:pPr>
    <w:rPr>
      <w:rFonts w:eastAsia="黑体"/>
      <w:b/>
      <w:snapToGrid w:val="0"/>
      <w:spacing w:val="4"/>
      <w:kern w:val="0"/>
      <w:sz w:val="84"/>
      <w:szCs w:val="84"/>
    </w:rPr>
  </w:style>
  <w:style w:type="paragraph" w:customStyle="1" w:styleId="303">
    <w:name w:val="正文 + 宋体"/>
    <w:basedOn w:val="1"/>
    <w:qFormat/>
    <w:uiPriority w:val="0"/>
    <w:pPr>
      <w:snapToGrid w:val="0"/>
      <w:spacing w:after="100" w:afterAutospacing="1"/>
    </w:pPr>
    <w:rPr>
      <w:rFonts w:ascii="宋体" w:hAnsi="宋体"/>
      <w:bCs/>
      <w:spacing w:val="4"/>
      <w:sz w:val="24"/>
      <w:szCs w:val="24"/>
    </w:rPr>
  </w:style>
  <w:style w:type="paragraph" w:customStyle="1" w:styleId="304">
    <w:name w:val="xl88"/>
    <w:basedOn w:val="1"/>
    <w:qFormat/>
    <w:uiPriority w:val="0"/>
    <w:pPr>
      <w:widowControl/>
      <w:pBdr>
        <w:top w:val="double" w:color="auto" w:sz="6"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16"/>
      <w:szCs w:val="16"/>
    </w:rPr>
  </w:style>
  <w:style w:type="paragraph" w:customStyle="1" w:styleId="305">
    <w:name w:val="Char Char Char Char"/>
    <w:basedOn w:val="16"/>
    <w:qFormat/>
    <w:uiPriority w:val="0"/>
    <w:pPr>
      <w:shd w:val="clear" w:color="auto" w:fill="000080"/>
    </w:pPr>
    <w:rPr>
      <w:rFonts w:ascii="Tahoma" w:hAnsi="Tahoma"/>
      <w:kern w:val="0"/>
      <w:sz w:val="24"/>
      <w:szCs w:val="24"/>
      <w:lang w:val="en-US"/>
    </w:rPr>
  </w:style>
  <w:style w:type="paragraph" w:customStyle="1" w:styleId="306">
    <w:name w:val="正文 + 小四"/>
    <w:basedOn w:val="1"/>
    <w:qFormat/>
    <w:uiPriority w:val="0"/>
    <w:pPr>
      <w:tabs>
        <w:tab w:val="left" w:pos="960"/>
      </w:tabs>
    </w:pPr>
    <w:rPr>
      <w:sz w:val="24"/>
      <w:szCs w:val="24"/>
    </w:rPr>
  </w:style>
  <w:style w:type="paragraph" w:customStyle="1" w:styleId="307">
    <w:name w:val="Char1 Char Char Char Char Char Char"/>
    <w:basedOn w:val="16"/>
    <w:next w:val="5"/>
    <w:qFormat/>
    <w:uiPriority w:val="0"/>
    <w:pPr>
      <w:shd w:val="clear" w:color="auto" w:fill="000080"/>
      <w:adjustRightInd w:val="0"/>
      <w:spacing w:line="600" w:lineRule="exact"/>
      <w:jc w:val="center"/>
      <w:outlineLvl w:val="2"/>
    </w:pPr>
    <w:rPr>
      <w:rFonts w:ascii="Times New Roman" w:hAnsi="Times New Roman"/>
      <w:kern w:val="0"/>
      <w:sz w:val="21"/>
      <w:szCs w:val="20"/>
      <w:lang w:val="en-US"/>
    </w:rPr>
  </w:style>
  <w:style w:type="paragraph" w:customStyle="1" w:styleId="308">
    <w:name w:val="Char Char Char Char Char Char Char Char Char Char Char Char Char Char Char Char Char Char Char Char Char Char Char Char Char Char Char Char Char Char Char"/>
    <w:basedOn w:val="1"/>
    <w:qFormat/>
    <w:uiPriority w:val="0"/>
    <w:rPr>
      <w:szCs w:val="21"/>
    </w:rPr>
  </w:style>
  <w:style w:type="paragraph" w:customStyle="1" w:styleId="309">
    <w:name w:val="xl70"/>
    <w:basedOn w:val="1"/>
    <w:qFormat/>
    <w:uiPriority w:val="0"/>
    <w:pPr>
      <w:widowControl/>
      <w:pBdr>
        <w:top w:val="double" w:color="auto" w:sz="6"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FF"/>
      <w:kern w:val="0"/>
      <w:sz w:val="16"/>
      <w:szCs w:val="16"/>
    </w:rPr>
  </w:style>
  <w:style w:type="paragraph" w:customStyle="1" w:styleId="310">
    <w:name w:val="Char Char Char Char Char Char Char Char Char Char"/>
    <w:qFormat/>
    <w:uiPriority w:val="0"/>
    <w:pPr>
      <w:widowControl w:val="0"/>
      <w:jc w:val="both"/>
    </w:pPr>
    <w:rPr>
      <w:rFonts w:hint="eastAsia" w:ascii="Arial Unicode MS" w:hAnsi="Arial Unicode MS" w:eastAsia="Arial Unicode MS" w:cs="Arial Unicode MS"/>
      <w:color w:val="000000"/>
      <w:kern w:val="2"/>
      <w:sz w:val="24"/>
      <w:szCs w:val="24"/>
      <w:lang w:val="en-US" w:eastAsia="zh-CN" w:bidi="ar-SA"/>
    </w:rPr>
  </w:style>
  <w:style w:type="paragraph" w:customStyle="1" w:styleId="311">
    <w:name w:val="目录"/>
    <w:basedOn w:val="1"/>
    <w:qFormat/>
    <w:uiPriority w:val="0"/>
    <w:pPr>
      <w:widowControl/>
      <w:jc w:val="center"/>
    </w:pPr>
    <w:rPr>
      <w:rFonts w:ascii="宋体"/>
      <w:b/>
      <w:kern w:val="0"/>
      <w:sz w:val="36"/>
      <w:szCs w:val="20"/>
    </w:rPr>
  </w:style>
  <w:style w:type="paragraph" w:customStyle="1" w:styleId="312">
    <w:name w:val="xl157"/>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ascii="宋体" w:hAnsi="宋体" w:cs="宋体"/>
      <w:kern w:val="0"/>
      <w:sz w:val="16"/>
      <w:szCs w:val="16"/>
    </w:rPr>
  </w:style>
  <w:style w:type="paragraph" w:customStyle="1" w:styleId="313">
    <w:name w:val="xl165"/>
    <w:basedOn w:val="1"/>
    <w:qFormat/>
    <w:uiPriority w:val="0"/>
    <w:pPr>
      <w:widowControl/>
      <w:pBdr>
        <w:bottom w:val="double" w:color="auto" w:sz="6" w:space="0"/>
        <w:right w:val="single" w:color="auto" w:sz="4" w:space="0"/>
      </w:pBdr>
      <w:spacing w:before="100" w:beforeAutospacing="1" w:after="100" w:afterAutospacing="1"/>
      <w:jc w:val="center"/>
    </w:pPr>
    <w:rPr>
      <w:rFonts w:ascii="宋体" w:hAnsi="宋体" w:cs="宋体"/>
      <w:color w:val="0000FF"/>
      <w:kern w:val="0"/>
      <w:sz w:val="16"/>
      <w:szCs w:val="16"/>
    </w:rPr>
  </w:style>
  <w:style w:type="paragraph" w:customStyle="1" w:styleId="314">
    <w:name w:val="xl68"/>
    <w:basedOn w:val="1"/>
    <w:qFormat/>
    <w:uiPriority w:val="0"/>
    <w:pPr>
      <w:widowControl/>
      <w:pBdr>
        <w:top w:val="single" w:color="auto" w:sz="8" w:space="0"/>
        <w:left w:val="single" w:color="auto" w:sz="4" w:space="0"/>
        <w:bottom w:val="double" w:color="auto" w:sz="6"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315">
    <w:name w:val="new"/>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316">
    <w:name w:val="Char Char Char Char Char Char Char"/>
    <w:basedOn w:val="1"/>
    <w:qFormat/>
    <w:uiPriority w:val="0"/>
    <w:pPr>
      <w:tabs>
        <w:tab w:val="right" w:leader="middleDot" w:pos="360"/>
      </w:tabs>
    </w:pPr>
    <w:rPr>
      <w:color w:val="000000"/>
      <w:kern w:val="1"/>
      <w:sz w:val="24"/>
      <w:szCs w:val="24"/>
    </w:rPr>
  </w:style>
  <w:style w:type="paragraph" w:customStyle="1" w:styleId="317">
    <w:name w:val="_Style 197"/>
    <w:qFormat/>
    <w:uiPriority w:val="99"/>
    <w:rPr>
      <w:rFonts w:ascii="Calibri" w:hAnsi="Calibri" w:eastAsia="宋体" w:cs="Times New Roman"/>
      <w:kern w:val="2"/>
      <w:sz w:val="21"/>
      <w:szCs w:val="24"/>
      <w:lang w:val="en-US" w:eastAsia="zh-CN" w:bidi="ar-SA"/>
    </w:rPr>
  </w:style>
  <w:style w:type="paragraph" w:customStyle="1" w:styleId="318">
    <w:name w:val="TOC 标题2"/>
    <w:basedOn w:val="3"/>
    <w:next w:val="1"/>
    <w:unhideWhenUsed/>
    <w:qFormat/>
    <w:uiPriority w:val="39"/>
    <w:pPr>
      <w:widowControl/>
      <w:spacing w:before="480" w:after="0" w:line="276" w:lineRule="auto"/>
      <w:jc w:val="left"/>
      <w:outlineLvl w:val="9"/>
    </w:pPr>
    <w:rPr>
      <w:rFonts w:ascii="Cambria" w:hAnsi="Cambria"/>
      <w:color w:val="365F91"/>
      <w:kern w:val="0"/>
      <w:sz w:val="28"/>
      <w:szCs w:val="28"/>
      <w:lang w:val="en-US"/>
    </w:rPr>
  </w:style>
  <w:style w:type="paragraph" w:customStyle="1" w:styleId="319">
    <w:name w:val="封三"/>
    <w:basedOn w:val="132"/>
    <w:next w:val="132"/>
    <w:qFormat/>
    <w:uiPriority w:val="0"/>
    <w:pPr>
      <w:ind w:firstLine="0" w:firstLineChars="0"/>
      <w:jc w:val="center"/>
    </w:pPr>
    <w:rPr>
      <w:sz w:val="30"/>
    </w:rPr>
  </w:style>
  <w:style w:type="paragraph" w:customStyle="1" w:styleId="320">
    <w:name w:val="xl100"/>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color w:val="C0C0C0"/>
      <w:kern w:val="0"/>
      <w:sz w:val="16"/>
      <w:szCs w:val="16"/>
    </w:rPr>
  </w:style>
  <w:style w:type="paragraph" w:customStyle="1" w:styleId="321">
    <w:name w:val="_Style 23"/>
    <w:basedOn w:val="1"/>
    <w:qFormat/>
    <w:uiPriority w:val="0"/>
    <w:pPr>
      <w:widowControl/>
      <w:spacing w:after="160" w:line="240" w:lineRule="exact"/>
      <w:jc w:val="left"/>
    </w:pPr>
  </w:style>
  <w:style w:type="paragraph" w:customStyle="1" w:styleId="322">
    <w:name w:val="章节三"/>
    <w:basedOn w:val="132"/>
    <w:next w:val="132"/>
    <w:qFormat/>
    <w:uiPriority w:val="0"/>
    <w:pPr>
      <w:spacing w:beforeLines="50" w:afterLines="50" w:line="240" w:lineRule="auto"/>
      <w:ind w:firstLine="0" w:firstLineChars="0"/>
      <w:jc w:val="left"/>
      <w:outlineLvl w:val="2"/>
    </w:pPr>
    <w:rPr>
      <w:rFonts w:ascii="黑体" w:hAnsi="宋体" w:eastAsia="黑体"/>
      <w:b/>
    </w:rPr>
  </w:style>
  <w:style w:type="paragraph" w:customStyle="1" w:styleId="323">
    <w:name w:val="msolistparagraph"/>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324">
    <w:name w:val="xl149"/>
    <w:basedOn w:val="1"/>
    <w:qFormat/>
    <w:uiPriority w:val="0"/>
    <w:pPr>
      <w:widowControl/>
      <w:pBdr>
        <w:top w:val="single" w:color="auto" w:sz="4" w:space="0"/>
        <w:right w:val="single" w:color="auto" w:sz="4" w:space="0"/>
      </w:pBdr>
      <w:spacing w:before="100" w:beforeAutospacing="1" w:after="100" w:afterAutospacing="1"/>
      <w:jc w:val="center"/>
    </w:pPr>
    <w:rPr>
      <w:rFonts w:ascii="宋体" w:hAnsi="宋体" w:cs="宋体"/>
      <w:color w:val="0000FF"/>
      <w:kern w:val="0"/>
      <w:sz w:val="16"/>
      <w:szCs w:val="16"/>
    </w:rPr>
  </w:style>
  <w:style w:type="paragraph" w:customStyle="1" w:styleId="325">
    <w:name w:val="n_p_lineheight"/>
    <w:basedOn w:val="1"/>
    <w:qFormat/>
    <w:uiPriority w:val="0"/>
    <w:pPr>
      <w:widowControl/>
      <w:jc w:val="left"/>
    </w:pPr>
    <w:rPr>
      <w:rFonts w:ascii="宋体" w:hAnsi="宋体" w:cs="宋体"/>
      <w:kern w:val="0"/>
      <w:sz w:val="24"/>
      <w:szCs w:val="24"/>
    </w:rPr>
  </w:style>
  <w:style w:type="paragraph" w:customStyle="1" w:styleId="326">
    <w:name w:val="样式 WG标题3居中 + 行距: 固定值 18 磅"/>
    <w:basedOn w:val="1"/>
    <w:qFormat/>
    <w:uiPriority w:val="0"/>
    <w:pPr>
      <w:spacing w:before="100" w:beforeAutospacing="1" w:after="100" w:afterAutospacing="1" w:line="360" w:lineRule="exact"/>
      <w:jc w:val="center"/>
      <w:outlineLvl w:val="2"/>
    </w:pPr>
    <w:rPr>
      <w:rFonts w:cs="宋体"/>
      <w:b/>
      <w:bCs/>
      <w:sz w:val="32"/>
      <w:szCs w:val="20"/>
    </w:rPr>
  </w:style>
  <w:style w:type="paragraph" w:customStyle="1" w:styleId="327">
    <w:name w:val="Char1"/>
    <w:basedOn w:val="1"/>
    <w:qFormat/>
    <w:uiPriority w:val="0"/>
    <w:rPr>
      <w:rFonts w:ascii="Tahoma" w:hAnsi="Tahoma"/>
      <w:b/>
      <w:sz w:val="28"/>
      <w:szCs w:val="28"/>
    </w:rPr>
  </w:style>
  <w:style w:type="paragraph" w:customStyle="1" w:styleId="328">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FF"/>
      <w:kern w:val="0"/>
      <w:sz w:val="16"/>
      <w:szCs w:val="16"/>
    </w:rPr>
  </w:style>
  <w:style w:type="paragraph" w:customStyle="1" w:styleId="329">
    <w:name w:val="List Paragraph11"/>
    <w:basedOn w:val="1"/>
    <w:qFormat/>
    <w:uiPriority w:val="34"/>
    <w:pPr>
      <w:adjustRightInd w:val="0"/>
      <w:spacing w:line="312" w:lineRule="atLeast"/>
      <w:ind w:firstLine="420" w:firstLineChars="200"/>
      <w:textAlignment w:val="baseline"/>
    </w:pPr>
    <w:rPr>
      <w:kern w:val="0"/>
      <w:szCs w:val="20"/>
    </w:rPr>
  </w:style>
  <w:style w:type="paragraph" w:customStyle="1" w:styleId="330">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331">
    <w:name w:val="p0"/>
    <w:basedOn w:val="1"/>
    <w:qFormat/>
    <w:uiPriority w:val="0"/>
    <w:pPr>
      <w:widowControl/>
    </w:pPr>
    <w:rPr>
      <w:kern w:val="0"/>
      <w:szCs w:val="21"/>
    </w:rPr>
  </w:style>
  <w:style w:type="paragraph" w:customStyle="1" w:styleId="332">
    <w:name w:val="纯文本11"/>
    <w:basedOn w:val="1"/>
    <w:qFormat/>
    <w:uiPriority w:val="0"/>
    <w:pPr>
      <w:adjustRightInd w:val="0"/>
      <w:jc w:val="left"/>
      <w:textAlignment w:val="baseline"/>
    </w:pPr>
    <w:rPr>
      <w:rFonts w:ascii="宋体" w:hAnsi="Courier New"/>
      <w:sz w:val="24"/>
      <w:szCs w:val="20"/>
    </w:rPr>
  </w:style>
  <w:style w:type="paragraph" w:customStyle="1" w:styleId="333">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C0C0C0"/>
      <w:kern w:val="0"/>
      <w:sz w:val="16"/>
      <w:szCs w:val="16"/>
    </w:rPr>
  </w:style>
  <w:style w:type="paragraph" w:customStyle="1" w:styleId="334">
    <w:name w:val="xl112"/>
    <w:basedOn w:val="1"/>
    <w:qFormat/>
    <w:uiPriority w:val="0"/>
    <w:pPr>
      <w:widowControl/>
      <w:pBdr>
        <w:top w:val="single" w:color="auto" w:sz="4" w:space="0"/>
        <w:left w:val="single" w:color="auto" w:sz="4" w:space="0"/>
        <w:bottom w:val="double" w:color="auto" w:sz="6" w:space="0"/>
      </w:pBdr>
      <w:spacing w:before="100" w:beforeAutospacing="1" w:after="100" w:afterAutospacing="1"/>
      <w:jc w:val="left"/>
      <w:textAlignment w:val="top"/>
    </w:pPr>
    <w:rPr>
      <w:rFonts w:ascii="宋体" w:hAnsi="宋体" w:cs="宋体"/>
      <w:kern w:val="0"/>
      <w:sz w:val="16"/>
      <w:szCs w:val="16"/>
    </w:rPr>
  </w:style>
  <w:style w:type="paragraph" w:customStyle="1" w:styleId="335">
    <w:name w:val="xl87"/>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ascii="宋体" w:hAnsi="宋体" w:cs="宋体"/>
      <w:kern w:val="0"/>
      <w:sz w:val="16"/>
      <w:szCs w:val="16"/>
    </w:rPr>
  </w:style>
  <w:style w:type="paragraph" w:customStyle="1" w:styleId="336">
    <w:name w:val="xl155"/>
    <w:basedOn w:val="1"/>
    <w:qFormat/>
    <w:uiPriority w:val="0"/>
    <w:pPr>
      <w:widowControl/>
      <w:pBdr>
        <w:left w:val="single" w:color="auto" w:sz="8" w:space="0"/>
        <w:bottom w:val="double" w:color="auto" w:sz="6"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37">
    <w:name w:val="xl122"/>
    <w:basedOn w:val="1"/>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jc w:val="center"/>
    </w:pPr>
    <w:rPr>
      <w:rFonts w:ascii="宋体" w:hAnsi="宋体" w:cs="宋体"/>
      <w:color w:val="3366FF"/>
      <w:kern w:val="0"/>
      <w:sz w:val="16"/>
      <w:szCs w:val="16"/>
    </w:rPr>
  </w:style>
  <w:style w:type="paragraph" w:customStyle="1" w:styleId="338">
    <w:name w:val="xl163"/>
    <w:basedOn w:val="1"/>
    <w:qFormat/>
    <w:uiPriority w:val="0"/>
    <w:pPr>
      <w:widowControl/>
      <w:pBdr>
        <w:top w:val="double" w:color="auto" w:sz="6" w:space="0"/>
        <w:right w:val="single" w:color="auto" w:sz="4" w:space="0"/>
      </w:pBdr>
      <w:spacing w:before="100" w:beforeAutospacing="1" w:after="100" w:afterAutospacing="1"/>
      <w:jc w:val="center"/>
    </w:pPr>
    <w:rPr>
      <w:rFonts w:ascii="宋体" w:hAnsi="宋体" w:cs="宋体"/>
      <w:color w:val="0000FF"/>
      <w:kern w:val="0"/>
      <w:sz w:val="16"/>
      <w:szCs w:val="16"/>
    </w:rPr>
  </w:style>
  <w:style w:type="paragraph" w:customStyle="1" w:styleId="339">
    <w:name w:val="xl126"/>
    <w:basedOn w:val="1"/>
    <w:qFormat/>
    <w:uiPriority w:val="0"/>
    <w:pPr>
      <w:widowControl/>
      <w:pBdr>
        <w:bottom w:val="single" w:color="auto" w:sz="8" w:space="0"/>
      </w:pBdr>
      <w:spacing w:before="100" w:beforeAutospacing="1" w:after="100" w:afterAutospacing="1"/>
      <w:jc w:val="left"/>
    </w:pPr>
    <w:rPr>
      <w:rFonts w:ascii="宋体" w:hAnsi="宋体" w:cs="宋体"/>
      <w:kern w:val="0"/>
      <w:sz w:val="18"/>
      <w:szCs w:val="18"/>
    </w:rPr>
  </w:style>
  <w:style w:type="paragraph" w:customStyle="1" w:styleId="340">
    <w:name w:val="样式 标题 3  1、Heading 3 - old子系统h33rd level3H3章标题1三级标题l3CT..."/>
    <w:basedOn w:val="5"/>
    <w:qFormat/>
    <w:uiPriority w:val="0"/>
    <w:pPr>
      <w:spacing w:before="120" w:after="120" w:line="360" w:lineRule="auto"/>
    </w:pPr>
    <w:rPr>
      <w:rFonts w:ascii="Calibri"/>
      <w:bCs w:val="0"/>
      <w:color w:val="000000"/>
      <w:kern w:val="1"/>
    </w:rPr>
  </w:style>
  <w:style w:type="paragraph" w:customStyle="1" w:styleId="341">
    <w:name w:val="xl90"/>
    <w:basedOn w:val="1"/>
    <w:qFormat/>
    <w:uiPriority w:val="0"/>
    <w:pPr>
      <w:widowControl/>
      <w:pBdr>
        <w:top w:val="double" w:color="auto" w:sz="6"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cs="宋体"/>
      <w:kern w:val="0"/>
      <w:sz w:val="16"/>
      <w:szCs w:val="16"/>
    </w:rPr>
  </w:style>
  <w:style w:type="paragraph" w:customStyle="1" w:styleId="342">
    <w:name w:val="xl132"/>
    <w:basedOn w:val="1"/>
    <w:qFormat/>
    <w:uiPriority w:val="0"/>
    <w:pPr>
      <w:widowControl/>
      <w:pBdr>
        <w:bottom w:val="single" w:color="auto" w:sz="8" w:space="0"/>
      </w:pBdr>
      <w:spacing w:before="100" w:beforeAutospacing="1" w:after="100" w:afterAutospacing="1"/>
      <w:jc w:val="left"/>
    </w:pPr>
    <w:rPr>
      <w:rFonts w:ascii="宋体" w:hAnsi="宋体" w:cs="宋体"/>
      <w:kern w:val="0"/>
      <w:sz w:val="20"/>
      <w:szCs w:val="20"/>
    </w:rPr>
  </w:style>
  <w:style w:type="paragraph" w:customStyle="1" w:styleId="343">
    <w:name w:val="xl114"/>
    <w:basedOn w:val="1"/>
    <w:qFormat/>
    <w:uiPriority w:val="0"/>
    <w:pPr>
      <w:widowControl/>
      <w:pBdr>
        <w:top w:val="single" w:color="auto" w:sz="4" w:space="0"/>
        <w:left w:val="single" w:color="auto" w:sz="8" w:space="0"/>
        <w:bottom w:val="single" w:color="auto" w:sz="4" w:space="0"/>
        <w:right w:val="single" w:color="auto" w:sz="8" w:space="0"/>
      </w:pBdr>
      <w:spacing w:before="100" w:beforeAutospacing="1" w:after="100" w:afterAutospacing="1"/>
      <w:jc w:val="left"/>
      <w:textAlignment w:val="top"/>
    </w:pPr>
    <w:rPr>
      <w:rFonts w:ascii="宋体" w:hAnsi="宋体" w:cs="宋体"/>
      <w:kern w:val="0"/>
      <w:sz w:val="16"/>
      <w:szCs w:val="16"/>
    </w:rPr>
  </w:style>
  <w:style w:type="paragraph" w:customStyle="1" w:styleId="344">
    <w:name w:val="xl118"/>
    <w:basedOn w:val="1"/>
    <w:qFormat/>
    <w:uiPriority w:val="0"/>
    <w:pPr>
      <w:widowControl/>
      <w:pBdr>
        <w:left w:val="single" w:color="auto" w:sz="4" w:space="0"/>
        <w:bottom w:val="single" w:color="auto" w:sz="4" w:space="0"/>
        <w:right w:val="single" w:color="auto" w:sz="8" w:space="0"/>
      </w:pBdr>
      <w:spacing w:before="100" w:beforeAutospacing="1" w:after="100" w:afterAutospacing="1"/>
      <w:jc w:val="left"/>
      <w:textAlignment w:val="top"/>
    </w:pPr>
    <w:rPr>
      <w:rFonts w:ascii="宋体" w:hAnsi="宋体" w:cs="宋体"/>
      <w:kern w:val="0"/>
      <w:sz w:val="16"/>
      <w:szCs w:val="16"/>
    </w:rPr>
  </w:style>
  <w:style w:type="paragraph" w:customStyle="1" w:styleId="345">
    <w:name w:val="xl141"/>
    <w:basedOn w:val="1"/>
    <w:qFormat/>
    <w:uiPriority w:val="0"/>
    <w:pPr>
      <w:widowControl/>
      <w:pBdr>
        <w:top w:val="double" w:color="auto" w:sz="6" w:space="0"/>
        <w:left w:val="single" w:color="auto" w:sz="4" w:space="0"/>
        <w:right w:val="single" w:color="auto" w:sz="4" w:space="0"/>
      </w:pBdr>
      <w:spacing w:before="100" w:beforeAutospacing="1" w:after="100" w:afterAutospacing="1"/>
      <w:jc w:val="center"/>
    </w:pPr>
    <w:rPr>
      <w:rFonts w:ascii="宋体" w:hAnsi="宋体" w:cs="宋体"/>
      <w:color w:val="FF0000"/>
      <w:kern w:val="0"/>
      <w:sz w:val="16"/>
      <w:szCs w:val="16"/>
    </w:rPr>
  </w:style>
  <w:style w:type="paragraph" w:customStyle="1" w:styleId="346">
    <w:name w:val="xl78"/>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color w:val="C0C0C0"/>
      <w:kern w:val="0"/>
      <w:sz w:val="16"/>
      <w:szCs w:val="16"/>
    </w:rPr>
  </w:style>
  <w:style w:type="paragraph" w:customStyle="1" w:styleId="347">
    <w:name w:val="xl161"/>
    <w:basedOn w:val="1"/>
    <w:qFormat/>
    <w:uiPriority w:val="0"/>
    <w:pPr>
      <w:widowControl/>
      <w:pBdr>
        <w:bottom w:val="double" w:color="auto" w:sz="6" w:space="0"/>
        <w:right w:val="single" w:color="auto" w:sz="4" w:space="0"/>
      </w:pBdr>
      <w:spacing w:before="100" w:beforeAutospacing="1" w:after="100" w:afterAutospacing="1"/>
      <w:jc w:val="center"/>
    </w:pPr>
    <w:rPr>
      <w:rFonts w:ascii="宋体" w:hAnsi="宋体" w:cs="宋体"/>
      <w:color w:val="000000"/>
      <w:kern w:val="0"/>
      <w:sz w:val="16"/>
      <w:szCs w:val="16"/>
    </w:rPr>
  </w:style>
  <w:style w:type="paragraph" w:customStyle="1" w:styleId="348">
    <w:name w:val="xl97"/>
    <w:basedOn w:val="1"/>
    <w:qFormat/>
    <w:uiPriority w:val="0"/>
    <w:pPr>
      <w:widowControl/>
      <w:pBdr>
        <w:top w:val="single" w:color="auto" w:sz="4" w:space="0"/>
        <w:left w:val="single" w:color="auto" w:sz="4" w:space="0"/>
        <w:bottom w:val="double" w:color="auto" w:sz="6" w:space="0"/>
        <w:right w:val="single" w:color="auto" w:sz="8" w:space="0"/>
      </w:pBdr>
      <w:spacing w:before="100" w:beforeAutospacing="1" w:after="100" w:afterAutospacing="1"/>
      <w:jc w:val="left"/>
      <w:textAlignment w:val="top"/>
    </w:pPr>
    <w:rPr>
      <w:rFonts w:ascii="宋体" w:hAnsi="宋体" w:cs="宋体"/>
      <w:kern w:val="0"/>
      <w:sz w:val="16"/>
      <w:szCs w:val="16"/>
    </w:rPr>
  </w:style>
  <w:style w:type="paragraph" w:customStyle="1" w:styleId="349">
    <w:name w:val="目录 22"/>
    <w:qFormat/>
    <w:uiPriority w:val="0"/>
    <w:pPr>
      <w:widowControl w:val="0"/>
      <w:tabs>
        <w:tab w:val="right" w:leader="dot" w:pos="9710"/>
      </w:tabs>
      <w:ind w:left="283"/>
    </w:pPr>
    <w:rPr>
      <w:rFonts w:ascii="Times New Roman Bold" w:hAnsi="Times New Roman Bold" w:eastAsia="Times New Roman Bold" w:cs="Times New Roman Bold"/>
      <w:color w:val="000000"/>
      <w:kern w:val="2"/>
      <w:lang w:val="en-US" w:eastAsia="zh-CN" w:bidi="ar-SA"/>
    </w:rPr>
  </w:style>
  <w:style w:type="paragraph" w:customStyle="1" w:styleId="350">
    <w:name w:val="xl158"/>
    <w:basedOn w:val="1"/>
    <w:qFormat/>
    <w:uiPriority w:val="0"/>
    <w:pPr>
      <w:widowControl/>
      <w:pBdr>
        <w:top w:val="double" w:color="auto" w:sz="6" w:space="0"/>
        <w:left w:val="single" w:color="auto" w:sz="4" w:space="0"/>
      </w:pBdr>
      <w:spacing w:before="100" w:beforeAutospacing="1" w:after="100" w:afterAutospacing="1"/>
      <w:jc w:val="center"/>
    </w:pPr>
    <w:rPr>
      <w:rFonts w:ascii="宋体" w:hAnsi="宋体" w:cs="宋体"/>
      <w:color w:val="000000"/>
      <w:kern w:val="0"/>
      <w:sz w:val="16"/>
      <w:szCs w:val="16"/>
    </w:rPr>
  </w:style>
  <w:style w:type="paragraph" w:customStyle="1" w:styleId="351">
    <w:name w:val="目录 12"/>
    <w:qFormat/>
    <w:uiPriority w:val="0"/>
    <w:pPr>
      <w:widowControl w:val="0"/>
      <w:tabs>
        <w:tab w:val="right" w:leader="dot" w:pos="9710"/>
      </w:tabs>
      <w:spacing w:line="360" w:lineRule="auto"/>
    </w:pPr>
    <w:rPr>
      <w:rFonts w:ascii="Arial Bold" w:hAnsi="Arial Bold" w:eastAsia="Arial Bold" w:cs="Arial Bold"/>
      <w:caps/>
      <w:color w:val="000000"/>
      <w:kern w:val="2"/>
      <w:sz w:val="24"/>
      <w:szCs w:val="24"/>
      <w:lang w:val="en-US" w:eastAsia="zh-CN" w:bidi="ar-SA"/>
    </w:rPr>
  </w:style>
  <w:style w:type="paragraph" w:customStyle="1" w:styleId="352">
    <w:name w:val="xl108"/>
    <w:basedOn w:val="1"/>
    <w:qFormat/>
    <w:uiPriority w:val="0"/>
    <w:pPr>
      <w:widowControl/>
      <w:pBdr>
        <w:top w:val="double" w:color="auto" w:sz="6" w:space="0"/>
        <w:left w:val="single" w:color="auto" w:sz="4" w:space="0"/>
        <w:bottom w:val="single" w:color="auto" w:sz="4" w:space="0"/>
        <w:right w:val="single" w:color="auto" w:sz="8" w:space="0"/>
      </w:pBdr>
      <w:spacing w:before="100" w:beforeAutospacing="1" w:after="100" w:afterAutospacing="1"/>
      <w:jc w:val="center"/>
    </w:pPr>
    <w:rPr>
      <w:rFonts w:ascii="宋体" w:hAnsi="宋体" w:cs="宋体"/>
      <w:color w:val="3366FF"/>
      <w:kern w:val="0"/>
      <w:sz w:val="16"/>
      <w:szCs w:val="16"/>
    </w:rPr>
  </w:style>
  <w:style w:type="paragraph" w:customStyle="1" w:styleId="353">
    <w:name w:val="CM337"/>
    <w:basedOn w:val="354"/>
    <w:next w:val="354"/>
    <w:qFormat/>
    <w:uiPriority w:val="99"/>
    <w:pPr>
      <w:autoSpaceDE w:val="0"/>
      <w:autoSpaceDN w:val="0"/>
      <w:adjustRightInd w:val="0"/>
      <w:spacing w:after="1090"/>
    </w:pPr>
    <w:rPr>
      <w:rFonts w:ascii="宋体"/>
      <w:color w:val="auto"/>
    </w:rPr>
  </w:style>
  <w:style w:type="paragraph" w:customStyle="1" w:styleId="354">
    <w:name w:val="Default"/>
    <w:qFormat/>
    <w:uiPriority w:val="0"/>
    <w:pPr>
      <w:widowControl w:val="0"/>
    </w:pPr>
    <w:rPr>
      <w:rFonts w:ascii="Calibri" w:hAnsi="Calibri" w:eastAsia="宋体" w:cs="Times New Roman"/>
      <w:color w:val="000000"/>
      <w:sz w:val="24"/>
      <w:szCs w:val="24"/>
      <w:lang w:val="en-US" w:eastAsia="zh-CN" w:bidi="ar-SA"/>
    </w:rPr>
  </w:style>
  <w:style w:type="paragraph" w:customStyle="1" w:styleId="355">
    <w:name w:val="xl123"/>
    <w:basedOn w:val="1"/>
    <w:qFormat/>
    <w:uiPriority w:val="0"/>
    <w:pPr>
      <w:widowControl/>
      <w:pBdr>
        <w:top w:val="single" w:color="auto" w:sz="8" w:space="0"/>
        <w:left w:val="single" w:color="auto" w:sz="8" w:space="0"/>
        <w:bottom w:val="double" w:color="auto" w:sz="6"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356">
    <w:name w:val="p19"/>
    <w:basedOn w:val="1"/>
    <w:qFormat/>
    <w:uiPriority w:val="0"/>
    <w:pPr>
      <w:widowControl/>
      <w:ind w:firstLine="540"/>
    </w:pPr>
    <w:rPr>
      <w:kern w:val="0"/>
      <w:sz w:val="28"/>
      <w:szCs w:val="28"/>
    </w:rPr>
  </w:style>
  <w:style w:type="paragraph" w:customStyle="1" w:styleId="357">
    <w:name w:val="1.1"/>
    <w:basedOn w:val="1"/>
    <w:next w:val="1"/>
    <w:qFormat/>
    <w:uiPriority w:val="0"/>
    <w:pPr>
      <w:adjustRightInd w:val="0"/>
      <w:snapToGrid w:val="0"/>
      <w:spacing w:before="240" w:after="240" w:line="400" w:lineRule="atLeast"/>
      <w:ind w:left="901" w:right="480" w:hanging="901" w:hangingChars="299"/>
      <w:textAlignment w:val="baseline"/>
    </w:pPr>
    <w:rPr>
      <w:rFonts w:ascii="宋体" w:hAnsi="宋体"/>
      <w:b/>
      <w:kern w:val="0"/>
      <w:sz w:val="30"/>
      <w:szCs w:val="20"/>
    </w:rPr>
  </w:style>
  <w:style w:type="paragraph" w:customStyle="1" w:styleId="358">
    <w:name w:val="xl81"/>
    <w:basedOn w:val="1"/>
    <w:qFormat/>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jc w:val="center"/>
    </w:pPr>
    <w:rPr>
      <w:rFonts w:ascii="宋体" w:hAnsi="宋体" w:cs="宋体"/>
      <w:color w:val="3366FF"/>
      <w:kern w:val="0"/>
      <w:sz w:val="16"/>
      <w:szCs w:val="16"/>
    </w:rPr>
  </w:style>
  <w:style w:type="paragraph" w:customStyle="1" w:styleId="359">
    <w:name w:val="默认"/>
    <w:qFormat/>
    <w:uiPriority w:val="0"/>
    <w:rPr>
      <w:rFonts w:ascii="Helvetica" w:hAnsi="Helvetica" w:eastAsia="Helvetica" w:cs="Helvetica"/>
      <w:color w:val="000000"/>
      <w:sz w:val="22"/>
      <w:szCs w:val="22"/>
      <w:lang w:val="en-US" w:eastAsia="zh-CN" w:bidi="ar-SA"/>
    </w:rPr>
  </w:style>
  <w:style w:type="paragraph" w:customStyle="1" w:styleId="360">
    <w:name w:val="小节"/>
    <w:basedOn w:val="1"/>
    <w:qFormat/>
    <w:uiPriority w:val="0"/>
    <w:pPr>
      <w:spacing w:line="360" w:lineRule="auto"/>
    </w:pPr>
    <w:rPr>
      <w:b/>
      <w:sz w:val="24"/>
      <w:szCs w:val="24"/>
    </w:rPr>
  </w:style>
  <w:style w:type="paragraph" w:customStyle="1" w:styleId="361">
    <w:name w:val="Char1 Char Char Char1 Char Char Char1"/>
    <w:basedOn w:val="1"/>
    <w:qFormat/>
    <w:uiPriority w:val="0"/>
    <w:pPr>
      <w:spacing w:line="360" w:lineRule="auto"/>
      <w:ind w:firstLine="200"/>
    </w:pPr>
    <w:rPr>
      <w:rFonts w:ascii="宋体" w:hAnsi="宋体" w:cs="宋体"/>
      <w:color w:val="000000"/>
      <w:kern w:val="1"/>
      <w:sz w:val="24"/>
      <w:szCs w:val="24"/>
    </w:rPr>
  </w:style>
  <w:style w:type="paragraph" w:customStyle="1" w:styleId="362">
    <w:name w:val="正文1"/>
    <w:qFormat/>
    <w:uiPriority w:val="0"/>
    <w:pPr>
      <w:widowControl w:val="0"/>
      <w:adjustRightInd w:val="0"/>
      <w:spacing w:line="312" w:lineRule="atLeast"/>
      <w:jc w:val="both"/>
    </w:pPr>
    <w:rPr>
      <w:rFonts w:ascii="宋体" w:hAnsi="Calibri" w:eastAsia="宋体" w:cs="Times New Roman"/>
      <w:sz w:val="34"/>
      <w:lang w:val="en-US" w:eastAsia="zh-CN" w:bidi="ar-SA"/>
    </w:rPr>
  </w:style>
  <w:style w:type="paragraph" w:customStyle="1" w:styleId="363">
    <w:name w:val="xl98"/>
    <w:basedOn w:val="1"/>
    <w:qFormat/>
    <w:uiPriority w:val="0"/>
    <w:pPr>
      <w:widowControl/>
      <w:pBdr>
        <w:top w:val="single" w:color="auto" w:sz="4" w:space="0"/>
        <w:bottom w:val="double" w:color="auto" w:sz="6" w:space="0"/>
        <w:right w:val="single" w:color="auto" w:sz="4" w:space="0"/>
      </w:pBdr>
      <w:spacing w:before="100" w:beforeAutospacing="1" w:after="100" w:afterAutospacing="1"/>
      <w:jc w:val="left"/>
      <w:textAlignment w:val="top"/>
    </w:pPr>
    <w:rPr>
      <w:rFonts w:ascii="宋体" w:hAnsi="宋体" w:cs="宋体"/>
      <w:kern w:val="0"/>
      <w:sz w:val="16"/>
      <w:szCs w:val="16"/>
    </w:rPr>
  </w:style>
  <w:style w:type="paragraph" w:customStyle="1" w:styleId="364">
    <w:name w:val="xl128"/>
    <w:basedOn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65">
    <w:name w:val="xl73"/>
    <w:basedOn w:val="1"/>
    <w:qFormat/>
    <w:uiPriority w:val="0"/>
    <w:pPr>
      <w:widowControl/>
      <w:pBdr>
        <w:top w:val="double" w:color="auto" w:sz="6"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6"/>
      <w:szCs w:val="16"/>
    </w:rPr>
  </w:style>
  <w:style w:type="paragraph" w:customStyle="1" w:styleId="366">
    <w:name w:val="xl77"/>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ascii="宋体" w:hAnsi="宋体" w:cs="宋体"/>
      <w:color w:val="3366FF"/>
      <w:kern w:val="0"/>
      <w:sz w:val="16"/>
      <w:szCs w:val="16"/>
    </w:rPr>
  </w:style>
  <w:style w:type="paragraph" w:customStyle="1" w:styleId="367">
    <w:name w:val="表"/>
    <w:basedOn w:val="1"/>
    <w:qFormat/>
    <w:uiPriority w:val="0"/>
    <w:pPr>
      <w:snapToGrid w:val="0"/>
      <w:ind w:firstLine="567"/>
      <w:jc w:val="center"/>
    </w:pPr>
    <w:rPr>
      <w:rFonts w:eastAsia="楷体_GB2312"/>
      <w:kern w:val="0"/>
      <w:sz w:val="24"/>
      <w:szCs w:val="20"/>
    </w:rPr>
  </w:style>
  <w:style w:type="paragraph" w:customStyle="1" w:styleId="368">
    <w:name w:val="章节二"/>
    <w:basedOn w:val="1"/>
    <w:next w:val="1"/>
    <w:qFormat/>
    <w:uiPriority w:val="0"/>
    <w:pPr>
      <w:topLinePunct/>
      <w:adjustRightInd w:val="0"/>
      <w:snapToGrid w:val="0"/>
      <w:spacing w:beforeLines="50" w:afterLines="50"/>
      <w:jc w:val="center"/>
      <w:outlineLvl w:val="1"/>
    </w:pPr>
    <w:rPr>
      <w:rFonts w:eastAsia="黑体"/>
      <w:b/>
      <w:snapToGrid w:val="0"/>
      <w:spacing w:val="4"/>
      <w:kern w:val="0"/>
      <w:sz w:val="30"/>
      <w:szCs w:val="30"/>
    </w:rPr>
  </w:style>
  <w:style w:type="paragraph" w:customStyle="1" w:styleId="369">
    <w:name w:val="xl156"/>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color w:val="FF0000"/>
      <w:kern w:val="0"/>
      <w:sz w:val="16"/>
      <w:szCs w:val="16"/>
    </w:rPr>
  </w:style>
  <w:style w:type="paragraph" w:customStyle="1" w:styleId="370">
    <w:name w:val="顾2"/>
    <w:basedOn w:val="1"/>
    <w:qFormat/>
    <w:uiPriority w:val="0"/>
    <w:pPr>
      <w:keepNext/>
      <w:keepLines/>
      <w:spacing w:beforeLines="100" w:afterLines="100"/>
      <w:ind w:left="284" w:hanging="284"/>
      <w:outlineLvl w:val="1"/>
    </w:pPr>
    <w:rPr>
      <w:rFonts w:ascii="宋体" w:hAnsi="宋体"/>
      <w:b/>
      <w:bCs/>
      <w:w w:val="90"/>
      <w:kern w:val="0"/>
      <w:sz w:val="32"/>
      <w:szCs w:val="32"/>
    </w:rPr>
  </w:style>
  <w:style w:type="paragraph" w:customStyle="1" w:styleId="371">
    <w:name w:val="默认段落字体 Para Char Char Char Char Char Char Char"/>
    <w:basedOn w:val="1"/>
    <w:qFormat/>
    <w:uiPriority w:val="0"/>
    <w:pPr>
      <w:widowControl/>
      <w:jc w:val="left"/>
    </w:pPr>
    <w:rPr>
      <w:rFonts w:ascii="Tahoma" w:hAnsi="Tahoma"/>
      <w:kern w:val="0"/>
      <w:sz w:val="24"/>
      <w:szCs w:val="20"/>
      <w:lang w:eastAsia="en-US"/>
    </w:rPr>
  </w:style>
  <w:style w:type="paragraph" w:customStyle="1" w:styleId="372">
    <w:name w:val="xl95"/>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top"/>
    </w:pPr>
    <w:rPr>
      <w:rFonts w:ascii="宋体" w:hAnsi="宋体" w:cs="宋体"/>
      <w:kern w:val="0"/>
      <w:sz w:val="16"/>
      <w:szCs w:val="16"/>
    </w:rPr>
  </w:style>
  <w:style w:type="paragraph" w:customStyle="1" w:styleId="373">
    <w:name w:val="正文_0_0"/>
    <w:qFormat/>
    <w:uiPriority w:val="0"/>
    <w:pPr>
      <w:widowControl w:val="0"/>
      <w:jc w:val="both"/>
    </w:pPr>
    <w:rPr>
      <w:rFonts w:ascii="Calibri" w:hAnsi="Calibri" w:eastAsia="宋体" w:cs="Calibri"/>
      <w:kern w:val="2"/>
      <w:sz w:val="21"/>
      <w:szCs w:val="24"/>
      <w:lang w:val="en-US" w:eastAsia="zh-CN" w:bidi="ar-SA"/>
    </w:rPr>
  </w:style>
  <w:style w:type="paragraph" w:customStyle="1" w:styleId="374">
    <w:name w:val="xl107"/>
    <w:basedOn w:val="1"/>
    <w:qFormat/>
    <w:uiPriority w:val="0"/>
    <w:pPr>
      <w:widowControl/>
      <w:pBdr>
        <w:left w:val="single" w:color="auto" w:sz="4" w:space="0"/>
        <w:bottom w:val="single" w:color="auto" w:sz="4" w:space="0"/>
        <w:right w:val="single" w:color="auto" w:sz="8" w:space="0"/>
      </w:pBdr>
      <w:spacing w:before="100" w:beforeAutospacing="1" w:after="100" w:afterAutospacing="1"/>
      <w:jc w:val="center"/>
    </w:pPr>
    <w:rPr>
      <w:rFonts w:ascii="宋体" w:hAnsi="宋体" w:cs="宋体"/>
      <w:color w:val="3366FF"/>
      <w:kern w:val="0"/>
      <w:sz w:val="16"/>
      <w:szCs w:val="16"/>
    </w:rPr>
  </w:style>
  <w:style w:type="paragraph" w:customStyle="1" w:styleId="375">
    <w:name w:val="默认段落字体 Para Char"/>
    <w:basedOn w:val="1"/>
    <w:qFormat/>
    <w:uiPriority w:val="0"/>
    <w:rPr>
      <w:sz w:val="30"/>
      <w:szCs w:val="24"/>
    </w:rPr>
  </w:style>
  <w:style w:type="paragraph" w:customStyle="1" w:styleId="376">
    <w:name w:val="表注"/>
    <w:basedOn w:val="1"/>
    <w:qFormat/>
    <w:uiPriority w:val="0"/>
    <w:pPr>
      <w:adjustRightInd w:val="0"/>
      <w:snapToGrid w:val="0"/>
      <w:spacing w:beforeLines="50" w:line="300" w:lineRule="auto"/>
      <w:ind w:left="200" w:leftChars="8" w:hanging="200" w:hangingChars="200"/>
    </w:pPr>
    <w:rPr>
      <w:bCs/>
      <w:color w:val="000000"/>
      <w:szCs w:val="24"/>
    </w:rPr>
  </w:style>
  <w:style w:type="paragraph" w:customStyle="1" w:styleId="377">
    <w:name w:val="xl164"/>
    <w:basedOn w:val="1"/>
    <w:qFormat/>
    <w:uiPriority w:val="0"/>
    <w:pPr>
      <w:widowControl/>
      <w:pBdr>
        <w:left w:val="single" w:color="auto" w:sz="4" w:space="0"/>
        <w:bottom w:val="double" w:color="auto" w:sz="6" w:space="0"/>
      </w:pBdr>
      <w:spacing w:before="100" w:beforeAutospacing="1" w:after="100" w:afterAutospacing="1"/>
      <w:jc w:val="center"/>
    </w:pPr>
    <w:rPr>
      <w:rFonts w:ascii="宋体" w:hAnsi="宋体" w:cs="宋体"/>
      <w:color w:val="0000FF"/>
      <w:kern w:val="0"/>
      <w:sz w:val="16"/>
      <w:szCs w:val="16"/>
    </w:rPr>
  </w:style>
  <w:style w:type="paragraph" w:customStyle="1" w:styleId="378">
    <w:name w:val="xl1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16"/>
      <w:szCs w:val="16"/>
    </w:rPr>
  </w:style>
  <w:style w:type="paragraph" w:customStyle="1" w:styleId="379">
    <w:name w:val="正文 New New New New New New"/>
    <w:qFormat/>
    <w:uiPriority w:val="0"/>
    <w:pPr>
      <w:widowControl w:val="0"/>
      <w:jc w:val="both"/>
    </w:pPr>
    <w:rPr>
      <w:rFonts w:ascii="Calibri" w:hAnsi="Calibri" w:eastAsia="宋体" w:cs="Times New Roman"/>
      <w:kern w:val="2"/>
      <w:sz w:val="24"/>
      <w:szCs w:val="24"/>
      <w:lang w:val="en-US" w:eastAsia="zh-CN" w:bidi="ar-SA"/>
    </w:rPr>
  </w:style>
  <w:style w:type="paragraph" w:customStyle="1" w:styleId="380">
    <w:name w:val="Char Char Char2"/>
    <w:basedOn w:val="1"/>
    <w:qFormat/>
    <w:uiPriority w:val="0"/>
    <w:rPr>
      <w:rFonts w:ascii="Tahoma" w:hAnsi="Tahoma"/>
      <w:sz w:val="24"/>
      <w:szCs w:val="20"/>
    </w:rPr>
  </w:style>
  <w:style w:type="paragraph" w:customStyle="1" w:styleId="381">
    <w:name w:val="xl72"/>
    <w:basedOn w:val="1"/>
    <w:qFormat/>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jc w:val="left"/>
    </w:pPr>
    <w:rPr>
      <w:rFonts w:ascii="宋体" w:hAnsi="宋体" w:cs="宋体"/>
      <w:color w:val="0000FF"/>
      <w:kern w:val="0"/>
      <w:sz w:val="16"/>
      <w:szCs w:val="16"/>
    </w:rPr>
  </w:style>
  <w:style w:type="paragraph" w:customStyle="1" w:styleId="382">
    <w:name w:val="[基本段落]"/>
    <w:basedOn w:val="1"/>
    <w:qFormat/>
    <w:uiPriority w:val="99"/>
    <w:pPr>
      <w:spacing w:line="288" w:lineRule="auto"/>
    </w:pPr>
    <w:rPr>
      <w:rFonts w:ascii="Adobe 宋体 Std L" w:hAnsi="Adobe 宋体 Std L" w:eastAsia="Adobe 宋体 Std L" w:cs="Adobe 宋体 Std L"/>
      <w:color w:val="000000"/>
      <w:kern w:val="0"/>
      <w:sz w:val="24"/>
      <w:szCs w:val="24"/>
      <w:lang w:val="zh-CN"/>
    </w:rPr>
  </w:style>
  <w:style w:type="paragraph" w:customStyle="1" w:styleId="383">
    <w:name w:val="xl117"/>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cs="宋体"/>
      <w:kern w:val="0"/>
      <w:sz w:val="16"/>
      <w:szCs w:val="16"/>
    </w:rPr>
  </w:style>
  <w:style w:type="paragraph" w:customStyle="1" w:styleId="384">
    <w:name w:val="xl129"/>
    <w:basedOn w:val="1"/>
    <w:qFormat/>
    <w:uiPriority w:val="0"/>
    <w:pPr>
      <w:widowControl/>
      <w:pBdr>
        <w:top w:val="double" w:color="auto" w:sz="6"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6"/>
      <w:szCs w:val="16"/>
    </w:rPr>
  </w:style>
  <w:style w:type="paragraph" w:customStyle="1" w:styleId="385">
    <w:name w:val="Char Char Char"/>
    <w:basedOn w:val="16"/>
    <w:next w:val="5"/>
    <w:qFormat/>
    <w:uiPriority w:val="0"/>
    <w:pPr>
      <w:shd w:val="clear" w:color="auto" w:fill="000080"/>
      <w:adjustRightInd w:val="0"/>
      <w:spacing w:line="600" w:lineRule="exact"/>
      <w:ind w:firstLine="200" w:firstLineChars="200"/>
      <w:jc w:val="center"/>
      <w:outlineLvl w:val="2"/>
    </w:pPr>
    <w:rPr>
      <w:rFonts w:ascii="Times New Roman" w:hAnsi="Times New Roman"/>
      <w:kern w:val="0"/>
      <w:sz w:val="21"/>
      <w:szCs w:val="20"/>
      <w:lang w:val="en-US"/>
    </w:rPr>
  </w:style>
  <w:style w:type="paragraph" w:customStyle="1" w:styleId="386">
    <w:name w:val="xl146"/>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87">
    <w:name w:val="标题 1 New"/>
    <w:basedOn w:val="388"/>
    <w:next w:val="388"/>
    <w:qFormat/>
    <w:uiPriority w:val="0"/>
    <w:pPr>
      <w:keepNext/>
      <w:keepLines/>
      <w:spacing w:before="340" w:after="330" w:line="576" w:lineRule="auto"/>
      <w:outlineLvl w:val="0"/>
    </w:pPr>
    <w:rPr>
      <w:rFonts w:cs="Times New Roman"/>
      <w:b/>
      <w:color w:val="auto"/>
      <w:kern w:val="44"/>
      <w:sz w:val="44"/>
    </w:rPr>
  </w:style>
  <w:style w:type="paragraph" w:customStyle="1" w:styleId="388">
    <w:name w:val="正文 New"/>
    <w:qFormat/>
    <w:uiPriority w:val="0"/>
    <w:pPr>
      <w:widowControl w:val="0"/>
      <w:jc w:val="both"/>
    </w:pPr>
    <w:rPr>
      <w:rFonts w:ascii="Calibri" w:hAnsi="Calibri" w:eastAsia="宋体" w:cs="Calibri"/>
      <w:color w:val="000000"/>
      <w:kern w:val="1"/>
      <w:sz w:val="21"/>
      <w:lang w:val="en-US" w:eastAsia="zh-CN" w:bidi="ar-SA"/>
    </w:rPr>
  </w:style>
  <w:style w:type="paragraph" w:customStyle="1" w:styleId="389">
    <w:name w:val="xl82"/>
    <w:basedOn w:val="1"/>
    <w:qFormat/>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jc w:val="center"/>
    </w:pPr>
    <w:rPr>
      <w:rFonts w:ascii="宋体" w:hAnsi="宋体" w:cs="宋体"/>
      <w:color w:val="C0C0C0"/>
      <w:kern w:val="0"/>
      <w:sz w:val="16"/>
      <w:szCs w:val="16"/>
    </w:rPr>
  </w:style>
  <w:style w:type="paragraph" w:customStyle="1" w:styleId="390">
    <w:name w:val="样式2"/>
    <w:basedOn w:val="5"/>
    <w:qFormat/>
    <w:uiPriority w:val="0"/>
    <w:pPr>
      <w:spacing w:line="415" w:lineRule="auto"/>
      <w:ind w:firstLine="137" w:firstLineChars="49"/>
    </w:pPr>
    <w:rPr>
      <w:rFonts w:ascii="黑体" w:hAnsi="Times New Roman" w:eastAsia="黑体"/>
      <w:b w:val="0"/>
      <w:i/>
      <w:kern w:val="2"/>
      <w:sz w:val="28"/>
      <w:szCs w:val="28"/>
      <w:lang w:val="zh-CN"/>
    </w:rPr>
  </w:style>
  <w:style w:type="paragraph" w:customStyle="1" w:styleId="391">
    <w:name w:val="Char1 Char Char Char1 Char Char Char"/>
    <w:basedOn w:val="1"/>
    <w:qFormat/>
    <w:uiPriority w:val="0"/>
    <w:pPr>
      <w:spacing w:line="360" w:lineRule="auto"/>
      <w:ind w:firstLine="200"/>
    </w:pPr>
    <w:rPr>
      <w:rFonts w:ascii="宋体" w:hAnsi="宋体" w:cs="宋体"/>
      <w:color w:val="000000"/>
      <w:kern w:val="1"/>
      <w:sz w:val="24"/>
      <w:szCs w:val="24"/>
    </w:rPr>
  </w:style>
  <w:style w:type="paragraph" w:customStyle="1" w:styleId="392">
    <w:name w:val="Char Char Char Char11"/>
    <w:basedOn w:val="1"/>
    <w:next w:val="1"/>
    <w:qFormat/>
    <w:uiPriority w:val="0"/>
    <w:pPr>
      <w:spacing w:line="240" w:lineRule="atLeast"/>
      <w:ind w:left="420" w:firstLine="420"/>
      <w:jc w:val="left"/>
    </w:pPr>
    <w:rPr>
      <w:kern w:val="0"/>
      <w:szCs w:val="21"/>
    </w:rPr>
  </w:style>
  <w:style w:type="paragraph" w:customStyle="1" w:styleId="393">
    <w:name w:val="xl140"/>
    <w:basedOn w:val="1"/>
    <w:qFormat/>
    <w:uiPriority w:val="0"/>
    <w:pPr>
      <w:widowControl/>
      <w:pBdr>
        <w:left w:val="single" w:color="auto" w:sz="4" w:space="0"/>
        <w:bottom w:val="single" w:color="auto" w:sz="4" w:space="0"/>
      </w:pBdr>
      <w:spacing w:before="100" w:beforeAutospacing="1" w:after="100" w:afterAutospacing="1"/>
      <w:jc w:val="center"/>
    </w:pPr>
    <w:rPr>
      <w:rFonts w:ascii="宋体" w:hAnsi="宋体" w:cs="宋体"/>
      <w:kern w:val="0"/>
      <w:sz w:val="16"/>
      <w:szCs w:val="16"/>
    </w:rPr>
  </w:style>
  <w:style w:type="paragraph" w:customStyle="1" w:styleId="394">
    <w:name w:val="xl83"/>
    <w:basedOn w:val="1"/>
    <w:qFormat/>
    <w:uiPriority w:val="0"/>
    <w:pPr>
      <w:widowControl/>
      <w:pBdr>
        <w:top w:val="single" w:color="auto" w:sz="4" w:space="0"/>
        <w:left w:val="single" w:color="auto" w:sz="4" w:space="0"/>
        <w:bottom w:val="double" w:color="auto" w:sz="6" w:space="0"/>
        <w:right w:val="single" w:color="auto" w:sz="8" w:space="0"/>
      </w:pBdr>
      <w:spacing w:before="100" w:beforeAutospacing="1" w:after="100" w:afterAutospacing="1"/>
      <w:jc w:val="center"/>
    </w:pPr>
    <w:rPr>
      <w:rFonts w:ascii="宋体" w:hAnsi="宋体" w:cs="宋体"/>
      <w:color w:val="3366FF"/>
      <w:kern w:val="0"/>
      <w:sz w:val="16"/>
      <w:szCs w:val="16"/>
    </w:rPr>
  </w:style>
  <w:style w:type="paragraph" w:customStyle="1" w:styleId="395">
    <w:name w:val="xl96"/>
    <w:basedOn w:val="1"/>
    <w:qFormat/>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jc w:val="left"/>
      <w:textAlignment w:val="top"/>
    </w:pPr>
    <w:rPr>
      <w:rFonts w:ascii="宋体" w:hAnsi="宋体" w:cs="宋体"/>
      <w:kern w:val="0"/>
      <w:sz w:val="16"/>
      <w:szCs w:val="16"/>
    </w:rPr>
  </w:style>
  <w:style w:type="paragraph" w:customStyle="1" w:styleId="396">
    <w:name w:val="Char11"/>
    <w:basedOn w:val="1"/>
    <w:qFormat/>
    <w:uiPriority w:val="0"/>
    <w:rPr>
      <w:szCs w:val="21"/>
    </w:rPr>
  </w:style>
  <w:style w:type="paragraph" w:customStyle="1" w:styleId="397">
    <w:name w:val="封二"/>
    <w:basedOn w:val="1"/>
    <w:next w:val="1"/>
    <w:qFormat/>
    <w:uiPriority w:val="0"/>
    <w:pPr>
      <w:topLinePunct/>
      <w:adjustRightInd w:val="0"/>
      <w:snapToGrid w:val="0"/>
      <w:spacing w:line="360" w:lineRule="auto"/>
      <w:jc w:val="center"/>
    </w:pPr>
    <w:rPr>
      <w:rFonts w:eastAsia="黑体"/>
      <w:b/>
      <w:snapToGrid w:val="0"/>
      <w:spacing w:val="4"/>
      <w:kern w:val="0"/>
      <w:sz w:val="36"/>
      <w:szCs w:val="36"/>
    </w:rPr>
  </w:style>
  <w:style w:type="paragraph" w:customStyle="1" w:styleId="398">
    <w:name w:val="样式 WG标题2 + 行距: 固定值 18 磅1"/>
    <w:basedOn w:val="1"/>
    <w:qFormat/>
    <w:uiPriority w:val="0"/>
    <w:pPr>
      <w:autoSpaceDE w:val="0"/>
      <w:autoSpaceDN w:val="0"/>
      <w:adjustRightInd w:val="0"/>
      <w:spacing w:line="360" w:lineRule="exact"/>
      <w:textAlignment w:val="baseline"/>
      <w:outlineLvl w:val="1"/>
    </w:pPr>
    <w:rPr>
      <w:rFonts w:ascii="仿宋_GB2312" w:hAnsi="宋体" w:cs="宋体"/>
      <w:b/>
      <w:bCs/>
      <w:color w:val="000000"/>
      <w:kern w:val="20"/>
      <w:sz w:val="24"/>
      <w:szCs w:val="20"/>
    </w:rPr>
  </w:style>
  <w:style w:type="paragraph" w:customStyle="1" w:styleId="399">
    <w:name w:val="xl7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color w:val="3366FF"/>
      <w:kern w:val="0"/>
      <w:sz w:val="16"/>
      <w:szCs w:val="16"/>
    </w:rPr>
  </w:style>
  <w:style w:type="paragraph" w:customStyle="1" w:styleId="400">
    <w:name w:val="xl151"/>
    <w:basedOn w:val="1"/>
    <w:qFormat/>
    <w:uiPriority w:val="0"/>
    <w:pPr>
      <w:widowControl/>
      <w:pBdr>
        <w:right w:val="single" w:color="auto" w:sz="4" w:space="0"/>
      </w:pBdr>
      <w:spacing w:before="100" w:beforeAutospacing="1" w:after="100" w:afterAutospacing="1"/>
      <w:jc w:val="center"/>
    </w:pPr>
    <w:rPr>
      <w:rFonts w:ascii="宋体" w:hAnsi="宋体" w:cs="宋体"/>
      <w:color w:val="0000FF"/>
      <w:kern w:val="0"/>
      <w:sz w:val="16"/>
      <w:szCs w:val="16"/>
    </w:rPr>
  </w:style>
  <w:style w:type="paragraph" w:customStyle="1" w:styleId="401">
    <w:name w:val="xl115"/>
    <w:basedOn w:val="1"/>
    <w:qFormat/>
    <w:uiPriority w:val="0"/>
    <w:pPr>
      <w:widowControl/>
      <w:pBdr>
        <w:top w:val="single" w:color="auto" w:sz="4" w:space="0"/>
        <w:left w:val="single" w:color="auto" w:sz="8" w:space="0"/>
        <w:bottom w:val="double" w:color="auto" w:sz="6" w:space="0"/>
        <w:right w:val="single" w:color="auto" w:sz="8" w:space="0"/>
      </w:pBdr>
      <w:spacing w:before="100" w:beforeAutospacing="1" w:after="100" w:afterAutospacing="1"/>
      <w:jc w:val="left"/>
      <w:textAlignment w:val="top"/>
    </w:pPr>
    <w:rPr>
      <w:rFonts w:ascii="宋体" w:hAnsi="宋体" w:cs="宋体"/>
      <w:kern w:val="0"/>
      <w:sz w:val="16"/>
      <w:szCs w:val="16"/>
    </w:rPr>
  </w:style>
  <w:style w:type="paragraph" w:customStyle="1" w:styleId="402">
    <w:name w:val="表格标题"/>
    <w:basedOn w:val="1"/>
    <w:link w:val="561"/>
    <w:qFormat/>
    <w:uiPriority w:val="0"/>
    <w:pPr>
      <w:adjustRightInd w:val="0"/>
      <w:snapToGrid w:val="0"/>
      <w:spacing w:beforeLines="50" w:afterLines="50"/>
      <w:ind w:left="22" w:leftChars="8"/>
      <w:jc w:val="center"/>
    </w:pPr>
    <w:rPr>
      <w:b/>
      <w:bCs/>
      <w:color w:val="000000"/>
      <w:sz w:val="32"/>
      <w:szCs w:val="32"/>
    </w:rPr>
  </w:style>
  <w:style w:type="paragraph" w:customStyle="1" w:styleId="403">
    <w:name w:val="修订1"/>
    <w:qFormat/>
    <w:uiPriority w:val="0"/>
    <w:rPr>
      <w:rFonts w:ascii="Times New Roman" w:hAnsi="Times New Roman" w:eastAsia="宋体" w:cs="Times New Roman"/>
      <w:kern w:val="2"/>
      <w:sz w:val="21"/>
      <w:szCs w:val="24"/>
      <w:lang w:val="en-US" w:eastAsia="zh-CN" w:bidi="ar-SA"/>
    </w:rPr>
  </w:style>
  <w:style w:type="paragraph" w:customStyle="1" w:styleId="404">
    <w:name w:val="xl144"/>
    <w:basedOn w:val="1"/>
    <w:qFormat/>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jc w:val="center"/>
    </w:pPr>
    <w:rPr>
      <w:rFonts w:ascii="宋体" w:hAnsi="宋体" w:cs="宋体"/>
      <w:color w:val="FF0000"/>
      <w:kern w:val="0"/>
      <w:sz w:val="16"/>
      <w:szCs w:val="16"/>
    </w:rPr>
  </w:style>
  <w:style w:type="paragraph" w:customStyle="1" w:styleId="405">
    <w:name w:val="普通(网站)1"/>
    <w:basedOn w:val="1"/>
    <w:qFormat/>
    <w:uiPriority w:val="0"/>
    <w:pPr>
      <w:widowControl/>
      <w:spacing w:before="100" w:beforeAutospacing="1" w:after="100" w:afterAutospacing="1"/>
      <w:jc w:val="left"/>
    </w:pPr>
    <w:rPr>
      <w:rFonts w:ascii="宋体" w:hAnsi="宋体"/>
      <w:kern w:val="0"/>
      <w:sz w:val="24"/>
      <w:szCs w:val="24"/>
    </w:rPr>
  </w:style>
  <w:style w:type="paragraph" w:customStyle="1" w:styleId="406">
    <w:name w:val="xl91"/>
    <w:basedOn w:val="1"/>
    <w:qFormat/>
    <w:uiPriority w:val="0"/>
    <w:pPr>
      <w:widowControl/>
      <w:pBdr>
        <w:top w:val="double" w:color="auto" w:sz="6" w:space="0"/>
        <w:bottom w:val="single" w:color="auto" w:sz="4" w:space="0"/>
        <w:right w:val="single" w:color="auto" w:sz="4" w:space="0"/>
      </w:pBdr>
      <w:spacing w:before="100" w:beforeAutospacing="1" w:after="100" w:afterAutospacing="1"/>
      <w:jc w:val="left"/>
      <w:textAlignment w:val="top"/>
    </w:pPr>
    <w:rPr>
      <w:rFonts w:ascii="宋体" w:hAnsi="宋体" w:cs="宋体"/>
      <w:kern w:val="0"/>
      <w:sz w:val="16"/>
      <w:szCs w:val="16"/>
    </w:rPr>
  </w:style>
  <w:style w:type="paragraph" w:customStyle="1" w:styleId="407">
    <w:name w:val="xl133"/>
    <w:basedOn w:val="1"/>
    <w:qFormat/>
    <w:uiPriority w:val="0"/>
    <w:pPr>
      <w:widowControl/>
      <w:pBdr>
        <w:bottom w:val="single" w:color="auto" w:sz="8" w:space="0"/>
        <w:right w:val="single" w:color="auto" w:sz="8" w:space="0"/>
      </w:pBdr>
      <w:spacing w:before="100" w:beforeAutospacing="1" w:after="100" w:afterAutospacing="1"/>
      <w:jc w:val="left"/>
    </w:pPr>
    <w:rPr>
      <w:rFonts w:ascii="宋体" w:hAnsi="宋体" w:cs="宋体"/>
      <w:kern w:val="0"/>
      <w:sz w:val="20"/>
      <w:szCs w:val="20"/>
    </w:rPr>
  </w:style>
  <w:style w:type="paragraph" w:customStyle="1" w:styleId="408">
    <w:name w:val="xl134"/>
    <w:basedOn w:val="1"/>
    <w:qFormat/>
    <w:uiPriority w:val="0"/>
    <w:pPr>
      <w:widowControl/>
      <w:pBdr>
        <w:left w:val="single" w:color="auto" w:sz="8" w:space="0"/>
        <w:bottom w:val="single" w:color="auto" w:sz="8"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409">
    <w:name w:val="Char21"/>
    <w:basedOn w:val="1"/>
    <w:qFormat/>
    <w:uiPriority w:val="0"/>
    <w:rPr>
      <w:rFonts w:ascii="Tahoma" w:hAnsi="Tahoma"/>
      <w:sz w:val="24"/>
      <w:szCs w:val="20"/>
    </w:rPr>
  </w:style>
  <w:style w:type="paragraph" w:customStyle="1" w:styleId="410">
    <w:name w:val="xl148"/>
    <w:basedOn w:val="1"/>
    <w:qFormat/>
    <w:uiPriority w:val="0"/>
    <w:pPr>
      <w:widowControl/>
      <w:pBdr>
        <w:top w:val="single" w:color="auto" w:sz="4" w:space="0"/>
        <w:left w:val="single" w:color="auto" w:sz="4" w:space="0"/>
      </w:pBdr>
      <w:spacing w:before="100" w:beforeAutospacing="1" w:after="100" w:afterAutospacing="1"/>
      <w:jc w:val="center"/>
    </w:pPr>
    <w:rPr>
      <w:rFonts w:ascii="宋体" w:hAnsi="宋体" w:cs="宋体"/>
      <w:color w:val="0000FF"/>
      <w:kern w:val="0"/>
      <w:sz w:val="16"/>
      <w:szCs w:val="16"/>
    </w:rPr>
  </w:style>
  <w:style w:type="paragraph" w:customStyle="1" w:styleId="411">
    <w:name w:val="1.1.1"/>
    <w:basedOn w:val="5"/>
    <w:qFormat/>
    <w:uiPriority w:val="0"/>
    <w:pPr>
      <w:tabs>
        <w:tab w:val="left" w:pos="1080"/>
        <w:tab w:val="left" w:pos="1260"/>
      </w:tabs>
      <w:adjustRightInd w:val="0"/>
      <w:spacing w:before="120" w:afterLines="50" w:line="440" w:lineRule="exact"/>
      <w:ind w:left="1140" w:hanging="1140"/>
      <w:jc w:val="left"/>
      <w:textAlignment w:val="baseline"/>
    </w:pPr>
    <w:rPr>
      <w:rFonts w:ascii="Times New Roman" w:hAnsi="Times New Roman"/>
      <w:bCs w:val="0"/>
      <w:kern w:val="2"/>
      <w:sz w:val="24"/>
      <w:szCs w:val="20"/>
    </w:rPr>
  </w:style>
  <w:style w:type="paragraph" w:customStyle="1" w:styleId="412">
    <w:name w:val="表格"/>
    <w:qFormat/>
    <w:uiPriority w:val="0"/>
    <w:pPr>
      <w:spacing w:before="20" w:after="20"/>
    </w:pPr>
    <w:rPr>
      <w:rFonts w:ascii="宋体" w:hAnsi="Calibri" w:eastAsia="宋体" w:cs="Times New Roman"/>
      <w:sz w:val="24"/>
      <w:lang w:val="en-US" w:eastAsia="zh-CN" w:bidi="ar-SA"/>
    </w:rPr>
  </w:style>
  <w:style w:type="paragraph" w:customStyle="1" w:styleId="413">
    <w:name w:val="xl8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6"/>
      <w:szCs w:val="16"/>
    </w:rPr>
  </w:style>
  <w:style w:type="paragraph" w:customStyle="1" w:styleId="414">
    <w:name w:val="Char2"/>
    <w:basedOn w:val="1"/>
    <w:qFormat/>
    <w:uiPriority w:val="0"/>
    <w:rPr>
      <w:szCs w:val="24"/>
    </w:rPr>
  </w:style>
  <w:style w:type="paragraph" w:customStyle="1" w:styleId="415">
    <w:name w:val="xl80"/>
    <w:basedOn w:val="1"/>
    <w:qFormat/>
    <w:uiPriority w:val="0"/>
    <w:pPr>
      <w:widowControl/>
      <w:pBdr>
        <w:top w:val="single" w:color="auto" w:sz="4" w:space="0"/>
        <w:left w:val="single" w:color="auto" w:sz="4" w:space="0"/>
        <w:right w:val="single" w:color="auto" w:sz="8" w:space="0"/>
      </w:pBdr>
      <w:spacing w:before="100" w:beforeAutospacing="1" w:after="100" w:afterAutospacing="1"/>
      <w:jc w:val="center"/>
    </w:pPr>
    <w:rPr>
      <w:rFonts w:ascii="宋体" w:hAnsi="宋体" w:cs="宋体"/>
      <w:color w:val="3366FF"/>
      <w:kern w:val="0"/>
      <w:sz w:val="16"/>
      <w:szCs w:val="16"/>
    </w:rPr>
  </w:style>
  <w:style w:type="paragraph" w:customStyle="1" w:styleId="416">
    <w:name w:val="xl69"/>
    <w:basedOn w:val="1"/>
    <w:qFormat/>
    <w:uiPriority w:val="0"/>
    <w:pPr>
      <w:widowControl/>
      <w:pBdr>
        <w:top w:val="single" w:color="auto" w:sz="8" w:space="0"/>
        <w:left w:val="single" w:color="auto" w:sz="4" w:space="0"/>
        <w:bottom w:val="double" w:color="auto" w:sz="6" w:space="0"/>
        <w:right w:val="single" w:color="auto" w:sz="4" w:space="0"/>
      </w:pBdr>
      <w:spacing w:before="100" w:beforeAutospacing="1" w:after="100" w:afterAutospacing="1"/>
      <w:jc w:val="center"/>
    </w:pPr>
    <w:rPr>
      <w:rFonts w:ascii="宋体" w:hAnsi="宋体" w:cs="宋体"/>
      <w:kern w:val="0"/>
      <w:sz w:val="16"/>
      <w:szCs w:val="16"/>
    </w:rPr>
  </w:style>
  <w:style w:type="paragraph" w:customStyle="1" w:styleId="417">
    <w:name w:val="1.1.1.1A"/>
    <w:basedOn w:val="1"/>
    <w:qFormat/>
    <w:uiPriority w:val="0"/>
    <w:pPr>
      <w:tabs>
        <w:tab w:val="left" w:pos="1843"/>
      </w:tabs>
      <w:adjustRightInd w:val="0"/>
      <w:spacing w:before="60" w:after="60" w:line="400" w:lineRule="atLeast"/>
      <w:ind w:left="1560" w:right="200" w:hanging="426"/>
      <w:textAlignment w:val="baseline"/>
    </w:pPr>
    <w:rPr>
      <w:rFonts w:ascii="Arial" w:hAnsi="Arial"/>
      <w:kern w:val="0"/>
      <w:sz w:val="24"/>
      <w:szCs w:val="20"/>
    </w:rPr>
  </w:style>
  <w:style w:type="paragraph" w:customStyle="1" w:styleId="41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419">
    <w:name w:val="样式3"/>
    <w:basedOn w:val="1"/>
    <w:link w:val="523"/>
    <w:qFormat/>
    <w:uiPriority w:val="0"/>
    <w:pPr>
      <w:tabs>
        <w:tab w:val="left" w:pos="720"/>
      </w:tabs>
      <w:adjustRightInd w:val="0"/>
      <w:snapToGrid w:val="0"/>
      <w:spacing w:line="360" w:lineRule="auto"/>
      <w:ind w:firstLine="420"/>
    </w:pPr>
    <w:rPr>
      <w:rFonts w:ascii="楷体_GB2312" w:hAnsi="新宋体" w:eastAsia="楷体_GB2312"/>
      <w:sz w:val="24"/>
      <w:szCs w:val="20"/>
    </w:rPr>
  </w:style>
  <w:style w:type="paragraph" w:customStyle="1" w:styleId="420">
    <w:name w:val="xl154"/>
    <w:basedOn w:val="1"/>
    <w:qFormat/>
    <w:uiPriority w:val="0"/>
    <w:pPr>
      <w:widowControl/>
      <w:pBdr>
        <w:left w:val="single" w:color="auto" w:sz="8"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421">
    <w:name w:val="xl10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C0C0C0"/>
      <w:kern w:val="0"/>
      <w:sz w:val="16"/>
      <w:szCs w:val="16"/>
    </w:rPr>
  </w:style>
  <w:style w:type="paragraph" w:customStyle="1" w:styleId="422">
    <w:name w:val="xl119"/>
    <w:basedOn w:val="1"/>
    <w:qFormat/>
    <w:uiPriority w:val="0"/>
    <w:pPr>
      <w:widowControl/>
      <w:pBdr>
        <w:top w:val="single" w:color="auto" w:sz="8" w:space="0"/>
        <w:left w:val="single" w:color="auto" w:sz="4" w:space="0"/>
        <w:bottom w:val="double" w:color="auto" w:sz="6" w:space="0"/>
        <w:right w:val="single" w:color="auto" w:sz="8" w:space="0"/>
      </w:pBdr>
      <w:spacing w:before="100" w:beforeAutospacing="1" w:after="100" w:afterAutospacing="1"/>
      <w:jc w:val="center"/>
    </w:pPr>
    <w:rPr>
      <w:rFonts w:ascii="宋体" w:hAnsi="宋体" w:cs="宋体"/>
      <w:kern w:val="0"/>
      <w:sz w:val="18"/>
      <w:szCs w:val="18"/>
    </w:rPr>
  </w:style>
  <w:style w:type="paragraph" w:customStyle="1" w:styleId="423">
    <w:name w:val="CM317"/>
    <w:basedOn w:val="354"/>
    <w:next w:val="354"/>
    <w:qFormat/>
    <w:uiPriority w:val="99"/>
    <w:pPr>
      <w:autoSpaceDE w:val="0"/>
      <w:autoSpaceDN w:val="0"/>
      <w:adjustRightInd w:val="0"/>
      <w:spacing w:after="315"/>
    </w:pPr>
    <w:rPr>
      <w:rFonts w:ascii="宋体"/>
      <w:color w:val="auto"/>
    </w:rPr>
  </w:style>
  <w:style w:type="paragraph" w:customStyle="1" w:styleId="424">
    <w:name w:val="List Paragraph*"/>
    <w:basedOn w:val="1"/>
    <w:qFormat/>
    <w:uiPriority w:val="0"/>
    <w:pPr>
      <w:spacing w:line="312" w:lineRule="atLeast"/>
      <w:ind w:firstLine="420"/>
    </w:pPr>
    <w:rPr>
      <w:color w:val="000000"/>
      <w:kern w:val="0"/>
      <w:szCs w:val="20"/>
    </w:rPr>
  </w:style>
  <w:style w:type="paragraph" w:customStyle="1" w:styleId="425">
    <w:name w:val="xl116"/>
    <w:basedOn w:val="1"/>
    <w:qFormat/>
    <w:uiPriority w:val="0"/>
    <w:pPr>
      <w:widowControl/>
      <w:pBdr>
        <w:top w:val="single" w:color="auto" w:sz="4" w:space="0"/>
        <w:left w:val="single" w:color="auto" w:sz="4" w:space="0"/>
      </w:pBdr>
      <w:spacing w:before="100" w:beforeAutospacing="1" w:after="100" w:afterAutospacing="1"/>
      <w:jc w:val="center"/>
    </w:pPr>
    <w:rPr>
      <w:rFonts w:ascii="宋体" w:hAnsi="宋体" w:cs="宋体"/>
      <w:color w:val="C0C0C0"/>
      <w:kern w:val="0"/>
      <w:sz w:val="16"/>
      <w:szCs w:val="16"/>
    </w:rPr>
  </w:style>
  <w:style w:type="paragraph" w:customStyle="1" w:styleId="426">
    <w:name w:val="_Style 100"/>
    <w:basedOn w:val="1"/>
    <w:next w:val="210"/>
    <w:qFormat/>
    <w:uiPriority w:val="0"/>
    <w:pPr>
      <w:spacing w:line="312" w:lineRule="atLeast"/>
      <w:ind w:firstLine="420"/>
    </w:pPr>
    <w:rPr>
      <w:color w:val="000000"/>
      <w:kern w:val="0"/>
      <w:szCs w:val="20"/>
    </w:rPr>
  </w:style>
  <w:style w:type="paragraph" w:customStyle="1" w:styleId="427">
    <w:name w:val="正文2"/>
    <w:qFormat/>
    <w:uiPriority w:val="0"/>
    <w:pPr>
      <w:widowControl w:val="0"/>
      <w:adjustRightInd w:val="0"/>
      <w:spacing w:line="312" w:lineRule="atLeast"/>
      <w:jc w:val="both"/>
      <w:textAlignment w:val="baseline"/>
    </w:pPr>
    <w:rPr>
      <w:rFonts w:ascii="宋体" w:hAnsi="Calibri" w:eastAsia="宋体" w:cs="Times New Roman"/>
      <w:sz w:val="34"/>
      <w:lang w:val="en-US" w:eastAsia="zh-CN" w:bidi="ar-SA"/>
    </w:rPr>
  </w:style>
  <w:style w:type="paragraph" w:customStyle="1" w:styleId="428">
    <w:name w:val="正文文本缩进1"/>
    <w:basedOn w:val="1"/>
    <w:qFormat/>
    <w:uiPriority w:val="0"/>
    <w:pPr>
      <w:spacing w:after="120"/>
      <w:ind w:left="420" w:leftChars="200"/>
    </w:pPr>
    <w:rPr>
      <w:rFonts w:ascii="Times New Roman" w:hAnsi="Times New Roman"/>
      <w:szCs w:val="24"/>
    </w:rPr>
  </w:style>
  <w:style w:type="paragraph" w:customStyle="1" w:styleId="429">
    <w:name w:val="zw"/>
    <w:basedOn w:val="1"/>
    <w:qFormat/>
    <w:uiPriority w:val="0"/>
    <w:pPr>
      <w:widowControl/>
      <w:spacing w:before="30"/>
      <w:ind w:left="100" w:right="100"/>
    </w:pPr>
    <w:rPr>
      <w:rFonts w:ascii="方正书宋简体" w:hAnsi="宋体" w:eastAsia="方正书宋简体"/>
      <w:color w:val="000000"/>
      <w:kern w:val="0"/>
      <w:szCs w:val="21"/>
    </w:rPr>
  </w:style>
  <w:style w:type="paragraph" w:customStyle="1" w:styleId="430">
    <w:name w:val="ST20_2"/>
    <w:basedOn w:val="1"/>
    <w:qFormat/>
    <w:uiPriority w:val="0"/>
    <w:pPr>
      <w:autoSpaceDE w:val="0"/>
      <w:autoSpaceDN w:val="0"/>
      <w:adjustRightInd w:val="0"/>
      <w:spacing w:line="312" w:lineRule="atLeast"/>
      <w:textAlignment w:val="baseline"/>
    </w:pPr>
    <w:rPr>
      <w:rFonts w:ascii="宋体" w:hAnsi="Tms Rmn"/>
      <w:kern w:val="0"/>
      <w:sz w:val="24"/>
      <w:szCs w:val="20"/>
    </w:rPr>
  </w:style>
  <w:style w:type="paragraph" w:customStyle="1" w:styleId="431">
    <w:name w:val="无间隔1"/>
    <w:qFormat/>
    <w:uiPriority w:val="0"/>
    <w:pPr>
      <w:widowControl w:val="0"/>
      <w:jc w:val="both"/>
    </w:pPr>
    <w:rPr>
      <w:rFonts w:ascii="Calibri" w:hAnsi="Calibri" w:eastAsia="宋体" w:cs="Times New Roman"/>
      <w:kern w:val="2"/>
      <w:sz w:val="21"/>
      <w:szCs w:val="22"/>
      <w:lang w:val="en-US" w:eastAsia="zh-CN" w:bidi="ar-SA"/>
    </w:rPr>
  </w:style>
  <w:style w:type="paragraph" w:customStyle="1" w:styleId="432">
    <w:name w:val="样式 正文刘兵 + 首行缩进:  2 字符"/>
    <w:basedOn w:val="1"/>
    <w:qFormat/>
    <w:uiPriority w:val="0"/>
    <w:pPr>
      <w:autoSpaceDE w:val="0"/>
      <w:autoSpaceDN w:val="0"/>
      <w:adjustRightInd w:val="0"/>
      <w:spacing w:line="520" w:lineRule="exact"/>
      <w:ind w:firstLine="480" w:firstLineChars="200"/>
      <w:jc w:val="left"/>
    </w:pPr>
    <w:rPr>
      <w:rFonts w:cs="宋体"/>
      <w:bCs/>
      <w:color w:val="000000"/>
      <w:kern w:val="0"/>
      <w:sz w:val="24"/>
      <w:szCs w:val="24"/>
      <w:lang w:val="zh-CN"/>
    </w:rPr>
  </w:style>
  <w:style w:type="paragraph" w:customStyle="1" w:styleId="433">
    <w:name w:val="xl131"/>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ascii="宋体" w:hAnsi="宋体" w:cs="宋体"/>
      <w:color w:val="FF0000"/>
      <w:kern w:val="0"/>
      <w:sz w:val="16"/>
      <w:szCs w:val="16"/>
    </w:rPr>
  </w:style>
  <w:style w:type="paragraph" w:customStyle="1" w:styleId="434">
    <w:name w:val="TOC 标题11"/>
    <w:basedOn w:val="3"/>
    <w:next w:val="1"/>
    <w:qFormat/>
    <w:uiPriority w:val="39"/>
    <w:pPr>
      <w:widowControl/>
      <w:spacing w:before="480" w:after="0" w:line="276" w:lineRule="auto"/>
      <w:jc w:val="left"/>
      <w:outlineLvl w:val="9"/>
    </w:pPr>
    <w:rPr>
      <w:rFonts w:ascii="Cambria" w:hAnsi="Cambria"/>
      <w:color w:val="365F91"/>
      <w:kern w:val="0"/>
      <w:sz w:val="28"/>
      <w:szCs w:val="28"/>
      <w:lang w:val="en-US"/>
    </w:rPr>
  </w:style>
  <w:style w:type="paragraph" w:customStyle="1" w:styleId="435">
    <w:name w:val="_Style 35"/>
    <w:basedOn w:val="1"/>
    <w:qFormat/>
    <w:uiPriority w:val="0"/>
    <w:pPr>
      <w:widowControl/>
      <w:jc w:val="left"/>
    </w:pPr>
    <w:rPr>
      <w:rFonts w:ascii="Tahoma" w:hAnsi="Tahoma"/>
      <w:kern w:val="0"/>
      <w:sz w:val="24"/>
      <w:szCs w:val="20"/>
      <w:lang w:eastAsia="en-US"/>
    </w:rPr>
  </w:style>
  <w:style w:type="paragraph" w:customStyle="1" w:styleId="436">
    <w:name w:val="xl110"/>
    <w:basedOn w:val="1"/>
    <w:qFormat/>
    <w:uiPriority w:val="0"/>
    <w:pPr>
      <w:widowControl/>
      <w:pBdr>
        <w:top w:val="double" w:color="auto" w:sz="6" w:space="0"/>
        <w:left w:val="single" w:color="auto" w:sz="4" w:space="0"/>
        <w:bottom w:val="single" w:color="auto" w:sz="4" w:space="0"/>
      </w:pBdr>
      <w:spacing w:before="100" w:beforeAutospacing="1" w:after="100" w:afterAutospacing="1"/>
      <w:jc w:val="left"/>
      <w:textAlignment w:val="top"/>
    </w:pPr>
    <w:rPr>
      <w:rFonts w:ascii="宋体" w:hAnsi="宋体" w:cs="宋体"/>
      <w:kern w:val="0"/>
      <w:sz w:val="16"/>
      <w:szCs w:val="16"/>
    </w:rPr>
  </w:style>
  <w:style w:type="paragraph" w:customStyle="1" w:styleId="437">
    <w:name w:val="xl152"/>
    <w:basedOn w:val="1"/>
    <w:qFormat/>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jc w:val="center"/>
    </w:pPr>
    <w:rPr>
      <w:rFonts w:ascii="宋体" w:hAnsi="宋体" w:cs="宋体"/>
      <w:color w:val="FF0000"/>
      <w:kern w:val="0"/>
      <w:sz w:val="16"/>
      <w:szCs w:val="16"/>
    </w:rPr>
  </w:style>
  <w:style w:type="paragraph" w:customStyle="1" w:styleId="438">
    <w:name w:val="xl104"/>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FF"/>
      <w:kern w:val="0"/>
      <w:sz w:val="16"/>
      <w:szCs w:val="16"/>
    </w:rPr>
  </w:style>
  <w:style w:type="paragraph" w:customStyle="1" w:styleId="439">
    <w:name w:val="TOC æ ‡é¢˜"/>
    <w:basedOn w:val="1"/>
    <w:next w:val="1"/>
    <w:qFormat/>
    <w:uiPriority w:val="0"/>
    <w:pPr>
      <w:keepNext/>
      <w:keepLines/>
      <w:tabs>
        <w:tab w:val="left" w:pos="360"/>
      </w:tabs>
      <w:autoSpaceDE w:val="0"/>
      <w:autoSpaceDN w:val="0"/>
      <w:adjustRightInd w:val="0"/>
      <w:spacing w:before="480" w:line="264" w:lineRule="auto"/>
      <w:jc w:val="left"/>
    </w:pPr>
    <w:rPr>
      <w:rFonts w:ascii="宋体" w:cs="宋体"/>
      <w:b/>
      <w:bCs/>
      <w:kern w:val="0"/>
      <w:sz w:val="28"/>
      <w:szCs w:val="28"/>
      <w:lang w:val="zh-CN"/>
    </w:rPr>
  </w:style>
  <w:style w:type="paragraph" w:customStyle="1" w:styleId="440">
    <w:name w:val="样式 标题 1 + 黑体 三号 非加粗 居中 段前: 6 磅 段后: 6 磅 行距: 固定值 20 磅"/>
    <w:basedOn w:val="3"/>
    <w:qFormat/>
    <w:uiPriority w:val="0"/>
    <w:pPr>
      <w:spacing w:before="120" w:after="120" w:line="400" w:lineRule="exact"/>
      <w:jc w:val="center"/>
    </w:pPr>
    <w:rPr>
      <w:rFonts w:ascii="黑体" w:hAnsi="黑体" w:eastAsia="黑体" w:cs="宋体"/>
      <w:b w:val="0"/>
      <w:bCs w:val="0"/>
      <w:sz w:val="32"/>
      <w:szCs w:val="20"/>
    </w:rPr>
  </w:style>
  <w:style w:type="paragraph" w:customStyle="1" w:styleId="441">
    <w:name w:val="批注主题1"/>
    <w:basedOn w:val="17"/>
    <w:next w:val="17"/>
    <w:qFormat/>
    <w:uiPriority w:val="0"/>
    <w:pPr>
      <w:jc w:val="both"/>
    </w:pPr>
    <w:rPr>
      <w:b/>
      <w:sz w:val="24"/>
      <w:lang w:val="en-US"/>
    </w:rPr>
  </w:style>
  <w:style w:type="paragraph" w:customStyle="1" w:styleId="442">
    <w:name w:val="xl109"/>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color w:val="0000FF"/>
      <w:kern w:val="0"/>
      <w:sz w:val="16"/>
      <w:szCs w:val="16"/>
    </w:rPr>
  </w:style>
  <w:style w:type="paragraph" w:customStyle="1" w:styleId="443">
    <w:name w:val="xl85"/>
    <w:basedOn w:val="1"/>
    <w:qFormat/>
    <w:uiPriority w:val="0"/>
    <w:pPr>
      <w:widowControl/>
      <w:pBdr>
        <w:left w:val="single" w:color="auto" w:sz="4" w:space="0"/>
        <w:bottom w:val="single" w:color="auto" w:sz="4" w:space="0"/>
        <w:right w:val="single" w:color="auto" w:sz="8" w:space="0"/>
      </w:pBdr>
      <w:spacing w:before="100" w:beforeAutospacing="1" w:after="100" w:afterAutospacing="1"/>
      <w:jc w:val="center"/>
    </w:pPr>
    <w:rPr>
      <w:rFonts w:ascii="宋体" w:hAnsi="宋体" w:cs="宋体"/>
      <w:kern w:val="0"/>
      <w:sz w:val="16"/>
      <w:szCs w:val="16"/>
    </w:rPr>
  </w:style>
  <w:style w:type="paragraph" w:customStyle="1" w:styleId="444">
    <w:name w:val="reader-word-layer"/>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445">
    <w:name w:val="4"/>
    <w:basedOn w:val="6"/>
    <w:qFormat/>
    <w:uiPriority w:val="0"/>
    <w:pPr>
      <w:spacing w:before="60" w:after="60" w:line="300" w:lineRule="auto"/>
    </w:pPr>
    <w:rPr>
      <w:rFonts w:ascii="Arial" w:hAnsi="Arial" w:eastAsia="黑体"/>
      <w:b w:val="0"/>
      <w:bCs w:val="0"/>
      <w:kern w:val="2"/>
      <w:sz w:val="24"/>
      <w:szCs w:val="20"/>
      <w:lang w:val="en-US"/>
    </w:rPr>
  </w:style>
  <w:style w:type="paragraph" w:customStyle="1" w:styleId="446">
    <w:name w:val="6'"/>
    <w:basedOn w:val="1"/>
    <w:qFormat/>
    <w:uiPriority w:val="0"/>
    <w:pPr>
      <w:autoSpaceDE w:val="0"/>
      <w:autoSpaceDN w:val="0"/>
      <w:adjustRightInd w:val="0"/>
      <w:snapToGrid w:val="0"/>
      <w:spacing w:line="320" w:lineRule="exact"/>
      <w:jc w:val="center"/>
      <w:textAlignment w:val="baseline"/>
    </w:pPr>
    <w:rPr>
      <w:rFonts w:ascii="Times New Roman" w:hAnsi="Times New Roman"/>
      <w:spacing w:val="20"/>
      <w:kern w:val="28"/>
      <w:szCs w:val="20"/>
    </w:rPr>
  </w:style>
  <w:style w:type="paragraph" w:customStyle="1" w:styleId="447">
    <w:name w:val="xl94"/>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textAlignment w:val="top"/>
    </w:pPr>
    <w:rPr>
      <w:rFonts w:ascii="宋体" w:hAnsi="宋体" w:cs="宋体"/>
      <w:kern w:val="0"/>
      <w:sz w:val="16"/>
      <w:szCs w:val="16"/>
    </w:rPr>
  </w:style>
  <w:style w:type="paragraph" w:customStyle="1" w:styleId="448">
    <w:name w:val="xl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hint="eastAsia" w:ascii="宋体" w:hAnsi="宋体"/>
      <w:kern w:val="0"/>
      <w:sz w:val="24"/>
      <w:szCs w:val="24"/>
      <w:lang w:eastAsia="en-US"/>
    </w:rPr>
  </w:style>
  <w:style w:type="paragraph" w:customStyle="1" w:styleId="449">
    <w:name w:val="xl120"/>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left"/>
    </w:pPr>
    <w:rPr>
      <w:rFonts w:ascii="宋体" w:hAnsi="宋体" w:cs="宋体"/>
      <w:color w:val="0000FF"/>
      <w:kern w:val="0"/>
      <w:sz w:val="16"/>
      <w:szCs w:val="16"/>
    </w:rPr>
  </w:style>
  <w:style w:type="paragraph" w:customStyle="1" w:styleId="450">
    <w:name w:val="纯文本1"/>
    <w:basedOn w:val="1"/>
    <w:qFormat/>
    <w:uiPriority w:val="0"/>
    <w:pPr>
      <w:adjustRightInd w:val="0"/>
      <w:jc w:val="left"/>
      <w:textAlignment w:val="baseline"/>
    </w:pPr>
    <w:rPr>
      <w:rFonts w:ascii="宋体" w:hAnsi="Courier New"/>
      <w:sz w:val="24"/>
      <w:szCs w:val="20"/>
    </w:rPr>
  </w:style>
  <w:style w:type="paragraph" w:customStyle="1" w:styleId="451">
    <w:name w:val="页眉与页脚"/>
    <w:qFormat/>
    <w:uiPriority w:val="0"/>
    <w:pPr>
      <w:tabs>
        <w:tab w:val="right" w:pos="9020"/>
      </w:tabs>
    </w:pPr>
    <w:rPr>
      <w:rFonts w:ascii="Helvetica" w:hAnsi="Arial Unicode MS" w:eastAsia="Arial Unicode MS" w:cs="Arial Unicode MS"/>
      <w:color w:val="000000"/>
      <w:sz w:val="24"/>
      <w:szCs w:val="24"/>
      <w:lang w:val="en-US" w:eastAsia="zh-CN" w:bidi="ar-SA"/>
    </w:rPr>
  </w:style>
  <w:style w:type="paragraph" w:customStyle="1" w:styleId="452">
    <w:name w:val="xl153"/>
    <w:basedOn w:val="1"/>
    <w:qFormat/>
    <w:uiPriority w:val="0"/>
    <w:pPr>
      <w:widowControl/>
      <w:pBdr>
        <w:top w:val="double" w:color="auto" w:sz="6" w:space="0"/>
        <w:left w:val="single" w:color="auto" w:sz="8"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453">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cs="宋体"/>
      <w:kern w:val="0"/>
      <w:sz w:val="16"/>
      <w:szCs w:val="16"/>
    </w:rPr>
  </w:style>
  <w:style w:type="paragraph" w:customStyle="1" w:styleId="454">
    <w:name w:val="font6"/>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455">
    <w:name w:val="xl142"/>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color w:val="FF0000"/>
      <w:kern w:val="0"/>
      <w:sz w:val="16"/>
      <w:szCs w:val="16"/>
    </w:rPr>
  </w:style>
  <w:style w:type="paragraph" w:customStyle="1" w:styleId="456">
    <w:name w:val="xl150"/>
    <w:basedOn w:val="1"/>
    <w:qFormat/>
    <w:uiPriority w:val="0"/>
    <w:pPr>
      <w:widowControl/>
      <w:pBdr>
        <w:left w:val="single" w:color="auto" w:sz="4" w:space="0"/>
      </w:pBdr>
      <w:spacing w:before="100" w:beforeAutospacing="1" w:after="100" w:afterAutospacing="1"/>
      <w:jc w:val="center"/>
    </w:pPr>
    <w:rPr>
      <w:rFonts w:ascii="宋体" w:hAnsi="宋体" w:cs="宋体"/>
      <w:color w:val="0000FF"/>
      <w:kern w:val="0"/>
      <w:sz w:val="16"/>
      <w:szCs w:val="16"/>
    </w:rPr>
  </w:style>
  <w:style w:type="paragraph" w:customStyle="1" w:styleId="457">
    <w:name w:val="章节一"/>
    <w:basedOn w:val="1"/>
    <w:next w:val="1"/>
    <w:qFormat/>
    <w:uiPriority w:val="0"/>
    <w:pPr>
      <w:topLinePunct/>
      <w:adjustRightInd w:val="0"/>
      <w:snapToGrid w:val="0"/>
      <w:spacing w:beforeLines="50" w:afterLines="50"/>
      <w:jc w:val="center"/>
      <w:outlineLvl w:val="0"/>
    </w:pPr>
    <w:rPr>
      <w:rFonts w:eastAsia="黑体"/>
      <w:b/>
      <w:snapToGrid w:val="0"/>
      <w:spacing w:val="4"/>
      <w:kern w:val="0"/>
      <w:sz w:val="36"/>
      <w:szCs w:val="36"/>
    </w:rPr>
  </w:style>
  <w:style w:type="paragraph" w:customStyle="1" w:styleId="458">
    <w:name w:val="p17"/>
    <w:basedOn w:val="1"/>
    <w:qFormat/>
    <w:uiPriority w:val="0"/>
    <w:pPr>
      <w:widowControl/>
      <w:jc w:val="left"/>
    </w:pPr>
    <w:rPr>
      <w:rFonts w:ascii="宋体" w:hAnsi="宋体" w:cs="宋体"/>
      <w:kern w:val="0"/>
      <w:szCs w:val="21"/>
    </w:rPr>
  </w:style>
  <w:style w:type="paragraph" w:customStyle="1" w:styleId="459">
    <w:name w:val="Char Char Char1 Char"/>
    <w:basedOn w:val="16"/>
    <w:qFormat/>
    <w:uiPriority w:val="0"/>
    <w:pPr>
      <w:shd w:val="clear" w:color="auto" w:fill="000080"/>
    </w:pPr>
    <w:rPr>
      <w:rFonts w:ascii="Tahoma" w:hAnsi="Tahoma"/>
      <w:kern w:val="0"/>
      <w:sz w:val="24"/>
      <w:szCs w:val="24"/>
      <w:lang w:val="en-US"/>
    </w:rPr>
  </w:style>
  <w:style w:type="paragraph" w:customStyle="1" w:styleId="460">
    <w:name w:val="Char Char Char Char Char Char Char1"/>
    <w:basedOn w:val="1"/>
    <w:qFormat/>
    <w:uiPriority w:val="0"/>
    <w:pPr>
      <w:tabs>
        <w:tab w:val="left" w:pos="425"/>
      </w:tabs>
      <w:ind w:left="425" w:hanging="425"/>
    </w:pPr>
    <w:rPr>
      <w:rFonts w:ascii="Times New Roman" w:hAnsi="Times New Roman" w:eastAsia="仿宋_GB2312"/>
      <w:kern w:val="24"/>
      <w:sz w:val="24"/>
      <w:szCs w:val="24"/>
    </w:rPr>
  </w:style>
  <w:style w:type="paragraph" w:customStyle="1" w:styleId="461">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top"/>
    </w:pPr>
    <w:rPr>
      <w:rFonts w:ascii="宋体" w:hAnsi="宋体" w:cs="宋体"/>
      <w:kern w:val="0"/>
      <w:sz w:val="16"/>
      <w:szCs w:val="16"/>
    </w:rPr>
  </w:style>
  <w:style w:type="paragraph" w:customStyle="1" w:styleId="462">
    <w:name w:val="xl139"/>
    <w:basedOn w:val="1"/>
    <w:qFormat/>
    <w:uiPriority w:val="0"/>
    <w:pPr>
      <w:widowControl/>
      <w:pBdr>
        <w:left w:val="single" w:color="auto" w:sz="4" w:space="0"/>
      </w:pBdr>
      <w:spacing w:before="100" w:beforeAutospacing="1" w:after="100" w:afterAutospacing="1"/>
      <w:jc w:val="center"/>
    </w:pPr>
    <w:rPr>
      <w:rFonts w:ascii="宋体" w:hAnsi="宋体" w:cs="宋体"/>
      <w:kern w:val="0"/>
      <w:sz w:val="16"/>
      <w:szCs w:val="16"/>
    </w:rPr>
  </w:style>
  <w:style w:type="paragraph" w:customStyle="1" w:styleId="463">
    <w:name w:val="xl121"/>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ascii="宋体" w:hAnsi="宋体" w:cs="宋体"/>
      <w:color w:val="3366FF"/>
      <w:kern w:val="0"/>
      <w:sz w:val="16"/>
      <w:szCs w:val="16"/>
    </w:rPr>
  </w:style>
  <w:style w:type="paragraph" w:customStyle="1" w:styleId="464">
    <w:name w:val="图"/>
    <w:basedOn w:val="1"/>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465">
    <w:name w:val="样式 正文缩进表正文正文非缩进特点上海中望标准正文（首行缩进两字）文字正文（首行缩进两字） Char正文（首行缩进..."/>
    <w:basedOn w:val="2"/>
    <w:qFormat/>
    <w:uiPriority w:val="0"/>
    <w:pPr>
      <w:ind w:firstLine="200" w:firstLineChars="200"/>
    </w:pPr>
    <w:rPr>
      <w:rFonts w:ascii="Calibri"/>
      <w:kern w:val="2"/>
      <w:sz w:val="21"/>
      <w:szCs w:val="21"/>
    </w:rPr>
  </w:style>
  <w:style w:type="paragraph" w:customStyle="1" w:styleId="466">
    <w:name w:val="_Style 155"/>
    <w:basedOn w:val="3"/>
    <w:next w:val="1"/>
    <w:qFormat/>
    <w:uiPriority w:val="39"/>
    <w:pPr>
      <w:widowControl/>
      <w:spacing w:before="480" w:after="0" w:line="276" w:lineRule="auto"/>
      <w:jc w:val="left"/>
      <w:outlineLvl w:val="9"/>
    </w:pPr>
    <w:rPr>
      <w:rFonts w:ascii="Cambria" w:hAnsi="Cambria"/>
      <w:color w:val="365F91"/>
      <w:kern w:val="0"/>
      <w:sz w:val="28"/>
      <w:szCs w:val="28"/>
      <w:lang w:val="en-US"/>
    </w:rPr>
  </w:style>
  <w:style w:type="paragraph" w:customStyle="1" w:styleId="467">
    <w:name w:val="xl111"/>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top"/>
    </w:pPr>
    <w:rPr>
      <w:rFonts w:ascii="宋体" w:hAnsi="宋体" w:cs="宋体"/>
      <w:kern w:val="0"/>
      <w:sz w:val="16"/>
      <w:szCs w:val="16"/>
    </w:rPr>
  </w:style>
  <w:style w:type="paragraph" w:customStyle="1" w:styleId="468">
    <w:name w:val="目录 11"/>
    <w:qFormat/>
    <w:uiPriority w:val="0"/>
    <w:pPr>
      <w:widowControl w:val="0"/>
      <w:tabs>
        <w:tab w:val="right" w:leader="dot" w:pos="9710"/>
      </w:tabs>
      <w:spacing w:line="360" w:lineRule="auto"/>
    </w:pPr>
    <w:rPr>
      <w:rFonts w:ascii="Arial Bold" w:hAnsi="Arial Bold" w:eastAsia="Arial Bold" w:cs="Arial Bold"/>
      <w:caps/>
      <w:color w:val="000000"/>
      <w:kern w:val="2"/>
      <w:sz w:val="24"/>
      <w:szCs w:val="24"/>
      <w:lang w:val="en-US" w:eastAsia="zh-CN" w:bidi="ar-SA"/>
    </w:rPr>
  </w:style>
  <w:style w:type="paragraph" w:customStyle="1" w:styleId="469">
    <w:name w:val="Char Char11"/>
    <w:basedOn w:val="1"/>
    <w:qFormat/>
    <w:uiPriority w:val="0"/>
    <w:pPr>
      <w:widowControl/>
      <w:spacing w:after="160" w:line="240" w:lineRule="exact"/>
      <w:jc w:val="left"/>
    </w:pPr>
    <w:rPr>
      <w:rFonts w:ascii="Verdana" w:hAnsi="Verdana" w:eastAsia="楷体_GB2312"/>
      <w:b/>
      <w:i/>
      <w:iCs/>
      <w:color w:val="000000"/>
      <w:kern w:val="0"/>
      <w:sz w:val="20"/>
      <w:szCs w:val="20"/>
      <w:lang w:eastAsia="en-US"/>
    </w:rPr>
  </w:style>
  <w:style w:type="paragraph" w:customStyle="1" w:styleId="470">
    <w:name w:val="Char1 Char Char Char Char Char Char1"/>
    <w:basedOn w:val="1"/>
    <w:qFormat/>
    <w:uiPriority w:val="0"/>
    <w:rPr>
      <w:szCs w:val="24"/>
    </w:rPr>
  </w:style>
  <w:style w:type="paragraph" w:customStyle="1" w:styleId="471">
    <w:name w:val="xl66"/>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472">
    <w:name w:val="xl143"/>
    <w:basedOn w:val="1"/>
    <w:qFormat/>
    <w:uiPriority w:val="0"/>
    <w:pPr>
      <w:widowControl/>
      <w:pBdr>
        <w:top w:val="double" w:color="auto" w:sz="6"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16"/>
      <w:szCs w:val="16"/>
    </w:rPr>
  </w:style>
  <w:style w:type="paragraph" w:customStyle="1" w:styleId="473">
    <w:name w:val="xl10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3366FF"/>
      <w:kern w:val="0"/>
      <w:sz w:val="16"/>
      <w:szCs w:val="16"/>
    </w:rPr>
  </w:style>
  <w:style w:type="paragraph" w:customStyle="1" w:styleId="474">
    <w:name w:val="xl138"/>
    <w:basedOn w:val="1"/>
    <w:qFormat/>
    <w:uiPriority w:val="0"/>
    <w:pPr>
      <w:widowControl/>
      <w:pBdr>
        <w:top w:val="double" w:color="auto" w:sz="6" w:space="0"/>
        <w:left w:val="single" w:color="auto" w:sz="4" w:space="0"/>
      </w:pBdr>
      <w:spacing w:before="100" w:beforeAutospacing="1" w:after="100" w:afterAutospacing="1"/>
      <w:jc w:val="center"/>
    </w:pPr>
    <w:rPr>
      <w:rFonts w:ascii="宋体" w:hAnsi="宋体" w:cs="宋体"/>
      <w:kern w:val="0"/>
      <w:sz w:val="16"/>
      <w:szCs w:val="16"/>
    </w:rPr>
  </w:style>
  <w:style w:type="paragraph" w:customStyle="1" w:styleId="475">
    <w:name w:val="修订12"/>
    <w:unhideWhenUsed/>
    <w:qFormat/>
    <w:uiPriority w:val="99"/>
    <w:rPr>
      <w:rFonts w:ascii="Calibri" w:hAnsi="Calibri" w:eastAsia="宋体" w:cs="Times New Roman"/>
      <w:lang w:val="en-US" w:eastAsia="zh-CN" w:bidi="ar-SA"/>
    </w:rPr>
  </w:style>
  <w:style w:type="paragraph" w:customStyle="1" w:styleId="476">
    <w:name w:val="表格文字中"/>
    <w:basedOn w:val="1"/>
    <w:qFormat/>
    <w:uiPriority w:val="0"/>
    <w:pPr>
      <w:adjustRightInd w:val="0"/>
      <w:snapToGrid w:val="0"/>
      <w:ind w:left="22" w:leftChars="8"/>
      <w:jc w:val="center"/>
    </w:pPr>
    <w:rPr>
      <w:rFonts w:ascii="宋体"/>
      <w:kern w:val="0"/>
      <w:sz w:val="34"/>
      <w:szCs w:val="20"/>
    </w:rPr>
  </w:style>
  <w:style w:type="paragraph" w:customStyle="1" w:styleId="477">
    <w:name w:val="表格文字1"/>
    <w:basedOn w:val="1"/>
    <w:qFormat/>
    <w:uiPriority w:val="0"/>
    <w:pPr>
      <w:adjustRightInd w:val="0"/>
      <w:snapToGrid w:val="0"/>
    </w:pPr>
    <w:rPr>
      <w:rFonts w:ascii="宋体" w:eastAsia="仿宋_GB2312"/>
      <w:kern w:val="0"/>
      <w:sz w:val="34"/>
      <w:szCs w:val="20"/>
    </w:rPr>
  </w:style>
  <w:style w:type="paragraph" w:customStyle="1" w:styleId="478">
    <w:name w:val="样式 标题 3 + (中文) 黑体 小四 非加粗 段前: 7.8 磅 段后: 0 磅 行距: 固定值 20 磅"/>
    <w:basedOn w:val="5"/>
    <w:qFormat/>
    <w:uiPriority w:val="0"/>
    <w:pPr>
      <w:spacing w:before="0" w:after="0" w:line="400" w:lineRule="exact"/>
    </w:pPr>
    <w:rPr>
      <w:rFonts w:ascii="Times New Roman" w:hAnsi="Times New Roman" w:eastAsia="黑体" w:cs="宋体"/>
      <w:b w:val="0"/>
      <w:bCs w:val="0"/>
      <w:kern w:val="2"/>
      <w:sz w:val="24"/>
      <w:szCs w:val="20"/>
    </w:rPr>
  </w:style>
  <w:style w:type="paragraph" w:customStyle="1" w:styleId="479">
    <w:name w:val="TOC 标题111"/>
    <w:basedOn w:val="3"/>
    <w:next w:val="1"/>
    <w:qFormat/>
    <w:uiPriority w:val="0"/>
    <w:pPr>
      <w:widowControl/>
      <w:spacing w:before="480" w:after="0" w:line="276" w:lineRule="auto"/>
      <w:jc w:val="left"/>
      <w:outlineLvl w:val="9"/>
    </w:pPr>
    <w:rPr>
      <w:rFonts w:ascii="Cambria" w:hAnsi="Cambria"/>
      <w:bCs w:val="0"/>
      <w:color w:val="365F91"/>
      <w:kern w:val="0"/>
      <w:sz w:val="28"/>
      <w:szCs w:val="20"/>
      <w:lang w:val="en-US"/>
    </w:rPr>
  </w:style>
  <w:style w:type="paragraph" w:customStyle="1" w:styleId="480">
    <w:name w:val="Table Paragraph"/>
    <w:basedOn w:val="1"/>
    <w:qFormat/>
    <w:uiPriority w:val="1"/>
    <w:pPr>
      <w:jc w:val="left"/>
    </w:pPr>
    <w:rPr>
      <w:rFonts w:ascii="宋体" w:hAnsi="宋体" w:cs="宋体"/>
      <w:kern w:val="0"/>
      <w:sz w:val="22"/>
      <w:lang w:eastAsia="en-US"/>
    </w:rPr>
  </w:style>
  <w:style w:type="paragraph" w:customStyle="1" w:styleId="481">
    <w:name w:val="TOC 标题12"/>
    <w:basedOn w:val="3"/>
    <w:next w:val="1"/>
    <w:qFormat/>
    <w:uiPriority w:val="39"/>
    <w:pPr>
      <w:widowControl/>
      <w:spacing w:before="480" w:after="0" w:line="276" w:lineRule="auto"/>
      <w:jc w:val="left"/>
      <w:outlineLvl w:val="9"/>
    </w:pPr>
    <w:rPr>
      <w:rFonts w:ascii="Cambria" w:hAnsi="Cambria"/>
      <w:color w:val="365F91"/>
      <w:kern w:val="0"/>
      <w:sz w:val="28"/>
      <w:szCs w:val="28"/>
      <w:lang w:val="en-US"/>
    </w:rPr>
  </w:style>
  <w:style w:type="paragraph" w:customStyle="1" w:styleId="482">
    <w:name w:val="表注1"/>
    <w:basedOn w:val="1"/>
    <w:qFormat/>
    <w:uiPriority w:val="0"/>
    <w:pPr>
      <w:adjustRightInd w:val="0"/>
      <w:snapToGrid w:val="0"/>
      <w:spacing w:line="300" w:lineRule="auto"/>
      <w:ind w:left="350" w:hanging="350" w:hangingChars="350"/>
    </w:pPr>
    <w:rPr>
      <w:rFonts w:ascii="宋体" w:eastAsia="仿宋_GB2312"/>
      <w:bCs/>
      <w:color w:val="000000"/>
      <w:kern w:val="0"/>
      <w:sz w:val="34"/>
      <w:szCs w:val="20"/>
    </w:rPr>
  </w:style>
  <w:style w:type="paragraph" w:customStyle="1" w:styleId="483">
    <w:name w:val="Char Char Char1"/>
    <w:basedOn w:val="1"/>
    <w:qFormat/>
    <w:uiPriority w:val="0"/>
    <w:rPr>
      <w:szCs w:val="24"/>
    </w:rPr>
  </w:style>
  <w:style w:type="paragraph" w:customStyle="1" w:styleId="484">
    <w:name w:val="xl125"/>
    <w:basedOn w:val="1"/>
    <w:qFormat/>
    <w:uiPriority w:val="0"/>
    <w:pPr>
      <w:widowControl/>
      <w:spacing w:before="100" w:beforeAutospacing="1" w:after="100" w:afterAutospacing="1"/>
      <w:jc w:val="center"/>
    </w:pPr>
    <w:rPr>
      <w:rFonts w:ascii="黑体" w:hAnsi="黑体" w:eastAsia="黑体" w:cs="宋体"/>
      <w:kern w:val="0"/>
      <w:sz w:val="28"/>
      <w:szCs w:val="28"/>
    </w:rPr>
  </w:style>
  <w:style w:type="paragraph" w:customStyle="1" w:styleId="485">
    <w:name w:val="xl67"/>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486">
    <w:name w:val="reader-word-layer reader-word-s1-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487">
    <w:name w:val="样式32"/>
    <w:basedOn w:val="36"/>
    <w:qFormat/>
    <w:uiPriority w:val="0"/>
    <w:pPr>
      <w:spacing w:line="360" w:lineRule="auto"/>
      <w:ind w:firstLine="360" w:firstLineChars="200"/>
    </w:pPr>
    <w:rPr>
      <w:rFonts w:ascii="Calibri" w:hAnsi="Calibri"/>
      <w:lang w:val="en-US"/>
    </w:rPr>
  </w:style>
  <w:style w:type="paragraph" w:customStyle="1" w:styleId="488">
    <w:name w:val="列出段落1"/>
    <w:basedOn w:val="1"/>
    <w:link w:val="558"/>
    <w:qFormat/>
    <w:uiPriority w:val="0"/>
    <w:pPr>
      <w:ind w:firstLine="420" w:firstLineChars="200"/>
    </w:pPr>
  </w:style>
  <w:style w:type="paragraph" w:customStyle="1" w:styleId="489">
    <w:name w:val="xl137"/>
    <w:basedOn w:val="1"/>
    <w:qFormat/>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jc w:val="center"/>
    </w:pPr>
    <w:rPr>
      <w:rFonts w:ascii="宋体" w:hAnsi="宋体" w:cs="宋体"/>
      <w:kern w:val="0"/>
      <w:sz w:val="16"/>
      <w:szCs w:val="16"/>
    </w:rPr>
  </w:style>
  <w:style w:type="paragraph" w:customStyle="1" w:styleId="490">
    <w:name w:val="修订3"/>
    <w:qFormat/>
    <w:uiPriority w:val="0"/>
    <w:rPr>
      <w:rFonts w:ascii="Times New Roman" w:hAnsi="Times New Roman" w:eastAsia="楷体_GB2312" w:cs="Times New Roman"/>
      <w:kern w:val="2"/>
      <w:sz w:val="21"/>
      <w:lang w:val="en-US" w:eastAsia="zh-CN" w:bidi="ar-SA"/>
    </w:rPr>
  </w:style>
  <w:style w:type="paragraph" w:customStyle="1" w:styleId="491">
    <w:name w:val="文二"/>
    <w:basedOn w:val="1"/>
    <w:qFormat/>
    <w:uiPriority w:val="0"/>
    <w:pPr>
      <w:jc w:val="left"/>
    </w:pPr>
    <w:rPr>
      <w:rFonts w:ascii="宋体" w:hAnsi="宋体"/>
      <w:szCs w:val="21"/>
    </w:rPr>
  </w:style>
  <w:style w:type="paragraph" w:customStyle="1" w:styleId="492">
    <w:name w:val="表格文字"/>
    <w:basedOn w:val="1"/>
    <w:qFormat/>
    <w:uiPriority w:val="0"/>
    <w:pPr>
      <w:adjustRightInd w:val="0"/>
      <w:snapToGrid w:val="0"/>
      <w:ind w:left="-57" w:right="-57"/>
      <w:jc w:val="center"/>
    </w:pPr>
    <w:rPr>
      <w:rFonts w:ascii="宋体" w:hAnsi="Times New Roman"/>
      <w:sz w:val="24"/>
      <w:szCs w:val="20"/>
    </w:rPr>
  </w:style>
  <w:style w:type="paragraph" w:customStyle="1" w:styleId="493">
    <w:name w:val="xl27"/>
    <w:basedOn w:val="1"/>
    <w:qFormat/>
    <w:uiPriority w:val="0"/>
    <w:pPr>
      <w:widowControl/>
      <w:pBdr>
        <w:left w:val="single" w:color="auto" w:sz="4" w:space="0"/>
      </w:pBdr>
      <w:spacing w:before="100" w:beforeAutospacing="1" w:after="100" w:afterAutospacing="1"/>
      <w:jc w:val="center"/>
    </w:pPr>
    <w:rPr>
      <w:rFonts w:hint="eastAsia" w:ascii="仿宋_GB2312" w:hAnsi="宋体" w:eastAsia="仿宋_GB2312"/>
      <w:kern w:val="0"/>
      <w:sz w:val="24"/>
      <w:szCs w:val="24"/>
    </w:rPr>
  </w:style>
  <w:style w:type="paragraph" w:customStyle="1" w:styleId="494">
    <w:name w:val="样式1"/>
    <w:basedOn w:val="6"/>
    <w:link w:val="564"/>
    <w:qFormat/>
    <w:uiPriority w:val="0"/>
    <w:pPr>
      <w:spacing w:before="30" w:after="0" w:line="240" w:lineRule="auto"/>
    </w:pPr>
    <w:rPr>
      <w:rFonts w:ascii="Arial" w:hAnsi="Arial" w:eastAsia="黑体"/>
      <w:b w:val="0"/>
      <w:bCs w:val="0"/>
      <w:sz w:val="21"/>
      <w:lang w:eastAsia="ja-JP"/>
    </w:rPr>
  </w:style>
  <w:style w:type="paragraph" w:customStyle="1" w:styleId="495">
    <w:name w:val="正文 A"/>
    <w:qFormat/>
    <w:uiPriority w:val="0"/>
    <w:pPr>
      <w:widowControl w:val="0"/>
      <w:jc w:val="both"/>
    </w:pPr>
    <w:rPr>
      <w:rFonts w:ascii="Calibri" w:hAnsi="Arial Unicode MS" w:eastAsia="Arial Unicode MS" w:cs="Arial Unicode MS"/>
      <w:color w:val="000000"/>
      <w:kern w:val="2"/>
      <w:sz w:val="21"/>
      <w:szCs w:val="21"/>
      <w:lang w:val="en-US" w:eastAsia="zh-CN" w:bidi="ar-SA"/>
    </w:rPr>
  </w:style>
  <w:style w:type="paragraph" w:customStyle="1" w:styleId="496">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3366FF"/>
      <w:kern w:val="0"/>
      <w:sz w:val="16"/>
      <w:szCs w:val="16"/>
    </w:rPr>
  </w:style>
  <w:style w:type="paragraph" w:customStyle="1" w:styleId="497">
    <w:name w:val="xl167"/>
    <w:basedOn w:val="1"/>
    <w:qFormat/>
    <w:uiPriority w:val="0"/>
    <w:pPr>
      <w:widowControl/>
      <w:pBdr>
        <w:left w:val="single" w:color="auto" w:sz="8" w:space="0"/>
        <w:bottom w:val="single" w:color="auto" w:sz="8" w:space="0"/>
      </w:pBdr>
      <w:spacing w:before="100" w:beforeAutospacing="1" w:after="100" w:afterAutospacing="1"/>
      <w:jc w:val="left"/>
    </w:pPr>
    <w:rPr>
      <w:rFonts w:ascii="宋体" w:hAnsi="宋体" w:cs="宋体"/>
      <w:kern w:val="0"/>
      <w:sz w:val="20"/>
      <w:szCs w:val="20"/>
    </w:rPr>
  </w:style>
  <w:style w:type="paragraph" w:customStyle="1" w:styleId="498">
    <w:name w:val="段"/>
    <w:qFormat/>
    <w:uiPriority w:val="0"/>
    <w:pPr>
      <w:numPr>
        <w:ilvl w:val="0"/>
        <w:numId w:val="2"/>
      </w:numPr>
      <w:autoSpaceDE w:val="0"/>
      <w:autoSpaceDN w:val="0"/>
      <w:jc w:val="both"/>
    </w:pPr>
    <w:rPr>
      <w:rFonts w:ascii="宋体" w:hAnsi="Calibri" w:eastAsia="宋体" w:cs="Times New Roman"/>
      <w:sz w:val="21"/>
      <w:szCs w:val="22"/>
      <w:lang w:val="en-US" w:eastAsia="zh-CN" w:bidi="ar-SA"/>
    </w:rPr>
  </w:style>
  <w:style w:type="paragraph" w:customStyle="1" w:styleId="499">
    <w:name w:val="空半行"/>
    <w:basedOn w:val="1"/>
    <w:qFormat/>
    <w:uiPriority w:val="0"/>
    <w:pPr>
      <w:adjustRightInd w:val="0"/>
      <w:spacing w:line="120" w:lineRule="exact"/>
      <w:textAlignment w:val="baseline"/>
    </w:pPr>
    <w:rPr>
      <w:rFonts w:eastAsia="仿宋_GB2312"/>
      <w:color w:val="FFFFFF"/>
      <w:kern w:val="0"/>
      <w:sz w:val="30"/>
      <w:szCs w:val="20"/>
    </w:rPr>
  </w:style>
  <w:style w:type="paragraph" w:customStyle="1" w:styleId="500">
    <w:name w:val="xl14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16"/>
      <w:szCs w:val="16"/>
    </w:rPr>
  </w:style>
  <w:style w:type="paragraph" w:customStyle="1" w:styleId="501">
    <w:name w:val="xl12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502">
    <w:name w:val="xl12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6"/>
      <w:szCs w:val="16"/>
    </w:rPr>
  </w:style>
  <w:style w:type="paragraph" w:customStyle="1" w:styleId="503">
    <w:name w:val="xl160"/>
    <w:basedOn w:val="1"/>
    <w:qFormat/>
    <w:uiPriority w:val="0"/>
    <w:pPr>
      <w:widowControl/>
      <w:pBdr>
        <w:left w:val="single" w:color="auto" w:sz="4" w:space="0"/>
        <w:bottom w:val="double" w:color="auto" w:sz="6" w:space="0"/>
      </w:pBdr>
      <w:spacing w:before="100" w:beforeAutospacing="1" w:after="100" w:afterAutospacing="1"/>
      <w:jc w:val="center"/>
    </w:pPr>
    <w:rPr>
      <w:rFonts w:ascii="宋体" w:hAnsi="宋体" w:cs="宋体"/>
      <w:color w:val="000000"/>
      <w:kern w:val="0"/>
      <w:sz w:val="16"/>
      <w:szCs w:val="16"/>
    </w:rPr>
  </w:style>
  <w:style w:type="paragraph" w:customStyle="1" w:styleId="504">
    <w:name w:val="样式 标题 2 + Times New Roman 四号 非加粗 段前: 5 磅 段后: 0 磅 行距: 固定值 20..."/>
    <w:basedOn w:val="4"/>
    <w:qFormat/>
    <w:uiPriority w:val="0"/>
    <w:pPr>
      <w:spacing w:before="100" w:after="0" w:line="400" w:lineRule="exact"/>
    </w:pPr>
    <w:rPr>
      <w:rFonts w:ascii="Times New Roman" w:hAnsi="Times New Roman" w:eastAsia="黑体" w:cs="宋体"/>
      <w:b w:val="0"/>
      <w:bCs w:val="0"/>
      <w:kern w:val="2"/>
      <w:sz w:val="28"/>
      <w:szCs w:val="20"/>
      <w:lang w:val="en-US"/>
    </w:rPr>
  </w:style>
  <w:style w:type="paragraph" w:customStyle="1" w:styleId="505">
    <w:name w:val="xl162"/>
    <w:basedOn w:val="1"/>
    <w:qFormat/>
    <w:uiPriority w:val="0"/>
    <w:pPr>
      <w:widowControl/>
      <w:pBdr>
        <w:top w:val="double" w:color="auto" w:sz="6" w:space="0"/>
        <w:left w:val="single" w:color="auto" w:sz="4" w:space="0"/>
      </w:pBdr>
      <w:spacing w:before="100" w:beforeAutospacing="1" w:after="100" w:afterAutospacing="1"/>
      <w:jc w:val="center"/>
    </w:pPr>
    <w:rPr>
      <w:rFonts w:ascii="宋体" w:hAnsi="宋体" w:cs="宋体"/>
      <w:color w:val="0000FF"/>
      <w:kern w:val="0"/>
      <w:sz w:val="16"/>
      <w:szCs w:val="16"/>
    </w:rPr>
  </w:style>
  <w:style w:type="paragraph" w:customStyle="1" w:styleId="506">
    <w:name w:val="xl103"/>
    <w:basedOn w:val="1"/>
    <w:qFormat/>
    <w:uiPriority w:val="0"/>
    <w:pPr>
      <w:widowControl/>
      <w:pBdr>
        <w:top w:val="double" w:color="auto" w:sz="6"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3366FF"/>
      <w:kern w:val="0"/>
      <w:sz w:val="16"/>
      <w:szCs w:val="16"/>
    </w:rPr>
  </w:style>
  <w:style w:type="paragraph" w:customStyle="1" w:styleId="507">
    <w:name w:val="xl1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6"/>
      <w:szCs w:val="16"/>
    </w:rPr>
  </w:style>
  <w:style w:type="paragraph" w:customStyle="1" w:styleId="508">
    <w:name w:val="Z5"/>
    <w:basedOn w:val="1"/>
    <w:qFormat/>
    <w:uiPriority w:val="0"/>
    <w:pPr>
      <w:autoSpaceDE w:val="0"/>
      <w:autoSpaceDN w:val="0"/>
      <w:adjustRightInd w:val="0"/>
      <w:spacing w:line="360" w:lineRule="auto"/>
      <w:ind w:firstLine="420" w:firstLineChars="200"/>
      <w:jc w:val="left"/>
    </w:pPr>
    <w:rPr>
      <w:rFonts w:ascii="宋体" w:cs="宋体"/>
      <w:kern w:val="0"/>
      <w:szCs w:val="21"/>
    </w:rPr>
  </w:style>
  <w:style w:type="paragraph" w:customStyle="1" w:styleId="509">
    <w:name w:val="条目2"/>
    <w:basedOn w:val="1"/>
    <w:qFormat/>
    <w:uiPriority w:val="0"/>
    <w:pPr>
      <w:tabs>
        <w:tab w:val="left" w:pos="780"/>
      </w:tabs>
      <w:overflowPunct w:val="0"/>
      <w:autoSpaceDE w:val="0"/>
      <w:autoSpaceDN w:val="0"/>
      <w:adjustRightInd w:val="0"/>
      <w:snapToGrid w:val="0"/>
      <w:spacing w:beforeLines="100" w:after="100" w:afterAutospacing="1"/>
      <w:ind w:left="780" w:hanging="360"/>
    </w:pPr>
    <w:rPr>
      <w:rFonts w:ascii="宋体" w:hAnsi="宋体"/>
      <w:kern w:val="0"/>
      <w:sz w:val="24"/>
      <w:lang w:val="fr-FR"/>
    </w:rPr>
  </w:style>
  <w:style w:type="paragraph" w:customStyle="1" w:styleId="510">
    <w:name w:val="修订2"/>
    <w:unhideWhenUsed/>
    <w:qFormat/>
    <w:uiPriority w:val="0"/>
    <w:rPr>
      <w:rFonts w:ascii="Calibri" w:hAnsi="Calibri" w:eastAsia="宋体" w:cs="Times New Roman"/>
      <w:kern w:val="2"/>
      <w:sz w:val="24"/>
      <w:szCs w:val="24"/>
      <w:lang w:val="en-US" w:eastAsia="zh-CN" w:bidi="ar-SA"/>
    </w:rPr>
  </w:style>
  <w:style w:type="paragraph" w:customStyle="1" w:styleId="511">
    <w:name w:val="无间隔11"/>
    <w:link w:val="537"/>
    <w:qFormat/>
    <w:uiPriority w:val="0"/>
    <w:pPr>
      <w:widowControl w:val="0"/>
      <w:jc w:val="both"/>
    </w:pPr>
    <w:rPr>
      <w:rFonts w:ascii="等线" w:hAnsi="等线" w:eastAsia="等线" w:cs="Times New Roman"/>
      <w:kern w:val="2"/>
      <w:sz w:val="18"/>
      <w:szCs w:val="22"/>
      <w:lang w:val="en-US" w:eastAsia="zh-CN" w:bidi="ar-SA"/>
    </w:rPr>
  </w:style>
  <w:style w:type="paragraph" w:customStyle="1" w:styleId="512">
    <w:name w:val="列出段落11"/>
    <w:basedOn w:val="1"/>
    <w:unhideWhenUsed/>
    <w:qFormat/>
    <w:uiPriority w:val="34"/>
    <w:pPr>
      <w:ind w:firstLine="420" w:firstLineChars="200"/>
    </w:pPr>
    <w:rPr>
      <w:szCs w:val="24"/>
    </w:rPr>
  </w:style>
  <w:style w:type="paragraph" w:customStyle="1" w:styleId="513">
    <w:name w:val="默认段落字体 Para Char Char Char Char"/>
    <w:basedOn w:val="1"/>
    <w:qFormat/>
    <w:uiPriority w:val="0"/>
    <w:rPr>
      <w:szCs w:val="24"/>
    </w:rPr>
  </w:style>
  <w:style w:type="paragraph" w:customStyle="1" w:styleId="514">
    <w:name w:val="xl166"/>
    <w:basedOn w:val="1"/>
    <w:qFormat/>
    <w:uiPriority w:val="0"/>
    <w:pPr>
      <w:widowControl/>
      <w:pBdr>
        <w:left w:val="single" w:color="auto" w:sz="4" w:space="0"/>
        <w:bottom w:val="single" w:color="auto" w:sz="8" w:space="0"/>
      </w:pBdr>
      <w:spacing w:before="100" w:beforeAutospacing="1" w:after="100" w:afterAutospacing="1"/>
      <w:jc w:val="center"/>
    </w:pPr>
    <w:rPr>
      <w:rFonts w:ascii="宋体" w:hAnsi="宋体" w:cs="宋体"/>
      <w:kern w:val="0"/>
      <w:sz w:val="20"/>
      <w:szCs w:val="20"/>
    </w:rPr>
  </w:style>
  <w:style w:type="paragraph" w:customStyle="1" w:styleId="515">
    <w:name w:val="Definition Term"/>
    <w:basedOn w:val="1"/>
    <w:next w:val="1"/>
    <w:qFormat/>
    <w:uiPriority w:val="0"/>
    <w:pPr>
      <w:autoSpaceDE w:val="0"/>
      <w:autoSpaceDN w:val="0"/>
      <w:adjustRightInd w:val="0"/>
      <w:jc w:val="left"/>
    </w:pPr>
    <w:rPr>
      <w:kern w:val="0"/>
      <w:sz w:val="24"/>
      <w:szCs w:val="20"/>
    </w:rPr>
  </w:style>
  <w:style w:type="paragraph" w:customStyle="1" w:styleId="516">
    <w:name w:val="flNote"/>
    <w:basedOn w:val="1"/>
    <w:qFormat/>
    <w:uiPriority w:val="0"/>
    <w:pPr>
      <w:adjustRightInd w:val="0"/>
      <w:spacing w:before="320" w:after="160" w:line="360" w:lineRule="atLeast"/>
      <w:jc w:val="center"/>
      <w:textAlignment w:val="baseline"/>
    </w:pPr>
    <w:rPr>
      <w:rFonts w:ascii="Arial" w:eastAsia="黑体"/>
      <w:kern w:val="0"/>
      <w:sz w:val="30"/>
      <w:szCs w:val="20"/>
    </w:rPr>
  </w:style>
  <w:style w:type="paragraph" w:customStyle="1" w:styleId="517">
    <w:name w:val="xl136"/>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16"/>
      <w:szCs w:val="16"/>
    </w:rPr>
  </w:style>
  <w:style w:type="paragraph" w:customStyle="1" w:styleId="518">
    <w:name w:val="imclear"/>
    <w:basedOn w:val="1"/>
    <w:qFormat/>
    <w:uiPriority w:val="0"/>
    <w:pPr>
      <w:widowControl/>
      <w:spacing w:before="100" w:beforeAutospacing="1" w:after="100" w:afterAutospacing="1" w:line="0" w:lineRule="atLeast"/>
      <w:jc w:val="left"/>
    </w:pPr>
    <w:rPr>
      <w:rFonts w:ascii="宋体" w:hAnsi="宋体" w:cs="宋体"/>
      <w:kern w:val="0"/>
      <w:sz w:val="2"/>
      <w:szCs w:val="2"/>
    </w:rPr>
  </w:style>
  <w:style w:type="paragraph" w:customStyle="1" w:styleId="519">
    <w:name w:val="xl113"/>
    <w:basedOn w:val="1"/>
    <w:qFormat/>
    <w:uiPriority w:val="0"/>
    <w:pPr>
      <w:widowControl/>
      <w:pBdr>
        <w:top w:val="double" w:color="auto" w:sz="6" w:space="0"/>
        <w:left w:val="single" w:color="auto" w:sz="8" w:space="0"/>
        <w:bottom w:val="single" w:color="auto" w:sz="4" w:space="0"/>
        <w:right w:val="single" w:color="auto" w:sz="8" w:space="0"/>
      </w:pBdr>
      <w:spacing w:before="100" w:beforeAutospacing="1" w:after="100" w:afterAutospacing="1"/>
      <w:jc w:val="left"/>
      <w:textAlignment w:val="top"/>
    </w:pPr>
    <w:rPr>
      <w:rFonts w:ascii="宋体" w:hAnsi="宋体" w:cs="宋体"/>
      <w:kern w:val="0"/>
      <w:sz w:val="16"/>
      <w:szCs w:val="16"/>
    </w:rPr>
  </w:style>
  <w:style w:type="table" w:customStyle="1" w:styleId="520">
    <w:name w:val="Table Normal"/>
    <w:qFormat/>
    <w:uiPriority w:val="2"/>
    <w:tblPr>
      <w:tblCellMar>
        <w:top w:w="0" w:type="dxa"/>
        <w:left w:w="0" w:type="dxa"/>
        <w:bottom w:w="0" w:type="dxa"/>
        <w:right w:w="0" w:type="dxa"/>
      </w:tblCellMar>
    </w:tblPr>
  </w:style>
  <w:style w:type="table" w:customStyle="1" w:styleId="521">
    <w:name w:val="网格型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522">
    <w:name w:val="TOC 标题4"/>
    <w:basedOn w:val="3"/>
    <w:next w:val="1"/>
    <w:semiHidden/>
    <w:unhideWhenUsed/>
    <w:qFormat/>
    <w:uiPriority w:val="39"/>
    <w:pPr>
      <w:outlineLvl w:val="9"/>
    </w:pPr>
    <w:rPr>
      <w:lang w:val="en-US"/>
    </w:rPr>
  </w:style>
  <w:style w:type="character" w:customStyle="1" w:styleId="523">
    <w:name w:val="样式3 Char"/>
    <w:link w:val="419"/>
    <w:qFormat/>
    <w:uiPriority w:val="0"/>
    <w:rPr>
      <w:rFonts w:ascii="楷体_GB2312" w:hAnsi="新宋体" w:eastAsia="楷体_GB2312"/>
      <w:kern w:val="2"/>
      <w:sz w:val="24"/>
    </w:rPr>
  </w:style>
  <w:style w:type="character" w:customStyle="1" w:styleId="524">
    <w:name w:val="正文(仿)首缩 Char"/>
    <w:link w:val="525"/>
    <w:qFormat/>
    <w:locked/>
    <w:uiPriority w:val="0"/>
    <w:rPr>
      <w:rFonts w:ascii="仿宋_GB2312" w:eastAsia="仿宋_GB2312"/>
      <w:sz w:val="28"/>
    </w:rPr>
  </w:style>
  <w:style w:type="paragraph" w:customStyle="1" w:styleId="525">
    <w:name w:val="正文(仿)首缩"/>
    <w:basedOn w:val="1"/>
    <w:link w:val="524"/>
    <w:qFormat/>
    <w:uiPriority w:val="0"/>
    <w:pPr>
      <w:ind w:firstLine="554" w:firstLineChars="200"/>
    </w:pPr>
    <w:rPr>
      <w:rFonts w:ascii="仿宋_GB2312" w:eastAsia="仿宋_GB2312"/>
      <w:kern w:val="0"/>
      <w:sz w:val="28"/>
      <w:szCs w:val="20"/>
    </w:rPr>
  </w:style>
  <w:style w:type="character" w:customStyle="1" w:styleId="526">
    <w:name w:val="3eee Char"/>
    <w:link w:val="527"/>
    <w:qFormat/>
    <w:uiPriority w:val="0"/>
    <w:rPr>
      <w:rFonts w:ascii="Courier New" w:hAnsi="Courier New" w:eastAsia="Courier New"/>
      <w:sz w:val="24"/>
      <w:szCs w:val="24"/>
    </w:rPr>
  </w:style>
  <w:style w:type="paragraph" w:customStyle="1" w:styleId="527">
    <w:name w:val="3eee"/>
    <w:basedOn w:val="1"/>
    <w:link w:val="526"/>
    <w:qFormat/>
    <w:uiPriority w:val="0"/>
    <w:pPr>
      <w:spacing w:line="440" w:lineRule="exact"/>
      <w:ind w:firstLine="480" w:firstLineChars="200"/>
    </w:pPr>
    <w:rPr>
      <w:rFonts w:ascii="Courier New" w:hAnsi="Courier New" w:eastAsia="Courier New"/>
      <w:kern w:val="0"/>
      <w:sz w:val="24"/>
      <w:szCs w:val="24"/>
    </w:rPr>
  </w:style>
  <w:style w:type="character" w:customStyle="1" w:styleId="528">
    <w:name w:val="18"/>
    <w:qFormat/>
    <w:uiPriority w:val="0"/>
    <w:rPr>
      <w:rFonts w:hint="default" w:ascii="Calibri" w:hAnsi="Calibri" w:cs="Calibri"/>
      <w:b/>
      <w:bCs/>
      <w:sz w:val="30"/>
      <w:szCs w:val="30"/>
    </w:rPr>
  </w:style>
  <w:style w:type="character" w:customStyle="1" w:styleId="529">
    <w:name w:val="样式 宋体 小四 Char"/>
    <w:link w:val="530"/>
    <w:qFormat/>
    <w:uiPriority w:val="0"/>
    <w:rPr>
      <w:rFonts w:ascii="Courier New" w:hAnsi="Courier New" w:eastAsia="Courier New"/>
      <w:sz w:val="24"/>
    </w:rPr>
  </w:style>
  <w:style w:type="paragraph" w:customStyle="1" w:styleId="530">
    <w:name w:val="样式 宋体 小四"/>
    <w:basedOn w:val="1"/>
    <w:link w:val="529"/>
    <w:qFormat/>
    <w:uiPriority w:val="0"/>
    <w:pPr>
      <w:adjustRightInd w:val="0"/>
      <w:snapToGrid w:val="0"/>
      <w:spacing w:line="480" w:lineRule="exact"/>
      <w:ind w:firstLine="200" w:firstLineChars="200"/>
    </w:pPr>
    <w:rPr>
      <w:rFonts w:ascii="Courier New" w:hAnsi="Courier New" w:eastAsia="Courier New"/>
      <w:kern w:val="0"/>
      <w:sz w:val="24"/>
      <w:szCs w:val="20"/>
    </w:rPr>
  </w:style>
  <w:style w:type="character" w:customStyle="1" w:styleId="531">
    <w:name w:val="样式 小四 首行缩进:  0.85 厘米 行距: 1.5 倍行距 Char1"/>
    <w:link w:val="532"/>
    <w:qFormat/>
    <w:uiPriority w:val="0"/>
    <w:rPr>
      <w:rFonts w:ascii="Courier New" w:hAnsi="Courier New" w:eastAsia="Courier New"/>
      <w:bCs/>
      <w:sz w:val="24"/>
      <w:szCs w:val="28"/>
    </w:rPr>
  </w:style>
  <w:style w:type="paragraph" w:customStyle="1" w:styleId="532">
    <w:name w:val="样式 小四 首行缩进:  0.85 厘米 行距: 1.5 倍行距"/>
    <w:basedOn w:val="1"/>
    <w:next w:val="1"/>
    <w:link w:val="531"/>
    <w:qFormat/>
    <w:uiPriority w:val="0"/>
    <w:pPr>
      <w:spacing w:line="360" w:lineRule="auto"/>
      <w:ind w:firstLine="480"/>
    </w:pPr>
    <w:rPr>
      <w:rFonts w:ascii="Courier New" w:hAnsi="Courier New" w:eastAsia="Courier New"/>
      <w:bCs/>
      <w:kern w:val="0"/>
      <w:sz w:val="24"/>
      <w:szCs w:val="28"/>
    </w:rPr>
  </w:style>
  <w:style w:type="character" w:customStyle="1" w:styleId="533">
    <w:name w:val="19"/>
    <w:qFormat/>
    <w:uiPriority w:val="0"/>
    <w:rPr>
      <w:rFonts w:hint="default" w:ascii="Calibri" w:hAnsi="Calibri" w:cs="Calibri"/>
      <w:b/>
      <w:bCs/>
      <w:kern w:val="44"/>
      <w:sz w:val="44"/>
      <w:szCs w:val="44"/>
    </w:rPr>
  </w:style>
  <w:style w:type="character" w:customStyle="1" w:styleId="534">
    <w:name w:val="10"/>
    <w:qFormat/>
    <w:uiPriority w:val="0"/>
    <w:rPr>
      <w:rFonts w:hint="default" w:ascii="Calibri" w:hAnsi="Calibri" w:cs="Calibri"/>
    </w:rPr>
  </w:style>
  <w:style w:type="character" w:customStyle="1" w:styleId="535">
    <w:name w:val="插图名称 Char"/>
    <w:link w:val="536"/>
    <w:qFormat/>
    <w:uiPriority w:val="0"/>
    <w:rPr>
      <w:rFonts w:eastAsia="Times New Roman"/>
      <w:kern w:val="2"/>
      <w:sz w:val="21"/>
      <w:szCs w:val="24"/>
    </w:rPr>
  </w:style>
  <w:style w:type="paragraph" w:customStyle="1" w:styleId="536">
    <w:name w:val="插图名称"/>
    <w:link w:val="535"/>
    <w:qFormat/>
    <w:uiPriority w:val="0"/>
    <w:pPr>
      <w:jc w:val="center"/>
      <w:outlineLvl w:val="8"/>
    </w:pPr>
    <w:rPr>
      <w:rFonts w:ascii="Calibri" w:hAnsi="Calibri" w:eastAsia="Times New Roman" w:cs="Times New Roman"/>
      <w:kern w:val="2"/>
      <w:sz w:val="21"/>
      <w:szCs w:val="24"/>
      <w:lang w:val="en-US" w:eastAsia="zh-CN" w:bidi="ar-SA"/>
    </w:rPr>
  </w:style>
  <w:style w:type="character" w:customStyle="1" w:styleId="537">
    <w:name w:val="无间隔 Char"/>
    <w:link w:val="511"/>
    <w:qFormat/>
    <w:locked/>
    <w:uiPriority w:val="0"/>
    <w:rPr>
      <w:rFonts w:ascii="等线" w:hAnsi="等线" w:eastAsia="等线"/>
      <w:kern w:val="2"/>
      <w:sz w:val="18"/>
      <w:szCs w:val="22"/>
    </w:rPr>
  </w:style>
  <w:style w:type="character" w:customStyle="1" w:styleId="538">
    <w:name w:val="Char Char102"/>
    <w:qFormat/>
    <w:uiPriority w:val="0"/>
    <w:rPr>
      <w:rFonts w:ascii="宋体" w:hAnsi="Courier New" w:eastAsia="宋体" w:cs="Times New Roman"/>
      <w:szCs w:val="20"/>
    </w:rPr>
  </w:style>
  <w:style w:type="character" w:customStyle="1" w:styleId="539">
    <w:name w:val="表格文字 Char"/>
    <w:qFormat/>
    <w:locked/>
    <w:uiPriority w:val="0"/>
    <w:rPr>
      <w:rFonts w:ascii="宋体" w:hAnsi="Courier New"/>
    </w:rPr>
  </w:style>
  <w:style w:type="character" w:customStyle="1" w:styleId="540">
    <w:name w:val="正文首行缩进 2 Char"/>
    <w:link w:val="54"/>
    <w:qFormat/>
    <w:uiPriority w:val="0"/>
    <w:rPr>
      <w:szCs w:val="24"/>
    </w:rPr>
  </w:style>
  <w:style w:type="character" w:customStyle="1" w:styleId="541">
    <w:name w:val="表格00 Char1"/>
    <w:link w:val="542"/>
    <w:qFormat/>
    <w:uiPriority w:val="0"/>
    <w:rPr>
      <w:rFonts w:eastAsia="Times New Roman"/>
      <w:kern w:val="2"/>
      <w:sz w:val="21"/>
      <w:szCs w:val="21"/>
    </w:rPr>
  </w:style>
  <w:style w:type="paragraph" w:customStyle="1" w:styleId="542">
    <w:name w:val="表格00"/>
    <w:link w:val="541"/>
    <w:qFormat/>
    <w:uiPriority w:val="0"/>
    <w:pPr>
      <w:widowControl w:val="0"/>
      <w:adjustRightInd w:val="0"/>
      <w:spacing w:line="140" w:lineRule="atLeast"/>
      <w:jc w:val="center"/>
      <w:outlineLvl w:val="8"/>
    </w:pPr>
    <w:rPr>
      <w:rFonts w:ascii="Calibri" w:hAnsi="Calibri" w:eastAsia="Times New Roman" w:cs="Times New Roman"/>
      <w:kern w:val="2"/>
      <w:sz w:val="21"/>
      <w:szCs w:val="21"/>
      <w:lang w:val="en-US" w:eastAsia="zh-CN" w:bidi="ar-SA"/>
    </w:rPr>
  </w:style>
  <w:style w:type="character" w:customStyle="1" w:styleId="543">
    <w:name w:val="16"/>
    <w:qFormat/>
    <w:uiPriority w:val="0"/>
    <w:rPr>
      <w:rFonts w:hint="default" w:ascii="Calibri" w:hAnsi="Calibri" w:cs="Calibri"/>
      <w:color w:val="0000FF"/>
      <w:u w:val="single"/>
    </w:rPr>
  </w:style>
  <w:style w:type="character" w:customStyle="1" w:styleId="544">
    <w:name w:val="泉州师院正文 Char"/>
    <w:link w:val="545"/>
    <w:qFormat/>
    <w:uiPriority w:val="0"/>
    <w:rPr>
      <w:sz w:val="24"/>
      <w:szCs w:val="24"/>
    </w:rPr>
  </w:style>
  <w:style w:type="paragraph" w:customStyle="1" w:styleId="545">
    <w:name w:val="泉州师院正文"/>
    <w:basedOn w:val="1"/>
    <w:link w:val="544"/>
    <w:qFormat/>
    <w:uiPriority w:val="0"/>
    <w:pPr>
      <w:spacing w:line="360" w:lineRule="auto"/>
      <w:ind w:firstLine="480" w:firstLineChars="200"/>
    </w:pPr>
    <w:rPr>
      <w:kern w:val="0"/>
      <w:sz w:val="24"/>
      <w:szCs w:val="24"/>
    </w:rPr>
  </w:style>
  <w:style w:type="character" w:customStyle="1" w:styleId="546">
    <w:name w:val="一级标题 Char"/>
    <w:link w:val="547"/>
    <w:qFormat/>
    <w:uiPriority w:val="0"/>
    <w:rPr>
      <w:b/>
      <w:sz w:val="30"/>
      <w:szCs w:val="30"/>
    </w:rPr>
  </w:style>
  <w:style w:type="paragraph" w:customStyle="1" w:styleId="547">
    <w:name w:val="一级标题"/>
    <w:basedOn w:val="1"/>
    <w:link w:val="546"/>
    <w:qFormat/>
    <w:uiPriority w:val="0"/>
    <w:pPr>
      <w:spacing w:line="360" w:lineRule="auto"/>
      <w:outlineLvl w:val="0"/>
    </w:pPr>
    <w:rPr>
      <w:b/>
      <w:kern w:val="0"/>
      <w:sz w:val="30"/>
      <w:szCs w:val="30"/>
    </w:rPr>
  </w:style>
  <w:style w:type="character" w:customStyle="1" w:styleId="548">
    <w:name w:val="15"/>
    <w:qFormat/>
    <w:uiPriority w:val="0"/>
    <w:rPr>
      <w:rFonts w:hint="default" w:ascii="Calibri" w:hAnsi="Calibri" w:cs="Calibri"/>
      <w:color w:val="0000FF"/>
      <w:u w:val="single"/>
    </w:rPr>
  </w:style>
  <w:style w:type="character" w:customStyle="1" w:styleId="549">
    <w:name w:val="17"/>
    <w:qFormat/>
    <w:uiPriority w:val="0"/>
    <w:rPr>
      <w:rFonts w:hint="default" w:ascii="Calibri" w:hAnsi="Calibri" w:cs="Calibri"/>
    </w:rPr>
  </w:style>
  <w:style w:type="character" w:customStyle="1" w:styleId="550">
    <w:name w:val="正文首行缩进 2 Char1"/>
    <w:basedOn w:val="246"/>
    <w:semiHidden/>
    <w:qFormat/>
    <w:uiPriority w:val="99"/>
    <w:rPr>
      <w:rFonts w:ascii="Times New Roman" w:hAnsi="Times New Roman" w:eastAsia="宋体" w:cs="Times New Roman"/>
      <w:kern w:val="2"/>
      <w:sz w:val="21"/>
      <w:szCs w:val="22"/>
    </w:rPr>
  </w:style>
  <w:style w:type="paragraph" w:customStyle="1" w:styleId="551">
    <w:name w:val="正文图标题"/>
    <w:next w:val="1"/>
    <w:qFormat/>
    <w:uiPriority w:val="0"/>
    <w:pPr>
      <w:tabs>
        <w:tab w:val="left" w:pos="420"/>
      </w:tabs>
      <w:ind w:left="567" w:hanging="279"/>
      <w:jc w:val="center"/>
    </w:pPr>
    <w:rPr>
      <w:rFonts w:ascii="黑体" w:hAnsi="Calibri" w:eastAsia="黑体" w:cs="Times New Roman"/>
      <w:sz w:val="21"/>
      <w:lang w:val="en-US" w:eastAsia="zh-CN" w:bidi="ar-SA"/>
    </w:rPr>
  </w:style>
  <w:style w:type="paragraph" w:customStyle="1" w:styleId="552">
    <w:name w:val="CM15"/>
    <w:basedOn w:val="1"/>
    <w:next w:val="1"/>
    <w:qFormat/>
    <w:uiPriority w:val="0"/>
    <w:pPr>
      <w:autoSpaceDE w:val="0"/>
      <w:autoSpaceDN w:val="0"/>
      <w:adjustRightInd w:val="0"/>
      <w:spacing w:line="468" w:lineRule="atLeast"/>
      <w:jc w:val="left"/>
    </w:pPr>
    <w:rPr>
      <w:rFonts w:ascii="黑体" w:eastAsia="黑体"/>
      <w:kern w:val="0"/>
      <w:sz w:val="24"/>
      <w:szCs w:val="24"/>
    </w:rPr>
  </w:style>
  <w:style w:type="paragraph" w:styleId="553">
    <w:name w:val="No Spacing"/>
    <w:qFormat/>
    <w:uiPriority w:val="0"/>
    <w:pPr>
      <w:widowControl w:val="0"/>
      <w:jc w:val="both"/>
    </w:pPr>
    <w:rPr>
      <w:rFonts w:ascii="Calibri" w:hAnsi="Calibri" w:eastAsia="Times New Roman" w:cs="Times New Roman"/>
      <w:kern w:val="2"/>
      <w:sz w:val="24"/>
      <w:szCs w:val="24"/>
      <w:lang w:val="en-US" w:eastAsia="zh-CN" w:bidi="ar-SA"/>
    </w:rPr>
  </w:style>
  <w:style w:type="paragraph" w:customStyle="1" w:styleId="554">
    <w:name w:val="_Style 59"/>
    <w:qFormat/>
    <w:uiPriority w:val="0"/>
    <w:pPr>
      <w:spacing w:after="160" w:line="240" w:lineRule="exact"/>
    </w:pPr>
    <w:rPr>
      <w:rFonts w:ascii="Calibri" w:hAnsi="Calibri" w:eastAsia="宋体" w:cs="Times New Roman"/>
      <w:lang w:val="en-US" w:eastAsia="zh-CN" w:bidi="ar-SA"/>
    </w:rPr>
  </w:style>
  <w:style w:type="paragraph" w:customStyle="1" w:styleId="555">
    <w:name w:val="修订4"/>
    <w:qFormat/>
    <w:uiPriority w:val="0"/>
    <w:rPr>
      <w:rFonts w:ascii="Calibri" w:hAnsi="Calibri" w:eastAsia="宋体" w:cs="Times New Roman"/>
      <w:kern w:val="2"/>
      <w:sz w:val="21"/>
      <w:szCs w:val="24"/>
      <w:lang w:val="en-US" w:eastAsia="zh-CN" w:bidi="ar-SA"/>
    </w:rPr>
  </w:style>
  <w:style w:type="paragraph" w:styleId="556">
    <w:name w:val="List Paragraph"/>
    <w:basedOn w:val="1"/>
    <w:qFormat/>
    <w:uiPriority w:val="99"/>
    <w:pPr>
      <w:ind w:firstLine="420" w:firstLineChars="200"/>
    </w:pPr>
    <w:rPr>
      <w:szCs w:val="24"/>
    </w:rPr>
  </w:style>
  <w:style w:type="paragraph" w:customStyle="1" w:styleId="557">
    <w:name w:val="1eee"/>
    <w:basedOn w:val="3"/>
    <w:qFormat/>
    <w:uiPriority w:val="0"/>
    <w:pPr>
      <w:jc w:val="center"/>
    </w:pPr>
    <w:rPr>
      <w:rFonts w:ascii="Times New Roman" w:hAnsi="Times New Roman" w:eastAsia="黑体" w:cs="宋体"/>
      <w:b w:val="0"/>
      <w:sz w:val="30"/>
    </w:rPr>
  </w:style>
  <w:style w:type="character" w:customStyle="1" w:styleId="558">
    <w:name w:val="列出段落 Char"/>
    <w:basedOn w:val="57"/>
    <w:link w:val="488"/>
    <w:qFormat/>
    <w:uiPriority w:val="0"/>
    <w:rPr>
      <w:kern w:val="2"/>
      <w:sz w:val="21"/>
      <w:szCs w:val="22"/>
    </w:rPr>
  </w:style>
  <w:style w:type="paragraph" w:customStyle="1" w:styleId="559">
    <w:name w:val="央1"/>
    <w:basedOn w:val="1"/>
    <w:link w:val="560"/>
    <w:qFormat/>
    <w:uiPriority w:val="0"/>
    <w:pPr>
      <w:adjustRightInd w:val="0"/>
      <w:snapToGrid w:val="0"/>
      <w:spacing w:line="440" w:lineRule="exact"/>
      <w:ind w:firstLine="200" w:firstLineChars="200"/>
    </w:pPr>
    <w:rPr>
      <w:rFonts w:ascii="宋体" w:hAnsi="Times New Roman" w:cs="宋体"/>
      <w:sz w:val="24"/>
      <w:szCs w:val="24"/>
    </w:rPr>
  </w:style>
  <w:style w:type="character" w:customStyle="1" w:styleId="560">
    <w:name w:val="央1 Char Char"/>
    <w:link w:val="559"/>
    <w:qFormat/>
    <w:uiPriority w:val="0"/>
    <w:rPr>
      <w:rFonts w:ascii="宋体" w:hAnsi="Times New Roman" w:cs="宋体"/>
      <w:kern w:val="2"/>
      <w:sz w:val="24"/>
      <w:szCs w:val="24"/>
    </w:rPr>
  </w:style>
  <w:style w:type="character" w:customStyle="1" w:styleId="561">
    <w:name w:val="表格标题 Char"/>
    <w:basedOn w:val="57"/>
    <w:link w:val="402"/>
    <w:qFormat/>
    <w:uiPriority w:val="0"/>
    <w:rPr>
      <w:b/>
      <w:bCs/>
      <w:color w:val="000000"/>
      <w:kern w:val="2"/>
      <w:sz w:val="32"/>
      <w:szCs w:val="32"/>
    </w:rPr>
  </w:style>
  <w:style w:type="paragraph" w:customStyle="1" w:styleId="562">
    <w:name w:val="表格正文"/>
    <w:basedOn w:val="1"/>
    <w:link w:val="563"/>
    <w:qFormat/>
    <w:uiPriority w:val="0"/>
    <w:pPr>
      <w:widowControl/>
      <w:jc w:val="left"/>
    </w:pPr>
    <w:rPr>
      <w:rFonts w:ascii="宋体" w:hAnsi="宋体" w:cs="宋体" w:eastAsiaTheme="minorEastAsia"/>
      <w:color w:val="000000"/>
      <w:kern w:val="0"/>
      <w:sz w:val="18"/>
      <w:szCs w:val="24"/>
    </w:rPr>
  </w:style>
  <w:style w:type="character" w:customStyle="1" w:styleId="563">
    <w:name w:val="表格正文 Char"/>
    <w:basedOn w:val="57"/>
    <w:link w:val="562"/>
    <w:qFormat/>
    <w:uiPriority w:val="0"/>
    <w:rPr>
      <w:rFonts w:ascii="宋体" w:hAnsi="宋体" w:cs="宋体" w:eastAsiaTheme="minorEastAsia"/>
      <w:color w:val="000000"/>
      <w:sz w:val="18"/>
      <w:szCs w:val="24"/>
    </w:rPr>
  </w:style>
  <w:style w:type="character" w:customStyle="1" w:styleId="564">
    <w:name w:val="样式1 Char"/>
    <w:basedOn w:val="57"/>
    <w:link w:val="494"/>
    <w:qFormat/>
    <w:uiPriority w:val="0"/>
    <w:rPr>
      <w:rFonts w:ascii="Arial" w:hAnsi="Arial" w:eastAsia="黑体"/>
      <w:sz w:val="21"/>
      <w:szCs w:val="28"/>
      <w:lang w:val="zh-CN" w:eastAsia="ja-JP"/>
    </w:rPr>
  </w:style>
  <w:style w:type="character" w:customStyle="1" w:styleId="565">
    <w:name w:val="样式1 Char Char"/>
    <w:qFormat/>
    <w:uiPriority w:val="0"/>
    <w:rPr>
      <w:sz w:val="24"/>
      <w:szCs w:val="24"/>
    </w:rPr>
  </w:style>
  <w:style w:type="paragraph" w:customStyle="1" w:styleId="566">
    <w:name w:val="小四正文"/>
    <w:basedOn w:val="1"/>
    <w:link w:val="567"/>
    <w:qFormat/>
    <w:uiPriority w:val="0"/>
    <w:pPr>
      <w:spacing w:line="360" w:lineRule="auto"/>
      <w:ind w:firstLine="480" w:firstLineChars="200"/>
    </w:pPr>
    <w:rPr>
      <w:rFonts w:asciiTheme="minorHAnsi" w:hAnsiTheme="minorHAnsi" w:eastAsiaTheme="minorEastAsia" w:cstheme="minorBidi"/>
      <w:sz w:val="24"/>
      <w:szCs w:val="24"/>
    </w:rPr>
  </w:style>
  <w:style w:type="character" w:customStyle="1" w:styleId="567">
    <w:name w:val="小四正文 Char"/>
    <w:basedOn w:val="57"/>
    <w:link w:val="566"/>
    <w:qFormat/>
    <w:uiPriority w:val="0"/>
    <w:rPr>
      <w:rFonts w:asciiTheme="minorHAnsi" w:hAnsiTheme="minorHAnsi" w:eastAsiaTheme="minorEastAsia" w:cstheme="minorBidi"/>
      <w:kern w:val="2"/>
      <w:sz w:val="24"/>
      <w:szCs w:val="24"/>
    </w:rPr>
  </w:style>
  <w:style w:type="paragraph" w:customStyle="1" w:styleId="568">
    <w:name w:val="表格抬头"/>
    <w:basedOn w:val="1"/>
    <w:link w:val="569"/>
    <w:qFormat/>
    <w:uiPriority w:val="0"/>
    <w:pPr>
      <w:spacing w:line="360" w:lineRule="auto"/>
      <w:jc w:val="center"/>
    </w:pPr>
    <w:rPr>
      <w:rFonts w:asciiTheme="minorHAnsi" w:hAnsiTheme="minorHAnsi" w:eastAsiaTheme="minorEastAsia" w:cstheme="minorBidi"/>
      <w:szCs w:val="21"/>
    </w:rPr>
  </w:style>
  <w:style w:type="character" w:customStyle="1" w:styleId="569">
    <w:name w:val="表格抬头 Char"/>
    <w:basedOn w:val="57"/>
    <w:link w:val="568"/>
    <w:qFormat/>
    <w:uiPriority w:val="0"/>
    <w:rPr>
      <w:rFonts w:asciiTheme="minorHAnsi" w:hAnsiTheme="minorHAnsi" w:eastAsiaTheme="minorEastAsia" w:cstheme="minorBidi"/>
      <w:kern w:val="2"/>
      <w:sz w:val="21"/>
      <w:szCs w:val="21"/>
    </w:rPr>
  </w:style>
  <w:style w:type="character" w:customStyle="1" w:styleId="570">
    <w:name w:val="font01"/>
    <w:qFormat/>
    <w:uiPriority w:val="0"/>
    <w:rPr>
      <w:rFonts w:hint="eastAsia" w:ascii="宋体" w:hAnsi="宋体" w:eastAsia="宋体" w:cs="宋体"/>
      <w:color w:val="000000"/>
      <w:sz w:val="22"/>
      <w:szCs w:val="22"/>
      <w:u w:val="none"/>
    </w:rPr>
  </w:style>
  <w:style w:type="character" w:customStyle="1" w:styleId="571">
    <w:name w:val="title26"/>
    <w:basedOn w:val="57"/>
    <w:qFormat/>
    <w:uiPriority w:val="0"/>
  </w:style>
  <w:style w:type="character" w:customStyle="1" w:styleId="572">
    <w:name w:val="font21"/>
    <w:qFormat/>
    <w:uiPriority w:val="0"/>
    <w:rPr>
      <w:rFonts w:hint="eastAsia" w:ascii="宋体" w:hAnsi="宋体" w:eastAsia="宋体" w:cs="宋体"/>
      <w:color w:val="000000"/>
      <w:sz w:val="21"/>
      <w:szCs w:val="21"/>
      <w:u w:val="none"/>
    </w:rPr>
  </w:style>
  <w:style w:type="character" w:customStyle="1" w:styleId="573">
    <w:name w:val="正文文本 3 Char1"/>
    <w:qFormat/>
    <w:uiPriority w:val="0"/>
    <w:rPr>
      <w:rFonts w:eastAsia="Calibri"/>
      <w:sz w:val="16"/>
      <w:szCs w:val="16"/>
      <w:lang w:eastAsia="en-US"/>
    </w:rPr>
  </w:style>
  <w:style w:type="character" w:customStyle="1" w:styleId="574">
    <w:name w:val="username"/>
    <w:basedOn w:val="57"/>
    <w:qFormat/>
    <w:uiPriority w:val="0"/>
  </w:style>
  <w:style w:type="character" w:customStyle="1" w:styleId="575">
    <w:name w:val="font11"/>
    <w:qFormat/>
    <w:uiPriority w:val="0"/>
    <w:rPr>
      <w:rFonts w:hint="eastAsia" w:ascii="宋体" w:hAnsi="宋体" w:eastAsia="宋体" w:cs="宋体"/>
      <w:color w:val="000000"/>
      <w:sz w:val="21"/>
      <w:szCs w:val="21"/>
      <w:u w:val="none"/>
    </w:rPr>
  </w:style>
  <w:style w:type="paragraph" w:customStyle="1" w:styleId="576">
    <w:name w:val="_Style 50"/>
    <w:unhideWhenUsed/>
    <w:qFormat/>
    <w:uiPriority w:val="99"/>
    <w:rPr>
      <w:rFonts w:ascii="Times New Roman" w:hAnsi="Times New Roman" w:eastAsia="Calibri" w:cs="Times New Roman"/>
      <w:sz w:val="22"/>
      <w:szCs w:val="22"/>
      <w:lang w:val="en-US" w:eastAsia="en-US" w:bidi="ar-SA"/>
    </w:rPr>
  </w:style>
  <w:style w:type="paragraph" w:customStyle="1" w:styleId="577">
    <w:name w:val="正文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78">
    <w:name w:val="样式 报告正文 Char Char + (西文) Arial (中文) 黑体"/>
    <w:basedOn w:val="1"/>
    <w:qFormat/>
    <w:uiPriority w:val="0"/>
    <w:pPr>
      <w:tabs>
        <w:tab w:val="left" w:pos="3020"/>
        <w:tab w:val="left" w:pos="4107"/>
      </w:tabs>
      <w:adjustRightInd w:val="0"/>
      <w:snapToGrid w:val="0"/>
      <w:spacing w:line="480" w:lineRule="auto"/>
      <w:ind w:firstLine="200" w:firstLineChars="200"/>
    </w:pPr>
    <w:rPr>
      <w:rFonts w:ascii="Arial" w:hAnsi="Arial" w:eastAsia="黑体" w:cs="宋体"/>
      <w:sz w:val="22"/>
      <w:szCs w:val="20"/>
    </w:rPr>
  </w:style>
  <w:style w:type="paragraph" w:customStyle="1" w:styleId="579">
    <w:name w:val="5"/>
    <w:basedOn w:val="1"/>
    <w:qFormat/>
    <w:uiPriority w:val="0"/>
    <w:pPr>
      <w:autoSpaceDE w:val="0"/>
      <w:autoSpaceDN w:val="0"/>
      <w:adjustRightInd w:val="0"/>
      <w:spacing w:line="360" w:lineRule="auto"/>
      <w:ind w:firstLine="420" w:firstLineChars="200"/>
      <w:jc w:val="left"/>
    </w:pPr>
    <w:rPr>
      <w:rFonts w:ascii="Times New Roman" w:hAnsi="Times New Roman" w:eastAsia="Calibri"/>
      <w:kern w:val="0"/>
      <w:sz w:val="22"/>
      <w:lang w:eastAsia="en-US"/>
    </w:rPr>
  </w:style>
  <w:style w:type="paragraph" w:customStyle="1" w:styleId="580">
    <w:name w:val="_Style 54"/>
    <w:basedOn w:val="3"/>
    <w:next w:val="1"/>
    <w:qFormat/>
    <w:uiPriority w:val="39"/>
    <w:pPr>
      <w:widowControl/>
      <w:spacing w:before="480" w:after="0" w:line="276" w:lineRule="auto"/>
      <w:jc w:val="left"/>
      <w:outlineLvl w:val="9"/>
    </w:pPr>
    <w:rPr>
      <w:rFonts w:ascii="Cambria" w:hAnsi="Cambria"/>
      <w:color w:val="365F91"/>
      <w:kern w:val="0"/>
      <w:sz w:val="28"/>
      <w:szCs w:val="28"/>
      <w:lang w:val="en-US"/>
    </w:rPr>
  </w:style>
  <w:style w:type="paragraph" w:customStyle="1" w:styleId="581">
    <w:name w:val="_Style 3"/>
    <w:qFormat/>
    <w:uiPriority w:val="1"/>
    <w:pPr>
      <w:widowControl w:val="0"/>
      <w:jc w:val="both"/>
    </w:pPr>
    <w:rPr>
      <w:rFonts w:ascii="Calibri" w:hAnsi="Calibri" w:eastAsia="宋体" w:cs="Times New Roman"/>
      <w:kern w:val="2"/>
      <w:sz w:val="21"/>
      <w:szCs w:val="22"/>
      <w:lang w:val="en-US" w:eastAsia="zh-CN" w:bidi="ar-SA"/>
    </w:rPr>
  </w:style>
  <w:style w:type="paragraph" w:customStyle="1" w:styleId="582">
    <w:name w:val="正文 New New New"/>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83">
    <w:name w:val="0章标题"/>
    <w:next w:val="1"/>
    <w:qFormat/>
    <w:uiPriority w:val="0"/>
    <w:pPr>
      <w:numPr>
        <w:ilvl w:val="0"/>
        <w:numId w:val="3"/>
      </w:numPr>
      <w:spacing w:beforeLines="100" w:afterLines="100"/>
      <w:jc w:val="center"/>
      <w:outlineLvl w:val="1"/>
    </w:pPr>
    <w:rPr>
      <w:rFonts w:ascii="黑体" w:hAnsi="黑体" w:eastAsia="黑体" w:cs="Times New Roman"/>
      <w:b/>
      <w:sz w:val="28"/>
      <w:lang w:val="en-US" w:eastAsia="zh-CN" w:bidi="ar-SA"/>
    </w:rPr>
  </w:style>
  <w:style w:type="paragraph" w:customStyle="1" w:styleId="584">
    <w:name w:val="0二级条标题"/>
    <w:basedOn w:val="585"/>
    <w:next w:val="1"/>
    <w:qFormat/>
    <w:uiPriority w:val="0"/>
    <w:pPr>
      <w:numPr>
        <w:ilvl w:val="2"/>
        <w:numId w:val="4"/>
      </w:numPr>
      <w:jc w:val="left"/>
      <w:outlineLvl w:val="3"/>
    </w:pPr>
    <w:rPr>
      <w:rFonts w:ascii="Times New Roman" w:hAnsi="Times New Roman"/>
      <w:b w:val="0"/>
    </w:rPr>
  </w:style>
  <w:style w:type="paragraph" w:customStyle="1" w:styleId="585">
    <w:name w:val="0一级条标题"/>
    <w:next w:val="1"/>
    <w:qFormat/>
    <w:uiPriority w:val="0"/>
    <w:pPr>
      <w:numPr>
        <w:ilvl w:val="1"/>
        <w:numId w:val="3"/>
      </w:numPr>
      <w:spacing w:beforeLines="50" w:afterLines="50"/>
      <w:jc w:val="center"/>
      <w:outlineLvl w:val="2"/>
    </w:pPr>
    <w:rPr>
      <w:rFonts w:ascii="黑体" w:hAnsi="黑体" w:eastAsia="宋体" w:cs="Times New Roman"/>
      <w:b/>
      <w:sz w:val="21"/>
      <w:szCs w:val="21"/>
      <w:lang w:val="en-US" w:eastAsia="zh-CN" w:bidi="ar-SA"/>
    </w:rPr>
  </w:style>
  <w:style w:type="paragraph" w:customStyle="1" w:styleId="586">
    <w:name w:val="术语-wyx"/>
    <w:basedOn w:val="1"/>
    <w:qFormat/>
    <w:uiPriority w:val="0"/>
    <w:pPr>
      <w:spacing w:beforeLines="50" w:after="50"/>
      <w:outlineLvl w:val="2"/>
    </w:pPr>
    <w:rPr>
      <w:rFonts w:ascii="Times New Roman" w:hAnsi="Times New Roman"/>
      <w:b/>
      <w:szCs w:val="24"/>
    </w:rPr>
  </w:style>
  <w:style w:type="paragraph" w:customStyle="1" w:styleId="587">
    <w:name w:val="条-wyx"/>
    <w:basedOn w:val="1"/>
    <w:qFormat/>
    <w:uiPriority w:val="0"/>
    <w:pPr>
      <w:numPr>
        <w:ilvl w:val="2"/>
        <w:numId w:val="5"/>
      </w:numPr>
      <w:tabs>
        <w:tab w:val="left" w:pos="0"/>
      </w:tabs>
      <w:jc w:val="left"/>
      <w:outlineLvl w:val="2"/>
    </w:pPr>
    <w:rPr>
      <w:rFonts w:ascii="黑体" w:hAnsi="黑体"/>
    </w:rPr>
  </w:style>
  <w:style w:type="paragraph" w:customStyle="1" w:styleId="588">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7"/>
    <customShpInfo spid="_x0000_s2056"/>
    <customShpInfo spid="_x0000_s2058"/>
    <customShpInfo spid="_x0000_s2066"/>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183</Pages>
  <Words>18828</Words>
  <Characters>107322</Characters>
  <Lines>894</Lines>
  <Paragraphs>251</Paragraphs>
  <TotalTime>9</TotalTime>
  <ScaleCrop>false</ScaleCrop>
  <LinksUpToDate>false</LinksUpToDate>
  <CharactersWithSpaces>125899</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2021-02-24T08:31:00Z</dcterms:created>
  <dc:creator>黄健平</dc:creator>
  <cp:lastModifiedBy>微信用户</cp:lastModifiedBy>
  <cp:lastPrinted>2020-11-26T03:17:00Z</cp:lastPrinted>
  <dcterms:modified xsi:type="dcterms:W3CDTF">2022-09-29T07:12:04Z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21F979327F84B4C73C760B6392312649</vt:lpwstr>
  </property>
</Properties>
</file>