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ind w:right="102"/>
        <w:jc w:val="left"/>
        <w:rPr>
          <w:rFonts w:ascii="宋体" w:hAnsi="宋体"/>
          <w:color w:val="auto"/>
          <w:szCs w:val="21"/>
          <w:highlight w:val="none"/>
        </w:rPr>
      </w:pPr>
    </w:p>
    <w:p>
      <w:pPr>
        <w:spacing w:line="360" w:lineRule="auto"/>
        <w:ind w:left="359" w:leftChars="171"/>
        <w:jc w:val="center"/>
        <w:rPr>
          <w:rFonts w:hint="eastAsia" w:ascii="宋体" w:hAnsi="宋体" w:eastAsia="宋体" w:cs="宋体"/>
          <w:color w:val="auto"/>
          <w:sz w:val="52"/>
          <w:szCs w:val="52"/>
          <w:highlight w:val="none"/>
          <w:lang w:val="en-US" w:eastAsia="zh-CN"/>
        </w:rPr>
      </w:pPr>
      <w:r>
        <w:rPr>
          <w:rFonts w:hint="eastAsia" w:ascii="宋体" w:hAnsi="宋体" w:eastAsia="宋体" w:cs="宋体"/>
          <w:color w:val="auto"/>
          <w:sz w:val="52"/>
          <w:szCs w:val="52"/>
          <w:highlight w:val="none"/>
          <w:lang w:val="en-US" w:eastAsia="zh-CN"/>
        </w:rPr>
        <w:t>朱村街朱村村 514.14亩土地土方平整工程施工总承包</w:t>
      </w:r>
    </w:p>
    <w:p>
      <w:pPr>
        <w:pStyle w:val="6"/>
        <w:rPr>
          <w:rFonts w:hint="eastAsia" w:ascii="宋体" w:hAnsi="宋体" w:eastAsia="宋体" w:cs="宋体"/>
          <w:color w:val="auto"/>
          <w:sz w:val="52"/>
          <w:szCs w:val="52"/>
          <w:highlight w:val="none"/>
          <w:lang w:val="en-US" w:eastAsia="zh-CN"/>
        </w:rPr>
      </w:pPr>
    </w:p>
    <w:p>
      <w:pPr>
        <w:rPr>
          <w:rFonts w:hint="eastAsia" w:ascii="宋体" w:hAnsi="宋体" w:eastAsia="宋体" w:cs="宋体"/>
          <w:color w:val="auto"/>
          <w:sz w:val="52"/>
          <w:szCs w:val="52"/>
          <w:highlight w:val="none"/>
          <w:lang w:val="en-US" w:eastAsia="zh-CN"/>
        </w:rPr>
      </w:pPr>
    </w:p>
    <w:p>
      <w:pPr>
        <w:pStyle w:val="6"/>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eastAsia="zh-CN"/>
        </w:rPr>
      </w:pPr>
    </w:p>
    <w:p>
      <w:pPr>
        <w:spacing w:line="360" w:lineRule="auto"/>
        <w:jc w:val="center"/>
        <w:rPr>
          <w:color w:val="auto"/>
          <w:sz w:val="36"/>
          <w:highlight w:val="none"/>
          <w:u w:val="single"/>
        </w:rPr>
      </w:pPr>
    </w:p>
    <w:p>
      <w:pPr>
        <w:spacing w:line="360" w:lineRule="auto"/>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rPr>
          <w:color w:val="auto"/>
          <w:sz w:val="52"/>
          <w:highlight w:val="none"/>
        </w:rPr>
      </w:pPr>
    </w:p>
    <w:p>
      <w:pPr>
        <w:pStyle w:val="6"/>
        <w:rPr>
          <w:color w:val="auto"/>
          <w:highlight w:val="none"/>
        </w:rPr>
      </w:pPr>
    </w:p>
    <w:p>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位：广州市增城区人民政府朱村街道办事处</w:t>
      </w:r>
    </w:p>
    <w:p>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ascii="宋体" w:hAnsi="宋体" w:cs="宋体"/>
          <w:color w:val="auto"/>
          <w:sz w:val="30"/>
          <w:szCs w:val="30"/>
          <w:highlight w:val="none"/>
        </w:rPr>
        <w:t>广州建筑工程监理有限公司</w:t>
      </w:r>
    </w:p>
    <w:p>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hint="eastAsia"/>
          <w:color w:val="auto"/>
          <w:sz w:val="32"/>
          <w:highlight w:val="none"/>
          <w:u w:val="single"/>
          <w:lang w:val="en-US" w:eastAsia="zh-CN"/>
        </w:rPr>
        <w:t>2022</w:t>
      </w:r>
      <w:r>
        <w:rPr>
          <w:rFonts w:hint="eastAsia"/>
          <w:color w:val="auto"/>
          <w:sz w:val="32"/>
          <w:highlight w:val="none"/>
        </w:rPr>
        <w:t>年</w:t>
      </w:r>
      <w:r>
        <w:rPr>
          <w:rFonts w:hint="eastAsia"/>
          <w:color w:val="auto"/>
          <w:sz w:val="32"/>
          <w:highlight w:val="none"/>
          <w:u w:val="single"/>
          <w:lang w:val="en-US" w:eastAsia="zh-CN"/>
        </w:rPr>
        <w:t xml:space="preserve">  9  </w:t>
      </w:r>
      <w:r>
        <w:rPr>
          <w:rFonts w:hint="eastAsia"/>
          <w:color w:val="auto"/>
          <w:sz w:val="32"/>
          <w:highlight w:val="none"/>
        </w:rPr>
        <w:t>月</w:t>
      </w:r>
    </w:p>
    <w:p>
      <w:pPr>
        <w:jc w:val="center"/>
        <w:rPr>
          <w:rFonts w:ascii="宋体" w:hAnsi="宋体"/>
          <w:b/>
          <w:caps/>
          <w:color w:val="auto"/>
          <w:kern w:val="0"/>
          <w:highlight w:val="none"/>
        </w:rPr>
      </w:pPr>
      <w:r>
        <w:rPr>
          <w:rStyle w:val="42"/>
          <w:b/>
          <w:bCs/>
          <w:color w:val="auto"/>
          <w:highlight w:val="none"/>
        </w:rPr>
        <w:br w:type="page"/>
      </w:r>
      <w:r>
        <w:rPr>
          <w:rStyle w:val="42"/>
          <w:rFonts w:hint="eastAsia"/>
          <w:b/>
          <w:bCs/>
          <w:color w:val="auto"/>
          <w:sz w:val="28"/>
          <w:szCs w:val="28"/>
          <w:highlight w:val="none"/>
        </w:rPr>
        <w:t>目录</w:t>
      </w:r>
    </w:p>
    <w:p>
      <w:pPr>
        <w:pStyle w:val="26"/>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"_Toc21525489" </w:instrText>
      </w:r>
      <w:r>
        <w:rPr>
          <w:color w:val="auto"/>
          <w:highlight w:val="none"/>
        </w:rPr>
        <w:fldChar w:fldCharType="separate"/>
      </w:r>
      <w:r>
        <w:rPr>
          <w:rStyle w:val="42"/>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_Toc21525489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"_Toc21525490" </w:instrText>
      </w:r>
      <w:r>
        <w:rPr>
          <w:color w:val="auto"/>
          <w:highlight w:val="none"/>
        </w:rPr>
        <w:fldChar w:fldCharType="separate"/>
      </w:r>
      <w:r>
        <w:rPr>
          <w:rStyle w:val="42"/>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_Toc21525490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"_Toc21525491" </w:instrText>
      </w:r>
      <w:r>
        <w:rPr>
          <w:color w:val="auto"/>
          <w:highlight w:val="none"/>
        </w:rPr>
        <w:fldChar w:fldCharType="separate"/>
      </w:r>
      <w:r>
        <w:rPr>
          <w:rStyle w:val="42"/>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_Toc21525491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"_Toc21525492" </w:instrText>
      </w:r>
      <w:r>
        <w:rPr>
          <w:color w:val="auto"/>
          <w:highlight w:val="none"/>
        </w:rPr>
        <w:fldChar w:fldCharType="separate"/>
      </w:r>
      <w:r>
        <w:rPr>
          <w:rStyle w:val="42"/>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_Toc21525492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8"/>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"_Toc21525493" </w:instrText>
      </w:r>
      <w:r>
        <w:rPr>
          <w:color w:val="auto"/>
          <w:highlight w:val="none"/>
        </w:rPr>
        <w:fldChar w:fldCharType="separate"/>
      </w:r>
      <w:r>
        <w:rPr>
          <w:rStyle w:val="42"/>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_Toc21525493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8"/>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"_Toc21525494" </w:instrText>
      </w:r>
      <w:r>
        <w:rPr>
          <w:color w:val="auto"/>
          <w:highlight w:val="none"/>
        </w:rPr>
        <w:fldChar w:fldCharType="separate"/>
      </w:r>
      <w:r>
        <w:rPr>
          <w:rStyle w:val="42"/>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_Toc21525494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8"/>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"_Toc21525495" </w:instrText>
      </w:r>
      <w:r>
        <w:rPr>
          <w:color w:val="auto"/>
          <w:highlight w:val="none"/>
        </w:rPr>
        <w:fldChar w:fldCharType="separate"/>
      </w:r>
      <w:r>
        <w:rPr>
          <w:rStyle w:val="42"/>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_Toc21525495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8"/>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"_Toc21525496" </w:instrText>
      </w:r>
      <w:r>
        <w:rPr>
          <w:color w:val="auto"/>
          <w:highlight w:val="none"/>
        </w:rPr>
        <w:fldChar w:fldCharType="separate"/>
      </w:r>
      <w:r>
        <w:rPr>
          <w:rStyle w:val="42"/>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_Toc21525496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"_Toc21525497" </w:instrText>
      </w:r>
      <w:r>
        <w:rPr>
          <w:color w:val="auto"/>
          <w:highlight w:val="none"/>
        </w:rPr>
        <w:fldChar w:fldCharType="separate"/>
      </w:r>
      <w:r>
        <w:rPr>
          <w:rStyle w:val="42"/>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_Toc21525497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6"/>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"_Toc21525498" </w:instrText>
      </w:r>
      <w:r>
        <w:rPr>
          <w:color w:val="auto"/>
          <w:highlight w:val="none"/>
        </w:rPr>
        <w:fldChar w:fldCharType="separate"/>
      </w:r>
      <w:r>
        <w:rPr>
          <w:rStyle w:val="42"/>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_Toc21525498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"_Toc21525499" </w:instrText>
      </w:r>
      <w:r>
        <w:rPr>
          <w:color w:val="auto"/>
          <w:highlight w:val="none"/>
        </w:rPr>
        <w:fldChar w:fldCharType="separate"/>
      </w:r>
      <w:r>
        <w:rPr>
          <w:rStyle w:val="42"/>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_Toc21525499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9"/>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"_Toc21525500" </w:instrText>
      </w:r>
      <w:r>
        <w:rPr>
          <w:color w:val="auto"/>
          <w:highlight w:val="none"/>
        </w:rPr>
        <w:fldChar w:fldCharType="separate"/>
      </w:r>
      <w:r>
        <w:rPr>
          <w:rStyle w:val="42"/>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_Toc21525500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8"/>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"_Toc21525501" </w:instrText>
      </w:r>
      <w:r>
        <w:rPr>
          <w:color w:val="auto"/>
          <w:highlight w:val="none"/>
        </w:rPr>
        <w:fldChar w:fldCharType="separate"/>
      </w:r>
      <w:r>
        <w:rPr>
          <w:rStyle w:val="42"/>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_Toc21525501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8"/>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"_Toc21525502" </w:instrText>
      </w:r>
      <w:r>
        <w:rPr>
          <w:color w:val="auto"/>
          <w:highlight w:val="none"/>
        </w:rPr>
        <w:fldChar w:fldCharType="separate"/>
      </w:r>
      <w:r>
        <w:rPr>
          <w:rStyle w:val="42"/>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_Toc21525502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8"/>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"_Toc21525509" </w:instrText>
      </w:r>
      <w:r>
        <w:rPr>
          <w:color w:val="auto"/>
          <w:highlight w:val="none"/>
        </w:rPr>
        <w:fldChar w:fldCharType="separate"/>
      </w:r>
      <w:r>
        <w:rPr>
          <w:rStyle w:val="42"/>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_Toc21525509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6"/>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"_Toc21525511" </w:instrText>
      </w:r>
      <w:r>
        <w:rPr>
          <w:color w:val="auto"/>
          <w:highlight w:val="none"/>
        </w:rPr>
        <w:fldChar w:fldCharType="separate"/>
      </w:r>
      <w:r>
        <w:rPr>
          <w:rStyle w:val="42"/>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_Toc21525511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26"/>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"_Toc21525512" </w:instrText>
      </w:r>
      <w:r>
        <w:rPr>
          <w:color w:val="auto"/>
          <w:highlight w:val="none"/>
        </w:rPr>
        <w:fldChar w:fldCharType="separate"/>
      </w:r>
      <w:r>
        <w:rPr>
          <w:rStyle w:val="42"/>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_Toc21525512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26"/>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"_Toc21525513" </w:instrText>
      </w:r>
      <w:r>
        <w:rPr>
          <w:color w:val="auto"/>
          <w:highlight w:val="none"/>
        </w:rPr>
        <w:fldChar w:fldCharType="separate"/>
      </w:r>
      <w:r>
        <w:rPr>
          <w:rStyle w:val="42"/>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_Toc21525513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26"/>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"_Toc21525514" </w:instrText>
      </w:r>
      <w:r>
        <w:rPr>
          <w:color w:val="auto"/>
          <w:highlight w:val="none"/>
        </w:rPr>
        <w:fldChar w:fldCharType="separate"/>
      </w:r>
      <w:r>
        <w:rPr>
          <w:rStyle w:val="42"/>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_Toc21525514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26"/>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"_Toc21525515" </w:instrText>
      </w:r>
      <w:r>
        <w:rPr>
          <w:color w:val="auto"/>
          <w:highlight w:val="none"/>
        </w:rPr>
        <w:fldChar w:fldCharType="separate"/>
      </w:r>
      <w:r>
        <w:rPr>
          <w:rStyle w:val="42"/>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_Toc21525515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6"/>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"_Toc21525516" </w:instrText>
      </w:r>
      <w:r>
        <w:rPr>
          <w:color w:val="auto"/>
          <w:highlight w:val="none"/>
        </w:rPr>
        <w:fldChar w:fldCharType="separate"/>
      </w:r>
      <w:r>
        <w:rPr>
          <w:rStyle w:val="42"/>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_Toc21525516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3"/>
        <w:rPr>
          <w:color w:val="auto"/>
          <w:highlight w:val="none"/>
        </w:rPr>
      </w:pPr>
      <w:r>
        <w:rPr>
          <w:color w:val="auto"/>
          <w:highlight w:val="none"/>
        </w:rPr>
        <w:fldChar w:fldCharType="end"/>
      </w:r>
      <w:bookmarkStart w:id="0" w:name="_Toc21525489"/>
      <w:bookmarkStart w:id="1" w:name="_Toc2272545"/>
    </w:p>
    <w:p>
      <w:pPr>
        <w:pStyle w:val="5"/>
        <w:rPr>
          <w:color w:val="auto"/>
          <w:highlight w:val="none"/>
        </w:rPr>
      </w:pPr>
    </w:p>
    <w:p>
      <w:pPr>
        <w:pStyle w:val="5"/>
        <w:rPr>
          <w:color w:val="auto"/>
          <w:highlight w:val="none"/>
        </w:rPr>
      </w:pPr>
    </w:p>
    <w:p>
      <w:pPr>
        <w:rPr>
          <w:rFonts w:hint="eastAsia"/>
          <w:color w:val="auto"/>
          <w:highlight w:val="none"/>
        </w:rPr>
      </w:pPr>
      <w:r>
        <w:rPr>
          <w:rFonts w:hint="eastAsia"/>
          <w:color w:val="auto"/>
          <w:highlight w:val="none"/>
        </w:rPr>
        <w:br w:type="page"/>
      </w:r>
    </w:p>
    <w:p>
      <w:pPr>
        <w:pStyle w:val="3"/>
        <w:rPr>
          <w:color w:val="auto"/>
          <w:highlight w:val="none"/>
        </w:rPr>
      </w:pPr>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p>
    <w:p>
      <w:pPr>
        <w:pStyle w:val="6"/>
        <w:rPr>
          <w:color w:val="auto"/>
          <w:highlight w:val="none"/>
        </w:rPr>
      </w:pPr>
      <w:bookmarkStart w:id="2" w:name="_Toc2272546"/>
      <w:bookmarkStart w:id="3" w:name="_Toc21525490"/>
      <w:r>
        <w:rPr>
          <w:rFonts w:hint="eastAsia"/>
          <w:color w:val="auto"/>
          <w:highlight w:val="none"/>
        </w:rPr>
        <w:t>一、投标须知前附表</w:t>
      </w:r>
      <w:bookmarkEnd w:id="2"/>
      <w:bookmarkEnd w:id="3"/>
    </w:p>
    <w:p>
      <w:pPr>
        <w:pStyle w:val="9"/>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0"/>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rPr>
              <w:t>广州市增城区人民政府朱村街道办事处</w:t>
            </w:r>
            <w:r>
              <w:rPr>
                <w:rFonts w:hint="eastAsia" w:ascii="宋体" w:hAnsi="宋体"/>
                <w:color w:val="auto"/>
                <w:szCs w:val="21"/>
                <w:highlight w:val="none"/>
              </w:rPr>
              <w:t>招标代理：</w:t>
            </w:r>
            <w:r>
              <w:rPr>
                <w:rFonts w:hint="eastAsia" w:ascii="宋体" w:hAnsi="宋体" w:eastAsia="宋体" w:cs="宋体"/>
                <w:color w:val="auto"/>
                <w:szCs w:val="21"/>
                <w:highlight w:val="none"/>
                <w:u w:val="single"/>
              </w:rPr>
              <w:t>广州建筑工程监理有限公司</w:t>
            </w:r>
          </w:p>
          <w:p>
            <w:pPr>
              <w:rPr>
                <w:rFonts w:hint="eastAsia" w:ascii="宋体" w:hAnsi="宋体"/>
                <w:color w:val="auto"/>
                <w:szCs w:val="21"/>
                <w:highlight w:val="none"/>
                <w:u w:val="single"/>
              </w:rPr>
            </w:pPr>
            <w:r>
              <w:rPr>
                <w:rFonts w:hint="eastAsia" w:ascii="宋体" w:hAnsi="宋体"/>
                <w:color w:val="auto"/>
                <w:szCs w:val="21"/>
                <w:highlight w:val="none"/>
                <w:u w:val="none"/>
              </w:rPr>
              <w:t>设计单位：</w:t>
            </w:r>
            <w:r>
              <w:rPr>
                <w:rFonts w:hint="eastAsia" w:ascii="宋体" w:hAnsi="宋体"/>
                <w:color w:val="auto"/>
                <w:szCs w:val="21"/>
                <w:highlight w:val="none"/>
                <w:u w:val="single"/>
              </w:rPr>
              <w:t>新大地工程设计有限公司</w:t>
            </w:r>
          </w:p>
          <w:p>
            <w:pPr>
              <w:rPr>
                <w:rFonts w:ascii="宋体" w:hAnsi="宋体"/>
                <w:color w:val="auto"/>
                <w:szCs w:val="21"/>
                <w:highlight w:val="none"/>
                <w:u w:val="single"/>
              </w:rPr>
            </w:pPr>
            <w:r>
              <w:rPr>
                <w:rFonts w:hint="eastAsia" w:ascii="宋体" w:hAnsi="宋体"/>
                <w:color w:val="auto"/>
                <w:szCs w:val="21"/>
                <w:highlight w:val="none"/>
              </w:rPr>
              <w:t>监理单位：</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检测机构：</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朱村街朱村村 514.14亩土地土方平整工程施工总承包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eastAsia="zh-CN"/>
              </w:rPr>
              <w:t>项目位于朱村街道广汕公路北侧、规划信达南路东侧</w:t>
            </w:r>
            <w:r>
              <w:rPr>
                <w:rFonts w:hint="eastAsia" w:ascii="宋体" w:hAnsi="宋体" w:eastAsia="宋体" w:cs="宋体"/>
                <w:color w:val="auto"/>
                <w:szCs w:val="21"/>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eastAsia="zh-CN"/>
              </w:rPr>
              <w:t>本项目用地面积约332366平方米，其中北区平整面积约208909平方米，南区平整面积约123457平方米。主要建设内容包括场地总挖方面积约98784立方米（含石方9878立方米），总填方面积约518753立方米，新建场地内砖砌排水沟（600*600mm）长度为5358米、砖砌沉砂地池（1000*1000mm）35座、边坡植草护坡面积9796平方米、铁丝网围蔽长度为4205米</w:t>
            </w:r>
            <w:r>
              <w:rPr>
                <w:rFonts w:hint="eastAsia" w:ascii="宋体" w:hAnsi="宋体" w:eastAsia="宋体" w:cs="宋体"/>
                <w:color w:val="auto"/>
                <w:szCs w:val="21"/>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包工、包料、包工期、包质量、包安全、包文明施工。综合单价包干、项目措施费包干。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eastAsia="宋体" w:cs="宋体"/>
                <w:color w:val="auto"/>
                <w:szCs w:val="21"/>
                <w:highlight w:val="none"/>
                <w:u w:val="single"/>
              </w:rPr>
              <w:t>执行国家、地方或行业现行的工程建设质量验收标准及规范，须达到合格标准。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eastAsia="宋体" w:cs="宋体"/>
                <w:color w:val="auto"/>
                <w:szCs w:val="21"/>
                <w:highlight w:val="none"/>
                <w:u w:val="single"/>
              </w:rPr>
              <w:t>按招标人提供的招标文件、工程量清单、招标答疑文件、全套施工图设计、设计说明及补充说明（具体以招标人所发施工图纸为准）。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2022年</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日计划开工，施工总期：</w:t>
            </w:r>
            <w:r>
              <w:rPr>
                <w:rFonts w:hint="eastAsia" w:ascii="宋体" w:hAnsi="宋体"/>
                <w:color w:val="auto"/>
                <w:szCs w:val="21"/>
                <w:highlight w:val="none"/>
                <w:u w:val="single"/>
                <w:lang w:val="en-US" w:eastAsia="zh-CN"/>
              </w:rPr>
              <w:t>90</w:t>
            </w:r>
            <w:r>
              <w:rPr>
                <w:rFonts w:hint="eastAsia" w:ascii="宋体" w:hAnsi="宋体"/>
                <w:color w:val="auto"/>
                <w:szCs w:val="21"/>
                <w:highlight w:val="none"/>
                <w:u w:val="single"/>
              </w:rPr>
              <w:t xml:space="preserve">日历天。 </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eastAsia="宋体" w:cs="宋体"/>
                <w:color w:val="auto"/>
                <w:szCs w:val="21"/>
                <w:highlight w:val="none"/>
                <w:u w:val="single"/>
                <w:lang w:val="en-US" w:eastAsia="zh-CN"/>
              </w:rPr>
              <w:t>朱村街土地储备预备金中统筹解决</w:t>
            </w:r>
            <w:r>
              <w:rPr>
                <w:rFonts w:hint="eastAsia" w:ascii="宋体" w:hAnsi="宋体" w:eastAsia="宋体" w:cs="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bookmarkStart w:id="4" w:name="EBdfd7e3fe86a241738f1c1d356c309534"/>
            <w:r>
              <w:rPr>
                <w:rFonts w:hint="eastAsia" w:ascii="宋体" w:hAnsi="宋体" w:eastAsia="宋体" w:cs="宋体"/>
                <w:color w:val="auto"/>
                <w:szCs w:val="21"/>
                <w:highlight w:val="none"/>
                <w:u w:val="single"/>
              </w:rPr>
              <w:t>工程量清单计价，按国家、省有关计价规范执行。</w:t>
            </w:r>
            <w:bookmarkEnd w:id="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bookmarkStart w:id="5" w:name="EB638049d390fa45cfa3556d92c0ccd421"/>
            <w:r>
              <w:rPr>
                <w:rFonts w:hint="eastAsia" w:ascii="宋体" w:hAnsi="宋体" w:eastAsia="宋体" w:cs="宋体"/>
                <w:color w:val="auto"/>
                <w:szCs w:val="21"/>
                <w:highlight w:val="none"/>
                <w:u w:val="single"/>
              </w:rPr>
              <w:t>90日历天（从递交投标文件截止之日计起）。如投标有效期内发生异议或投诉的，则投标有效期自动延长至异议或投诉处理结束后90日历天。</w:t>
            </w:r>
            <w:bookmarkEnd w:id="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ind w:firstLine="420" w:firstLineChars="200"/>
              <w:rPr>
                <w:rFonts w:hint="eastAsia"/>
                <w:color w:val="auto"/>
                <w:highlight w:val="none"/>
              </w:rPr>
            </w:pPr>
            <w:r>
              <w:rPr>
                <w:rFonts w:hint="eastAsia" w:ascii="宋体" w:hAnsi="宋体" w:eastAsia="宋体" w:cs="宋体"/>
                <w:color w:val="auto"/>
                <w:szCs w:val="21"/>
                <w:highlight w:val="none"/>
                <w:u w:val="none"/>
              </w:rPr>
              <w:t>投标担保额度：</w:t>
            </w:r>
            <w:r>
              <w:rPr>
                <w:color w:val="auto"/>
                <w:highlight w:val="non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2</w:t>
            </w:r>
            <w:r>
              <w:rPr>
                <w:b/>
                <w:bCs/>
                <w:color w:val="auto"/>
                <w:highlight w:val="none"/>
                <w:u w:val="single"/>
              </w:rPr>
              <w:t xml:space="preserve"> </w:t>
            </w:r>
            <w:r>
              <w:rPr>
                <w:rFonts w:hint="eastAsia"/>
                <w:color w:val="auto"/>
                <w:highlight w:val="none"/>
              </w:rPr>
              <w:t>万元人民币。</w:t>
            </w:r>
          </w:p>
          <w:p>
            <w:pPr>
              <w:ind w:firstLine="420" w:firstLineChars="200"/>
              <w:rPr>
                <w:color w:val="auto"/>
                <w:highlight w:val="none"/>
              </w:rPr>
            </w:pPr>
            <w:r>
              <w:rPr>
                <w:rFonts w:hint="eastAsia" w:ascii="宋体" w:hAnsi="宋体" w:eastAsia="宋体" w:cs="宋体"/>
                <w:color w:val="auto"/>
                <w:szCs w:val="21"/>
                <w:highlight w:val="none"/>
                <w:u w:val="none"/>
              </w:rPr>
              <w:t>投标保证金有效期：</w:t>
            </w:r>
            <w:r>
              <w:rPr>
                <w:rFonts w:hint="eastAsia" w:ascii="宋体" w:hAnsi="宋体" w:eastAsia="宋体" w:cs="宋体"/>
                <w:color w:val="auto"/>
                <w:szCs w:val="21"/>
                <w:highlight w:val="none"/>
                <w:u w:val="single"/>
              </w:rPr>
              <w:t>长于或等于投标有效期。</w:t>
            </w:r>
          </w:p>
          <w:p>
            <w:pPr>
              <w:snapToGrid w:val="0"/>
              <w:rPr>
                <w:rFonts w:hint="eastAsia" w:ascii="宋体" w:hAnsi="宋体" w:eastAsia="宋体"/>
                <w:color w:val="auto"/>
                <w:highlight w:val="none"/>
                <w:u w:val="single"/>
                <w:lang w:eastAsia="zh-CN"/>
              </w:rPr>
            </w:pPr>
            <w:r>
              <w:rPr>
                <w:rFonts w:hint="eastAsia" w:ascii="宋体" w:hAnsi="宋体" w:eastAsia="宋体"/>
                <w:color w:val="auto"/>
                <w:highlight w:val="none"/>
                <w:u w:val="single"/>
              </w:rPr>
              <w:t>投标保证金可采用现金、支票、银行保函、保证保险、专业工程担保公司担保等形式，须在递交投标文件截止时间前完成缴纳。</w:t>
            </w:r>
            <w:r>
              <w:rPr>
                <w:rFonts w:hint="eastAsia" w:ascii="宋体" w:hAnsi="宋体" w:cs="Times New Roman"/>
                <w:color w:val="auto"/>
                <w:sz w:val="21"/>
                <w:highlight w:val="none"/>
                <w:u w:val="single"/>
              </w:rPr>
              <w:t>联合体投标的，其投标保证金由主办方递交</w:t>
            </w:r>
            <w:r>
              <w:rPr>
                <w:rFonts w:hint="eastAsia" w:ascii="宋体" w:hAnsi="宋体" w:cs="Times New Roman"/>
                <w:color w:val="auto"/>
                <w:sz w:val="21"/>
                <w:highlight w:val="none"/>
                <w:u w:val="single"/>
                <w:lang w:eastAsia="zh-CN"/>
              </w:rPr>
              <w:t>。</w:t>
            </w:r>
          </w:p>
          <w:p>
            <w:pPr>
              <w:snapToGrid w:val="0"/>
              <w:rPr>
                <w:rFonts w:ascii="宋体" w:hAnsi="宋体" w:eastAsia="宋体"/>
                <w:color w:val="auto"/>
                <w:highlight w:val="none"/>
                <w:u w:val="single"/>
              </w:rPr>
            </w:pPr>
            <w:r>
              <w:rPr>
                <w:rFonts w:ascii="宋体" w:hAnsi="宋体" w:eastAsia="宋体"/>
                <w:color w:val="auto"/>
                <w:highlight w:val="none"/>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napToGrid w:val="0"/>
              <w:rPr>
                <w:rFonts w:ascii="宋体" w:hAnsi="宋体" w:eastAsia="宋体"/>
                <w:color w:val="auto"/>
                <w:highlight w:val="none"/>
                <w:u w:val="single"/>
              </w:rPr>
            </w:pPr>
            <w:r>
              <w:rPr>
                <w:rFonts w:hint="eastAsia" w:ascii="宋体" w:hAnsi="宋体" w:eastAsia="宋体"/>
                <w:color w:val="auto"/>
                <w:highlight w:val="none"/>
                <w:u w:val="single"/>
              </w:rPr>
              <w:t>投标人需在交易系统中将汇入投标保证金与投标项目进行绑定，绑定成功后才能被认定为完成缴交投标保证金义务。</w:t>
            </w:r>
          </w:p>
          <w:p>
            <w:pPr>
              <w:snapToGrid w:val="0"/>
              <w:rPr>
                <w:rFonts w:ascii="宋体" w:hAnsi="宋体" w:eastAsia="宋体"/>
                <w:color w:val="auto"/>
                <w:highlight w:val="none"/>
                <w:u w:val="single"/>
              </w:rPr>
            </w:pPr>
            <w:r>
              <w:rPr>
                <w:rFonts w:ascii="宋体" w:hAnsi="宋体" w:eastAsia="宋体"/>
                <w:color w:val="auto"/>
                <w:highlight w:val="none"/>
                <w:u w:val="single"/>
              </w:rPr>
              <w:t>2、如采用</w:t>
            </w:r>
            <w:r>
              <w:rPr>
                <w:rFonts w:hint="eastAsia" w:ascii="宋体" w:hAnsi="宋体" w:eastAsia="宋体"/>
                <w:color w:val="auto"/>
                <w:highlight w:val="none"/>
                <w:u w:val="single"/>
              </w:rPr>
              <w:t>非电子形式的银行保函、专业工程担保公司担保或保证保险等形式提交投标保证金的</w:t>
            </w:r>
            <w:r>
              <w:rPr>
                <w:rFonts w:ascii="宋体" w:hAnsi="宋体" w:eastAsia="宋体"/>
                <w:color w:val="auto"/>
                <w:highlight w:val="none"/>
                <w:u w:val="single"/>
              </w:rPr>
              <w:t>，银行保函需开具给招标人，银行保函有效期不少于投标有效期。专业</w:t>
            </w:r>
            <w:r>
              <w:rPr>
                <w:rFonts w:hint="eastAsia" w:ascii="宋体" w:hAnsi="宋体" w:eastAsia="宋体"/>
                <w:color w:val="auto"/>
                <w:highlight w:val="none"/>
                <w:u w:val="single"/>
              </w:rPr>
              <w:t>工程</w:t>
            </w:r>
            <w:r>
              <w:rPr>
                <w:rFonts w:ascii="宋体" w:hAnsi="宋体" w:eastAsia="宋体"/>
                <w:color w:val="auto"/>
                <w:highlight w:val="none"/>
                <w:u w:val="single"/>
              </w:rPr>
              <w:t>担保公司担保</w:t>
            </w:r>
            <w:r>
              <w:rPr>
                <w:rFonts w:hint="eastAsia" w:ascii="宋体" w:hAnsi="宋体" w:eastAsia="宋体"/>
                <w:color w:val="auto"/>
                <w:highlight w:val="none"/>
                <w:u w:val="single"/>
              </w:rPr>
              <w:t>或</w:t>
            </w:r>
            <w:r>
              <w:rPr>
                <w:rFonts w:ascii="宋体" w:hAnsi="宋体" w:eastAsia="宋体"/>
                <w:color w:val="auto"/>
                <w:highlight w:val="none"/>
                <w:u w:val="single"/>
              </w:rPr>
              <w:t>保证保险需开具给招标人（受益人也必须是招标人），有效期不少于投标有效期。在开标前不强制要求</w:t>
            </w:r>
            <w:r>
              <w:rPr>
                <w:rFonts w:hint="eastAsia" w:ascii="宋体" w:hAnsi="宋体" w:eastAsia="宋体"/>
                <w:color w:val="auto"/>
                <w:highlight w:val="none"/>
                <w:u w:val="single"/>
              </w:rPr>
              <w:t>投标人</w:t>
            </w:r>
            <w:r>
              <w:rPr>
                <w:rFonts w:ascii="宋体" w:hAnsi="宋体" w:eastAsia="宋体"/>
                <w:color w:val="auto"/>
                <w:highlight w:val="none"/>
                <w:u w:val="single"/>
              </w:rPr>
              <w:t>提交纸质原件，由中标候选人在中标候选人公示前提交并在网上公示，但</w:t>
            </w:r>
            <w:r>
              <w:rPr>
                <w:rFonts w:hint="eastAsia" w:ascii="宋体" w:hAnsi="宋体" w:eastAsia="宋体"/>
                <w:color w:val="auto"/>
                <w:highlight w:val="none"/>
                <w:u w:val="single"/>
              </w:rPr>
              <w:t>投标人应在投标文件中提交保函、担保或保证保险扫描件并加盖投标人电子印章</w:t>
            </w:r>
            <w:r>
              <w:rPr>
                <w:rFonts w:ascii="宋体" w:hAnsi="宋体" w:eastAsia="宋体"/>
                <w:color w:val="auto"/>
                <w:highlight w:val="none"/>
                <w:u w:val="single"/>
              </w:rPr>
              <w:t>。如投标人选择在开标前提交纸质原件的，可在投标截止时间前15分钟单独密封递交至开标室。</w:t>
            </w:r>
          </w:p>
          <w:p>
            <w:pPr>
              <w:snapToGrid w:val="0"/>
              <w:rPr>
                <w:rFonts w:hint="eastAsia" w:ascii="宋体" w:hAnsi="宋体" w:eastAsia="宋体"/>
                <w:color w:val="auto"/>
                <w:highlight w:val="none"/>
                <w:u w:val="single"/>
              </w:rPr>
            </w:pPr>
            <w:r>
              <w:rPr>
                <w:rFonts w:ascii="宋体" w:hAnsi="宋体" w:eastAsia="宋体"/>
                <w:color w:val="auto"/>
                <w:highlight w:val="none"/>
                <w:u w:val="single"/>
              </w:rPr>
              <w:t>3、如</w:t>
            </w:r>
            <w:r>
              <w:rPr>
                <w:rFonts w:hint="eastAsia" w:ascii="宋体" w:hAnsi="宋体" w:eastAsia="宋体"/>
                <w:color w:val="auto"/>
                <w:highlight w:val="none"/>
                <w:u w:val="single"/>
              </w:rPr>
              <w:t>采用电子形式的保函、担保或保证保险提交投标保证金的</w:t>
            </w:r>
            <w:r>
              <w:rPr>
                <w:rFonts w:ascii="宋体" w:hAnsi="宋体" w:eastAsia="宋体"/>
                <w:color w:val="auto"/>
                <w:highlight w:val="none"/>
                <w:u w:val="single"/>
              </w:rPr>
              <w:t>，详见广州公共资源交易中心</w:t>
            </w:r>
            <w:r>
              <w:rPr>
                <w:rFonts w:hint="eastAsia" w:ascii="宋体" w:hAnsi="宋体" w:eastAsia="宋体"/>
                <w:color w:val="auto"/>
                <w:highlight w:val="none"/>
                <w:u w:val="single"/>
              </w:rPr>
              <w:t>相关</w:t>
            </w:r>
            <w:r>
              <w:rPr>
                <w:rFonts w:ascii="宋体" w:hAnsi="宋体" w:eastAsia="宋体"/>
                <w:color w:val="auto"/>
                <w:highlight w:val="none"/>
                <w:u w:val="single"/>
              </w:rPr>
              <w:t>操作指引。（本条适用于交易中心系统支持采用电子保函方式递交的情形）</w:t>
            </w:r>
          </w:p>
          <w:p>
            <w:pPr>
              <w:snapToGrid w:val="0"/>
              <w:rPr>
                <w:rFonts w:hint="eastAsia" w:ascii="宋体" w:hAnsi="宋体" w:eastAsia="宋体"/>
                <w:b/>
                <w:color w:val="auto"/>
                <w:highlight w:val="none"/>
                <w:u w:val="single"/>
              </w:rPr>
            </w:pPr>
            <w:r>
              <w:rPr>
                <w:rFonts w:hint="eastAsia" w:ascii="宋体" w:hAnsi="宋体" w:eastAsia="宋体"/>
                <w:b/>
                <w:color w:val="auto"/>
                <w:highlight w:val="none"/>
                <w:u w:val="single"/>
              </w:rPr>
              <w:t>4、为降低投标人的交易成本，扩大信用承诺制的应用范围，信用良好企业或中小企业</w:t>
            </w:r>
            <w:r>
              <w:rPr>
                <w:rFonts w:hint="eastAsia" w:ascii="宋体" w:hAnsi="宋体"/>
                <w:b/>
                <w:color w:val="auto"/>
                <w:highlight w:val="none"/>
                <w:u w:val="single"/>
                <w:lang w:eastAsia="zh-CN"/>
              </w:rPr>
              <w:t>（</w:t>
            </w:r>
            <w:r>
              <w:rPr>
                <w:rFonts w:hint="eastAsia" w:ascii="宋体" w:hAnsi="宋体" w:cs="Times New Roman"/>
                <w:b/>
                <w:color w:val="auto"/>
                <w:sz w:val="21"/>
                <w:highlight w:val="none"/>
                <w:u w:val="single"/>
              </w:rPr>
              <w:t>联合体投标</w:t>
            </w:r>
            <w:r>
              <w:rPr>
                <w:rFonts w:hint="eastAsia" w:ascii="宋体" w:hAnsi="宋体" w:cs="Times New Roman"/>
                <w:b/>
                <w:color w:val="auto"/>
                <w:sz w:val="21"/>
                <w:highlight w:val="none"/>
                <w:u w:val="single"/>
                <w:lang w:eastAsia="zh-CN"/>
              </w:rPr>
              <w:t>时</w:t>
            </w:r>
            <w:r>
              <w:rPr>
                <w:rFonts w:hint="eastAsia" w:ascii="宋体" w:hAnsi="宋体" w:cs="Times New Roman"/>
                <w:b/>
                <w:color w:val="auto"/>
                <w:sz w:val="21"/>
                <w:highlight w:val="none"/>
                <w:u w:val="single"/>
              </w:rPr>
              <w:t>，</w:t>
            </w:r>
            <w:r>
              <w:rPr>
                <w:rFonts w:hint="eastAsia" w:ascii="宋体" w:hAnsi="宋体" w:cs="Times New Roman"/>
                <w:b/>
                <w:color w:val="auto"/>
                <w:sz w:val="21"/>
                <w:highlight w:val="none"/>
                <w:u w:val="single"/>
                <w:lang w:eastAsia="zh-CN"/>
              </w:rPr>
              <w:t>指联合体各成员</w:t>
            </w:r>
            <w:r>
              <w:rPr>
                <w:rFonts w:hint="eastAsia" w:ascii="宋体" w:hAnsi="宋体"/>
                <w:b/>
                <w:color w:val="auto"/>
                <w:highlight w:val="none"/>
                <w:u w:val="single"/>
                <w:lang w:eastAsia="zh-CN"/>
              </w:rPr>
              <w:t>）</w:t>
            </w:r>
            <w:r>
              <w:rPr>
                <w:rFonts w:hint="eastAsia" w:ascii="宋体" w:hAnsi="宋体" w:eastAsia="宋体"/>
                <w:b/>
                <w:color w:val="auto"/>
                <w:highlight w:val="none"/>
                <w:u w:val="single"/>
              </w:rPr>
              <w:t>在提供相关资料后可无需缴纳投标保证金：</w:t>
            </w:r>
          </w:p>
          <w:p>
            <w:pPr>
              <w:snapToGrid w:val="0"/>
              <w:rPr>
                <w:rFonts w:hint="eastAsia" w:ascii="宋体" w:hAnsi="宋体" w:eastAsia="宋体"/>
                <w:color w:val="auto"/>
                <w:highlight w:val="none"/>
                <w:u w:val="single"/>
              </w:rPr>
            </w:pPr>
            <w:r>
              <w:rPr>
                <w:rFonts w:hint="eastAsia" w:ascii="宋体" w:hAnsi="宋体" w:eastAsia="宋体"/>
                <w:b/>
                <w:color w:val="auto"/>
                <w:highlight w:val="none"/>
                <w:u w:val="single"/>
              </w:rPr>
              <w:t>（1）信用良好的投标人需提供信用状况良好的相关证明：</w:t>
            </w:r>
            <w:r>
              <w:rPr>
                <w:rFonts w:hint="eastAsia" w:ascii="宋体" w:hAnsi="宋体" w:eastAsia="宋体"/>
                <w:color w:val="auto"/>
                <w:highlight w:val="none"/>
                <w:u w:val="single"/>
              </w:rPr>
              <w:t>证明以“信用中国”网站（https://www.creditchina.gov.cn）下载的、由国家公共信用信息中心出具的有效的《法人和其他组织信用信息概况》（以下简称“信用报告”）为准，信用报告的生成时间需在招标公告发布时间至递交投标文件截止时间段内，超出该时间段出具的信用报告无效。信用状况良好是指投标人信用报告中不存在重点关注信息、行政处罚信息、失信惩戒信息、风险提示信息。</w:t>
            </w:r>
          </w:p>
          <w:p>
            <w:pPr>
              <w:snapToGrid w:val="0"/>
              <w:rPr>
                <w:rFonts w:hint="eastAsia" w:ascii="宋体" w:hAnsi="宋体" w:eastAsia="宋体"/>
                <w:color w:val="auto"/>
                <w:highlight w:val="none"/>
                <w:u w:val="single"/>
              </w:rPr>
            </w:pPr>
            <w:r>
              <w:rPr>
                <w:rFonts w:hint="eastAsia" w:ascii="宋体" w:hAnsi="宋体" w:eastAsia="宋体"/>
                <w:b/>
                <w:color w:val="auto"/>
                <w:highlight w:val="none"/>
                <w:u w:val="single"/>
              </w:rPr>
              <w:t>（2）属于中小企业（包括中型、小型和微型企业）的投标人需提供属于中小企业的资料：</w:t>
            </w:r>
            <w:r>
              <w:rPr>
                <w:rFonts w:hint="eastAsia" w:ascii="宋体" w:hAnsi="宋体" w:eastAsia="宋体"/>
                <w:color w:val="auto"/>
                <w:highlight w:val="none"/>
                <w:u w:val="single"/>
              </w:rPr>
              <w:t>要求投标人提供自行查询企业划型截图和《中小企业声明函》（详见“第四章  投标文件格式”）。中小企业的划型标准依据《关于印发中小企业划型标准规定的通知》（工信部联企业（2011）300号）执行，投标人提供以http://202.106.120.146/baosong/appweb/orgScale.html网址查询结果为准，网页截图需包含网址信息。没有按上述要求提供证明材料的投标人，不免于交纳投标保证金。</w:t>
            </w:r>
          </w:p>
          <w:p>
            <w:pPr>
              <w:rPr>
                <w:color w:val="auto"/>
                <w:highlight w:val="none"/>
              </w:rPr>
            </w:pPr>
            <w:r>
              <w:rPr>
                <w:rFonts w:hint="eastAsia" w:ascii="宋体" w:hAnsi="宋体" w:eastAsia="宋体"/>
                <w:b/>
                <w:color w:val="auto"/>
                <w:highlight w:val="none"/>
                <w:u w:val="single"/>
              </w:rPr>
              <w:t>（3）免交投标保证金的投标人还需同时提供《关于投标保证金的承诺》（详见“第四章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时间：自发布招标公告之日起具备现场踏勘条件；</w:t>
            </w:r>
          </w:p>
          <w:p>
            <w:pPr>
              <w:rPr>
                <w:rFonts w:ascii="宋体" w:hAnsi="宋体"/>
                <w:color w:val="auto"/>
                <w:szCs w:val="21"/>
                <w:highlight w:val="none"/>
              </w:rPr>
            </w:pPr>
            <w:r>
              <w:rPr>
                <w:rFonts w:hint="eastAsia" w:ascii="宋体" w:hAnsi="宋体" w:eastAsia="宋体" w:cs="宋体"/>
                <w:color w:val="auto"/>
                <w:szCs w:val="21"/>
                <w:highlight w:val="none"/>
                <w:u w:val="single"/>
              </w:rPr>
              <w:t>方式：招标人不集中组织，由投标人自行踏勘；</w:t>
            </w:r>
            <w:r>
              <w:rPr>
                <w:rFonts w:ascii="宋体" w:hAnsi="宋体"/>
                <w:color w:val="auto"/>
                <w:szCs w:val="21"/>
                <w:highlight w:val="none"/>
              </w:rPr>
              <w:t xml:space="preserve"> </w:t>
            </w:r>
          </w:p>
          <w:p>
            <w:pPr>
              <w:rPr>
                <w:rFonts w:ascii="宋体" w:hAnsi="宋体"/>
                <w:color w:val="auto"/>
                <w:szCs w:val="21"/>
                <w:highlight w:val="none"/>
              </w:rPr>
            </w:pPr>
            <w:r>
              <w:rPr>
                <w:rFonts w:hint="eastAsia" w:ascii="宋体" w:hAnsi="宋体" w:eastAsia="宋体" w:cs="宋体"/>
                <w:color w:val="auto"/>
                <w:kern w:val="2"/>
                <w:sz w:val="21"/>
                <w:szCs w:val="21"/>
                <w:highlight w:val="none"/>
                <w:u w:val="single"/>
                <w:lang w:val="en-US" w:eastAsia="zh-CN"/>
              </w:rPr>
              <w:t>现场详细地</w:t>
            </w:r>
            <w:r>
              <w:rPr>
                <w:rFonts w:hint="eastAsia" w:ascii="宋体" w:hAnsi="宋体" w:eastAsia="宋体" w:cs="宋体"/>
                <w:color w:val="auto"/>
                <w:kern w:val="2"/>
                <w:sz w:val="21"/>
                <w:szCs w:val="21"/>
                <w:highlight w:val="none"/>
                <w:u w:val="single"/>
                <w:lang w:val="en-US" w:eastAsia="zh-CN" w:bidi="ar-SA"/>
              </w:rPr>
              <w:t>点：</w:t>
            </w:r>
            <w:r>
              <w:rPr>
                <w:rFonts w:hint="eastAsia" w:ascii="宋体" w:hAnsi="宋体" w:cs="宋体"/>
                <w:color w:val="auto"/>
                <w:kern w:val="2"/>
                <w:sz w:val="21"/>
                <w:szCs w:val="21"/>
                <w:highlight w:val="none"/>
                <w:u w:val="single"/>
                <w:lang w:val="en-US" w:eastAsia="zh-CN" w:bidi="ar-SA"/>
              </w:rPr>
              <w:t>详见招标公告</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时前；</w:t>
            </w:r>
          </w:p>
          <w:p>
            <w:pPr>
              <w:rPr>
                <w:rFonts w:hint="eastAsia" w:ascii="宋体" w:hAnsi="宋体" w:eastAsia="宋体" w:cs="宋体"/>
                <w:color w:val="auto"/>
                <w:szCs w:val="21"/>
                <w:highlight w:val="none"/>
                <w:u w:val="none"/>
              </w:rPr>
            </w:pPr>
            <w:r>
              <w:rPr>
                <w:rFonts w:hint="eastAsia" w:ascii="宋体" w:hAnsi="宋体"/>
                <w:color w:val="auto"/>
                <w:szCs w:val="21"/>
                <w:highlight w:val="none"/>
              </w:rPr>
              <w:t>形式：投标人的疑问通过</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u w:val="none"/>
              </w:rPr>
              <w:t>交易平台提交。</w:t>
            </w:r>
          </w:p>
          <w:p>
            <w:pPr>
              <w:rPr>
                <w:rFonts w:ascii="宋体" w:hAnsi="宋体"/>
                <w:color w:val="auto"/>
                <w:szCs w:val="21"/>
                <w:highlight w:val="none"/>
              </w:rPr>
            </w:pPr>
            <w:r>
              <w:rPr>
                <w:rFonts w:hint="eastAsia" w:ascii="宋体" w:hAnsi="宋体" w:eastAsia="宋体" w:cs="宋体"/>
                <w:color w:val="auto"/>
                <w:szCs w:val="21"/>
                <w:highlight w:val="none"/>
                <w:u w:val="none"/>
              </w:rPr>
              <w:t>具体要求：按照交易平台关于全流程电子化项目的相关</w:t>
            </w:r>
            <w:r>
              <w:rPr>
                <w:rFonts w:hint="eastAsia" w:ascii="宋体" w:hAnsi="宋体"/>
                <w:color w:val="auto"/>
                <w:szCs w:val="21"/>
                <w:highlight w:val="none"/>
              </w:rPr>
              <w:t>指南进行操作，详见：</w:t>
            </w:r>
            <w:r>
              <w:rPr>
                <w:rFonts w:hint="eastAsia" w:ascii="宋体" w:hAnsi="宋体" w:eastAsia="宋体" w:cs="宋体"/>
                <w:color w:val="auto"/>
                <w:szCs w:val="21"/>
                <w:highlight w:val="none"/>
                <w:u w:val="single"/>
              </w:rPr>
              <w:t>广州公共资源交易中心网站</w:t>
            </w:r>
            <w:r>
              <w:rPr>
                <w:rFonts w:hint="eastAsia" w:ascii="宋体" w:hAnsi="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r>
              <w:rPr>
                <w:rFonts w:hint="eastAsia" w:ascii="宋体" w:hAnsi="宋体" w:eastAsia="宋体" w:cs="宋体"/>
                <w:b/>
                <w:bCs/>
                <w:color w:val="auto"/>
                <w:szCs w:val="21"/>
                <w:highlight w:val="none"/>
                <w:u w:val="single"/>
              </w:rPr>
              <w:t>注：中标单位中标后须按招标人要求提供完整的纸质版投标文件一式四份。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（技术标和经济标同时开标）</w:t>
            </w:r>
          </w:p>
          <w:p>
            <w:pPr>
              <w:rPr>
                <w:rFonts w:ascii="宋体" w:hAnsi="宋体"/>
                <w:color w:val="auto"/>
                <w:szCs w:val="21"/>
                <w:highlight w:val="none"/>
              </w:rPr>
            </w:pPr>
            <w:r>
              <w:rPr>
                <w:rFonts w:hint="eastAsia" w:ascii="宋体" w:hAnsi="宋体"/>
                <w:color w:val="auto"/>
                <w:szCs w:val="21"/>
                <w:highlight w:val="none"/>
              </w:rPr>
              <w:t>1、开标开始时间：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eastAsia="宋体" w:cs="宋体"/>
                <w:color w:val="auto"/>
                <w:szCs w:val="21"/>
                <w:highlight w:val="none"/>
                <w:u w:val="single"/>
              </w:rPr>
              <w:t>增城交易部开标</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室</w:t>
            </w:r>
            <w:r>
              <w:rPr>
                <w:rFonts w:hint="eastAsia" w:ascii="宋体" w:hAnsi="宋体" w:eastAsia="宋体" w:cs="宋体"/>
                <w:color w:val="auto"/>
                <w:szCs w:val="21"/>
                <w:highlight w:val="none"/>
                <w:u w:val="none"/>
              </w:rPr>
              <w:t xml:space="preserve"> 。</w:t>
            </w:r>
          </w:p>
          <w:p>
            <w:pPr>
              <w:rPr>
                <w:rFonts w:hint="eastAsia" w:ascii="宋体" w:hAnsi="宋体" w:eastAsia="宋体"/>
                <w:color w:val="auto"/>
                <w:highlight w:val="none"/>
                <w:lang w:eastAsia="zh-CN"/>
              </w:rPr>
            </w:pPr>
            <w:r>
              <w:rPr>
                <w:rFonts w:hint="eastAsia" w:ascii="宋体" w:hAnsi="宋体"/>
                <w:color w:val="auto"/>
                <w:szCs w:val="21"/>
                <w:highlight w:val="none"/>
              </w:rPr>
              <w:t>2、递交投标文件备用光盘时间：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分至</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分；递交地点：</w:t>
            </w:r>
            <w:r>
              <w:rPr>
                <w:rFonts w:hint="eastAsia" w:ascii="宋体" w:hAnsi="宋体" w:eastAsia="宋体" w:cs="宋体"/>
                <w:color w:val="auto"/>
                <w:szCs w:val="21"/>
                <w:highlight w:val="none"/>
                <w:u w:val="single"/>
              </w:rPr>
              <w:t>增城交易部开标</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室</w:t>
            </w:r>
            <w:r>
              <w:rPr>
                <w:rFonts w:hint="eastAsia" w:ascii="宋体" w:hAnsi="宋体"/>
                <w:color w:val="auto"/>
                <w:highlight w:val="none"/>
              </w:rPr>
              <w:t>。(建议安排在投标文件截止时间前15分钟至投标文件截止时间）</w:t>
            </w:r>
            <w:r>
              <w:rPr>
                <w:rFonts w:hint="eastAsia" w:ascii="宋体" w:hAnsi="宋体"/>
                <w:color w:val="auto"/>
                <w:highlight w:val="none"/>
                <w:lang w:eastAsia="zh-CN"/>
              </w:rPr>
              <w:t>。</w:t>
            </w:r>
          </w:p>
          <w:p>
            <w:pPr>
              <w:rPr>
                <w:rFonts w:ascii="宋体" w:hAnsi="宋体"/>
                <w:color w:val="auto"/>
                <w:szCs w:val="21"/>
                <w:highlight w:val="none"/>
              </w:rPr>
            </w:pPr>
            <w:r>
              <w:rPr>
                <w:rFonts w:hint="eastAsia" w:ascii="宋体" w:hAnsi="宋体" w:cs="仿宋_GB2312"/>
                <w:color w:val="auto"/>
                <w:highlight w:val="none"/>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rFonts w:hint="eastAsia" w:ascii="宋体" w:hAnsi="宋体" w:eastAsia="宋体" w:cs="宋体"/>
                <w:color w:val="auto"/>
                <w:kern w:val="2"/>
                <w:sz w:val="21"/>
                <w:szCs w:val="21"/>
                <w:highlight w:val="none"/>
                <w:u w:val="single"/>
              </w:rPr>
            </w:pPr>
            <w:r>
              <w:rPr>
                <w:rFonts w:hint="eastAsia" w:ascii="宋体" w:hAnsi="宋体"/>
                <w:color w:val="auto"/>
                <w:szCs w:val="21"/>
                <w:highlight w:val="none"/>
              </w:rPr>
              <w:t>方式一：选取方法</w:t>
            </w:r>
            <w:r>
              <w:rPr>
                <w:rFonts w:hint="eastAsia" w:ascii="宋体" w:hAnsi="宋体" w:eastAsia="宋体" w:cs="宋体"/>
                <w:color w:val="auto"/>
                <w:kern w:val="2"/>
                <w:sz w:val="21"/>
                <w:szCs w:val="21"/>
                <w:highlight w:val="none"/>
                <w:u w:val="single"/>
              </w:rPr>
              <w:t>办法七（适合综合评分法四，技术标与经济标同时开启）</w:t>
            </w:r>
          </w:p>
          <w:p>
            <w:pPr>
              <w:pStyle w:val="5"/>
              <w:ind w:firstLine="0"/>
              <w:rPr>
                <w:rFonts w:hint="eastAsia" w:ascii="宋体" w:hAnsi="宋体" w:cs="宋体"/>
                <w:color w:val="auto"/>
                <w:szCs w:val="21"/>
                <w:highlight w:val="none"/>
              </w:rPr>
            </w:pPr>
            <w:r>
              <w:rPr>
                <w:rFonts w:hint="eastAsia" w:ascii="宋体" w:hAnsi="宋体" w:cs="宋体"/>
                <w:color w:val="auto"/>
                <w:szCs w:val="21"/>
                <w:highlight w:val="none"/>
                <w:u w:val="single"/>
              </w:rPr>
              <w:t>投标人总得分=</w:t>
            </w:r>
            <w:r>
              <w:rPr>
                <w:rFonts w:hint="eastAsia" w:ascii="宋体" w:hAnsi="宋体" w:cs="宋体"/>
                <w:b/>
                <w:bCs/>
                <w:color w:val="auto"/>
                <w:szCs w:val="21"/>
                <w:highlight w:val="none"/>
                <w:u w:val="single"/>
              </w:rPr>
              <w:t>技术得分（满分</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u w:val="single"/>
              </w:rPr>
              <w:t>分）＋经济得分（满分100分）×经济得分权重（</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0%）</w:t>
            </w:r>
            <w:r>
              <w:rPr>
                <w:rFonts w:hint="eastAsia" w:ascii="宋体" w:hAnsi="宋体" w:cs="宋体"/>
                <w:color w:val="auto"/>
                <w:szCs w:val="21"/>
                <w:highlight w:val="none"/>
              </w:rPr>
              <w:t>。</w:t>
            </w:r>
          </w:p>
          <w:p>
            <w:pPr>
              <w:pStyle w:val="5"/>
              <w:ind w:firstLine="0"/>
              <w:rPr>
                <w:rFonts w:ascii="宋体" w:hAnsi="宋体"/>
                <w:color w:val="auto"/>
                <w:szCs w:val="21"/>
                <w:highlight w:val="none"/>
              </w:rPr>
            </w:pPr>
            <w:r>
              <w:rPr>
                <w:rFonts w:hint="eastAsia" w:ascii="宋体" w:hAnsi="宋体" w:cs="宋体"/>
                <w:color w:val="auto"/>
                <w:szCs w:val="21"/>
                <w:highlight w:val="none"/>
              </w:rPr>
              <w:t>总</w:t>
            </w:r>
            <w:r>
              <w:rPr>
                <w:rFonts w:hint="eastAsia" w:ascii="宋体" w:hAnsi="宋体" w:cs="宋体"/>
                <w:bCs/>
                <w:color w:val="auto"/>
                <w:szCs w:val="21"/>
                <w:highlight w:val="none"/>
              </w:rPr>
              <w:t>得分四舍五入保留两位小数。</w:t>
            </w:r>
            <w:r>
              <w:rPr>
                <w:rFonts w:hint="eastAsia" w:ascii="宋体" w:hAnsi="宋体" w:cs="宋体"/>
                <w:color w:val="auto"/>
                <w:highlight w:val="none"/>
                <w:u w:val="single"/>
              </w:rPr>
              <w:t>总得分相同的投标文件，以技术分高的排前；总得分、技术分均相同的投标文件，由评标委员会采用记名投票方式，确定投标人的排序。随机方式确定排序的具体操作步骤为：由评标会对出现该情况的投标人进行编号，然后通过记名投票方式，以得票多的排前确定排序</w:t>
            </w:r>
            <w:r>
              <w:rPr>
                <w:rFonts w:hint="eastAsia" w:ascii="宋体" w:hAnsi="宋体" w:cs="宋体"/>
                <w:color w:val="auto"/>
                <w:highlight w:val="none"/>
                <w:u w:val="singl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highlight w:val="none"/>
              </w:rPr>
            </w:pPr>
            <w:r>
              <w:rPr>
                <w:rFonts w:hint="eastAsia" w:ascii="宋体" w:hAnsi="宋体"/>
                <w:color w:val="auto"/>
                <w:highlight w:val="none"/>
              </w:rPr>
              <w:t>方式一：中标人提供的履约保证金为中标价款的10%。</w:t>
            </w:r>
          </w:p>
          <w:p>
            <w:pPr>
              <w:pStyle w:val="5"/>
              <w:spacing w:after="0"/>
              <w:ind w:firstLine="0"/>
              <w:rPr>
                <w:rFonts w:ascii="宋体" w:hAnsi="宋体"/>
                <w:color w:val="auto"/>
                <w:highlight w:val="none"/>
              </w:rPr>
            </w:pPr>
            <w:r>
              <w:rPr>
                <w:rFonts w:hint="eastAsia" w:ascii="宋体" w:hAnsi="宋体" w:eastAsia="宋体" w:cs="宋体"/>
                <w:color w:val="auto"/>
                <w:kern w:val="2"/>
                <w:sz w:val="21"/>
                <w:szCs w:val="21"/>
                <w:highlight w:val="none"/>
              </w:rPr>
              <w:t>中标人的履约担保可采用以现金、银行保函、保证保险、专业担保公司担保等的形式提供。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本项目最高投标限价人民币</w:t>
            </w:r>
            <w:r>
              <w:rPr>
                <w:rFonts w:hint="eastAsia" w:ascii="宋体" w:hAnsi="宋体"/>
                <w:color w:val="auto"/>
                <w:szCs w:val="21"/>
                <w:highlight w:val="none"/>
                <w:u w:val="single"/>
              </w:rPr>
              <w:t>24951211.78</w:t>
            </w:r>
            <w:r>
              <w:rPr>
                <w:rFonts w:hint="eastAsia" w:ascii="宋体" w:hAnsi="宋体"/>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rPr>
              <w:t>688012.83</w:t>
            </w:r>
            <w:r>
              <w:rPr>
                <w:rFonts w:hint="eastAsia" w:ascii="宋体" w:hAnsi="宋体"/>
                <w:color w:val="auto"/>
                <w:szCs w:val="21"/>
                <w:highlight w:val="none"/>
              </w:rPr>
              <w:t>元，暂列金额为</w:t>
            </w:r>
          </w:p>
          <w:p>
            <w:pPr>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元，暂估价为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23703651.19</w:t>
            </w:r>
            <w:r>
              <w:rPr>
                <w:rFonts w:hint="eastAsia" w:ascii="宋体" w:hAnsi="宋体"/>
                <w:color w:val="auto"/>
                <w:szCs w:val="21"/>
                <w:highlight w:val="none"/>
              </w:rPr>
              <w:t>元</w:t>
            </w:r>
            <w:r>
              <w:rPr>
                <w:rFonts w:hint="eastAsia" w:ascii="宋体" w:hAnsi="宋体" w:eastAsia="宋体" w:cs="宋体"/>
                <w:color w:val="auto"/>
                <w:szCs w:val="21"/>
                <w:highlight w:val="none"/>
                <w:u w:val="single"/>
              </w:rPr>
              <w:t>(最高投标限价的95%设置为工程成本警戒价)</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r>
              <w:rPr>
                <w:rFonts w:hint="eastAsia"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r>
              <w:rPr>
                <w:rFonts w:hint="eastAsia"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eastAsia="宋体" w:cs="宋体"/>
                <w:bCs/>
                <w:color w:val="auto"/>
                <w:szCs w:val="21"/>
                <w:highlight w:val="none"/>
                <w:u w:val="single"/>
              </w:rPr>
              <w:t>按招标文件及合同条款相关约定调整。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根据《建设工程质量检测管理办法》（建设部令第</w:t>
            </w:r>
            <w:r>
              <w:rPr>
                <w:rFonts w:ascii="宋体" w:hAnsi="宋体"/>
                <w:color w:val="auto"/>
                <w:kern w:val="0"/>
                <w:szCs w:val="21"/>
                <w:highlight w:val="none"/>
                <w:lang w:val="zh-CN"/>
              </w:rPr>
              <w:t>141</w:t>
            </w:r>
            <w:r>
              <w:rPr>
                <w:rFonts w:hint="eastAsia" w:ascii="宋体" w:hAnsi="宋体"/>
                <w:color w:val="auto"/>
                <w:kern w:val="0"/>
                <w:szCs w:val="21"/>
                <w:highlight w:val="none"/>
                <w:lang w:val="zh-CN"/>
              </w:rPr>
              <w:t>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sym w:font="Wingdings 2" w:char="00A3"/>
            </w:r>
            <w:r>
              <w:rPr>
                <w:rFonts w:hint="eastAsia" w:ascii="宋体" w:hAnsi="宋体"/>
                <w:color w:val="auto"/>
                <w:kern w:val="0"/>
                <w:szCs w:val="21"/>
                <w:highlight w:val="none"/>
                <w:lang w:val="zh-CN"/>
              </w:rPr>
              <w:t>不允许；</w:t>
            </w:r>
          </w:p>
          <w:p>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color w:val="auto"/>
                <w:kern w:val="0"/>
                <w:szCs w:val="21"/>
                <w:highlight w:val="none"/>
                <w:lang w:val="zh-CN"/>
              </w:rPr>
              <w:t>允许：分包内容要要求：</w:t>
            </w:r>
            <w:r>
              <w:rPr>
                <w:rFonts w:hint="eastAsia" w:ascii="宋体" w:hAnsi="宋体" w:eastAsia="宋体" w:cs="宋体"/>
                <w:color w:val="auto"/>
                <w:kern w:val="0"/>
                <w:szCs w:val="21"/>
                <w:highlight w:val="none"/>
                <w:u w:val="single"/>
                <w:lang w:val="zh-CN"/>
              </w:rPr>
              <w:t>中标人按照合同约定或者经招标人同意，可以将中标项目的部分非主体、非关键性工作分包给他人完成。</w:t>
            </w:r>
          </w:p>
          <w:p>
            <w:pPr>
              <w:rPr>
                <w:rFonts w:hint="eastAsia" w:ascii="宋体" w:hAnsi="宋体" w:eastAsia="宋体" w:cs="宋体"/>
                <w:color w:val="auto"/>
                <w:kern w:val="0"/>
                <w:szCs w:val="21"/>
                <w:highlight w:val="none"/>
                <w:lang w:val="zh-CN"/>
              </w:rPr>
            </w:pPr>
            <w:r>
              <w:rPr>
                <w:rFonts w:hint="eastAsia" w:ascii="宋体" w:hAnsi="宋体"/>
                <w:color w:val="auto"/>
                <w:kern w:val="0"/>
                <w:szCs w:val="21"/>
                <w:highlight w:val="none"/>
                <w:lang w:val="zh-CN"/>
              </w:rPr>
              <w:t xml:space="preserve">      </w:t>
            </w:r>
            <w:r>
              <w:rPr>
                <w:rFonts w:hint="eastAsia" w:ascii="宋体" w:hAnsi="宋体" w:eastAsia="宋体" w:cs="宋体"/>
                <w:color w:val="auto"/>
                <w:kern w:val="0"/>
                <w:szCs w:val="21"/>
                <w:highlight w:val="none"/>
                <w:lang w:val="zh-CN"/>
              </w:rPr>
              <w:t>分包金额要求：</w:t>
            </w:r>
            <w:r>
              <w:rPr>
                <w:rFonts w:hint="eastAsia" w:ascii="宋体" w:hAnsi="宋体" w:eastAsia="宋体" w:cs="宋体"/>
                <w:color w:val="auto"/>
                <w:kern w:val="0"/>
                <w:szCs w:val="21"/>
                <w:highlight w:val="none"/>
                <w:u w:val="single"/>
                <w:lang w:val="zh-CN"/>
              </w:rPr>
              <w:t>根据实际情况确定。</w:t>
            </w:r>
          </w:p>
          <w:p>
            <w:pPr>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 xml:space="preserve">      对分包人的资质要求：</w:t>
            </w:r>
            <w:r>
              <w:rPr>
                <w:rFonts w:hint="eastAsia" w:ascii="宋体" w:hAnsi="宋体" w:eastAsia="宋体" w:cs="宋体"/>
                <w:color w:val="auto"/>
                <w:kern w:val="0"/>
                <w:szCs w:val="21"/>
                <w:highlight w:val="none"/>
                <w:u w:val="single"/>
                <w:lang w:val="zh-CN"/>
              </w:rPr>
              <w:t>按国家资质管理规定执行。</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对分包人的其他要求：</w:t>
            </w:r>
            <w:r>
              <w:rPr>
                <w:rFonts w:hint="eastAsia" w:ascii="宋体" w:hAnsi="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zh-CN"/>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eastAsia="宋体" w:cs="宋体"/>
                <w:color w:val="auto"/>
                <w:kern w:val="0"/>
                <w:szCs w:val="21"/>
                <w:highlight w:val="none"/>
                <w:u w:val="single"/>
                <w:lang w:val="zh-CN"/>
              </w:rPr>
              <w:t>广州公共资源交易中心网站</w:t>
            </w:r>
            <w:r>
              <w:rPr>
                <w:rFonts w:hint="eastAsia" w:ascii="宋体" w:hAnsi="宋体" w:cs="Courier New"/>
                <w:color w:val="auto"/>
                <w:szCs w:val="21"/>
                <w:highlight w:val="none"/>
              </w:rPr>
              <w:t xml:space="preserve">。  </w:t>
            </w:r>
          </w:p>
          <w:p>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highlight w:val="none"/>
              </w:rPr>
            </w:pPr>
            <w:r>
              <w:rPr>
                <w:rFonts w:hint="eastAsia" w:ascii="宋体" w:hAnsi="宋体" w:eastAsia="宋体" w:cs="宋体"/>
                <w:b/>
                <w:color w:val="auto"/>
                <w:highlight w:val="none"/>
                <w:u w:val="single"/>
              </w:rPr>
              <w:t>其它</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Courier New"/>
                <w:color w:val="auto"/>
                <w:szCs w:val="21"/>
                <w:highlight w:val="none"/>
              </w:rPr>
            </w:pPr>
            <w:r>
              <w:rPr>
                <w:rFonts w:ascii="宋体" w:hAnsi="宋体" w:eastAsia="宋体" w:cs="宋体"/>
                <w:b/>
                <w:color w:val="auto"/>
                <w:highlight w:val="none"/>
                <w:u w:val="single"/>
              </w:rPr>
              <w:t>各级住建主管部门审批的资质证书过期的，如能提供有关顺延资质资格有效期有关文件且符合文件规定的，则视为仍然有效。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38</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color w:val="auto"/>
                <w:highlight w:val="none"/>
              </w:rPr>
            </w:pPr>
            <w:r>
              <w:rPr>
                <w:rFonts w:hint="eastAsia" w:ascii="宋体" w:hAnsi="宋体" w:eastAsia="宋体" w:cs="宋体"/>
                <w:b/>
                <w:color w:val="auto"/>
                <w:highlight w:val="none"/>
                <w:u w:val="single"/>
              </w:rPr>
              <w:t>其他费用</w:t>
            </w:r>
          </w:p>
        </w:tc>
        <w:tc>
          <w:tcPr>
            <w:tcW w:w="5857" w:type="dxa"/>
            <w:tcBorders>
              <w:top w:val="single" w:color="auto" w:sz="4" w:space="0"/>
              <w:left w:val="single" w:color="auto" w:sz="4" w:space="0"/>
              <w:bottom w:val="double" w:color="auto" w:sz="4" w:space="0"/>
              <w:right w:val="double" w:color="auto" w:sz="4" w:space="0"/>
            </w:tcBorders>
            <w:vAlign w:val="center"/>
          </w:tcPr>
          <w:p>
            <w:pPr>
              <w:rPr>
                <w:rFonts w:hint="eastAsia" w:ascii="宋体" w:hAnsi="宋体" w:cs="Courier New"/>
                <w:color w:val="auto"/>
                <w:szCs w:val="21"/>
                <w:highlight w:val="none"/>
              </w:rPr>
            </w:pPr>
            <w:r>
              <w:rPr>
                <w:rFonts w:hint="eastAsia" w:ascii="宋体" w:hAnsi="宋体" w:eastAsia="宋体" w:cs="宋体"/>
                <w:b/>
                <w:color w:val="auto"/>
                <w:szCs w:val="21"/>
                <w:highlight w:val="none"/>
                <w:u w:val="single"/>
              </w:rPr>
              <w:t>交易服务费：根据广州市政府相关文件的规定，向广州公共资源交易中心交纳交易服务费。</w:t>
            </w:r>
          </w:p>
        </w:tc>
      </w:tr>
    </w:tbl>
    <w:p>
      <w:pPr>
        <w:spacing w:line="480" w:lineRule="auto"/>
        <w:rPr>
          <w:rFonts w:ascii="宋体"/>
          <w:strike/>
          <w:dstrike w:val="0"/>
          <w:color w:val="auto"/>
          <w:sz w:val="24"/>
          <w:highlight w:val="none"/>
        </w:rPr>
      </w:pPr>
      <w:r>
        <w:rPr>
          <w:rFonts w:hint="eastAsia" w:ascii="宋体" w:hAnsi="宋体"/>
          <w:strike/>
          <w:dstrike w:val="0"/>
          <w:color w:val="auto"/>
          <w:sz w:val="24"/>
          <w:highlight w:val="none"/>
        </w:rPr>
        <w:t>注：企业</w:t>
      </w:r>
      <w:r>
        <w:rPr>
          <w:rFonts w:hint="eastAsia" w:ascii="宋体" w:hAnsi="宋体" w:cs="宋体"/>
          <w:strike/>
          <w:dstrike w:val="0"/>
          <w:color w:val="auto"/>
          <w:kern w:val="0"/>
          <w:sz w:val="24"/>
          <w:highlight w:val="none"/>
        </w:rPr>
        <w:t>综合诚信评价得分即</w:t>
      </w:r>
      <w:r>
        <w:rPr>
          <w:rFonts w:hint="eastAsia" w:ascii="宋体" w:hAnsi="宋体"/>
          <w:strike/>
          <w:dstrike w:val="0"/>
          <w:color w:val="auto"/>
          <w:sz w:val="24"/>
          <w:highlight w:val="none"/>
        </w:rPr>
        <w:t>企业</w:t>
      </w:r>
      <w:r>
        <w:rPr>
          <w:rFonts w:hint="eastAsia" w:ascii="宋体" w:hAnsi="宋体" w:cs="宋体"/>
          <w:strike/>
          <w:dstrike w:val="0"/>
          <w:color w:val="auto"/>
          <w:kern w:val="0"/>
          <w:sz w:val="24"/>
          <w:highlight w:val="none"/>
        </w:rPr>
        <w:t>综合诚信评价</w:t>
      </w:r>
      <w:r>
        <w:rPr>
          <w:rFonts w:ascii="宋体" w:hAnsi="宋体" w:cs="宋体"/>
          <w:strike/>
          <w:dstrike w:val="0"/>
          <w:color w:val="auto"/>
          <w:kern w:val="0"/>
          <w:sz w:val="24"/>
          <w:highlight w:val="none"/>
        </w:rPr>
        <w:t>60</w:t>
      </w:r>
      <w:r>
        <w:rPr>
          <w:rFonts w:hint="eastAsia" w:ascii="宋体" w:hAnsi="宋体" w:cs="宋体"/>
          <w:strike/>
          <w:dstrike w:val="0"/>
          <w:color w:val="auto"/>
          <w:kern w:val="0"/>
          <w:sz w:val="24"/>
          <w:highlight w:val="none"/>
        </w:rPr>
        <w:t>日诚信分，以下同。</w:t>
      </w:r>
    </w:p>
    <w:p>
      <w:pPr>
        <w:pStyle w:val="6"/>
        <w:rPr>
          <w:color w:val="auto"/>
          <w:highlight w:val="none"/>
        </w:rPr>
      </w:pPr>
      <w:bookmarkStart w:id="6" w:name="_Toc21525491"/>
      <w:bookmarkStart w:id="7" w:name="_Toc2272547"/>
      <w:r>
        <w:rPr>
          <w:rFonts w:hint="eastAsia"/>
          <w:color w:val="auto"/>
          <w:highlight w:val="none"/>
        </w:rPr>
        <w:t>二、投标须知修改表</w:t>
      </w:r>
      <w:bookmarkEnd w:id="6"/>
      <w:bookmarkEnd w:id="7"/>
    </w:p>
    <w:p>
      <w:pPr>
        <w:pStyle w:val="5"/>
        <w:spacing w:line="360" w:lineRule="auto"/>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b/>
          <w:color w:val="auto"/>
          <w:szCs w:val="21"/>
          <w:highlight w:val="none"/>
        </w:rPr>
        <w:t>http://www.gzcc.gov.cn/</w:t>
      </w:r>
      <w:r>
        <w:rPr>
          <w:rFonts w:hint="eastAsia"/>
          <w:b/>
          <w:color w:val="auto"/>
          <w:szCs w:val="21"/>
          <w:highlight w:val="none"/>
        </w:rPr>
        <w:t>）下载查阅。</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2.5</w:t>
      </w:r>
      <w:r>
        <w:rPr>
          <w:b/>
          <w:color w:val="auto"/>
          <w:szCs w:val="21"/>
          <w:highlight w:val="none"/>
        </w:rPr>
        <w:t xml:space="preserve">             </w:t>
      </w:r>
      <w:r>
        <w:rPr>
          <w:rFonts w:hint="eastAsia"/>
          <w:b/>
          <w:color w:val="auto"/>
          <w:szCs w:val="21"/>
          <w:highlight w:val="none"/>
        </w:rPr>
        <w:t>修改类型：增加</w:t>
      </w:r>
    </w:p>
    <w:p>
      <w:pPr>
        <w:pBdr>
          <w:bottom w:val="single" w:color="auto" w:sz="6" w:space="1"/>
        </w:pBdr>
        <w:spacing w:line="480" w:lineRule="auto"/>
        <w:ind w:firstLine="472" w:firstLineChars="224"/>
        <w:rPr>
          <w:b/>
          <w:color w:val="auto"/>
          <w:szCs w:val="21"/>
          <w:highlight w:val="none"/>
        </w:rPr>
      </w:pPr>
      <w:r>
        <w:rPr>
          <w:rFonts w:hint="eastAsia"/>
          <w:b/>
          <w:color w:val="auto"/>
          <w:szCs w:val="21"/>
          <w:highlight w:val="none"/>
        </w:rPr>
        <w:t>现文：</w:t>
      </w:r>
      <w:r>
        <w:rPr>
          <w:rFonts w:hint="eastAsia" w:ascii="宋体" w:hAnsi="宋体" w:cs="宋体"/>
          <w:b/>
          <w:color w:val="auto"/>
          <w:szCs w:val="21"/>
          <w:highlight w:val="none"/>
          <w:u w:val="single"/>
        </w:rPr>
        <w:t>2.5</w:t>
      </w:r>
      <w:r>
        <w:rPr>
          <w:rFonts w:hint="eastAsia" w:ascii="宋体" w:hAnsi="宋体" w:cs="宋体"/>
          <w:color w:val="auto"/>
          <w:szCs w:val="21"/>
          <w:highlight w:val="none"/>
          <w:u w:val="single"/>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5.1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bCs/>
          <w:color w:val="auto"/>
          <w:sz w:val="24"/>
          <w:highlight w:val="none"/>
          <w:u w:val="single"/>
        </w:rPr>
      </w:pPr>
      <w:r>
        <w:rPr>
          <w:rFonts w:hint="eastAsia"/>
          <w:b/>
          <w:color w:val="auto"/>
          <w:szCs w:val="21"/>
          <w:highlight w:val="none"/>
        </w:rPr>
        <w:t>原文：</w:t>
      </w:r>
      <w:r>
        <w:rPr>
          <w:rFonts w:hint="eastAsia" w:ascii="宋体" w:hAnsi="宋体" w:cs="宋体"/>
          <w:color w:val="auto"/>
          <w:szCs w:val="21"/>
          <w:highlight w:val="none"/>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7.1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7.1本招标文件包括下列文件，以及所有按本须知第8条发出的招标答疑会会议纪要和按本须知第9条发出的澄清或修改：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投标须知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  开标、评标及定标办法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合同条款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投标文件格式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  技术条件（工程建设标准）（另册）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图纸及勘察资料（另册）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招标工程量清单（另册）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第八章  最高投标限价</w:t>
      </w:r>
    </w:p>
    <w:p>
      <w:pP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5"/>
        <w:spacing w:after="0" w:line="360" w:lineRule="auto"/>
        <w:ind w:left="-2"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 xml:space="preserve">第一章  </w:t>
      </w:r>
      <w:r>
        <w:rPr>
          <w:rFonts w:hint="eastAsia" w:ascii="宋体" w:hAnsi="宋体" w:cs="宋体"/>
          <w:color w:val="auto"/>
          <w:sz w:val="21"/>
          <w:szCs w:val="21"/>
          <w:highlight w:val="none"/>
        </w:rPr>
        <w:t>投标须知</w:t>
      </w:r>
    </w:p>
    <w:p>
      <w:pPr>
        <w:pStyle w:val="5"/>
        <w:spacing w:after="0" w:line="360" w:lineRule="auto"/>
        <w:ind w:left="-2"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 xml:space="preserve">第二章  </w:t>
      </w:r>
      <w:r>
        <w:rPr>
          <w:rFonts w:hint="eastAsia" w:ascii="宋体" w:hAnsi="宋体" w:cs="宋体"/>
          <w:color w:val="auto"/>
          <w:sz w:val="21"/>
          <w:szCs w:val="21"/>
          <w:highlight w:val="none"/>
        </w:rPr>
        <w:t>开标、评标及定标办法</w:t>
      </w:r>
    </w:p>
    <w:p>
      <w:pPr>
        <w:pStyle w:val="5"/>
        <w:spacing w:after="0" w:line="360" w:lineRule="auto"/>
        <w:ind w:left="-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第三章  合同条款</w:t>
      </w:r>
    </w:p>
    <w:p>
      <w:pPr>
        <w:pStyle w:val="5"/>
        <w:spacing w:after="0" w:line="360" w:lineRule="auto"/>
        <w:ind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 xml:space="preserve">第四章  </w:t>
      </w:r>
      <w:r>
        <w:rPr>
          <w:rFonts w:hint="eastAsia" w:ascii="宋体" w:hAnsi="宋体" w:cs="宋体"/>
          <w:color w:val="auto"/>
          <w:sz w:val="21"/>
          <w:szCs w:val="21"/>
          <w:highlight w:val="none"/>
        </w:rPr>
        <w:t>投标文件格式</w:t>
      </w:r>
    </w:p>
    <w:p>
      <w:pPr>
        <w:pStyle w:val="5"/>
        <w:spacing w:after="0" w:line="360" w:lineRule="auto"/>
        <w:ind w:left="-2" w:firstLineChars="200"/>
        <w:rPr>
          <w:rFonts w:hint="eastAsia" w:ascii="宋体" w:hAnsi="宋体" w:cs="宋体"/>
          <w:color w:val="auto"/>
          <w:sz w:val="21"/>
          <w:szCs w:val="21"/>
          <w:highlight w:val="none"/>
          <w:u w:val="single"/>
        </w:rPr>
      </w:pPr>
      <w:r>
        <w:rPr>
          <w:rFonts w:hint="eastAsia" w:ascii="宋体" w:hAnsi="宋体" w:cs="宋体"/>
          <w:bCs/>
          <w:color w:val="auto"/>
          <w:sz w:val="21"/>
          <w:szCs w:val="21"/>
          <w:highlight w:val="none"/>
          <w:u w:val="single"/>
        </w:rPr>
        <w:t xml:space="preserve">第五章  </w:t>
      </w:r>
      <w:r>
        <w:rPr>
          <w:rFonts w:hint="eastAsia" w:ascii="宋体" w:hAnsi="宋体" w:cs="宋体"/>
          <w:color w:val="auto"/>
          <w:sz w:val="21"/>
          <w:szCs w:val="21"/>
          <w:highlight w:val="none"/>
          <w:u w:val="single"/>
        </w:rPr>
        <w:t>技术条件（工程建设标准）</w:t>
      </w:r>
    </w:p>
    <w:p>
      <w:pPr>
        <w:pStyle w:val="5"/>
        <w:spacing w:after="0" w:line="360" w:lineRule="auto"/>
        <w:ind w:left="-2"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 xml:space="preserve">第六章  </w:t>
      </w:r>
      <w:r>
        <w:rPr>
          <w:rFonts w:hint="eastAsia" w:ascii="宋体" w:hAnsi="宋体" w:cs="宋体"/>
          <w:color w:val="auto"/>
          <w:sz w:val="21"/>
          <w:szCs w:val="21"/>
          <w:highlight w:val="none"/>
        </w:rPr>
        <w:t>图纸及勘察资料（另册）</w:t>
      </w:r>
    </w:p>
    <w:p>
      <w:pPr>
        <w:pStyle w:val="5"/>
        <w:spacing w:after="0" w:line="360" w:lineRule="auto"/>
        <w:ind w:left="-2"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第七章  招标</w:t>
      </w:r>
      <w:r>
        <w:rPr>
          <w:rFonts w:hint="eastAsia" w:ascii="宋体" w:hAnsi="宋体" w:cs="宋体"/>
          <w:color w:val="auto"/>
          <w:sz w:val="21"/>
          <w:szCs w:val="21"/>
          <w:highlight w:val="none"/>
        </w:rPr>
        <w:t xml:space="preserve">工程量清单（另册） </w:t>
      </w:r>
    </w:p>
    <w:p>
      <w:pPr>
        <w:pBdr>
          <w:bottom w:val="single" w:color="auto" w:sz="6" w:space="1"/>
        </w:pBdr>
        <w:spacing w:line="360" w:lineRule="auto"/>
        <w:ind w:firstLine="420" w:firstLineChars="200"/>
        <w:rPr>
          <w:color w:val="auto"/>
          <w:highlight w:val="none"/>
        </w:rPr>
      </w:pPr>
      <w:r>
        <w:rPr>
          <w:rFonts w:hint="eastAsia" w:ascii="宋体" w:hAnsi="宋体" w:cs="宋体"/>
          <w:color w:val="auto"/>
          <w:szCs w:val="21"/>
          <w:highlight w:val="none"/>
        </w:rPr>
        <w:t>第八章  最高投标限价</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u w:val="none"/>
        </w:rPr>
      </w:pPr>
      <w:r>
        <w:rPr>
          <w:rFonts w:hint="eastAsia"/>
          <w:b/>
          <w:color w:val="auto"/>
          <w:szCs w:val="21"/>
          <w:highlight w:val="none"/>
        </w:rPr>
        <w:t>原文：</w:t>
      </w:r>
      <w:r>
        <w:rPr>
          <w:rFonts w:hint="eastAsia" w:ascii="宋体" w:hAnsi="宋体" w:cs="宋体"/>
          <w:color w:val="auto"/>
          <w:szCs w:val="21"/>
          <w:highlight w:val="none"/>
          <w:u w:val="none"/>
        </w:rPr>
        <w:t>8.1 投标人若对招标文件（包括招标图纸）中有疑问，可以书面形式通过        交易平台提交给招标人或招标代理人，提交形式见本须知前附表第16项。</w:t>
      </w:r>
    </w:p>
    <w:p>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b/>
          <w:color w:val="auto"/>
          <w:szCs w:val="21"/>
          <w:highlight w:val="none"/>
        </w:rPr>
        <w:t>现文：</w:t>
      </w:r>
      <w:r>
        <w:rPr>
          <w:rFonts w:hint="eastAsia" w:ascii="宋体" w:hAnsi="宋体" w:cs="宋体"/>
          <w:color w:val="auto"/>
          <w:szCs w:val="21"/>
          <w:highlight w:val="none"/>
        </w:rPr>
        <w:t>8.1</w:t>
      </w:r>
      <w:r>
        <w:rPr>
          <w:rFonts w:hint="eastAsia" w:ascii="宋体" w:hAnsi="宋体" w:cs="宋体"/>
          <w:color w:val="auto"/>
          <w:szCs w:val="21"/>
          <w:highlight w:val="none"/>
          <w:u w:val="single"/>
        </w:rPr>
        <w:t>招标答疑采用网上答疑方式进行。投标人若对招标文件（包括招标图纸、清单、招标控制价、合同条款）有疑问的，可在规定的时间内通过广州公共资源交易中心网站进入提问区域将问题提交给招标人或招标代理人，提交问题时一律不得署名。网上答疑的操作指南为：投标人登录交易中心数字交易平台，进入“我是投标人（供应商）”-&gt;“我的投标”-&gt;“招标答疑提问”查询项目并提问，具体操作方法详见《房建市政全流程电子化项目操作专章》。</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8.2</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b/>
          <w:color w:val="auto"/>
          <w:szCs w:val="21"/>
          <w:highlight w:val="none"/>
        </w:rPr>
        <w:t>原文：</w:t>
      </w:r>
      <w:r>
        <w:rPr>
          <w:rFonts w:hint="eastAsia" w:ascii="宋体" w:hAnsi="宋体" w:eastAsia="宋体" w:cs="宋体"/>
          <w:color w:val="auto"/>
          <w:kern w:val="2"/>
          <w:sz w:val="21"/>
          <w:szCs w:val="21"/>
          <w:highlight w:val="none"/>
          <w:lang w:val="en-US" w:eastAsia="zh-CN" w:bidi="ar-SA"/>
        </w:rPr>
        <w:t>8.2招标答疑会会议纪要将在提交投标文件截止时间15日前在</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交易平台 “项目答疑纪要”专区公开发布。答疑纪要一经在</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交易平台发布，视作已发放给所有投标人。</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8.2招标答疑会会议纪要将在提交投标文件截止时间15日前</w:t>
      </w:r>
      <w:r>
        <w:rPr>
          <w:rFonts w:hint="eastAsia" w:ascii="宋体" w:hAnsi="宋体" w:cs="宋体"/>
          <w:color w:val="auto"/>
          <w:szCs w:val="21"/>
          <w:highlight w:val="none"/>
          <w:u w:val="single"/>
        </w:rPr>
        <w:t>在广州公共资源交易中心网站“项目答疑纪要”专区公开发布。答疑纪要一经在广州公共资源交易中心网站发布，视作已发放给所有投标人。</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8.4</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广州公共资源交易中心交易平台</w:t>
      </w:r>
      <w:r>
        <w:rPr>
          <w:rFonts w:hint="eastAsia" w:ascii="宋体" w:hAnsi="宋体" w:cs="宋体"/>
          <w:color w:val="auto"/>
          <w:szCs w:val="21"/>
          <w:highlight w:val="none"/>
        </w:rPr>
        <w:t>最后发布的答疑纪要为准。</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9.2</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eastAsia="宋体" w:cs="宋体"/>
          <w:color w:val="auto"/>
          <w:kern w:val="2"/>
          <w:sz w:val="21"/>
          <w:szCs w:val="21"/>
          <w:highlight w:val="none"/>
          <w:lang w:val="en-US" w:eastAsia="zh-CN" w:bidi="ar-SA"/>
        </w:rPr>
        <w:t>9.2招标文件的澄清或修改将在</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交易平台“项目答疑纪要”专区公开发布。答疑</w:t>
      </w:r>
      <w:r>
        <w:rPr>
          <w:rFonts w:hint="eastAsia" w:ascii="宋体" w:hAnsi="宋体" w:cs="宋体"/>
          <w:color w:val="auto"/>
          <w:szCs w:val="21"/>
          <w:highlight w:val="none"/>
          <w:lang w:val="en-US" w:eastAsia="zh-CN"/>
        </w:rPr>
        <w:t>纪要</w:t>
      </w:r>
      <w:r>
        <w:rPr>
          <w:rFonts w:hint="eastAsia" w:ascii="宋体" w:hAnsi="宋体" w:eastAsia="宋体" w:cs="宋体"/>
          <w:color w:val="auto"/>
          <w:kern w:val="2"/>
          <w:sz w:val="21"/>
          <w:szCs w:val="21"/>
          <w:highlight w:val="none"/>
          <w:lang w:val="en-US" w:eastAsia="zh-CN" w:bidi="ar-SA"/>
        </w:rPr>
        <w:t>一经在</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交易平台发布，视作已发放给所有投标人，以</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交易平台上网发布时间作为送达时间。</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“项目答疑纪要”专区公开发布。答疑纪要一经在</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发布，视作已发放给所有投标人，以</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发布时间作为送达时间。</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9.4</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9.4招标文件的澄清或修改</w:t>
      </w:r>
      <w:r>
        <w:rPr>
          <w:rFonts w:hint="eastAsia" w:ascii="宋体" w:hAnsi="宋体" w:cs="宋体"/>
          <w:color w:val="auto"/>
          <w:szCs w:val="21"/>
          <w:highlight w:val="none"/>
          <w:u w:val="single"/>
        </w:rPr>
        <w:t>在广州公共资源交易中心网站“项目答疑纪要”专区公开发布</w:t>
      </w:r>
      <w:r>
        <w:rPr>
          <w:rFonts w:hint="eastAsia" w:ascii="宋体" w:hAnsi="宋体" w:cs="宋体"/>
          <w:color w:val="auto"/>
          <w:szCs w:val="21"/>
          <w:highlight w:val="none"/>
        </w:rPr>
        <w:t>。当招标文件的澄清、修改、补充等在同一内容的表述不一致时，以</w:t>
      </w:r>
      <w:r>
        <w:rPr>
          <w:rFonts w:hint="eastAsia" w:ascii="宋体" w:hAnsi="宋体" w:cs="宋体"/>
          <w:color w:val="auto"/>
          <w:szCs w:val="21"/>
          <w:highlight w:val="none"/>
          <w:u w:val="single"/>
        </w:rPr>
        <w:t>广州公共资源交易中心交易平台</w:t>
      </w:r>
      <w:r>
        <w:rPr>
          <w:rFonts w:hint="eastAsia" w:ascii="宋体" w:hAnsi="宋体" w:cs="宋体"/>
          <w:color w:val="auto"/>
          <w:szCs w:val="21"/>
          <w:highlight w:val="none"/>
        </w:rPr>
        <w:t>最后发布的内容为准。</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Cs/>
          <w:color w:val="auto"/>
          <w:szCs w:val="21"/>
          <w:highlight w:val="none"/>
        </w:rPr>
        <w:t>11.2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11.2投标文件技术标部分主要包括下列内容: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（1）投标人声明；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（8）拟委托技术负责人的相关证书、资料（具体要求由招标人明确）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（9）拟委派项目负责人的建造师注册证书或小型项目负责人相关证明（取自平台内上传件）；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（10）项目负责人安全培训考核合格证明或在有效期内的安全考核合格证书（B类）或建筑施工企业项目负责人安全生产考核合格证书（取自平台内上传件）；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w:t>
      </w:r>
      <w:r>
        <w:rPr>
          <w:rFonts w:hint="eastAsia" w:ascii="宋体" w:hAnsi="宋体" w:cs="宋体"/>
          <w:color w:val="auto"/>
          <w:szCs w:val="21"/>
          <w:highlight w:val="none"/>
          <w:lang w:eastAsia="zh-CN"/>
        </w:rPr>
        <w:t>信用</w:t>
      </w:r>
      <w:r>
        <w:rPr>
          <w:rFonts w:hint="eastAsia" w:ascii="宋体" w:hAnsi="宋体" w:cs="宋体"/>
          <w:color w:val="auto"/>
          <w:szCs w:val="21"/>
          <w:highlight w:val="none"/>
        </w:rPr>
        <w:t>档案，拟担任本工程项目负责人、专职安全员须是本企业信用档案中的在册人员。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（14）列明主办单位的联合体工作协议（采用联合体投标时需递交，投标人拟任本工程项目负责人应为联合体主办方</w:t>
      </w:r>
      <w:r>
        <w:rPr>
          <w:rFonts w:hint="eastAsia" w:ascii="宋体" w:hAnsi="宋体" w:cs="宋体"/>
          <w:color w:val="auto"/>
          <w:szCs w:val="21"/>
          <w:highlight w:val="none"/>
          <w:lang w:eastAsia="zh-CN"/>
        </w:rPr>
        <w:t>信用</w:t>
      </w:r>
      <w:r>
        <w:rPr>
          <w:rFonts w:hint="eastAsia" w:ascii="宋体" w:hAnsi="宋体" w:cs="宋体"/>
          <w:color w:val="auto"/>
          <w:szCs w:val="21"/>
          <w:highlight w:val="none"/>
        </w:rPr>
        <w:t xml:space="preserve">档案中的在册人员，联合体工作协议应明确约定各方拟承担的工作和责任）；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（3）其他辅助说明资料。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11.2.5施工组织设计或施工方案。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11.2.6按照招标文件要求填写的《参与编制技术标投标文件人员名单》。</w:t>
      </w:r>
    </w:p>
    <w:p>
      <w:pPr>
        <w:spacing w:line="360" w:lineRule="auto"/>
        <w:ind w:firstLine="422" w:firstLineChars="200"/>
        <w:rPr>
          <w:rFonts w:hint="eastAsia" w:ascii="宋体" w:hAnsi="宋体" w:cs="宋体"/>
          <w:bCs/>
          <w:color w:val="auto"/>
          <w:szCs w:val="21"/>
          <w:highlight w:val="none"/>
        </w:rPr>
      </w:pPr>
      <w:r>
        <w:rPr>
          <w:rFonts w:hint="eastAsia"/>
          <w:b/>
          <w:color w:val="auto"/>
          <w:szCs w:val="21"/>
          <w:highlight w:val="none"/>
        </w:rPr>
        <w:t>现文：</w:t>
      </w:r>
      <w:r>
        <w:rPr>
          <w:rFonts w:hint="eastAsia" w:ascii="宋体" w:hAnsi="宋体" w:cs="宋体"/>
          <w:bCs/>
          <w:color w:val="auto"/>
          <w:szCs w:val="21"/>
          <w:highlight w:val="none"/>
        </w:rPr>
        <w:t>11.2投标文件技术标部分主要包括下列内容: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11.2.1 </w:t>
      </w:r>
      <w:r>
        <w:rPr>
          <w:rFonts w:hint="eastAsia" w:ascii="宋体" w:hAnsi="宋体" w:cs="宋体"/>
          <w:bCs/>
          <w:color w:val="auto"/>
          <w:szCs w:val="21"/>
          <w:highlight w:val="none"/>
          <w:u w:val="single"/>
        </w:rPr>
        <w:t>技术标投标书</w:t>
      </w:r>
      <w:r>
        <w:rPr>
          <w:rFonts w:hint="eastAsia" w:ascii="宋体" w:hAnsi="宋体" w:cs="宋体"/>
          <w:bCs/>
          <w:color w:val="auto"/>
          <w:szCs w:val="21"/>
          <w:highlight w:val="none"/>
        </w:rPr>
        <w:t>(按招标文件</w:t>
      </w:r>
      <w:r>
        <w:rPr>
          <w:rFonts w:hint="eastAsia" w:ascii="宋体" w:hAnsi="宋体" w:cs="宋体"/>
          <w:bCs/>
          <w:color w:val="auto"/>
          <w:szCs w:val="21"/>
          <w:highlight w:val="none"/>
          <w:u w:val="single"/>
        </w:rPr>
        <w:t>第四章附件一</w:t>
      </w:r>
      <w:r>
        <w:rPr>
          <w:rFonts w:hint="eastAsia" w:ascii="宋体" w:hAnsi="宋体" w:cs="宋体"/>
          <w:bCs/>
          <w:color w:val="auto"/>
          <w:szCs w:val="21"/>
          <w:highlight w:val="none"/>
        </w:rPr>
        <w:t>的要求填写)；</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（须按本工程招标公告附件</w:t>
      </w:r>
      <w:r>
        <w:rPr>
          <w:rFonts w:hint="eastAsia" w:ascii="宋体" w:hAnsi="宋体" w:cs="宋体"/>
          <w:bCs/>
          <w:color w:val="auto"/>
          <w:szCs w:val="21"/>
          <w:highlight w:val="none"/>
          <w:u w:val="single"/>
          <w:lang w:eastAsia="zh-CN"/>
        </w:rPr>
        <w:t>一</w:t>
      </w:r>
      <w:r>
        <w:rPr>
          <w:rFonts w:hint="eastAsia" w:ascii="宋体" w:hAnsi="宋体" w:cs="宋体"/>
          <w:bCs/>
          <w:color w:val="auto"/>
          <w:szCs w:val="21"/>
          <w:highlight w:val="none"/>
          <w:u w:val="single"/>
        </w:rPr>
        <w:t>格式）</w:t>
      </w:r>
      <w:r>
        <w:rPr>
          <w:rFonts w:hint="eastAsia" w:ascii="宋体" w:hAnsi="宋体" w:cs="宋体"/>
          <w:bCs/>
          <w:color w:val="auto"/>
          <w:szCs w:val="21"/>
          <w:highlight w:val="none"/>
        </w:rPr>
        <w:t xml:space="preserve">；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（3）企业营业执照（</w:t>
      </w:r>
      <w:r>
        <w:rPr>
          <w:rFonts w:hint="eastAsia" w:ascii="宋体" w:hAnsi="宋体" w:cs="宋体"/>
          <w:bCs/>
          <w:color w:val="auto"/>
          <w:szCs w:val="21"/>
          <w:highlight w:val="none"/>
          <w:lang w:eastAsia="zh-CN"/>
        </w:rPr>
        <w:t>提供证书扫描件</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（4）企业资质证书（</w:t>
      </w:r>
      <w:r>
        <w:rPr>
          <w:rFonts w:hint="eastAsia" w:ascii="宋体" w:hAnsi="宋体" w:cs="宋体"/>
          <w:bCs/>
          <w:color w:val="auto"/>
          <w:szCs w:val="21"/>
          <w:highlight w:val="none"/>
          <w:lang w:eastAsia="zh-CN"/>
        </w:rPr>
        <w:t>提供证书扫描件</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（5）建筑施工企业安全生产许可证（</w:t>
      </w:r>
      <w:r>
        <w:rPr>
          <w:rFonts w:hint="eastAsia" w:ascii="宋体" w:hAnsi="宋体" w:cs="宋体"/>
          <w:bCs/>
          <w:color w:val="auto"/>
          <w:szCs w:val="21"/>
          <w:highlight w:val="none"/>
          <w:lang w:eastAsia="zh-CN"/>
        </w:rPr>
        <w:t>提供证书扫描件</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（8）拟委托技术负责人的</w:t>
      </w:r>
      <w:r>
        <w:rPr>
          <w:rFonts w:hint="eastAsia" w:ascii="宋体" w:hAnsi="宋体" w:cs="宋体"/>
          <w:bCs/>
          <w:color w:val="auto"/>
          <w:szCs w:val="21"/>
          <w:highlight w:val="none"/>
          <w:u w:val="single"/>
        </w:rPr>
        <w:t>职称证书；</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（9）拟委派项目负责人</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u w:val="single"/>
        </w:rPr>
        <w:t>建造师注册证书</w:t>
      </w:r>
      <w:r>
        <w:rPr>
          <w:rFonts w:hint="eastAsia" w:ascii="宋体" w:hAnsi="宋体" w:cs="宋体"/>
          <w:bCs/>
          <w:color w:val="auto"/>
          <w:szCs w:val="21"/>
          <w:highlight w:val="none"/>
        </w:rPr>
        <w:t xml:space="preserve">（提供证书扫描件）；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（10）项目负责人安全培训考核合格证明或在有效期内的安全考核合格证书（B类）或建筑施工企业项目负责人安全生产考核合格证书（提供证书扫描件）；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hint="eastAsia" w:ascii="宋体" w:hAnsi="宋体" w:eastAsia="宋体" w:cs="宋体"/>
          <w:bCs/>
          <w:color w:val="auto"/>
          <w:szCs w:val="21"/>
          <w:highlight w:val="none"/>
        </w:rPr>
        <w:t>专职安全员须具有</w:t>
      </w:r>
      <w:r>
        <w:rPr>
          <w:rFonts w:hint="eastAsia" w:ascii="宋体" w:hAnsi="宋体" w:cs="宋体"/>
          <w:bCs/>
          <w:color w:val="auto"/>
          <w:szCs w:val="21"/>
          <w:highlight w:val="none"/>
        </w:rPr>
        <w:t>在有效期内</w:t>
      </w:r>
      <w:r>
        <w:rPr>
          <w:rFonts w:hint="eastAsia" w:ascii="宋体" w:hAnsi="宋体" w:cs="宋体"/>
          <w:bCs/>
          <w:color w:val="auto"/>
          <w:szCs w:val="21"/>
          <w:highlight w:val="none"/>
          <w:lang w:eastAsia="zh-CN"/>
        </w:rPr>
        <w:t>的</w:t>
      </w:r>
      <w:r>
        <w:rPr>
          <w:rFonts w:hint="eastAsia" w:ascii="宋体" w:hAnsi="宋体" w:eastAsia="宋体" w:cs="宋体"/>
          <w:bCs/>
          <w:color w:val="auto"/>
          <w:szCs w:val="21"/>
          <w:highlight w:val="none"/>
        </w:rPr>
        <w:t>安全生产考核合格证（C类）或建筑施工企业专职安全生产管理人员安全生产考核合格证书（C3）（</w:t>
      </w:r>
      <w:r>
        <w:rPr>
          <w:rFonts w:hint="eastAsia" w:ascii="宋体" w:hAnsi="宋体" w:cs="宋体"/>
          <w:bCs/>
          <w:color w:val="auto"/>
          <w:szCs w:val="21"/>
          <w:highlight w:val="none"/>
        </w:rPr>
        <w:t>提供证书扫描件</w:t>
      </w:r>
      <w:r>
        <w:rPr>
          <w:rFonts w:hint="eastAsia" w:ascii="宋体" w:hAnsi="宋体" w:eastAsia="宋体" w:cs="宋体"/>
          <w:bCs/>
          <w:color w:val="auto"/>
          <w:szCs w:val="21"/>
          <w:highlight w:val="none"/>
        </w:rPr>
        <w:t>）</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auto"/>
          <w:szCs w:val="21"/>
          <w:highlight w:val="none"/>
        </w:rPr>
        <w:t>（12）投标登记前，投标人须在广州公共资源交易中心办理企业信息登记</w:t>
      </w:r>
      <w:r>
        <w:rPr>
          <w:rFonts w:hint="eastAsia" w:ascii="宋体" w:hAnsi="宋体" w:cs="宋体"/>
          <w:bCs/>
          <w:color w:val="000000" w:themeColor="text1"/>
          <w:szCs w:val="21"/>
          <w:highlight w:val="none"/>
          <w14:textFill>
            <w14:solidFill>
              <w14:schemeClr w14:val="tx1"/>
            </w14:solidFill>
          </w14:textFill>
        </w:rPr>
        <w:t>及拟担任本工程项目负责人、专职安全员须是本企业信息登记信息中的在册人员。企业信息取自投标截止时间投标人在广州公共资源交易中心企业库内登记的信息，投标人无需提交相关资料，若招标人延长递交投标文件截止时间的，企业信息的评审时点也相应延长。（企业信息登记办理详见《施工类企业信息登记办事指引》，网址：http://ggzy.gz.gov.cn/qyxxd1/508420.jhtml）</w:t>
      </w:r>
    </w:p>
    <w:p>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11.2.3《施工</w:t>
      </w:r>
      <w:r>
        <w:rPr>
          <w:rFonts w:hint="eastAsia" w:ascii="宋体" w:hAnsi="宋体" w:cs="宋体"/>
          <w:bCs/>
          <w:color w:val="auto"/>
          <w:szCs w:val="21"/>
          <w:highlight w:val="none"/>
          <w:u w:val="single"/>
          <w:lang w:val="zh-CN"/>
        </w:rPr>
        <w:t>项目管理团队人员信息表</w:t>
      </w:r>
      <w:r>
        <w:rPr>
          <w:rFonts w:hint="eastAsia" w:ascii="宋体" w:hAnsi="宋体" w:cs="宋体"/>
          <w:bCs/>
          <w:color w:val="auto"/>
          <w:szCs w:val="21"/>
          <w:highlight w:val="none"/>
          <w:u w:val="single"/>
        </w:rPr>
        <w:t>》（格式见第四章）</w:t>
      </w:r>
      <w:r>
        <w:rPr>
          <w:rFonts w:hint="eastAsia" w:ascii="宋体" w:hAnsi="宋体" w:cs="宋体"/>
          <w:bCs/>
          <w:color w:val="auto"/>
          <w:szCs w:val="21"/>
          <w:highlight w:val="none"/>
          <w:u w:val="single"/>
          <w:lang w:val="zh-CN"/>
        </w:rPr>
        <w:t>。</w:t>
      </w:r>
    </w:p>
    <w:p>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lang w:val="zh-CN"/>
        </w:rPr>
        <w:t>11.2.4企业技术标得分证明材料</w:t>
      </w:r>
      <w:r>
        <w:rPr>
          <w:rFonts w:hint="eastAsia" w:ascii="宋体" w:hAnsi="宋体" w:cs="宋体"/>
          <w:bCs/>
          <w:color w:val="auto"/>
          <w:sz w:val="21"/>
          <w:szCs w:val="21"/>
          <w:highlight w:val="none"/>
          <w:u w:val="single"/>
          <w:lang w:val="zh-CN"/>
        </w:rPr>
        <w:t>（按《技术标详细审查评分表》要求提交，格式见第四章，无规定格式要求的，格式自拟）</w:t>
      </w:r>
      <w:r>
        <w:rPr>
          <w:rFonts w:hint="eastAsia" w:ascii="宋体" w:hAnsi="宋体" w:cs="宋体"/>
          <w:bCs/>
          <w:color w:val="auto"/>
          <w:szCs w:val="21"/>
          <w:highlight w:val="none"/>
          <w:u w:val="single"/>
        </w:rPr>
        <w:t>。</w:t>
      </w:r>
    </w:p>
    <w:p>
      <w:pPr>
        <w:pBdr>
          <w:bottom w:val="single" w:color="auto" w:sz="6" w:space="1"/>
        </w:pBdr>
        <w:spacing w:line="520" w:lineRule="exact"/>
        <w:ind w:firstLine="420" w:firstLineChars="200"/>
        <w:rPr>
          <w:rFonts w:hint="eastAsia" w:ascii="宋体" w:hAnsi="宋体" w:cs="宋体"/>
          <w:bCs/>
          <w:color w:val="auto"/>
          <w:szCs w:val="21"/>
          <w:highlight w:val="none"/>
          <w:u w:val="single"/>
          <w:lang w:val="en-US" w:eastAsia="zh-CN"/>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《响应招标文件所附施工组织设计要点的承诺书》（格式见第四章）。</w:t>
      </w:r>
    </w:p>
    <w:p>
      <w:pPr>
        <w:pBdr>
          <w:bottom w:val="single" w:color="auto" w:sz="6" w:space="1"/>
        </w:pBdr>
        <w:spacing w:line="520" w:lineRule="exact"/>
        <w:ind w:firstLine="420" w:firstLineChars="200"/>
        <w:rPr>
          <w:rFonts w:hint="eastAsia" w:ascii="宋体" w:hAnsi="宋体" w:cs="宋体"/>
          <w:bCs/>
          <w:color w:val="auto"/>
          <w:szCs w:val="21"/>
          <w:highlight w:val="none"/>
          <w:u w:val="single"/>
        </w:rPr>
      </w:pPr>
      <w:r>
        <w:rPr>
          <w:rFonts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按照招标文件要求填写的《参与编制技术标投标文件人员名单》（格式见第四章）。</w:t>
      </w:r>
    </w:p>
    <w:p>
      <w:pPr>
        <w:pBdr>
          <w:bottom w:val="single" w:color="auto" w:sz="6" w:space="1"/>
        </w:pBdr>
        <w:spacing w:line="520" w:lineRule="exact"/>
        <w:ind w:firstLine="420" w:firstLineChars="200"/>
        <w:rPr>
          <w:rFonts w:hint="eastAsia" w:ascii="宋体" w:hAnsi="宋体" w:cs="宋体"/>
          <w:bCs/>
          <w:color w:val="auto"/>
          <w:szCs w:val="21"/>
          <w:highlight w:val="none"/>
          <w:u w:val="single"/>
        </w:rPr>
      </w:pPr>
      <w:r>
        <w:rPr>
          <w:rFonts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7</w:t>
      </w:r>
      <w:r>
        <w:rPr>
          <w:rFonts w:ascii="宋体" w:hAnsi="宋体" w:cs="宋体"/>
          <w:bCs/>
          <w:color w:val="auto"/>
          <w:szCs w:val="21"/>
          <w:highlight w:val="none"/>
          <w:u w:val="single"/>
        </w:rPr>
        <w:t>投标保证金缴纳证明资料</w:t>
      </w:r>
      <w:r>
        <w:rPr>
          <w:rFonts w:hint="eastAsia" w:ascii="宋体" w:hAnsi="宋体" w:cs="宋体"/>
          <w:bCs/>
          <w:color w:val="auto"/>
          <w:szCs w:val="21"/>
          <w:highlight w:val="none"/>
          <w:u w:val="single"/>
        </w:rPr>
        <w:t>（递交至广州公共资源交易中心的，到账情况以开标时广州公共资源交易中心数据库查询的信息为准，可不需提供相关</w:t>
      </w:r>
      <w:r>
        <w:rPr>
          <w:rFonts w:ascii="宋体" w:hAnsi="宋体" w:cs="宋体"/>
          <w:bCs/>
          <w:color w:val="auto"/>
          <w:szCs w:val="21"/>
          <w:highlight w:val="none"/>
          <w:u w:val="single"/>
        </w:rPr>
        <w:t>缴纳证明资料</w:t>
      </w:r>
      <w:r>
        <w:rPr>
          <w:rFonts w:hint="eastAsia" w:ascii="宋体" w:hAnsi="宋体" w:cs="宋体"/>
          <w:bCs/>
          <w:color w:val="auto"/>
          <w:szCs w:val="21"/>
          <w:highlight w:val="none"/>
          <w:u w:val="single"/>
        </w:rPr>
        <w:t>）；或按招标文件要求提交符合免予提供投标保证金的相关证明材料</w:t>
      </w:r>
      <w:r>
        <w:rPr>
          <w:rFonts w:ascii="宋体" w:hAnsi="宋体" w:cs="宋体"/>
          <w:bCs/>
          <w:color w:val="auto"/>
          <w:szCs w:val="21"/>
          <w:highlight w:val="none"/>
          <w:u w:val="single"/>
        </w:rPr>
        <w:t>。</w:t>
      </w:r>
    </w:p>
    <w:p>
      <w:pPr>
        <w:pBdr>
          <w:bottom w:val="single" w:color="auto" w:sz="6" w:space="1"/>
        </w:pBdr>
        <w:spacing w:line="520" w:lineRule="exact"/>
        <w:ind w:firstLine="420" w:firstLineChars="200"/>
        <w:rPr>
          <w:rFonts w:hint="eastAsia" w:ascii="宋体" w:hAnsi="宋体" w:cs="宋体"/>
          <w:bCs/>
          <w:color w:val="auto"/>
          <w:szCs w:val="21"/>
          <w:highlight w:val="none"/>
        </w:rPr>
      </w:pPr>
      <w:r>
        <w:rPr>
          <w:rFonts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8</w:t>
      </w:r>
      <w:r>
        <w:rPr>
          <w:rFonts w:ascii="宋体" w:hAnsi="宋体" w:cs="宋体"/>
          <w:bCs/>
          <w:color w:val="auto"/>
          <w:szCs w:val="21"/>
          <w:highlight w:val="none"/>
          <w:u w:val="single"/>
        </w:rPr>
        <w:t>投标人认为应提供的其他资料。</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11.3.1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hint="eastAsia" w:ascii="宋体" w:hAnsi="宋体" w:cs="宋体"/>
          <w:bCs/>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11.3.1 经济投标文件(按招标文件的要求填写)。</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 xml:space="preserve">11.3.1 </w:t>
      </w:r>
      <w:r>
        <w:rPr>
          <w:rFonts w:hint="eastAsia" w:ascii="宋体" w:hAnsi="宋体" w:cs="宋体"/>
          <w:color w:val="auto"/>
          <w:szCs w:val="21"/>
          <w:highlight w:val="none"/>
          <w:u w:val="single"/>
        </w:rPr>
        <w:t>经济标投标书</w:t>
      </w:r>
      <w:r>
        <w:rPr>
          <w:rFonts w:hint="eastAsia" w:ascii="宋体" w:hAnsi="宋体" w:cs="宋体"/>
          <w:color w:val="auto"/>
          <w:szCs w:val="21"/>
          <w:highlight w:val="none"/>
        </w:rPr>
        <w:t>(按招标文件</w:t>
      </w:r>
      <w:r>
        <w:rPr>
          <w:rFonts w:hint="eastAsia" w:ascii="宋体" w:hAnsi="宋体" w:cs="宋体"/>
          <w:bCs/>
          <w:color w:val="auto"/>
          <w:szCs w:val="21"/>
          <w:highlight w:val="none"/>
          <w:u w:val="single"/>
        </w:rPr>
        <w:t>第四章附件一</w:t>
      </w:r>
      <w:r>
        <w:rPr>
          <w:rFonts w:hint="eastAsia" w:ascii="宋体" w:hAnsi="宋体" w:cs="宋体"/>
          <w:color w:val="auto"/>
          <w:szCs w:val="21"/>
          <w:highlight w:val="none"/>
        </w:rPr>
        <w:t>的要求填写)。</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
          <w:color w:val="auto"/>
          <w:highlight w:val="none"/>
        </w:rPr>
        <w:t>11.3.2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hint="eastAsia" w:ascii="宋体" w:hAnsi="宋体" w:cs="宋体"/>
          <w:bCs/>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（1）投标总价封面、扉页；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（3）工程项目投标报价汇总表；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（4）单项工程投标报价汇总表；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（5）单位工程投标报价汇总表；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（6）分部分项工程清单与计价表；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（7）单价措施项目清单与计价表；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（8）总价措施项目清单与计价表；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（9）综合单价分析表；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（10）其他项目清单与计价汇总表；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（11）暂列金额明细表；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（12）材料（工程设备）暂估价明细表；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（13）专业工程暂估价明细表；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（14）计日工表；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（15）总承包服务计价表；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（16）规费和税金项目计价表；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（17）人工、主要材料和设备一览表</w:t>
      </w:r>
    </w:p>
    <w:p>
      <w:pP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cs="宋体"/>
          <w:bCs/>
          <w:color w:val="auto"/>
          <w:szCs w:val="21"/>
          <w:highlight w:val="none"/>
        </w:rPr>
        <w:t>11.3.2</w:t>
      </w:r>
      <w:r>
        <w:rPr>
          <w:rFonts w:hint="eastAsia" w:ascii="宋体" w:hAnsi="宋体" w:cs="宋体"/>
          <w:color w:val="auto"/>
          <w:szCs w:val="21"/>
          <w:highlight w:val="none"/>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（1）投标总价封面、扉页；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（2）总说明</w:t>
      </w:r>
    </w:p>
    <w:p>
      <w:pPr>
        <w:pBdr>
          <w:bottom w:val="single" w:color="auto" w:sz="6" w:space="1"/>
        </w:pBdr>
        <w:spacing w:line="360" w:lineRule="auto"/>
        <w:ind w:firstLine="470" w:firstLineChars="224"/>
        <w:rPr>
          <w:color w:val="auto"/>
          <w:highlight w:val="none"/>
        </w:rPr>
      </w:pPr>
      <w:r>
        <w:rPr>
          <w:rFonts w:hint="eastAsia" w:ascii="宋体" w:hAnsi="宋体" w:cs="宋体"/>
          <w:color w:val="auto"/>
          <w:szCs w:val="21"/>
          <w:highlight w:val="none"/>
          <w:u w:val="single"/>
        </w:rPr>
        <w:t>（3）</w:t>
      </w:r>
      <w:r>
        <w:rPr>
          <w:rFonts w:hint="default" w:ascii="Calibri" w:hAnsi="Calibri"/>
          <w:color w:val="auto"/>
          <w:szCs w:val="22"/>
          <w:highlight w:val="none"/>
          <w:u w:val="single"/>
        </w:rPr>
        <w:t>工程量</w:t>
      </w:r>
      <w:r>
        <w:rPr>
          <w:rFonts w:hint="eastAsia" w:ascii="宋体" w:hAnsi="宋体"/>
          <w:color w:val="auto"/>
          <w:szCs w:val="21"/>
          <w:highlight w:val="none"/>
          <w:u w:val="single"/>
        </w:rPr>
        <w:t>清单报价表及综合单价分析表（相关表格的内容及格式要求以招标人发出的最新版电子招标文件中的相应内容及格式为准）</w:t>
      </w:r>
      <w:r>
        <w:rPr>
          <w:rFonts w:hint="eastAsia" w:ascii="宋体" w:hAnsi="宋体" w:cs="宋体"/>
          <w:color w:val="auto"/>
          <w:szCs w:val="21"/>
          <w:highlight w:val="none"/>
          <w:u w:val="single"/>
        </w:rPr>
        <w:t>。</w:t>
      </w:r>
    </w:p>
    <w:p>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s="宋体"/>
          <w:b/>
          <w:color w:val="auto"/>
          <w:szCs w:val="21"/>
          <w:highlight w:val="none"/>
        </w:rPr>
        <w:t>11.3.5</w:t>
      </w:r>
      <w:r>
        <w:rPr>
          <w:b/>
          <w:color w:val="auto"/>
          <w:szCs w:val="21"/>
          <w:highlight w:val="none"/>
        </w:rPr>
        <w:t xml:space="preserve">             </w:t>
      </w:r>
      <w:r>
        <w:rPr>
          <w:rFonts w:hint="eastAsia"/>
          <w:b/>
          <w:color w:val="auto"/>
          <w:szCs w:val="21"/>
          <w:highlight w:val="none"/>
        </w:rPr>
        <w:t>修改类型：增加</w:t>
      </w:r>
    </w:p>
    <w:p>
      <w:pPr>
        <w:pBdr>
          <w:bottom w:val="single" w:color="auto" w:sz="6" w:space="1"/>
        </w:pBdr>
        <w:spacing w:line="480" w:lineRule="auto"/>
        <w:ind w:firstLine="472" w:firstLineChars="224"/>
        <w:rPr>
          <w:b/>
          <w:color w:val="auto"/>
          <w:szCs w:val="21"/>
          <w:highlight w:val="none"/>
        </w:rPr>
      </w:pPr>
      <w:r>
        <w:rPr>
          <w:rFonts w:hint="eastAsia"/>
          <w:b/>
          <w:color w:val="auto"/>
          <w:szCs w:val="21"/>
          <w:highlight w:val="none"/>
        </w:rPr>
        <w:t>现文：</w:t>
      </w:r>
      <w:r>
        <w:rPr>
          <w:rFonts w:ascii="宋体" w:hAnsi="宋体" w:cs="宋体"/>
          <w:color w:val="auto"/>
          <w:szCs w:val="21"/>
          <w:highlight w:val="none"/>
        </w:rPr>
        <w:t>11.3.5</w:t>
      </w:r>
      <w:r>
        <w:rPr>
          <w:rFonts w:hint="eastAsia" w:ascii="宋体" w:hAnsi="宋体" w:cs="宋体"/>
          <w:color w:val="auto"/>
          <w:sz w:val="21"/>
          <w:szCs w:val="21"/>
          <w:highlight w:val="none"/>
          <w:u w:val="single"/>
        </w:rPr>
        <w:t>《对投标文件编制的承诺》及《投标文件编制情况》（格式见第四章）</w:t>
      </w:r>
      <w:r>
        <w:rPr>
          <w:rFonts w:hint="eastAsia" w:ascii="宋体" w:hAnsi="宋体" w:cs="宋体"/>
          <w:color w:val="auto"/>
          <w:szCs w:val="21"/>
          <w:highlight w:val="none"/>
          <w:u w:val="singl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kern w:val="0"/>
          <w:szCs w:val="21"/>
          <w:highlight w:val="none"/>
        </w:rPr>
        <w:t>12.2、12.3</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 w:val="21"/>
          <w:szCs w:val="21"/>
          <w:highlight w:val="none"/>
          <w:u w:val="single"/>
        </w:rPr>
        <w:t>1</w:t>
      </w:r>
      <w:r>
        <w:rPr>
          <w:rFonts w:hint="eastAsia" w:ascii="宋体" w:hAnsi="宋体" w:eastAsia="宋体" w:cs="宋体"/>
          <w:color w:val="auto"/>
          <w:kern w:val="2"/>
          <w:sz w:val="21"/>
          <w:szCs w:val="21"/>
          <w:highlight w:val="none"/>
          <w:lang w:val="en-US" w:eastAsia="zh-CN" w:bidi="ar-SA"/>
        </w:rPr>
        <w:t>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rPr>
        <w:t>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b/>
          <w:color w:val="auto"/>
          <w:szCs w:val="21"/>
          <w:highlight w:val="none"/>
        </w:rPr>
      </w:pPr>
      <w:r>
        <w:rPr>
          <w:rFonts w:hint="eastAsia" w:ascii="宋体" w:hAnsi="宋体" w:cs="宋体"/>
          <w:color w:val="auto"/>
          <w:szCs w:val="21"/>
          <w:highlight w:val="none"/>
        </w:rPr>
        <w:t>12.3 投标文件应按照交易平台关于全流程电子化项目的相关指南进行编制，详见：</w:t>
      </w:r>
      <w:r>
        <w:rPr>
          <w:rFonts w:hint="eastAsia" w:ascii="宋体" w:hAnsi="宋体" w:cs="宋体"/>
          <w:color w:val="auto"/>
          <w:szCs w:val="21"/>
          <w:highlight w:val="none"/>
          <w:u w:val="single"/>
        </w:rPr>
        <w:t xml:space="preserve">            </w:t>
      </w:r>
      <w:r>
        <w:rPr>
          <w:rFonts w:hint="eastAsia"/>
          <w:b/>
          <w:color w:val="auto"/>
          <w:szCs w:val="21"/>
          <w:highlight w:val="none"/>
        </w:rPr>
        <w:t xml:space="preserve">。    </w:t>
      </w:r>
    </w:p>
    <w:p>
      <w:pPr>
        <w:pStyle w:val="5"/>
        <w:spacing w:after="0" w:line="360" w:lineRule="auto"/>
        <w:ind w:firstLine="422" w:firstLineChars="200"/>
        <w:jc w:val="left"/>
        <w:rPr>
          <w:rFonts w:hint="eastAsia" w:ascii="宋体" w:hAnsi="宋体" w:cs="宋体"/>
          <w:color w:val="auto"/>
          <w:sz w:val="21"/>
          <w:szCs w:val="21"/>
          <w:highlight w:val="none"/>
        </w:rPr>
      </w:pPr>
      <w:r>
        <w:rPr>
          <w:rFonts w:hint="eastAsia"/>
          <w:b/>
          <w:color w:val="auto"/>
          <w:szCs w:val="21"/>
          <w:highlight w:val="none"/>
        </w:rPr>
        <w:t>现文：</w:t>
      </w:r>
      <w:r>
        <w:rPr>
          <w:rFonts w:hint="eastAsia" w:ascii="宋体" w:hAnsi="宋体" w:cs="宋体"/>
          <w:color w:val="auto"/>
          <w:sz w:val="21"/>
          <w:szCs w:val="21"/>
          <w:highlight w:val="none"/>
          <w:u w:val="single"/>
        </w:rPr>
        <w:t>1</w:t>
      </w:r>
      <w:r>
        <w:rPr>
          <w:rFonts w:hint="eastAsia" w:ascii="宋体" w:hAnsi="宋体" w:eastAsia="宋体" w:cs="宋体"/>
          <w:color w:val="auto"/>
          <w:kern w:val="2"/>
          <w:sz w:val="21"/>
          <w:szCs w:val="21"/>
          <w:highlight w:val="none"/>
          <w:lang w:val="en-US" w:eastAsia="zh-CN" w:bidi="ar-SA"/>
        </w:rPr>
        <w:t>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 w:val="21"/>
          <w:szCs w:val="21"/>
          <w:highlight w:val="none"/>
          <w:u w:val="single"/>
        </w:rPr>
        <w:t>详见：广州公共资源交易中心网站。</w:t>
      </w:r>
    </w:p>
    <w:p>
      <w:pPr>
        <w:pBdr>
          <w:bottom w:val="single" w:color="auto" w:sz="6" w:space="1"/>
        </w:pBdr>
        <w:spacing w:line="360" w:lineRule="auto"/>
        <w:ind w:firstLine="525" w:firstLineChars="250"/>
        <w:rPr>
          <w:color w:val="auto"/>
          <w:highlight w:val="none"/>
        </w:rPr>
      </w:pP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13.1</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eastAsia="宋体" w:cs="宋体"/>
          <w:color w:val="auto"/>
          <w:kern w:val="2"/>
          <w:sz w:val="21"/>
          <w:szCs w:val="21"/>
          <w:highlight w:val="none"/>
          <w:lang w:val="en-US" w:eastAsia="zh-CN" w:bidi="ar-SA"/>
        </w:rPr>
        <w:t>13.1 本工程的投标报价采用投标须知前附表第12项所规定的方式。投标报价（含单价及总价）精确到“分”。</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13.1本工程的投标报价采用投标须知前附表第12项所规定的方式。投标报价（含单价及总价）精确到“分”。</w:t>
      </w:r>
      <w:r>
        <w:rPr>
          <w:rFonts w:hint="eastAsia" w:ascii="宋体" w:hAnsi="宋体" w:cs="宋体"/>
          <w:color w:val="auto"/>
          <w:szCs w:val="21"/>
          <w:highlight w:val="none"/>
          <w:u w:val="single"/>
        </w:rPr>
        <w:t>投标文件中的大写金额和小写金额不一致的，以大写金额为准。</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 xml:space="preserve">13.4 </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hint="eastAsia" w:ascii="宋体" w:hAnsi="宋体" w:eastAsia="宋体" w:cs="宋体"/>
          <w:color w:val="auto"/>
          <w:kern w:val="2"/>
          <w:sz w:val="21"/>
          <w:szCs w:val="21"/>
          <w:highlight w:val="none"/>
          <w:lang w:val="en-US" w:eastAsia="zh-CN" w:bidi="ar-SA"/>
        </w:rPr>
      </w:pPr>
      <w:r>
        <w:rPr>
          <w:rFonts w:hint="eastAsia"/>
          <w:b/>
          <w:color w:val="auto"/>
          <w:szCs w:val="21"/>
          <w:highlight w:val="none"/>
        </w:rPr>
        <w:t>原文：</w:t>
      </w:r>
      <w:r>
        <w:rPr>
          <w:rFonts w:hint="eastAsia" w:ascii="宋体" w:hAnsi="宋体" w:eastAsia="宋体" w:cs="宋体"/>
          <w:color w:val="auto"/>
          <w:kern w:val="2"/>
          <w:sz w:val="21"/>
          <w:szCs w:val="21"/>
          <w:highlight w:val="none"/>
          <w:lang w:val="en-US" w:eastAsia="zh-CN" w:bidi="ar-SA"/>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13.4</w:t>
      </w:r>
      <w:r>
        <w:rPr>
          <w:rFonts w:hint="eastAsia" w:ascii="宋体" w:hAnsi="宋体" w:cs="宋体"/>
          <w:color w:val="auto"/>
          <w:szCs w:val="21"/>
          <w:highlight w:val="none"/>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机械台班价格波动涨跌幅度超过合同基准期（指递交投标文件截止日期前28天）价格的5%和人工涨跌变化影响合同价款时，应根据合同约定，按《建设工程工程量清单计价规范》（GB5500-2013）调整合同价款。人工、主要材料（设备）按广州市增城区住房和</w:t>
      </w:r>
      <w:r>
        <w:rPr>
          <w:rFonts w:hint="eastAsia" w:ascii="宋体" w:hAnsi="宋体" w:cs="宋体"/>
          <w:bCs/>
          <w:color w:val="auto"/>
          <w:szCs w:val="21"/>
          <w:highlight w:val="none"/>
          <w:u w:val="single"/>
        </w:rPr>
        <w:t>城乡</w:t>
      </w:r>
      <w:r>
        <w:rPr>
          <w:rFonts w:hint="eastAsia" w:ascii="宋体" w:hAnsi="宋体" w:cs="宋体"/>
          <w:color w:val="auto"/>
          <w:szCs w:val="21"/>
          <w:highlight w:val="none"/>
          <w:u w:val="single"/>
        </w:rPr>
        <w:t>建设局施工同期《建设工程地方材料综合价格》、广州市造价管理站施工同期《广州地区建设工程材料综合价格》调整。</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13.5.1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13.5.1中标的投标文件工程量清单中已有相同项目的适用综合单价，则沿用</w:t>
      </w:r>
      <w:r>
        <w:rPr>
          <w:rFonts w:hint="eastAsia" w:ascii="宋体" w:hAnsi="宋体"/>
          <w:color w:val="auto"/>
          <w:sz w:val="24"/>
          <w:highlight w:val="none"/>
        </w:rPr>
        <w:t>；</w:t>
      </w:r>
    </w:p>
    <w:p>
      <w:pPr>
        <w:pBdr>
          <w:bottom w:val="single" w:color="auto" w:sz="6" w:space="1"/>
        </w:pBdr>
        <w:spacing w:line="360" w:lineRule="auto"/>
        <w:ind w:firstLine="417" w:firstLineChars="198"/>
        <w:rPr>
          <w:color w:val="auto"/>
          <w:highlight w:val="none"/>
        </w:rPr>
      </w:pPr>
      <w:r>
        <w:rPr>
          <w:rFonts w:hint="eastAsia"/>
          <w:b/>
          <w:color w:val="auto"/>
          <w:szCs w:val="21"/>
          <w:highlight w:val="none"/>
        </w:rPr>
        <w:t>现文：</w:t>
      </w:r>
      <w:r>
        <w:rPr>
          <w:rFonts w:hint="eastAsia" w:ascii="宋体" w:hAnsi="宋体" w:cs="宋体"/>
          <w:color w:val="auto"/>
          <w:szCs w:val="21"/>
          <w:highlight w:val="none"/>
          <w:u w:val="single"/>
        </w:rPr>
        <w:t>13.5.1中标的投标文件工程量清单中已有相同项目的,该项目的综合单价若低于招标控制价相应项目综合单价,则沿用;若高于招标控制价相应项目综合单价,则按招标控制价相应项目的综合单价。</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13.5.2</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b/>
          <w:color w:val="auto"/>
          <w:szCs w:val="21"/>
          <w:highlight w:val="none"/>
        </w:rPr>
      </w:pPr>
      <w:r>
        <w:rPr>
          <w:rFonts w:hint="eastAsia"/>
          <w:b/>
          <w:color w:val="auto"/>
          <w:szCs w:val="21"/>
          <w:highlight w:val="none"/>
        </w:rPr>
        <w:t>原文：</w:t>
      </w:r>
      <w:r>
        <w:rPr>
          <w:rFonts w:hint="eastAsia" w:ascii="宋体" w:hAnsi="宋体" w:eastAsia="宋体" w:cs="宋体"/>
          <w:bCs/>
          <w:color w:val="auto"/>
          <w:kern w:val="2"/>
          <w:sz w:val="21"/>
          <w:szCs w:val="21"/>
          <w:highlight w:val="none"/>
          <w:lang w:val="en-US" w:eastAsia="zh-CN" w:bidi="ar-SA"/>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spacing w:line="440" w:lineRule="exact"/>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13.5.2</w:t>
      </w:r>
      <w:r>
        <w:rPr>
          <w:rFonts w:hint="eastAsia" w:ascii="宋体" w:hAnsi="宋体" w:cs="宋体"/>
          <w:bCs/>
          <w:color w:val="auto"/>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w:t>
      </w:r>
      <w:r>
        <w:rPr>
          <w:rFonts w:hint="eastAsia" w:ascii="宋体" w:hAnsi="宋体" w:cs="宋体"/>
          <w:bCs/>
          <w:color w:val="auto"/>
          <w:szCs w:val="21"/>
          <w:highlight w:val="none"/>
          <w:u w:val="single"/>
        </w:rPr>
        <w:t>按广州市增城区住房和城乡建设局同期《建设工程地方材料指导价格》计算；若增城区住房和城乡建设局同期《建设工程地方材料指导价格》没有的材料单价按广州市造价管理站同期《广州地区建设工程材料综合价格》计算；若上述两地区的建设工程材料指导价均没有的材料单价，凭监理单位及甲方确认的与市场价相符的有效发票的材料单价计算，并按中标浮动率下浮后作结算。</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条款号：16.4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16.4如有下列情况之一的，招标人可以不予退还投标保证金（是否退还投标保证金由招标人在招标文件中规定）：</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16.4如有下列情况之一的，招标人可以不予退还投标保证金</w:t>
      </w:r>
      <w:r>
        <w:rPr>
          <w:rFonts w:hint="eastAsia" w:ascii="宋体" w:hAnsi="宋体" w:cs="宋体"/>
          <w:strike/>
          <w:color w:val="auto"/>
          <w:szCs w:val="21"/>
          <w:highlight w:val="none"/>
        </w:rPr>
        <w:t>（是否退还投标保证金由招标人在招标文件中规定）</w:t>
      </w:r>
      <w:r>
        <w:rPr>
          <w:rFonts w:hint="eastAsia" w:ascii="宋体" w:hAnsi="宋体" w:cs="宋体"/>
          <w:color w:val="auto"/>
          <w:szCs w:val="21"/>
          <w:highlight w:val="none"/>
        </w:rPr>
        <w:t>：</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条款号：16.5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pBdr>
          <w:bottom w:val="single" w:color="auto" w:sz="6" w:space="1"/>
        </w:pBdr>
        <w:spacing w:line="360" w:lineRule="auto"/>
        <w:ind w:firstLine="527" w:firstLineChars="25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16.5投标人如存在下列情况之一的，将被拒绝在</w:t>
      </w:r>
      <w:r>
        <w:rPr>
          <w:rFonts w:hint="eastAsia" w:ascii="宋体" w:hAnsi="宋体" w:cs="宋体"/>
          <w:color w:val="auto"/>
          <w:szCs w:val="21"/>
          <w:highlight w:val="none"/>
          <w:lang w:val="en-US" w:eastAsia="zh-CN"/>
        </w:rPr>
        <w:t>半年</w:t>
      </w:r>
      <w:r>
        <w:rPr>
          <w:rFonts w:hint="eastAsia" w:ascii="宋体" w:hAnsi="宋体" w:cs="宋体"/>
          <w:color w:val="auto"/>
          <w:szCs w:val="21"/>
          <w:highlight w:val="none"/>
        </w:rPr>
        <w:t>内参与招标人后续工程投标（</w:t>
      </w:r>
      <w:r>
        <w:rPr>
          <w:rFonts w:hint="eastAsia" w:ascii="宋体" w:hAnsi="宋体" w:cs="宋体"/>
          <w:color w:val="auto"/>
          <w:szCs w:val="21"/>
          <w:highlight w:val="none"/>
          <w:u w:val="single"/>
        </w:rPr>
        <w:t>注：拒绝投标时限由招标人视严重程度确定，最低三个月起，自招标人发出通知之日起计</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条款号：16.5.3             修改类型：删除</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16.5.3按招标文件要求免于提供投标保证金的投标人存在16.4条款所列情形的。</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17.1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lang w:val="en-US" w:eastAsia="zh-CN"/>
        </w:rPr>
        <w:t>17.1</w:t>
      </w:r>
      <w:r>
        <w:rPr>
          <w:rFonts w:hint="eastAsia" w:ascii="宋体" w:hAnsi="宋体" w:cs="宋体"/>
          <w:bCs/>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Bdr>
          <w:bottom w:val="single" w:color="auto" w:sz="6" w:space="1"/>
        </w:pBdr>
        <w:spacing w:line="360" w:lineRule="auto"/>
        <w:ind w:firstLine="417" w:firstLineChars="198"/>
        <w:rPr>
          <w:color w:val="auto"/>
          <w:highlight w:val="none"/>
        </w:rPr>
      </w:pPr>
      <w:r>
        <w:rPr>
          <w:rFonts w:hint="eastAsia"/>
          <w:b/>
          <w:color w:val="auto"/>
          <w:szCs w:val="21"/>
          <w:highlight w:val="none"/>
        </w:rPr>
        <w:t>现文：</w:t>
      </w:r>
      <w:r>
        <w:rPr>
          <w:rFonts w:hint="eastAsia" w:ascii="宋体" w:hAnsi="宋体" w:cs="宋体"/>
          <w:bCs/>
          <w:color w:val="auto"/>
          <w:szCs w:val="21"/>
          <w:highlight w:val="none"/>
          <w:lang w:val="en-US" w:eastAsia="zh-CN"/>
        </w:rPr>
        <w:t>17.1</w:t>
      </w:r>
      <w:r>
        <w:rPr>
          <w:rFonts w:hint="eastAsia" w:ascii="宋体" w:hAnsi="宋体" w:cs="宋体"/>
          <w:bCs/>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rPr>
        <w:t>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18、19</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b/>
          <w:bCs/>
          <w:color w:val="auto"/>
          <w:sz w:val="24"/>
          <w:highlight w:val="none"/>
        </w:rPr>
      </w:pPr>
      <w:r>
        <w:rPr>
          <w:rFonts w:hint="eastAsia"/>
          <w:b/>
          <w:color w:val="auto"/>
          <w:szCs w:val="21"/>
          <w:highlight w:val="none"/>
        </w:rPr>
        <w:t>原文：</w:t>
      </w:r>
      <w:r>
        <w:rPr>
          <w:rFonts w:hint="eastAsia" w:ascii="宋体" w:hAnsi="宋体" w:cs="宋体"/>
          <w:b/>
          <w:color w:val="auto"/>
          <w:sz w:val="21"/>
          <w:szCs w:val="21"/>
          <w:highlight w:val="none"/>
        </w:rPr>
        <w:t>18．投标文件的密封和标记</w:t>
      </w:r>
    </w:p>
    <w:p>
      <w:pPr>
        <w:spacing w:line="360" w:lineRule="auto"/>
        <w:ind w:firstLine="420" w:firstLineChars="200"/>
        <w:rPr>
          <w:rFonts w:ascii="宋体"/>
          <w:bCs/>
          <w:color w:val="auto"/>
          <w:sz w:val="24"/>
          <w:highlight w:val="none"/>
        </w:rPr>
      </w:pPr>
      <w:r>
        <w:rPr>
          <w:rFonts w:hint="eastAsia" w:ascii="宋体" w:hAnsi="宋体" w:cs="宋体"/>
          <w:bCs/>
          <w:color w:val="auto"/>
          <w:szCs w:val="21"/>
          <w:highlight w:val="none"/>
        </w:rPr>
        <w:t>18.1递交的电子投标文件（不含备用光盘）必须进行加密。按照交易平台关于全流程电子化项目的相关指南进行操作。详见：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spacing w:line="360" w:lineRule="auto"/>
        <w:ind w:firstLine="420" w:firstLineChars="200"/>
        <w:rPr>
          <w:rFonts w:ascii="宋体"/>
          <w:bCs/>
          <w:color w:val="auto"/>
          <w:sz w:val="24"/>
          <w:highlight w:val="none"/>
        </w:rPr>
      </w:pPr>
      <w:r>
        <w:rPr>
          <w:rFonts w:hint="eastAsia" w:ascii="宋体" w:hAnsi="宋体" w:cs="宋体"/>
          <w:bCs/>
          <w:color w:val="auto"/>
          <w:szCs w:val="21"/>
          <w:highlight w:val="none"/>
        </w:rPr>
        <w:t>18.2 未按要求加密的投标文件，</w:t>
      </w:r>
      <w:r>
        <w:rPr>
          <w:color w:val="auto"/>
          <w:sz w:val="24"/>
          <w:szCs w:val="24"/>
          <w:highlight w:val="none"/>
          <w:u w:val="single"/>
        </w:rPr>
        <w:t xml:space="preserve">        </w:t>
      </w:r>
      <w:r>
        <w:rPr>
          <w:rFonts w:hint="eastAsia" w:ascii="宋体" w:hAnsi="宋体" w:cs="宋体"/>
          <w:bCs/>
          <w:color w:val="auto"/>
          <w:szCs w:val="21"/>
          <w:highlight w:val="none"/>
        </w:rPr>
        <w:t>交易平台将予以拒收。</w:t>
      </w:r>
    </w:p>
    <w:p>
      <w:pPr>
        <w:pStyle w:val="5"/>
        <w:spacing w:after="0"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19．投标文件的递交和接收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19.1投标人通过</w:t>
      </w:r>
      <w:r>
        <w:rPr>
          <w:color w:val="auto"/>
          <w:sz w:val="24"/>
          <w:szCs w:val="24"/>
          <w:highlight w:val="none"/>
          <w:u w:val="single"/>
        </w:rPr>
        <w:t xml:space="preserve">        </w:t>
      </w:r>
      <w:r>
        <w:rPr>
          <w:rFonts w:hint="eastAsia" w:ascii="宋体" w:hAnsi="宋体" w:cs="宋体"/>
          <w:bCs/>
          <w:color w:val="auto"/>
          <w:szCs w:val="21"/>
          <w:highlight w:val="none"/>
        </w:rPr>
        <w:t>交易平台递交电子投标文件。</w:t>
      </w:r>
    </w:p>
    <w:p>
      <w:pPr>
        <w:spacing w:line="360" w:lineRule="auto"/>
        <w:ind w:firstLine="420" w:firstLineChars="200"/>
        <w:rPr>
          <w:rFonts w:ascii="宋体"/>
          <w:bCs/>
          <w:color w:val="auto"/>
          <w:sz w:val="24"/>
          <w:highlight w:val="none"/>
        </w:rPr>
      </w:pPr>
      <w:r>
        <w:rPr>
          <w:rFonts w:hint="eastAsia" w:ascii="宋体" w:hAnsi="宋体" w:cs="宋体"/>
          <w:bCs/>
          <w:color w:val="auto"/>
          <w:szCs w:val="21"/>
          <w:highlight w:val="none"/>
        </w:rPr>
        <w:t>19.2投标人完成电子投标文件上传后，</w:t>
      </w:r>
      <w:r>
        <w:rPr>
          <w:color w:val="auto"/>
          <w:sz w:val="24"/>
          <w:szCs w:val="24"/>
          <w:highlight w:val="none"/>
          <w:u w:val="single"/>
        </w:rPr>
        <w:t xml:space="preserve">        </w:t>
      </w:r>
      <w:r>
        <w:rPr>
          <w:rFonts w:hint="eastAsia" w:ascii="宋体" w:hAnsi="宋体" w:cs="宋体"/>
          <w:bCs/>
          <w:color w:val="auto"/>
          <w:szCs w:val="21"/>
          <w:highlight w:val="none"/>
        </w:rPr>
        <w:t>交易平台即时向投标人发出递交回执通知。递交时间以递交回执通知载明的传输完成时间为准</w:t>
      </w:r>
      <w:r>
        <w:rPr>
          <w:rFonts w:hint="eastAsia" w:ascii="宋体" w:hAnsi="宋体"/>
          <w:color w:val="auto"/>
          <w:sz w:val="24"/>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bCs/>
          <w:color w:val="auto"/>
          <w:sz w:val="24"/>
          <w:highlight w:val="none"/>
        </w:rPr>
        <w:t>，</w:t>
      </w:r>
      <w:r>
        <w:rPr>
          <w:color w:val="auto"/>
          <w:sz w:val="24"/>
          <w:szCs w:val="24"/>
          <w:highlight w:val="none"/>
          <w:u w:val="single"/>
        </w:rPr>
        <w:t xml:space="preserve">        </w:t>
      </w:r>
      <w:r>
        <w:rPr>
          <w:rFonts w:hint="eastAsia" w:ascii="宋体" w:hAnsi="宋体" w:cs="宋体"/>
          <w:bCs/>
          <w:color w:val="auto"/>
          <w:szCs w:val="21"/>
          <w:highlight w:val="none"/>
        </w:rPr>
        <w:t>交易平台将予以拒收。</w:t>
      </w:r>
    </w:p>
    <w:p>
      <w:pPr>
        <w:spacing w:line="360" w:lineRule="auto"/>
        <w:ind w:firstLine="420" w:firstLineChars="200"/>
        <w:rPr>
          <w:rFonts w:ascii="宋体"/>
          <w:color w:val="auto"/>
          <w:sz w:val="24"/>
          <w:highlight w:val="none"/>
        </w:rPr>
      </w:pPr>
      <w:r>
        <w:rPr>
          <w:rFonts w:hint="eastAsia" w:ascii="宋体" w:hAnsi="宋体" w:cs="宋体"/>
          <w:bCs/>
          <w:color w:val="auto"/>
          <w:szCs w:val="21"/>
          <w:highlight w:val="none"/>
        </w:rPr>
        <w:t>19.4 投标截止前，招标人拒绝接收符合条件的投标文件，投标人可向招标投标监督机构投诉</w:t>
      </w:r>
      <w:r>
        <w:rPr>
          <w:rFonts w:hint="eastAsia"/>
          <w:color w:val="auto"/>
          <w:sz w:val="24"/>
          <w:szCs w:val="24"/>
          <w:highlight w:val="none"/>
        </w:rPr>
        <w:t>。</w:t>
      </w:r>
    </w:p>
    <w:p>
      <w:pPr>
        <w:spacing w:line="360" w:lineRule="auto"/>
        <w:ind w:firstLine="420" w:firstLineChars="200"/>
        <w:rPr>
          <w:rFonts w:ascii="宋体" w:hAnsi="宋体"/>
          <w:color w:val="auto"/>
          <w:sz w:val="24"/>
          <w:highlight w:val="none"/>
        </w:rPr>
      </w:pPr>
      <w:r>
        <w:rPr>
          <w:rFonts w:hint="eastAsia" w:ascii="宋体" w:hAnsi="宋体" w:cs="宋体"/>
          <w:bCs/>
          <w:color w:val="auto"/>
          <w:szCs w:val="21"/>
          <w:highlight w:val="none"/>
        </w:rPr>
        <w:t>19.5如技术标和经济标先后分别开启，</w:t>
      </w:r>
      <w:r>
        <w:rPr>
          <w:color w:val="auto"/>
          <w:sz w:val="24"/>
          <w:szCs w:val="24"/>
          <w:highlight w:val="none"/>
          <w:u w:val="single"/>
        </w:rPr>
        <w:t xml:space="preserve">        </w:t>
      </w:r>
      <w:r>
        <w:rPr>
          <w:rFonts w:hint="eastAsia" w:ascii="宋体" w:hAnsi="宋体" w:cs="宋体"/>
          <w:bCs/>
          <w:color w:val="auto"/>
          <w:szCs w:val="21"/>
          <w:highlight w:val="none"/>
        </w:rPr>
        <w:t>交易平台将按招标文件规定的时间分别开启技术标和经济标。</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5"/>
        <w:spacing w:after="0" w:line="360" w:lineRule="auto"/>
        <w:ind w:firstLine="422" w:firstLineChars="200"/>
        <w:rPr>
          <w:rFonts w:hint="eastAsia" w:ascii="宋体" w:hAnsi="宋体" w:cs="宋体"/>
          <w:b/>
          <w:bCs/>
          <w:color w:val="auto"/>
          <w:sz w:val="21"/>
          <w:szCs w:val="21"/>
          <w:highlight w:val="none"/>
        </w:rPr>
      </w:pPr>
      <w:r>
        <w:rPr>
          <w:rFonts w:hint="eastAsia"/>
          <w:b/>
          <w:color w:val="auto"/>
          <w:szCs w:val="21"/>
          <w:highlight w:val="none"/>
        </w:rPr>
        <w:t>现文：</w:t>
      </w: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交易平台递交电子投标文件。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 xml:space="preserve">广州公共资源交易中心 </w:t>
      </w:r>
      <w:r>
        <w:rPr>
          <w:rFonts w:hint="eastAsia" w:ascii="宋体" w:hAnsi="宋体" w:cs="宋体"/>
          <w:color w:val="auto"/>
          <w:szCs w:val="21"/>
          <w:highlight w:val="none"/>
        </w:rPr>
        <w:t>交易平台将予以拒收。</w:t>
      </w:r>
    </w:p>
    <w:p>
      <w:pPr>
        <w:pBdr>
          <w:bottom w:val="single" w:color="auto" w:sz="6" w:space="1"/>
        </w:pBdr>
        <w:spacing w:line="360" w:lineRule="auto"/>
        <w:ind w:firstLine="415" w:firstLineChars="198"/>
        <w:rPr>
          <w:color w:val="auto"/>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21.1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21.1 本须知前附表第17项规定的投标截止时间后送达的电子投标文件，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spacing w:line="360" w:lineRule="auto"/>
        <w:ind w:firstLine="417" w:firstLineChars="198"/>
        <w:rPr>
          <w:rFonts w:hint="eastAsia" w:eastAsia="宋体"/>
          <w:color w:val="auto"/>
          <w:highlight w:val="none"/>
          <w:lang w:eastAsia="zh-CN"/>
        </w:rPr>
      </w:pPr>
      <w:r>
        <w:rPr>
          <w:rFonts w:hint="eastAsia"/>
          <w:b/>
          <w:color w:val="auto"/>
          <w:szCs w:val="21"/>
          <w:highlight w:val="none"/>
        </w:rPr>
        <w:t>现文：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交易平台将予以拒收</w:t>
      </w:r>
      <w:r>
        <w:rPr>
          <w:rFonts w:hint="eastAsia" w:ascii="宋体" w:hAnsi="宋体" w:cs="宋体"/>
          <w:color w:val="auto"/>
          <w:szCs w:val="21"/>
          <w:highlight w:val="none"/>
          <w:lang w:eastAsia="zh-CN"/>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27.1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27.1招标人将在</w:t>
      </w:r>
      <w:r>
        <w:rPr>
          <w:color w:val="auto"/>
          <w:sz w:val="24"/>
          <w:szCs w:val="24"/>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kern w:val="0"/>
          <w:szCs w:val="21"/>
          <w:highlight w:val="none"/>
          <w:u w:val="single"/>
        </w:rPr>
        <w:t>广州公共资源交易中心交易平台、广东省招标投标监管网、广州市增城区人民政府门户网站（http://www.zc.gov.cn/）的“首页&gt;公开&gt;公共资源配置领域&gt;工程建设项目招投标”栏目等法定媒体网站发布</w:t>
      </w:r>
      <w:r>
        <w:rPr>
          <w:rFonts w:hint="eastAsia" w:ascii="宋体" w:hAnsi="宋体" w:cs="宋体"/>
          <w:color w:val="auto"/>
          <w:szCs w:val="21"/>
          <w:highlight w:val="none"/>
        </w:rPr>
        <w:t>公示中标候选人，公示期为三天。</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27.4</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27.4在产生中标候选人后，招标人将中标候选人的投标文件商务部分文件的所有内容（包括报价清单、人员、业绩、奖项等资料）在</w:t>
      </w:r>
      <w:r>
        <w:rPr>
          <w:color w:val="auto"/>
          <w:sz w:val="24"/>
          <w:szCs w:val="24"/>
          <w:highlight w:val="none"/>
          <w:u w:val="single"/>
        </w:rPr>
        <w:t xml:space="preserve">        </w:t>
      </w:r>
      <w:r>
        <w:rPr>
          <w:rFonts w:hint="eastAsia" w:ascii="宋体" w:hAnsi="宋体" w:cs="宋体"/>
          <w:color w:val="auto"/>
          <w:szCs w:val="21"/>
          <w:highlight w:val="none"/>
        </w:rPr>
        <w:t>交易平台和广东省招标投标监管网公开。</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kern w:val="0"/>
          <w:szCs w:val="21"/>
          <w:highlight w:val="none"/>
          <w:u w:val="single"/>
        </w:rPr>
        <w:t>广州公共资源交易中心</w:t>
      </w:r>
      <w:r>
        <w:rPr>
          <w:rFonts w:hint="eastAsia" w:ascii="宋体" w:hAnsi="宋体" w:cs="宋体"/>
          <w:color w:val="auto"/>
          <w:szCs w:val="21"/>
          <w:highlight w:val="none"/>
        </w:rPr>
        <w:t>交易平台。</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29.1</w:t>
      </w:r>
      <w:r>
        <w:rPr>
          <w:b/>
          <w:color w:val="auto"/>
          <w:szCs w:val="21"/>
          <w:highlight w:val="none"/>
        </w:rPr>
        <w:t xml:space="preserve">             </w:t>
      </w:r>
      <w:r>
        <w:rPr>
          <w:rFonts w:hint="eastAsia"/>
          <w:b/>
          <w:color w:val="auto"/>
          <w:szCs w:val="21"/>
          <w:highlight w:val="none"/>
        </w:rPr>
        <w:t>修改类型：修改</w:t>
      </w:r>
    </w:p>
    <w:p>
      <w:pPr>
        <w:snapToGrid w:val="0"/>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29.1 在收到中标通知书后的15日内，中标人应按本须知前附表第20项的规定向招标人提交履约担保。</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eastAsia="宋体" w:cs="宋体"/>
          <w:color w:val="auto"/>
          <w:szCs w:val="21"/>
          <w:highlight w:val="none"/>
          <w:u w:val="single"/>
        </w:rPr>
        <w:t>29.1 在</w:t>
      </w:r>
      <w:r>
        <w:rPr>
          <w:rFonts w:hint="eastAsia" w:ascii="宋体" w:hAnsi="宋体" w:eastAsia="宋体" w:cs="宋体"/>
          <w:color w:val="auto"/>
          <w:szCs w:val="21"/>
          <w:highlight w:val="none"/>
          <w:u w:val="single"/>
          <w:lang w:val="en-US" w:eastAsia="zh-CN"/>
        </w:rPr>
        <w:t>申请</w:t>
      </w:r>
      <w:r>
        <w:rPr>
          <w:rFonts w:hint="eastAsia" w:ascii="宋体" w:hAnsi="宋体" w:eastAsia="宋体" w:cs="宋体"/>
          <w:color w:val="auto"/>
          <w:szCs w:val="21"/>
          <w:highlight w:val="none"/>
          <w:u w:val="single"/>
          <w:lang w:eastAsia="zh-CN"/>
        </w:rPr>
        <w:t>支付预付款前</w:t>
      </w:r>
      <w:r>
        <w:rPr>
          <w:rFonts w:hint="eastAsia" w:ascii="宋体" w:hAnsi="宋体" w:eastAsia="宋体" w:cs="宋体"/>
          <w:color w:val="auto"/>
          <w:szCs w:val="21"/>
          <w:highlight w:val="none"/>
          <w:u w:val="single"/>
        </w:rPr>
        <w:t>，中标人应</w:t>
      </w:r>
      <w:r>
        <w:rPr>
          <w:rFonts w:hint="eastAsia" w:ascii="宋体" w:hAnsi="宋体" w:cs="宋体"/>
          <w:color w:val="auto"/>
          <w:szCs w:val="21"/>
          <w:highlight w:val="none"/>
          <w:u w:val="single"/>
        </w:rPr>
        <w:t>按本须知前附表第20项的规定向招标人提交履约担保。</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29.2</w:t>
      </w:r>
      <w:r>
        <w:rPr>
          <w:rFonts w:hint="eastAsia" w:ascii="宋体" w:hAnsi="宋体" w:cs="宋体"/>
          <w:b/>
          <w:color w:val="auto"/>
          <w:szCs w:val="21"/>
          <w:highlight w:val="none"/>
        </w:rPr>
        <w:t xml:space="preserve"> </w:t>
      </w:r>
      <w:r>
        <w:rPr>
          <w:b/>
          <w:color w:val="auto"/>
          <w:szCs w:val="21"/>
          <w:highlight w:val="none"/>
        </w:rPr>
        <w:t xml:space="preserve">             </w:t>
      </w:r>
      <w:r>
        <w:rPr>
          <w:rFonts w:hint="eastAsia"/>
          <w:b/>
          <w:color w:val="auto"/>
          <w:szCs w:val="21"/>
          <w:highlight w:val="none"/>
        </w:rPr>
        <w:t>修改类型：修改</w:t>
      </w:r>
    </w:p>
    <w:p>
      <w:pPr>
        <w:snapToGrid w:val="0"/>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29.2</w:t>
      </w:r>
      <w:r>
        <w:rPr>
          <w:rFonts w:hint="eastAsia" w:ascii="宋体" w:hAnsi="宋体" w:eastAsia="宋体" w:cs="宋体"/>
          <w:color w:val="auto"/>
          <w:szCs w:val="21"/>
          <w:highlight w:val="none"/>
          <w:u w:val="single"/>
          <w:lang w:val="en-US" w:eastAsia="zh-CN"/>
        </w:rPr>
        <w:t>在申请支付预付款前，中标人未按上款的规定提交履约担保，招标人将不予支付预付款</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30.1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30.1</w:t>
      </w:r>
      <w:r>
        <w:rPr>
          <w:b/>
          <w:color w:val="auto"/>
          <w:szCs w:val="21"/>
          <w:highlight w:val="none"/>
        </w:rPr>
        <w:t xml:space="preserve"> </w:t>
      </w:r>
      <w:r>
        <w:rPr>
          <w:rFonts w:hint="eastAsia" w:ascii="宋体" w:hAnsi="宋体" w:cs="宋体"/>
          <w:color w:val="auto"/>
          <w:szCs w:val="21"/>
          <w:highlight w:val="none"/>
          <w:u w:val="single"/>
        </w:rPr>
        <w:t>合同自发包人、承包人双方法定代表人或委托代理人签字并加盖公章之日起生效。</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条款号：31.1           修改类型：增加</w:t>
      </w:r>
    </w:p>
    <w:p>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31.1根据广州市政府相关文件的规定，向广州公共资源交易中心交纳交易服务费。</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33 </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hint="eastAsia" w:ascii="宋体" w:hAnsi="宋体" w:cs="宋体"/>
          <w:color w:val="auto"/>
          <w:kern w:val="0"/>
          <w:szCs w:val="21"/>
          <w:highlight w:val="none"/>
        </w:rPr>
      </w:pPr>
      <w:r>
        <w:rPr>
          <w:rFonts w:hint="eastAsia"/>
          <w:b/>
          <w:color w:val="auto"/>
          <w:szCs w:val="21"/>
          <w:highlight w:val="none"/>
        </w:rPr>
        <w:t>原文：</w:t>
      </w:r>
      <w:r>
        <w:rPr>
          <w:rFonts w:hint="eastAsia" w:ascii="宋体" w:hAnsi="宋体" w:cs="宋体"/>
          <w:color w:val="auto"/>
          <w:kern w:val="0"/>
          <w:szCs w:val="21"/>
          <w:highlight w:val="none"/>
        </w:rPr>
        <w:t>33. 投标人信誉的要求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存在下列情形之一的，招标人可以限制其投标（需在招标文件中明确评定方法）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（1）被住房城乡建设行政主管部门在全国建筑市场监管一体化工作平台列入建筑市场主体“黑名单”；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（2）被发改委、人力资源社会保障、质检总局等有关部门、单位在“信用中国”网站中列入联合惩戒失信黑名单。</w:t>
      </w:r>
    </w:p>
    <w:p>
      <w:pPr>
        <w:pBdr>
          <w:bottom w:val="single" w:color="auto" w:sz="6" w:space="1"/>
        </w:pBdr>
        <w:spacing w:line="360" w:lineRule="auto"/>
        <w:ind w:firstLine="422" w:firstLineChars="200"/>
        <w:rPr>
          <w:rFonts w:hint="eastAsia" w:ascii="宋体" w:hAnsi="宋体" w:cs="宋体"/>
          <w:color w:val="auto"/>
          <w:kern w:val="0"/>
          <w:szCs w:val="21"/>
          <w:highlight w:val="none"/>
        </w:rPr>
      </w:pPr>
      <w:r>
        <w:rPr>
          <w:rFonts w:hint="eastAsia"/>
          <w:b/>
          <w:color w:val="auto"/>
          <w:szCs w:val="21"/>
          <w:highlight w:val="none"/>
        </w:rPr>
        <w:t>现文：</w:t>
      </w:r>
      <w:r>
        <w:rPr>
          <w:rFonts w:hint="eastAsia" w:ascii="宋体" w:hAnsi="宋体" w:cs="宋体"/>
          <w:color w:val="auto"/>
          <w:kern w:val="0"/>
          <w:szCs w:val="21"/>
          <w:highlight w:val="none"/>
        </w:rPr>
        <w:t>33. 投标人信誉的要求</w:t>
      </w:r>
    </w:p>
    <w:p>
      <w:pPr>
        <w:pBdr>
          <w:bottom w:val="single" w:color="auto" w:sz="6" w:space="1"/>
        </w:pBd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存在下列情形之一的，招标人可以限制其投标</w:t>
      </w:r>
      <w:r>
        <w:rPr>
          <w:rFonts w:hint="eastAsia" w:ascii="宋体" w:hAnsi="宋体" w:cs="宋体"/>
          <w:color w:val="auto"/>
          <w:kern w:val="0"/>
          <w:szCs w:val="21"/>
          <w:highlight w:val="none"/>
          <w:u w:val="single"/>
        </w:rPr>
        <w:t>（根据招标公告《投标人声明（一）》评审）</w:t>
      </w:r>
      <w:r>
        <w:rPr>
          <w:rFonts w:hint="eastAsia" w:ascii="宋体" w:hAnsi="宋体" w:cs="宋体"/>
          <w:color w:val="auto"/>
          <w:kern w:val="0"/>
          <w:szCs w:val="21"/>
          <w:highlight w:val="none"/>
        </w:rPr>
        <w:t xml:space="preserve"> </w:t>
      </w:r>
    </w:p>
    <w:p>
      <w:pPr>
        <w:pBdr>
          <w:bottom w:val="single" w:color="auto" w:sz="6" w:space="1"/>
        </w:pBd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（1）被住房城乡建设行政主管部门在全国建筑市场监管一体化工作平台列入建筑市场主体“黑名单”；</w:t>
      </w:r>
    </w:p>
    <w:p>
      <w:pPr>
        <w:pBdr>
          <w:bottom w:val="single" w:color="auto" w:sz="6" w:space="1"/>
        </w:pBdr>
        <w:spacing w:line="360" w:lineRule="auto"/>
        <w:ind w:firstLine="420" w:firstLineChars="200"/>
        <w:rPr>
          <w:color w:val="auto"/>
          <w:highlight w:val="none"/>
        </w:rPr>
      </w:pPr>
      <w:r>
        <w:rPr>
          <w:rFonts w:hint="eastAsia" w:ascii="宋体" w:hAnsi="宋体" w:cs="宋体"/>
          <w:color w:val="auto"/>
          <w:kern w:val="0"/>
          <w:szCs w:val="21"/>
          <w:highlight w:val="none"/>
        </w:rPr>
        <w:t>（2）被发改委、人力资源社会保障、质检总局等有关部门、单位在“信用中国”网站中列入联合惩戒失信黑名单；</w:t>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6"/>
        <w:rPr>
          <w:color w:val="auto"/>
          <w:highlight w:val="none"/>
        </w:rPr>
      </w:pPr>
      <w:r>
        <w:rPr>
          <w:color w:val="auto"/>
          <w:highlight w:val="none"/>
        </w:rPr>
        <w:br w:type="page"/>
      </w:r>
      <w:bookmarkStart w:id="8" w:name="_Toc21525492"/>
      <w:bookmarkStart w:id="9" w:name="_Toc2272548"/>
      <w:r>
        <w:rPr>
          <w:rFonts w:hint="eastAsia"/>
          <w:color w:val="auto"/>
          <w:highlight w:val="none"/>
        </w:rPr>
        <w:t>三、投标须知通用条款</w:t>
      </w:r>
      <w:bookmarkEnd w:id="8"/>
      <w:bookmarkEnd w:id="9"/>
    </w:p>
    <w:p>
      <w:pPr>
        <w:pStyle w:val="7"/>
        <w:spacing w:before="156" w:after="156"/>
        <w:rPr>
          <w:color w:val="auto"/>
          <w:highlight w:val="none"/>
        </w:rPr>
      </w:pPr>
      <w:bookmarkStart w:id="10" w:name="_Toc2272549"/>
      <w:bookmarkStart w:id="11" w:name="_Toc21525493"/>
      <w:r>
        <w:rPr>
          <w:rFonts w:hint="eastAsia"/>
          <w:color w:val="auto"/>
          <w:highlight w:val="none"/>
        </w:rPr>
        <w:t>（一）总则</w:t>
      </w:r>
      <w:bookmarkEnd w:id="10"/>
      <w:bookmarkEnd w:id="11"/>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u w:val="single"/>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szCs w:val="24"/>
          <w:highlight w:val="none"/>
          <w:u w:val="single"/>
        </w:rPr>
      </w:pPr>
      <w:r>
        <w:rPr>
          <w:rFonts w:hint="eastAsia" w:ascii="宋体" w:hAnsi="宋体" w:cs="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 w:val="24"/>
          <w:szCs w:val="24"/>
          <w:highlight w:val="none"/>
          <w:u w:val="single"/>
        </w:rPr>
        <w:t>投标人不进行踏勘的，视为已熟知现场条件，自行承担相关风险</w:t>
      </w:r>
      <w:r>
        <w:rPr>
          <w:rFonts w:hint="eastAsia" w:ascii="宋体" w:hAnsi="宋体" w:cs="宋体"/>
          <w:color w:val="auto"/>
          <w:sz w:val="24"/>
          <w:szCs w:val="24"/>
          <w:highlight w:val="none"/>
        </w:rPr>
        <w:t>。一旦中标，这种考察即被认为其结果已在中标文件中得到充分反映。</w:t>
      </w:r>
      <w:r>
        <w:rPr>
          <w:rFonts w:hint="eastAsia" w:ascii="宋体" w:hAnsi="宋体" w:cs="宋体"/>
          <w:color w:val="auto"/>
          <w:sz w:val="24"/>
          <w:szCs w:val="24"/>
          <w:highlight w:val="none"/>
          <w:u w:val="single"/>
        </w:rPr>
        <w:t>招标人不受理因投标人缺乏对现场条件的了解或掌握而提出的任何索赔。</w:t>
      </w:r>
      <w:r>
        <w:rPr>
          <w:rFonts w:hint="eastAsia" w:ascii="宋体" w:hAnsi="宋体" w:cs="宋体"/>
          <w:color w:val="auto"/>
          <w:sz w:val="24"/>
          <w:szCs w:val="24"/>
          <w:highlight w:val="none"/>
        </w:rPr>
        <w:t>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7"/>
        <w:spacing w:before="156" w:after="156"/>
        <w:rPr>
          <w:color w:val="auto"/>
          <w:highlight w:val="none"/>
        </w:rPr>
      </w:pPr>
      <w:bookmarkStart w:id="12" w:name="_Toc2272550"/>
      <w:bookmarkStart w:id="13" w:name="_Toc21525494"/>
      <w:r>
        <w:rPr>
          <w:rFonts w:hint="eastAsia"/>
          <w:color w:val="auto"/>
          <w:highlight w:val="none"/>
        </w:rPr>
        <w:t>（二）招标文件</w:t>
      </w:r>
      <w:bookmarkEnd w:id="12"/>
      <w:bookmarkEnd w:id="13"/>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7.1</w:t>
      </w:r>
      <w:r>
        <w:rPr>
          <w:rFonts w:hint="eastAsia" w:ascii="宋体" w:hAnsi="宋体" w:eastAsia="宋体" w:cs="宋体"/>
          <w:color w:val="auto"/>
          <w:sz w:val="24"/>
          <w:szCs w:val="24"/>
          <w:highlight w:val="none"/>
        </w:rPr>
        <w:t>本招标文件包括下列文件，以及所有按本须知第8条发出的招标答疑会会议纪要和按本须知第9条发出的澄清或修改：</w:t>
      </w:r>
    </w:p>
    <w:p>
      <w:pPr>
        <w:pStyle w:val="5"/>
        <w:spacing w:after="0" w:line="360" w:lineRule="auto"/>
        <w:ind w:left="-2"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第一章  </w:t>
      </w:r>
      <w:r>
        <w:rPr>
          <w:rFonts w:hint="eastAsia" w:ascii="宋体" w:hAnsi="宋体" w:eastAsia="宋体" w:cs="宋体"/>
          <w:color w:val="auto"/>
          <w:sz w:val="24"/>
          <w:szCs w:val="24"/>
          <w:highlight w:val="none"/>
        </w:rPr>
        <w:t>投标须知</w:t>
      </w:r>
    </w:p>
    <w:p>
      <w:pPr>
        <w:pStyle w:val="5"/>
        <w:spacing w:after="0" w:line="360" w:lineRule="auto"/>
        <w:ind w:left="-2"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第二章  </w:t>
      </w:r>
      <w:r>
        <w:rPr>
          <w:rFonts w:hint="eastAsia" w:ascii="宋体" w:hAnsi="宋体" w:eastAsia="宋体" w:cs="宋体"/>
          <w:color w:val="auto"/>
          <w:sz w:val="24"/>
          <w:szCs w:val="24"/>
          <w:highlight w:val="none"/>
        </w:rPr>
        <w:t>开标、评标及定标办法</w:t>
      </w:r>
    </w:p>
    <w:p>
      <w:pPr>
        <w:pStyle w:val="5"/>
        <w:spacing w:after="0" w:line="360" w:lineRule="auto"/>
        <w:ind w:left="-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合同条款</w:t>
      </w:r>
    </w:p>
    <w:p>
      <w:pPr>
        <w:pStyle w:val="5"/>
        <w:spacing w:after="0"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第四章  </w:t>
      </w:r>
      <w:r>
        <w:rPr>
          <w:rFonts w:hint="eastAsia" w:ascii="宋体" w:hAnsi="宋体" w:eastAsia="宋体" w:cs="宋体"/>
          <w:color w:val="auto"/>
          <w:sz w:val="24"/>
          <w:szCs w:val="24"/>
          <w:highlight w:val="none"/>
        </w:rPr>
        <w:t>投标文件格式</w:t>
      </w:r>
    </w:p>
    <w:p>
      <w:pPr>
        <w:pStyle w:val="5"/>
        <w:spacing w:after="0" w:line="360" w:lineRule="auto"/>
        <w:ind w:left="-2"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 xml:space="preserve">第五章  </w:t>
      </w:r>
      <w:r>
        <w:rPr>
          <w:rFonts w:hint="eastAsia" w:ascii="宋体" w:hAnsi="宋体" w:eastAsia="宋体" w:cs="宋体"/>
          <w:color w:val="auto"/>
          <w:sz w:val="24"/>
          <w:szCs w:val="24"/>
          <w:highlight w:val="none"/>
          <w:u w:val="single"/>
        </w:rPr>
        <w:t>技术条件（工程建设标准）</w:t>
      </w:r>
    </w:p>
    <w:p>
      <w:pPr>
        <w:pStyle w:val="5"/>
        <w:spacing w:after="0" w:line="360" w:lineRule="auto"/>
        <w:ind w:left="-2"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第六章  </w:t>
      </w:r>
      <w:r>
        <w:rPr>
          <w:rFonts w:hint="eastAsia" w:ascii="宋体" w:hAnsi="宋体" w:eastAsia="宋体" w:cs="宋体"/>
          <w:color w:val="auto"/>
          <w:sz w:val="24"/>
          <w:szCs w:val="24"/>
          <w:highlight w:val="none"/>
        </w:rPr>
        <w:t>图纸及勘察资料（另册）</w:t>
      </w:r>
    </w:p>
    <w:p>
      <w:pPr>
        <w:pStyle w:val="5"/>
        <w:spacing w:after="0" w:line="360" w:lineRule="auto"/>
        <w:ind w:left="-2"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第七章  招标</w:t>
      </w:r>
      <w:r>
        <w:rPr>
          <w:rFonts w:hint="eastAsia" w:ascii="宋体" w:hAnsi="宋体" w:eastAsia="宋体" w:cs="宋体"/>
          <w:color w:val="auto"/>
          <w:sz w:val="24"/>
          <w:szCs w:val="24"/>
          <w:highlight w:val="none"/>
        </w:rPr>
        <w:t xml:space="preserve">工程量清单（另册） </w:t>
      </w:r>
    </w:p>
    <w:p>
      <w:pPr>
        <w:pStyle w:val="5"/>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最高投标限价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5"/>
        <w:spacing w:after="0" w:line="360" w:lineRule="auto"/>
        <w:ind w:firstLine="480" w:firstLineChars="200"/>
        <w:rPr>
          <w:rFonts w:hint="eastAsia" w:ascii="宋体" w:eastAsia="宋体"/>
          <w:color w:val="auto"/>
          <w:sz w:val="24"/>
          <w:highlight w:val="none"/>
          <w:u w:val="single"/>
          <w:lang w:eastAsia="zh-CN"/>
        </w:rPr>
      </w:pPr>
      <w:r>
        <w:rPr>
          <w:rFonts w:hint="eastAsia" w:ascii="宋体"/>
          <w:color w:val="auto"/>
          <w:sz w:val="24"/>
          <w:highlight w:val="none"/>
          <w:u w:val="single"/>
        </w:rPr>
        <w:t>8.1招标答疑采用网上答疑方式进行。投标人若对招标文件（包括招标图纸、清单、招标控制价、合同条款）有疑问的，可在规定的时间内通过广州公共资源交易中心网站进入提问区域将问题提交给招标人或招标代理人，提交问题时一律不得署名。网上答疑的操作指南为：投标人登录交易中心数字交易平台，进入“我是投标人（供应商）”-&gt;“我的投标”-&gt;“招标答疑提问”查询项目并提问，具体操作方法详见《房建市政全流程电子化项目操作专章》</w:t>
      </w:r>
      <w:r>
        <w:rPr>
          <w:rFonts w:hint="eastAsia" w:ascii="宋体"/>
          <w:color w:val="auto"/>
          <w:sz w:val="24"/>
          <w:highlight w:val="none"/>
          <w:u w:val="single"/>
          <w:lang w:eastAsia="zh-CN"/>
        </w:rPr>
        <w:t>。</w:t>
      </w:r>
    </w:p>
    <w:p>
      <w:pPr>
        <w:pStyle w:val="5"/>
        <w:spacing w:after="0" w:line="360" w:lineRule="auto"/>
        <w:ind w:firstLine="480" w:firstLineChars="200"/>
        <w:rPr>
          <w:rFonts w:hint="eastAsia" w:ascii="宋体"/>
          <w:color w:val="auto"/>
          <w:sz w:val="24"/>
          <w:highlight w:val="none"/>
          <w:u w:val="single"/>
        </w:rPr>
      </w:pPr>
      <w:r>
        <w:rPr>
          <w:rFonts w:hint="eastAsia" w:ascii="宋体"/>
          <w:color w:val="auto"/>
          <w:sz w:val="24"/>
          <w:highlight w:val="none"/>
          <w:u w:val="single"/>
        </w:rPr>
        <w:t>8.2招标答疑会会议纪要将在提交投标文件截止时间15日前在广州公共资源交易中心网站“项目答疑纪要”专区公开发布。答疑纪要一经在广州公共资源交易中心网站发布，视作已发放给所有投标人。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pStyle w:val="5"/>
        <w:spacing w:after="0" w:line="360" w:lineRule="auto"/>
        <w:ind w:firstLine="480" w:firstLineChars="200"/>
        <w:rPr>
          <w:rFonts w:hint="eastAsia" w:ascii="宋体" w:hAnsi="宋体" w:cs="宋体"/>
          <w:color w:val="auto"/>
          <w:szCs w:val="21"/>
          <w:highlight w:val="none"/>
        </w:rPr>
      </w:pPr>
      <w:r>
        <w:rPr>
          <w:rFonts w:hint="eastAsia" w:ascii="宋体"/>
          <w:color w:val="auto"/>
          <w:sz w:val="24"/>
          <w:highlight w:val="none"/>
          <w:u w:val="single"/>
        </w:rPr>
        <w:t>8.4若招标答疑纪要与招标文件有矛盾时，以广州公共资源交易中心交易平台最后发布的答疑纪要为准。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5"/>
        <w:spacing w:after="0" w:line="360" w:lineRule="auto"/>
        <w:ind w:firstLine="480" w:firstLineChars="200"/>
        <w:rPr>
          <w:rFonts w:hint="eastAsia" w:ascii="宋体"/>
          <w:color w:val="auto"/>
          <w:sz w:val="24"/>
          <w:highlight w:val="none"/>
          <w:u w:val="single"/>
        </w:rPr>
      </w:pPr>
      <w:r>
        <w:rPr>
          <w:rFonts w:hint="eastAsia" w:ascii="宋体"/>
          <w:color w:val="auto"/>
          <w:sz w:val="24"/>
          <w:highlight w:val="none"/>
          <w:u w:val="single"/>
        </w:rPr>
        <w:t>9.2招标文件的澄清或修改将在广州公共资源交易中心网站“项目答疑纪要”专区公开发布。答疑纪要一经在广州公共资源交易中心网站发布，视作已发放给所有投标人，以广州公共资源交易中心网站发布时间作为送达时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5"/>
        <w:spacing w:after="0" w:line="360" w:lineRule="auto"/>
        <w:ind w:firstLine="480" w:firstLineChars="200"/>
        <w:rPr>
          <w:rFonts w:hint="eastAsia" w:ascii="宋体"/>
          <w:color w:val="auto"/>
          <w:sz w:val="24"/>
          <w:highlight w:val="none"/>
          <w:u w:val="single"/>
        </w:rPr>
      </w:pPr>
      <w:r>
        <w:rPr>
          <w:rFonts w:hint="eastAsia" w:ascii="宋体"/>
          <w:color w:val="auto"/>
          <w:sz w:val="24"/>
          <w:highlight w:val="none"/>
          <w:u w:val="single"/>
        </w:rPr>
        <w:t>9.4招标文件的澄清或修改在广州公共资源交易中心网站“项目答疑纪要”专区公开发布。当招标文件的澄清、修改、补充等在同一内容的表述不一致时，以广州公共资源交易中心交易平台最后发布的内容为准。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pacing w:before="156" w:after="156"/>
        <w:rPr>
          <w:color w:val="auto"/>
          <w:highlight w:val="none"/>
        </w:rPr>
      </w:pPr>
      <w:bookmarkStart w:id="14" w:name="_Toc2272551"/>
      <w:bookmarkStart w:id="15" w:name="_Toc21525495"/>
      <w:r>
        <w:rPr>
          <w:rFonts w:hint="eastAsia"/>
          <w:color w:val="auto"/>
          <w:highlight w:val="none"/>
        </w:rPr>
        <w:t>（三）投标文件的编制</w:t>
      </w:r>
      <w:bookmarkEnd w:id="14"/>
      <w:bookmarkEnd w:id="15"/>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11.2投标文件技术标部分主要包括下列内容:</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11.2.1 技术标投标书(按招标文件第四章附件一的要求填写)；</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11.2.2 资格审查文件：</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（1）投标人声明（须按本工程招标公告附件</w:t>
      </w:r>
      <w:r>
        <w:rPr>
          <w:rFonts w:hint="eastAsia" w:ascii="宋体" w:hAnsi="宋体"/>
          <w:bCs/>
          <w:color w:val="auto"/>
          <w:sz w:val="24"/>
          <w:highlight w:val="none"/>
          <w:lang w:eastAsia="zh-CN"/>
        </w:rPr>
        <w:t>一</w:t>
      </w:r>
      <w:r>
        <w:rPr>
          <w:rFonts w:hint="eastAsia" w:ascii="宋体" w:hAnsi="宋体"/>
          <w:bCs/>
          <w:color w:val="auto"/>
          <w:sz w:val="24"/>
          <w:highlight w:val="none"/>
        </w:rPr>
        <w:t xml:space="preserve">格式）； </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（3）企业营业执照（取自平台内上传件）；</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（4）企业资质证书（取自平台内上传件）；</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（5）建筑施工企业安全生产许可证（取自平台内上传件）；</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（6）项目负责人（按网上投标登记时选择拟投标的项目负责人）；</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（7）专职安全员（按网上投标登记时选择拟投标的专职安全员）；</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（8）拟委托技术负责人的职称证书；</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（9）拟委派项目负责人的</w:t>
      </w:r>
      <w:r>
        <w:rPr>
          <w:rFonts w:hint="eastAsia" w:ascii="宋体" w:hAnsi="宋体"/>
          <w:bCs/>
          <w:color w:val="auto"/>
          <w:sz w:val="24"/>
          <w:highlight w:val="none"/>
          <w:u w:val="single"/>
        </w:rPr>
        <w:t>建造师注册证书</w:t>
      </w:r>
      <w:r>
        <w:rPr>
          <w:rFonts w:hint="eastAsia" w:ascii="宋体" w:hAnsi="宋体"/>
          <w:bCs/>
          <w:color w:val="auto"/>
          <w:sz w:val="24"/>
          <w:highlight w:val="none"/>
        </w:rPr>
        <w:t xml:space="preserve">（取自平台内上传件）； </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（10）项目负责人安全培训考核合格证明或在有效期内的安全考核合格证书（B类）或建筑施工企业项目负责人安全生产考核合格证书（取自平台内上传件）；</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（11）专职安全员须具有在有效期内</w:t>
      </w:r>
      <w:r>
        <w:rPr>
          <w:rFonts w:hint="eastAsia" w:ascii="宋体" w:hAnsi="宋体"/>
          <w:bCs/>
          <w:color w:val="auto"/>
          <w:sz w:val="24"/>
          <w:highlight w:val="none"/>
          <w:lang w:eastAsia="zh-CN"/>
        </w:rPr>
        <w:t>的</w:t>
      </w:r>
      <w:r>
        <w:rPr>
          <w:rFonts w:hint="eastAsia" w:ascii="宋体" w:hAnsi="宋体"/>
          <w:bCs/>
          <w:color w:val="auto"/>
          <w:sz w:val="24"/>
          <w:highlight w:val="none"/>
        </w:rPr>
        <w:t>安全生产考核合格证（C类）或建筑施工企业专职安全生产管理人员安全生产考核合格证书（C3）（取自平台内上传件）；</w:t>
      </w:r>
    </w:p>
    <w:p>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auto"/>
          <w:sz w:val="24"/>
          <w:highlight w:val="none"/>
        </w:rPr>
        <w:t>（12）</w:t>
      </w:r>
      <w:r>
        <w:rPr>
          <w:rFonts w:hint="eastAsia" w:ascii="宋体" w:hAnsi="宋体"/>
          <w:bCs/>
          <w:color w:val="000000" w:themeColor="text1"/>
          <w:sz w:val="24"/>
          <w:highlight w:val="none"/>
          <w14:textFill>
            <w14:solidFill>
              <w14:schemeClr w14:val="tx1"/>
            </w14:solidFill>
          </w14:textFill>
        </w:rPr>
        <w:t>投标登记前，投标人须在广州公共资源交易中心办理企业信息登记及拟担任本工程项目负责人、专职安全员须是本企业信息登记信息中的在册人员。企业信息取自投标截止时间投标人在广州公共资源交易中心企业库内登记的信息，投标人无需提交相关资料，若招标人延长递交投标文件截止时间的，企业信息的评审时点也相应延长。（企业信息登记办理详见《施工类企业信息登记办事指引》，网址：http://ggzy.gz.gov.cn/qyxxd1/508420.jhtml）</w:t>
      </w:r>
    </w:p>
    <w:p>
      <w:pPr>
        <w:pBdr>
          <w:bottom w:val="none" w:color="auto" w:sz="0" w:space="0"/>
        </w:pBdr>
        <w:spacing w:line="360" w:lineRule="auto"/>
        <w:ind w:firstLine="480" w:firstLineChars="200"/>
        <w:rPr>
          <w:rFonts w:hint="eastAsia" w:ascii="宋体" w:hAnsi="宋体" w:cs="宋体"/>
          <w:bCs w:val="0"/>
          <w:color w:val="auto"/>
          <w:sz w:val="24"/>
          <w:szCs w:val="24"/>
          <w:highlight w:val="none"/>
          <w:u w:val="single"/>
        </w:rPr>
      </w:pPr>
      <w:r>
        <w:rPr>
          <w:rFonts w:hint="eastAsia" w:ascii="宋体" w:hAnsi="宋体" w:cs="宋体"/>
          <w:bCs w:val="0"/>
          <w:color w:val="auto"/>
          <w:sz w:val="24"/>
          <w:szCs w:val="24"/>
          <w:highlight w:val="none"/>
          <w:u w:val="single"/>
        </w:rPr>
        <w:t>11.2.3《施工</w:t>
      </w:r>
      <w:r>
        <w:rPr>
          <w:rFonts w:hint="eastAsia" w:ascii="宋体" w:hAnsi="宋体" w:cs="宋体"/>
          <w:bCs w:val="0"/>
          <w:color w:val="auto"/>
          <w:sz w:val="24"/>
          <w:szCs w:val="24"/>
          <w:highlight w:val="none"/>
          <w:u w:val="single"/>
          <w:lang w:val="zh-CN"/>
        </w:rPr>
        <w:t>项目管理团队人员信息表</w:t>
      </w:r>
      <w:r>
        <w:rPr>
          <w:rFonts w:hint="eastAsia" w:ascii="宋体" w:hAnsi="宋体" w:cs="宋体"/>
          <w:bCs w:val="0"/>
          <w:color w:val="auto"/>
          <w:sz w:val="24"/>
          <w:szCs w:val="24"/>
          <w:highlight w:val="none"/>
          <w:u w:val="single"/>
        </w:rPr>
        <w:t>》（格式见第四章）</w:t>
      </w:r>
      <w:r>
        <w:rPr>
          <w:rFonts w:hint="eastAsia" w:ascii="宋体" w:hAnsi="宋体" w:cs="宋体"/>
          <w:bCs w:val="0"/>
          <w:color w:val="auto"/>
          <w:sz w:val="24"/>
          <w:szCs w:val="24"/>
          <w:highlight w:val="none"/>
          <w:u w:val="single"/>
          <w:lang w:val="zh-CN"/>
        </w:rPr>
        <w:t>。</w:t>
      </w:r>
    </w:p>
    <w:p>
      <w:pPr>
        <w:pBdr>
          <w:bottom w:val="none" w:color="auto" w:sz="0" w:space="0"/>
        </w:pBdr>
        <w:spacing w:line="360" w:lineRule="auto"/>
        <w:ind w:firstLine="480" w:firstLineChars="200"/>
        <w:rPr>
          <w:rFonts w:hint="eastAsia" w:ascii="宋体" w:hAnsi="宋体" w:cs="宋体"/>
          <w:bCs w:val="0"/>
          <w:color w:val="auto"/>
          <w:sz w:val="24"/>
          <w:szCs w:val="24"/>
          <w:highlight w:val="none"/>
          <w:u w:val="single"/>
        </w:rPr>
      </w:pPr>
      <w:r>
        <w:rPr>
          <w:rFonts w:hint="eastAsia" w:ascii="宋体" w:hAnsi="宋体" w:cs="宋体"/>
          <w:bCs w:val="0"/>
          <w:color w:val="auto"/>
          <w:sz w:val="24"/>
          <w:szCs w:val="24"/>
          <w:highlight w:val="none"/>
          <w:u w:val="single"/>
          <w:lang w:val="zh-CN"/>
        </w:rPr>
        <w:t>11.2.4企业技术标得分证明材料（按《技术标详细审查评分表》要求提交，格式见第四章，无规定格式要求的，格式自拟）</w:t>
      </w:r>
      <w:r>
        <w:rPr>
          <w:rFonts w:hint="eastAsia" w:ascii="宋体" w:hAnsi="宋体" w:cs="宋体"/>
          <w:bCs w:val="0"/>
          <w:color w:val="auto"/>
          <w:sz w:val="24"/>
          <w:szCs w:val="24"/>
          <w:highlight w:val="none"/>
          <w:u w:val="single"/>
        </w:rPr>
        <w:t>。</w:t>
      </w:r>
    </w:p>
    <w:p>
      <w:pPr>
        <w:pBdr>
          <w:bottom w:val="none" w:color="auto" w:sz="0" w:space="0"/>
        </w:pBdr>
        <w:spacing w:line="360" w:lineRule="auto"/>
        <w:ind w:firstLine="480" w:firstLineChars="200"/>
        <w:rPr>
          <w:rFonts w:hint="eastAsia" w:ascii="宋体" w:hAnsi="宋体" w:cs="宋体"/>
          <w:bCs w:val="0"/>
          <w:color w:val="auto"/>
          <w:sz w:val="24"/>
          <w:szCs w:val="24"/>
          <w:highlight w:val="none"/>
          <w:u w:val="single"/>
          <w:lang w:val="en-US" w:eastAsia="zh-CN"/>
        </w:rPr>
      </w:pPr>
      <w:r>
        <w:rPr>
          <w:rFonts w:hint="eastAsia" w:ascii="宋体" w:hAnsi="宋体" w:cs="宋体"/>
          <w:bCs w:val="0"/>
          <w:color w:val="auto"/>
          <w:sz w:val="24"/>
          <w:szCs w:val="24"/>
          <w:highlight w:val="none"/>
          <w:u w:val="single"/>
        </w:rPr>
        <w:t>11.2.</w:t>
      </w:r>
      <w:r>
        <w:rPr>
          <w:rFonts w:hint="eastAsia" w:ascii="宋体" w:hAnsi="宋体" w:cs="宋体"/>
          <w:bCs w:val="0"/>
          <w:color w:val="auto"/>
          <w:sz w:val="24"/>
          <w:szCs w:val="24"/>
          <w:highlight w:val="none"/>
          <w:u w:val="single"/>
          <w:lang w:val="en-US" w:eastAsia="zh-CN"/>
        </w:rPr>
        <w:t>5</w:t>
      </w:r>
      <w:r>
        <w:rPr>
          <w:rFonts w:hint="eastAsia" w:ascii="宋体" w:hAnsi="宋体" w:cs="宋体"/>
          <w:bCs w:val="0"/>
          <w:color w:val="auto"/>
          <w:sz w:val="24"/>
          <w:szCs w:val="24"/>
          <w:highlight w:val="none"/>
          <w:u w:val="single"/>
        </w:rPr>
        <w:t>《响应招标文件所附施工组织设计要点的承诺书》（格式见第四章）。</w:t>
      </w:r>
    </w:p>
    <w:p>
      <w:pPr>
        <w:pBdr>
          <w:bottom w:val="none" w:color="auto" w:sz="0" w:space="0"/>
        </w:pBdr>
        <w:spacing w:line="360" w:lineRule="auto"/>
        <w:ind w:firstLine="480" w:firstLineChars="200"/>
        <w:rPr>
          <w:rFonts w:hint="eastAsia" w:ascii="宋体" w:hAnsi="宋体" w:cs="宋体"/>
          <w:bCs w:val="0"/>
          <w:color w:val="auto"/>
          <w:sz w:val="24"/>
          <w:szCs w:val="24"/>
          <w:highlight w:val="none"/>
          <w:u w:val="single"/>
        </w:rPr>
      </w:pPr>
      <w:r>
        <w:rPr>
          <w:rFonts w:hint="eastAsia" w:ascii="宋体" w:hAnsi="宋体" w:cs="宋体"/>
          <w:bCs w:val="0"/>
          <w:color w:val="auto"/>
          <w:sz w:val="24"/>
          <w:szCs w:val="24"/>
          <w:highlight w:val="none"/>
          <w:u w:val="single"/>
        </w:rPr>
        <w:t>11.2.</w:t>
      </w:r>
      <w:r>
        <w:rPr>
          <w:rFonts w:hint="eastAsia" w:ascii="宋体" w:hAnsi="宋体" w:cs="宋体"/>
          <w:bCs w:val="0"/>
          <w:color w:val="auto"/>
          <w:sz w:val="24"/>
          <w:szCs w:val="24"/>
          <w:highlight w:val="none"/>
          <w:u w:val="single"/>
          <w:lang w:val="en-US" w:eastAsia="zh-CN"/>
        </w:rPr>
        <w:t>6</w:t>
      </w:r>
      <w:r>
        <w:rPr>
          <w:rFonts w:hint="eastAsia" w:ascii="宋体" w:hAnsi="宋体" w:cs="宋体"/>
          <w:bCs w:val="0"/>
          <w:color w:val="auto"/>
          <w:sz w:val="24"/>
          <w:szCs w:val="24"/>
          <w:highlight w:val="none"/>
          <w:u w:val="single"/>
        </w:rPr>
        <w:t>按照招标文件要求填写的《参与编制技术标投标文件人员名单》（格式见第四章）。</w:t>
      </w:r>
    </w:p>
    <w:p>
      <w:pPr>
        <w:pBdr>
          <w:bottom w:val="none" w:color="auto" w:sz="0" w:space="0"/>
        </w:pBdr>
        <w:spacing w:line="360" w:lineRule="auto"/>
        <w:ind w:firstLine="480" w:firstLineChars="200"/>
        <w:rPr>
          <w:rFonts w:hint="eastAsia" w:ascii="宋体" w:hAnsi="宋体" w:cs="宋体"/>
          <w:bCs w:val="0"/>
          <w:color w:val="auto"/>
          <w:sz w:val="24"/>
          <w:szCs w:val="24"/>
          <w:highlight w:val="none"/>
          <w:u w:val="single"/>
        </w:rPr>
      </w:pPr>
      <w:r>
        <w:rPr>
          <w:rFonts w:hint="eastAsia" w:ascii="宋体" w:hAnsi="宋体" w:cs="宋体"/>
          <w:bCs w:val="0"/>
          <w:color w:val="auto"/>
          <w:sz w:val="24"/>
          <w:szCs w:val="24"/>
          <w:highlight w:val="none"/>
          <w:u w:val="single"/>
        </w:rPr>
        <w:t>11.2.</w:t>
      </w:r>
      <w:r>
        <w:rPr>
          <w:rFonts w:hint="eastAsia" w:ascii="宋体" w:hAnsi="宋体" w:cs="宋体"/>
          <w:bCs w:val="0"/>
          <w:color w:val="auto"/>
          <w:sz w:val="24"/>
          <w:szCs w:val="24"/>
          <w:highlight w:val="none"/>
          <w:u w:val="single"/>
          <w:lang w:val="en-US" w:eastAsia="zh-CN"/>
        </w:rPr>
        <w:t>7</w:t>
      </w:r>
      <w:r>
        <w:rPr>
          <w:rFonts w:hint="eastAsia" w:ascii="宋体" w:hAnsi="宋体" w:cs="宋体"/>
          <w:bCs w:val="0"/>
          <w:color w:val="auto"/>
          <w:sz w:val="24"/>
          <w:szCs w:val="24"/>
          <w:highlight w:val="none"/>
          <w:u w:val="single"/>
        </w:rPr>
        <w:t>投标保证金缴纳证明资料（递交至广州公共资源交易中心的，到账情况以开标时广州公共资源交易中心数据库查询的信息为准，可不需提供相关缴纳证明资料）；或按招标文件要求提交符合免予提供投标保证金的相关证明材料。</w:t>
      </w:r>
    </w:p>
    <w:p>
      <w:pPr>
        <w:pBdr>
          <w:bottom w:val="none" w:color="auto" w:sz="0" w:space="0"/>
        </w:pBdr>
        <w:spacing w:line="360" w:lineRule="auto"/>
        <w:ind w:firstLine="480" w:firstLineChars="200"/>
        <w:rPr>
          <w:rFonts w:hint="eastAsia" w:ascii="宋体" w:hAnsi="宋体" w:cs="宋体"/>
          <w:bCs w:val="0"/>
          <w:color w:val="auto"/>
          <w:sz w:val="24"/>
          <w:szCs w:val="24"/>
          <w:highlight w:val="none"/>
          <w:u w:val="single"/>
        </w:rPr>
      </w:pPr>
      <w:r>
        <w:rPr>
          <w:rFonts w:hint="eastAsia" w:ascii="宋体" w:hAnsi="宋体" w:cs="宋体"/>
          <w:bCs w:val="0"/>
          <w:color w:val="auto"/>
          <w:sz w:val="24"/>
          <w:szCs w:val="24"/>
          <w:highlight w:val="none"/>
          <w:u w:val="single"/>
        </w:rPr>
        <w:t>11.2.</w:t>
      </w:r>
      <w:r>
        <w:rPr>
          <w:rFonts w:hint="eastAsia" w:ascii="宋体" w:hAnsi="宋体" w:cs="宋体"/>
          <w:bCs w:val="0"/>
          <w:color w:val="auto"/>
          <w:sz w:val="24"/>
          <w:szCs w:val="24"/>
          <w:highlight w:val="none"/>
          <w:u w:val="single"/>
          <w:lang w:val="en-US" w:eastAsia="zh-CN"/>
        </w:rPr>
        <w:t>8</w:t>
      </w:r>
      <w:r>
        <w:rPr>
          <w:rFonts w:hint="eastAsia" w:ascii="宋体" w:hAnsi="宋体" w:cs="宋体"/>
          <w:bCs w:val="0"/>
          <w:color w:val="auto"/>
          <w:sz w:val="24"/>
          <w:szCs w:val="24"/>
          <w:highlight w:val="none"/>
          <w:u w:val="single"/>
        </w:rPr>
        <w:t>投标人认为应提供的其他资料。</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11.3.1 </w:t>
      </w:r>
      <w:r>
        <w:rPr>
          <w:rFonts w:hint="eastAsia" w:ascii="宋体" w:hAnsi="宋体" w:eastAsia="宋体" w:cs="宋体"/>
          <w:color w:val="auto"/>
          <w:sz w:val="24"/>
          <w:szCs w:val="24"/>
          <w:highlight w:val="none"/>
          <w:u w:val="single"/>
        </w:rPr>
        <w:t>经济标投标书</w:t>
      </w:r>
      <w:r>
        <w:rPr>
          <w:rFonts w:hint="eastAsia" w:ascii="宋体" w:hAnsi="宋体" w:eastAsia="宋体" w:cs="宋体"/>
          <w:color w:val="auto"/>
          <w:sz w:val="24"/>
          <w:szCs w:val="24"/>
          <w:highlight w:val="none"/>
        </w:rPr>
        <w:t>(按招标文件</w:t>
      </w:r>
      <w:r>
        <w:rPr>
          <w:rFonts w:hint="eastAsia" w:ascii="宋体" w:hAnsi="宋体" w:eastAsia="宋体" w:cs="宋体"/>
          <w:bCs/>
          <w:color w:val="auto"/>
          <w:sz w:val="24"/>
          <w:szCs w:val="24"/>
          <w:highlight w:val="none"/>
          <w:u w:val="single"/>
        </w:rPr>
        <w:t>第四章附件一</w:t>
      </w:r>
      <w:r>
        <w:rPr>
          <w:rFonts w:hint="eastAsia" w:ascii="宋体" w:hAnsi="宋体" w:eastAsia="宋体" w:cs="宋体"/>
          <w:color w:val="auto"/>
          <w:sz w:val="24"/>
          <w:szCs w:val="24"/>
          <w:highlight w:val="none"/>
        </w:rPr>
        <w:t>的要求填写)。</w:t>
      </w:r>
    </w:p>
    <w:p>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（1）投标总价封面、扉页；</w:t>
      </w:r>
    </w:p>
    <w:p>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（2）总说明</w:t>
      </w:r>
    </w:p>
    <w:p>
      <w:pPr>
        <w:tabs>
          <w:tab w:val="left" w:pos="1125"/>
        </w:tabs>
        <w:spacing w:line="360" w:lineRule="auto"/>
        <w:ind w:firstLine="480" w:firstLineChars="200"/>
        <w:rPr>
          <w:rFonts w:hint="eastAsia" w:ascii="宋体" w:hAnsi="宋体" w:eastAsia="宋体" w:cs="Times New Roman"/>
          <w:color w:val="auto"/>
          <w:sz w:val="24"/>
          <w:szCs w:val="22"/>
          <w:highlight w:val="none"/>
        </w:rPr>
      </w:pPr>
      <w:r>
        <w:rPr>
          <w:rFonts w:hint="eastAsia" w:ascii="宋体" w:hAnsi="宋体"/>
          <w:color w:val="auto"/>
          <w:sz w:val="24"/>
          <w:szCs w:val="22"/>
          <w:highlight w:val="none"/>
          <w:u w:val="none"/>
          <w:lang w:eastAsia="zh-CN"/>
        </w:rPr>
        <w:t>（</w:t>
      </w:r>
      <w:r>
        <w:rPr>
          <w:rFonts w:hint="eastAsia" w:ascii="宋体" w:hAnsi="宋体"/>
          <w:color w:val="auto"/>
          <w:sz w:val="24"/>
          <w:szCs w:val="22"/>
          <w:highlight w:val="none"/>
          <w:u w:val="none"/>
          <w:lang w:val="en-US" w:eastAsia="zh-CN"/>
        </w:rPr>
        <w:t>3</w:t>
      </w:r>
      <w:r>
        <w:rPr>
          <w:rFonts w:hint="eastAsia" w:ascii="宋体" w:hAnsi="宋体"/>
          <w:color w:val="auto"/>
          <w:sz w:val="24"/>
          <w:szCs w:val="22"/>
          <w:highlight w:val="none"/>
          <w:u w:val="none"/>
          <w:lang w:eastAsia="zh-CN"/>
        </w:rPr>
        <w:t>）</w:t>
      </w:r>
      <w:r>
        <w:rPr>
          <w:rFonts w:hint="eastAsia" w:ascii="宋体" w:hAnsi="宋体"/>
          <w:color w:val="auto"/>
          <w:sz w:val="24"/>
          <w:szCs w:val="22"/>
          <w:highlight w:val="none"/>
          <w:u w:val="none"/>
        </w:rPr>
        <w:t>工程量清单报价表及综合单价分析表（相关表格的内容及格式要求以招标人发出的最新版电子招标文件中的相应内容及格式为准）</w:t>
      </w:r>
      <w:r>
        <w:rPr>
          <w:rFonts w:hint="eastAsia" w:ascii="宋体" w:hAnsi="宋体"/>
          <w:color w:val="auto"/>
          <w:sz w:val="24"/>
          <w:szCs w:val="22"/>
          <w:highlight w:val="none"/>
          <w:u w:val="none"/>
          <w:lang w:val="en-US" w:eastAsia="zh-CN"/>
        </w:rPr>
        <w:t>.</w:t>
      </w:r>
    </w:p>
    <w:p>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34"/>
        <w:ind w:left="0" w:leftChars="0" w:firstLine="480" w:firstLineChars="200"/>
        <w:rPr>
          <w:color w:val="auto"/>
          <w:highlight w:val="none"/>
          <w:u w:val="single"/>
        </w:rPr>
      </w:pPr>
      <w:r>
        <w:rPr>
          <w:rFonts w:hint="eastAsia" w:ascii="宋体" w:hAnsi="宋体" w:eastAsia="宋体" w:cs="Times New Roman"/>
          <w:color w:val="auto"/>
          <w:kern w:val="2"/>
          <w:sz w:val="24"/>
          <w:szCs w:val="22"/>
          <w:highlight w:val="none"/>
          <w:u w:val="single"/>
          <w:lang w:val="en-US" w:eastAsia="zh-CN" w:bidi="ar-SA"/>
        </w:rPr>
        <w:t>11.3.5</w:t>
      </w:r>
      <w:r>
        <w:rPr>
          <w:rFonts w:hint="eastAsia" w:ascii="宋体" w:hAnsi="宋体" w:cs="宋体"/>
          <w:color w:val="auto"/>
          <w:sz w:val="24"/>
          <w:highlight w:val="none"/>
          <w:u w:val="single"/>
        </w:rPr>
        <w:t>《对投标文件编制的承诺》及《投标文件编制情况》（格式见第四章）</w:t>
      </w:r>
      <w:r>
        <w:rPr>
          <w:rFonts w:hint="eastAsia" w:ascii="宋体" w:hAnsi="宋体" w:cs="宋体"/>
          <w:color w:val="auto"/>
          <w:szCs w:val="21"/>
          <w:highlight w:val="none"/>
          <w:u w:val="single"/>
        </w:rPr>
        <w:t>。</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广州公共资源交易中心网站。</w:t>
      </w:r>
    </w:p>
    <w:p>
      <w:pPr>
        <w:pStyle w:val="5"/>
        <w:spacing w:after="0" w:line="360" w:lineRule="auto"/>
        <w:ind w:firstLine="480" w:firstLineChars="200"/>
        <w:rPr>
          <w:rFonts w:ascii="宋体" w:hAnsi="宋体"/>
          <w:color w:val="auto"/>
          <w:sz w:val="24"/>
          <w:highlight w:val="none"/>
        </w:rPr>
      </w:pPr>
      <w:r>
        <w:rPr>
          <w:rFonts w:hint="eastAsia" w:ascii="宋体" w:hAnsi="宋体" w:eastAsia="宋体" w:cs="宋体"/>
          <w:color w:val="auto"/>
          <w:sz w:val="24"/>
          <w:szCs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szCs w:val="24"/>
          <w:highlight w:val="none"/>
        </w:rPr>
        <w:t>照交易平台关于全流程电子化项目的相关指南进行编制，详见：</w:t>
      </w:r>
      <w:r>
        <w:rPr>
          <w:rFonts w:hint="eastAsia" w:ascii="宋体" w:hAnsi="宋体" w:eastAsia="宋体" w:cs="宋体"/>
          <w:color w:val="auto"/>
          <w:sz w:val="24"/>
          <w:szCs w:val="24"/>
          <w:highlight w:val="none"/>
          <w:u w:val="single"/>
        </w:rPr>
        <w:t>广州公共资源交易中心网站</w:t>
      </w:r>
      <w:r>
        <w:rPr>
          <w:rFonts w:hint="eastAsia" w:ascii="宋体" w:hAnsi="宋体" w:eastAsia="宋体" w:cs="宋体"/>
          <w:color w:val="auto"/>
          <w:sz w:val="24"/>
          <w:szCs w:val="24"/>
          <w:highlight w:val="none"/>
        </w:rPr>
        <w:t xml:space="preserve">。 </w:t>
      </w:r>
      <w:r>
        <w:rPr>
          <w:rFonts w:hint="eastAsia" w:ascii="宋体" w:hAnsi="宋体"/>
          <w:color w:val="auto"/>
          <w:sz w:val="24"/>
          <w:highlight w:val="none"/>
        </w:rPr>
        <w:t xml:space="preserve">             </w:t>
      </w:r>
    </w:p>
    <w:p>
      <w:pPr>
        <w:pStyle w:val="5"/>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5"/>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13.1本工程的投标报价采用投标须知前附表第12项所规定的方式。投标报价（含单价及总价）精确到“分”。</w:t>
      </w:r>
      <w:r>
        <w:rPr>
          <w:rFonts w:hint="eastAsia" w:ascii="宋体" w:hAnsi="宋体"/>
          <w:color w:val="auto"/>
          <w:sz w:val="24"/>
          <w:highlight w:val="none"/>
          <w:u w:val="single"/>
        </w:rPr>
        <w:t>投标文件中的大写金额和小写金额不一致的，以大写金额为准。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13.4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机械台班价格波动涨跌幅度超过合同基准期（指递交投标文件截止日期前28天）价格的5%和人工涨跌变化影响合同价款时，应根据合同约定，按《建设工程工程量清单计价规范》（GB5500-2013）调整合同价款。人工、主要材料（设备）按广州市增城区住房和城乡建设局施工同期《建设工程地方材料综合价格》、广州市造价管理站施工同期《广州地区建设工程材料综合价格》调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13.5.1中标的投标文件工程量清单中已有相同项目的,该项目的综合单价若低于招标控制价相应项目综合单价,则沿用;若高于招标控制价相应项目综合单价,则按招标控制价相应项目的综合单价。</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u w:val="singl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增城区住房和城乡建设局同期《建设工程地方材料指导价格》计算；若增城区住房和城乡建设局同期《建设工程地方材料指导价格》没有的材料单价按广州市造价管理站同期《广州地区建设工程材料综合价格》计算；若上述两地区的建设工程材料指导价均没有的材料单价，凭监理单位及甲方确认的与市场价相符的有效发票的材料单价计算，并按中标浮动率下浮后作结算。</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16.4如有下列情况之一的，招标人可以不予退还投标保证金</w:t>
      </w:r>
      <w:r>
        <w:rPr>
          <w:rFonts w:hint="eastAsia" w:ascii="宋体" w:hAnsi="宋体"/>
          <w:strike/>
          <w:color w:val="auto"/>
          <w:sz w:val="24"/>
          <w:highlight w:val="none"/>
        </w:rPr>
        <w:t>（是否退还投标保证金由招标人在招标文件中规定）</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16.4.1因投标人原因造成投标文件未解密的；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16.4.2投标人在投标有效期内撤销投标文件；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16.4.3中标人未能在规定期限内按要求提交履约担保；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16.4.4中标人未能在规定期限内签署合同协议。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w:t>
      </w:r>
      <w:r>
        <w:rPr>
          <w:rFonts w:hint="eastAsia" w:ascii="宋体" w:hAnsi="宋体"/>
          <w:color w:val="auto"/>
          <w:sz w:val="24"/>
          <w:highlight w:val="none"/>
          <w:lang w:val="en-US" w:eastAsia="zh-CN"/>
        </w:rPr>
        <w:t>半年</w:t>
      </w:r>
      <w:r>
        <w:rPr>
          <w:rFonts w:hint="eastAsia" w:ascii="宋体" w:hAnsi="宋体"/>
          <w:color w:val="auto"/>
          <w:sz w:val="24"/>
          <w:highlight w:val="none"/>
        </w:rPr>
        <w:t>内参与招标人后续工程投标</w:t>
      </w:r>
      <w:r>
        <w:rPr>
          <w:rFonts w:hint="eastAsia" w:ascii="宋体" w:hAnsi="宋体" w:cs="宋体"/>
          <w:color w:val="auto"/>
          <w:sz w:val="24"/>
          <w:highlight w:val="none"/>
        </w:rPr>
        <w:t>（</w:t>
      </w:r>
      <w:r>
        <w:rPr>
          <w:rFonts w:hint="eastAsia" w:ascii="宋体" w:hAnsi="宋体" w:cs="宋体"/>
          <w:color w:val="auto"/>
          <w:sz w:val="24"/>
          <w:highlight w:val="none"/>
          <w:u w:val="single"/>
        </w:rPr>
        <w:t>注：拒绝投标时限由招标人视严重程度确定，最低三个月起，自招标人发出通知之日起计</w:t>
      </w:r>
      <w:r>
        <w:rPr>
          <w:rFonts w:hint="eastAsia" w:ascii="宋体" w:hAnsi="宋体" w:cs="宋体"/>
          <w:color w:val="auto"/>
          <w:sz w:val="24"/>
          <w:highlight w:val="none"/>
        </w:rPr>
        <w:t>）</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strike/>
          <w:color w:val="auto"/>
          <w:sz w:val="24"/>
          <w:highlight w:val="none"/>
        </w:rPr>
      </w:pPr>
      <w:r>
        <w:rPr>
          <w:rFonts w:hint="eastAsia" w:ascii="宋体" w:hAnsi="宋体"/>
          <w:strike/>
          <w:color w:val="auto"/>
          <w:sz w:val="24"/>
          <w:highlight w:val="none"/>
        </w:rPr>
        <w:t>16.5.3按招标文件要求免于提供投标保证金的投标人存在16.4条款所列情形的。</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广州公共资源交易中心网站</w:t>
      </w:r>
      <w:r>
        <w:rPr>
          <w:rFonts w:hint="eastAsia" w:ascii="宋体" w:hAnsi="宋体"/>
          <w:color w:val="auto"/>
          <w:sz w:val="24"/>
          <w:highlight w:val="none"/>
        </w:rPr>
        <w:t>。</w:t>
      </w:r>
    </w:p>
    <w:p>
      <w:pPr>
        <w:pStyle w:val="7"/>
        <w:spacing w:before="156" w:after="156"/>
        <w:rPr>
          <w:color w:val="auto"/>
          <w:highlight w:val="none"/>
        </w:rPr>
      </w:pPr>
      <w:bookmarkStart w:id="16" w:name="_Toc2272552"/>
      <w:bookmarkStart w:id="17" w:name="_Toc21525496"/>
      <w:r>
        <w:rPr>
          <w:rFonts w:hint="eastAsia"/>
          <w:color w:val="auto"/>
          <w:highlight w:val="none"/>
        </w:rPr>
        <w:t>（四）投标文件的提交</w:t>
      </w:r>
      <w:bookmarkEnd w:id="16"/>
      <w:bookmarkEnd w:id="17"/>
    </w:p>
    <w:p>
      <w:pPr>
        <w:pStyle w:val="5"/>
        <w:spacing w:after="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pPr>
        <w:spacing w:line="360" w:lineRule="auto"/>
        <w:ind w:firstLine="480" w:firstLineChars="200"/>
        <w:rPr>
          <w:rFonts w:hint="eastAsia" w:ascii="宋体" w:hAnsi="宋体" w:cs="宋体"/>
          <w:bCs/>
          <w:color w:val="auto"/>
          <w:szCs w:val="21"/>
          <w:highlight w:val="none"/>
        </w:rPr>
      </w:pPr>
      <w:r>
        <w:rPr>
          <w:rFonts w:hint="eastAsia" w:ascii="宋体" w:hAnsi="宋体"/>
          <w:color w:val="auto"/>
          <w:sz w:val="24"/>
          <w:highlight w:val="none"/>
        </w:rPr>
        <w:t>18.1递交的电子投标文件（不含备用光盘）必须进行加密。按照交易平台关于全流程电子化项目的相关指南进行操作。详见：</w:t>
      </w:r>
      <w:r>
        <w:rPr>
          <w:rFonts w:hint="eastAsia" w:ascii="宋体" w:hAnsi="宋体"/>
          <w:color w:val="auto"/>
          <w:sz w:val="24"/>
          <w:highlight w:val="none"/>
          <w:u w:val="single"/>
        </w:rPr>
        <w:t>广州公共资源交易中心网站</w:t>
      </w:r>
      <w:r>
        <w:rPr>
          <w:rFonts w:hint="eastAsia" w:ascii="宋体" w:hAnsi="宋体" w:cs="宋体"/>
          <w:color w:val="auto"/>
          <w:szCs w:val="21"/>
          <w:highlight w:val="none"/>
        </w:rPr>
        <w:t>。</w:t>
      </w:r>
    </w:p>
    <w:p>
      <w:pPr>
        <w:spacing w:line="360" w:lineRule="auto"/>
        <w:ind w:firstLine="480" w:firstLineChars="200"/>
        <w:rPr>
          <w:rFonts w:hint="eastAsia" w:ascii="宋体" w:hAnsi="宋体" w:cs="宋体"/>
          <w:bCs/>
          <w:color w:val="auto"/>
          <w:szCs w:val="21"/>
          <w:highlight w:val="none"/>
        </w:rPr>
      </w:pPr>
      <w:r>
        <w:rPr>
          <w:rFonts w:hint="eastAsia" w:ascii="宋体" w:hAnsi="宋体"/>
          <w:color w:val="auto"/>
          <w:sz w:val="24"/>
          <w:highlight w:val="none"/>
        </w:rPr>
        <w:t>18.2 未按要求加密的投标文件，</w:t>
      </w:r>
      <w:r>
        <w:rPr>
          <w:rFonts w:hint="eastAsia" w:ascii="宋体" w:hAnsi="宋体"/>
          <w:color w:val="auto"/>
          <w:sz w:val="24"/>
          <w:highlight w:val="none"/>
          <w:u w:val="single"/>
        </w:rPr>
        <w:t>广州公共资源交易中心</w:t>
      </w:r>
      <w:r>
        <w:rPr>
          <w:rFonts w:hint="eastAsia" w:ascii="宋体" w:hAnsi="宋体"/>
          <w:color w:val="auto"/>
          <w:sz w:val="24"/>
          <w:highlight w:val="none"/>
        </w:rPr>
        <w:t>交易平台将予以拒收。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19.1投标人通过</w:t>
      </w:r>
      <w:r>
        <w:rPr>
          <w:rFonts w:hint="eastAsia" w:ascii="宋体" w:hAnsi="宋体"/>
          <w:color w:val="auto"/>
          <w:sz w:val="24"/>
          <w:highlight w:val="none"/>
          <w:u w:val="single"/>
        </w:rPr>
        <w:t>广州公共资源交易中心</w:t>
      </w:r>
      <w:r>
        <w:rPr>
          <w:rFonts w:hint="eastAsia" w:ascii="宋体" w:hAnsi="宋体"/>
          <w:color w:val="auto"/>
          <w:sz w:val="24"/>
          <w:highlight w:val="none"/>
        </w:rPr>
        <w:t>交易平台递交电子投标文件。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19.2投标人完成电子投标文件上传后</w:t>
      </w:r>
      <w:r>
        <w:rPr>
          <w:rFonts w:hint="eastAsia" w:ascii="宋体" w:hAnsi="宋体" w:cs="宋体"/>
          <w:bCs/>
          <w:color w:val="auto"/>
          <w:szCs w:val="21"/>
          <w:highlight w:val="none"/>
        </w:rPr>
        <w:t>，</w:t>
      </w:r>
      <w:r>
        <w:rPr>
          <w:rFonts w:hint="eastAsia" w:ascii="宋体" w:hAnsi="宋体"/>
          <w:color w:val="auto"/>
          <w:sz w:val="24"/>
          <w:highlight w:val="none"/>
          <w:u w:val="single"/>
        </w:rPr>
        <w:t>广州公共资源交易中心</w:t>
      </w:r>
      <w:r>
        <w:rPr>
          <w:rFonts w:hint="eastAsia" w:ascii="宋体" w:hAnsi="宋体"/>
          <w:color w:val="auto"/>
          <w:sz w:val="24"/>
          <w:highlight w:val="none"/>
        </w:rPr>
        <w:t>交易平台即时向投标人发出递交回执通知。递交时间以递交回执通知载明的传输完成时间为准。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19.3逾期送达的电子投标文件</w:t>
      </w:r>
      <w:r>
        <w:rPr>
          <w:rFonts w:hint="eastAsia" w:ascii="宋体" w:hAnsi="宋体" w:cs="宋体"/>
          <w:bCs/>
          <w:color w:val="auto"/>
          <w:szCs w:val="21"/>
          <w:highlight w:val="none"/>
        </w:rPr>
        <w:t>，</w:t>
      </w:r>
      <w:r>
        <w:rPr>
          <w:rFonts w:hint="eastAsia" w:ascii="宋体" w:hAnsi="宋体"/>
          <w:color w:val="auto"/>
          <w:sz w:val="24"/>
          <w:highlight w:val="none"/>
          <w:u w:val="single"/>
        </w:rPr>
        <w:t xml:space="preserve">广州公共资源交易中心 </w:t>
      </w:r>
      <w:r>
        <w:rPr>
          <w:rFonts w:hint="eastAsia" w:ascii="宋体" w:hAnsi="宋体"/>
          <w:color w:val="auto"/>
          <w:sz w:val="24"/>
          <w:highlight w:val="none"/>
        </w:rPr>
        <w:t>交易平台将予以拒收。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19.4 投标截止前，招标人拒绝接收符合条件的投标文件，投标人可向招标投标监督机构投诉。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21.1 本须知前附表第17项规定的投标截止时间后送达的电子投标文件，</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pStyle w:val="7"/>
        <w:spacing w:before="156" w:after="156"/>
        <w:rPr>
          <w:color w:val="auto"/>
          <w:highlight w:val="none"/>
        </w:rPr>
      </w:pPr>
      <w:bookmarkStart w:id="18" w:name="_Toc21525497"/>
      <w:bookmarkStart w:id="19" w:name="_Toc2272553"/>
      <w:r>
        <w:rPr>
          <w:rFonts w:hint="eastAsia"/>
          <w:color w:val="auto"/>
          <w:highlight w:val="none"/>
        </w:rPr>
        <w:t>（五）开标、评标、定标及合同签定</w:t>
      </w:r>
      <w:bookmarkEnd w:id="18"/>
      <w:bookmarkEnd w:id="19"/>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27.1招标人将在广州公共资源交易中心交易平台、广东省招标投标监管网、广州市增城区人民政府门户网站（http://www.zc.gov.cn/）的“首页&gt;公开&gt;公共资源配置领域&gt;工程建设项目招投标”栏目等法定媒体网站发布公示中标候选人，公示期为三天。</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27.4在产生中标候选人后，招标人将中标候选人的投标文件商务部分文件的所有内容（包括人员、业绩、奖项等资料）在广州公共资源交易中心交易平台。</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29.1 在申请支付预付款前，中标人应按本须知前附表第20项的规定向招标人提交履约担保。</w:t>
      </w:r>
    </w:p>
    <w:p>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29.2在申请支付预付款前，中标人未按上款的规定提交履约担保，招标人将不予支付预付款。</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30.1</w:t>
      </w:r>
      <w:r>
        <w:rPr>
          <w:rFonts w:hint="eastAsia" w:ascii="宋体" w:hAnsi="宋体"/>
          <w:color w:val="auto"/>
          <w:sz w:val="24"/>
          <w:highlight w:val="none"/>
          <w:u w:val="single"/>
        </w:rPr>
        <w:t>合同自发包人、承包人双方法定代表人或委托代理人签字并加盖公章之日起生效。</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pStyle w:val="5"/>
        <w:spacing w:after="0"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u w:val="single"/>
        </w:rPr>
        <w:t>31.1根据广州市政府相关文件的规定，向广州公共资源交易中心交纳交易服务费。</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pStyle w:val="5"/>
        <w:spacing w:after="0" w:line="360" w:lineRule="auto"/>
        <w:ind w:firstLine="480" w:firstLineChars="200"/>
        <w:rPr>
          <w:rFonts w:hint="eastAsia" w:ascii="宋体"/>
          <w:color w:val="auto"/>
          <w:sz w:val="24"/>
          <w:highlight w:val="none"/>
          <w:u w:val="single"/>
        </w:rPr>
      </w:pPr>
      <w:r>
        <w:rPr>
          <w:rFonts w:hint="eastAsia" w:ascii="宋体"/>
          <w:color w:val="auto"/>
          <w:sz w:val="24"/>
          <w:highlight w:val="none"/>
          <w:u w:val="single"/>
        </w:rPr>
        <w:t>33. 投标人信誉的要求</w:t>
      </w:r>
    </w:p>
    <w:p>
      <w:pPr>
        <w:pStyle w:val="5"/>
        <w:spacing w:after="0" w:line="360" w:lineRule="auto"/>
        <w:ind w:firstLine="480" w:firstLineChars="200"/>
        <w:rPr>
          <w:rFonts w:hint="eastAsia" w:ascii="宋体"/>
          <w:color w:val="auto"/>
          <w:sz w:val="24"/>
          <w:highlight w:val="none"/>
          <w:u w:val="single"/>
        </w:rPr>
      </w:pPr>
      <w:r>
        <w:rPr>
          <w:rFonts w:hint="eastAsia" w:ascii="宋体"/>
          <w:color w:val="auto"/>
          <w:sz w:val="24"/>
          <w:highlight w:val="none"/>
          <w:u w:val="single"/>
        </w:rPr>
        <w:t>存在下列情形之一的，招标人可以限制其投标（根据招标公告《投标人声明（一）》评审）</w:t>
      </w:r>
    </w:p>
    <w:p>
      <w:pPr>
        <w:pStyle w:val="5"/>
        <w:spacing w:after="0" w:line="360" w:lineRule="auto"/>
        <w:ind w:firstLine="480" w:firstLineChars="200"/>
        <w:rPr>
          <w:rFonts w:hint="eastAsia" w:ascii="宋体"/>
          <w:color w:val="auto"/>
          <w:sz w:val="24"/>
          <w:highlight w:val="none"/>
          <w:u w:val="single"/>
        </w:rPr>
      </w:pPr>
      <w:r>
        <w:rPr>
          <w:rFonts w:hint="eastAsia" w:ascii="宋体"/>
          <w:color w:val="auto"/>
          <w:sz w:val="24"/>
          <w:highlight w:val="none"/>
          <w:u w:val="single"/>
        </w:rPr>
        <w:t>（1）被住房城乡建设行政主管部门在全国建筑市场监管一体化工作平台列入建筑市场主体“黑名单”；</w:t>
      </w:r>
    </w:p>
    <w:p>
      <w:pPr>
        <w:pStyle w:val="5"/>
        <w:spacing w:after="0" w:line="360" w:lineRule="auto"/>
        <w:ind w:firstLine="480" w:firstLineChars="200"/>
        <w:rPr>
          <w:color w:val="auto"/>
          <w:highlight w:val="none"/>
        </w:rPr>
      </w:pPr>
      <w:r>
        <w:rPr>
          <w:rFonts w:hint="eastAsia" w:ascii="宋体"/>
          <w:color w:val="auto"/>
          <w:sz w:val="24"/>
          <w:highlight w:val="none"/>
          <w:u w:val="single"/>
        </w:rPr>
        <w:t>（2）被发改委、人力资源社会保障、质检总局等有关部门、单位在“信用中国”网站中列入联合惩戒失信黑名单；</w:t>
      </w:r>
      <w:r>
        <w:rPr>
          <w:rFonts w:ascii="宋体"/>
          <w:color w:val="auto"/>
          <w:sz w:val="24"/>
          <w:highlight w:val="none"/>
          <w:u w:val="single"/>
        </w:rPr>
        <w:br w:type="page"/>
      </w:r>
      <w:bookmarkStart w:id="20" w:name="_Toc21525498"/>
      <w:bookmarkStart w:id="21" w:name="_Toc2272554"/>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20"/>
      <w:bookmarkEnd w:id="21"/>
    </w:p>
    <w:p>
      <w:pPr>
        <w:pStyle w:val="6"/>
        <w:rPr>
          <w:color w:val="auto"/>
          <w:highlight w:val="none"/>
        </w:rPr>
      </w:pPr>
      <w:bookmarkStart w:id="22" w:name="_Toc2272555"/>
      <w:bookmarkStart w:id="23" w:name="_Toc21525499"/>
      <w:r>
        <w:rPr>
          <w:rFonts w:hint="eastAsia"/>
          <w:color w:val="auto"/>
          <w:sz w:val="28"/>
          <w:szCs w:val="28"/>
          <w:highlight w:val="none"/>
        </w:rPr>
        <w:t>一、</w:t>
      </w:r>
      <w:r>
        <w:rPr>
          <w:rFonts w:hint="eastAsia"/>
          <w:color w:val="auto"/>
          <w:highlight w:val="none"/>
        </w:rPr>
        <w:t>开标、评标及定标办法修改表</w:t>
      </w:r>
      <w:bookmarkEnd w:id="22"/>
      <w:bookmarkEnd w:id="23"/>
    </w:p>
    <w:p>
      <w:pPr>
        <w:pStyle w:val="5"/>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开标、评标及定标办法使用GZZB2018-3招标文件范本的开标、评标及定标办法通用条款，与该通用条款不同之处，均在本表中列明，并以现文为准，原</w:t>
      </w:r>
      <w:r>
        <w:rPr>
          <w:rFonts w:hint="eastAsia"/>
          <w:b/>
          <w:color w:val="auto"/>
          <w:szCs w:val="21"/>
          <w:highlight w:val="none"/>
        </w:rPr>
        <w:t>文不再有效。本招标文件中不再转录</w:t>
      </w:r>
      <w:r>
        <w:rPr>
          <w:rFonts w:hint="eastAsia"/>
          <w:b/>
          <w:color w:val="auto"/>
          <w:highlight w:val="none"/>
        </w:rPr>
        <w:t>开标、评标及定标办法</w:t>
      </w:r>
      <w:r>
        <w:rPr>
          <w:rFonts w:hint="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2"/>
          <w:b/>
          <w:color w:val="auto"/>
          <w:szCs w:val="21"/>
          <w:highlight w:val="none"/>
        </w:rPr>
        <w:t>http://www.gzcc.gov.cn/</w:t>
      </w:r>
      <w:r>
        <w:rPr>
          <w:rStyle w:val="42"/>
          <w:rFonts w:hint="eastAsia"/>
          <w:b/>
          <w:color w:val="auto"/>
          <w:szCs w:val="21"/>
          <w:highlight w:val="none"/>
        </w:rPr>
        <w:t>）下载GZZB2018-3</w:t>
      </w:r>
      <w:r>
        <w:rPr>
          <w:rStyle w:val="42"/>
          <w:rFonts w:hint="eastAsia"/>
          <w:b/>
          <w:color w:val="auto"/>
          <w:szCs w:val="21"/>
          <w:highlight w:val="none"/>
        </w:rPr>
        <w:fldChar w:fldCharType="end"/>
      </w:r>
      <w:r>
        <w:rPr>
          <w:rFonts w:hint="eastAsia"/>
          <w:b/>
          <w:color w:val="auto"/>
          <w:szCs w:val="21"/>
          <w:highlight w:val="none"/>
        </w:rPr>
        <w:t>范本查阅。</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36.1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36.3</w:t>
      </w:r>
      <w:r>
        <w:rPr>
          <w:b/>
          <w:color w:val="auto"/>
          <w:szCs w:val="21"/>
          <w:highlight w:val="none"/>
        </w:rPr>
        <w:t xml:space="preserve">             </w:t>
      </w:r>
      <w:r>
        <w:rPr>
          <w:rFonts w:hint="eastAsia"/>
          <w:b/>
          <w:color w:val="auto"/>
          <w:szCs w:val="21"/>
          <w:highlight w:val="none"/>
        </w:rPr>
        <w:t>修改类型：删除</w:t>
      </w:r>
    </w:p>
    <w:p>
      <w:pP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w:t>
      </w:r>
    </w:p>
    <w:p>
      <w:pPr>
        <w:pBdr>
          <w:bottom w:val="single" w:color="auto" w:sz="6" w:space="1"/>
        </w:pBdr>
        <w:spacing w:line="360" w:lineRule="auto"/>
        <w:rPr>
          <w:rFonts w:hint="eastAsia"/>
          <w:b/>
          <w:color w:val="auto"/>
          <w:szCs w:val="21"/>
          <w:highlight w:val="none"/>
        </w:rPr>
      </w:pPr>
      <w:r>
        <w:rPr>
          <w:rFonts w:hint="eastAsia" w:ascii="宋体" w:hAnsi="宋体" w:cs="宋体"/>
          <w:color w:val="auto"/>
          <w:szCs w:val="21"/>
          <w:highlight w:val="none"/>
        </w:rPr>
        <w:t>应的评标办法供评标时使用。</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36.5.1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广州公共资源交易中心 </w:t>
      </w:r>
      <w:r>
        <w:rPr>
          <w:rFonts w:hint="eastAsia" w:ascii="宋体" w:hAnsi="宋体" w:cs="宋体"/>
          <w:color w:val="auto"/>
          <w:szCs w:val="21"/>
          <w:highlight w:val="none"/>
        </w:rPr>
        <w:t>交易平台对已递交的电子投标文件进行解密。投标人完成解密后，再由</w:t>
      </w:r>
      <w:r>
        <w:rPr>
          <w:rFonts w:hint="eastAsia" w:ascii="宋体" w:hAnsi="宋体" w:cs="宋体"/>
          <w:color w:val="auto"/>
          <w:szCs w:val="21"/>
          <w:highlight w:val="none"/>
          <w:u w:val="single"/>
        </w:rPr>
        <w:t>招标人或招标代理机构</w:t>
      </w:r>
      <w:r>
        <w:rPr>
          <w:rFonts w:hint="eastAsia" w:ascii="宋体" w:hAnsi="宋体" w:cs="宋体"/>
          <w:color w:val="auto"/>
          <w:szCs w:val="21"/>
          <w:highlight w:val="none"/>
        </w:rPr>
        <w:t>进行解密（如有项目负责人签到环节，应在项目负责人签到完成后，招标人再进行解密）。解密完成后，公布招标项目名称、投标人名称、投标保证金的递交情况、投标报价、工期及其他内容。</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38.1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38.1为有助于投标文件的审查、评价和比较，评标期间，经</w:t>
      </w:r>
      <w:r>
        <w:rPr>
          <w:rFonts w:hint="eastAsia" w:ascii="宋体" w:hAnsi="宋体" w:cs="宋体"/>
          <w:color w:val="auto"/>
          <w:szCs w:val="21"/>
          <w:highlight w:val="none"/>
          <w:u w:val="single"/>
        </w:rPr>
        <w:t>综合评标委员会</w:t>
      </w:r>
      <w:r>
        <w:rPr>
          <w:rFonts w:hint="eastAsia" w:ascii="宋体" w:hAnsi="宋体" w:cs="宋体"/>
          <w:color w:val="auto"/>
          <w:szCs w:val="21"/>
          <w:highlight w:val="none"/>
        </w:rPr>
        <w:t>中两人以上（含两人）的成员以书面形式提出动议，</w:t>
      </w:r>
      <w:r>
        <w:rPr>
          <w:rFonts w:hint="eastAsia" w:ascii="宋体" w:hAnsi="宋体" w:cs="宋体"/>
          <w:color w:val="auto"/>
          <w:szCs w:val="21"/>
          <w:highlight w:val="none"/>
          <w:u w:val="single"/>
        </w:rPr>
        <w:t>综合评标委员会</w:t>
      </w:r>
      <w:r>
        <w:rPr>
          <w:rFonts w:hint="eastAsia" w:ascii="宋体" w:hAnsi="宋体" w:cs="宋体"/>
          <w:color w:val="auto"/>
          <w:szCs w:val="21"/>
          <w:highlight w:val="none"/>
        </w:rPr>
        <w:t>应当书面发出澄清通知，要求投标人</w:t>
      </w:r>
      <w:r>
        <w:rPr>
          <w:rFonts w:hint="eastAsia" w:ascii="宋体" w:hAnsi="宋体" w:cs="宋体"/>
          <w:color w:val="auto"/>
          <w:szCs w:val="21"/>
          <w:highlight w:val="none"/>
          <w:u w:val="single"/>
        </w:rPr>
        <w:t>对投标文件含义不明确、对同类问题表述不一致、有明显文字和计算错误的内容以及细微偏差的内容</w:t>
      </w:r>
      <w:r>
        <w:rPr>
          <w:rFonts w:hint="eastAsia" w:ascii="宋体" w:hAnsi="宋体" w:cs="宋体"/>
          <w:color w:val="auto"/>
          <w:szCs w:val="21"/>
          <w:highlight w:val="none"/>
        </w:rPr>
        <w:t>作出澄清。</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39.3 </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rFonts w:ascii="宋体" w:hAnsi="宋体"/>
          <w:color w:val="auto"/>
          <w:sz w:val="24"/>
          <w:szCs w:val="24"/>
          <w:highlight w:val="none"/>
        </w:rPr>
      </w:pPr>
      <w:r>
        <w:rPr>
          <w:rFonts w:hint="eastAsia"/>
          <w:b/>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color w:val="auto"/>
          <w:szCs w:val="21"/>
          <w:highlight w:val="none"/>
          <w:u w:val="single"/>
        </w:rPr>
        <w:t>39.3</w:t>
      </w:r>
      <w:r>
        <w:rPr>
          <w:rFonts w:hint="eastAsia"/>
          <w:bCs/>
          <w:color w:val="auto"/>
          <w:szCs w:val="21"/>
          <w:highlight w:val="none"/>
          <w:u w:val="single"/>
        </w:rPr>
        <w:t>排名第一的中标候选人放弃中标、或因不可抗力提出不能履行合同，或者招标文件规定应当提交履约担保而在规定的期限内未能提交的，</w:t>
      </w:r>
      <w:r>
        <w:rPr>
          <w:rFonts w:hint="eastAsia"/>
          <w:b/>
          <w:bCs/>
          <w:color w:val="auto"/>
          <w:szCs w:val="21"/>
          <w:highlight w:val="none"/>
          <w:u w:val="single"/>
        </w:rPr>
        <w:t>或经核查发现委派的项目负责人已在其他在建项目中任职的，</w:t>
      </w:r>
      <w:r>
        <w:rPr>
          <w:rFonts w:hint="eastAsia"/>
          <w:bCs/>
          <w:color w:val="auto"/>
          <w:szCs w:val="21"/>
          <w:highlight w:val="none"/>
          <w:u w:val="single"/>
        </w:rPr>
        <w:t>招标人可以确定排名第二的中标候选人为中标人。</w:t>
      </w:r>
    </w:p>
    <w:p>
      <w:pPr>
        <w:pStyle w:val="5"/>
        <w:spacing w:after="0"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条款号：（二）开标评标办法程序和细则   注       修改类型：删除</w:t>
      </w:r>
    </w:p>
    <w:p>
      <w:pPr>
        <w:pBdr>
          <w:bottom w:val="single" w:color="auto" w:sz="6" w:space="1"/>
        </w:pBd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注：以下八种评标办法所述企业综合诚信评价分数即投标截止当日广州市住房和城乡建设局网站上公布的企业综合诚信评价60日诚信分。</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 （二）开标评标办法程序和细则        修改类型：删除</w:t>
      </w:r>
    </w:p>
    <w:p>
      <w:pPr>
        <w:pBdr>
          <w:bottom w:val="single" w:color="auto" w:sz="6" w:space="1"/>
        </w:pBdr>
        <w:spacing w:line="360" w:lineRule="auto"/>
        <w:ind w:firstLine="527" w:firstLineChars="250"/>
        <w:rPr>
          <w:rStyle w:val="42"/>
          <w:rFonts w:hint="eastAsia" w:ascii="宋体" w:hAnsi="宋体" w:cs="宋体"/>
          <w:color w:val="auto"/>
          <w:highlight w:val="none"/>
        </w:rPr>
      </w:pPr>
      <w:r>
        <w:rPr>
          <w:rFonts w:hint="eastAsia" w:ascii="宋体" w:hAnsi="宋体" w:cs="宋体"/>
          <w:b/>
          <w:color w:val="auto"/>
          <w:szCs w:val="21"/>
          <w:highlight w:val="none"/>
        </w:rPr>
        <w:t>原文：</w:t>
      </w:r>
      <w:r>
        <w:rPr>
          <w:rStyle w:val="42"/>
          <w:rFonts w:hint="eastAsia" w:ascii="宋体" w:hAnsi="宋体" w:cs="宋体"/>
          <w:color w:val="auto"/>
          <w:highlight w:val="none"/>
        </w:rPr>
        <w:t>可选</w:t>
      </w:r>
      <w:r>
        <w:rPr>
          <w:rFonts w:hint="eastAsia" w:ascii="宋体" w:hAnsi="宋体" w:cs="宋体"/>
          <w:color w:val="auto"/>
          <w:szCs w:val="21"/>
          <w:highlight w:val="none"/>
        </w:rPr>
        <w:t>办法</w:t>
      </w:r>
      <w:r>
        <w:rPr>
          <w:rStyle w:val="42"/>
          <w:rFonts w:hint="eastAsia" w:ascii="宋体" w:hAnsi="宋体" w:cs="宋体"/>
          <w:color w:val="auto"/>
          <w:highlight w:val="none"/>
        </w:rPr>
        <w:t>一（适合</w:t>
      </w:r>
      <w:r>
        <w:rPr>
          <w:rStyle w:val="42"/>
          <w:rFonts w:hint="eastAsia" w:ascii="宋体" w:hAnsi="宋体" w:cs="宋体"/>
          <w:color w:val="auto"/>
          <w:kern w:val="0"/>
          <w:highlight w:val="none"/>
        </w:rPr>
        <w:t>综合评分法一</w:t>
      </w:r>
      <w:r>
        <w:rPr>
          <w:rStyle w:val="42"/>
          <w:rFonts w:hint="eastAsia" w:ascii="宋体" w:hAnsi="宋体" w:cs="宋体"/>
          <w:color w:val="auto"/>
          <w:highlight w:val="none"/>
        </w:rPr>
        <w:t>，技术标与经济标先后分别开启）</w:t>
      </w:r>
    </w:p>
    <w:p>
      <w:pPr>
        <w:pBdr>
          <w:bottom w:val="single" w:color="auto" w:sz="6" w:space="1"/>
        </w:pBdr>
        <w:spacing w:line="360" w:lineRule="auto"/>
        <w:ind w:firstLine="1155" w:firstLineChars="550"/>
        <w:rPr>
          <w:rStyle w:val="42"/>
          <w:rFonts w:hint="eastAsia" w:ascii="宋体" w:hAnsi="宋体" w:cs="宋体"/>
          <w:color w:val="auto"/>
          <w:highlight w:val="none"/>
        </w:rPr>
      </w:pPr>
      <w:r>
        <w:rPr>
          <w:rStyle w:val="42"/>
          <w:rFonts w:hint="eastAsia" w:ascii="宋体" w:hAnsi="宋体" w:cs="宋体"/>
          <w:color w:val="auto"/>
          <w:highlight w:val="none"/>
        </w:rPr>
        <w:t>可选</w:t>
      </w:r>
      <w:r>
        <w:rPr>
          <w:rFonts w:hint="eastAsia" w:ascii="宋体" w:hAnsi="宋体" w:cs="宋体"/>
          <w:color w:val="auto"/>
          <w:szCs w:val="21"/>
          <w:highlight w:val="none"/>
        </w:rPr>
        <w:t>办法</w:t>
      </w:r>
      <w:r>
        <w:rPr>
          <w:rStyle w:val="42"/>
          <w:rFonts w:hint="eastAsia" w:ascii="宋体" w:hAnsi="宋体" w:cs="宋体"/>
          <w:color w:val="auto"/>
          <w:highlight w:val="none"/>
        </w:rPr>
        <w:t>二（适合综合评分法一，技术标与经济标同时开启）</w:t>
      </w:r>
    </w:p>
    <w:p>
      <w:pPr>
        <w:pBdr>
          <w:bottom w:val="single" w:color="auto" w:sz="6" w:space="1"/>
        </w:pBdr>
        <w:spacing w:line="360" w:lineRule="auto"/>
        <w:ind w:firstLine="1155" w:firstLineChars="550"/>
        <w:rPr>
          <w:rStyle w:val="42"/>
          <w:rFonts w:hint="eastAsia" w:ascii="宋体" w:hAnsi="宋体" w:cs="宋体"/>
          <w:color w:val="auto"/>
          <w:highlight w:val="none"/>
        </w:rPr>
      </w:pPr>
      <w:r>
        <w:rPr>
          <w:rStyle w:val="42"/>
          <w:rFonts w:hint="eastAsia" w:ascii="宋体" w:hAnsi="宋体" w:cs="宋体"/>
          <w:color w:val="auto"/>
          <w:highlight w:val="none"/>
        </w:rPr>
        <w:t>可选办法三（适合综合评分法二，技术标与经济标先后分别开启）</w:t>
      </w:r>
    </w:p>
    <w:p>
      <w:pPr>
        <w:pBdr>
          <w:bottom w:val="single" w:color="auto" w:sz="6" w:space="1"/>
        </w:pBdr>
        <w:spacing w:line="360" w:lineRule="auto"/>
        <w:ind w:firstLine="1155" w:firstLineChars="550"/>
        <w:rPr>
          <w:rStyle w:val="42"/>
          <w:rFonts w:hint="eastAsia" w:ascii="宋体" w:hAnsi="宋体" w:cs="宋体"/>
          <w:color w:val="auto"/>
          <w:highlight w:val="none"/>
        </w:rPr>
      </w:pPr>
      <w:r>
        <w:rPr>
          <w:rStyle w:val="42"/>
          <w:rFonts w:hint="eastAsia" w:ascii="宋体" w:hAnsi="宋体" w:cs="宋体"/>
          <w:color w:val="auto"/>
          <w:highlight w:val="none"/>
        </w:rPr>
        <w:t>可选办法四（适合综合评分法二，技术标与经济标同时开启）</w:t>
      </w:r>
    </w:p>
    <w:p>
      <w:pPr>
        <w:pBdr>
          <w:bottom w:val="single" w:color="auto" w:sz="6" w:space="1"/>
        </w:pBdr>
        <w:spacing w:line="360" w:lineRule="auto"/>
        <w:ind w:firstLine="1155" w:firstLineChars="550"/>
        <w:rPr>
          <w:rStyle w:val="42"/>
          <w:rFonts w:hint="eastAsia" w:ascii="宋体" w:hAnsi="宋体" w:cs="宋体"/>
          <w:color w:val="auto"/>
          <w:highlight w:val="none"/>
        </w:rPr>
      </w:pPr>
      <w:r>
        <w:rPr>
          <w:rStyle w:val="42"/>
          <w:rFonts w:hint="eastAsia" w:ascii="宋体" w:hAnsi="宋体" w:cs="宋体"/>
          <w:color w:val="auto"/>
          <w:highlight w:val="none"/>
        </w:rPr>
        <w:t>可选办法五（适合综合评分法三，技术标与经济标先后分别开启）</w:t>
      </w:r>
    </w:p>
    <w:p>
      <w:pPr>
        <w:pBdr>
          <w:bottom w:val="single" w:color="auto" w:sz="6" w:space="1"/>
        </w:pBdr>
        <w:spacing w:line="360" w:lineRule="auto"/>
        <w:ind w:firstLine="1155" w:firstLineChars="550"/>
        <w:rPr>
          <w:rStyle w:val="42"/>
          <w:rFonts w:hint="eastAsia" w:ascii="宋体" w:hAnsi="宋体" w:cs="宋体"/>
          <w:color w:val="auto"/>
          <w:highlight w:val="none"/>
        </w:rPr>
      </w:pPr>
      <w:r>
        <w:rPr>
          <w:rStyle w:val="42"/>
          <w:rFonts w:hint="eastAsia" w:ascii="宋体" w:hAnsi="宋体" w:cs="宋体"/>
          <w:color w:val="auto"/>
          <w:highlight w:val="none"/>
        </w:rPr>
        <w:t>可选办法六（适合综合评分法三，技术标与经济标同时开启）</w:t>
      </w:r>
    </w:p>
    <w:p>
      <w:pPr>
        <w:pBdr>
          <w:bottom w:val="single" w:color="auto" w:sz="6" w:space="1"/>
        </w:pBdr>
        <w:spacing w:line="360" w:lineRule="auto"/>
        <w:ind w:firstLine="1155" w:firstLineChars="550"/>
        <w:rPr>
          <w:rFonts w:hint="eastAsia" w:ascii="宋体" w:hAnsi="宋体" w:cs="宋体"/>
          <w:b/>
          <w:color w:val="auto"/>
          <w:szCs w:val="21"/>
          <w:highlight w:val="none"/>
        </w:rPr>
      </w:pPr>
      <w:r>
        <w:rPr>
          <w:rStyle w:val="42"/>
          <w:rFonts w:hint="eastAsia" w:ascii="宋体" w:hAnsi="宋体" w:cs="宋体"/>
          <w:color w:val="auto"/>
          <w:highlight w:val="none"/>
        </w:rPr>
        <w:t>可选办法八（适合经评审的最低投标价法，技术标与经济标同时开启）</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41.1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41.2.1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s="宋体"/>
          <w:color w:val="auto"/>
          <w:szCs w:val="21"/>
          <w:highlight w:val="none"/>
        </w:rPr>
        <w:t>交易平台。有关投标文件提交的事项详见第一章投标须知。</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交易平台。有关投标文件提交的事项详见第一章投标须知。</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b/>
          <w:bCs/>
          <w:color w:val="auto"/>
          <w:szCs w:val="21"/>
          <w:highlight w:val="none"/>
        </w:rPr>
        <w:t>41.2.2</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480" w:lineRule="auto"/>
        <w:ind w:firstLine="422" w:firstLineChars="200"/>
        <w:rPr>
          <w:rFonts w:hint="eastAsia" w:eastAsia="宋体"/>
          <w:b/>
          <w:color w:val="auto"/>
          <w:szCs w:val="21"/>
          <w:highlight w:val="none"/>
          <w:lang w:eastAsia="zh-CN"/>
        </w:rPr>
      </w:pPr>
      <w:r>
        <w:rPr>
          <w:rFonts w:hint="eastAsia"/>
          <w:b/>
          <w:color w:val="auto"/>
          <w:szCs w:val="21"/>
          <w:highlight w:val="none"/>
        </w:rPr>
        <w:t>原文：</w:t>
      </w:r>
      <w:r>
        <w:rPr>
          <w:rFonts w:hint="eastAsia" w:ascii="宋体"/>
          <w:color w:val="auto"/>
          <w:szCs w:val="21"/>
          <w:highlight w:val="none"/>
        </w:rPr>
        <w:t>4</w:t>
      </w:r>
      <w:r>
        <w:rPr>
          <w:rFonts w:hint="eastAsia" w:ascii="宋体" w:hAnsi="宋体" w:cs="宋体"/>
          <w:color w:val="auto"/>
          <w:szCs w:val="21"/>
          <w:highlight w:val="none"/>
        </w:rPr>
        <w:t>1.2.2开标前，首先由招标人随机抽取确定该工程计算评标参考价的等分点值X</w:t>
      </w:r>
      <w:r>
        <w:rPr>
          <w:rFonts w:hint="eastAsia" w:ascii="宋体" w:hAnsi="宋体" w:cs="宋体"/>
          <w:color w:val="auto"/>
          <w:szCs w:val="21"/>
          <w:highlight w:val="none"/>
          <w:lang w:eastAsia="zh-CN"/>
        </w:rPr>
        <w:t>。</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条款号：41.3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41.3招标人对开标过程进行记录，并存档备查，投标人在技术标开标记录上签字。</w:t>
      </w:r>
    </w:p>
    <w:p>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41.3招标人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对开标过程进行记录，并存档备查，投标人在</w:t>
      </w:r>
      <w:r>
        <w:rPr>
          <w:rFonts w:hint="eastAsia" w:ascii="宋体" w:hAnsi="宋体" w:cs="宋体"/>
          <w:color w:val="auto"/>
          <w:szCs w:val="21"/>
          <w:highlight w:val="none"/>
          <w:u w:val="single"/>
        </w:rPr>
        <w:t>开标记录上</w:t>
      </w:r>
      <w:r>
        <w:rPr>
          <w:rFonts w:hint="eastAsia" w:ascii="宋体" w:hAnsi="宋体" w:cs="宋体"/>
          <w:color w:val="auto"/>
          <w:szCs w:val="21"/>
          <w:highlight w:val="none"/>
        </w:rPr>
        <w:t>签字。</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42.2</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hint="eastAsia"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42.1评标委员会的组成：方式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方式一：评标委员会为综合评标委员会，负责评标工作。</w:t>
      </w:r>
    </w:p>
    <w:p>
      <w:pPr>
        <w:spacing w:line="48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方式二：评标委员会由技术评审组和经济评审组组成。其中：资格审查、技术评审由技术评标组负责，经济评审由经济评审组负责。</w:t>
      </w:r>
    </w:p>
    <w:p>
      <w:pP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w:t>
      </w:r>
    </w:p>
    <w:p>
      <w:pPr>
        <w:pBdr>
          <w:bottom w:val="single" w:color="auto" w:sz="6" w:space="1"/>
        </w:pBdr>
        <w:spacing w:line="480" w:lineRule="auto"/>
        <w:ind w:firstLine="470" w:firstLineChars="224"/>
        <w:rPr>
          <w:color w:val="auto"/>
          <w:highlight w:val="none"/>
        </w:rPr>
      </w:pPr>
      <w:r>
        <w:rPr>
          <w:rFonts w:hint="eastAsia" w:ascii="宋体" w:hAnsi="宋体" w:cs="宋体"/>
          <w:color w:val="auto"/>
          <w:szCs w:val="21"/>
          <w:highlight w:val="none"/>
        </w:rPr>
        <w:t>方式一：评标委员会为综合评标委员会，负责评标工作。</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45.1  </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hint="eastAsia"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元），则本项目招标失败，由招标人依法重新招标。</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45.1</w:t>
      </w:r>
      <w:r>
        <w:rPr>
          <w:rFonts w:hint="eastAsia" w:ascii="宋体" w:hAnsi="宋体" w:cs="宋体"/>
          <w:color w:val="auto"/>
          <w:szCs w:val="21"/>
          <w:highlight w:val="none"/>
          <w:u w:val="single"/>
        </w:rPr>
        <w:t>若所有通过技术标有效性审查的投标人的投标价均大于等于最高投标限价*D%（D的取值为100）的（具体金额为：24951211.78元），则本项目招标失败，由招标人依法重新招标。</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45.2  </w:t>
      </w:r>
      <w:r>
        <w:rPr>
          <w:b/>
          <w:color w:val="auto"/>
          <w:szCs w:val="21"/>
          <w:highlight w:val="none"/>
        </w:rPr>
        <w:t xml:space="preserve">           </w:t>
      </w:r>
      <w:r>
        <w:rPr>
          <w:rFonts w:hint="eastAsia"/>
          <w:b/>
          <w:color w:val="auto"/>
          <w:szCs w:val="21"/>
          <w:highlight w:val="none"/>
        </w:rPr>
        <w:t>修改类型：修改</w:t>
      </w:r>
    </w:p>
    <w:p>
      <w:pPr>
        <w:pStyle w:val="5"/>
        <w:tabs>
          <w:tab w:val="left" w:pos="7380"/>
        </w:tabs>
        <w:snapToGrid w:val="0"/>
        <w:spacing w:after="0" w:line="360" w:lineRule="auto"/>
        <w:ind w:firstLine="422" w:firstLineChars="200"/>
        <w:rPr>
          <w:rFonts w:hint="eastAsia" w:ascii="宋体" w:hAnsi="宋体"/>
          <w:color w:val="auto"/>
          <w:sz w:val="24"/>
          <w:szCs w:val="24"/>
          <w:highlight w:val="none"/>
        </w:rPr>
      </w:pPr>
      <w:r>
        <w:rPr>
          <w:rFonts w:hint="eastAsia"/>
          <w:b/>
          <w:color w:val="auto"/>
          <w:szCs w:val="21"/>
          <w:highlight w:val="none"/>
        </w:rPr>
        <w:t>原文：</w:t>
      </w:r>
      <w:r>
        <w:rPr>
          <w:rFonts w:hint="eastAsia" w:ascii="宋体" w:hAnsi="宋体"/>
          <w:color w:val="auto"/>
          <w:sz w:val="24"/>
          <w:szCs w:val="24"/>
          <w:highlight w:val="none"/>
        </w:rPr>
        <w:t xml:space="preserve"> </w:t>
      </w:r>
      <w:r>
        <w:rPr>
          <w:rFonts w:hint="eastAsia" w:ascii="宋体" w:hAnsi="宋体" w:eastAsia="宋体" w:cs="宋体"/>
          <w:color w:val="auto"/>
          <w:kern w:val="2"/>
          <w:sz w:val="21"/>
          <w:szCs w:val="21"/>
          <w:highlight w:val="none"/>
          <w:lang w:val="en-US" w:eastAsia="zh-CN" w:bidi="ar-SA"/>
        </w:rPr>
        <w:t>45.2按方法    计算评标参考价：</w:t>
      </w:r>
    </w:p>
    <w:p>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技术标或技术标加诚信得分（具体由招标人自定）前N名（N≥5，具体由招标人自定）的经济报价加权平均，计算评标参考价。公式如下：</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评标参考价=Σ（投标人的投标报价*报价权重）。</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其中：报价权重的计算方法为：将N名投标人按技术分由高至低进行排序，第一名投标人的权重为（</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QUOTE </w:instrText>
      </w:r>
      <w:r>
        <w:rPr>
          <w:rFonts w:hint="eastAsia" w:ascii="宋体" w:hAnsi="宋体" w:eastAsia="宋体" w:cs="宋体"/>
          <w:color w:val="auto"/>
          <w:kern w:val="2"/>
          <w:sz w:val="21"/>
          <w:szCs w:val="21"/>
          <w:highlight w:val="none"/>
          <w:lang w:val="en-US" w:eastAsia="zh-CN" w:bidi="ar-SA"/>
        </w:rPr>
        <w:drawing>
          <wp:inline distT="0" distB="0" distL="0" distR="0">
            <wp:extent cx="381000" cy="447675"/>
            <wp:effectExtent l="0" t="0" r="0" b="889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drawing>
          <wp:inline distT="0" distB="0" distL="0" distR="0">
            <wp:extent cx="381000" cy="447675"/>
            <wp:effectExtent l="0" t="0" r="0" b="889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），第二名投标人的权重为（</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QUOTE </w:instrText>
      </w:r>
      <w:r>
        <w:rPr>
          <w:rFonts w:hint="eastAsia" w:ascii="宋体" w:hAnsi="宋体" w:eastAsia="宋体" w:cs="宋体"/>
          <w:color w:val="auto"/>
          <w:kern w:val="2"/>
          <w:sz w:val="21"/>
          <w:szCs w:val="21"/>
          <w:highlight w:val="none"/>
          <w:lang w:val="en-US" w:eastAsia="zh-CN" w:bidi="ar-SA"/>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），以此类推，最后一名投标人的权重为（</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QUOTE </w:instrText>
      </w:r>
      <w:r>
        <w:rPr>
          <w:rFonts w:hint="eastAsia" w:ascii="宋体" w:hAnsi="宋体" w:eastAsia="宋体" w:cs="宋体"/>
          <w:color w:val="auto"/>
          <w:kern w:val="2"/>
          <w:sz w:val="21"/>
          <w:szCs w:val="21"/>
          <w:highlight w:val="none"/>
          <w:lang w:val="en-US" w:eastAsia="zh-CN" w:bidi="ar-SA"/>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w:t>
      </w:r>
    </w:p>
    <w:p>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评标参考价=（Q高-Q低）/100*Ｘ+Q低</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Q低：为达到或超过技术标及格分数线的投标人最低报价与工程成本警示价两者中的较高值；</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Q高：为（最高投标限价*D%）（D的取值范围为[94,100],由招标人自定）</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X:为等分点值，在开标前从[0,100]整数中随机抽取</w:t>
      </w:r>
    </w:p>
    <w:p>
      <w:pPr>
        <w:widowControl/>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45.2按方法</w:t>
      </w:r>
      <w:r>
        <w:rPr>
          <w:rFonts w:hint="eastAsia" w:ascii="宋体" w:hAnsi="宋体" w:cs="宋体"/>
          <w:color w:val="auto"/>
          <w:szCs w:val="21"/>
          <w:highlight w:val="none"/>
          <w:u w:val="single"/>
        </w:rPr>
        <w:t>一</w:t>
      </w:r>
      <w:r>
        <w:rPr>
          <w:rFonts w:hint="eastAsia" w:ascii="宋体" w:hAnsi="宋体" w:cs="宋体"/>
          <w:color w:val="auto"/>
          <w:szCs w:val="21"/>
          <w:highlight w:val="none"/>
        </w:rPr>
        <w:t>计算评标参考价：</w:t>
      </w:r>
    </w:p>
    <w:p>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hint="eastAsia" w:ascii="宋体" w:hAnsi="宋体" w:cs="宋体"/>
          <w:color w:val="auto"/>
          <w:szCs w:val="21"/>
          <w:highlight w:val="none"/>
        </w:rPr>
      </w:pPr>
      <w:r>
        <w:rPr>
          <w:rFonts w:hint="eastAsia" w:ascii="宋体" w:hAnsi="宋体" w:cs="仿宋"/>
          <w:color w:val="auto"/>
          <w:szCs w:val="21"/>
          <w:highlight w:val="none"/>
          <w:u w:val="single"/>
        </w:rPr>
        <w:t>通过技术标有效性审查且经济报价在[工程成本警戒价, 招标控制价]区间的投标人的技术标得分</w:t>
      </w:r>
      <w:r>
        <w:rPr>
          <w:rFonts w:hint="eastAsia" w:ascii="宋体" w:hAnsi="宋体" w:cs="仿宋"/>
          <w:color w:val="auto"/>
          <w:szCs w:val="21"/>
          <w:highlight w:val="none"/>
        </w:rPr>
        <w:t>前</w:t>
      </w:r>
      <w:r>
        <w:rPr>
          <w:rFonts w:ascii="宋体" w:hAnsi="宋体" w:cs="仿宋"/>
          <w:color w:val="auto"/>
          <w:szCs w:val="21"/>
          <w:highlight w:val="none"/>
        </w:rPr>
        <w:t>N</w:t>
      </w:r>
      <w:r>
        <w:rPr>
          <w:rFonts w:hint="eastAsia" w:ascii="宋体" w:hAnsi="宋体" w:cs="仿宋"/>
          <w:color w:val="auto"/>
          <w:szCs w:val="21"/>
          <w:highlight w:val="none"/>
        </w:rPr>
        <w:t>名（N＝5；当N不足5名时，取满足前述条件的投标人个数）</w:t>
      </w:r>
      <w:r>
        <w:rPr>
          <w:rFonts w:hint="eastAsia" w:ascii="宋体" w:hAnsi="宋体" w:cs="宋体"/>
          <w:color w:val="auto"/>
          <w:szCs w:val="21"/>
          <w:highlight w:val="none"/>
        </w:rPr>
        <w:t>的经济报价加权平均，计算评标参考价。公式如下：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889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889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技术标得分相同的的投标人，由评标委员会采用记名投票方式，确定投标人的排序。</w:t>
      </w:r>
    </w:p>
    <w:p>
      <w:pPr>
        <w:pBdr>
          <w:bottom w:val="single" w:color="auto" w:sz="6" w:space="1"/>
        </w:pBdr>
        <w:spacing w:line="360" w:lineRule="auto"/>
        <w:ind w:firstLine="525" w:firstLineChars="250"/>
        <w:rPr>
          <w:color w:val="auto"/>
          <w:highlight w:val="none"/>
        </w:rPr>
      </w:pPr>
      <w:r>
        <w:rPr>
          <w:rFonts w:hint="eastAsia" w:ascii="宋体" w:hAnsi="宋体" w:cs="宋体"/>
          <w:bCs/>
          <w:color w:val="auto"/>
          <w:szCs w:val="21"/>
          <w:highlight w:val="none"/>
          <w:u w:val="single"/>
        </w:rPr>
        <w:t>注：投票方式确定排序的具体操作步骤为：由评标会对出现该情况的投标人进行编号，然后通过投票方式依次确定投标人的排序。</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45.3</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45.3当标价等于评标参考价时得100分，标价每高于评标参考价1%，扣1.5分，每低于评标参考价1%，扣1分，扣至0分为止，得出经济分，精确到小数点后两位。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rPr>
        <w:t>分，每低于评标参考价1%，扣</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rPr>
        <w:t>分，扣至0分为止，得出经济分，精确到小数点后两位。</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45.4</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u w:val="single"/>
        </w:rPr>
        <w:t>45.4计算通过技术标有效性审查的投标人总得分。投标人总得分=</w:t>
      </w:r>
      <w:r>
        <w:rPr>
          <w:rFonts w:hint="eastAsia" w:ascii="宋体" w:hAnsi="宋体" w:cs="宋体"/>
          <w:b w:val="0"/>
          <w:bCs w:val="0"/>
          <w:color w:val="auto"/>
          <w:szCs w:val="21"/>
          <w:u w:val="single"/>
        </w:rPr>
        <w:t>技术得分（满分</w:t>
      </w:r>
      <w:r>
        <w:rPr>
          <w:rFonts w:hint="eastAsia" w:ascii="宋体" w:hAnsi="宋体" w:cs="宋体"/>
          <w:b w:val="0"/>
          <w:bCs w:val="0"/>
          <w:color w:val="auto"/>
          <w:szCs w:val="21"/>
          <w:u w:val="single"/>
          <w:lang w:val="en-US" w:eastAsia="zh-CN"/>
        </w:rPr>
        <w:t>20</w:t>
      </w:r>
      <w:r>
        <w:rPr>
          <w:rFonts w:hint="eastAsia" w:ascii="宋体" w:hAnsi="宋体" w:cs="宋体"/>
          <w:b w:val="0"/>
          <w:bCs w:val="0"/>
          <w:color w:val="auto"/>
          <w:szCs w:val="21"/>
          <w:u w:val="single"/>
        </w:rPr>
        <w:t>分）＋经济得分（满分100分）×经济得分权重（</w:t>
      </w:r>
      <w:r>
        <w:rPr>
          <w:rFonts w:hint="eastAsia" w:ascii="宋体" w:hAnsi="宋体" w:cs="宋体"/>
          <w:b w:val="0"/>
          <w:bCs w:val="0"/>
          <w:color w:val="auto"/>
          <w:szCs w:val="21"/>
          <w:u w:val="single"/>
          <w:lang w:val="en-US" w:eastAsia="zh-CN"/>
        </w:rPr>
        <w:t>8</w:t>
      </w:r>
      <w:r>
        <w:rPr>
          <w:rFonts w:hint="eastAsia" w:ascii="宋体" w:hAnsi="宋体" w:cs="宋体"/>
          <w:b w:val="0"/>
          <w:bCs w:val="0"/>
          <w:color w:val="auto"/>
          <w:szCs w:val="21"/>
          <w:u w:val="single"/>
        </w:rPr>
        <w:t>0%）</w:t>
      </w:r>
      <w:r>
        <w:rPr>
          <w:rFonts w:hint="eastAsia" w:ascii="宋体" w:hAnsi="宋体" w:cs="宋体"/>
          <w:color w:val="auto"/>
          <w:szCs w:val="21"/>
          <w:highlight w:val="none"/>
        </w:rPr>
        <w:t>。技术、经济得分权重按投标须知前附表的规定执行。总</w:t>
      </w:r>
      <w:r>
        <w:rPr>
          <w:rFonts w:hint="eastAsia" w:ascii="宋体" w:hAnsi="宋体" w:cs="宋体"/>
          <w:bCs/>
          <w:color w:val="auto"/>
          <w:szCs w:val="21"/>
          <w:highlight w:val="none"/>
        </w:rPr>
        <w:t>得分四舍五入保留两位小数。</w:t>
      </w:r>
      <w:r>
        <w:rPr>
          <w:rFonts w:hint="eastAsia" w:ascii="宋体" w:hAnsi="宋体" w:cs="宋体"/>
          <w:color w:val="auto"/>
          <w:highlight w:val="none"/>
          <w:u w:val="single"/>
        </w:rPr>
        <w:t>总得分相同的投标文件，以技术分高的排前；总得分、技术分均相同的投标文件，由评标委员会采用记名投票方式，确定投标人的排序。随机方式确定排序的具体操作步骤为：由评标会对出现该情况的投标人进行编号，然后通过记名投票方式，以得票多的排前确定排序。</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条款号：48</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w:t>
      </w:r>
      <w:r>
        <w:rPr>
          <w:rFonts w:hint="eastAsia" w:ascii="宋体" w:hAnsi="宋体" w:cs="宋体"/>
          <w:color w:val="auto"/>
          <w:szCs w:val="21"/>
          <w:highlight w:val="none"/>
          <w:u w:val="single"/>
        </w:rPr>
        <w:t>按步骤45.4确定的投标人排序</w:t>
      </w:r>
      <w:r>
        <w:rPr>
          <w:rFonts w:hint="eastAsia" w:ascii="宋体" w:hAnsi="宋体" w:cs="宋体"/>
          <w:color w:val="auto"/>
          <w:szCs w:val="21"/>
          <w:highlight w:val="none"/>
        </w:rPr>
        <w:t>，推荐前3名依次为第一中标候选人至第三中标候选人,并编制评标报告。</w:t>
      </w:r>
    </w:p>
    <w:p>
      <w:pPr>
        <w:spacing w:line="36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附表一：《资格审查表》   附表二：《技术标有效性审查表》  附表三：《经济标有效性审查表》  附表四：《技术标详细审查评分表》  附表五《经济标评分表》</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详见原范本附表一：《资格审查表》    附表二：《技术标有效性审查表》   附表三：《经济标有效性审查表》   附表四：《技术标详细审查评分表》  附表五《经济标评分表》。</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详见本招标文件</w:t>
      </w:r>
      <w:r>
        <w:rPr>
          <w:rFonts w:hint="eastAsia" w:ascii="宋体" w:hAnsi="宋体" w:cs="宋体"/>
          <w:color w:val="auto"/>
          <w:szCs w:val="21"/>
          <w:highlight w:val="none"/>
          <w:u w:val="single"/>
        </w:rPr>
        <w:t>附表一：《资格审查表》    附表二：《技术标有效性审查表》   附表三：《经济标有效性审查表》   附表四：《技术标详细审查评分表》  附表五《经济标评分表》。</w:t>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9"/>
        <w:spacing w:line="360" w:lineRule="auto"/>
        <w:rPr>
          <w:color w:val="auto"/>
          <w:highlight w:val="none"/>
        </w:rPr>
      </w:pPr>
      <w:r>
        <w:rPr>
          <w:color w:val="auto"/>
          <w:highlight w:val="none"/>
        </w:rPr>
        <w:br w:type="page"/>
      </w:r>
    </w:p>
    <w:p>
      <w:pPr>
        <w:pStyle w:val="6"/>
        <w:ind w:firstLine="525"/>
        <w:rPr>
          <w:color w:val="auto"/>
          <w:highlight w:val="none"/>
        </w:rPr>
      </w:pPr>
      <w:bookmarkStart w:id="24" w:name="_Toc2272556"/>
      <w:bookmarkStart w:id="25" w:name="_Toc21525500"/>
      <w:r>
        <w:rPr>
          <w:rFonts w:hint="eastAsia"/>
          <w:color w:val="auto"/>
          <w:highlight w:val="none"/>
        </w:rPr>
        <w:t>二、开标、评标及定标办法</w:t>
      </w:r>
      <w:r>
        <w:rPr>
          <w:rFonts w:hint="eastAsia"/>
          <w:color w:val="auto"/>
          <w:szCs w:val="30"/>
          <w:highlight w:val="none"/>
        </w:rPr>
        <w:t>通用条款</w:t>
      </w:r>
      <w:bookmarkEnd w:id="24"/>
      <w:bookmarkEnd w:id="25"/>
    </w:p>
    <w:p>
      <w:pPr>
        <w:pStyle w:val="7"/>
        <w:spacing w:before="156" w:after="156"/>
        <w:ind w:firstLine="540" w:firstLineChars="200"/>
        <w:rPr>
          <w:color w:val="auto"/>
          <w:highlight w:val="none"/>
        </w:rPr>
      </w:pPr>
      <w:bookmarkStart w:id="26" w:name="_Toc21525501"/>
      <w:bookmarkStart w:id="27" w:name="_Toc2272557"/>
      <w:r>
        <w:rPr>
          <w:rFonts w:hint="eastAsia"/>
          <w:color w:val="auto"/>
          <w:highlight w:val="none"/>
        </w:rPr>
        <w:t>（一）总则</w:t>
      </w:r>
      <w:bookmarkEnd w:id="26"/>
      <w:bookmarkEnd w:id="27"/>
    </w:p>
    <w:p>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8《广州市工程建设项目招标投标管理办法》（穗府办规〔2017〕5号）。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35.9本项目招标文件。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hint="eastAsia" w:ascii="宋体" w:hAnsi="宋体"/>
          <w:color w:val="auto"/>
          <w:sz w:val="24"/>
          <w:szCs w:val="24"/>
          <w:highlight w:val="none"/>
          <w:u w:val="single"/>
        </w:rPr>
      </w:pPr>
      <w:r>
        <w:rPr>
          <w:rFonts w:ascii="宋体" w:hAnsi="宋体"/>
          <w:color w:val="auto"/>
          <w:sz w:val="24"/>
          <w:szCs w:val="24"/>
          <w:highlight w:val="none"/>
          <w:u w:val="single"/>
        </w:rPr>
        <w:t>36.</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招标人按投标须知前附表第18项所规定的时间和地点公开开标，并邀请所有投标人参加。截标后，开标开始时间因故推迟的，相关评标信息仍以原定的开标开始时间的信息为准。若投标人不参加开标会的，其投标文件在开标现场的投标人或招标人代表、招标代理机构代表及交易中心代表见证下公开开启、解密、公布，并视同该投标人认可开标结果。</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strike/>
          <w:dstrike w:val="0"/>
          <w:color w:val="auto"/>
          <w:sz w:val="24"/>
          <w:szCs w:val="24"/>
          <w:highlight w:val="none"/>
        </w:rPr>
      </w:pPr>
      <w:r>
        <w:rPr>
          <w:rFonts w:hint="eastAsia" w:ascii="宋体" w:hAnsi="宋体"/>
          <w:strike/>
          <w:dstrike w:val="0"/>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36.5.1在投标截止时间后半小时内，投标人通过广州公共资源交易中心 交易平台对已递交的电子投标文件进行解密。投标人完成解密后，再由招标人或招标代理机构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37.3 </w:t>
      </w:r>
      <w:r>
        <w:rPr>
          <w:rFonts w:hint="eastAsia" w:ascii="宋体" w:hAnsi="宋体"/>
          <w:color w:val="auto"/>
          <w:sz w:val="24"/>
          <w:szCs w:val="24"/>
          <w:highlight w:val="none"/>
        </w:rPr>
        <w:t>评标结束后，评标委员会递交评标报告并依法推荐中标候选人。</w:t>
      </w:r>
      <w:r>
        <w:rPr>
          <w:rFonts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w:t>
      </w:r>
      <w:r>
        <w:rPr>
          <w:rFonts w:hint="eastAsia" w:ascii="宋体" w:hAnsi="宋体" w:cs="宋体"/>
          <w:color w:val="auto"/>
          <w:sz w:val="24"/>
          <w:szCs w:val="24"/>
          <w:highlight w:val="none"/>
          <w:u w:val="single"/>
        </w:rPr>
        <w:t>综合评标委员会</w:t>
      </w:r>
      <w:r>
        <w:rPr>
          <w:rFonts w:hint="eastAsia" w:ascii="宋体" w:hAnsi="宋体" w:cs="宋体"/>
          <w:color w:val="auto"/>
          <w:sz w:val="24"/>
          <w:szCs w:val="24"/>
          <w:highlight w:val="none"/>
        </w:rPr>
        <w:t>中两人以上（含两人）的成员以书面形式提出动议，</w:t>
      </w:r>
      <w:r>
        <w:rPr>
          <w:rFonts w:hint="eastAsia" w:ascii="宋体" w:hAnsi="宋体" w:cs="宋体"/>
          <w:color w:val="auto"/>
          <w:sz w:val="24"/>
          <w:szCs w:val="24"/>
          <w:highlight w:val="none"/>
          <w:u w:val="single"/>
        </w:rPr>
        <w:t>综合评标委员会</w:t>
      </w:r>
      <w:r>
        <w:rPr>
          <w:rFonts w:hint="eastAsia" w:ascii="宋体" w:hAnsi="宋体" w:cs="宋体"/>
          <w:color w:val="auto"/>
          <w:sz w:val="24"/>
          <w:szCs w:val="24"/>
          <w:highlight w:val="none"/>
        </w:rPr>
        <w:t>应当书面发出澄清通知，要求投标人</w:t>
      </w:r>
      <w:r>
        <w:rPr>
          <w:rFonts w:hint="eastAsia" w:ascii="宋体" w:hAnsi="宋体" w:cs="宋体"/>
          <w:color w:val="auto"/>
          <w:sz w:val="24"/>
          <w:szCs w:val="24"/>
          <w:highlight w:val="none"/>
          <w:u w:val="single"/>
        </w:rPr>
        <w:t>对投标文件含义不明确、对同类问题表述不一致、有明显文字和计算错误的内容以及细微偏差的内容</w:t>
      </w:r>
      <w:r>
        <w:rPr>
          <w:rFonts w:hint="eastAsia" w:ascii="宋体" w:hAnsi="宋体" w:cs="宋体"/>
          <w:color w:val="auto"/>
          <w:sz w:val="24"/>
          <w:szCs w:val="24"/>
          <w:highlight w:val="none"/>
        </w:rPr>
        <w:t>作出澄清。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39.3排名第一的中标候选人放弃中标、或因不可抗力提出不能履行合同，或者招标文件规定应当提交履约担保而在规定的期限内未能提交的，或经核查发现委派的项目负责人已在其他在建项目中任职的，招标人可以确定排名第二的中标候选人为中标人</w:t>
      </w:r>
      <w:r>
        <w:rPr>
          <w:rFonts w:hint="eastAsia" w:ascii="宋体" w:hAnsi="宋体" w:eastAsia="宋体" w:cs="宋体"/>
          <w:b w:val="0"/>
          <w:bCs w:val="0"/>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7"/>
        <w:spacing w:before="156" w:after="156"/>
        <w:ind w:firstLine="540" w:firstLineChars="200"/>
        <w:rPr>
          <w:color w:val="auto"/>
          <w:highlight w:val="none"/>
        </w:rPr>
      </w:pPr>
      <w:bookmarkStart w:id="28" w:name="_Toc21525502"/>
      <w:bookmarkStart w:id="29" w:name="_Toc2272558"/>
      <w:r>
        <w:rPr>
          <w:rFonts w:hint="eastAsia"/>
          <w:color w:val="auto"/>
          <w:highlight w:val="none"/>
        </w:rPr>
        <w:t>（二）开标评标办法程序和细则</w:t>
      </w:r>
      <w:bookmarkEnd w:id="28"/>
      <w:bookmarkEnd w:id="29"/>
    </w:p>
    <w:p>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注：以下</w:t>
      </w:r>
      <w:r>
        <w:rPr>
          <w:rFonts w:hint="eastAsia" w:ascii="宋体" w:hAnsi="宋体"/>
          <w:strike/>
          <w:color w:val="auto"/>
          <w:sz w:val="24"/>
          <w:szCs w:val="24"/>
          <w:highlight w:val="none"/>
          <w:lang w:eastAsia="zh-CN"/>
        </w:rPr>
        <w:t>八</w:t>
      </w:r>
      <w:r>
        <w:rPr>
          <w:rFonts w:hint="eastAsia" w:ascii="宋体" w:hAnsi="宋体"/>
          <w:strike/>
          <w:color w:val="auto"/>
          <w:sz w:val="24"/>
          <w:szCs w:val="24"/>
          <w:highlight w:val="none"/>
        </w:rPr>
        <w:t>种评标办法所述企业综合诚信评价分数即投标截止当日广州市工程招标代理行业协会网站上公布的企业综合诚信评价</w:t>
      </w:r>
      <w:r>
        <w:rPr>
          <w:rFonts w:ascii="宋体" w:hAnsi="宋体"/>
          <w:strike/>
          <w:color w:val="auto"/>
          <w:sz w:val="24"/>
          <w:szCs w:val="24"/>
          <w:highlight w:val="none"/>
        </w:rPr>
        <w:t>60</w:t>
      </w:r>
      <w:r>
        <w:rPr>
          <w:rFonts w:hint="eastAsia" w:ascii="宋体" w:hAnsi="宋体"/>
          <w:strike/>
          <w:color w:val="auto"/>
          <w:sz w:val="24"/>
          <w:szCs w:val="24"/>
          <w:highlight w:val="none"/>
        </w:rPr>
        <w:t>日诚信分。</w:t>
      </w:r>
    </w:p>
    <w:p>
      <w:pPr>
        <w:pStyle w:val="7"/>
        <w:spacing w:before="156" w:after="156"/>
        <w:ind w:firstLine="540" w:firstLineChars="200"/>
        <w:rPr>
          <w:color w:val="auto"/>
          <w:highlight w:val="none"/>
        </w:rPr>
      </w:pPr>
      <w:bookmarkStart w:id="30" w:name="_Toc2272564"/>
      <w:bookmarkStart w:id="31" w:name="_Toc21525509"/>
      <w:r>
        <w:rPr>
          <w:rFonts w:hint="eastAsia"/>
          <w:color w:val="auto"/>
          <w:highlight w:val="none"/>
        </w:rPr>
        <w:t>可选办法七（适合综合评分法四，技术标与经济标同时开启）</w:t>
      </w:r>
      <w:bookmarkEnd w:id="30"/>
      <w:bookmarkEnd w:id="31"/>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41.1开标由招标人或招标代理主持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 xml:space="preserve">41.2.1投标截止期前，各投标人递交投标文件（包括技术标投标文件、经济标投标文件）至广州公共资源交易中心交易平台。有关投标文件提交的事项详见第一章投标须知。 </w:t>
      </w:r>
    </w:p>
    <w:p>
      <w:pPr>
        <w:snapToGrid w:val="0"/>
        <w:spacing w:line="360" w:lineRule="auto"/>
        <w:ind w:firstLine="480" w:firstLineChars="200"/>
        <w:rPr>
          <w:rFonts w:ascii="宋体"/>
          <w:strike/>
          <w:dstrike w:val="0"/>
          <w:color w:val="auto"/>
          <w:sz w:val="24"/>
          <w:szCs w:val="24"/>
          <w:highlight w:val="none"/>
        </w:rPr>
      </w:pPr>
      <w:r>
        <w:rPr>
          <w:rFonts w:hint="eastAsia" w:ascii="宋体"/>
          <w:strike/>
          <w:dstrike w:val="0"/>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w:t>
      </w:r>
      <w:r>
        <w:rPr>
          <w:rFonts w:hint="eastAsia" w:ascii="宋体"/>
          <w:color w:val="auto"/>
          <w:sz w:val="24"/>
          <w:szCs w:val="24"/>
          <w:highlight w:val="none"/>
          <w:u w:val="single"/>
          <w:lang w:eastAsia="zh-CN"/>
        </w:rPr>
        <w:t>或招标</w:t>
      </w:r>
      <w:r>
        <w:rPr>
          <w:rFonts w:hint="eastAsia" w:ascii="宋体"/>
          <w:color w:val="auto"/>
          <w:sz w:val="24"/>
          <w:szCs w:val="24"/>
          <w:highlight w:val="none"/>
          <w:u w:val="single"/>
          <w:lang w:val="en-US" w:eastAsia="zh-CN"/>
        </w:rPr>
        <w:t>代理机构</w:t>
      </w:r>
      <w:r>
        <w:rPr>
          <w:rFonts w:hint="eastAsia" w:ascii="宋体"/>
          <w:color w:val="auto"/>
          <w:sz w:val="24"/>
          <w:szCs w:val="24"/>
          <w:highlight w:val="none"/>
        </w:rPr>
        <w:t>对开标过程进行记录，并存档备查，投标人在</w:t>
      </w:r>
      <w:r>
        <w:rPr>
          <w:rFonts w:hint="eastAsia" w:ascii="宋体"/>
          <w:color w:val="auto"/>
          <w:sz w:val="24"/>
          <w:szCs w:val="24"/>
          <w:highlight w:val="none"/>
          <w:u w:val="single"/>
        </w:rPr>
        <w:t>开标记录上</w:t>
      </w:r>
      <w:r>
        <w:rPr>
          <w:rFonts w:hint="eastAsia" w:ascii="宋体"/>
          <w:color w:val="auto"/>
          <w:sz w:val="24"/>
          <w:szCs w:val="24"/>
          <w:highlight w:val="none"/>
        </w:rPr>
        <w:t>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42.2评标委员会的组成：方式 一 。</w:t>
      </w:r>
    </w:p>
    <w:p>
      <w:pPr>
        <w:pStyle w:val="5"/>
        <w:tabs>
          <w:tab w:val="left" w:pos="7380"/>
        </w:tabs>
        <w:snapToGrid w:val="0"/>
        <w:spacing w:after="0" w:line="360" w:lineRule="auto"/>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方式一：评标委员会为综合评标委员会，负责评标工作。</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45.1若所有通过技术标有效性审查的投标人的投标价均大于等于最高投标限价*D%（D的取值为100）的（具体金额为：24951211.78元），则本项目招标失败，由招标人依法重新招标。</w:t>
      </w:r>
    </w:p>
    <w:p>
      <w:pPr>
        <w:pStyle w:val="5"/>
        <w:tabs>
          <w:tab w:val="left" w:pos="7380"/>
        </w:tabs>
        <w:snapToGrid w:val="0"/>
        <w:spacing w:after="0" w:line="360" w:lineRule="auto"/>
        <w:ind w:firstLine="480" w:firstLineChars="200"/>
        <w:rPr>
          <w:rFonts w:hint="eastAsia" w:ascii="宋体" w:hAnsi="宋体" w:cs="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u w:val="single"/>
        </w:rPr>
        <w:t>45.2按方法</w:t>
      </w:r>
      <w:r>
        <w:rPr>
          <w:rFonts w:hint="eastAsia" w:ascii="宋体" w:hAnsi="宋体" w:cs="宋体"/>
          <w:b/>
          <w:bCs/>
          <w:color w:val="auto"/>
          <w:sz w:val="24"/>
          <w:szCs w:val="24"/>
          <w:highlight w:val="none"/>
          <w:u w:val="single"/>
        </w:rPr>
        <w:t>一</w:t>
      </w:r>
      <w:r>
        <w:rPr>
          <w:rFonts w:hint="eastAsia" w:ascii="宋体" w:hAnsi="宋体" w:cs="宋体"/>
          <w:color w:val="auto"/>
          <w:sz w:val="24"/>
          <w:szCs w:val="24"/>
          <w:highlight w:val="none"/>
          <w:u w:val="single"/>
        </w:rPr>
        <w:t>计算评标参考价：</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通过技术标有效性审查且经济报价在[工程成本警戒价, 招标控制价]区间的投标人的技术标得分前N名（N＝5；当N不足5名时，取满足前述条件的投标人个数）的经济报价加权平均，计算评标参考价。公式如下：</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评标参考价=Σ（投标人的投标报价*报价权重）。</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其中：报价权重的计算方法为：将N名投标人按技术分由高至低进行排序，第一名投标人的权重为（</w:t>
      </w:r>
      <w:r>
        <w:rPr>
          <w:rFonts w:hint="eastAsia" w:ascii="宋体" w:hAnsi="宋体" w:cs="宋体"/>
          <w:color w:val="auto"/>
          <w:kern w:val="0"/>
          <w:sz w:val="24"/>
          <w:szCs w:val="24"/>
          <w:highlight w:val="none"/>
          <w:u w:val="single"/>
        </w:rPr>
        <w:fldChar w:fldCharType="begin"/>
      </w:r>
      <w:r>
        <w:rPr>
          <w:rFonts w:hint="eastAsia" w:ascii="宋体" w:hAnsi="宋体" w:cs="宋体"/>
          <w:color w:val="auto"/>
          <w:kern w:val="0"/>
          <w:sz w:val="24"/>
          <w:szCs w:val="24"/>
          <w:highlight w:val="none"/>
          <w:u w:val="single"/>
        </w:rPr>
        <w:instrText xml:space="preserve"> QUOTE </w:instrText>
      </w:r>
      <w:r>
        <w:rPr>
          <w:rFonts w:hint="eastAsia" w:ascii="宋体" w:hAnsi="宋体" w:cs="宋体"/>
          <w:color w:val="auto"/>
          <w:kern w:val="0"/>
          <w:sz w:val="24"/>
          <w:szCs w:val="24"/>
          <w:highlight w:val="none"/>
          <w:u w:val="single"/>
        </w:rPr>
        <w:drawing>
          <wp:inline distT="0" distB="0" distL="114300" distR="114300">
            <wp:extent cx="381000" cy="447675"/>
            <wp:effectExtent l="0" t="0" r="0" b="8890"/>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kern w:val="0"/>
          <w:sz w:val="24"/>
          <w:szCs w:val="24"/>
          <w:highlight w:val="none"/>
          <w:u w:val="single"/>
        </w:rPr>
        <w:instrText xml:space="preserve"> \* MERGEFORMAT </w:instrText>
      </w:r>
      <w:r>
        <w:rPr>
          <w:rFonts w:hint="eastAsia" w:ascii="宋体" w:hAnsi="宋体" w:cs="宋体"/>
          <w:color w:val="auto"/>
          <w:kern w:val="0"/>
          <w:sz w:val="24"/>
          <w:szCs w:val="24"/>
          <w:highlight w:val="none"/>
          <w:u w:val="single"/>
        </w:rPr>
        <w:fldChar w:fldCharType="separate"/>
      </w:r>
      <w:r>
        <w:rPr>
          <w:rFonts w:hint="eastAsia" w:ascii="宋体" w:hAnsi="宋体" w:cs="宋体"/>
          <w:color w:val="auto"/>
          <w:kern w:val="0"/>
          <w:sz w:val="24"/>
          <w:szCs w:val="24"/>
          <w:highlight w:val="none"/>
          <w:u w:val="single"/>
        </w:rPr>
        <w:drawing>
          <wp:inline distT="0" distB="0" distL="114300" distR="114300">
            <wp:extent cx="381000" cy="447675"/>
            <wp:effectExtent l="0" t="0" r="0" b="8890"/>
            <wp:docPr id="4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4"/>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kern w:val="0"/>
          <w:sz w:val="24"/>
          <w:szCs w:val="24"/>
          <w:highlight w:val="none"/>
          <w:u w:val="single"/>
        </w:rPr>
        <w:fldChar w:fldCharType="end"/>
      </w:r>
      <w:r>
        <w:rPr>
          <w:rFonts w:hint="eastAsia" w:ascii="宋体" w:hAnsi="宋体" w:cs="宋体"/>
          <w:color w:val="auto"/>
          <w:kern w:val="0"/>
          <w:sz w:val="24"/>
          <w:szCs w:val="24"/>
          <w:highlight w:val="none"/>
          <w:u w:val="single"/>
        </w:rPr>
        <w:t>），第二名投标人的权重为（</w:t>
      </w:r>
      <w:r>
        <w:rPr>
          <w:rFonts w:hint="eastAsia" w:ascii="宋体" w:hAnsi="宋体" w:cs="宋体"/>
          <w:color w:val="auto"/>
          <w:kern w:val="0"/>
          <w:sz w:val="24"/>
          <w:szCs w:val="24"/>
          <w:highlight w:val="none"/>
          <w:u w:val="single"/>
        </w:rPr>
        <w:fldChar w:fldCharType="begin"/>
      </w:r>
      <w:r>
        <w:rPr>
          <w:rFonts w:hint="eastAsia" w:ascii="宋体" w:hAnsi="宋体" w:cs="宋体"/>
          <w:color w:val="auto"/>
          <w:kern w:val="0"/>
          <w:sz w:val="24"/>
          <w:szCs w:val="24"/>
          <w:highlight w:val="none"/>
          <w:u w:val="single"/>
        </w:rPr>
        <w:instrText xml:space="preserve"> QUOTE </w:instrText>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kern w:val="0"/>
          <w:sz w:val="24"/>
          <w:szCs w:val="24"/>
          <w:highlight w:val="none"/>
          <w:u w:val="single"/>
        </w:rPr>
        <w:instrText xml:space="preserve"> \* MERGEFORMAT </w:instrText>
      </w:r>
      <w:r>
        <w:rPr>
          <w:rFonts w:hint="eastAsia" w:ascii="宋体" w:hAnsi="宋体" w:cs="宋体"/>
          <w:color w:val="auto"/>
          <w:kern w:val="0"/>
          <w:sz w:val="24"/>
          <w:szCs w:val="24"/>
          <w:highlight w:val="none"/>
          <w:u w:val="single"/>
        </w:rPr>
        <w:fldChar w:fldCharType="separate"/>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kern w:val="0"/>
          <w:sz w:val="24"/>
          <w:szCs w:val="24"/>
          <w:highlight w:val="none"/>
          <w:u w:val="single"/>
        </w:rPr>
        <w:fldChar w:fldCharType="end"/>
      </w:r>
      <w:r>
        <w:rPr>
          <w:rFonts w:hint="eastAsia" w:ascii="宋体" w:hAnsi="宋体" w:cs="宋体"/>
          <w:color w:val="auto"/>
          <w:kern w:val="0"/>
          <w:sz w:val="24"/>
          <w:szCs w:val="24"/>
          <w:highlight w:val="none"/>
          <w:u w:val="single"/>
        </w:rPr>
        <w:t>），以此类推，最后一名投标人的权重为（</w:t>
      </w:r>
      <w:r>
        <w:rPr>
          <w:rFonts w:hint="eastAsia" w:ascii="宋体" w:hAnsi="宋体" w:cs="宋体"/>
          <w:color w:val="auto"/>
          <w:kern w:val="0"/>
          <w:sz w:val="24"/>
          <w:szCs w:val="24"/>
          <w:highlight w:val="none"/>
          <w:u w:val="single"/>
        </w:rPr>
        <w:fldChar w:fldCharType="begin"/>
      </w:r>
      <w:r>
        <w:rPr>
          <w:rFonts w:hint="eastAsia" w:ascii="宋体" w:hAnsi="宋体" w:cs="宋体"/>
          <w:color w:val="auto"/>
          <w:kern w:val="0"/>
          <w:sz w:val="24"/>
          <w:szCs w:val="24"/>
          <w:highlight w:val="none"/>
          <w:u w:val="single"/>
        </w:rPr>
        <w:instrText xml:space="preserve"> QUOTE </w:instrText>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7"/>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kern w:val="0"/>
          <w:sz w:val="24"/>
          <w:szCs w:val="24"/>
          <w:highlight w:val="none"/>
          <w:u w:val="single"/>
        </w:rPr>
        <w:instrText xml:space="preserve"> \* MERGEFORMAT </w:instrText>
      </w:r>
      <w:r>
        <w:rPr>
          <w:rFonts w:hint="eastAsia" w:ascii="宋体" w:hAnsi="宋体" w:cs="宋体"/>
          <w:color w:val="auto"/>
          <w:kern w:val="0"/>
          <w:sz w:val="24"/>
          <w:szCs w:val="24"/>
          <w:highlight w:val="none"/>
          <w:u w:val="single"/>
        </w:rPr>
        <w:fldChar w:fldCharType="separate"/>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kern w:val="0"/>
          <w:sz w:val="24"/>
          <w:szCs w:val="24"/>
          <w:highlight w:val="none"/>
          <w:u w:val="single"/>
        </w:rPr>
        <w:fldChar w:fldCharType="end"/>
      </w:r>
      <w:r>
        <w:rPr>
          <w:rFonts w:hint="eastAsia" w:ascii="宋体" w:hAnsi="宋体" w:cs="宋体"/>
          <w:color w:val="auto"/>
          <w:kern w:val="0"/>
          <w:sz w:val="24"/>
          <w:szCs w:val="24"/>
          <w:highlight w:val="none"/>
          <w:u w:val="single"/>
        </w:rPr>
        <w:t>）。</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技术标得分相同的的投标人，由评标委员会采用记名投票方式，确定投标人的排序。</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注：投票方式确定排序的具体操作步骤为：由评标会对出现该情况的投标人进行编号，然后通过投票方式依次确定投标人的排序。</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45.3当标价等于评标参考价时得100分，标价每高于评标参考价1%，扣</w:t>
      </w:r>
      <w:r>
        <w:rPr>
          <w:rFonts w:hint="eastAsia" w:ascii="宋体" w:hAnsi="宋体" w:cs="宋体"/>
          <w:color w:val="auto"/>
          <w:kern w:val="0"/>
          <w:sz w:val="24"/>
          <w:szCs w:val="24"/>
          <w:highlight w:val="none"/>
          <w:u w:val="single"/>
          <w:lang w:val="en-US" w:eastAsia="zh-CN"/>
        </w:rPr>
        <w:t>0.2</w:t>
      </w:r>
      <w:r>
        <w:rPr>
          <w:rFonts w:hint="eastAsia" w:ascii="宋体" w:hAnsi="宋体" w:cs="宋体"/>
          <w:color w:val="auto"/>
          <w:kern w:val="0"/>
          <w:sz w:val="24"/>
          <w:szCs w:val="24"/>
          <w:highlight w:val="none"/>
          <w:u w:val="single"/>
        </w:rPr>
        <w:t>分，每低于评标参考价1%，扣</w:t>
      </w:r>
      <w:r>
        <w:rPr>
          <w:rFonts w:hint="eastAsia" w:ascii="宋体" w:hAnsi="宋体" w:cs="宋体"/>
          <w:color w:val="auto"/>
          <w:kern w:val="0"/>
          <w:sz w:val="24"/>
          <w:szCs w:val="24"/>
          <w:highlight w:val="none"/>
          <w:u w:val="single"/>
          <w:lang w:val="en-US" w:eastAsia="zh-CN"/>
        </w:rPr>
        <w:t>0.1</w:t>
      </w:r>
      <w:r>
        <w:rPr>
          <w:rFonts w:hint="eastAsia" w:ascii="宋体" w:hAnsi="宋体" w:cs="宋体"/>
          <w:color w:val="auto"/>
          <w:kern w:val="0"/>
          <w:sz w:val="24"/>
          <w:szCs w:val="24"/>
          <w:highlight w:val="none"/>
          <w:u w:val="single"/>
        </w:rPr>
        <w:t>分，扣至0分为止，得出经济分，精确到小数点后两位。</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45.4计算通过技术标有效性审查的投标人总得分。投标人总得分=</w:t>
      </w:r>
      <w:r>
        <w:rPr>
          <w:rFonts w:hint="eastAsia" w:ascii="宋体" w:hAnsi="宋体" w:eastAsia="宋体" w:cs="宋体"/>
          <w:color w:val="auto"/>
          <w:kern w:val="0"/>
          <w:sz w:val="24"/>
          <w:szCs w:val="24"/>
          <w:highlight w:val="none"/>
          <w:u w:val="single"/>
        </w:rPr>
        <w:t>技术得分（满分</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分）＋经济得分（满分100分）×经济得分权重（</w:t>
      </w:r>
      <w:r>
        <w:rPr>
          <w:rFonts w:hint="eastAsia" w:ascii="宋体" w:hAnsi="宋体" w:eastAsia="宋体" w:cs="宋体"/>
          <w:color w:val="auto"/>
          <w:kern w:val="0"/>
          <w:sz w:val="24"/>
          <w:szCs w:val="24"/>
          <w:highlight w:val="none"/>
          <w:u w:val="single"/>
          <w:lang w:val="en-US" w:eastAsia="zh-CN"/>
        </w:rPr>
        <w:t>8</w:t>
      </w:r>
      <w:r>
        <w:rPr>
          <w:rFonts w:hint="eastAsia" w:ascii="宋体" w:hAnsi="宋体" w:eastAsia="宋体" w:cs="宋体"/>
          <w:color w:val="auto"/>
          <w:kern w:val="0"/>
          <w:sz w:val="24"/>
          <w:szCs w:val="24"/>
          <w:highlight w:val="none"/>
          <w:u w:val="single"/>
        </w:rPr>
        <w:t>0%）</w:t>
      </w:r>
      <w:r>
        <w:rPr>
          <w:rFonts w:hint="eastAsia" w:ascii="宋体" w:hAnsi="宋体" w:cs="宋体"/>
          <w:color w:val="auto"/>
          <w:kern w:val="0"/>
          <w:sz w:val="24"/>
          <w:szCs w:val="24"/>
          <w:highlight w:val="none"/>
          <w:u w:val="single"/>
        </w:rPr>
        <w:t>。技术、经济得分权重按投标须知前附表的规定执行。总得分四舍五入保留两位小数。总得分相同的投标文件，以技术分高的排前；总得分、技术分均相同的投标文件，由评标委员会采用记名投票方式，确定投标人的排序。随机方式确定排序的具体操作步骤为：由评标会对出现该情况的投标人进行编号，然后通过记名投票方式，以得票多的排前确定排序。</w:t>
      </w:r>
    </w:p>
    <w:p>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olor w:val="auto"/>
          <w:sz w:val="24"/>
          <w:highlight w:val="none"/>
        </w:rPr>
        <w:t>投标文件</w:t>
      </w:r>
      <w:r>
        <w:rPr>
          <w:rFonts w:hint="eastAsia" w:ascii="宋体" w:hAnsi="宋体"/>
          <w:color w:val="auto"/>
          <w:sz w:val="24"/>
          <w:szCs w:val="24"/>
          <w:highlight w:val="none"/>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w:t>
      </w:r>
      <w:r>
        <w:rPr>
          <w:rFonts w:hint="eastAsia" w:ascii="宋体" w:hAnsi="宋体"/>
          <w:color w:val="auto"/>
          <w:sz w:val="24"/>
          <w:szCs w:val="24"/>
          <w:highlight w:val="none"/>
          <w:u w:val="single"/>
        </w:rPr>
        <w:t>投标人排序</w:t>
      </w:r>
      <w:r>
        <w:rPr>
          <w:rFonts w:hint="eastAsia" w:ascii="宋体" w:hAnsi="宋体"/>
          <w:color w:val="auto"/>
          <w:sz w:val="24"/>
          <w:szCs w:val="24"/>
          <w:highlight w:val="none"/>
        </w:rPr>
        <w:t>，推荐前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rPr>
          <w:rFonts w:ascii="宋体"/>
          <w:color w:val="auto"/>
          <w:szCs w:val="21"/>
          <w:highlight w:val="none"/>
        </w:rPr>
      </w:pP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35"/>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536"/>
        <w:gridCol w:w="395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2</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szCs w:val="21"/>
              </w:rPr>
              <w:t>营业执照</w:t>
            </w:r>
            <w:r>
              <w:rPr>
                <w:rFonts w:hint="eastAsia" w:ascii="宋体" w:hAnsi="宋体"/>
                <w:szCs w:val="21"/>
              </w:rPr>
              <w:t>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3</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szCs w:val="21"/>
              </w:rPr>
              <w:t>资质证书及安全生产许可证</w:t>
            </w:r>
            <w:r>
              <w:rPr>
                <w:rFonts w:hint="eastAsia" w:ascii="宋体" w:hAnsi="宋体"/>
                <w:szCs w:val="21"/>
              </w:rPr>
              <w:t>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4</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处于</w:t>
            </w:r>
            <w:r>
              <w:rPr>
                <w:rFonts w:hint="eastAsia" w:ascii="宋体" w:hAnsi="宋体"/>
                <w:color w:val="000000" w:themeColor="text1"/>
                <w:szCs w:val="21"/>
                <w:highlight w:val="none"/>
                <w14:textFill>
                  <w14:solidFill>
                    <w14:schemeClr w14:val="tx1"/>
                  </w14:solidFill>
                </w14:textFill>
              </w:rPr>
              <w:t>有效期内的注册建造师注册证书</w:t>
            </w:r>
            <w:r>
              <w:rPr>
                <w:rFonts w:hint="eastAsia" w:ascii="宋体" w:hAnsi="宋体"/>
                <w:color w:val="000000" w:themeColor="text1"/>
                <w:szCs w:val="21"/>
                <w:highlight w:val="none"/>
                <w:lang w:eastAsia="zh-CN"/>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w:t>
            </w:r>
          </w:p>
          <w:p>
            <w:pPr>
              <w:spacing w:before="120" w:after="60"/>
              <w:jc w:val="center"/>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（注：打印建造师电子证书后，应在个人签名处手写本人签名再</w:t>
            </w:r>
            <w:r>
              <w:rPr>
                <w:rFonts w:hint="eastAsia" w:ascii="宋体" w:hAnsi="宋体"/>
                <w:color w:val="000000" w:themeColor="text1"/>
                <w:szCs w:val="21"/>
                <w:highlight w:val="none"/>
                <w:lang w:eastAsia="zh-CN"/>
                <w14:textFill>
                  <w14:solidFill>
                    <w14:schemeClr w14:val="tx1"/>
                  </w14:solidFill>
                </w14:textFill>
              </w:rPr>
              <w:t>扫描提交</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提交扫描</w:t>
            </w:r>
            <w:r>
              <w:rPr>
                <w:rFonts w:hint="eastAsia" w:ascii="宋体" w:hAnsi="宋体"/>
                <w:color w:val="000000" w:themeColor="text1"/>
                <w:szCs w:val="21"/>
                <w:highlight w:val="none"/>
                <w14:textFill>
                  <w14:solidFill>
                    <w14:schemeClr w14:val="tx1"/>
                  </w14:solidFill>
                </w14:textFill>
              </w:rPr>
              <w:t>件未手写签名或与签名图像笔迹不一致的，该电子证书无效。）</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5</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持有项目负责人安全培训考核合格证（</w:t>
            </w:r>
            <w:r>
              <w:rPr>
                <w:rFonts w:ascii="宋体" w:hAnsi="宋体"/>
                <w:color w:val="auto"/>
                <w:szCs w:val="21"/>
                <w:highlight w:val="none"/>
              </w:rPr>
              <w:t>B</w:t>
            </w:r>
            <w:r>
              <w:rPr>
                <w:rFonts w:hint="eastAsia" w:ascii="宋体" w:hAnsi="宋体"/>
                <w:color w:val="auto"/>
                <w:szCs w:val="21"/>
                <w:highlight w:val="none"/>
              </w:rPr>
              <w:t>类）或建筑施工企业项目负责人安全生产考核合格证</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szCs w:val="21"/>
              </w:rPr>
              <w:t>项目负责人安全培训考核合格证（B证）或建筑施工企业项目负责人安全生产考核合格证扫描件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eastAsia="宋体" w:cs="宋体"/>
                <w:color w:val="auto"/>
                <w:szCs w:val="21"/>
                <w:highlight w:val="none"/>
              </w:rPr>
              <w:t>拟委托技术负责人的</w:t>
            </w:r>
            <w:r>
              <w:rPr>
                <w:rStyle w:val="116"/>
                <w:rFonts w:hint="eastAsia"/>
                <w:color w:val="auto"/>
                <w:sz w:val="21"/>
                <w:szCs w:val="21"/>
                <w:highlight w:val="none"/>
                <w:lang w:val="en-US" w:eastAsia="zh-CN"/>
              </w:rPr>
              <w:t>市政</w:t>
            </w:r>
            <w:r>
              <w:rPr>
                <w:rStyle w:val="116"/>
                <w:rFonts w:hint="eastAsia"/>
                <w:color w:val="auto"/>
                <w:sz w:val="21"/>
                <w:szCs w:val="21"/>
                <w:highlight w:val="none"/>
                <w:lang w:val="en-US"/>
              </w:rPr>
              <w:t>类专业</w:t>
            </w:r>
            <w:r>
              <w:rPr>
                <w:rFonts w:hint="eastAsia" w:ascii="宋体" w:hAnsi="宋体" w:eastAsia="宋体" w:cs="宋体"/>
                <w:color w:val="auto"/>
                <w:szCs w:val="21"/>
                <w:highlight w:val="none"/>
              </w:rPr>
              <w:t>工程师或以上职称</w:t>
            </w:r>
            <w:r>
              <w:rPr>
                <w:rFonts w:hint="eastAsia" w:ascii="宋体" w:hAnsi="宋体" w:eastAsia="宋体" w:cs="宋体"/>
                <w:color w:val="000000" w:themeColor="text1"/>
                <w:szCs w:val="21"/>
                <w:highlight w:val="none"/>
                <w14:textFill>
                  <w14:solidFill>
                    <w14:schemeClr w14:val="tx1"/>
                  </w14:solidFill>
                </w14:textFill>
              </w:rPr>
              <w:t>证书</w:t>
            </w:r>
            <w:r>
              <w:rPr>
                <w:rFonts w:hint="eastAsia" w:ascii="宋体" w:hAnsi="宋体" w:cs="宋体"/>
                <w:color w:val="000000" w:themeColor="text1"/>
                <w:szCs w:val="21"/>
                <w:highlight w:val="none"/>
                <w:lang w:eastAsia="zh-CN"/>
                <w14:textFill>
                  <w14:solidFill>
                    <w14:schemeClr w14:val="tx1"/>
                  </w14:solidFill>
                </w14:textFill>
              </w:rPr>
              <w:t>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专职安全员须具有安全生产考核合格证（C类）或建筑施工企业专职安全生产管理人员安全生产考核合格证书（C3）</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专职安全员须具有安全生产考核合格证（C类）</w:t>
            </w:r>
            <w:r>
              <w:rPr>
                <w:rFonts w:hint="eastAsia" w:ascii="宋体" w:hAnsi="宋体" w:eastAsia="宋体" w:cs="Times New Roman"/>
                <w:color w:val="auto"/>
                <w:szCs w:val="21"/>
                <w:highlight w:val="none"/>
              </w:rPr>
              <w:t>或建筑施工企业专职安全生产管理人员安全生产考核合格证书（C3）扫描件。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8</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投标人提供的投标人声明符合公告要求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Cs w:val="21"/>
                <w:highlight w:val="none"/>
              </w:rPr>
              <w:t>投标人声明（一）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投标人声明（</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投标人声明（</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9</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投标人声明中签字的项目负责人和技术负责人与本项目拟派的项目负责人和技术负责人一致</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网上投标时选择拟投标的项目负责人、资格审查文件中拟委派的技术负责人及投标人声明</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rPr>
              <w:t>关于联合体投标：本项目不接受联合体投标。</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rPr>
              <w:t>本项目不接受联合体投标。</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000000" w:themeColor="text1"/>
                <w:kern w:val="2"/>
                <w:sz w:val="21"/>
                <w:szCs w:val="21"/>
                <w:highlight w:val="none"/>
                <w:u w:val="none"/>
                <w:lang w:val="en-US" w:eastAsia="zh-CN" w:bidi="ar-SA"/>
                <w14:textFill>
                  <w14:solidFill>
                    <w14:schemeClr w14:val="tx1"/>
                  </w14:solidFill>
                </w14:textFill>
              </w:rPr>
              <w:t>投标登记前</w:t>
            </w:r>
            <w:r>
              <w:rPr>
                <w:rFonts w:hint="eastAsia" w:ascii="宋体" w:hAnsi="宋体"/>
                <w:color w:val="000000" w:themeColor="text1"/>
                <w:sz w:val="21"/>
                <w:szCs w:val="21"/>
                <w:highlight w:val="none"/>
                <w14:textFill>
                  <w14:solidFill>
                    <w14:schemeClr w14:val="tx1"/>
                  </w14:solidFill>
                </w14:textFill>
              </w:rPr>
              <w:t>，投标人须在广州公共资源交易中心办理企业信息登记及拟担任本工程项目负责人、专职安全员须是本企业信息登记信息中的在册人员。</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投标人在</w:t>
            </w:r>
            <w:r>
              <w:rPr>
                <w:rFonts w:hint="eastAsia"/>
                <w:color w:val="000000" w:themeColor="text1"/>
                <w:highlight w:val="none"/>
                <w:u w:val="single"/>
                <w14:textFill>
                  <w14:solidFill>
                    <w14:schemeClr w14:val="tx1"/>
                  </w14:solidFill>
                </w14:textFill>
              </w:rPr>
              <w:t>广州公共资源交易中心企业</w:t>
            </w:r>
            <w:r>
              <w:rPr>
                <w:rFonts w:hint="eastAsia" w:ascii="宋体" w:hAnsi="宋体"/>
                <w:color w:val="000000" w:themeColor="text1"/>
                <w:szCs w:val="21"/>
                <w:highlight w:val="none"/>
                <w14:textFill>
                  <w14:solidFill>
                    <w14:schemeClr w14:val="tx1"/>
                  </w14:solidFill>
                </w14:textFill>
              </w:rPr>
              <w:t>库内</w:t>
            </w:r>
            <w:r>
              <w:rPr>
                <w:rFonts w:hint="eastAsia" w:ascii="宋体" w:hAnsi="宋体"/>
                <w:color w:val="000000" w:themeColor="text1"/>
                <w:szCs w:val="21"/>
                <w:highlight w:val="none"/>
                <w:u w:val="single"/>
                <w14:textFill>
                  <w14:solidFill>
                    <w14:schemeClr w14:val="tx1"/>
                  </w14:solidFill>
                </w14:textFill>
              </w:rPr>
              <w:t>信息</w:t>
            </w:r>
            <w:r>
              <w:rPr>
                <w:rFonts w:hint="eastAsia"/>
                <w:color w:val="000000" w:themeColor="text1"/>
                <w:highlight w:val="none"/>
                <w:u w:val="single"/>
                <w14:textFill>
                  <w14:solidFill>
                    <w14:schemeClr w14:val="tx1"/>
                  </w14:solidFill>
                </w14:textFill>
              </w:rPr>
              <w:t>登记</w:t>
            </w:r>
            <w:r>
              <w:rPr>
                <w:rFonts w:hint="eastAsia" w:ascii="宋体" w:hAnsi="宋体"/>
                <w:color w:val="000000" w:themeColor="text1"/>
                <w:szCs w:val="21"/>
                <w:highlight w:val="none"/>
                <w14:textFill>
                  <w14:solidFill>
                    <w14:schemeClr w14:val="tx1"/>
                  </w14:solidFill>
                </w14:textFill>
              </w:rPr>
              <w:t>的企业和人员信息</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投标人未出现以下情形：与其它投标人的单位负责人为同一人或者存在控股、管理关系的（按投标人提供的《投标人声明（一）》第</w:t>
            </w:r>
            <w:r>
              <w:rPr>
                <w:rFonts w:hint="eastAsia" w:ascii="宋体" w:hAnsi="宋体" w:cs="Times New Roman"/>
                <w:color w:val="auto"/>
                <w:szCs w:val="21"/>
                <w:highlight w:val="none"/>
                <w:lang w:eastAsia="zh-CN"/>
              </w:rPr>
              <w:t>八</w:t>
            </w:r>
            <w:r>
              <w:rPr>
                <w:rFonts w:hint="eastAsia" w:ascii="宋体" w:hAnsi="宋体" w:eastAsia="宋体" w:cs="Times New Roman"/>
                <w:color w:val="auto"/>
                <w:szCs w:val="21"/>
                <w:highlight w:val="none"/>
              </w:rPr>
              <w:t>条内容进行评审）。</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投标人声明</w:t>
            </w:r>
            <w:r>
              <w:rPr>
                <w:rFonts w:hint="eastAsia" w:ascii="宋体" w:hAnsi="宋体" w:eastAsia="宋体" w:cs="Times New Roman"/>
                <w:color w:val="auto"/>
                <w:szCs w:val="21"/>
                <w:highlight w:val="none"/>
              </w:rPr>
              <w:t>（一）</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3</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未被纳入失信联合惩戒名单</w:t>
            </w:r>
            <w:r>
              <w:rPr>
                <w:rFonts w:hint="eastAsia" w:ascii="宋体" w:hAnsi="宋体" w:cs="Times New Roman"/>
                <w:color w:val="auto"/>
                <w:kern w:val="2"/>
                <w:sz w:val="21"/>
                <w:szCs w:val="21"/>
                <w:highlight w:val="none"/>
              </w:rPr>
              <w:t>且被限制参与相关项目投标的</w:t>
            </w:r>
            <w:r>
              <w:rPr>
                <w:rFonts w:hint="eastAsia" w:ascii="宋体" w:hAnsi="宋体"/>
                <w:color w:val="auto"/>
                <w:szCs w:val="21"/>
                <w:highlight w:val="none"/>
              </w:rPr>
              <w:t>（如有）</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bl>
    <w:p>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r>
        <w:rPr>
          <w:rFonts w:ascii="宋体" w:hAnsi="宋体"/>
          <w:color w:val="auto"/>
          <w:szCs w:val="21"/>
          <w:highlight w:val="none"/>
        </w:rPr>
        <w:t xml:space="preserve"> </w:t>
      </w:r>
    </w:p>
    <w:p>
      <w:pPr>
        <w:spacing w:line="480" w:lineRule="auto"/>
        <w:ind w:firstLine="470" w:firstLineChars="224"/>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pPr>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425" w:num="1"/>
          <w:titlePg/>
          <w:docGrid w:type="lines" w:linePitch="312" w:charSpace="0"/>
        </w:sectPr>
      </w:pPr>
    </w:p>
    <w:p>
      <w:pPr>
        <w:jc w:val="left"/>
        <w:rPr>
          <w:b/>
          <w:color w:val="auto"/>
          <w:sz w:val="36"/>
          <w:szCs w:val="36"/>
          <w:highlight w:val="none"/>
        </w:rPr>
      </w:pPr>
      <w:r>
        <w:rPr>
          <w:rFonts w:hint="eastAsia"/>
          <w:color w:val="auto"/>
          <w:szCs w:val="21"/>
          <w:highlight w:val="none"/>
        </w:rPr>
        <w:t>附表二</w:t>
      </w:r>
      <w:r>
        <w:rPr>
          <w:rFonts w:hint="eastAsia"/>
          <w:b/>
          <w:color w:val="auto"/>
          <w:sz w:val="36"/>
          <w:szCs w:val="36"/>
          <w:highlight w:val="none"/>
          <w:lang w:val="en-US" w:eastAsia="zh-CN"/>
        </w:rPr>
        <w:t xml:space="preserve">                             </w:t>
      </w: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eastAsia="宋体" w:cs="宋体"/>
                <w:color w:val="auto"/>
                <w:szCs w:val="21"/>
                <w:highlight w:val="none"/>
                <w:u w:val="single"/>
              </w:rPr>
              <w:t>《广州建设工程施工招标投标书》中的投标总工期不符合招标文件要求的；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eastAsia="宋体" w:cs="宋体"/>
                <w:color w:val="auto"/>
                <w:szCs w:val="21"/>
                <w:highlight w:val="none"/>
                <w:u w:val="single"/>
              </w:rPr>
              <w:t>《广州建设工程施工招标投标书》中的工程质量标准不符合招标文件要求的；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3</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eastAsia="宋体" w:cs="宋体"/>
                <w:color w:val="auto"/>
                <w:szCs w:val="21"/>
                <w:highlight w:val="none"/>
              </w:rPr>
              <w:t>投标文件中没有有效的法定代表人证明书，或由委托代理人</w:t>
            </w:r>
            <w:r>
              <w:rPr>
                <w:rFonts w:hint="eastAsia" w:ascii="宋体" w:hAnsi="宋体" w:eastAsia="宋体" w:cs="宋体"/>
                <w:color w:val="auto"/>
                <w:szCs w:val="21"/>
                <w:highlight w:val="none"/>
                <w:u w:val="single"/>
              </w:rPr>
              <w:t>签字或盖章</w:t>
            </w:r>
            <w:r>
              <w:rPr>
                <w:rFonts w:hint="eastAsia" w:ascii="宋体" w:hAnsi="宋体" w:eastAsia="宋体" w:cs="宋体"/>
                <w:color w:val="auto"/>
                <w:szCs w:val="21"/>
                <w:highlight w:val="none"/>
              </w:rPr>
              <w:t>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4</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Cs w:val="21"/>
                <w:highlight w:val="none"/>
              </w:rPr>
              <w:t>投标文件未按规定的格式</w:t>
            </w:r>
            <w:r>
              <w:rPr>
                <w:rFonts w:hint="eastAsia" w:ascii="宋体" w:hAnsi="宋体" w:eastAsia="宋体" w:cs="宋体"/>
                <w:color w:val="auto"/>
                <w:szCs w:val="21"/>
                <w:highlight w:val="none"/>
                <w:u w:val="single"/>
              </w:rPr>
              <w:t>（指附件一：广州建设工程施工招标投标书）</w:t>
            </w:r>
            <w:r>
              <w:rPr>
                <w:rFonts w:hint="eastAsia" w:ascii="宋体" w:hAnsi="宋体" w:eastAsia="宋体" w:cs="宋体"/>
                <w:color w:val="auto"/>
                <w:szCs w:val="21"/>
                <w:highlight w:val="none"/>
              </w:rPr>
              <w:t>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5</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6</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7</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8</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Cs w:val="21"/>
                <w:highlight w:val="none"/>
              </w:rPr>
              <w:t>投标人与本项目其他投标人加密打包投标文件电脑机器特征码一致的(以交易平台评标系统的检索信息为准)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ascii="宋体" w:hAnsi="宋体"/>
          <w:color w:val="auto"/>
          <w:szCs w:val="21"/>
          <w:highlight w:val="none"/>
        </w:rPr>
        <w:t>若出现评标委员会否决投标的，应在评标报告中载明否决投标的具体情形、原因。</w:t>
      </w:r>
    </w:p>
    <w:p>
      <w:pPr>
        <w:rPr>
          <w:rFonts w:ascii="宋体" w:hAnsi="宋体"/>
          <w:color w:val="auto"/>
          <w:szCs w:val="21"/>
          <w:highlight w:val="none"/>
        </w:rPr>
      </w:pPr>
      <w:r>
        <w:rPr>
          <w:rFonts w:hint="eastAsia" w:ascii="宋体" w:hAnsi="宋体"/>
          <w:color w:val="auto"/>
          <w:szCs w:val="21"/>
          <w:highlight w:val="none"/>
        </w:rPr>
        <w:t xml:space="preserve">    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w:t>
      </w:r>
    </w:p>
    <w:p>
      <w:pPr>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35"/>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eastAsia="宋体" w:cs="宋体"/>
                <w:color w:val="auto"/>
                <w:szCs w:val="21"/>
                <w:highlight w:val="none"/>
                <w:u w:val="single"/>
              </w:rPr>
              <w:t>（指附件一：广州建设工程施工招标投标书）</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eastAsia="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 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ind w:firstLine="458"/>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pPr>
        <w:ind w:firstLine="458"/>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pStyle w:val="5"/>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color w:val="auto"/>
          <w:szCs w:val="21"/>
          <w:highlight w:val="none"/>
        </w:rPr>
        <w:t>评委签名：</w:t>
      </w:r>
    </w:p>
    <w:p>
      <w:pPr>
        <w:rPr>
          <w:color w:val="auto"/>
          <w:szCs w:val="21"/>
          <w:highlight w:val="none"/>
        </w:rPr>
      </w:pPr>
      <w:r>
        <w:rPr>
          <w:rFonts w:hint="eastAsia"/>
          <w:color w:val="auto"/>
          <w:szCs w:val="21"/>
          <w:highlight w:val="none"/>
        </w:rPr>
        <w:t>附表四</w:t>
      </w:r>
    </w:p>
    <w:p>
      <w:pPr>
        <w:tabs>
          <w:tab w:val="center" w:pos="7288"/>
          <w:tab w:val="left" w:pos="9931"/>
        </w:tabs>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技术标详细审查评分表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35"/>
        <w:tblW w:w="15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51"/>
        <w:gridCol w:w="1401"/>
        <w:gridCol w:w="750"/>
        <w:gridCol w:w="1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0" w:hRule="atLeast"/>
          <w:jc w:val="center"/>
        </w:trPr>
        <w:tc>
          <w:tcPr>
            <w:tcW w:w="1251" w:type="dxa"/>
            <w:shd w:val="clear" w:color="auto" w:fill="FFFFFF"/>
            <w:vAlign w:val="center"/>
          </w:tcPr>
          <w:p>
            <w:pPr>
              <w:pStyle w:val="117"/>
              <w:snapToGrid w:val="0"/>
              <w:spacing w:line="240" w:lineRule="auto"/>
              <w:jc w:val="center"/>
              <w:rPr>
                <w:rFonts w:hint="eastAsia" w:ascii="宋体" w:hAnsi="宋体" w:eastAsia="宋体" w:cs="宋体"/>
                <w:color w:val="auto"/>
                <w:sz w:val="21"/>
                <w:szCs w:val="21"/>
                <w:highlight w:val="none"/>
              </w:rPr>
            </w:pPr>
            <w:r>
              <w:rPr>
                <w:rStyle w:val="116"/>
                <w:rFonts w:hint="eastAsia" w:ascii="宋体" w:hAnsi="宋体" w:eastAsia="宋体" w:cs="宋体"/>
                <w:b/>
                <w:color w:val="auto"/>
                <w:spacing w:val="-10"/>
                <w:sz w:val="21"/>
                <w:szCs w:val="21"/>
                <w:highlight w:val="none"/>
                <w:shd w:val="clear" w:color="auto" w:fill="auto"/>
                <w:lang w:val="en-US"/>
              </w:rPr>
              <w:t>评分项目</w:t>
            </w:r>
          </w:p>
        </w:tc>
        <w:tc>
          <w:tcPr>
            <w:tcW w:w="1401" w:type="dxa"/>
            <w:shd w:val="clear" w:color="auto" w:fill="FFFFFF"/>
            <w:vAlign w:val="center"/>
          </w:tcPr>
          <w:p>
            <w:pPr>
              <w:pStyle w:val="117"/>
              <w:shd w:val="clear" w:color="auto" w:fill="auto"/>
              <w:snapToGrid w:val="0"/>
              <w:spacing w:line="240" w:lineRule="auto"/>
              <w:jc w:val="center"/>
              <w:rPr>
                <w:rFonts w:hint="eastAsia" w:ascii="宋体" w:hAnsi="宋体" w:eastAsia="宋体" w:cs="宋体"/>
                <w:color w:val="auto"/>
                <w:sz w:val="21"/>
                <w:szCs w:val="21"/>
                <w:highlight w:val="none"/>
              </w:rPr>
            </w:pPr>
            <w:r>
              <w:rPr>
                <w:rStyle w:val="116"/>
                <w:rFonts w:hint="eastAsia" w:ascii="宋体" w:hAnsi="宋体" w:eastAsia="宋体" w:cs="宋体"/>
                <w:b/>
                <w:color w:val="auto"/>
                <w:spacing w:val="-10"/>
                <w:sz w:val="21"/>
                <w:szCs w:val="21"/>
                <w:highlight w:val="none"/>
                <w:shd w:val="clear" w:color="auto" w:fill="auto"/>
                <w:lang w:val="en-US"/>
              </w:rPr>
              <w:t>评分内容</w:t>
            </w:r>
          </w:p>
        </w:tc>
        <w:tc>
          <w:tcPr>
            <w:tcW w:w="750" w:type="dxa"/>
            <w:shd w:val="clear" w:color="auto" w:fill="FFFFFF"/>
            <w:vAlign w:val="center"/>
          </w:tcPr>
          <w:p>
            <w:pPr>
              <w:pStyle w:val="117"/>
              <w:shd w:val="clear" w:color="auto" w:fill="auto"/>
              <w:snapToGrid w:val="0"/>
              <w:spacing w:line="240" w:lineRule="auto"/>
              <w:jc w:val="center"/>
              <w:rPr>
                <w:rFonts w:hint="eastAsia" w:ascii="宋体" w:hAnsi="宋体" w:eastAsia="宋体" w:cs="宋体"/>
                <w:color w:val="auto"/>
                <w:sz w:val="21"/>
                <w:szCs w:val="21"/>
                <w:highlight w:val="none"/>
              </w:rPr>
            </w:pPr>
            <w:r>
              <w:rPr>
                <w:rStyle w:val="116"/>
                <w:rFonts w:hint="eastAsia" w:ascii="宋体" w:hAnsi="宋体" w:eastAsia="宋体" w:cs="宋体"/>
                <w:b/>
                <w:color w:val="auto"/>
                <w:spacing w:val="-10"/>
                <w:sz w:val="21"/>
                <w:szCs w:val="21"/>
                <w:highlight w:val="none"/>
                <w:shd w:val="clear" w:color="auto" w:fill="auto"/>
                <w:lang w:val="en-US"/>
              </w:rPr>
              <w:t>分值</w:t>
            </w:r>
          </w:p>
        </w:tc>
        <w:tc>
          <w:tcPr>
            <w:tcW w:w="11967" w:type="dxa"/>
            <w:shd w:val="clear" w:color="auto" w:fill="FFFFFF"/>
            <w:vAlign w:val="center"/>
          </w:tcPr>
          <w:p>
            <w:pPr>
              <w:pStyle w:val="117"/>
              <w:shd w:val="clear" w:color="auto" w:fill="auto"/>
              <w:snapToGrid w:val="0"/>
              <w:spacing w:line="240" w:lineRule="auto"/>
              <w:jc w:val="center"/>
              <w:rPr>
                <w:rStyle w:val="116"/>
                <w:rFonts w:hint="eastAsia" w:ascii="宋体" w:hAnsi="宋体" w:eastAsia="宋体" w:cs="宋体"/>
                <w:color w:val="auto"/>
                <w:sz w:val="21"/>
                <w:szCs w:val="21"/>
                <w:highlight w:val="none"/>
              </w:rPr>
            </w:pPr>
            <w:r>
              <w:rPr>
                <w:rStyle w:val="116"/>
                <w:rFonts w:hint="eastAsia" w:ascii="宋体" w:hAnsi="宋体" w:eastAsia="宋体" w:cs="宋体"/>
                <w:b/>
                <w:color w:val="auto"/>
                <w:spacing w:val="-10"/>
                <w:sz w:val="21"/>
                <w:szCs w:val="21"/>
                <w:highlight w:val="none"/>
                <w:shd w:val="clear" w:color="auto" w:fill="auto"/>
                <w:lang w:val="en-U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 w:hRule="atLeast"/>
          <w:jc w:val="center"/>
        </w:trPr>
        <w:tc>
          <w:tcPr>
            <w:tcW w:w="1251" w:type="dxa"/>
            <w:vMerge w:val="restart"/>
            <w:shd w:val="clear" w:color="auto" w:fill="FFFFFF"/>
            <w:vAlign w:val="center"/>
          </w:tcPr>
          <w:p>
            <w:pPr>
              <w:pStyle w:val="117"/>
              <w:shd w:val="clear" w:color="auto" w:fill="auto"/>
              <w:snapToGrid w:val="0"/>
              <w:spacing w:line="240" w:lineRule="auto"/>
              <w:jc w:val="center"/>
              <w:rPr>
                <w:rFonts w:hint="eastAsia" w:ascii="宋体" w:hAnsi="宋体" w:eastAsia="宋体" w:cs="宋体"/>
                <w:color w:val="auto"/>
                <w:sz w:val="21"/>
                <w:szCs w:val="21"/>
                <w:highlight w:val="none"/>
              </w:rPr>
            </w:pPr>
            <w:r>
              <w:rPr>
                <w:rStyle w:val="116"/>
                <w:rFonts w:hint="eastAsia" w:ascii="宋体" w:hAnsi="宋体" w:eastAsia="宋体" w:cs="宋体"/>
                <w:color w:val="auto"/>
                <w:sz w:val="21"/>
                <w:szCs w:val="21"/>
                <w:highlight w:val="none"/>
              </w:rPr>
              <w:t>项目管理机构能力(</w:t>
            </w:r>
            <w:r>
              <w:rPr>
                <w:rStyle w:val="116"/>
                <w:rFonts w:hint="eastAsia" w:cs="宋体"/>
                <w:color w:val="auto"/>
                <w:sz w:val="21"/>
                <w:szCs w:val="21"/>
                <w:highlight w:val="none"/>
                <w:lang w:val="en-US" w:eastAsia="zh-CN"/>
              </w:rPr>
              <w:t>14</w:t>
            </w:r>
            <w:r>
              <w:rPr>
                <w:rStyle w:val="116"/>
                <w:rFonts w:hint="eastAsia" w:ascii="宋体" w:hAnsi="宋体" w:eastAsia="宋体" w:cs="宋体"/>
                <w:color w:val="auto"/>
                <w:sz w:val="21"/>
                <w:szCs w:val="21"/>
                <w:highlight w:val="none"/>
              </w:rPr>
              <w:t>分)</w:t>
            </w:r>
          </w:p>
        </w:tc>
        <w:tc>
          <w:tcPr>
            <w:tcW w:w="1401" w:type="dxa"/>
            <w:shd w:val="clear" w:color="auto" w:fill="FFFFFF"/>
            <w:vAlign w:val="center"/>
          </w:tcPr>
          <w:p>
            <w:pPr>
              <w:pStyle w:val="115"/>
              <w:jc w:val="center"/>
              <w:rPr>
                <w:rStyle w:val="116"/>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技术负责人</w:t>
            </w:r>
          </w:p>
        </w:tc>
        <w:tc>
          <w:tcPr>
            <w:tcW w:w="750" w:type="dxa"/>
            <w:shd w:val="clear" w:color="auto" w:fill="FFFFFF"/>
            <w:vAlign w:val="center"/>
          </w:tcPr>
          <w:p>
            <w:pPr>
              <w:tabs>
                <w:tab w:val="left" w:pos="360"/>
              </w:tabs>
              <w:snapToGrid w:val="0"/>
              <w:jc w:val="center"/>
              <w:rPr>
                <w:rStyle w:val="116"/>
                <w:rFonts w:hint="default" w:ascii="宋体" w:hAnsi="宋体" w:eastAsia="宋体" w:cs="宋体"/>
                <w:color w:val="auto"/>
                <w:sz w:val="21"/>
                <w:szCs w:val="21"/>
                <w:highlight w:val="none"/>
                <w:lang w:val="en-US"/>
              </w:rPr>
            </w:pPr>
            <w:r>
              <w:rPr>
                <w:rFonts w:hint="eastAsia" w:ascii="宋体" w:hAnsi="宋体" w:cs="宋体"/>
                <w:color w:val="auto"/>
                <w:kern w:val="0"/>
                <w:sz w:val="21"/>
                <w:szCs w:val="21"/>
                <w:highlight w:val="none"/>
                <w:lang w:val="en-US" w:eastAsia="zh-CN"/>
              </w:rPr>
              <w:t>4</w:t>
            </w:r>
            <w:r>
              <w:rPr>
                <w:rFonts w:hint="eastAsia" w:ascii="宋体" w:hAnsi="宋体" w:cs="宋体"/>
                <w:color w:val="auto"/>
                <w:sz w:val="21"/>
                <w:szCs w:val="21"/>
                <w:highlight w:val="none"/>
              </w:rPr>
              <w:t>分</w:t>
            </w:r>
          </w:p>
        </w:tc>
        <w:tc>
          <w:tcPr>
            <w:tcW w:w="11967" w:type="dxa"/>
            <w:shd w:val="clear" w:color="auto" w:fill="FFFFFF"/>
            <w:vAlign w:val="center"/>
          </w:tcPr>
          <w:p>
            <w:pPr>
              <w:numPr>
                <w:ilvl w:val="0"/>
                <w:numId w:val="0"/>
              </w:numPr>
              <w:autoSpaceDE w:val="0"/>
              <w:autoSpaceDN w:val="0"/>
              <w:adjustRightIn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拟委派的技术负责人具有市政类高级工程师</w:t>
            </w:r>
            <w:r>
              <w:rPr>
                <w:rFonts w:hint="eastAsia" w:ascii="宋体" w:hAnsi="宋体" w:cs="宋体"/>
                <w:color w:val="auto"/>
                <w:kern w:val="0"/>
                <w:sz w:val="21"/>
                <w:szCs w:val="21"/>
                <w:highlight w:val="none"/>
                <w:lang w:val="en-US" w:eastAsia="zh-CN"/>
              </w:rPr>
              <w:t>或以上</w:t>
            </w:r>
            <w:r>
              <w:rPr>
                <w:rFonts w:hint="eastAsia" w:ascii="宋体" w:hAnsi="宋体" w:cs="宋体"/>
                <w:color w:val="auto"/>
                <w:kern w:val="0"/>
                <w:sz w:val="21"/>
                <w:szCs w:val="21"/>
                <w:highlight w:val="none"/>
              </w:rPr>
              <w:t>技术职称的，得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分；具有市政类中级工程师技术职称的，得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pPr>
              <w:autoSpaceDE w:val="0"/>
              <w:autoSpaceDN w:val="0"/>
              <w:adjustRightInd w:val="0"/>
              <w:rPr>
                <w:rFonts w:hint="eastAsia" w:ascii="宋体" w:hAnsi="宋体" w:eastAsia="宋体" w:cs="宋体"/>
                <w:color w:val="auto"/>
                <w:sz w:val="21"/>
                <w:szCs w:val="21"/>
                <w:highlight w:val="none"/>
                <w:shd w:val="clear" w:color="auto" w:fill="FFFFFF"/>
              </w:rPr>
            </w:pPr>
            <w:r>
              <w:rPr>
                <w:rFonts w:hint="eastAsia" w:ascii="宋体" w:hAnsi="宋体" w:cs="宋体"/>
                <w:color w:val="auto"/>
                <w:kern w:val="0"/>
                <w:sz w:val="21"/>
                <w:szCs w:val="21"/>
                <w:highlight w:val="none"/>
              </w:rPr>
              <w:t>本项最高得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分，无或其他不得分。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 w:hRule="atLeast"/>
          <w:jc w:val="center"/>
        </w:trPr>
        <w:tc>
          <w:tcPr>
            <w:tcW w:w="1251" w:type="dxa"/>
            <w:vMerge w:val="continue"/>
            <w:shd w:val="clear" w:color="auto" w:fill="FFFFFF"/>
            <w:vAlign w:val="center"/>
          </w:tcPr>
          <w:p>
            <w:pPr>
              <w:pStyle w:val="117"/>
              <w:shd w:val="clear" w:color="auto" w:fill="auto"/>
              <w:snapToGrid w:val="0"/>
              <w:spacing w:line="240" w:lineRule="auto"/>
              <w:rPr>
                <w:rFonts w:hint="eastAsia" w:ascii="宋体" w:hAnsi="宋体" w:eastAsia="宋体" w:cs="宋体"/>
                <w:color w:val="auto"/>
                <w:sz w:val="21"/>
                <w:szCs w:val="21"/>
                <w:highlight w:val="none"/>
              </w:rPr>
            </w:pPr>
          </w:p>
        </w:tc>
        <w:tc>
          <w:tcPr>
            <w:tcW w:w="1401" w:type="dxa"/>
            <w:shd w:val="clear" w:color="auto" w:fill="FFFFFF"/>
            <w:vAlign w:val="center"/>
          </w:tcPr>
          <w:p>
            <w:pPr>
              <w:pStyle w:val="115"/>
              <w:jc w:val="center"/>
              <w:rPr>
                <w:rStyle w:val="116"/>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质量负责人</w:t>
            </w:r>
          </w:p>
        </w:tc>
        <w:tc>
          <w:tcPr>
            <w:tcW w:w="750" w:type="dxa"/>
            <w:shd w:val="clear" w:color="auto" w:fill="FFFFFF"/>
            <w:vAlign w:val="center"/>
          </w:tcPr>
          <w:p>
            <w:pPr>
              <w:tabs>
                <w:tab w:val="left" w:pos="360"/>
              </w:tabs>
              <w:snapToGrid w:val="0"/>
              <w:jc w:val="center"/>
              <w:rPr>
                <w:rStyle w:val="116"/>
                <w:rFonts w:hint="default" w:ascii="宋体" w:hAnsi="宋体" w:eastAsia="宋体" w:cs="宋体"/>
                <w:color w:val="auto"/>
                <w:sz w:val="21"/>
                <w:szCs w:val="21"/>
                <w:highlight w:val="none"/>
                <w:lang w:val="en-US"/>
              </w:rPr>
            </w:pPr>
            <w:r>
              <w:rPr>
                <w:rFonts w:hint="eastAsia" w:ascii="宋体" w:hAnsi="宋体" w:cs="宋体"/>
                <w:color w:val="auto"/>
                <w:kern w:val="0"/>
                <w:sz w:val="21"/>
                <w:szCs w:val="21"/>
                <w:highlight w:val="none"/>
                <w:lang w:val="en-US" w:eastAsia="zh-CN"/>
              </w:rPr>
              <w:t>3</w:t>
            </w:r>
            <w:r>
              <w:rPr>
                <w:rFonts w:hint="eastAsia" w:ascii="宋体" w:hAnsi="宋体" w:cs="宋体"/>
                <w:color w:val="auto"/>
                <w:sz w:val="21"/>
                <w:szCs w:val="21"/>
                <w:highlight w:val="none"/>
              </w:rPr>
              <w:t>分</w:t>
            </w:r>
          </w:p>
        </w:tc>
        <w:tc>
          <w:tcPr>
            <w:tcW w:w="11967" w:type="dxa"/>
            <w:shd w:val="clear" w:color="auto" w:fill="FFFFFF"/>
            <w:vAlign w:val="center"/>
          </w:tcPr>
          <w:p>
            <w:pPr>
              <w:numPr>
                <w:ilvl w:val="0"/>
                <w:numId w:val="3"/>
              </w:numPr>
              <w:autoSpaceDE w:val="0"/>
              <w:autoSpaceDN w:val="0"/>
              <w:adjustRightIn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拟委派的质量负责人具有</w:t>
            </w:r>
            <w:r>
              <w:rPr>
                <w:rFonts w:hint="eastAsia" w:ascii="宋体" w:hAnsi="宋体" w:cs="宋体"/>
                <w:color w:val="auto"/>
                <w:kern w:val="0"/>
                <w:sz w:val="21"/>
                <w:szCs w:val="21"/>
                <w:highlight w:val="none"/>
                <w:lang w:eastAsia="zh-CN"/>
              </w:rPr>
              <w:t>工程</w:t>
            </w:r>
            <w:r>
              <w:rPr>
                <w:rFonts w:hint="eastAsia" w:ascii="宋体" w:hAnsi="宋体" w:cs="宋体"/>
                <w:color w:val="auto"/>
                <w:kern w:val="0"/>
                <w:sz w:val="21"/>
                <w:szCs w:val="21"/>
                <w:highlight w:val="none"/>
              </w:rPr>
              <w:t>类高级工程师</w:t>
            </w:r>
            <w:r>
              <w:rPr>
                <w:rFonts w:hint="eastAsia" w:ascii="宋体" w:hAnsi="宋体" w:cs="宋体"/>
                <w:color w:val="auto"/>
                <w:kern w:val="0"/>
                <w:sz w:val="21"/>
                <w:szCs w:val="21"/>
                <w:highlight w:val="none"/>
                <w:lang w:val="en-US" w:eastAsia="zh-CN"/>
              </w:rPr>
              <w:t>或以上</w:t>
            </w:r>
            <w:r>
              <w:rPr>
                <w:rFonts w:hint="eastAsia" w:ascii="宋体" w:hAnsi="宋体" w:cs="宋体"/>
                <w:color w:val="auto"/>
                <w:kern w:val="0"/>
                <w:sz w:val="21"/>
                <w:szCs w:val="21"/>
                <w:highlight w:val="none"/>
              </w:rPr>
              <w:t>技术职称的，得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分；具有</w:t>
            </w:r>
            <w:r>
              <w:rPr>
                <w:rFonts w:hint="eastAsia" w:ascii="宋体" w:hAnsi="宋体" w:cs="宋体"/>
                <w:color w:val="auto"/>
                <w:kern w:val="0"/>
                <w:sz w:val="21"/>
                <w:szCs w:val="21"/>
                <w:highlight w:val="none"/>
                <w:lang w:eastAsia="zh-CN"/>
              </w:rPr>
              <w:t>工程</w:t>
            </w:r>
            <w:r>
              <w:rPr>
                <w:rFonts w:hint="eastAsia" w:ascii="宋体" w:hAnsi="宋体" w:cs="宋体"/>
                <w:color w:val="auto"/>
                <w:kern w:val="0"/>
                <w:sz w:val="21"/>
                <w:szCs w:val="21"/>
                <w:highlight w:val="none"/>
              </w:rPr>
              <w:t>类中级工程师技术职称的，得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pPr>
              <w:numPr>
                <w:ilvl w:val="0"/>
                <w:numId w:val="3"/>
              </w:numPr>
              <w:autoSpaceDE w:val="0"/>
              <w:autoSpaceDN w:val="0"/>
              <w:adjustRightInd w:val="0"/>
              <w:rPr>
                <w:color w:val="auto"/>
                <w:sz w:val="21"/>
                <w:szCs w:val="21"/>
              </w:rPr>
            </w:pPr>
            <w:r>
              <w:rPr>
                <w:rFonts w:hint="eastAsia" w:ascii="宋体" w:hAnsi="宋体" w:cs="宋体"/>
                <w:color w:val="auto"/>
                <w:kern w:val="0"/>
                <w:sz w:val="21"/>
                <w:szCs w:val="21"/>
                <w:highlight w:val="none"/>
              </w:rPr>
              <w:t>拟委派的质量负责人具有质量员证，得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pPr>
              <w:autoSpaceDE w:val="0"/>
              <w:autoSpaceDN w:val="0"/>
              <w:adjustRightInd w:val="0"/>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rPr>
              <w:t>本项最高得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分，无或其他不得分。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 w:hRule="atLeast"/>
          <w:jc w:val="center"/>
        </w:trPr>
        <w:tc>
          <w:tcPr>
            <w:tcW w:w="1251" w:type="dxa"/>
            <w:vMerge w:val="continue"/>
            <w:shd w:val="clear" w:color="auto" w:fill="FFFFFF"/>
            <w:vAlign w:val="center"/>
          </w:tcPr>
          <w:p>
            <w:pPr>
              <w:pStyle w:val="117"/>
              <w:shd w:val="clear" w:color="auto" w:fill="auto"/>
              <w:snapToGrid w:val="0"/>
              <w:spacing w:line="240" w:lineRule="auto"/>
              <w:rPr>
                <w:rStyle w:val="116"/>
                <w:rFonts w:hint="eastAsia" w:ascii="宋体" w:hAnsi="宋体" w:eastAsia="宋体" w:cs="宋体"/>
                <w:color w:val="auto"/>
                <w:sz w:val="21"/>
                <w:szCs w:val="21"/>
                <w:highlight w:val="none"/>
                <w:lang w:val="en-US"/>
              </w:rPr>
            </w:pPr>
          </w:p>
        </w:tc>
        <w:tc>
          <w:tcPr>
            <w:tcW w:w="1401" w:type="dxa"/>
            <w:shd w:val="clear" w:color="auto" w:fill="FFFFFF"/>
            <w:vAlign w:val="center"/>
          </w:tcPr>
          <w:p>
            <w:pPr>
              <w:pStyle w:val="115"/>
              <w:jc w:val="center"/>
              <w:rPr>
                <w:rStyle w:val="116"/>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安全负责人</w:t>
            </w:r>
          </w:p>
        </w:tc>
        <w:tc>
          <w:tcPr>
            <w:tcW w:w="750" w:type="dxa"/>
            <w:shd w:val="clear" w:color="auto" w:fill="FFFFFF"/>
            <w:vAlign w:val="center"/>
          </w:tcPr>
          <w:p>
            <w:pPr>
              <w:tabs>
                <w:tab w:val="left" w:pos="360"/>
              </w:tabs>
              <w:snapToGrid w:val="0"/>
              <w:jc w:val="center"/>
              <w:rPr>
                <w:rStyle w:val="116"/>
                <w:rFonts w:hint="default" w:ascii="宋体" w:hAnsi="宋体" w:eastAsia="宋体" w:cs="宋体"/>
                <w:color w:val="auto"/>
                <w:sz w:val="21"/>
                <w:szCs w:val="21"/>
                <w:highlight w:val="none"/>
                <w:lang w:val="en-US"/>
              </w:rPr>
            </w:pPr>
            <w:r>
              <w:rPr>
                <w:rFonts w:hint="eastAsia" w:ascii="宋体" w:hAnsi="宋体" w:cs="宋体"/>
                <w:color w:val="auto"/>
                <w:kern w:val="0"/>
                <w:sz w:val="21"/>
                <w:szCs w:val="21"/>
                <w:highlight w:val="none"/>
                <w:lang w:val="en-US" w:eastAsia="zh-CN"/>
              </w:rPr>
              <w:t>3</w:t>
            </w:r>
            <w:r>
              <w:rPr>
                <w:rFonts w:hint="eastAsia" w:ascii="宋体" w:hAnsi="宋体" w:cs="宋体"/>
                <w:color w:val="auto"/>
                <w:sz w:val="21"/>
                <w:szCs w:val="21"/>
                <w:highlight w:val="none"/>
              </w:rPr>
              <w:t>分</w:t>
            </w:r>
          </w:p>
        </w:tc>
        <w:tc>
          <w:tcPr>
            <w:tcW w:w="11967" w:type="dxa"/>
            <w:shd w:val="clear" w:color="auto" w:fill="FFFFFF"/>
            <w:vAlign w:val="center"/>
          </w:tcPr>
          <w:p>
            <w:pPr>
              <w:numPr>
                <w:ilvl w:val="0"/>
                <w:numId w:val="4"/>
              </w:numPr>
              <w:autoSpaceDE w:val="0"/>
              <w:autoSpaceDN w:val="0"/>
              <w:adjustRightIn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拟委派的安全负责人具有</w:t>
            </w:r>
            <w:r>
              <w:rPr>
                <w:rFonts w:hint="eastAsia" w:ascii="宋体" w:hAnsi="宋体" w:cs="宋体"/>
                <w:color w:val="auto"/>
                <w:kern w:val="0"/>
                <w:sz w:val="21"/>
                <w:szCs w:val="21"/>
                <w:highlight w:val="none"/>
                <w:lang w:eastAsia="zh-CN"/>
              </w:rPr>
              <w:t>工程</w:t>
            </w:r>
            <w:r>
              <w:rPr>
                <w:rFonts w:hint="eastAsia" w:ascii="宋体" w:hAnsi="宋体" w:cs="宋体"/>
                <w:color w:val="auto"/>
                <w:kern w:val="0"/>
                <w:sz w:val="21"/>
                <w:szCs w:val="21"/>
                <w:highlight w:val="none"/>
              </w:rPr>
              <w:t>类高级工程师</w:t>
            </w:r>
            <w:r>
              <w:rPr>
                <w:rFonts w:hint="eastAsia" w:ascii="宋体" w:hAnsi="宋体" w:cs="宋体"/>
                <w:color w:val="auto"/>
                <w:kern w:val="0"/>
                <w:sz w:val="21"/>
                <w:szCs w:val="21"/>
                <w:highlight w:val="none"/>
                <w:lang w:val="en-US" w:eastAsia="zh-CN"/>
              </w:rPr>
              <w:t>或以上</w:t>
            </w:r>
            <w:r>
              <w:rPr>
                <w:rFonts w:hint="eastAsia" w:ascii="宋体" w:hAnsi="宋体" w:cs="宋体"/>
                <w:color w:val="auto"/>
                <w:kern w:val="0"/>
                <w:sz w:val="21"/>
                <w:szCs w:val="21"/>
                <w:highlight w:val="none"/>
              </w:rPr>
              <w:t>技术职称的，得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分；具有</w:t>
            </w:r>
            <w:r>
              <w:rPr>
                <w:rFonts w:hint="eastAsia" w:ascii="宋体" w:hAnsi="宋体" w:cs="宋体"/>
                <w:color w:val="auto"/>
                <w:kern w:val="0"/>
                <w:sz w:val="21"/>
                <w:szCs w:val="21"/>
                <w:highlight w:val="none"/>
                <w:lang w:eastAsia="zh-CN"/>
              </w:rPr>
              <w:t>工程</w:t>
            </w:r>
            <w:r>
              <w:rPr>
                <w:rFonts w:hint="eastAsia" w:ascii="宋体" w:hAnsi="宋体" w:cs="宋体"/>
                <w:color w:val="auto"/>
                <w:kern w:val="0"/>
                <w:sz w:val="21"/>
                <w:szCs w:val="21"/>
                <w:highlight w:val="none"/>
              </w:rPr>
              <w:t>类中级工程师技术职称的，得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pPr>
              <w:numPr>
                <w:ilvl w:val="0"/>
                <w:numId w:val="0"/>
              </w:numPr>
              <w:autoSpaceDE w:val="0"/>
              <w:autoSpaceDN w:val="0"/>
              <w:adjustRightIn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（2）拟委派的安全负责人具有有效期内注册安全工程师</w:t>
            </w:r>
            <w:r>
              <w:rPr>
                <w:rFonts w:hint="eastAsia" w:ascii="宋体" w:hAnsi="宋体" w:cs="宋体"/>
                <w:color w:val="auto"/>
                <w:kern w:val="0"/>
                <w:sz w:val="21"/>
                <w:szCs w:val="21"/>
                <w:highlight w:val="none"/>
                <w:lang w:val="en-US" w:eastAsia="zh-CN"/>
              </w:rPr>
              <w:t>证书的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pPr>
              <w:autoSpaceDE w:val="0"/>
              <w:autoSpaceDN w:val="0"/>
              <w:adjustRightInd w:val="0"/>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rPr>
              <w:t>本项最高得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分，无或其他不得分。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 w:hRule="atLeast"/>
          <w:jc w:val="center"/>
        </w:trPr>
        <w:tc>
          <w:tcPr>
            <w:tcW w:w="1251" w:type="dxa"/>
            <w:vMerge w:val="continue"/>
            <w:shd w:val="clear" w:color="auto" w:fill="FFFFFF"/>
            <w:vAlign w:val="center"/>
          </w:tcPr>
          <w:p>
            <w:pPr>
              <w:pStyle w:val="117"/>
              <w:shd w:val="clear" w:color="auto" w:fill="auto"/>
              <w:snapToGrid w:val="0"/>
              <w:spacing w:line="240" w:lineRule="auto"/>
              <w:rPr>
                <w:rStyle w:val="116"/>
                <w:rFonts w:hint="eastAsia" w:ascii="宋体" w:hAnsi="宋体" w:eastAsia="宋体" w:cs="宋体"/>
                <w:color w:val="auto"/>
                <w:sz w:val="21"/>
                <w:szCs w:val="21"/>
                <w:highlight w:val="none"/>
                <w:lang w:val="en-US"/>
              </w:rPr>
            </w:pPr>
          </w:p>
        </w:tc>
        <w:tc>
          <w:tcPr>
            <w:tcW w:w="1401" w:type="dxa"/>
            <w:shd w:val="clear" w:color="auto" w:fill="FFFFFF"/>
            <w:vAlign w:val="center"/>
          </w:tcPr>
          <w:p>
            <w:pPr>
              <w:tabs>
                <w:tab w:val="left" w:pos="360"/>
              </w:tabs>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造价负责人</w:t>
            </w:r>
          </w:p>
          <w:p>
            <w:pPr>
              <w:tabs>
                <w:tab w:val="left" w:pos="360"/>
              </w:tabs>
              <w:snapToGrid w:val="0"/>
              <w:jc w:val="center"/>
              <w:rPr>
                <w:rStyle w:val="116"/>
                <w:rFonts w:hint="eastAsia" w:ascii="宋体" w:hAnsi="宋体" w:eastAsia="宋体" w:cs="宋体"/>
                <w:color w:val="auto"/>
                <w:sz w:val="21"/>
                <w:szCs w:val="21"/>
                <w:highlight w:val="none"/>
                <w:lang w:val="en-US"/>
              </w:rPr>
            </w:pPr>
          </w:p>
        </w:tc>
        <w:tc>
          <w:tcPr>
            <w:tcW w:w="750" w:type="dxa"/>
            <w:shd w:val="clear" w:color="auto" w:fill="FFFFFF"/>
            <w:vAlign w:val="center"/>
          </w:tcPr>
          <w:p>
            <w:pPr>
              <w:tabs>
                <w:tab w:val="left" w:pos="360"/>
              </w:tabs>
              <w:snapToGrid w:val="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cs="宋体"/>
                <w:color w:val="auto"/>
                <w:sz w:val="21"/>
                <w:szCs w:val="21"/>
                <w:highlight w:val="none"/>
              </w:rPr>
              <w:t>分</w:t>
            </w:r>
          </w:p>
          <w:p>
            <w:pPr>
              <w:tabs>
                <w:tab w:val="left" w:pos="360"/>
              </w:tabs>
              <w:snapToGrid w:val="0"/>
              <w:jc w:val="center"/>
              <w:rPr>
                <w:rStyle w:val="116"/>
                <w:rFonts w:hint="default" w:ascii="宋体" w:hAnsi="宋体" w:eastAsia="宋体" w:cs="宋体"/>
                <w:color w:val="auto"/>
                <w:sz w:val="21"/>
                <w:szCs w:val="21"/>
                <w:highlight w:val="none"/>
                <w:lang w:val="en-US"/>
              </w:rPr>
            </w:pPr>
          </w:p>
        </w:tc>
        <w:tc>
          <w:tcPr>
            <w:tcW w:w="11967" w:type="dxa"/>
            <w:shd w:val="clear" w:color="auto" w:fill="FFFFFF"/>
            <w:vAlign w:val="center"/>
          </w:tcPr>
          <w:p>
            <w:pPr>
              <w:autoSpaceDE w:val="0"/>
              <w:autoSpaceDN w:val="0"/>
              <w:adjustRightIn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（1）拟委派的造价负责人具有有效期内</w:t>
            </w:r>
            <w:r>
              <w:rPr>
                <w:rStyle w:val="116"/>
                <w:rFonts w:hint="eastAsia" w:ascii="宋体" w:hAnsi="宋体" w:eastAsia="宋体" w:cs="宋体"/>
                <w:color w:val="auto"/>
                <w:sz w:val="21"/>
                <w:szCs w:val="21"/>
                <w:highlight w:val="none"/>
                <w:lang w:val="en-US" w:eastAsia="zh-CN"/>
              </w:rPr>
              <w:t>注册造价工程师（或注册一级造价工程师）证书</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pPr>
              <w:autoSpaceDE w:val="0"/>
              <w:autoSpaceDN w:val="0"/>
              <w:adjustRightInd w:val="0"/>
              <w:rPr>
                <w:color w:val="auto"/>
              </w:rPr>
            </w:pPr>
            <w:r>
              <w:rPr>
                <w:rFonts w:hint="eastAsia" w:ascii="宋体" w:hAnsi="宋体" w:cs="宋体"/>
                <w:color w:val="auto"/>
                <w:kern w:val="0"/>
                <w:sz w:val="21"/>
                <w:szCs w:val="21"/>
                <w:highlight w:val="none"/>
              </w:rPr>
              <w:t>（2）拟委派的造价负责人具有</w:t>
            </w:r>
            <w:r>
              <w:rPr>
                <w:rFonts w:hint="eastAsia" w:ascii="宋体" w:hAnsi="宋体" w:cs="宋体"/>
                <w:color w:val="auto"/>
                <w:kern w:val="0"/>
                <w:sz w:val="21"/>
                <w:szCs w:val="21"/>
                <w:highlight w:val="none"/>
                <w:lang w:val="en-US" w:eastAsia="zh-CN"/>
              </w:rPr>
              <w:t>工程造价类</w:t>
            </w:r>
            <w:r>
              <w:rPr>
                <w:rFonts w:hint="eastAsia" w:ascii="宋体" w:hAnsi="宋体" w:cs="宋体"/>
                <w:color w:val="auto"/>
                <w:kern w:val="0"/>
                <w:sz w:val="21"/>
                <w:szCs w:val="21"/>
                <w:highlight w:val="none"/>
              </w:rPr>
              <w:t>高级工程师</w:t>
            </w:r>
            <w:r>
              <w:rPr>
                <w:rFonts w:hint="eastAsia" w:ascii="宋体" w:hAnsi="宋体" w:cs="宋体"/>
                <w:color w:val="auto"/>
                <w:kern w:val="0"/>
                <w:sz w:val="21"/>
                <w:szCs w:val="21"/>
                <w:highlight w:val="none"/>
                <w:lang w:val="en-US" w:eastAsia="zh-CN"/>
              </w:rPr>
              <w:t>或以上</w:t>
            </w:r>
            <w:r>
              <w:rPr>
                <w:rFonts w:hint="eastAsia" w:ascii="宋体" w:hAnsi="宋体" w:cs="宋体"/>
                <w:color w:val="auto"/>
                <w:kern w:val="0"/>
                <w:sz w:val="21"/>
                <w:szCs w:val="21"/>
                <w:highlight w:val="none"/>
              </w:rPr>
              <w:t>技术职称的，得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分；具有</w:t>
            </w:r>
            <w:r>
              <w:rPr>
                <w:rFonts w:hint="eastAsia" w:ascii="宋体" w:hAnsi="宋体" w:cs="宋体"/>
                <w:color w:val="auto"/>
                <w:kern w:val="0"/>
                <w:sz w:val="21"/>
                <w:szCs w:val="21"/>
                <w:highlight w:val="none"/>
                <w:lang w:val="en-US" w:eastAsia="zh-CN"/>
              </w:rPr>
              <w:t>工程造价类</w:t>
            </w:r>
            <w:r>
              <w:rPr>
                <w:rFonts w:hint="eastAsia" w:ascii="宋体" w:hAnsi="宋体" w:cs="宋体"/>
                <w:color w:val="auto"/>
                <w:kern w:val="0"/>
                <w:sz w:val="21"/>
                <w:szCs w:val="21"/>
                <w:highlight w:val="none"/>
              </w:rPr>
              <w:t>中级工程师技术职称的，得</w:t>
            </w:r>
            <w:r>
              <w:rPr>
                <w:rFonts w:hint="eastAsia" w:ascii="宋体" w:hAnsi="宋体" w:cs="宋体"/>
                <w:color w:val="auto"/>
                <w:kern w:val="0"/>
                <w:sz w:val="21"/>
                <w:szCs w:val="21"/>
                <w:highlight w:val="none"/>
                <w:lang w:val="en-US" w:eastAsia="zh-CN"/>
              </w:rPr>
              <w:t>1.5</w:t>
            </w:r>
            <w:r>
              <w:rPr>
                <w:rFonts w:hint="eastAsia" w:ascii="宋体" w:hAnsi="宋体" w:cs="宋体"/>
                <w:color w:val="auto"/>
                <w:kern w:val="0"/>
                <w:sz w:val="21"/>
                <w:szCs w:val="21"/>
                <w:highlight w:val="none"/>
              </w:rPr>
              <w:t>分。</w:t>
            </w:r>
          </w:p>
          <w:p>
            <w:pPr>
              <w:autoSpaceDE w:val="0"/>
              <w:autoSpaceDN w:val="0"/>
              <w:adjustRightInd w:val="0"/>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rPr>
              <w:t>本项最高得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分，无或其他不得分。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1" w:hRule="atLeast"/>
          <w:jc w:val="center"/>
        </w:trPr>
        <w:tc>
          <w:tcPr>
            <w:tcW w:w="1251" w:type="dxa"/>
            <w:vMerge w:val="continue"/>
            <w:shd w:val="clear" w:color="auto" w:fill="FFFFFF"/>
            <w:vAlign w:val="center"/>
          </w:tcPr>
          <w:p>
            <w:pPr>
              <w:pStyle w:val="117"/>
              <w:shd w:val="clear" w:color="auto" w:fill="auto"/>
              <w:snapToGrid w:val="0"/>
              <w:spacing w:line="240" w:lineRule="auto"/>
              <w:jc w:val="center"/>
              <w:rPr>
                <w:rFonts w:hint="eastAsia" w:ascii="宋体" w:hAnsi="宋体" w:eastAsia="宋体" w:cs="宋体"/>
                <w:color w:val="auto"/>
                <w:sz w:val="21"/>
                <w:szCs w:val="21"/>
                <w:highlight w:val="none"/>
              </w:rPr>
            </w:pPr>
          </w:p>
        </w:tc>
        <w:tc>
          <w:tcPr>
            <w:tcW w:w="14118" w:type="dxa"/>
            <w:gridSpan w:val="3"/>
            <w:shd w:val="clear" w:color="auto" w:fill="FFFFFF"/>
            <w:vAlign w:val="center"/>
          </w:tcPr>
          <w:p>
            <w:pPr>
              <w:wordWrap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注：1．上述人员不得相互兼任</w:t>
            </w:r>
            <w:r>
              <w:rPr>
                <w:rFonts w:hint="eastAsia" w:ascii="宋体" w:hAnsi="宋体" w:eastAsia="宋体" w:cs="宋体"/>
                <w:color w:val="auto"/>
                <w:sz w:val="21"/>
                <w:szCs w:val="21"/>
                <w:highlight w:val="none"/>
                <w:lang w:eastAsia="zh-CN"/>
              </w:rPr>
              <w:t>（退休返聘人员不得分），</w:t>
            </w:r>
            <w:r>
              <w:rPr>
                <w:rFonts w:hint="eastAsia" w:ascii="宋体" w:hAnsi="宋体" w:eastAsia="宋体" w:cs="宋体"/>
                <w:color w:val="auto"/>
                <w:sz w:val="21"/>
                <w:szCs w:val="21"/>
                <w:highlight w:val="none"/>
              </w:rPr>
              <w:t>须提供相应人员</w:t>
            </w:r>
            <w:r>
              <w:rPr>
                <w:rFonts w:hint="eastAsia" w:ascii="宋体" w:hAnsi="宋体" w:eastAsia="宋体" w:cs="宋体"/>
                <w:color w:val="auto"/>
                <w:sz w:val="21"/>
                <w:szCs w:val="21"/>
                <w:highlight w:val="none"/>
                <w:lang w:eastAsia="zh-CN"/>
              </w:rPr>
              <w:t>身份证、</w:t>
            </w:r>
            <w:r>
              <w:rPr>
                <w:rFonts w:hint="eastAsia" w:ascii="宋体" w:hAnsi="宋体" w:eastAsia="宋体" w:cs="宋体"/>
                <w:color w:val="auto"/>
                <w:sz w:val="21"/>
                <w:szCs w:val="21"/>
                <w:highlight w:val="none"/>
              </w:rPr>
              <w:t>职称证书或执业资格证书</w:t>
            </w:r>
            <w:r>
              <w:rPr>
                <w:rFonts w:hint="eastAsia" w:ascii="宋体" w:hAnsi="宋体" w:cs="宋体"/>
                <w:color w:val="auto"/>
                <w:sz w:val="21"/>
                <w:szCs w:val="21"/>
                <w:highlight w:val="none"/>
                <w:lang w:val="en-US" w:eastAsia="zh-CN"/>
              </w:rPr>
              <w:t>或岗位证</w:t>
            </w:r>
            <w:r>
              <w:rPr>
                <w:rFonts w:hint="eastAsia" w:ascii="宋体" w:hAnsi="宋体" w:eastAsia="宋体" w:cs="宋体"/>
                <w:color w:val="auto"/>
                <w:sz w:val="21"/>
                <w:szCs w:val="21"/>
                <w:highlight w:val="none"/>
              </w:rPr>
              <w:t>的原件扫描件，其中注册安全工程师须同时提供注册安全工程师注册管理系统网站（http://rmocse.chinasafety.ac.cn/Query.aspx）查询结果网页截图；注册造价工程师（或一级注册造价工程师）须同时提供注册造价工程师注册信息查询网站（http://zaojiasys.jianshe99.com/cecaopsys/queryAndSearch/view.do?op=queryUserInfoInit）查询结果网页截图。</w:t>
            </w:r>
          </w:p>
          <w:p>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须提供相应人员近一个月（2022年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的有效社保证明（本项目社保缴纳期限包含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pStyle w:val="2"/>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5" w:hRule="atLeast"/>
          <w:jc w:val="center"/>
        </w:trPr>
        <w:tc>
          <w:tcPr>
            <w:tcW w:w="1251" w:type="dxa"/>
            <w:vMerge w:val="restart"/>
            <w:shd w:val="clear" w:color="auto" w:fill="FFFFFF"/>
            <w:vAlign w:val="center"/>
          </w:tcPr>
          <w:p>
            <w:pPr>
              <w:pStyle w:val="117"/>
              <w:shd w:val="clear" w:color="auto" w:fill="auto"/>
              <w:snapToGrid w:val="0"/>
              <w:spacing w:line="240" w:lineRule="auto"/>
              <w:jc w:val="center"/>
              <w:rPr>
                <w:rFonts w:hint="eastAsia" w:ascii="宋体" w:hAnsi="宋体" w:eastAsia="宋体" w:cs="宋体"/>
                <w:color w:val="auto"/>
                <w:sz w:val="21"/>
                <w:szCs w:val="21"/>
                <w:highlight w:val="none"/>
              </w:rPr>
            </w:pPr>
            <w:r>
              <w:rPr>
                <w:rStyle w:val="116"/>
                <w:rFonts w:hint="eastAsia" w:ascii="宋体" w:hAnsi="宋体" w:eastAsia="宋体" w:cs="宋体"/>
                <w:color w:val="auto"/>
                <w:sz w:val="21"/>
                <w:szCs w:val="21"/>
                <w:highlight w:val="none"/>
              </w:rPr>
              <w:t>企业资信</w:t>
            </w:r>
            <w:r>
              <w:rPr>
                <w:rStyle w:val="118"/>
                <w:rFonts w:hint="eastAsia" w:ascii="宋体" w:hAnsi="宋体" w:eastAsia="宋体" w:cs="宋体"/>
                <w:b w:val="0"/>
                <w:color w:val="auto"/>
                <w:sz w:val="21"/>
                <w:szCs w:val="21"/>
                <w:highlight w:val="none"/>
              </w:rPr>
              <w:t>(</w:t>
            </w:r>
            <w:r>
              <w:rPr>
                <w:rStyle w:val="118"/>
                <w:rFonts w:hint="eastAsia" w:cs="宋体"/>
                <w:b w:val="0"/>
                <w:color w:val="auto"/>
                <w:sz w:val="21"/>
                <w:szCs w:val="21"/>
                <w:highlight w:val="none"/>
                <w:lang w:val="en-US" w:eastAsia="zh-CN"/>
              </w:rPr>
              <w:t>6</w:t>
            </w:r>
            <w:r>
              <w:rPr>
                <w:rStyle w:val="116"/>
                <w:rFonts w:hint="eastAsia" w:ascii="宋体" w:hAnsi="宋体" w:eastAsia="宋体" w:cs="宋体"/>
                <w:color w:val="auto"/>
                <w:sz w:val="21"/>
                <w:szCs w:val="21"/>
                <w:highlight w:val="none"/>
              </w:rPr>
              <w:t>分</w:t>
            </w:r>
            <w:r>
              <w:rPr>
                <w:rStyle w:val="118"/>
                <w:rFonts w:hint="eastAsia" w:ascii="宋体" w:hAnsi="宋体" w:eastAsia="宋体" w:cs="宋体"/>
                <w:b w:val="0"/>
                <w:color w:val="auto"/>
                <w:sz w:val="21"/>
                <w:szCs w:val="21"/>
                <w:highlight w:val="none"/>
              </w:rPr>
              <w:t>)</w:t>
            </w:r>
          </w:p>
        </w:tc>
        <w:tc>
          <w:tcPr>
            <w:tcW w:w="1401" w:type="dxa"/>
            <w:shd w:val="clear" w:color="auto" w:fill="FFFFFF"/>
            <w:vAlign w:val="center"/>
          </w:tcPr>
          <w:p>
            <w:pPr>
              <w:autoSpaceDE w:val="0"/>
              <w:autoSpaceDN w:val="0"/>
              <w:adjustRightInd w:val="0"/>
              <w:snapToGrid w:val="0"/>
              <w:jc w:val="center"/>
              <w:rPr>
                <w:rStyle w:val="116"/>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企业业绩</w:t>
            </w:r>
          </w:p>
        </w:tc>
        <w:tc>
          <w:tcPr>
            <w:tcW w:w="750" w:type="dxa"/>
            <w:shd w:val="clear" w:color="auto" w:fill="FFFFFF"/>
            <w:vAlign w:val="center"/>
          </w:tcPr>
          <w:p>
            <w:pPr>
              <w:autoSpaceDE w:val="0"/>
              <w:autoSpaceDN w:val="0"/>
              <w:adjustRightInd w:val="0"/>
              <w:snapToGrid w:val="0"/>
              <w:jc w:val="center"/>
              <w:rPr>
                <w:rStyle w:val="116"/>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1.8分</w:t>
            </w:r>
          </w:p>
        </w:tc>
        <w:tc>
          <w:tcPr>
            <w:tcW w:w="11967" w:type="dxa"/>
            <w:shd w:val="clear" w:color="auto" w:fill="FFFFFF"/>
            <w:vAlign w:val="center"/>
          </w:tcPr>
          <w:p>
            <w:pPr>
              <w:autoSpaceDE w:val="0"/>
              <w:autoSpaceDN w:val="0"/>
              <w:adjustRightInd w:val="0"/>
              <w:rPr>
                <w:rStyle w:val="116"/>
                <w:rFonts w:hint="eastAsia" w:ascii="宋体" w:hAnsi="宋体" w:eastAsia="宋体" w:cs="宋体"/>
                <w:color w:val="auto"/>
                <w:sz w:val="21"/>
                <w:szCs w:val="21"/>
                <w:highlight w:val="none"/>
                <w:lang w:val="en-US"/>
              </w:rPr>
            </w:pPr>
            <w:r>
              <w:rPr>
                <w:rStyle w:val="116"/>
                <w:rFonts w:hint="eastAsia"/>
                <w:color w:val="auto"/>
                <w:sz w:val="21"/>
                <w:szCs w:val="21"/>
                <w:highlight w:val="none"/>
                <w:lang w:val="en-US"/>
              </w:rPr>
              <w:t>投标人自201</w:t>
            </w:r>
            <w:r>
              <w:rPr>
                <w:rStyle w:val="116"/>
                <w:rFonts w:hint="eastAsia"/>
                <w:color w:val="auto"/>
                <w:sz w:val="21"/>
                <w:szCs w:val="21"/>
                <w:highlight w:val="none"/>
                <w:lang w:val="en-US" w:eastAsia="zh-CN"/>
              </w:rPr>
              <w:t>9</w:t>
            </w:r>
            <w:r>
              <w:rPr>
                <w:rStyle w:val="116"/>
                <w:rFonts w:hint="eastAsia"/>
                <w:color w:val="auto"/>
                <w:sz w:val="21"/>
                <w:szCs w:val="21"/>
                <w:highlight w:val="none"/>
                <w:lang w:val="en-US"/>
              </w:rPr>
              <w:t>年1月1日至投标截止时间止</w:t>
            </w:r>
            <w:r>
              <w:rPr>
                <w:rFonts w:hint="eastAsia" w:ascii="宋体" w:hAnsi="宋体" w:cs="宋体"/>
                <w:color w:val="auto"/>
                <w:kern w:val="0"/>
                <w:sz w:val="21"/>
                <w:szCs w:val="21"/>
                <w:highlight w:val="none"/>
              </w:rPr>
              <w:t>，</w:t>
            </w:r>
            <w:r>
              <w:rPr>
                <w:rStyle w:val="116"/>
                <w:rFonts w:hint="eastAsia"/>
                <w:color w:val="auto"/>
                <w:sz w:val="21"/>
                <w:szCs w:val="21"/>
                <w:highlight w:val="none"/>
                <w:lang w:val="en-US"/>
              </w:rPr>
              <w:t>完成过质量合格</w:t>
            </w:r>
            <w:r>
              <w:rPr>
                <w:rStyle w:val="116"/>
                <w:rFonts w:hint="eastAsia"/>
                <w:color w:val="auto"/>
                <w:sz w:val="21"/>
                <w:szCs w:val="21"/>
                <w:highlight w:val="none"/>
                <w:lang w:val="en-US" w:eastAsia="zh-CN"/>
              </w:rPr>
              <w:t>的</w:t>
            </w:r>
            <w:r>
              <w:rPr>
                <w:rFonts w:hint="eastAsia"/>
                <w:color w:val="auto"/>
                <w:sz w:val="21"/>
                <w:szCs w:val="21"/>
                <w:lang w:val="en-US" w:eastAsia="zh-CN"/>
              </w:rPr>
              <w:t>中标金额大于或等于</w:t>
            </w:r>
            <w:r>
              <w:rPr>
                <w:rStyle w:val="116"/>
                <w:rFonts w:hint="eastAsia" w:ascii="宋体" w:hAnsi="宋体" w:cs="宋体"/>
                <w:b/>
                <w:bCs/>
                <w:color w:val="auto"/>
                <w:sz w:val="21"/>
                <w:szCs w:val="21"/>
                <w:highlight w:val="none"/>
                <w:lang w:val="en-US" w:eastAsia="zh-CN"/>
              </w:rPr>
              <w:t>1500</w:t>
            </w:r>
            <w:r>
              <w:rPr>
                <w:rStyle w:val="116"/>
                <w:rFonts w:hint="eastAsia" w:ascii="宋体" w:hAnsi="宋体" w:eastAsia="宋体" w:cs="宋体"/>
                <w:b/>
                <w:bCs/>
                <w:color w:val="auto"/>
                <w:sz w:val="21"/>
                <w:szCs w:val="21"/>
                <w:highlight w:val="none"/>
                <w:lang w:val="en-US" w:eastAsia="zh-CN"/>
              </w:rPr>
              <w:t>万元</w:t>
            </w:r>
            <w:r>
              <w:rPr>
                <w:rFonts w:hint="eastAsia"/>
                <w:color w:val="auto"/>
                <w:sz w:val="21"/>
                <w:szCs w:val="21"/>
                <w:lang w:val="en-US" w:eastAsia="zh-CN"/>
              </w:rPr>
              <w:t>的市政公用工程施工总承包业绩</w:t>
            </w:r>
            <w:r>
              <w:rPr>
                <w:rStyle w:val="116"/>
                <w:rFonts w:hint="eastAsia"/>
                <w:color w:val="auto"/>
                <w:sz w:val="21"/>
                <w:szCs w:val="21"/>
                <w:highlight w:val="none"/>
                <w:lang w:val="en-US"/>
              </w:rPr>
              <w:t>每项得0.</w:t>
            </w:r>
            <w:r>
              <w:rPr>
                <w:rStyle w:val="116"/>
                <w:color w:val="auto"/>
                <w:sz w:val="21"/>
                <w:szCs w:val="21"/>
                <w:highlight w:val="none"/>
                <w:lang w:val="en-US"/>
              </w:rPr>
              <w:t>1</w:t>
            </w:r>
            <w:r>
              <w:rPr>
                <w:rStyle w:val="116"/>
                <w:rFonts w:hint="eastAsia"/>
                <w:color w:val="auto"/>
                <w:sz w:val="21"/>
                <w:szCs w:val="21"/>
                <w:highlight w:val="none"/>
                <w:lang w:val="en-US"/>
              </w:rPr>
              <w:t>分，</w:t>
            </w:r>
            <w:r>
              <w:rPr>
                <w:rStyle w:val="116"/>
                <w:rFonts w:hint="eastAsia" w:eastAsia="宋体"/>
                <w:color w:val="auto"/>
                <w:sz w:val="21"/>
                <w:szCs w:val="21"/>
                <w:highlight w:val="none"/>
                <w:lang w:val="en-US" w:eastAsia="zh-CN"/>
              </w:rPr>
              <w:t>本项</w:t>
            </w:r>
            <w:r>
              <w:rPr>
                <w:rStyle w:val="116"/>
                <w:rFonts w:hint="eastAsia"/>
                <w:color w:val="auto"/>
                <w:sz w:val="21"/>
                <w:szCs w:val="21"/>
                <w:highlight w:val="none"/>
                <w:lang w:val="en-US"/>
              </w:rPr>
              <w:t>最</w:t>
            </w:r>
            <w:r>
              <w:rPr>
                <w:rStyle w:val="116"/>
                <w:rFonts w:hint="eastAsia" w:eastAsia="宋体"/>
                <w:color w:val="auto"/>
                <w:sz w:val="21"/>
                <w:szCs w:val="21"/>
                <w:highlight w:val="none"/>
                <w:lang w:val="en-US" w:eastAsia="zh-CN"/>
              </w:rPr>
              <w:t>高</w:t>
            </w:r>
            <w:r>
              <w:rPr>
                <w:rStyle w:val="116"/>
                <w:rFonts w:hint="eastAsia"/>
                <w:color w:val="auto"/>
                <w:sz w:val="21"/>
                <w:szCs w:val="21"/>
                <w:highlight w:val="none"/>
                <w:lang w:val="en-US"/>
              </w:rPr>
              <w:t>得</w:t>
            </w:r>
            <w:r>
              <w:rPr>
                <w:rStyle w:val="116"/>
                <w:rFonts w:hint="eastAsia"/>
                <w:color w:val="auto"/>
                <w:sz w:val="21"/>
                <w:szCs w:val="21"/>
                <w:highlight w:val="none"/>
                <w:lang w:val="en-US" w:eastAsia="zh-CN"/>
              </w:rPr>
              <w:t>1.8</w:t>
            </w:r>
            <w:r>
              <w:rPr>
                <w:rStyle w:val="116"/>
                <w:rFonts w:hint="eastAsia"/>
                <w:color w:val="auto"/>
                <w:sz w:val="21"/>
                <w:szCs w:val="21"/>
                <w:highlight w:val="none"/>
                <w:lang w:val="en-US"/>
              </w:rPr>
              <w:t>分。不满足上述情况的或未按要求提供证明材料的不得分</w:t>
            </w:r>
            <w:r>
              <w:rPr>
                <w:rStyle w:val="116"/>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1251" w:type="dxa"/>
            <w:vMerge w:val="continue"/>
            <w:shd w:val="clear" w:color="auto" w:fill="FFFFFF"/>
            <w:vAlign w:val="center"/>
          </w:tcPr>
          <w:p>
            <w:pPr>
              <w:snapToGrid w:val="0"/>
              <w:jc w:val="center"/>
              <w:rPr>
                <w:rFonts w:hint="eastAsia" w:ascii="宋体" w:hAnsi="宋体" w:eastAsia="宋体" w:cs="宋体"/>
                <w:color w:val="auto"/>
                <w:sz w:val="21"/>
                <w:szCs w:val="21"/>
                <w:highlight w:val="none"/>
              </w:rPr>
            </w:pPr>
          </w:p>
        </w:tc>
        <w:tc>
          <w:tcPr>
            <w:tcW w:w="1401" w:type="dxa"/>
            <w:shd w:val="clear" w:color="auto" w:fill="FFFFFF"/>
            <w:vAlign w:val="center"/>
          </w:tcPr>
          <w:p>
            <w:pPr>
              <w:autoSpaceDE w:val="0"/>
              <w:autoSpaceDN w:val="0"/>
              <w:adjustRightInd w:val="0"/>
              <w:snapToGrid w:val="0"/>
              <w:jc w:val="center"/>
              <w:rPr>
                <w:rStyle w:val="116"/>
                <w:rFonts w:hint="eastAsia" w:ascii="宋体" w:hAnsi="宋体" w:eastAsia="宋体" w:cs="宋体"/>
                <w:color w:val="auto"/>
                <w:sz w:val="21"/>
                <w:szCs w:val="21"/>
                <w:highlight w:val="none"/>
                <w:lang w:val="en-US"/>
              </w:rPr>
            </w:pPr>
            <w:r>
              <w:rPr>
                <w:rFonts w:hint="eastAsia" w:ascii="宋体" w:hAnsi="宋体" w:cs="宋体"/>
                <w:color w:val="auto"/>
                <w:szCs w:val="21"/>
                <w:highlight w:val="none"/>
              </w:rPr>
              <w:t>企业工程项目获奖情况</w:t>
            </w:r>
          </w:p>
        </w:tc>
        <w:tc>
          <w:tcPr>
            <w:tcW w:w="750" w:type="dxa"/>
            <w:shd w:val="clear" w:color="auto" w:fill="FFFFFF"/>
            <w:vAlign w:val="center"/>
          </w:tcPr>
          <w:p>
            <w:pPr>
              <w:autoSpaceDE w:val="0"/>
              <w:autoSpaceDN w:val="0"/>
              <w:adjustRightInd w:val="0"/>
              <w:snapToGrid w:val="0"/>
              <w:jc w:val="center"/>
              <w:rPr>
                <w:rStyle w:val="116"/>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1.2分</w:t>
            </w:r>
          </w:p>
        </w:tc>
        <w:tc>
          <w:tcPr>
            <w:tcW w:w="11967" w:type="dxa"/>
            <w:shd w:val="clear" w:color="auto" w:fill="FFFFFF"/>
            <w:vAlign w:val="center"/>
          </w:tcPr>
          <w:p>
            <w:pPr>
              <w:pStyle w:val="111"/>
              <w:rPr>
                <w:rStyle w:val="116"/>
                <w:rFonts w:hint="eastAsia" w:ascii="宋体" w:hAnsi="宋体" w:eastAsia="宋体" w:cs="宋体"/>
                <w:color w:val="auto"/>
                <w:kern w:val="2"/>
                <w:sz w:val="21"/>
                <w:szCs w:val="21"/>
                <w:highlight w:val="none"/>
                <w:lang w:val="en-US" w:eastAsia="zh-CN" w:bidi="ar-SA"/>
              </w:rPr>
            </w:pPr>
            <w:r>
              <w:rPr>
                <w:rStyle w:val="116"/>
                <w:rFonts w:hint="eastAsia" w:ascii="宋体" w:hAnsi="宋体" w:eastAsia="宋体" w:cs="宋体"/>
                <w:color w:val="auto"/>
                <w:kern w:val="2"/>
                <w:sz w:val="21"/>
                <w:szCs w:val="21"/>
                <w:highlight w:val="none"/>
                <w:lang w:val="en-US" w:eastAsia="zh-CN" w:bidi="ar-SA"/>
              </w:rPr>
              <w:t>投标人自2019年1月1日至投标截止时间止，承接的市政公用工程施工总承包获得过国家级奖项,一项得0.5分；获得省级奖项,一项得0.3分；获得市级奖项,一项得0.1分。注：奖项须为市政工程获得的质量奖项，时间以发证日期为准，相同项目按最高级别奖项只计一次得分。</w:t>
            </w:r>
          </w:p>
          <w:p>
            <w:pPr>
              <w:pStyle w:val="120"/>
              <w:rPr>
                <w:rStyle w:val="116"/>
                <w:rFonts w:hint="eastAsia" w:ascii="宋体" w:hAnsi="宋体" w:eastAsia="宋体" w:cs="宋体"/>
                <w:color w:val="auto"/>
                <w:sz w:val="21"/>
                <w:szCs w:val="21"/>
                <w:highlight w:val="none"/>
                <w:lang w:val="en-US"/>
              </w:rPr>
            </w:pPr>
            <w:r>
              <w:rPr>
                <w:rStyle w:val="116"/>
                <w:rFonts w:hint="eastAsia" w:ascii="宋体" w:hAnsi="宋体" w:eastAsia="宋体" w:cs="宋体"/>
                <w:color w:val="auto"/>
                <w:kern w:val="2"/>
                <w:sz w:val="21"/>
                <w:szCs w:val="21"/>
                <w:highlight w:val="none"/>
                <w:lang w:val="en-US" w:eastAsia="zh-CN" w:bidi="ar-SA"/>
              </w:rPr>
              <w:t>本项最高得1.2分。</w:t>
            </w:r>
            <w:r>
              <w:rPr>
                <w:rStyle w:val="116"/>
                <w:rFonts w:hint="eastAsia"/>
                <w:color w:val="auto"/>
                <w:sz w:val="21"/>
                <w:szCs w:val="21"/>
                <w:highlight w:val="none"/>
                <w:lang w:val="en-US"/>
              </w:rPr>
              <w:t>不满足上述情况的或未按要求提供证明材料的不得分</w:t>
            </w:r>
            <w:r>
              <w:rPr>
                <w:rStyle w:val="116"/>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251" w:type="dxa"/>
            <w:vMerge w:val="continue"/>
            <w:shd w:val="clear" w:color="auto" w:fill="FFFFFF"/>
            <w:vAlign w:val="center"/>
          </w:tcPr>
          <w:p>
            <w:pPr>
              <w:snapToGrid w:val="0"/>
              <w:jc w:val="center"/>
              <w:rPr>
                <w:rFonts w:hint="eastAsia" w:ascii="宋体" w:hAnsi="宋体" w:eastAsia="宋体" w:cs="宋体"/>
                <w:color w:val="auto"/>
                <w:sz w:val="21"/>
                <w:szCs w:val="21"/>
                <w:highlight w:val="none"/>
              </w:rPr>
            </w:pPr>
          </w:p>
        </w:tc>
        <w:tc>
          <w:tcPr>
            <w:tcW w:w="1401" w:type="dxa"/>
            <w:shd w:val="clear" w:color="auto" w:fill="FFFFFF"/>
            <w:vAlign w:val="center"/>
          </w:tcPr>
          <w:p>
            <w:pPr>
              <w:jc w:val="center"/>
              <w:rPr>
                <w:rStyle w:val="116"/>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工程研发能力</w:t>
            </w:r>
          </w:p>
        </w:tc>
        <w:tc>
          <w:tcPr>
            <w:tcW w:w="750" w:type="dxa"/>
            <w:shd w:val="clear" w:color="auto" w:fill="FFFFFF"/>
            <w:vAlign w:val="center"/>
          </w:tcPr>
          <w:p>
            <w:pPr>
              <w:jc w:val="center"/>
              <w:rPr>
                <w:rStyle w:val="116"/>
                <w:rFonts w:hint="default" w:ascii="宋体" w:hAnsi="宋体" w:eastAsia="宋体" w:cs="宋体"/>
                <w:color w:val="auto"/>
                <w:sz w:val="21"/>
                <w:szCs w:val="21"/>
                <w:highlight w:val="none"/>
                <w:lang w:val="en-US" w:eastAsia="zh-CN"/>
              </w:rPr>
            </w:pPr>
            <w:r>
              <w:rPr>
                <w:rFonts w:ascii="宋体" w:hAnsi="宋体" w:cs="宋体"/>
                <w:color w:val="auto"/>
                <w:sz w:val="21"/>
                <w:szCs w:val="21"/>
                <w:highlight w:val="none"/>
              </w:rPr>
              <w:t>1.8</w:t>
            </w:r>
            <w:r>
              <w:rPr>
                <w:rFonts w:hint="eastAsia" w:ascii="宋体" w:hAnsi="宋体" w:cs="宋体"/>
                <w:color w:val="auto"/>
                <w:sz w:val="21"/>
                <w:szCs w:val="21"/>
                <w:highlight w:val="none"/>
              </w:rPr>
              <w:t>分</w:t>
            </w:r>
          </w:p>
        </w:tc>
        <w:tc>
          <w:tcPr>
            <w:tcW w:w="11967" w:type="dxa"/>
            <w:shd w:val="clear" w:color="auto" w:fill="FFFFFF"/>
            <w:vAlign w:val="center"/>
          </w:tcPr>
          <w:p>
            <w:pPr>
              <w:numPr>
                <w:ilvl w:val="0"/>
                <w:numId w:val="6"/>
              </w:numPr>
              <w:autoSpaceDE w:val="0"/>
              <w:autoSpaceDN w:val="0"/>
              <w:adjustRightInd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投标人自2015年1月1日至投标截止时间止获得过省级工法奖项证书</w:t>
            </w:r>
            <w:r>
              <w:rPr>
                <w:rFonts w:hint="eastAsia" w:ascii="宋体" w:hAnsi="宋体" w:eastAsia="宋体" w:cs="宋体"/>
                <w:color w:val="auto"/>
                <w:kern w:val="0"/>
                <w:szCs w:val="21"/>
                <w:highlight w:val="none"/>
              </w:rPr>
              <w:t>数量由多到少排名，排名第1-3名得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分，排名第4-6名得</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分，排名第7-9名得</w:t>
            </w:r>
            <w:r>
              <w:rPr>
                <w:rFonts w:hint="eastAsia" w:ascii="宋体" w:hAnsi="宋体" w:eastAsia="宋体" w:cs="宋体"/>
                <w:color w:val="auto"/>
                <w:kern w:val="0"/>
                <w:szCs w:val="21"/>
                <w:highlight w:val="none"/>
                <w:lang w:val="en-US" w:eastAsia="zh-CN"/>
              </w:rPr>
              <w:t>0.2</w:t>
            </w:r>
            <w:r>
              <w:rPr>
                <w:rFonts w:hint="eastAsia" w:ascii="宋体" w:hAnsi="宋体" w:eastAsia="宋体" w:cs="宋体"/>
                <w:color w:val="auto"/>
                <w:kern w:val="0"/>
                <w:szCs w:val="21"/>
                <w:highlight w:val="none"/>
              </w:rPr>
              <w:t>分，其他名次或未获得过上述奖项的不得分。</w:t>
            </w:r>
          </w:p>
          <w:p>
            <w:pPr>
              <w:pStyle w:val="120"/>
              <w:rPr>
                <w:rFonts w:hint="eastAsia"/>
                <w:color w:val="auto"/>
                <w:lang w:val="en-US" w:eastAsia="zh-CN"/>
              </w:rPr>
            </w:pPr>
            <w:r>
              <w:rPr>
                <w:rFonts w:hint="eastAsia" w:ascii="宋体" w:hAnsi="宋体" w:eastAsia="宋体" w:cs="宋体"/>
                <w:color w:val="auto"/>
                <w:kern w:val="0"/>
                <w:sz w:val="21"/>
                <w:szCs w:val="21"/>
                <w:highlight w:val="none"/>
                <w:lang w:val="en-US" w:eastAsia="zh-CN"/>
              </w:rPr>
              <w:t>（2）投标人自2015年1月1日至投标截止时间止获得过国家级工法证书的每项得0.8分，最多得0.8分。</w:t>
            </w:r>
          </w:p>
          <w:p>
            <w:pPr>
              <w:autoSpaceDE w:val="0"/>
              <w:autoSpaceDN w:val="0"/>
              <w:adjustRightInd w:val="0"/>
              <w:rPr>
                <w:rStyle w:val="116"/>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rPr>
              <w:t>本项合计最高得1.8分。不满足上述情况的或未按要求提供证明材料的不得分。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 w:hRule="atLeast"/>
          <w:jc w:val="center"/>
        </w:trPr>
        <w:tc>
          <w:tcPr>
            <w:tcW w:w="1251" w:type="dxa"/>
            <w:vMerge w:val="continue"/>
            <w:shd w:val="clear" w:color="auto" w:fill="FFFFFF"/>
            <w:vAlign w:val="center"/>
          </w:tcPr>
          <w:p>
            <w:pPr>
              <w:snapToGrid w:val="0"/>
              <w:jc w:val="center"/>
              <w:rPr>
                <w:rFonts w:hint="eastAsia" w:ascii="宋体" w:hAnsi="宋体" w:eastAsia="宋体" w:cs="宋体"/>
                <w:color w:val="auto"/>
                <w:sz w:val="21"/>
                <w:szCs w:val="21"/>
                <w:highlight w:val="none"/>
              </w:rPr>
            </w:pPr>
          </w:p>
        </w:tc>
        <w:tc>
          <w:tcPr>
            <w:tcW w:w="1401" w:type="dxa"/>
            <w:shd w:val="clear" w:color="auto" w:fill="FFFFFF"/>
            <w:vAlign w:val="center"/>
          </w:tcPr>
          <w:p>
            <w:pPr>
              <w:autoSpaceDE w:val="0"/>
              <w:autoSpaceDN w:val="0"/>
              <w:adjustRightInd w:val="0"/>
              <w:snapToGrid w:val="0"/>
              <w:jc w:val="center"/>
              <w:rPr>
                <w:rStyle w:val="116"/>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第三方评价</w:t>
            </w:r>
          </w:p>
        </w:tc>
        <w:tc>
          <w:tcPr>
            <w:tcW w:w="750" w:type="dxa"/>
            <w:shd w:val="clear" w:color="auto" w:fill="FFFFFF"/>
            <w:vAlign w:val="center"/>
          </w:tcPr>
          <w:p>
            <w:pPr>
              <w:autoSpaceDE w:val="0"/>
              <w:autoSpaceDN w:val="0"/>
              <w:adjustRightInd w:val="0"/>
              <w:snapToGrid w:val="0"/>
              <w:jc w:val="center"/>
              <w:rPr>
                <w:rStyle w:val="116"/>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1.2分</w:t>
            </w:r>
          </w:p>
        </w:tc>
        <w:tc>
          <w:tcPr>
            <w:tcW w:w="11967" w:type="dxa"/>
            <w:shd w:val="clear" w:color="auto" w:fill="FFFFFF"/>
            <w:vAlign w:val="center"/>
          </w:tcPr>
          <w:p>
            <w:pPr>
              <w:pStyle w:val="19"/>
              <w:numPr>
                <w:ilvl w:val="0"/>
                <w:numId w:val="0"/>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（1）投标人自最新评审年度往前推算</w:t>
            </w:r>
            <w:r>
              <w:rPr>
                <w:rFonts w:hint="eastAsia"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获得过省级或以上市政行业协会颁发的先进单位或先进企业称号：连续3个年度</w:t>
            </w:r>
            <w:r>
              <w:rPr>
                <w:rStyle w:val="116"/>
                <w:rFonts w:hint="default" w:ascii="宋体" w:hAnsi="宋体" w:eastAsia="宋体" w:cs="宋体"/>
                <w:color w:val="auto"/>
                <w:sz w:val="21"/>
                <w:szCs w:val="21"/>
                <w:highlight w:val="none"/>
                <w:lang w:val="en-US" w:eastAsia="zh-CN"/>
              </w:rPr>
              <w:t>（2019、2020、2021</w:t>
            </w:r>
            <w:r>
              <w:rPr>
                <w:rStyle w:val="116"/>
                <w:rFonts w:hint="eastAsia" w:ascii="宋体" w:hAnsi="宋体" w:eastAsia="宋体" w:cs="宋体"/>
                <w:color w:val="auto"/>
                <w:sz w:val="21"/>
                <w:szCs w:val="21"/>
                <w:highlight w:val="none"/>
                <w:lang w:val="en-US" w:eastAsia="zh-CN"/>
              </w:rPr>
              <w:t>年度</w:t>
            </w:r>
            <w:r>
              <w:rPr>
                <w:rStyle w:val="116"/>
                <w:rFonts w:hint="default"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bidi="ar-SA"/>
              </w:rPr>
              <w:t>获得先进单位或先进企业称号的，得0.</w:t>
            </w:r>
            <w:r>
              <w:rPr>
                <w:rFonts w:hint="eastAsia"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分；连续2个年度</w:t>
            </w:r>
            <w:r>
              <w:rPr>
                <w:rStyle w:val="116"/>
                <w:rFonts w:hint="default" w:ascii="宋体" w:hAnsi="宋体" w:eastAsia="宋体" w:cs="宋体"/>
                <w:color w:val="auto"/>
                <w:sz w:val="21"/>
                <w:szCs w:val="21"/>
                <w:highlight w:val="none"/>
                <w:lang w:val="en-US" w:eastAsia="zh-CN"/>
              </w:rPr>
              <w:t>（2020、2021</w:t>
            </w:r>
            <w:r>
              <w:rPr>
                <w:rStyle w:val="116"/>
                <w:rFonts w:hint="eastAsia" w:ascii="宋体" w:hAnsi="宋体" w:eastAsia="宋体" w:cs="宋体"/>
                <w:color w:val="auto"/>
                <w:sz w:val="21"/>
                <w:szCs w:val="21"/>
                <w:highlight w:val="none"/>
                <w:lang w:val="en-US" w:eastAsia="zh-CN"/>
              </w:rPr>
              <w:t>年度</w:t>
            </w:r>
            <w:r>
              <w:rPr>
                <w:rStyle w:val="116"/>
                <w:rFonts w:hint="default"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bidi="ar-SA"/>
              </w:rPr>
              <w:t>获得先进单位或先进企业称号的，得0.</w:t>
            </w:r>
            <w:r>
              <w:rPr>
                <w:rFonts w:hint="eastAsia"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w:t>
            </w:r>
            <w:r>
              <w:rPr>
                <w:rStyle w:val="116"/>
                <w:rFonts w:hint="default" w:ascii="宋体" w:hAnsi="宋体" w:eastAsia="宋体" w:cs="宋体"/>
                <w:color w:val="auto"/>
                <w:sz w:val="21"/>
                <w:szCs w:val="21"/>
                <w:highlight w:val="none"/>
                <w:lang w:val="en-US" w:eastAsia="zh-CN"/>
              </w:rPr>
              <w:t>2021</w:t>
            </w:r>
            <w:r>
              <w:rPr>
                <w:rStyle w:val="116"/>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kern w:val="0"/>
                <w:sz w:val="21"/>
                <w:szCs w:val="21"/>
                <w:highlight w:val="none"/>
                <w:lang w:val="en-US" w:eastAsia="zh-CN" w:bidi="ar-SA"/>
              </w:rPr>
              <w:t>获得过先进单位或先进企业称号的，得0.</w:t>
            </w:r>
            <w:r>
              <w:rPr>
                <w:rFonts w:hint="eastAsia"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 xml:space="preserve">分。 </w:t>
            </w:r>
          </w:p>
          <w:p>
            <w:pPr>
              <w:pStyle w:val="19"/>
              <w:numPr>
                <w:ilvl w:val="0"/>
                <w:numId w:val="0"/>
              </w:numPr>
              <w:rPr>
                <w:rFonts w:hint="eastAsia" w:hAnsi="宋体" w:eastAsia="宋体" w:cs="宋体"/>
                <w:strike w:val="0"/>
                <w:dstrike w:val="0"/>
                <w:color w:val="auto"/>
                <w:sz w:val="21"/>
                <w:szCs w:val="21"/>
                <w:highlight w:val="none"/>
              </w:rPr>
            </w:pPr>
            <w:r>
              <w:rPr>
                <w:rFonts w:hint="eastAsia" w:ascii="宋体" w:hAnsi="宋体" w:eastAsia="宋体" w:cs="宋体"/>
                <w:strike w:val="0"/>
                <w:dstrike w:val="0"/>
                <w:color w:val="auto"/>
                <w:kern w:val="0"/>
                <w:sz w:val="21"/>
                <w:szCs w:val="21"/>
                <w:highlight w:val="none"/>
                <w:lang w:val="en-US" w:eastAsia="zh-CN" w:bidi="ar-SA"/>
              </w:rPr>
              <w:t>（2）</w:t>
            </w:r>
            <w:r>
              <w:rPr>
                <w:rFonts w:hint="eastAsia" w:hAnsi="宋体" w:eastAsia="宋体" w:cs="宋体"/>
                <w:strike w:val="0"/>
                <w:dstrike w:val="0"/>
                <w:color w:val="auto"/>
                <w:sz w:val="21"/>
                <w:szCs w:val="21"/>
                <w:highlight w:val="none"/>
              </w:rPr>
              <w:t>投标人</w:t>
            </w:r>
            <w:r>
              <w:rPr>
                <w:rFonts w:hint="eastAsia" w:ascii="宋体" w:hAnsi="宋体" w:eastAsia="宋体" w:cs="宋体"/>
                <w:color w:val="auto"/>
                <w:kern w:val="0"/>
                <w:sz w:val="21"/>
                <w:szCs w:val="21"/>
                <w:highlight w:val="none"/>
                <w:lang w:val="en-US" w:eastAsia="zh-CN" w:bidi="ar-SA"/>
              </w:rPr>
              <w:t>自最新评审年度往前推算</w:t>
            </w:r>
            <w:r>
              <w:rPr>
                <w:rFonts w:hint="eastAsia" w:hAnsi="宋体" w:eastAsia="宋体" w:cs="宋体"/>
                <w:color w:val="auto"/>
                <w:kern w:val="0"/>
                <w:sz w:val="21"/>
                <w:szCs w:val="21"/>
                <w:highlight w:val="none"/>
                <w:lang w:val="en-US" w:eastAsia="zh-CN" w:bidi="ar-SA"/>
              </w:rPr>
              <w:t>，</w:t>
            </w:r>
            <w:r>
              <w:rPr>
                <w:rFonts w:hint="eastAsia" w:hAnsi="宋体" w:eastAsia="宋体" w:cs="宋体"/>
                <w:strike w:val="0"/>
                <w:dstrike w:val="0"/>
                <w:color w:val="auto"/>
                <w:sz w:val="21"/>
                <w:szCs w:val="21"/>
                <w:highlight w:val="none"/>
              </w:rPr>
              <w:t>获得</w:t>
            </w:r>
            <w:r>
              <w:rPr>
                <w:rFonts w:hint="eastAsia" w:hAnsi="宋体" w:eastAsia="宋体" w:cs="宋体"/>
                <w:strike w:val="0"/>
                <w:dstrike w:val="0"/>
                <w:color w:val="auto"/>
                <w:sz w:val="21"/>
                <w:szCs w:val="21"/>
                <w:highlight w:val="none"/>
                <w:lang w:eastAsia="zh-CN"/>
              </w:rPr>
              <w:t>过</w:t>
            </w:r>
            <w:r>
              <w:rPr>
                <w:rFonts w:hint="eastAsia" w:hAnsi="宋体" w:eastAsia="宋体" w:cs="宋体"/>
                <w:strike w:val="0"/>
                <w:dstrike w:val="0"/>
                <w:color w:val="auto"/>
                <w:sz w:val="21"/>
                <w:szCs w:val="21"/>
                <w:highlight w:val="none"/>
              </w:rPr>
              <w:t>省级或以上市政行业协会颁发的企业</w:t>
            </w:r>
            <w:r>
              <w:rPr>
                <w:rFonts w:hint="eastAsia" w:hAnsi="宋体" w:eastAsia="宋体" w:cs="宋体"/>
                <w:strike w:val="0"/>
                <w:dstrike w:val="0"/>
                <w:color w:val="auto"/>
                <w:sz w:val="21"/>
                <w:szCs w:val="21"/>
                <w:highlight w:val="none"/>
                <w:lang w:eastAsia="zh-CN"/>
              </w:rPr>
              <w:t>信用等级</w:t>
            </w:r>
            <w:r>
              <w:rPr>
                <w:rFonts w:hint="eastAsia" w:hAnsi="宋体" w:eastAsia="宋体" w:cs="宋体"/>
                <w:strike w:val="0"/>
                <w:dstrike w:val="0"/>
                <w:color w:val="auto"/>
                <w:sz w:val="21"/>
                <w:szCs w:val="21"/>
                <w:highlight w:val="none"/>
              </w:rPr>
              <w:t>评价证书的：AAAAA级得</w:t>
            </w:r>
            <w:r>
              <w:rPr>
                <w:rFonts w:hint="eastAsia" w:hAnsi="宋体" w:eastAsia="宋体" w:cs="宋体"/>
                <w:strike w:val="0"/>
                <w:dstrike w:val="0"/>
                <w:color w:val="auto"/>
                <w:sz w:val="21"/>
                <w:szCs w:val="21"/>
                <w:highlight w:val="none"/>
                <w:lang w:eastAsia="zh-CN"/>
              </w:rPr>
              <w:t>0</w:t>
            </w:r>
            <w:r>
              <w:rPr>
                <w:rFonts w:hint="eastAsia" w:hAnsi="宋体" w:eastAsia="宋体" w:cs="宋体"/>
                <w:strike w:val="0"/>
                <w:dstrike w:val="0"/>
                <w:color w:val="auto"/>
                <w:sz w:val="21"/>
                <w:szCs w:val="21"/>
                <w:highlight w:val="none"/>
                <w:lang w:val="en-US" w:eastAsia="zh-CN"/>
              </w:rPr>
              <w:t>.</w:t>
            </w:r>
            <w:r>
              <w:rPr>
                <w:rFonts w:hint="default" w:hAnsi="宋体" w:eastAsia="宋体" w:cs="宋体"/>
                <w:strike w:val="0"/>
                <w:dstrike w:val="0"/>
                <w:color w:val="auto"/>
                <w:sz w:val="21"/>
                <w:szCs w:val="21"/>
                <w:highlight w:val="none"/>
                <w:lang w:val="en-US" w:eastAsia="zh-CN"/>
              </w:rPr>
              <w:t>8</w:t>
            </w:r>
            <w:r>
              <w:rPr>
                <w:rFonts w:hint="eastAsia" w:hAnsi="宋体" w:eastAsia="宋体" w:cs="宋体"/>
                <w:strike w:val="0"/>
                <w:dstrike w:val="0"/>
                <w:color w:val="auto"/>
                <w:sz w:val="21"/>
                <w:szCs w:val="21"/>
                <w:highlight w:val="none"/>
              </w:rPr>
              <w:t>分；AAAA级得</w:t>
            </w:r>
            <w:r>
              <w:rPr>
                <w:rFonts w:hint="eastAsia" w:hAnsi="宋体" w:eastAsia="宋体" w:cs="宋体"/>
                <w:strike w:val="0"/>
                <w:dstrike w:val="0"/>
                <w:color w:val="auto"/>
                <w:sz w:val="21"/>
                <w:szCs w:val="21"/>
                <w:highlight w:val="none"/>
                <w:lang w:eastAsia="zh-CN"/>
              </w:rPr>
              <w:t>0</w:t>
            </w:r>
            <w:r>
              <w:rPr>
                <w:rFonts w:hint="eastAsia" w:hAnsi="宋体" w:eastAsia="宋体" w:cs="宋体"/>
                <w:strike w:val="0"/>
                <w:dstrike w:val="0"/>
                <w:color w:val="auto"/>
                <w:sz w:val="21"/>
                <w:szCs w:val="21"/>
                <w:highlight w:val="none"/>
                <w:lang w:val="en-US" w:eastAsia="zh-CN"/>
              </w:rPr>
              <w:t>.4</w:t>
            </w:r>
            <w:r>
              <w:rPr>
                <w:rFonts w:hint="eastAsia" w:hAnsi="宋体" w:eastAsia="宋体" w:cs="宋体"/>
                <w:strike w:val="0"/>
                <w:dstrike w:val="0"/>
                <w:color w:val="auto"/>
                <w:sz w:val="21"/>
                <w:szCs w:val="21"/>
                <w:highlight w:val="none"/>
              </w:rPr>
              <w:t>分；AAA级或</w:t>
            </w:r>
            <w:r>
              <w:rPr>
                <w:rFonts w:hint="eastAsia" w:hAnsi="宋体" w:eastAsia="宋体" w:cs="宋体"/>
                <w:strike w:val="0"/>
                <w:dstrike w:val="0"/>
                <w:color w:val="auto"/>
                <w:sz w:val="21"/>
                <w:szCs w:val="21"/>
                <w:highlight w:val="none"/>
                <w:lang w:val="en-US" w:eastAsia="zh-CN"/>
              </w:rPr>
              <w:t>以下等级得</w:t>
            </w:r>
            <w:r>
              <w:rPr>
                <w:rFonts w:hint="eastAsia" w:hAnsi="宋体" w:eastAsia="宋体" w:cs="宋体"/>
                <w:strike w:val="0"/>
                <w:dstrike w:val="0"/>
                <w:color w:val="auto"/>
                <w:sz w:val="21"/>
                <w:szCs w:val="21"/>
                <w:highlight w:val="none"/>
                <w:lang w:eastAsia="zh-CN"/>
              </w:rPr>
              <w:t>0</w:t>
            </w:r>
            <w:r>
              <w:rPr>
                <w:rFonts w:hint="eastAsia" w:hAnsi="宋体" w:eastAsia="宋体" w:cs="宋体"/>
                <w:strike w:val="0"/>
                <w:dstrike w:val="0"/>
                <w:color w:val="auto"/>
                <w:sz w:val="21"/>
                <w:szCs w:val="21"/>
                <w:highlight w:val="none"/>
                <w:lang w:val="en-US" w:eastAsia="zh-CN"/>
              </w:rPr>
              <w:t>.2</w:t>
            </w:r>
            <w:r>
              <w:rPr>
                <w:rFonts w:hint="eastAsia" w:hAnsi="宋体" w:eastAsia="宋体" w:cs="宋体"/>
                <w:strike w:val="0"/>
                <w:dstrike w:val="0"/>
                <w:color w:val="auto"/>
                <w:sz w:val="21"/>
                <w:szCs w:val="21"/>
                <w:highlight w:val="none"/>
              </w:rPr>
              <w:t>分</w:t>
            </w:r>
            <w:r>
              <w:rPr>
                <w:rFonts w:hint="eastAsia" w:hAnsi="宋体" w:eastAsia="宋体" w:cs="宋体"/>
                <w:strike w:val="0"/>
                <w:dstrike w:val="0"/>
                <w:color w:val="auto"/>
                <w:sz w:val="21"/>
                <w:szCs w:val="21"/>
                <w:highlight w:val="none"/>
                <w:lang w:eastAsia="zh-CN"/>
              </w:rPr>
              <w:t>，</w:t>
            </w:r>
            <w:r>
              <w:rPr>
                <w:rFonts w:hint="eastAsia" w:hAnsi="宋体" w:eastAsia="宋体" w:cs="宋体"/>
                <w:strike w:val="0"/>
                <w:dstrike w:val="0"/>
                <w:color w:val="auto"/>
                <w:sz w:val="21"/>
                <w:szCs w:val="21"/>
                <w:highlight w:val="none"/>
                <w:lang w:val="en-US" w:eastAsia="zh-CN"/>
              </w:rPr>
              <w:t>未获得等级不得分</w:t>
            </w:r>
            <w:r>
              <w:rPr>
                <w:rFonts w:hint="eastAsia" w:hAnsi="宋体" w:eastAsia="宋体" w:cs="宋体"/>
                <w:strike w:val="0"/>
                <w:dstrike w:val="0"/>
                <w:color w:val="auto"/>
                <w:sz w:val="21"/>
                <w:szCs w:val="21"/>
                <w:highlight w:val="none"/>
              </w:rPr>
              <w:t>。</w:t>
            </w:r>
          </w:p>
          <w:p>
            <w:pPr>
              <w:rPr>
                <w:rStyle w:val="116"/>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rPr>
              <w:t>本项合计最高得1.2分。不满足上述情况的或未按要求提供证明材料的不得分。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atLeast"/>
          <w:jc w:val="center"/>
        </w:trPr>
        <w:tc>
          <w:tcPr>
            <w:tcW w:w="2652" w:type="dxa"/>
            <w:gridSpan w:val="2"/>
            <w:shd w:val="clear" w:color="auto" w:fill="FFFFFF"/>
            <w:vAlign w:val="center"/>
          </w:tcPr>
          <w:p>
            <w:pPr>
              <w:pStyle w:val="117"/>
              <w:shd w:val="clear" w:color="auto" w:fill="auto"/>
              <w:snapToGrid w:val="0"/>
              <w:spacing w:line="240" w:lineRule="auto"/>
              <w:jc w:val="center"/>
              <w:rPr>
                <w:rFonts w:hint="eastAsia" w:ascii="宋体" w:hAnsi="宋体" w:eastAsia="宋体" w:cs="宋体"/>
                <w:color w:val="auto"/>
                <w:sz w:val="21"/>
                <w:szCs w:val="21"/>
                <w:highlight w:val="none"/>
                <w:shd w:val="clear" w:color="auto" w:fill="FFFFFF"/>
                <w:lang w:val="zh-TW"/>
              </w:rPr>
            </w:pPr>
            <w:r>
              <w:rPr>
                <w:rFonts w:hint="eastAsia" w:ascii="宋体" w:hAnsi="宋体" w:eastAsia="宋体" w:cs="宋体"/>
                <w:color w:val="auto"/>
                <w:sz w:val="21"/>
                <w:szCs w:val="21"/>
                <w:highlight w:val="none"/>
                <w:shd w:val="clear" w:color="auto" w:fill="FFFFFF"/>
                <w:lang w:val="zh-TW"/>
              </w:rPr>
              <w:t>合计</w:t>
            </w:r>
          </w:p>
        </w:tc>
        <w:tc>
          <w:tcPr>
            <w:tcW w:w="750" w:type="dxa"/>
            <w:shd w:val="clear" w:color="auto" w:fill="FFFFFF"/>
            <w:vAlign w:val="center"/>
          </w:tcPr>
          <w:p>
            <w:pPr>
              <w:pStyle w:val="117"/>
              <w:shd w:val="clear" w:color="auto" w:fill="auto"/>
              <w:snapToGrid w:val="0"/>
              <w:spacing w:line="240" w:lineRule="auto"/>
              <w:jc w:val="center"/>
              <w:rPr>
                <w:rStyle w:val="118"/>
                <w:rFonts w:hint="eastAsia" w:ascii="宋体" w:hAnsi="宋体" w:eastAsia="宋体" w:cs="宋体"/>
                <w:b w:val="0"/>
                <w:bCs w:val="0"/>
                <w:color w:val="auto"/>
                <w:sz w:val="21"/>
                <w:szCs w:val="21"/>
                <w:highlight w:val="none"/>
              </w:rPr>
            </w:pPr>
            <w:r>
              <w:rPr>
                <w:rStyle w:val="118"/>
                <w:rFonts w:hint="eastAsia" w:cs="宋体"/>
                <w:b w:val="0"/>
                <w:color w:val="auto"/>
                <w:sz w:val="21"/>
                <w:szCs w:val="21"/>
                <w:highlight w:val="none"/>
                <w:lang w:val="en-US" w:eastAsia="zh-CN"/>
              </w:rPr>
              <w:t>2</w:t>
            </w:r>
            <w:r>
              <w:rPr>
                <w:rStyle w:val="118"/>
                <w:rFonts w:hint="eastAsia" w:ascii="宋体" w:hAnsi="宋体" w:eastAsia="宋体" w:cs="宋体"/>
                <w:b w:val="0"/>
                <w:color w:val="auto"/>
                <w:sz w:val="21"/>
                <w:szCs w:val="21"/>
                <w:highlight w:val="none"/>
              </w:rPr>
              <w:t>0</w:t>
            </w:r>
          </w:p>
        </w:tc>
        <w:tc>
          <w:tcPr>
            <w:tcW w:w="11967" w:type="dxa"/>
            <w:shd w:val="clear" w:color="auto" w:fill="FFFFFF"/>
            <w:vAlign w:val="center"/>
          </w:tcPr>
          <w:p>
            <w:pPr>
              <w:pStyle w:val="117"/>
              <w:shd w:val="clear" w:color="auto" w:fill="auto"/>
              <w:snapToGrid w:val="0"/>
              <w:spacing w:line="240" w:lineRule="auto"/>
              <w:rPr>
                <w:rStyle w:val="116"/>
                <w:rFonts w:hint="eastAsia" w:ascii="宋体" w:hAnsi="宋体" w:eastAsia="宋体" w:cs="宋体"/>
                <w:color w:val="auto"/>
                <w:spacing w:val="10"/>
                <w:sz w:val="21"/>
                <w:szCs w:val="21"/>
                <w:highlight w:val="none"/>
              </w:rPr>
            </w:pPr>
          </w:p>
        </w:tc>
      </w:tr>
    </w:tbl>
    <w:p>
      <w:pPr>
        <w:pStyle w:val="16"/>
        <w:spacing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tabs>
          <w:tab w:val="center" w:pos="7288"/>
          <w:tab w:val="left" w:pos="9931"/>
        </w:tabs>
        <w:jc w:val="left"/>
        <w:rPr>
          <w:rFonts w:hint="eastAsia" w:ascii="宋体" w:hAnsi="宋体" w:eastAsia="宋体" w:cs="宋体"/>
          <w:b w:val="0"/>
          <w:bCs/>
          <w:color w:val="auto"/>
          <w:sz w:val="21"/>
          <w:szCs w:val="21"/>
          <w:highlight w:val="none"/>
          <w:lang w:eastAsia="zh-CN"/>
        </w:rPr>
      </w:pP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企业业绩：</w:t>
      </w:r>
      <w:r>
        <w:rPr>
          <w:rFonts w:hint="eastAsia" w:ascii="宋体" w:hAnsi="宋体" w:eastAsia="宋体" w:cs="宋体"/>
          <w:b w:val="0"/>
          <w:bCs/>
          <w:color w:val="auto"/>
          <w:sz w:val="21"/>
          <w:szCs w:val="21"/>
          <w:highlight w:val="none"/>
          <w:lang w:eastAsia="zh-CN"/>
        </w:rPr>
        <w:t>类似工程业绩是指单项工程中标金额大于或等于</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500万元的市政公用工程施工总承包业绩。业绩需提供相关证明材料。投标人须提供业绩的中标通知书或免招标的相关证明、招标公告网页首页截图（适用于公开招标项目）、中标公示或中标候选人公示网页截图（适用于公开招标项目）、施工合同（不含补充合同）、竣工验收报告或工程竣工备案表或建设工程质量监督部门出具的工程竣工合格验收的证明（验收文件至少具有建设单位、设计、施工和监理单位盖章）。完成时间以竣工验收证明材料为准。业绩金额以业绩中标通知书为准，若中标通知书没有显示中标金额或免招标的，以施工合同（不含补充合同）为准。上述资料显示的内容须一致且工程业绩须为 市政公用工程施工总承包 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w:t>
      </w:r>
    </w:p>
    <w:p>
      <w:pPr>
        <w:tabs>
          <w:tab w:val="center" w:pos="7288"/>
          <w:tab w:val="left" w:pos="9931"/>
        </w:tabs>
        <w:jc w:val="left"/>
        <w:rPr>
          <w:rFonts w:hint="eastAsia" w:ascii="宋体" w:hAnsi="宋体" w:eastAsia="宋体" w:cs="宋体"/>
          <w:b w:val="0"/>
          <w:bCs/>
          <w:color w:val="auto"/>
          <w:sz w:val="21"/>
          <w:szCs w:val="21"/>
          <w:highlight w:val="none"/>
          <w:lang w:eastAsia="zh-CN"/>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eastAsia="zh-CN"/>
        </w:rPr>
        <w:t>、企业工程项目获奖情况：</w:t>
      </w:r>
      <w:r>
        <w:rPr>
          <w:rFonts w:hint="eastAsia" w:ascii="宋体" w:hAnsi="宋体" w:eastAsia="宋体" w:cs="宋体"/>
          <w:b w:val="0"/>
          <w:bCs/>
          <w:color w:val="auto"/>
          <w:sz w:val="21"/>
          <w:szCs w:val="21"/>
          <w:highlight w:val="none"/>
          <w:lang w:eastAsia="zh-CN"/>
        </w:rPr>
        <w:t>只计算市政工程获得的质量奖项，需提供奖项证书原件扫描件，时间以发证时间为准。其中国家级奖项包括：中国建设工程鲁班奖、国家优质工程（金质奖）、国家优质工程（银质奖）、国家优质工程奖、中国土木工程詹天佑奖、全国市政金杯示范工程奖；奖项只计算承建单位，不含参建单位。同一项目按最高级别奖项只计一次得分，以证书发证日期为准。无提交证书扫描件不计分。</w:t>
      </w:r>
    </w:p>
    <w:p>
      <w:pPr>
        <w:tabs>
          <w:tab w:val="center" w:pos="7288"/>
          <w:tab w:val="left" w:pos="9931"/>
        </w:tabs>
        <w:jc w:val="left"/>
        <w:rPr>
          <w:rFonts w:hint="eastAsia" w:ascii="宋体" w:hAnsi="宋体" w:eastAsia="宋体" w:cs="宋体"/>
          <w:b w:val="0"/>
          <w:bCs/>
          <w:color w:val="auto"/>
          <w:sz w:val="21"/>
          <w:szCs w:val="21"/>
          <w:highlight w:val="none"/>
          <w:lang w:eastAsia="zh-CN"/>
        </w:rPr>
      </w:pP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eastAsia="zh-CN"/>
        </w:rPr>
        <w:t>、工程研发能力</w:t>
      </w:r>
      <w:r>
        <w:rPr>
          <w:rFonts w:hint="eastAsia" w:ascii="宋体" w:hAnsi="宋体" w:eastAsia="宋体" w:cs="宋体"/>
          <w:b w:val="0"/>
          <w:bCs/>
          <w:color w:val="auto"/>
          <w:sz w:val="21"/>
          <w:szCs w:val="21"/>
          <w:highlight w:val="none"/>
          <w:lang w:eastAsia="zh-CN"/>
        </w:rPr>
        <w:t>：省级或以上工法奖：需同时提供经建设行政主管部门认定的工法获奖证书原件扫描件及可反映工法科技成果成功应用在具体工程项目的科学技术成果鉴定证书扫描件并加盖投标单位电子印章，时间以获奖证书发证日期为准。数量相同的投标人，按同一排名计分占用名次：假设数量相同的投标单位为M个，按同一排名名次为N，年限总数量与之紧挨的下一个单位的排名名次为（M+N）。相同工法获得不同级别奖项的按最高级别只计一次得分</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eastAsia="zh-CN"/>
        </w:rPr>
        <w:t>以上要求提供的扫描件缺一不可</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eastAsia="zh-CN"/>
        </w:rPr>
        <w:t>否则该工法不能计算有效工法。不满足上述情况的或未按要求提供证明材料的不得分。</w:t>
      </w:r>
    </w:p>
    <w:p>
      <w:pPr>
        <w:tabs>
          <w:tab w:val="center" w:pos="7288"/>
          <w:tab w:val="left" w:pos="9931"/>
        </w:tabs>
        <w:jc w:val="left"/>
        <w:rPr>
          <w:rFonts w:hint="eastAsia" w:ascii="宋体" w:hAnsi="宋体" w:eastAsia="宋体" w:cs="宋体"/>
          <w:b w:val="0"/>
          <w:bCs/>
          <w:color w:val="auto"/>
          <w:sz w:val="21"/>
          <w:szCs w:val="21"/>
          <w:highlight w:val="none"/>
          <w:lang w:eastAsia="zh-CN"/>
        </w:rPr>
      </w:pPr>
      <w:r>
        <w:rPr>
          <w:rFonts w:hint="eastAsia" w:ascii="宋体" w:hAnsi="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lang w:eastAsia="zh-CN"/>
        </w:rPr>
        <w:t>、第三方评价：</w:t>
      </w:r>
      <w:r>
        <w:rPr>
          <w:rFonts w:hint="eastAsia" w:ascii="宋体" w:hAnsi="宋体" w:eastAsia="宋体" w:cs="宋体"/>
          <w:b w:val="0"/>
          <w:bCs/>
          <w:color w:val="auto"/>
          <w:sz w:val="21"/>
          <w:szCs w:val="21"/>
          <w:highlight w:val="none"/>
          <w:lang w:eastAsia="zh-CN"/>
        </w:rPr>
        <w:t>（1）省级或以上市政行业协会颁发的先进单位或先进企业称号：投标人须提供省级或以上市政行业协会颁发的先进单位或先进企业称号证书或相关获奖证明材料扫描件，时间以证书或获奖证明材料评价（评定）年度为准。如</w:t>
      </w:r>
      <w:r>
        <w:rPr>
          <w:rFonts w:hint="eastAsia" w:ascii="宋体" w:hAnsi="宋体" w:cs="宋体"/>
          <w:b w:val="0"/>
          <w:bCs/>
          <w:color w:val="auto"/>
          <w:sz w:val="21"/>
          <w:szCs w:val="21"/>
          <w:highlight w:val="none"/>
          <w:lang w:val="en-US" w:eastAsia="zh-CN"/>
        </w:rPr>
        <w:t>发证</w:t>
      </w:r>
      <w:r>
        <w:rPr>
          <w:rFonts w:hint="eastAsia" w:ascii="宋体" w:hAnsi="宋体" w:eastAsia="宋体" w:cs="宋体"/>
          <w:b w:val="0"/>
          <w:bCs/>
          <w:color w:val="auto"/>
          <w:sz w:val="21"/>
          <w:szCs w:val="21"/>
          <w:highlight w:val="none"/>
          <w:lang w:eastAsia="zh-CN"/>
        </w:rPr>
        <w:t>单位为协会的，则须同时提供该协会在“中国社会组织公共服务平台”（网址：https://chinanpo.mca.gov.cn/）的登记的网页查询截图，证明其有登记备案，否则不得分。只计算投标人自身（不含投标人的子公司或分公司）。前述评审须包含最新评价（评定）年度即2021年度，不满足上述要求或无提交上述资料不得分。（2）省级或以上市政行业协会颁发的企业信用等级评价证书，获奖证书必须在有效期内，投标人须提交获奖证书扫描件，时间以证书颁发时间为准。如</w:t>
      </w:r>
      <w:r>
        <w:rPr>
          <w:rFonts w:hint="eastAsia" w:ascii="宋体" w:hAnsi="宋体" w:cs="宋体"/>
          <w:b w:val="0"/>
          <w:bCs/>
          <w:color w:val="auto"/>
          <w:sz w:val="21"/>
          <w:szCs w:val="21"/>
          <w:highlight w:val="none"/>
          <w:lang w:val="en-US" w:eastAsia="zh-CN"/>
        </w:rPr>
        <w:t>发证</w:t>
      </w:r>
      <w:r>
        <w:rPr>
          <w:rFonts w:hint="eastAsia" w:ascii="宋体" w:hAnsi="宋体" w:eastAsia="宋体" w:cs="宋体"/>
          <w:b w:val="0"/>
          <w:bCs/>
          <w:color w:val="auto"/>
          <w:sz w:val="21"/>
          <w:szCs w:val="21"/>
          <w:highlight w:val="none"/>
          <w:lang w:eastAsia="zh-CN"/>
        </w:rPr>
        <w:t>单位为协会的，则须同时提供该协会在“中国社会组织公共服务平台”（网址：</w:t>
      </w:r>
      <w:r>
        <w:rPr>
          <w:rFonts w:hint="eastAsia" w:ascii="宋体" w:hAnsi="宋体" w:eastAsia="宋体" w:cs="宋体"/>
          <w:b w:val="0"/>
          <w:bCs/>
          <w:color w:val="auto"/>
          <w:sz w:val="21"/>
          <w:szCs w:val="21"/>
          <w:highlight w:val="none"/>
          <w:u w:val="none"/>
          <w:lang w:eastAsia="zh-CN"/>
        </w:rPr>
        <w:t>https://chinanpo.mca.gov.cn/）的登记的网页查询截图，证明其有登记备案，否则不得分。不满足上述情况的或未按要求提供证明材料的不得分。</w:t>
      </w:r>
    </w:p>
    <w:p>
      <w:pPr>
        <w:tabs>
          <w:tab w:val="center" w:pos="7288"/>
          <w:tab w:val="left" w:pos="9931"/>
        </w:tabs>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、所有评委每个分项的分数汇总后的算术平均值为投标人的最终得分。分数出现小数点，保留小数点后二位小数，第三位小数四舍五入。</w:t>
      </w:r>
    </w:p>
    <w:p>
      <w:pPr>
        <w:rPr>
          <w:rFonts w:hint="eastAsia" w:ascii="宋体" w:hAnsi="宋体" w:eastAsia="宋体" w:cs="宋体"/>
          <w:color w:val="auto"/>
          <w:kern w:val="0"/>
          <w:sz w:val="21"/>
          <w:szCs w:val="21"/>
          <w:highlight w:val="none"/>
          <w:lang w:val="zh-TW" w:eastAsia="zh-TW"/>
        </w:rPr>
      </w:pPr>
    </w:p>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TW" w:eastAsia="zh-TW"/>
        </w:rPr>
        <w:t xml:space="preserve">评委签名：                                                                             </w:t>
      </w:r>
      <w:r>
        <w:rPr>
          <w:rFonts w:hint="eastAsia" w:ascii="宋体" w:hAnsi="宋体" w:eastAsia="宋体" w:cs="宋体"/>
          <w:color w:val="auto"/>
          <w:kern w:val="0"/>
          <w:sz w:val="21"/>
          <w:szCs w:val="21"/>
          <w:highlight w:val="none"/>
        </w:rPr>
        <w:t xml:space="preserve">      日期：     年   月   日</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附表五（适用于加权平均法）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rPr>
          <w:color w:val="auto"/>
          <w:highlight w:val="none"/>
        </w:rPr>
      </w:pPr>
      <w:r>
        <w:rPr>
          <w:rFonts w:hint="eastAsia"/>
          <w:color w:val="auto"/>
          <w:szCs w:val="21"/>
          <w:highlight w:val="none"/>
        </w:rPr>
        <w:t>评委签名：</w:t>
      </w:r>
      <w:r>
        <w:rPr>
          <w:b/>
          <w:color w:val="auto"/>
          <w:sz w:val="36"/>
          <w:szCs w:val="36"/>
          <w:highlight w:val="none"/>
        </w:rPr>
        <w:br w:type="page"/>
      </w:r>
    </w:p>
    <w:p>
      <w:pPr>
        <w:rPr>
          <w:rFonts w:hint="eastAsia" w:ascii="宋体" w:hAnsi="宋体" w:cs="宋体"/>
          <w:b/>
          <w:color w:val="auto"/>
          <w:szCs w:val="21"/>
          <w:highlight w:val="none"/>
        </w:rPr>
      </w:pPr>
      <w:r>
        <w:rPr>
          <w:rFonts w:hint="eastAsia" w:ascii="宋体" w:hAnsi="宋体" w:cs="宋体"/>
          <w:color w:val="auto"/>
          <w:szCs w:val="21"/>
          <w:highlight w:val="none"/>
        </w:rPr>
        <w:t>附表六</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35"/>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修正前投标</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修正后投标</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488"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[单位工程1]</w:t>
            </w:r>
          </w:p>
        </w:tc>
        <w:tc>
          <w:tcPr>
            <w:tcW w:w="1602"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488"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[单位工程2]</w:t>
            </w:r>
          </w:p>
        </w:tc>
        <w:tc>
          <w:tcPr>
            <w:tcW w:w="1602"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p>
        </w:tc>
      </w:tr>
      <w:tr>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p>
        </w:tc>
      </w:tr>
      <w:tr>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p>
        </w:tc>
      </w:tr>
      <w:tr>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w:t>
            </w:r>
          </w:p>
        </w:tc>
        <w:tc>
          <w:tcPr>
            <w:tcW w:w="4488"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[单位工程n]</w:t>
            </w:r>
          </w:p>
        </w:tc>
        <w:tc>
          <w:tcPr>
            <w:tcW w:w="1602"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p>
        </w:tc>
      </w:tr>
      <w:tr>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w:t>
            </w:r>
          </w:p>
        </w:tc>
        <w:tc>
          <w:tcPr>
            <w:tcW w:w="1602"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∑A=A</w:t>
            </w:r>
            <w:r>
              <w:rPr>
                <w:rFonts w:hint="eastAsia" w:ascii="宋体" w:hAnsi="宋体" w:eastAsia="宋体" w:cs="宋体"/>
                <w:color w:val="auto"/>
                <w:kern w:val="0"/>
                <w:szCs w:val="21"/>
                <w:highlight w:val="none"/>
                <w:vertAlign w:val="subscript"/>
              </w:rPr>
              <w:t>1</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+…An；∑B=B</w:t>
            </w:r>
            <w:r>
              <w:rPr>
                <w:rFonts w:hint="eastAsia" w:ascii="宋体" w:hAnsi="宋体" w:eastAsia="宋体" w:cs="宋体"/>
                <w:color w:val="auto"/>
                <w:kern w:val="0"/>
                <w:szCs w:val="21"/>
                <w:highlight w:val="none"/>
                <w:vertAlign w:val="subscript"/>
              </w:rPr>
              <w:t>1</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+…Bn</w:t>
            </w:r>
          </w:p>
        </w:tc>
      </w:tr>
    </w:tbl>
    <w:p>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35"/>
        <w:tblW w:w="1449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419"/>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原投标报价（A）</w:t>
            </w:r>
          </w:p>
        </w:tc>
        <w:tc>
          <w:tcPr>
            <w:tcW w:w="34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36"/>
                <w:szCs w:val="36"/>
                <w:highlight w:val="none"/>
              </w:rPr>
            </w:pPr>
          </w:p>
        </w:tc>
      </w:tr>
    </w:tbl>
    <w:p>
      <w:pPr>
        <w:rPr>
          <w:rFonts w:hint="eastAsia" w:ascii="宋体" w:hAnsi="宋体" w:cs="宋体"/>
          <w:color w:val="auto"/>
          <w:szCs w:val="21"/>
          <w:highlight w:val="none"/>
        </w:rPr>
      </w:pPr>
      <w:r>
        <w:rPr>
          <w:rFonts w:hint="eastAsia" w:ascii="宋体" w:hAnsi="宋体" w:cs="宋体"/>
          <w:color w:val="auto"/>
          <w:szCs w:val="21"/>
          <w:highlight w:val="none"/>
        </w:rPr>
        <w:t>评委签名：</w:t>
      </w:r>
    </w:p>
    <w:p>
      <w:pPr>
        <w:spacing w:line="360" w:lineRule="auto"/>
        <w:jc w:val="center"/>
        <w:rPr>
          <w:rFonts w:hint="eastAsia" w:ascii="宋体" w:hAnsi="宋体" w:cs="宋体"/>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090" w:right="1247" w:bottom="1418" w:left="1134" w:header="851" w:footer="907" w:gutter="0"/>
          <w:cols w:space="720" w:num="1"/>
          <w:titlePg/>
          <w:docGrid w:type="lines" w:linePitch="312" w:charSpace="0"/>
        </w:sectPr>
      </w:pPr>
    </w:p>
    <w:p>
      <w:pPr>
        <w:pStyle w:val="3"/>
        <w:rPr>
          <w:color w:val="auto"/>
          <w:highlight w:val="none"/>
        </w:rPr>
      </w:pPr>
      <w:bookmarkStart w:id="32" w:name="_Toc2272566"/>
      <w:bookmarkStart w:id="33" w:name="_Toc21525511"/>
      <w:r>
        <w:rPr>
          <w:rFonts w:hint="eastAsia"/>
          <w:color w:val="auto"/>
          <w:highlight w:val="none"/>
        </w:rPr>
        <w:t>第三章</w:t>
      </w:r>
      <w:r>
        <w:rPr>
          <w:color w:val="auto"/>
          <w:highlight w:val="none"/>
        </w:rPr>
        <w:t xml:space="preserve">  </w:t>
      </w:r>
      <w:r>
        <w:rPr>
          <w:rFonts w:hint="eastAsia"/>
          <w:color w:val="auto"/>
          <w:highlight w:val="none"/>
        </w:rPr>
        <w:t>合同条款</w:t>
      </w:r>
      <w:bookmarkEnd w:id="32"/>
      <w:bookmarkEnd w:id="33"/>
    </w:p>
    <w:p>
      <w:pPr>
        <w:jc w:val="center"/>
        <w:rPr>
          <w:rFonts w:ascii="宋体"/>
          <w:b/>
          <w:color w:val="auto"/>
          <w:sz w:val="32"/>
          <w:szCs w:val="32"/>
          <w:highlight w:val="none"/>
        </w:rPr>
      </w:pPr>
      <w:r>
        <w:rPr>
          <w:rFonts w:hint="eastAsia" w:ascii="宋体" w:hAnsi="宋体" w:cs="宋体"/>
          <w:color w:val="auto"/>
          <w:sz w:val="32"/>
          <w:szCs w:val="32"/>
          <w:highlight w:val="none"/>
          <w:u w:val="single"/>
        </w:rPr>
        <w:t>另册</w:t>
      </w:r>
      <w:r>
        <w:rPr>
          <w:rFonts w:hint="eastAsia" w:ascii="宋体" w:hAnsi="宋体"/>
          <w:color w:val="auto"/>
          <w:sz w:val="32"/>
          <w:szCs w:val="32"/>
          <w:highlight w:val="none"/>
        </w:rPr>
        <w:t>。</w:t>
      </w:r>
    </w:p>
    <w:p>
      <w:pPr>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19"/>
        <w:spacing w:line="360" w:lineRule="auto"/>
        <w:rPr>
          <w:color w:val="auto"/>
          <w:sz w:val="24"/>
          <w:szCs w:val="24"/>
          <w:highlight w:val="none"/>
        </w:rPr>
      </w:pPr>
    </w:p>
    <w:p>
      <w:pPr>
        <w:pStyle w:val="19"/>
        <w:spacing w:line="360" w:lineRule="auto"/>
        <w:rPr>
          <w:color w:val="auto"/>
          <w:sz w:val="24"/>
          <w:szCs w:val="24"/>
          <w:highlight w:val="none"/>
        </w:rPr>
      </w:pPr>
      <w:r>
        <w:rPr>
          <w:color w:val="auto"/>
          <w:sz w:val="24"/>
          <w:szCs w:val="24"/>
          <w:highlight w:val="none"/>
        </w:rPr>
        <w:br w:type="page"/>
      </w:r>
    </w:p>
    <w:p>
      <w:pPr>
        <w:pStyle w:val="3"/>
        <w:rPr>
          <w:color w:val="auto"/>
          <w:highlight w:val="none"/>
        </w:rPr>
      </w:pPr>
      <w:bookmarkStart w:id="34" w:name="_Toc2272567"/>
      <w:bookmarkStart w:id="35" w:name="_Toc21525512"/>
      <w:r>
        <w:rPr>
          <w:rFonts w:hint="eastAsia"/>
          <w:color w:val="auto"/>
          <w:highlight w:val="none"/>
        </w:rPr>
        <w:t>第四章</w:t>
      </w:r>
      <w:r>
        <w:rPr>
          <w:color w:val="auto"/>
          <w:highlight w:val="none"/>
        </w:rPr>
        <w:t xml:space="preserve">  </w:t>
      </w:r>
      <w:r>
        <w:rPr>
          <w:rFonts w:hint="eastAsia"/>
          <w:color w:val="auto"/>
          <w:highlight w:val="none"/>
        </w:rPr>
        <w:t>投标文件格式</w:t>
      </w:r>
      <w:bookmarkEnd w:id="34"/>
      <w:bookmarkEnd w:id="35"/>
    </w:p>
    <w:p>
      <w:pPr>
        <w:autoSpaceDE w:val="0"/>
        <w:autoSpaceDN w:val="0"/>
        <w:adjustRightInd w:val="0"/>
        <w:rPr>
          <w:bCs/>
          <w:color w:val="auto"/>
          <w:szCs w:val="21"/>
          <w:highlight w:val="none"/>
        </w:rPr>
      </w:pPr>
      <w:r>
        <w:rPr>
          <w:color w:val="auto"/>
          <w:highlight w:val="none"/>
        </w:rPr>
        <w:br w:type="page"/>
      </w:r>
      <w:r>
        <w:rPr>
          <w:rFonts w:hint="eastAsia"/>
          <w:bCs/>
          <w:color w:val="auto"/>
          <w:szCs w:val="21"/>
          <w:highlight w:val="none"/>
        </w:rPr>
        <w:t>附件一</w:t>
      </w:r>
    </w:p>
    <w:p>
      <w:pPr>
        <w:autoSpaceDE w:val="0"/>
        <w:autoSpaceDN w:val="0"/>
        <w:adjustRightInd w:val="0"/>
        <w:rPr>
          <w:rFonts w:ascii="宋体" w:cs="宋体"/>
          <w:b/>
          <w:bCs/>
          <w:color w:val="auto"/>
          <w:szCs w:val="21"/>
          <w:highlight w:val="none"/>
          <w:lang w:val="zh-CN"/>
        </w:rPr>
      </w:pPr>
      <w:r>
        <w:rPr>
          <w:rFonts w:hint="eastAsia"/>
          <w:bCs/>
          <w:color w:val="auto"/>
          <w:szCs w:val="21"/>
          <w:highlight w:val="none"/>
        </w:rPr>
        <w:t>（适用于技术标与经济标同时开启）</w:t>
      </w:r>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标</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总工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72" w:firstLineChars="196"/>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修</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bl>
    <w:p>
      <w:pPr>
        <w:tabs>
          <w:tab w:val="left" w:pos="720"/>
        </w:tabs>
        <w:snapToGrid w:val="0"/>
        <w:spacing w:line="360" w:lineRule="auto"/>
        <w:rPr>
          <w:color w:val="auto"/>
          <w:sz w:val="24"/>
          <w:szCs w:val="24"/>
          <w:highlight w:val="none"/>
        </w:rPr>
      </w:pPr>
    </w:p>
    <w:p>
      <w:pPr>
        <w:autoSpaceDE w:val="0"/>
        <w:autoSpaceDN w:val="0"/>
        <w:adjustRightInd w:val="0"/>
        <w:rPr>
          <w:color w:val="auto"/>
          <w:szCs w:val="21"/>
          <w:highlight w:val="none"/>
        </w:rPr>
      </w:pPr>
      <w:r>
        <w:rPr>
          <w:color w:val="auto"/>
          <w:sz w:val="24"/>
          <w:szCs w:val="24"/>
          <w:highlight w:val="none"/>
        </w:rPr>
        <w:br w:type="page"/>
      </w:r>
      <w:r>
        <w:rPr>
          <w:rFonts w:hint="eastAsia"/>
          <w:color w:val="auto"/>
          <w:szCs w:val="21"/>
          <w:highlight w:val="none"/>
        </w:rPr>
        <w:t>附件二</w:t>
      </w:r>
    </w:p>
    <w:p>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投标文件编制人员名单</w:t>
      </w:r>
    </w:p>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3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3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pPr>
        <w:pStyle w:val="5"/>
        <w:spacing w:after="0" w:line="360" w:lineRule="auto"/>
        <w:ind w:left="-2" w:leftChars="-1" w:firstLineChars="175"/>
        <w:jc w:val="center"/>
        <w:rPr>
          <w:color w:val="auto"/>
          <w:sz w:val="24"/>
          <w:szCs w:val="24"/>
          <w:highlight w:val="none"/>
        </w:rPr>
      </w:pPr>
    </w:p>
    <w:p>
      <w:pPr>
        <w:autoSpaceDE w:val="0"/>
        <w:autoSpaceDN w:val="0"/>
        <w:adjustRightInd w:val="0"/>
        <w:rPr>
          <w:color w:val="auto"/>
          <w:szCs w:val="21"/>
          <w:highlight w:val="none"/>
        </w:rPr>
      </w:pPr>
      <w:r>
        <w:rPr>
          <w:rFonts w:hint="eastAsia"/>
          <w:color w:val="auto"/>
          <w:szCs w:val="21"/>
          <w:highlight w:val="none"/>
        </w:rPr>
        <w:t>附件三</w:t>
      </w:r>
    </w:p>
    <w:p>
      <w:pPr>
        <w:pStyle w:val="5"/>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pPr>
        <w:pStyle w:val="5"/>
        <w:spacing w:after="0" w:line="360" w:lineRule="auto"/>
        <w:ind w:firstLine="0"/>
        <w:rPr>
          <w:b/>
          <w:color w:val="auto"/>
          <w:sz w:val="32"/>
          <w:szCs w:val="32"/>
          <w:highlight w:val="none"/>
        </w:rPr>
      </w:pPr>
    </w:p>
    <w:p>
      <w:pPr>
        <w:pStyle w:val="5"/>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pPr>
        <w:pStyle w:val="5"/>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5"/>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pPr>
        <w:pStyle w:val="5"/>
        <w:spacing w:after="0" w:line="360" w:lineRule="auto"/>
        <w:ind w:left="-2" w:leftChars="-1" w:firstLine="367" w:firstLineChars="175"/>
        <w:jc w:val="left"/>
        <w:rPr>
          <w:rFonts w:hint="eastAsia" w:ascii="宋体" w:hAnsi="宋体" w:cs="宋体"/>
          <w:color w:val="auto"/>
          <w:szCs w:val="21"/>
          <w:highlight w:val="none"/>
        </w:rPr>
      </w:pPr>
      <w:r>
        <w:rPr>
          <w:rFonts w:hint="eastAsia" w:ascii="宋体" w:hAnsi="宋体" w:cs="宋体"/>
          <w:color w:val="auto"/>
          <w:szCs w:val="21"/>
          <w:highlight w:val="none"/>
        </w:rPr>
        <w:t>附件四</w:t>
      </w:r>
    </w:p>
    <w:p>
      <w:pPr>
        <w:autoSpaceDE w:val="0"/>
        <w:autoSpaceDN w:val="0"/>
        <w:adjustRightInd w:val="0"/>
        <w:spacing w:line="360" w:lineRule="auto"/>
        <w:jc w:val="center"/>
        <w:rPr>
          <w:rFonts w:hint="eastAsia" w:ascii="宋体" w:hAnsi="宋体" w:cs="宋体"/>
          <w:b/>
          <w:bCs/>
          <w:color w:val="auto"/>
          <w:sz w:val="36"/>
          <w:szCs w:val="36"/>
          <w:highlight w:val="none"/>
        </w:rPr>
      </w:pPr>
    </w:p>
    <w:p>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rPr>
        <w:t>施工</w:t>
      </w:r>
      <w:r>
        <w:rPr>
          <w:rFonts w:ascii="宋体" w:hAnsi="宋体" w:cs="宋体"/>
          <w:b/>
          <w:bCs/>
          <w:color w:val="auto"/>
          <w:sz w:val="36"/>
          <w:szCs w:val="36"/>
          <w:highlight w:val="none"/>
          <w:lang w:val="zh-CN"/>
        </w:rPr>
        <w:t>项目管理团队人员信息表</w:t>
      </w:r>
    </w:p>
    <w:tbl>
      <w:tblPr>
        <w:tblStyle w:val="35"/>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58"/>
        <w:gridCol w:w="1376"/>
        <w:gridCol w:w="1462"/>
        <w:gridCol w:w="2783"/>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6" w:type="dxa"/>
            <w:noWrap w:val="0"/>
            <w:vAlign w:val="center"/>
          </w:tcPr>
          <w:p>
            <w:pPr>
              <w:adjustRightInd w:val="0"/>
              <w:snapToGrid w:val="0"/>
              <w:ind w:left="-63" w:leftChars="-30" w:right="-63" w:rightChars="-30"/>
              <w:jc w:val="center"/>
              <w:rPr>
                <w:rFonts w:ascii="宋体" w:hAnsi="宋体"/>
                <w:color w:val="auto"/>
                <w:highlight w:val="none"/>
              </w:rPr>
            </w:pPr>
            <w:r>
              <w:rPr>
                <w:rFonts w:ascii="宋体" w:hAnsi="宋体"/>
                <w:color w:val="auto"/>
                <w:highlight w:val="none"/>
              </w:rPr>
              <w:t>序号</w:t>
            </w:r>
          </w:p>
        </w:tc>
        <w:tc>
          <w:tcPr>
            <w:tcW w:w="1358" w:type="dxa"/>
            <w:noWrap w:val="0"/>
            <w:vAlign w:val="center"/>
          </w:tcPr>
          <w:p>
            <w:pPr>
              <w:adjustRightInd w:val="0"/>
              <w:snapToGrid w:val="0"/>
              <w:ind w:left="-63" w:leftChars="-30" w:right="-63" w:rightChars="-30"/>
              <w:jc w:val="center"/>
              <w:rPr>
                <w:rFonts w:ascii="宋体" w:hAnsi="宋体"/>
                <w:color w:val="auto"/>
                <w:highlight w:val="none"/>
              </w:rPr>
            </w:pPr>
            <w:r>
              <w:rPr>
                <w:rFonts w:ascii="宋体" w:hAnsi="宋体"/>
                <w:color w:val="auto"/>
                <w:highlight w:val="none"/>
              </w:rPr>
              <w:t>姓名</w:t>
            </w:r>
          </w:p>
        </w:tc>
        <w:tc>
          <w:tcPr>
            <w:tcW w:w="1376" w:type="dxa"/>
            <w:noWrap w:val="0"/>
            <w:vAlign w:val="center"/>
          </w:tcPr>
          <w:p>
            <w:pPr>
              <w:adjustRightInd w:val="0"/>
              <w:snapToGrid w:val="0"/>
              <w:ind w:left="-63" w:leftChars="-30" w:right="-63" w:rightChars="-30"/>
              <w:jc w:val="center"/>
              <w:rPr>
                <w:rFonts w:ascii="宋体" w:hAnsi="宋体"/>
                <w:color w:val="auto"/>
                <w:highlight w:val="none"/>
              </w:rPr>
            </w:pPr>
            <w:r>
              <w:rPr>
                <w:rStyle w:val="112"/>
                <w:rFonts w:ascii="宋体" w:hAnsi="宋体" w:eastAsia="宋体" w:cs="宋体"/>
                <w:color w:val="auto"/>
                <w:sz w:val="21"/>
                <w:szCs w:val="21"/>
                <w:highlight w:val="none"/>
                <w:lang w:bidi="ar"/>
              </w:rPr>
              <w:t>岗位</w:t>
            </w:r>
          </w:p>
        </w:tc>
        <w:tc>
          <w:tcPr>
            <w:tcW w:w="1462" w:type="dxa"/>
            <w:noWrap w:val="0"/>
            <w:vAlign w:val="center"/>
          </w:tcPr>
          <w:p>
            <w:pPr>
              <w:adjustRightInd w:val="0"/>
              <w:snapToGrid w:val="0"/>
              <w:ind w:left="-63" w:leftChars="-30" w:right="-63" w:rightChars="-30"/>
              <w:jc w:val="center"/>
              <w:rPr>
                <w:rStyle w:val="112"/>
                <w:rFonts w:ascii="宋体" w:hAnsi="宋体" w:eastAsia="宋体" w:cs="宋体"/>
                <w:color w:val="auto"/>
                <w:sz w:val="21"/>
                <w:szCs w:val="21"/>
                <w:highlight w:val="none"/>
                <w:lang w:bidi="ar"/>
              </w:rPr>
            </w:pPr>
            <w:r>
              <w:rPr>
                <w:rStyle w:val="112"/>
                <w:rFonts w:ascii="宋体" w:hAnsi="宋体" w:eastAsia="宋体" w:cs="宋体"/>
                <w:color w:val="auto"/>
                <w:sz w:val="21"/>
                <w:szCs w:val="21"/>
                <w:highlight w:val="none"/>
                <w:lang w:bidi="ar"/>
              </w:rPr>
              <w:t>职称</w:t>
            </w:r>
          </w:p>
        </w:tc>
        <w:tc>
          <w:tcPr>
            <w:tcW w:w="2783" w:type="dxa"/>
            <w:noWrap w:val="0"/>
            <w:vAlign w:val="center"/>
          </w:tcPr>
          <w:p>
            <w:pPr>
              <w:adjustRightInd w:val="0"/>
              <w:snapToGrid w:val="0"/>
              <w:ind w:left="-63" w:leftChars="-30" w:right="-63" w:rightChars="-30"/>
              <w:jc w:val="center"/>
              <w:rPr>
                <w:rStyle w:val="112"/>
                <w:rFonts w:ascii="宋体" w:hAnsi="宋体" w:eastAsia="宋体" w:cs="宋体"/>
                <w:color w:val="auto"/>
                <w:sz w:val="21"/>
                <w:szCs w:val="21"/>
                <w:highlight w:val="none"/>
                <w:lang w:bidi="ar"/>
              </w:rPr>
            </w:pPr>
            <w:r>
              <w:rPr>
                <w:rStyle w:val="112"/>
                <w:rFonts w:ascii="宋体" w:hAnsi="宋体" w:eastAsia="宋体" w:cs="宋体"/>
                <w:color w:val="auto"/>
                <w:sz w:val="21"/>
                <w:szCs w:val="21"/>
                <w:highlight w:val="none"/>
                <w:lang w:bidi="ar"/>
              </w:rPr>
              <w:t>职称证书或资格证书编号</w:t>
            </w:r>
          </w:p>
        </w:tc>
        <w:tc>
          <w:tcPr>
            <w:tcW w:w="858" w:type="dxa"/>
            <w:noWrap w:val="0"/>
            <w:vAlign w:val="center"/>
          </w:tcPr>
          <w:p>
            <w:pPr>
              <w:adjustRightInd w:val="0"/>
              <w:snapToGrid w:val="0"/>
              <w:ind w:left="-63" w:leftChars="-30" w:right="-63" w:rightChars="-30"/>
              <w:jc w:val="center"/>
              <w:rPr>
                <w:rStyle w:val="112"/>
                <w:rFonts w:ascii="宋体" w:hAnsi="宋体" w:eastAsia="宋体" w:cs="宋体"/>
                <w:color w:val="auto"/>
                <w:sz w:val="21"/>
                <w:szCs w:val="21"/>
                <w:highlight w:val="none"/>
                <w:lang w:bidi="ar"/>
              </w:rPr>
            </w:pPr>
            <w:r>
              <w:rPr>
                <w:rStyle w:val="112"/>
                <w:rFonts w:ascii="宋体" w:hAnsi="宋体" w:eastAsia="宋体" w:cs="宋体"/>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noWrap w:val="0"/>
            <w:vAlign w:val="center"/>
          </w:tcPr>
          <w:p>
            <w:pPr>
              <w:adjustRightInd w:val="0"/>
              <w:snapToGrid w:val="0"/>
              <w:ind w:left="-63" w:leftChars="-30" w:right="-63" w:rightChars="-30"/>
              <w:jc w:val="center"/>
              <w:rPr>
                <w:rFonts w:hint="eastAsia" w:ascii="宋体" w:hAnsi="宋体"/>
                <w:color w:val="auto"/>
                <w:highlight w:val="none"/>
              </w:rPr>
            </w:pPr>
          </w:p>
        </w:tc>
        <w:tc>
          <w:tcPr>
            <w:tcW w:w="1358" w:type="dxa"/>
            <w:noWrap w:val="0"/>
            <w:vAlign w:val="center"/>
          </w:tcPr>
          <w:p>
            <w:pPr>
              <w:adjustRightInd w:val="0"/>
              <w:snapToGrid w:val="0"/>
              <w:ind w:left="-63" w:leftChars="-30" w:right="-63" w:rightChars="-30"/>
              <w:jc w:val="center"/>
              <w:rPr>
                <w:rFonts w:hint="eastAsia" w:ascii="宋体" w:hAnsi="宋体" w:eastAsia="宋体"/>
                <w:color w:val="auto"/>
                <w:highlight w:val="none"/>
              </w:rPr>
            </w:pPr>
          </w:p>
        </w:tc>
        <w:tc>
          <w:tcPr>
            <w:tcW w:w="1376" w:type="dxa"/>
            <w:noWrap w:val="0"/>
            <w:vAlign w:val="center"/>
          </w:tcPr>
          <w:p>
            <w:pPr>
              <w:adjustRightInd w:val="0"/>
              <w:snapToGrid w:val="0"/>
              <w:ind w:left="-63" w:leftChars="-30" w:right="-63" w:rightChars="-30"/>
              <w:jc w:val="center"/>
              <w:rPr>
                <w:rFonts w:hint="default" w:ascii="宋体" w:hAnsi="宋体" w:eastAsia="宋体" w:cs="宋体"/>
                <w:color w:val="auto"/>
                <w:kern w:val="2"/>
                <w:sz w:val="21"/>
                <w:szCs w:val="21"/>
                <w:highlight w:val="none"/>
                <w:u w:val="none"/>
                <w:lang w:val="en-US" w:eastAsia="zh-CN" w:bidi="ar"/>
              </w:rPr>
            </w:pPr>
          </w:p>
        </w:tc>
        <w:tc>
          <w:tcPr>
            <w:tcW w:w="1462" w:type="dxa"/>
            <w:noWrap w:val="0"/>
            <w:vAlign w:val="center"/>
          </w:tcPr>
          <w:p>
            <w:pPr>
              <w:adjustRightInd w:val="0"/>
              <w:snapToGrid w:val="0"/>
              <w:ind w:left="-63" w:leftChars="-30" w:right="-63" w:rightChars="-30"/>
              <w:jc w:val="center"/>
              <w:rPr>
                <w:rFonts w:ascii="宋体" w:hAnsi="宋体"/>
                <w:color w:val="auto"/>
                <w:highlight w:val="none"/>
              </w:rPr>
            </w:pPr>
          </w:p>
        </w:tc>
        <w:tc>
          <w:tcPr>
            <w:tcW w:w="2783" w:type="dxa"/>
            <w:noWrap w:val="0"/>
            <w:vAlign w:val="center"/>
          </w:tcPr>
          <w:p>
            <w:pPr>
              <w:adjustRightInd w:val="0"/>
              <w:snapToGrid w:val="0"/>
              <w:ind w:left="-63" w:leftChars="-30" w:right="-63" w:rightChars="-30"/>
              <w:jc w:val="center"/>
              <w:rPr>
                <w:rFonts w:ascii="宋体" w:hAnsi="宋体"/>
                <w:color w:val="auto"/>
                <w:highlight w:val="none"/>
              </w:rPr>
            </w:pPr>
          </w:p>
        </w:tc>
        <w:tc>
          <w:tcPr>
            <w:tcW w:w="858" w:type="dxa"/>
            <w:noWrap w:val="0"/>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06" w:type="dxa"/>
            <w:noWrap w:val="0"/>
            <w:vAlign w:val="center"/>
          </w:tcPr>
          <w:p>
            <w:pPr>
              <w:adjustRightInd w:val="0"/>
              <w:snapToGrid w:val="0"/>
              <w:ind w:left="-63" w:leftChars="-30" w:right="-63" w:rightChars="-30"/>
              <w:jc w:val="center"/>
              <w:rPr>
                <w:rFonts w:ascii="宋体" w:hAnsi="宋体"/>
                <w:color w:val="auto"/>
                <w:highlight w:val="none"/>
              </w:rPr>
            </w:pPr>
          </w:p>
        </w:tc>
        <w:tc>
          <w:tcPr>
            <w:tcW w:w="1358" w:type="dxa"/>
            <w:noWrap w:val="0"/>
            <w:vAlign w:val="center"/>
          </w:tcPr>
          <w:p>
            <w:pPr>
              <w:adjustRightInd w:val="0"/>
              <w:snapToGrid w:val="0"/>
              <w:ind w:left="-63" w:leftChars="-30" w:right="-63" w:rightChars="-30"/>
              <w:jc w:val="center"/>
              <w:rPr>
                <w:rFonts w:hint="eastAsia" w:ascii="宋体" w:hAnsi="宋体" w:eastAsia="宋体"/>
                <w:color w:val="auto"/>
                <w:highlight w:val="none"/>
              </w:rPr>
            </w:pPr>
          </w:p>
        </w:tc>
        <w:tc>
          <w:tcPr>
            <w:tcW w:w="1376" w:type="dxa"/>
            <w:noWrap w:val="0"/>
            <w:vAlign w:val="center"/>
          </w:tcPr>
          <w:p>
            <w:pPr>
              <w:adjustRightInd w:val="0"/>
              <w:snapToGrid w:val="0"/>
              <w:ind w:left="-63" w:leftChars="-30" w:right="-63" w:rightChars="-30"/>
              <w:jc w:val="center"/>
              <w:rPr>
                <w:rFonts w:hint="default" w:ascii="宋体" w:hAnsi="宋体" w:eastAsia="宋体" w:cs="宋体"/>
                <w:color w:val="auto"/>
                <w:kern w:val="2"/>
                <w:sz w:val="21"/>
                <w:szCs w:val="21"/>
                <w:highlight w:val="none"/>
                <w:u w:val="none"/>
                <w:lang w:val="en-US" w:eastAsia="zh-CN" w:bidi="ar"/>
              </w:rPr>
            </w:pPr>
          </w:p>
        </w:tc>
        <w:tc>
          <w:tcPr>
            <w:tcW w:w="1462" w:type="dxa"/>
            <w:noWrap w:val="0"/>
            <w:vAlign w:val="center"/>
          </w:tcPr>
          <w:p>
            <w:pPr>
              <w:adjustRightInd w:val="0"/>
              <w:snapToGrid w:val="0"/>
              <w:ind w:left="-63" w:leftChars="-30" w:right="-63" w:rightChars="-30"/>
              <w:jc w:val="center"/>
              <w:rPr>
                <w:rFonts w:ascii="宋体" w:hAnsi="宋体"/>
                <w:color w:val="auto"/>
                <w:highlight w:val="none"/>
              </w:rPr>
            </w:pPr>
          </w:p>
        </w:tc>
        <w:tc>
          <w:tcPr>
            <w:tcW w:w="2783" w:type="dxa"/>
            <w:noWrap w:val="0"/>
            <w:vAlign w:val="center"/>
          </w:tcPr>
          <w:p>
            <w:pPr>
              <w:adjustRightInd w:val="0"/>
              <w:snapToGrid w:val="0"/>
              <w:ind w:left="-63" w:leftChars="-30" w:right="-63" w:rightChars="-30"/>
              <w:jc w:val="center"/>
              <w:rPr>
                <w:rFonts w:ascii="宋体" w:hAnsi="宋体"/>
                <w:color w:val="auto"/>
                <w:highlight w:val="none"/>
              </w:rPr>
            </w:pPr>
          </w:p>
        </w:tc>
        <w:tc>
          <w:tcPr>
            <w:tcW w:w="858" w:type="dxa"/>
            <w:noWrap w:val="0"/>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6" w:type="dxa"/>
            <w:noWrap w:val="0"/>
            <w:vAlign w:val="center"/>
          </w:tcPr>
          <w:p>
            <w:pPr>
              <w:adjustRightInd w:val="0"/>
              <w:snapToGrid w:val="0"/>
              <w:ind w:left="-63" w:leftChars="-30" w:right="-63" w:rightChars="-30"/>
              <w:jc w:val="center"/>
              <w:rPr>
                <w:rFonts w:ascii="宋体" w:hAnsi="宋体"/>
                <w:color w:val="auto"/>
                <w:highlight w:val="none"/>
              </w:rPr>
            </w:pPr>
          </w:p>
        </w:tc>
        <w:tc>
          <w:tcPr>
            <w:tcW w:w="1358" w:type="dxa"/>
            <w:noWrap w:val="0"/>
            <w:vAlign w:val="center"/>
          </w:tcPr>
          <w:p>
            <w:pPr>
              <w:adjustRightInd w:val="0"/>
              <w:snapToGrid w:val="0"/>
              <w:ind w:left="-63" w:leftChars="-30" w:right="-63" w:rightChars="-30"/>
              <w:jc w:val="center"/>
              <w:rPr>
                <w:rFonts w:hint="eastAsia" w:ascii="宋体" w:hAnsi="宋体" w:eastAsia="宋体"/>
                <w:color w:val="auto"/>
                <w:highlight w:val="none"/>
              </w:rPr>
            </w:pPr>
          </w:p>
        </w:tc>
        <w:tc>
          <w:tcPr>
            <w:tcW w:w="1376" w:type="dxa"/>
            <w:noWrap w:val="0"/>
            <w:vAlign w:val="center"/>
          </w:tcPr>
          <w:p>
            <w:pPr>
              <w:adjustRightInd w:val="0"/>
              <w:snapToGrid w:val="0"/>
              <w:ind w:left="-63" w:leftChars="-30" w:right="-63" w:rightChars="-30"/>
              <w:jc w:val="center"/>
              <w:rPr>
                <w:rFonts w:ascii="宋体" w:hAnsi="宋体" w:eastAsia="宋体" w:cs="Times New Roman"/>
                <w:color w:val="auto"/>
                <w:kern w:val="2"/>
                <w:sz w:val="21"/>
                <w:szCs w:val="22"/>
                <w:highlight w:val="none"/>
                <w:lang w:val="en-US" w:eastAsia="zh-CN" w:bidi="ar-SA"/>
              </w:rPr>
            </w:pPr>
          </w:p>
        </w:tc>
        <w:tc>
          <w:tcPr>
            <w:tcW w:w="1462" w:type="dxa"/>
            <w:noWrap w:val="0"/>
            <w:vAlign w:val="center"/>
          </w:tcPr>
          <w:p>
            <w:pPr>
              <w:adjustRightInd w:val="0"/>
              <w:snapToGrid w:val="0"/>
              <w:ind w:left="-63" w:leftChars="-30" w:right="-63" w:rightChars="-30"/>
              <w:jc w:val="center"/>
              <w:rPr>
                <w:rFonts w:ascii="宋体" w:hAnsi="宋体"/>
                <w:color w:val="auto"/>
                <w:highlight w:val="none"/>
              </w:rPr>
            </w:pPr>
          </w:p>
        </w:tc>
        <w:tc>
          <w:tcPr>
            <w:tcW w:w="2783" w:type="dxa"/>
            <w:noWrap w:val="0"/>
            <w:vAlign w:val="center"/>
          </w:tcPr>
          <w:p>
            <w:pPr>
              <w:adjustRightInd w:val="0"/>
              <w:snapToGrid w:val="0"/>
              <w:ind w:left="-63" w:leftChars="-30" w:right="-63" w:rightChars="-30"/>
              <w:jc w:val="center"/>
              <w:rPr>
                <w:rFonts w:ascii="宋体" w:hAnsi="宋体"/>
                <w:color w:val="auto"/>
                <w:highlight w:val="none"/>
              </w:rPr>
            </w:pPr>
          </w:p>
        </w:tc>
        <w:tc>
          <w:tcPr>
            <w:tcW w:w="858" w:type="dxa"/>
            <w:noWrap w:val="0"/>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1358" w:type="dxa"/>
            <w:noWrap w:val="0"/>
            <w:vAlign w:val="center"/>
          </w:tcPr>
          <w:p>
            <w:pPr>
              <w:adjustRightInd w:val="0"/>
              <w:snapToGrid w:val="0"/>
              <w:ind w:left="-63" w:leftChars="-30" w:right="-63" w:rightChars="-30"/>
              <w:jc w:val="center"/>
              <w:rPr>
                <w:rFonts w:hint="eastAsia" w:ascii="宋体" w:hAnsi="宋体"/>
                <w:color w:val="auto"/>
                <w:szCs w:val="24"/>
                <w:highlight w:val="none"/>
              </w:rPr>
            </w:pPr>
          </w:p>
        </w:tc>
        <w:tc>
          <w:tcPr>
            <w:tcW w:w="1376" w:type="dxa"/>
            <w:noWrap w:val="0"/>
            <w:vAlign w:val="center"/>
          </w:tcPr>
          <w:p>
            <w:pPr>
              <w:adjustRightInd w:val="0"/>
              <w:snapToGrid w:val="0"/>
              <w:ind w:left="-63" w:leftChars="-30" w:right="-63" w:rightChars="-30"/>
              <w:jc w:val="center"/>
              <w:rPr>
                <w:rFonts w:ascii="宋体" w:hAnsi="宋体" w:eastAsia="宋体" w:cs="Times New Roman"/>
                <w:color w:val="auto"/>
                <w:kern w:val="2"/>
                <w:sz w:val="21"/>
                <w:szCs w:val="22"/>
                <w:highlight w:val="none"/>
                <w:lang w:val="en-US" w:eastAsia="zh-CN" w:bidi="ar-SA"/>
              </w:rPr>
            </w:pPr>
          </w:p>
        </w:tc>
        <w:tc>
          <w:tcPr>
            <w:tcW w:w="1462"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2783"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858" w:type="dxa"/>
            <w:noWrap w:val="0"/>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1358" w:type="dxa"/>
            <w:noWrap w:val="0"/>
            <w:vAlign w:val="center"/>
          </w:tcPr>
          <w:p>
            <w:pPr>
              <w:adjustRightInd w:val="0"/>
              <w:snapToGrid w:val="0"/>
              <w:ind w:left="-63" w:leftChars="-30" w:right="-63" w:rightChars="-30"/>
              <w:jc w:val="center"/>
              <w:rPr>
                <w:rFonts w:hint="eastAsia" w:ascii="宋体" w:hAnsi="宋体"/>
                <w:color w:val="auto"/>
                <w:szCs w:val="24"/>
                <w:highlight w:val="none"/>
              </w:rPr>
            </w:pPr>
          </w:p>
        </w:tc>
        <w:tc>
          <w:tcPr>
            <w:tcW w:w="1376" w:type="dxa"/>
            <w:noWrap w:val="0"/>
            <w:vAlign w:val="center"/>
          </w:tcPr>
          <w:p>
            <w:pPr>
              <w:adjustRightInd w:val="0"/>
              <w:snapToGrid w:val="0"/>
              <w:ind w:left="-63" w:leftChars="-30" w:right="-63" w:rightChars="-30"/>
              <w:jc w:val="center"/>
              <w:rPr>
                <w:rFonts w:ascii="宋体" w:hAnsi="宋体" w:eastAsia="宋体" w:cs="Times New Roman"/>
                <w:color w:val="auto"/>
                <w:kern w:val="2"/>
                <w:sz w:val="21"/>
                <w:szCs w:val="22"/>
                <w:highlight w:val="none"/>
                <w:lang w:val="en-US" w:eastAsia="zh-CN" w:bidi="ar-SA"/>
              </w:rPr>
            </w:pPr>
          </w:p>
        </w:tc>
        <w:tc>
          <w:tcPr>
            <w:tcW w:w="1462"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2783"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858" w:type="dxa"/>
            <w:noWrap w:val="0"/>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1358" w:type="dxa"/>
            <w:noWrap w:val="0"/>
            <w:vAlign w:val="center"/>
          </w:tcPr>
          <w:p>
            <w:pPr>
              <w:adjustRightInd w:val="0"/>
              <w:snapToGrid w:val="0"/>
              <w:ind w:left="-63" w:leftChars="-30" w:right="-63" w:rightChars="-30"/>
              <w:jc w:val="center"/>
              <w:rPr>
                <w:rFonts w:hint="eastAsia" w:ascii="宋体" w:hAnsi="宋体"/>
                <w:color w:val="auto"/>
                <w:szCs w:val="24"/>
                <w:highlight w:val="none"/>
              </w:rPr>
            </w:pPr>
          </w:p>
        </w:tc>
        <w:tc>
          <w:tcPr>
            <w:tcW w:w="1376" w:type="dxa"/>
            <w:noWrap w:val="0"/>
            <w:vAlign w:val="center"/>
          </w:tcPr>
          <w:p>
            <w:pPr>
              <w:adjustRightInd w:val="0"/>
              <w:snapToGrid w:val="0"/>
              <w:ind w:left="-63" w:leftChars="-30" w:right="-63" w:rightChars="-30"/>
              <w:jc w:val="center"/>
              <w:rPr>
                <w:rFonts w:ascii="宋体" w:hAnsi="宋体" w:eastAsia="宋体" w:cs="Times New Roman"/>
                <w:color w:val="auto"/>
                <w:kern w:val="2"/>
                <w:sz w:val="21"/>
                <w:szCs w:val="24"/>
                <w:highlight w:val="none"/>
                <w:lang w:val="en-US" w:eastAsia="zh-CN" w:bidi="ar-SA"/>
              </w:rPr>
            </w:pPr>
          </w:p>
        </w:tc>
        <w:tc>
          <w:tcPr>
            <w:tcW w:w="1462"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2783"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858" w:type="dxa"/>
            <w:noWrap w:val="0"/>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1358" w:type="dxa"/>
            <w:noWrap w:val="0"/>
            <w:vAlign w:val="center"/>
          </w:tcPr>
          <w:p>
            <w:pPr>
              <w:adjustRightInd w:val="0"/>
              <w:snapToGrid w:val="0"/>
              <w:ind w:left="-63" w:leftChars="-30" w:right="-63" w:rightChars="-30"/>
              <w:jc w:val="center"/>
              <w:rPr>
                <w:rFonts w:hint="eastAsia" w:ascii="宋体" w:hAnsi="宋体"/>
                <w:color w:val="auto"/>
                <w:szCs w:val="24"/>
                <w:highlight w:val="none"/>
              </w:rPr>
            </w:pPr>
          </w:p>
        </w:tc>
        <w:tc>
          <w:tcPr>
            <w:tcW w:w="1376"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1462"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2783"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858" w:type="dxa"/>
            <w:noWrap w:val="0"/>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1358" w:type="dxa"/>
            <w:noWrap w:val="0"/>
            <w:vAlign w:val="center"/>
          </w:tcPr>
          <w:p>
            <w:pPr>
              <w:adjustRightInd w:val="0"/>
              <w:snapToGrid w:val="0"/>
              <w:ind w:left="-63" w:leftChars="-30" w:right="-63" w:rightChars="-30"/>
              <w:jc w:val="center"/>
              <w:rPr>
                <w:rFonts w:hint="eastAsia" w:ascii="宋体" w:hAnsi="宋体"/>
                <w:color w:val="auto"/>
                <w:szCs w:val="24"/>
                <w:highlight w:val="none"/>
              </w:rPr>
            </w:pPr>
          </w:p>
        </w:tc>
        <w:tc>
          <w:tcPr>
            <w:tcW w:w="1376"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1462"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2783"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858" w:type="dxa"/>
            <w:noWrap w:val="0"/>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1358" w:type="dxa"/>
            <w:noWrap w:val="0"/>
            <w:vAlign w:val="center"/>
          </w:tcPr>
          <w:p>
            <w:pPr>
              <w:adjustRightInd w:val="0"/>
              <w:snapToGrid w:val="0"/>
              <w:ind w:left="-63" w:leftChars="-30" w:right="-63" w:rightChars="-30"/>
              <w:jc w:val="center"/>
              <w:rPr>
                <w:rFonts w:hint="eastAsia" w:ascii="宋体" w:hAnsi="宋体"/>
                <w:color w:val="auto"/>
                <w:szCs w:val="24"/>
                <w:highlight w:val="none"/>
              </w:rPr>
            </w:pPr>
          </w:p>
        </w:tc>
        <w:tc>
          <w:tcPr>
            <w:tcW w:w="1376"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1462"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2783" w:type="dxa"/>
            <w:noWrap w:val="0"/>
            <w:vAlign w:val="center"/>
          </w:tcPr>
          <w:p>
            <w:pPr>
              <w:adjustRightInd w:val="0"/>
              <w:snapToGrid w:val="0"/>
              <w:ind w:left="-63" w:leftChars="-30" w:right="-63" w:rightChars="-30"/>
              <w:jc w:val="center"/>
              <w:rPr>
                <w:rFonts w:ascii="宋体" w:hAnsi="宋体"/>
                <w:color w:val="auto"/>
                <w:szCs w:val="24"/>
                <w:highlight w:val="none"/>
              </w:rPr>
            </w:pPr>
          </w:p>
        </w:tc>
        <w:tc>
          <w:tcPr>
            <w:tcW w:w="858" w:type="dxa"/>
            <w:noWrap w:val="0"/>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6" w:type="dxa"/>
            <w:noWrap w:val="0"/>
            <w:vAlign w:val="center"/>
          </w:tcPr>
          <w:p>
            <w:pPr>
              <w:adjustRightInd w:val="0"/>
              <w:snapToGrid w:val="0"/>
              <w:ind w:left="-63" w:leftChars="-30" w:right="-63" w:rightChars="-30"/>
              <w:jc w:val="center"/>
              <w:rPr>
                <w:rFonts w:ascii="宋体" w:hAnsi="宋体"/>
                <w:color w:val="auto"/>
                <w:highlight w:val="none"/>
              </w:rPr>
            </w:pPr>
          </w:p>
        </w:tc>
        <w:tc>
          <w:tcPr>
            <w:tcW w:w="1358" w:type="dxa"/>
            <w:noWrap w:val="0"/>
            <w:vAlign w:val="center"/>
          </w:tcPr>
          <w:p>
            <w:pPr>
              <w:adjustRightInd w:val="0"/>
              <w:snapToGrid w:val="0"/>
              <w:ind w:left="-63" w:leftChars="-30" w:right="-63" w:rightChars="-30"/>
              <w:jc w:val="center"/>
              <w:rPr>
                <w:rFonts w:ascii="宋体" w:hAnsi="宋体"/>
                <w:color w:val="auto"/>
                <w:highlight w:val="none"/>
              </w:rPr>
            </w:pPr>
          </w:p>
        </w:tc>
        <w:tc>
          <w:tcPr>
            <w:tcW w:w="1376" w:type="dxa"/>
            <w:noWrap w:val="0"/>
            <w:vAlign w:val="center"/>
          </w:tcPr>
          <w:p>
            <w:pPr>
              <w:adjustRightInd w:val="0"/>
              <w:snapToGrid w:val="0"/>
              <w:ind w:left="-63" w:leftChars="-30" w:right="-63" w:rightChars="-30"/>
              <w:jc w:val="center"/>
              <w:rPr>
                <w:rFonts w:ascii="宋体" w:hAnsi="宋体"/>
                <w:color w:val="auto"/>
                <w:highlight w:val="none"/>
              </w:rPr>
            </w:pPr>
          </w:p>
        </w:tc>
        <w:tc>
          <w:tcPr>
            <w:tcW w:w="1462" w:type="dxa"/>
            <w:noWrap w:val="0"/>
            <w:vAlign w:val="center"/>
          </w:tcPr>
          <w:p>
            <w:pPr>
              <w:adjustRightInd w:val="0"/>
              <w:snapToGrid w:val="0"/>
              <w:ind w:left="-63" w:leftChars="-30" w:right="-63" w:rightChars="-30"/>
              <w:jc w:val="center"/>
              <w:rPr>
                <w:rFonts w:ascii="宋体" w:hAnsi="宋体"/>
                <w:color w:val="auto"/>
                <w:highlight w:val="none"/>
              </w:rPr>
            </w:pPr>
          </w:p>
        </w:tc>
        <w:tc>
          <w:tcPr>
            <w:tcW w:w="2783" w:type="dxa"/>
            <w:noWrap w:val="0"/>
            <w:vAlign w:val="center"/>
          </w:tcPr>
          <w:p>
            <w:pPr>
              <w:adjustRightInd w:val="0"/>
              <w:snapToGrid w:val="0"/>
              <w:ind w:left="-63" w:leftChars="-30" w:right="-63" w:rightChars="-30"/>
              <w:jc w:val="center"/>
              <w:rPr>
                <w:rFonts w:ascii="宋体" w:hAnsi="宋体"/>
                <w:color w:val="auto"/>
                <w:highlight w:val="none"/>
              </w:rPr>
            </w:pPr>
          </w:p>
        </w:tc>
        <w:tc>
          <w:tcPr>
            <w:tcW w:w="858" w:type="dxa"/>
            <w:noWrap w:val="0"/>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6" w:type="dxa"/>
            <w:noWrap w:val="0"/>
            <w:vAlign w:val="center"/>
          </w:tcPr>
          <w:p>
            <w:pPr>
              <w:adjustRightInd w:val="0"/>
              <w:snapToGrid w:val="0"/>
              <w:ind w:left="-63" w:leftChars="-30" w:right="-63" w:rightChars="-30"/>
              <w:jc w:val="center"/>
              <w:rPr>
                <w:rFonts w:hint="eastAsia" w:ascii="宋体" w:hAnsi="宋体"/>
                <w:color w:val="auto"/>
                <w:highlight w:val="none"/>
              </w:rPr>
            </w:pPr>
          </w:p>
        </w:tc>
        <w:tc>
          <w:tcPr>
            <w:tcW w:w="1358" w:type="dxa"/>
            <w:noWrap w:val="0"/>
            <w:vAlign w:val="center"/>
          </w:tcPr>
          <w:p>
            <w:pPr>
              <w:adjustRightInd w:val="0"/>
              <w:snapToGrid w:val="0"/>
              <w:ind w:left="-63" w:leftChars="-30" w:right="-63" w:rightChars="-30"/>
              <w:jc w:val="center"/>
              <w:rPr>
                <w:rFonts w:hint="eastAsia" w:ascii="宋体" w:hAnsi="宋体"/>
                <w:color w:val="auto"/>
                <w:highlight w:val="none"/>
              </w:rPr>
            </w:pPr>
          </w:p>
        </w:tc>
        <w:tc>
          <w:tcPr>
            <w:tcW w:w="1376" w:type="dxa"/>
            <w:noWrap w:val="0"/>
            <w:vAlign w:val="center"/>
          </w:tcPr>
          <w:p>
            <w:pPr>
              <w:adjustRightInd w:val="0"/>
              <w:snapToGrid w:val="0"/>
              <w:ind w:left="-63" w:leftChars="-30" w:right="-63" w:rightChars="-30"/>
              <w:jc w:val="center"/>
              <w:rPr>
                <w:rFonts w:ascii="宋体" w:hAnsi="宋体"/>
                <w:color w:val="auto"/>
                <w:highlight w:val="none"/>
              </w:rPr>
            </w:pPr>
          </w:p>
        </w:tc>
        <w:tc>
          <w:tcPr>
            <w:tcW w:w="1462" w:type="dxa"/>
            <w:noWrap w:val="0"/>
            <w:vAlign w:val="center"/>
          </w:tcPr>
          <w:p>
            <w:pPr>
              <w:adjustRightInd w:val="0"/>
              <w:snapToGrid w:val="0"/>
              <w:ind w:left="-63" w:leftChars="-30" w:right="-63" w:rightChars="-30"/>
              <w:jc w:val="center"/>
              <w:rPr>
                <w:rFonts w:ascii="宋体" w:hAnsi="宋体"/>
                <w:color w:val="auto"/>
                <w:highlight w:val="none"/>
              </w:rPr>
            </w:pPr>
          </w:p>
        </w:tc>
        <w:tc>
          <w:tcPr>
            <w:tcW w:w="2783" w:type="dxa"/>
            <w:noWrap w:val="0"/>
            <w:vAlign w:val="center"/>
          </w:tcPr>
          <w:p>
            <w:pPr>
              <w:adjustRightInd w:val="0"/>
              <w:snapToGrid w:val="0"/>
              <w:ind w:left="-63" w:leftChars="-30" w:right="-63" w:rightChars="-30"/>
              <w:jc w:val="center"/>
              <w:rPr>
                <w:rFonts w:ascii="宋体" w:hAnsi="宋体"/>
                <w:color w:val="auto"/>
                <w:highlight w:val="none"/>
              </w:rPr>
            </w:pPr>
          </w:p>
        </w:tc>
        <w:tc>
          <w:tcPr>
            <w:tcW w:w="858" w:type="dxa"/>
            <w:noWrap w:val="0"/>
            <w:vAlign w:val="center"/>
          </w:tcPr>
          <w:p>
            <w:pPr>
              <w:adjustRightInd w:val="0"/>
              <w:snapToGrid w:val="0"/>
              <w:ind w:left="-63" w:leftChars="-30" w:right="-63" w:rightChars="-30"/>
              <w:jc w:val="center"/>
              <w:rPr>
                <w:rFonts w:ascii="宋体" w:hAnsi="宋体"/>
                <w:color w:val="auto"/>
                <w:highlight w:val="none"/>
              </w:rPr>
            </w:pPr>
          </w:p>
        </w:tc>
      </w:tr>
    </w:tbl>
    <w:p>
      <w:pPr>
        <w:autoSpaceDE w:val="0"/>
        <w:autoSpaceDN w:val="0"/>
        <w:adjustRightInd w:val="0"/>
        <w:rPr>
          <w:rFonts w:hint="eastAsia" w:ascii="宋体" w:hAnsi="宋体" w:cs="宋体"/>
          <w:b/>
          <w:color w:val="auto"/>
          <w:szCs w:val="21"/>
          <w:highlight w:val="none"/>
        </w:rPr>
      </w:pPr>
      <w:r>
        <w:rPr>
          <w:rStyle w:val="112"/>
          <w:rFonts w:ascii="宋体" w:hAnsi="宋体" w:eastAsia="宋体" w:cs="宋体"/>
          <w:color w:val="auto"/>
          <w:sz w:val="21"/>
          <w:szCs w:val="21"/>
          <w:highlight w:val="none"/>
          <w:lang w:bidi="ar"/>
        </w:rPr>
        <w:t>备注：</w:t>
      </w:r>
      <w:r>
        <w:rPr>
          <w:rStyle w:val="112"/>
          <w:rFonts w:ascii="宋体" w:hAnsi="宋体" w:eastAsia="宋体" w:cs="宋体"/>
          <w:color w:val="auto"/>
          <w:sz w:val="21"/>
          <w:szCs w:val="21"/>
          <w:highlight w:val="none"/>
          <w:lang w:bidi="ar"/>
        </w:rPr>
        <w:br w:type="textWrapping"/>
      </w:r>
      <w:r>
        <w:rPr>
          <w:rStyle w:val="112"/>
          <w:rFonts w:ascii="宋体" w:hAnsi="宋体" w:eastAsia="宋体" w:cs="宋体"/>
          <w:color w:val="auto"/>
          <w:sz w:val="21"/>
          <w:szCs w:val="21"/>
          <w:highlight w:val="none"/>
          <w:lang w:bidi="ar"/>
        </w:rPr>
        <w:t>1、“岗位”要求（除项目负责人、专职安全员外）由投标人根据项目管理需要结合自身实力在本表中明确。以上项目管理团队人员信息将由交易系统提取后供各相关单位在履约时比对、查核。</w:t>
      </w:r>
      <w:r>
        <w:rPr>
          <w:rStyle w:val="112"/>
          <w:rFonts w:ascii="宋体" w:hAnsi="宋体" w:eastAsia="宋体" w:cs="宋体"/>
          <w:color w:val="auto"/>
          <w:sz w:val="21"/>
          <w:szCs w:val="21"/>
          <w:highlight w:val="none"/>
          <w:lang w:bidi="ar"/>
        </w:rPr>
        <w:br w:type="textWrapping"/>
      </w:r>
      <w:r>
        <w:rPr>
          <w:rStyle w:val="112"/>
          <w:rFonts w:ascii="宋体" w:hAnsi="宋体" w:eastAsia="宋体" w:cs="宋体"/>
          <w:color w:val="auto"/>
          <w:sz w:val="21"/>
          <w:szCs w:val="21"/>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方可递交投标文件。</w:t>
      </w:r>
      <w:r>
        <w:rPr>
          <w:rStyle w:val="112"/>
          <w:rFonts w:ascii="宋体" w:hAnsi="宋体" w:eastAsia="宋体" w:cs="宋体"/>
          <w:color w:val="auto"/>
          <w:sz w:val="21"/>
          <w:szCs w:val="21"/>
          <w:highlight w:val="none"/>
          <w:lang w:bidi="ar"/>
        </w:rPr>
        <w:br w:type="textWrapping"/>
      </w:r>
      <w:r>
        <w:rPr>
          <w:rStyle w:val="112"/>
          <w:rFonts w:ascii="宋体" w:hAnsi="宋体" w:eastAsia="宋体" w:cs="宋体"/>
          <w:color w:val="auto"/>
          <w:sz w:val="21"/>
          <w:szCs w:val="21"/>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spacing w:line="360" w:lineRule="auto"/>
        <w:rPr>
          <w:rFonts w:ascii="宋体" w:hAnsi="宋体"/>
          <w:color w:val="auto"/>
          <w:sz w:val="24"/>
          <w:szCs w:val="24"/>
          <w:highlight w:val="none"/>
        </w:rPr>
      </w:pPr>
    </w:p>
    <w:p>
      <w:pPr>
        <w:spacing w:line="320" w:lineRule="exact"/>
        <w:rPr>
          <w:rFonts w:ascii="仿宋_GB2312" w:hAnsi="楷体" w:eastAsia="仿宋_GB2312"/>
          <w:color w:val="auto"/>
          <w:szCs w:val="21"/>
          <w:highlight w:val="none"/>
        </w:rPr>
      </w:pPr>
    </w:p>
    <w:p>
      <w:pPr>
        <w:widowControl/>
        <w:jc w:val="left"/>
        <w:rPr>
          <w:rStyle w:val="112"/>
          <w:rFonts w:hint="default" w:ascii="宋体" w:hAnsi="宋体" w:eastAsia="宋体" w:cs="宋体"/>
          <w:color w:val="auto"/>
          <w:sz w:val="21"/>
          <w:szCs w:val="21"/>
          <w:highlight w:val="none"/>
          <w:lang w:bidi="ar"/>
        </w:rPr>
      </w:pPr>
      <w:r>
        <w:rPr>
          <w:color w:val="auto"/>
          <w:sz w:val="24"/>
          <w:szCs w:val="24"/>
          <w:highlight w:val="none"/>
        </w:rPr>
        <w:br w:type="page"/>
      </w:r>
      <w:bookmarkStart w:id="36" w:name="_Toc2272568"/>
      <w:bookmarkStart w:id="37" w:name="_Toc21525513"/>
      <w:r>
        <w:rPr>
          <w:rFonts w:hint="eastAsia"/>
          <w:color w:val="auto"/>
          <w:highlight w:val="none"/>
        </w:rPr>
        <w:t>附件</w:t>
      </w:r>
      <w:r>
        <w:rPr>
          <w:rFonts w:hint="eastAsia"/>
          <w:color w:val="auto"/>
          <w:highlight w:val="none"/>
          <w:lang w:eastAsia="zh-CN"/>
        </w:rPr>
        <w:t>五</w:t>
      </w:r>
      <w:r>
        <w:rPr>
          <w:rFonts w:hint="eastAsia"/>
          <w:color w:val="auto"/>
          <w:highlight w:val="none"/>
        </w:rPr>
        <w:t>：</w:t>
      </w:r>
    </w:p>
    <w:p>
      <w:pPr>
        <w:autoSpaceDE w:val="0"/>
        <w:autoSpaceDN w:val="0"/>
        <w:adjustRightInd w:val="0"/>
        <w:jc w:val="center"/>
        <w:outlineLvl w:val="1"/>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响应招标文件所附施工组织设计要点的承诺书</w:t>
      </w: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 xml:space="preserve">             （招标人）</w:t>
      </w:r>
      <w:r>
        <w:rPr>
          <w:rFonts w:hint="eastAsia" w:ascii="宋体" w:hAnsi="宋体"/>
          <w:color w:val="auto"/>
          <w:sz w:val="24"/>
          <w:szCs w:val="24"/>
          <w:highlight w:val="none"/>
        </w:rPr>
        <w:t>：</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我方承诺，如中标承建</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，将按招标文件所附的本工程</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进行响应的基础上自行组织施工。并承诺在中标后按招标文件所附的</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基础上编制详细的施工组织设计，并报经监理单位和建设单位审批后实施。</w:t>
      </w: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p>
    <w:p>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    期：    年    月    日</w:t>
      </w:r>
    </w:p>
    <w:p>
      <w:pPr>
        <w:widowControl/>
        <w:jc w:val="left"/>
        <w:rPr>
          <w:rStyle w:val="112"/>
          <w:rFonts w:hint="default" w:ascii="宋体" w:hAnsi="宋体" w:eastAsia="宋体" w:cs="宋体"/>
          <w:color w:val="auto"/>
          <w:sz w:val="21"/>
          <w:szCs w:val="21"/>
          <w:highlight w:val="none"/>
          <w:lang w:bidi="ar"/>
        </w:rPr>
      </w:pPr>
    </w:p>
    <w:p>
      <w:pPr>
        <w:widowControl/>
        <w:jc w:val="left"/>
        <w:rPr>
          <w:rStyle w:val="112"/>
          <w:rFonts w:hint="default" w:ascii="宋体" w:hAnsi="宋体" w:eastAsia="宋体" w:cs="宋体"/>
          <w:color w:val="auto"/>
          <w:sz w:val="21"/>
          <w:szCs w:val="21"/>
          <w:highlight w:val="none"/>
          <w:lang w:bidi="ar"/>
        </w:rPr>
      </w:pPr>
    </w:p>
    <w:p>
      <w:pPr>
        <w:widowControl/>
        <w:jc w:val="left"/>
        <w:rPr>
          <w:rStyle w:val="112"/>
          <w:rFonts w:hint="default" w:ascii="宋体" w:hAnsi="宋体" w:eastAsia="宋体" w:cs="宋体"/>
          <w:color w:val="auto"/>
          <w:sz w:val="21"/>
          <w:szCs w:val="21"/>
          <w:highlight w:val="none"/>
          <w:lang w:bidi="ar"/>
        </w:rPr>
      </w:pPr>
    </w:p>
    <w:p>
      <w:pPr>
        <w:pStyle w:val="19"/>
        <w:jc w:val="left"/>
        <w:rPr>
          <w:rFonts w:hint="eastAsia" w:ascii="黑体" w:hAnsi="黑体" w:eastAsia="黑体" w:cs="华文仿宋"/>
          <w:color w:val="auto"/>
          <w:sz w:val="32"/>
          <w:szCs w:val="32"/>
          <w:highlight w:val="none"/>
        </w:rPr>
      </w:pPr>
      <w:r>
        <w:rPr>
          <w:color w:val="auto"/>
          <w:highlight w:val="none"/>
        </w:rPr>
        <w:br w:type="page"/>
      </w:r>
      <w:r>
        <w:rPr>
          <w:rFonts w:hint="eastAsia"/>
          <w:color w:val="auto"/>
          <w:highlight w:val="none"/>
        </w:rPr>
        <w:t>附件</w:t>
      </w:r>
      <w:r>
        <w:rPr>
          <w:rFonts w:hint="eastAsia"/>
          <w:color w:val="auto"/>
          <w:highlight w:val="none"/>
          <w:lang w:eastAsia="zh-CN"/>
        </w:rPr>
        <w:t>六</w:t>
      </w:r>
      <w:r>
        <w:rPr>
          <w:rFonts w:hint="eastAsia"/>
          <w:color w:val="auto"/>
          <w:highlight w:val="none"/>
        </w:rPr>
        <w:t>：</w:t>
      </w:r>
    </w:p>
    <w:p>
      <w:pPr>
        <w:pStyle w:val="19"/>
        <w:jc w:val="center"/>
        <w:rPr>
          <w:rFonts w:ascii="黑体" w:hAnsi="黑体" w:eastAsia="黑体" w:cs="华文仿宋"/>
          <w:color w:val="auto"/>
          <w:sz w:val="32"/>
          <w:szCs w:val="32"/>
          <w:highlight w:val="none"/>
        </w:rPr>
      </w:pPr>
      <w:r>
        <w:rPr>
          <w:rFonts w:hint="eastAsia" w:ascii="黑体" w:hAnsi="黑体" w:eastAsia="黑体" w:cs="华文仿宋"/>
          <w:color w:val="auto"/>
          <w:sz w:val="32"/>
          <w:szCs w:val="32"/>
          <w:highlight w:val="none"/>
        </w:rPr>
        <w:t>中小企业声明函</w:t>
      </w:r>
    </w:p>
    <w:p>
      <w:pPr>
        <w:pStyle w:val="19"/>
        <w:spacing w:line="560" w:lineRule="exact"/>
        <w:ind w:firstLine="640" w:firstLineChars="200"/>
        <w:rPr>
          <w:rFonts w:hint="eastAsia" w:ascii="仿宋_GB2312" w:hAnsi="Times New Roman" w:eastAsia="仿宋_GB2312"/>
          <w:color w:val="auto"/>
          <w:kern w:val="2"/>
          <w:sz w:val="32"/>
          <w:szCs w:val="32"/>
          <w:highlight w:val="none"/>
        </w:rPr>
      </w:pPr>
      <w:r>
        <w:rPr>
          <w:rFonts w:hint="eastAsia" w:ascii="仿宋_GB2312" w:hAnsi="Times New Roman" w:eastAsia="仿宋_GB2312"/>
          <w:color w:val="auto"/>
          <w:sz w:val="32"/>
          <w:szCs w:val="32"/>
          <w:highlight w:val="none"/>
        </w:rPr>
        <w:t>本企业郑重声明，根据《关于印发中小企业划型标准规定的通知》（工信部联企业〔2011〕300号）的规定，本企业具体情况如下：</w:t>
      </w:r>
    </w:p>
    <w:p>
      <w:pPr>
        <w:pStyle w:val="19"/>
        <w:spacing w:line="560" w:lineRule="exact"/>
        <w:ind w:firstLine="640" w:firstLineChars="2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本企业属于建筑业行业；营业收入为</w:t>
      </w:r>
      <w:r>
        <w:rPr>
          <w:rFonts w:hint="eastAsia" w:ascii="仿宋_GB2312" w:hAnsi="Times New Roman" w:eastAsia="仿宋_GB2312"/>
          <w:color w:val="auto"/>
          <w:sz w:val="32"/>
          <w:szCs w:val="32"/>
          <w:highlight w:val="none"/>
          <w:u w:val="single"/>
        </w:rPr>
        <w:t xml:space="preserve">     </w:t>
      </w:r>
      <w:r>
        <w:rPr>
          <w:rFonts w:hint="eastAsia" w:ascii="仿宋_GB2312" w:hAnsi="Times New Roman" w:eastAsia="仿宋_GB2312"/>
          <w:color w:val="auto"/>
          <w:sz w:val="32"/>
          <w:szCs w:val="32"/>
          <w:highlight w:val="none"/>
        </w:rPr>
        <w:t>万元，资产总额为</w:t>
      </w:r>
      <w:r>
        <w:rPr>
          <w:rFonts w:hint="eastAsia" w:ascii="仿宋_GB2312" w:hAnsi="Times New Roman" w:eastAsia="仿宋_GB2312"/>
          <w:color w:val="auto"/>
          <w:sz w:val="32"/>
          <w:szCs w:val="32"/>
          <w:highlight w:val="none"/>
          <w:u w:val="single"/>
        </w:rPr>
        <w:t xml:space="preserve">       </w:t>
      </w:r>
      <w:r>
        <w:rPr>
          <w:rFonts w:hint="eastAsia" w:ascii="仿宋_GB2312" w:hAnsi="Times New Roman" w:eastAsia="仿宋_GB2312"/>
          <w:color w:val="auto"/>
          <w:sz w:val="32"/>
          <w:szCs w:val="32"/>
          <w:highlight w:val="none"/>
        </w:rPr>
        <w:t>万元，属于</w:t>
      </w:r>
      <w:r>
        <w:rPr>
          <w:rFonts w:hint="eastAsia" w:ascii="仿宋_GB2312" w:hAnsi="Times New Roman" w:eastAsia="仿宋_GB2312"/>
          <w:color w:val="auto"/>
          <w:sz w:val="32"/>
          <w:szCs w:val="32"/>
          <w:highlight w:val="none"/>
          <w:u w:val="single"/>
        </w:rPr>
        <w:t xml:space="preserve">      </w:t>
      </w:r>
      <w:r>
        <w:rPr>
          <w:rFonts w:hint="eastAsia" w:ascii="仿宋_GB2312" w:hAnsi="Times New Roman" w:eastAsia="仿宋_GB2312"/>
          <w:color w:val="auto"/>
          <w:sz w:val="32"/>
          <w:szCs w:val="32"/>
          <w:highlight w:val="none"/>
        </w:rPr>
        <w:t>（中型企业、小型企业、微型企业）；</w:t>
      </w:r>
    </w:p>
    <w:p>
      <w:pPr>
        <w:pStyle w:val="19"/>
        <w:spacing w:line="560" w:lineRule="exact"/>
        <w:ind w:firstLine="640" w:firstLineChars="2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 xml:space="preserve">依据《政府采购促进中小企业发展管理办法》的规定，本企业不属于大企业的分支机构，不存在控股股东为大企业的情形，也不存在与大企业的负责人为同一人的情形。 </w:t>
      </w:r>
    </w:p>
    <w:p>
      <w:pPr>
        <w:pStyle w:val="19"/>
        <w:spacing w:line="560" w:lineRule="exact"/>
        <w:ind w:firstLine="640" w:firstLineChars="2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 xml:space="preserve">本企业对上述声明内容的真实性负责。如有虚假，将依法承担相应责任。 </w:t>
      </w:r>
    </w:p>
    <w:p>
      <w:pPr>
        <w:pStyle w:val="19"/>
        <w:spacing w:line="560" w:lineRule="exact"/>
        <w:ind w:firstLine="640" w:firstLineChars="2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 xml:space="preserve"> </w:t>
      </w:r>
    </w:p>
    <w:p>
      <w:pPr>
        <w:pStyle w:val="19"/>
        <w:spacing w:line="560" w:lineRule="exact"/>
        <w:ind w:firstLine="4800" w:firstLineChars="15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企业名称（盖章）：</w:t>
      </w:r>
    </w:p>
    <w:p>
      <w:pPr>
        <w:pStyle w:val="19"/>
        <w:spacing w:line="560" w:lineRule="exact"/>
        <w:ind w:firstLine="5120" w:firstLineChars="16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日 期：</w:t>
      </w:r>
    </w:p>
    <w:p>
      <w:pPr>
        <w:pStyle w:val="19"/>
        <w:spacing w:line="560" w:lineRule="exact"/>
        <w:ind w:firstLine="640" w:firstLineChars="2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注：</w:t>
      </w:r>
    </w:p>
    <w:p>
      <w:pPr>
        <w:pStyle w:val="19"/>
        <w:spacing w:line="560" w:lineRule="exact"/>
        <w:ind w:firstLine="640" w:firstLineChars="2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1、营业收入、资产总额填报上一年度数据，无上一年度数据的新成立企业可不填报。</w:t>
      </w:r>
    </w:p>
    <w:p>
      <w:pPr>
        <w:pStyle w:val="19"/>
        <w:spacing w:line="560" w:lineRule="exact"/>
        <w:ind w:firstLine="640" w:firstLineChars="2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2、《中小企业声明函》须按照本函格式填写，否则评标委员会有权视其为非中小企业，不享受免于提交投标保证金的优惠政策。</w:t>
      </w:r>
    </w:p>
    <w:p>
      <w:pPr>
        <w:pStyle w:val="19"/>
        <w:spacing w:line="560" w:lineRule="exact"/>
        <w:ind w:firstLine="640" w:firstLineChars="200"/>
        <w:rPr>
          <w:rFonts w:hint="eastAsia" w:ascii="Times New Roman" w:hAnsi="Times New Roman"/>
          <w:color w:val="auto"/>
          <w:highlight w:val="none"/>
        </w:rPr>
      </w:pPr>
      <w:r>
        <w:rPr>
          <w:rFonts w:hint="eastAsia" w:ascii="仿宋_GB2312" w:hAnsi="Times New Roman" w:eastAsia="仿宋_GB2312"/>
          <w:color w:val="auto"/>
          <w:sz w:val="32"/>
          <w:szCs w:val="32"/>
          <w:highlight w:val="none"/>
        </w:rPr>
        <w:t>3、招标人、招标代理机构将按有关规定公开《中小企业声明函》。</w:t>
      </w:r>
    </w:p>
    <w:p>
      <w:pPr>
        <w:widowControl/>
        <w:jc w:val="left"/>
        <w:rPr>
          <w:rFonts w:hint="eastAsia"/>
          <w:color w:val="auto"/>
          <w:highlight w:val="none"/>
        </w:rPr>
      </w:pPr>
      <w:r>
        <w:rPr>
          <w:color w:val="auto"/>
          <w:highlight w:val="none"/>
        </w:rPr>
        <w:br w:type="page"/>
      </w:r>
      <w:r>
        <w:rPr>
          <w:rFonts w:hint="eastAsia"/>
          <w:color w:val="auto"/>
          <w:highlight w:val="none"/>
        </w:rPr>
        <w:t>附件</w:t>
      </w:r>
      <w:r>
        <w:rPr>
          <w:rFonts w:hint="eastAsia"/>
          <w:color w:val="auto"/>
          <w:highlight w:val="none"/>
          <w:lang w:val="en-US" w:eastAsia="zh-CN"/>
        </w:rPr>
        <w:t>七</w:t>
      </w:r>
      <w:r>
        <w:rPr>
          <w:rFonts w:hint="eastAsia"/>
          <w:color w:val="auto"/>
          <w:highlight w:val="none"/>
        </w:rPr>
        <w:t>：</w:t>
      </w:r>
    </w:p>
    <w:p>
      <w:pPr>
        <w:pStyle w:val="19"/>
        <w:spacing w:line="560" w:lineRule="exact"/>
        <w:ind w:firstLine="640" w:firstLineChars="200"/>
        <w:jc w:val="center"/>
        <w:rPr>
          <w:rFonts w:ascii="仿宋_GB2312" w:hAnsi="Times New Roman" w:eastAsia="仿宋_GB2312"/>
          <w:color w:val="auto"/>
          <w:sz w:val="32"/>
          <w:szCs w:val="32"/>
          <w:highlight w:val="none"/>
        </w:rPr>
      </w:pPr>
      <w:r>
        <w:rPr>
          <w:rFonts w:hint="eastAsia" w:ascii="黑体" w:hAnsi="黑体" w:eastAsia="黑体" w:cs="华文仿宋"/>
          <w:color w:val="auto"/>
          <w:sz w:val="32"/>
          <w:szCs w:val="32"/>
          <w:highlight w:val="none"/>
        </w:rPr>
        <w:t>关于投标保证金的承诺</w:t>
      </w:r>
    </w:p>
    <w:p>
      <w:pPr>
        <w:pStyle w:val="19"/>
        <w:spacing w:line="560" w:lineRule="exact"/>
        <w:ind w:firstLine="640" w:firstLineChars="2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 xml:space="preserve"> </w:t>
      </w:r>
    </w:p>
    <w:p>
      <w:pPr>
        <w:autoSpaceDE w:val="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本招标项目招标人及招标监管机构：</w:t>
      </w:r>
    </w:p>
    <w:p>
      <w:pPr>
        <w:autoSpaceDE w:val="0"/>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本公司就参加</w:t>
      </w:r>
      <w:r>
        <w:rPr>
          <w:rFonts w:hint="eastAsia" w:ascii="仿宋_GB2312" w:eastAsia="仿宋_GB2312"/>
          <w:color w:val="auto"/>
          <w:sz w:val="32"/>
          <w:szCs w:val="32"/>
          <w:highlight w:val="none"/>
          <w:u w:val="single"/>
        </w:rPr>
        <w:t xml:space="preserve">      （招标项目名称）     </w:t>
      </w:r>
      <w:r>
        <w:rPr>
          <w:rFonts w:hint="eastAsia" w:ascii="仿宋_GB2312" w:eastAsia="仿宋_GB2312"/>
          <w:color w:val="auto"/>
          <w:sz w:val="32"/>
          <w:szCs w:val="32"/>
          <w:highlight w:val="none"/>
        </w:rPr>
        <w:t>项目的投标工作，作出郑重声明：</w:t>
      </w:r>
    </w:p>
    <w:p>
      <w:pPr>
        <w:autoSpaceDE w:val="0"/>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仿宋_GB2312" w:hAnsi="仿宋" w:eastAsia="仿宋_GB2312" w:cs="华文仿宋"/>
          <w:color w:val="auto"/>
          <w:kern w:val="0"/>
          <w:sz w:val="32"/>
          <w:szCs w:val="32"/>
          <w:highlight w:val="none"/>
        </w:rPr>
        <w:t>一旦发生符合招标文件规定的不予退还投标保证金情形的，将</w:t>
      </w:r>
      <w:r>
        <w:rPr>
          <w:rFonts w:hint="eastAsia" w:ascii="仿宋_GB2312" w:eastAsia="仿宋_GB2312"/>
          <w:color w:val="auto"/>
          <w:sz w:val="32"/>
          <w:szCs w:val="32"/>
          <w:highlight w:val="none"/>
        </w:rPr>
        <w:t>按照招标人的要求，在规定的时间内向招标人足额补交投标保证金。</w:t>
      </w:r>
    </w:p>
    <w:p>
      <w:pPr>
        <w:autoSpaceDE w:val="0"/>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本公司违反上述保证的，将被视为虚假承诺，按相关规定进行信用记录。本公司对失信行为产生的一切后果已知悉，并承担由此产生的相应责任。</w:t>
      </w:r>
    </w:p>
    <w:p>
      <w:pPr>
        <w:autoSpaceDE w:val="0"/>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特此承诺。</w:t>
      </w:r>
    </w:p>
    <w:p>
      <w:pPr>
        <w:autoSpaceDE w:val="0"/>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autoSpaceDE w:val="0"/>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autoSpaceDE w:val="0"/>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autoSpaceDE w:val="0"/>
        <w:ind w:firstLine="4160" w:firstLineChars="13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投标人：  （盖章）</w:t>
      </w:r>
    </w:p>
    <w:p>
      <w:pPr>
        <w:jc w:val="center"/>
        <w:rPr>
          <w:rFonts w:hint="eastAsia"/>
          <w:color w:val="auto"/>
          <w:szCs w:val="21"/>
          <w:highlight w:val="none"/>
        </w:rPr>
      </w:pPr>
      <w:r>
        <w:rPr>
          <w:rFonts w:hint="eastAsia" w:ascii="仿宋_GB2312" w:eastAsia="仿宋_GB2312"/>
          <w:color w:val="auto"/>
          <w:sz w:val="32"/>
          <w:szCs w:val="32"/>
          <w:highlight w:val="none"/>
        </w:rPr>
        <w:t xml:space="preserve">        日  期：</w:t>
      </w:r>
    </w:p>
    <w:p>
      <w:pPr>
        <w:pStyle w:val="34"/>
        <w:ind w:left="420" w:firstLine="420"/>
        <w:rPr>
          <w:rFonts w:hint="eastAsia" w:ascii="Times New Roman" w:hAnsi="Times New Roman"/>
          <w:color w:val="auto"/>
          <w:highlight w:val="none"/>
        </w:rPr>
      </w:pPr>
    </w:p>
    <w:p>
      <w:pPr>
        <w:tabs>
          <w:tab w:val="left" w:pos="720"/>
        </w:tabs>
        <w:snapToGrid w:val="0"/>
        <w:spacing w:line="360" w:lineRule="auto"/>
        <w:rPr>
          <w:rStyle w:val="59"/>
          <w:rFonts w:hint="eastAsia"/>
          <w:color w:val="auto"/>
          <w:highlight w:val="none"/>
        </w:rPr>
      </w:pPr>
    </w:p>
    <w:p>
      <w:pPr>
        <w:tabs>
          <w:tab w:val="left" w:pos="720"/>
        </w:tabs>
        <w:snapToGrid w:val="0"/>
        <w:spacing w:line="360" w:lineRule="auto"/>
        <w:rPr>
          <w:rStyle w:val="59"/>
          <w:rFonts w:hint="eastAsia"/>
          <w:color w:val="auto"/>
          <w:highlight w:val="none"/>
        </w:rPr>
      </w:pPr>
    </w:p>
    <w:p>
      <w:pPr>
        <w:tabs>
          <w:tab w:val="left" w:pos="720"/>
        </w:tabs>
        <w:snapToGrid w:val="0"/>
        <w:spacing w:line="360" w:lineRule="auto"/>
        <w:rPr>
          <w:rStyle w:val="59"/>
          <w:color w:val="auto"/>
          <w:highlight w:val="none"/>
        </w:rPr>
      </w:pPr>
      <w:r>
        <w:rPr>
          <w:rStyle w:val="59"/>
          <w:rFonts w:hint="eastAsia"/>
          <w:color w:val="auto"/>
          <w:highlight w:val="none"/>
        </w:rPr>
        <w:t>第五章</w:t>
      </w:r>
      <w:r>
        <w:rPr>
          <w:rStyle w:val="59"/>
          <w:color w:val="auto"/>
          <w:highlight w:val="none"/>
        </w:rPr>
        <w:t xml:space="preserve">  </w:t>
      </w:r>
      <w:r>
        <w:rPr>
          <w:rStyle w:val="59"/>
          <w:rFonts w:hint="eastAsia"/>
          <w:color w:val="auto"/>
          <w:highlight w:val="none"/>
        </w:rPr>
        <w:t>技术条件（工程建设标准）</w:t>
      </w:r>
      <w:bookmarkEnd w:id="36"/>
      <w:bookmarkEnd w:id="37"/>
    </w:p>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t>1.标准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引用的国家及有关部委颁布的标准、规范、和规程。若施工时期建设主管部门颁布新的规范、标准，则按照新的规范、标准执行。</w:t>
      </w:r>
    </w:p>
    <w:p>
      <w:pPr>
        <w:rPr>
          <w:rFonts w:hint="eastAsia" w:ascii="宋体" w:hAnsi="宋体" w:cs="宋体"/>
          <w:color w:val="auto"/>
          <w:sz w:val="24"/>
          <w:szCs w:val="24"/>
          <w:highlight w:val="none"/>
        </w:rPr>
      </w:pPr>
    </w:p>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t>2、施工组织设计要点</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如果中标，中标人应按项目的进展需求，并在规定的时间内按要点要求，编制详细的施工组织设计，作为工程施工的指导性文件，向建设单位提交一式五份的《施工组织设计方案》，内容包括（不限于）以下：</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（一）工程概况及特点</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1.1 工程概况</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1.2 工程特点</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2.1 组织机构关系图</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（四）施工方案</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4.1 施工准备</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5.1 工期规划及要求</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5.5 计划控制</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程序、方法及制度等。</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6.1 质量目标</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本工程要求的质量目标：合格。</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6.3 质量管理的措施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7.1 安全管理目标</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rPr>
          <w:rFonts w:hint="eastAsia" w:ascii="宋体" w:hAnsi="宋体" w:cs="宋体"/>
          <w:color w:val="auto"/>
          <w:sz w:val="24"/>
          <w:szCs w:val="24"/>
          <w:highlight w:val="none"/>
        </w:rPr>
      </w:pPr>
      <w:bookmarkStart w:id="38" w:name="_Hlt531956504"/>
      <w:r>
        <w:rPr>
          <w:rFonts w:hint="eastAsia" w:ascii="宋体" w:hAnsi="宋体" w:cs="宋体"/>
          <w:color w:val="auto"/>
          <w:sz w:val="24"/>
          <w:szCs w:val="24"/>
          <w:highlight w:val="none"/>
        </w:rPr>
        <w:t>安全生产目标：杜绝本项目施工人员重大伤亡事故。</w:t>
      </w:r>
      <w:bookmarkEnd w:id="38"/>
    </w:p>
    <w:p>
      <w:pPr>
        <w:rPr>
          <w:rFonts w:hint="eastAsia"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8.1 环境保护</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9.2 信息管理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pPr>
        <w:rPr>
          <w:rFonts w:hint="eastAsia" w:ascii="宋体" w:hAnsi="宋体" w:cs="宋体"/>
          <w:color w:val="auto"/>
          <w:sz w:val="24"/>
          <w:szCs w:val="24"/>
          <w:highlight w:val="none"/>
        </w:rPr>
      </w:pPr>
      <w:r>
        <w:rPr>
          <w:color w:val="auto"/>
          <w:sz w:val="24"/>
          <w:szCs w:val="24"/>
          <w:highlight w:val="none"/>
        </w:rPr>
        <w:br w:type="page"/>
      </w:r>
    </w:p>
    <w:p>
      <w:pPr>
        <w:pStyle w:val="3"/>
        <w:rPr>
          <w:color w:val="auto"/>
          <w:highlight w:val="none"/>
        </w:rPr>
      </w:pPr>
      <w:bookmarkStart w:id="39" w:name="_Toc21525514"/>
      <w:bookmarkStart w:id="40" w:name="_Toc2272569"/>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39"/>
      <w:bookmarkEnd w:id="40"/>
    </w:p>
    <w:p>
      <w:pPr>
        <w:rPr>
          <w:rFonts w:ascii="宋体"/>
          <w:b/>
          <w:color w:val="auto"/>
          <w:sz w:val="24"/>
          <w:szCs w:val="24"/>
          <w:highlight w:val="none"/>
        </w:rPr>
      </w:pPr>
      <w:r>
        <w:rPr>
          <w:rFonts w:hint="eastAsia" w:ascii="宋体" w:hAnsi="宋体"/>
          <w:color w:val="auto"/>
          <w:sz w:val="24"/>
          <w:szCs w:val="24"/>
          <w:highlight w:val="none"/>
        </w:rPr>
        <w:t>注：另册。</w:t>
      </w:r>
    </w:p>
    <w:p>
      <w:pPr>
        <w:pStyle w:val="3"/>
        <w:rPr>
          <w:color w:val="auto"/>
          <w:highlight w:val="none"/>
        </w:rPr>
      </w:pPr>
      <w:r>
        <w:rPr>
          <w:color w:val="auto"/>
          <w:sz w:val="24"/>
          <w:szCs w:val="24"/>
          <w:highlight w:val="none"/>
        </w:rPr>
        <w:br w:type="page"/>
      </w:r>
      <w:bookmarkStart w:id="41" w:name="_Toc2272570"/>
      <w:bookmarkStart w:id="42" w:name="_Toc21525515"/>
      <w:r>
        <w:rPr>
          <w:rFonts w:hint="eastAsia"/>
          <w:color w:val="auto"/>
          <w:highlight w:val="none"/>
        </w:rPr>
        <w:t>第七章</w:t>
      </w:r>
      <w:r>
        <w:rPr>
          <w:color w:val="auto"/>
          <w:highlight w:val="none"/>
        </w:rPr>
        <w:t xml:space="preserve">  </w:t>
      </w:r>
      <w:r>
        <w:rPr>
          <w:rFonts w:hint="eastAsia"/>
          <w:color w:val="auto"/>
          <w:highlight w:val="none"/>
        </w:rPr>
        <w:t>工程量清单</w:t>
      </w:r>
      <w:bookmarkEnd w:id="41"/>
      <w:bookmarkEnd w:id="42"/>
    </w:p>
    <w:p>
      <w:pPr>
        <w:rPr>
          <w:rFonts w:hint="eastAsia" w:ascii="宋体" w:hAnsi="宋体" w:cs="宋体"/>
          <w:b/>
          <w:color w:val="auto"/>
          <w:sz w:val="24"/>
          <w:szCs w:val="24"/>
          <w:highlight w:val="none"/>
        </w:rPr>
      </w:pPr>
      <w:r>
        <w:rPr>
          <w:rFonts w:hint="eastAsia" w:ascii="宋体" w:hAnsi="宋体" w:cs="宋体"/>
          <w:color w:val="auto"/>
          <w:sz w:val="24"/>
          <w:szCs w:val="24"/>
          <w:highlight w:val="none"/>
        </w:rPr>
        <w:t>另册。</w:t>
      </w:r>
    </w:p>
    <w:p>
      <w:pPr>
        <w:pStyle w:val="5"/>
        <w:spacing w:after="0" w:line="360" w:lineRule="auto"/>
        <w:ind w:left="-2" w:leftChars="-1" w:firstLine="960" w:firstLineChars="400"/>
        <w:rPr>
          <w:rFonts w:ascii="宋体"/>
          <w:color w:val="auto"/>
          <w:sz w:val="24"/>
          <w:highlight w:val="none"/>
        </w:rPr>
      </w:pPr>
    </w:p>
    <w:p>
      <w:pPr>
        <w:pStyle w:val="3"/>
        <w:rPr>
          <w:color w:val="auto"/>
          <w:highlight w:val="none"/>
        </w:rPr>
      </w:pPr>
    </w:p>
    <w:p>
      <w:pPr>
        <w:pStyle w:val="3"/>
        <w:rPr>
          <w:rFonts w:ascii="宋体"/>
          <w:color w:val="auto"/>
          <w:highlight w:val="none"/>
        </w:rPr>
      </w:pPr>
      <w:r>
        <w:rPr>
          <w:color w:val="auto"/>
          <w:sz w:val="24"/>
          <w:szCs w:val="24"/>
          <w:highlight w:val="none"/>
        </w:rPr>
        <w:br w:type="page"/>
      </w:r>
      <w:bookmarkStart w:id="43" w:name="_Toc2272571"/>
      <w:bookmarkStart w:id="44" w:name="_Toc21525516"/>
      <w:r>
        <w:rPr>
          <w:rFonts w:hint="eastAsia"/>
          <w:color w:val="auto"/>
          <w:highlight w:val="none"/>
        </w:rPr>
        <w:t>第八章</w:t>
      </w:r>
      <w:r>
        <w:rPr>
          <w:color w:val="auto"/>
          <w:highlight w:val="none"/>
        </w:rPr>
        <w:t xml:space="preserve">  </w:t>
      </w:r>
      <w:r>
        <w:rPr>
          <w:rFonts w:hint="eastAsia"/>
          <w:color w:val="auto"/>
          <w:highlight w:val="none"/>
        </w:rPr>
        <w:t>最高投标限价</w:t>
      </w:r>
      <w:bookmarkEnd w:id="43"/>
      <w:bookmarkEnd w:id="44"/>
    </w:p>
    <w:p>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600" w:lineRule="exact"/>
        <w:jc w:val="center"/>
        <w:rPr>
          <w:rFonts w:hint="eastAsia" w:ascii="宋体" w:hAnsi="宋体"/>
          <w:b/>
          <w:color w:val="000000"/>
          <w:spacing w:val="60"/>
          <w:sz w:val="44"/>
          <w:szCs w:val="44"/>
        </w:rPr>
      </w:pPr>
    </w:p>
    <w:p>
      <w:pPr>
        <w:spacing w:line="600" w:lineRule="exact"/>
        <w:jc w:val="center"/>
        <w:rPr>
          <w:rFonts w:hint="eastAsia" w:ascii="宋体" w:hAnsi="宋体"/>
          <w:b/>
          <w:color w:val="000000"/>
          <w:spacing w:val="60"/>
          <w:sz w:val="44"/>
          <w:szCs w:val="44"/>
        </w:rPr>
      </w:pPr>
      <w:r>
        <w:rPr>
          <w:rFonts w:hint="eastAsia" w:ascii="宋体" w:hAnsi="宋体"/>
          <w:b/>
          <w:color w:val="000000"/>
          <w:spacing w:val="60"/>
          <w:sz w:val="44"/>
          <w:szCs w:val="44"/>
          <w:lang w:eastAsia="zh-CN"/>
        </w:rPr>
        <w:t>最高投标限价</w:t>
      </w:r>
      <w:r>
        <w:rPr>
          <w:rFonts w:hint="eastAsia" w:ascii="宋体" w:hAnsi="宋体"/>
          <w:b/>
          <w:color w:val="000000"/>
          <w:spacing w:val="60"/>
          <w:sz w:val="44"/>
          <w:szCs w:val="44"/>
        </w:rPr>
        <w:t>公布函</w:t>
      </w:r>
    </w:p>
    <w:p>
      <w:pPr>
        <w:spacing w:line="600" w:lineRule="exact"/>
        <w:jc w:val="center"/>
        <w:rPr>
          <w:rFonts w:hint="eastAsia" w:ascii="宋体" w:hAnsi="宋体"/>
          <w:b/>
          <w:color w:val="000000"/>
          <w:spacing w:val="60"/>
          <w:sz w:val="44"/>
          <w:szCs w:val="44"/>
        </w:rPr>
      </w:pPr>
    </w:p>
    <w:p>
      <w:pPr>
        <w:spacing w:line="360" w:lineRule="auto"/>
        <w:rPr>
          <w:rFonts w:hint="eastAsia" w:ascii="宋体" w:hAnsi="宋体"/>
          <w:color w:val="000000"/>
          <w:szCs w:val="21"/>
        </w:rPr>
      </w:pPr>
    </w:p>
    <w:p>
      <w:pPr>
        <w:pStyle w:val="31"/>
        <w:keepNext w:val="0"/>
        <w:keepLines w:val="0"/>
        <w:widowControl/>
        <w:suppressLineNumbers w:val="0"/>
        <w:spacing w:before="0" w:beforeAutospacing="0" w:after="0" w:afterAutospacing="0"/>
        <w:ind w:left="1679" w:leftChars="228" w:right="0" w:hanging="1200" w:hangingChars="500"/>
        <w:rPr>
          <w:rFonts w:hint="default" w:ascii="宋体" w:hAnsi="宋体"/>
          <w:color w:val="000000"/>
          <w:sz w:val="24"/>
          <w:szCs w:val="24"/>
          <w:lang w:val="en-US"/>
        </w:rPr>
      </w:pPr>
      <w:r>
        <w:rPr>
          <w:rFonts w:hint="eastAsia" w:ascii="宋体" w:hAnsi="宋体"/>
          <w:color w:val="000000"/>
          <w:sz w:val="24"/>
          <w:szCs w:val="24"/>
        </w:rPr>
        <w:t>工程名称：</w:t>
      </w:r>
      <w:r>
        <w:rPr>
          <w:rFonts w:hint="eastAsia"/>
          <w:u w:val="single"/>
          <w:lang w:val="en-US" w:eastAsia="zh-CN"/>
        </w:rPr>
        <w:t>朱村街朱村村514.14亩土地土方平整工程</w:t>
      </w:r>
      <w:r>
        <w:rPr>
          <w:rFonts w:hint="eastAsia" w:eastAsia="宋体" w:cs="Times New Roman"/>
          <w:u w:val="single"/>
          <w:lang w:val="en-US" w:eastAsia="zh-CN"/>
        </w:rPr>
        <w:t>施工总承包</w:t>
      </w:r>
      <w:r>
        <w:rPr>
          <w:rFonts w:hint="eastAsia"/>
          <w:u w:val="single"/>
          <w:lang w:val="en-US" w:eastAsia="zh-CN"/>
        </w:rPr>
        <w:t xml:space="preserve">               </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最高投标限价（元）：</w:t>
      </w:r>
      <w:r>
        <w:rPr>
          <w:rFonts w:hint="eastAsia" w:ascii="宋体" w:hAnsi="宋体"/>
          <w:color w:val="000000"/>
          <w:sz w:val="24"/>
          <w:szCs w:val="24"/>
          <w:u w:val="single"/>
        </w:rPr>
        <w:t xml:space="preserve">24951211.78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分部分项工程费（元）：</w:t>
      </w:r>
      <w:r>
        <w:rPr>
          <w:rFonts w:hint="eastAsia" w:ascii="宋体" w:hAnsi="宋体"/>
          <w:color w:val="000000"/>
          <w:sz w:val="24"/>
          <w:szCs w:val="24"/>
          <w:u w:val="single"/>
        </w:rPr>
        <w:t xml:space="preserve">21254023.94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措施项目费（元）：</w:t>
      </w:r>
      <w:r>
        <w:rPr>
          <w:rFonts w:hint="eastAsia" w:ascii="宋体" w:hAnsi="宋体"/>
          <w:color w:val="000000"/>
          <w:sz w:val="24"/>
          <w:szCs w:val="24"/>
          <w:u w:val="single"/>
        </w:rPr>
        <w:t>688012.83</w:t>
      </w:r>
      <w:r>
        <w:rPr>
          <w:rFonts w:hint="eastAsia" w:ascii="宋体" w:hAnsi="宋体"/>
          <w:color w:val="000000"/>
          <w:sz w:val="24"/>
          <w:szCs w:val="24"/>
          <w:u w:val="single"/>
          <w:lang w:val="en-US" w:eastAsia="zh-CN"/>
        </w:rPr>
        <w:tab/>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spacing w:line="360" w:lineRule="auto"/>
        <w:ind w:firstLine="960" w:firstLineChars="400"/>
        <w:rPr>
          <w:rFonts w:hint="eastAsia" w:ascii="宋体" w:hAnsi="宋体"/>
          <w:color w:val="000000"/>
          <w:sz w:val="24"/>
          <w:szCs w:val="24"/>
          <w:u w:val="single"/>
        </w:rPr>
      </w:pPr>
      <w:r>
        <w:rPr>
          <w:rFonts w:hint="eastAsia" w:ascii="宋体" w:hAnsi="宋体"/>
          <w:color w:val="000000"/>
          <w:sz w:val="24"/>
          <w:szCs w:val="24"/>
        </w:rPr>
        <w:t>其中绿色施工安全防护措施费（元）：</w:t>
      </w:r>
      <w:r>
        <w:rPr>
          <w:rFonts w:hint="eastAsia" w:ascii="宋体" w:hAnsi="宋体"/>
          <w:color w:val="000000"/>
          <w:sz w:val="24"/>
          <w:szCs w:val="24"/>
          <w:u w:val="single"/>
        </w:rPr>
        <w:t>688012.83</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其他项目费（元）：</w:t>
      </w:r>
      <w:r>
        <w:rPr>
          <w:rFonts w:hint="eastAsia" w:ascii="宋体" w:hAnsi="宋体"/>
          <w:color w:val="000000"/>
          <w:sz w:val="24"/>
          <w:szCs w:val="24"/>
          <w:u w:val="single"/>
        </w:rPr>
        <w:t xml:space="preserve">948983.21                                         </w:t>
      </w:r>
    </w:p>
    <w:p>
      <w:pPr>
        <w:spacing w:line="360" w:lineRule="auto"/>
        <w:ind w:firstLine="960" w:firstLineChars="400"/>
        <w:rPr>
          <w:rFonts w:hint="eastAsia" w:ascii="宋体" w:hAnsi="宋体"/>
          <w:color w:val="000000"/>
          <w:sz w:val="24"/>
          <w:szCs w:val="24"/>
          <w:u w:val="single"/>
        </w:rPr>
      </w:pPr>
      <w:r>
        <w:rPr>
          <w:rFonts w:hint="eastAsia" w:ascii="宋体" w:hAnsi="宋体"/>
          <w:color w:val="000000"/>
          <w:sz w:val="24"/>
          <w:szCs w:val="24"/>
        </w:rPr>
        <w:t>其中</w:t>
      </w:r>
      <w:r>
        <w:rPr>
          <w:rFonts w:hint="eastAsia" w:ascii="宋体" w:hAnsi="宋体" w:cs="宋体"/>
          <w:i w:val="0"/>
          <w:iCs w:val="0"/>
          <w:color w:val="262626"/>
          <w:kern w:val="0"/>
          <w:sz w:val="24"/>
          <w:szCs w:val="24"/>
          <w:u w:val="none"/>
          <w:lang w:val="en-US" w:eastAsia="zh-CN" w:bidi="ar"/>
        </w:rPr>
        <w:t>暂列</w:t>
      </w:r>
      <w:r>
        <w:rPr>
          <w:rFonts w:hint="eastAsia" w:ascii="宋体" w:hAnsi="宋体"/>
          <w:color w:val="000000"/>
          <w:sz w:val="24"/>
          <w:szCs w:val="24"/>
        </w:rPr>
        <w:t>金额（元）：</w:t>
      </w:r>
      <w:r>
        <w:rPr>
          <w:rFonts w:hint="eastAsia" w:ascii="宋体" w:hAnsi="宋体" w:cs="宋体"/>
          <w:i w:val="0"/>
          <w:iCs w:val="0"/>
          <w:color w:val="262626"/>
          <w:kern w:val="0"/>
          <w:sz w:val="24"/>
          <w:szCs w:val="24"/>
          <w:u w:val="single"/>
          <w:lang w:val="en-US" w:eastAsia="zh-CN" w:bidi="ar"/>
        </w:rPr>
        <w:t>0.00</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规费（元）：</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无</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税金（元）：</w:t>
      </w:r>
      <w:r>
        <w:rPr>
          <w:rFonts w:hint="eastAsia" w:ascii="宋体" w:hAnsi="宋体"/>
          <w:color w:val="000000"/>
          <w:sz w:val="24"/>
          <w:szCs w:val="24"/>
          <w:u w:val="single"/>
        </w:rPr>
        <w:t>2060191.8</w:t>
      </w:r>
      <w:r>
        <w:rPr>
          <w:rFonts w:hint="eastAsia" w:ascii="宋体" w:hAnsi="宋体"/>
          <w:color w:val="000000"/>
          <w:sz w:val="24"/>
          <w:szCs w:val="24"/>
          <w:u w:val="single"/>
          <w:lang w:val="en-US" w:eastAsia="zh-CN"/>
        </w:rPr>
        <w:t>0</w:t>
      </w:r>
      <w:r>
        <w:rPr>
          <w:rFonts w:hint="eastAsia" w:ascii="宋体" w:hAnsi="宋体"/>
          <w:color w:val="000000"/>
          <w:sz w:val="24"/>
          <w:szCs w:val="24"/>
          <w:u w:val="single"/>
        </w:rPr>
        <w:t xml:space="preserve">                                            </w:t>
      </w:r>
    </w:p>
    <w:p>
      <w:pPr>
        <w:widowControl/>
        <w:spacing w:before="75" w:after="75" w:line="360" w:lineRule="auto"/>
        <w:ind w:firstLine="960" w:firstLineChars="400"/>
        <w:jc w:val="left"/>
        <w:rPr>
          <w:rFonts w:hint="eastAsia" w:ascii="宋体" w:hAnsi="宋体" w:cs="宋体"/>
          <w:color w:val="000000"/>
          <w:kern w:val="0"/>
          <w:sz w:val="24"/>
          <w:szCs w:val="24"/>
        </w:rPr>
      </w:pPr>
    </w:p>
    <w:p>
      <w:pPr>
        <w:widowControl/>
        <w:spacing w:before="75" w:after="75" w:line="360" w:lineRule="auto"/>
        <w:ind w:firstLine="960" w:firstLineChars="400"/>
        <w:jc w:val="left"/>
        <w:rPr>
          <w:rFonts w:hint="eastAsia" w:ascii="宋体" w:hAnsi="宋体" w:cs="宋体"/>
          <w:color w:val="000000"/>
          <w:kern w:val="0"/>
          <w:sz w:val="24"/>
          <w:szCs w:val="24"/>
        </w:rPr>
      </w:pPr>
      <w:r>
        <w:rPr>
          <w:rFonts w:hint="eastAsia" w:ascii="宋体" w:hAnsi="宋体" w:cs="宋体"/>
          <w:color w:val="000000"/>
          <w:kern w:val="0"/>
          <w:sz w:val="24"/>
          <w:szCs w:val="24"/>
        </w:rPr>
        <w:t>对公开招标工程，</w:t>
      </w:r>
      <w:r>
        <w:rPr>
          <w:rFonts w:hint="eastAsia" w:ascii="宋体" w:hAnsi="宋体"/>
          <w:color w:val="000000"/>
          <w:sz w:val="24"/>
          <w:szCs w:val="24"/>
        </w:rPr>
        <w:t>投标人须按照公布的绿色施工安全防护措施费、</w:t>
      </w:r>
      <w:r>
        <w:rPr>
          <w:rFonts w:hint="eastAsia" w:ascii="宋体" w:hAnsi="宋体" w:cs="宋体"/>
          <w:i w:val="0"/>
          <w:iCs w:val="0"/>
          <w:color w:val="262626"/>
          <w:kern w:val="0"/>
          <w:sz w:val="24"/>
          <w:szCs w:val="24"/>
          <w:u w:val="none"/>
          <w:lang w:val="en-US" w:eastAsia="zh-CN" w:bidi="ar"/>
        </w:rPr>
        <w:t>暂列金额</w:t>
      </w:r>
      <w:r>
        <w:rPr>
          <w:rFonts w:hint="eastAsia" w:ascii="宋体" w:hAnsi="宋体" w:cs="宋体"/>
          <w:color w:val="000000"/>
          <w:kern w:val="0"/>
          <w:sz w:val="24"/>
          <w:szCs w:val="24"/>
        </w:rPr>
        <w:t>报价。</w:t>
      </w:r>
    </w:p>
    <w:p>
      <w:pPr>
        <w:pStyle w:val="2"/>
        <w:rPr>
          <w:rFonts w:hint="eastAsia"/>
        </w:rPr>
      </w:pPr>
    </w:p>
    <w:p>
      <w:pPr>
        <w:pStyle w:val="2"/>
        <w:rPr>
          <w:rFonts w:hint="eastAsia"/>
        </w:rPr>
      </w:pPr>
    </w:p>
    <w:p>
      <w:pPr>
        <w:widowControl/>
        <w:spacing w:before="75" w:after="75" w:line="360" w:lineRule="auto"/>
        <w:ind w:firstLine="5640" w:firstLineChars="2350"/>
        <w:jc w:val="left"/>
        <w:rPr>
          <w:rFonts w:hint="eastAsia" w:ascii="宋体" w:hAnsi="宋体"/>
          <w:b/>
          <w:color w:val="000000"/>
          <w:spacing w:val="60"/>
          <w:sz w:val="24"/>
          <w:szCs w:val="24"/>
        </w:rPr>
      </w:pPr>
      <w:r>
        <w:rPr>
          <w:rFonts w:hint="eastAsia" w:ascii="宋体" w:hAnsi="宋体"/>
          <w:color w:val="000000"/>
          <w:sz w:val="24"/>
          <w:szCs w:val="24"/>
        </w:rPr>
        <w:t>招标单位（盖章）</w:t>
      </w:r>
      <w:r>
        <w:rPr>
          <w:rFonts w:hint="eastAsia" w:ascii="宋体" w:hAnsi="宋体"/>
          <w:b/>
          <w:color w:val="000000"/>
          <w:spacing w:val="60"/>
          <w:sz w:val="24"/>
          <w:szCs w:val="24"/>
        </w:rPr>
        <w:t xml:space="preserve">              </w:t>
      </w:r>
    </w:p>
    <w:p>
      <w:pPr>
        <w:ind w:firstLine="5760" w:firstLineChars="240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2022</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 xml:space="preserve">月 </w:t>
      </w:r>
      <w:r>
        <w:rPr>
          <w:rFonts w:hint="eastAsia" w:ascii="宋体" w:hAnsi="宋体" w:cs="宋体"/>
          <w:color w:val="000000"/>
          <w:kern w:val="0"/>
          <w:sz w:val="24"/>
          <w:szCs w:val="24"/>
          <w:lang w:val="en-US" w:eastAsia="zh-CN"/>
        </w:rPr>
        <w:t>29</w:t>
      </w:r>
      <w:bookmarkStart w:id="45" w:name="_GoBack"/>
      <w:bookmarkEnd w:id="45"/>
      <w:r>
        <w:rPr>
          <w:rFonts w:hint="eastAsia" w:ascii="宋体" w:hAnsi="宋体" w:cs="宋体"/>
          <w:color w:val="000000"/>
          <w:kern w:val="0"/>
          <w:sz w:val="24"/>
          <w:szCs w:val="24"/>
        </w:rPr>
        <w:t>日</w:t>
      </w:r>
    </w:p>
    <w:p>
      <w:pPr>
        <w:pStyle w:val="2"/>
        <w:rPr>
          <w:rFonts w:hint="eastAsia" w:ascii="宋体" w:hAnsi="宋体" w:cs="宋体"/>
          <w:color w:val="000000"/>
          <w:kern w:val="0"/>
          <w:sz w:val="24"/>
          <w:szCs w:val="24"/>
        </w:rPr>
      </w:pPr>
    </w:p>
    <w:p>
      <w:pPr>
        <w:pStyle w:val="2"/>
        <w:rPr>
          <w:rFonts w:hint="eastAsia" w:ascii="宋体" w:hAnsi="宋体" w:cs="宋体"/>
          <w:color w:val="000000"/>
          <w:kern w:val="0"/>
          <w:sz w:val="24"/>
          <w:szCs w:val="24"/>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Century"/>
    <w:panose1 w:val="02040604050505020304"/>
    <w:charset w:val="00"/>
    <w:family w:val="roman"/>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right"/>
      <w:rPr>
        <w:rStyle w:val="40"/>
      </w:rPr>
    </w:pPr>
    <w:r>
      <w:rPr>
        <w:rStyle w:val="40"/>
      </w:rPr>
      <w:fldChar w:fldCharType="begin"/>
    </w:r>
    <w:r>
      <w:rPr>
        <w:rStyle w:val="40"/>
      </w:rPr>
      <w:instrText xml:space="preserve">PAGE  </w:instrText>
    </w:r>
    <w:r>
      <w:rPr>
        <w:rStyle w:val="40"/>
      </w:rPr>
      <w:fldChar w:fldCharType="separate"/>
    </w:r>
    <w:r>
      <w:rPr>
        <w:rStyle w:val="40"/>
      </w:rPr>
      <w:t>20</w:t>
    </w:r>
    <w:r>
      <w:rPr>
        <w:rStyle w:val="4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pPr>
    <w:r>
      <w:rPr>
        <w:rStyle w:val="40"/>
      </w:rPr>
      <w:fldChar w:fldCharType="begin"/>
    </w:r>
    <w:r>
      <w:rPr>
        <w:rStyle w:val="40"/>
      </w:rPr>
      <w:instrText xml:space="preserve"> PAGE </w:instrText>
    </w:r>
    <w:r>
      <w:rPr>
        <w:rStyle w:val="40"/>
      </w:rPr>
      <w:fldChar w:fldCharType="separate"/>
    </w:r>
    <w:r>
      <w:rPr>
        <w:rStyle w:val="40"/>
      </w:rPr>
      <w:t>14</w:t>
    </w:r>
    <w:r>
      <w:rPr>
        <w:rStyle w:val="4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jc w:val="center"/>
      <w:rPr>
        <w:rStyle w:val="40"/>
      </w:rPr>
    </w:pPr>
    <w:r>
      <w:fldChar w:fldCharType="begin"/>
    </w:r>
    <w:r>
      <w:rPr>
        <w:rStyle w:val="40"/>
      </w:rPr>
      <w:instrText xml:space="preserve">PAGE  </w:instrText>
    </w:r>
    <w:r>
      <w:fldChar w:fldCharType="separate"/>
    </w:r>
    <w:r>
      <w:rPr>
        <w:rStyle w:val="40"/>
      </w:rPr>
      <w:t>53</w:t>
    </w:r>
    <w:r>
      <w:fldChar w:fldCharType="end"/>
    </w:r>
  </w:p>
  <w:p>
    <w:pPr>
      <w:pStyle w:val="24"/>
      <w:framePr w:wrap="around" w:vAnchor="text" w:hAnchor="margin" w:xAlign="outside" w:y="1"/>
      <w:ind w:left="-4410" w:leftChars="-2100" w:right="-4439" w:rightChars="-2114"/>
      <w:rPr>
        <w:rStyle w:val="40"/>
      </w:rPr>
    </w:pPr>
  </w:p>
  <w:p>
    <w:pPr>
      <w:pStyle w:val="24"/>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0"/>
      </w:rPr>
    </w:pPr>
    <w:r>
      <w:fldChar w:fldCharType="begin"/>
    </w:r>
    <w:r>
      <w:rPr>
        <w:rStyle w:val="40"/>
      </w:rPr>
      <w:instrText xml:space="preserve">PAGE  </w:instrText>
    </w:r>
    <w:r>
      <w:fldChar w:fldCharType="separate"/>
    </w:r>
    <w:r>
      <w:rPr>
        <w:rStyle w:val="40"/>
        <w:rFonts w:hint="eastAsia"/>
      </w:rPr>
      <w:t>一</w:t>
    </w:r>
    <w:r>
      <w:rPr>
        <w:rStyle w:val="40"/>
      </w:rPr>
      <w:t>–2</w:t>
    </w:r>
    <w:r>
      <w:fldChar w:fldCharType="end"/>
    </w:r>
  </w:p>
  <w:p>
    <w:pPr>
      <w:pStyle w:val="24"/>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0"/>
      </w:rPr>
      <w:instrText xml:space="preserve"> PAGE </w:instrText>
    </w:r>
    <w:r>
      <w:fldChar w:fldCharType="separate"/>
    </w:r>
    <w:r>
      <w:rPr>
        <w:rStyle w:val="40"/>
      </w:rPr>
      <w:t>51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jc w:val="center"/>
      <w:rPr>
        <w:rStyle w:val="40"/>
      </w:rPr>
    </w:pPr>
    <w:r>
      <w:rPr>
        <w:rStyle w:val="40"/>
      </w:rPr>
      <w:fldChar w:fldCharType="begin"/>
    </w:r>
    <w:r>
      <w:rPr>
        <w:rStyle w:val="40"/>
      </w:rPr>
      <w:instrText xml:space="preserve">PAGE  </w:instrText>
    </w:r>
    <w:r>
      <w:rPr>
        <w:rStyle w:val="40"/>
      </w:rPr>
      <w:fldChar w:fldCharType="separate"/>
    </w:r>
    <w:r>
      <w:rPr>
        <w:rStyle w:val="40"/>
      </w:rPr>
      <w:t>90</w:t>
    </w:r>
    <w:r>
      <w:rPr>
        <w:rStyle w:val="40"/>
      </w:rPr>
      <w:fldChar w:fldCharType="end"/>
    </w:r>
  </w:p>
  <w:p>
    <w:pPr>
      <w:pStyle w:val="24"/>
      <w:framePr w:wrap="around" w:vAnchor="text" w:hAnchor="margin" w:xAlign="outside" w:y="1"/>
      <w:ind w:left="-4410" w:leftChars="-2100" w:right="-4439" w:rightChars="-2114"/>
      <w:rPr>
        <w:rStyle w:val="40"/>
      </w:rPr>
    </w:pPr>
  </w:p>
  <w:p>
    <w:pPr>
      <w:pStyle w:val="2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47B2F"/>
    <w:multiLevelType w:val="singleLevel"/>
    <w:tmpl w:val="9F947B2F"/>
    <w:lvl w:ilvl="0" w:tentative="0">
      <w:start w:val="1"/>
      <w:numFmt w:val="decimal"/>
      <w:suff w:val="nothing"/>
      <w:lvlText w:val="（%1）"/>
      <w:lvlJc w:val="left"/>
    </w:lvl>
  </w:abstractNum>
  <w:abstractNum w:abstractNumId="1">
    <w:nsid w:val="BCF50D60"/>
    <w:multiLevelType w:val="singleLevel"/>
    <w:tmpl w:val="BCF50D60"/>
    <w:lvl w:ilvl="0" w:tentative="0">
      <w:start w:val="1"/>
      <w:numFmt w:val="decimal"/>
      <w:suff w:val="nothing"/>
      <w:lvlText w:val="（%1）"/>
      <w:lvlJc w:val="left"/>
    </w:lvl>
  </w:abstractNum>
  <w:abstractNum w:abstractNumId="2">
    <w:nsid w:val="C1A2B315"/>
    <w:multiLevelType w:val="singleLevel"/>
    <w:tmpl w:val="C1A2B315"/>
    <w:lvl w:ilvl="0" w:tentative="0">
      <w:start w:val="2"/>
      <w:numFmt w:val="decimal"/>
      <w:suff w:val="nothing"/>
      <w:lvlText w:val="%1．"/>
      <w:lvlJc w:val="left"/>
    </w:lvl>
  </w:abstractNum>
  <w:abstractNum w:abstractNumId="3">
    <w:nsid w:val="259905B5"/>
    <w:multiLevelType w:val="multilevel"/>
    <w:tmpl w:val="259905B5"/>
    <w:lvl w:ilvl="0" w:tentative="0">
      <w:start w:val="1"/>
      <w:numFmt w:val="chineseCountingThousand"/>
      <w:pStyle w:val="93"/>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4">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77644A10"/>
    <w:multiLevelType w:val="singleLevel"/>
    <w:tmpl w:val="77644A10"/>
    <w:lvl w:ilvl="0" w:tentative="0">
      <w:start w:val="1"/>
      <w:numFmt w:val="decimal"/>
      <w:suff w:val="nothing"/>
      <w:lvlText w:val="（%1）"/>
      <w:lvlJc w:val="left"/>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mZDg4NzIzNTAyMjFkOGEyMjA2YTMwMDE0OGVmZjAifQ=="/>
  </w:docVars>
  <w:rsids>
    <w:rsidRoot w:val="007B41BE"/>
    <w:rsid w:val="000200EE"/>
    <w:rsid w:val="000575F8"/>
    <w:rsid w:val="000C1007"/>
    <w:rsid w:val="000C11E0"/>
    <w:rsid w:val="000C2710"/>
    <w:rsid w:val="000D396E"/>
    <w:rsid w:val="00181CAA"/>
    <w:rsid w:val="00336AA3"/>
    <w:rsid w:val="004370EC"/>
    <w:rsid w:val="004424B8"/>
    <w:rsid w:val="004B295D"/>
    <w:rsid w:val="005866FB"/>
    <w:rsid w:val="005C212B"/>
    <w:rsid w:val="006036EF"/>
    <w:rsid w:val="00673B83"/>
    <w:rsid w:val="00680BFD"/>
    <w:rsid w:val="006B6B0D"/>
    <w:rsid w:val="006F3576"/>
    <w:rsid w:val="0073229B"/>
    <w:rsid w:val="00780EC8"/>
    <w:rsid w:val="007B41BE"/>
    <w:rsid w:val="007D6D06"/>
    <w:rsid w:val="00835C9E"/>
    <w:rsid w:val="008D2515"/>
    <w:rsid w:val="008E4AD1"/>
    <w:rsid w:val="00920E49"/>
    <w:rsid w:val="00991949"/>
    <w:rsid w:val="009A704D"/>
    <w:rsid w:val="00A0387A"/>
    <w:rsid w:val="00A0619D"/>
    <w:rsid w:val="00A20AF3"/>
    <w:rsid w:val="00A2579D"/>
    <w:rsid w:val="00A50D34"/>
    <w:rsid w:val="00A64E29"/>
    <w:rsid w:val="00AD3DEE"/>
    <w:rsid w:val="00AD6716"/>
    <w:rsid w:val="00BC7B91"/>
    <w:rsid w:val="00BE1732"/>
    <w:rsid w:val="00BE216D"/>
    <w:rsid w:val="00C267C0"/>
    <w:rsid w:val="00C32C1E"/>
    <w:rsid w:val="00C408D3"/>
    <w:rsid w:val="00C81F53"/>
    <w:rsid w:val="00C82C8A"/>
    <w:rsid w:val="00CD156B"/>
    <w:rsid w:val="00D75B45"/>
    <w:rsid w:val="00D84E64"/>
    <w:rsid w:val="00E22EAB"/>
    <w:rsid w:val="00E457F6"/>
    <w:rsid w:val="00E638F3"/>
    <w:rsid w:val="00EB6530"/>
    <w:rsid w:val="00EC014E"/>
    <w:rsid w:val="00F40301"/>
    <w:rsid w:val="00FA5926"/>
    <w:rsid w:val="00FC5596"/>
    <w:rsid w:val="01A324E9"/>
    <w:rsid w:val="01D152A8"/>
    <w:rsid w:val="025A529E"/>
    <w:rsid w:val="02FE2D03"/>
    <w:rsid w:val="03124864"/>
    <w:rsid w:val="03184F30"/>
    <w:rsid w:val="036F4693"/>
    <w:rsid w:val="04262463"/>
    <w:rsid w:val="045066FF"/>
    <w:rsid w:val="04B56FD0"/>
    <w:rsid w:val="05935ABA"/>
    <w:rsid w:val="06327B5B"/>
    <w:rsid w:val="06391F63"/>
    <w:rsid w:val="0694453D"/>
    <w:rsid w:val="06A05249"/>
    <w:rsid w:val="072F44E3"/>
    <w:rsid w:val="073B1CC1"/>
    <w:rsid w:val="07B30216"/>
    <w:rsid w:val="07CC4C61"/>
    <w:rsid w:val="08777DF5"/>
    <w:rsid w:val="090B5543"/>
    <w:rsid w:val="09AD5B81"/>
    <w:rsid w:val="09F33618"/>
    <w:rsid w:val="0B194835"/>
    <w:rsid w:val="0BA555DC"/>
    <w:rsid w:val="0C163FA6"/>
    <w:rsid w:val="0D407BD1"/>
    <w:rsid w:val="0D5E54A5"/>
    <w:rsid w:val="0F7E4AB5"/>
    <w:rsid w:val="0FAC68BB"/>
    <w:rsid w:val="0FEF45D8"/>
    <w:rsid w:val="104135F9"/>
    <w:rsid w:val="10930611"/>
    <w:rsid w:val="114C494B"/>
    <w:rsid w:val="11E8746F"/>
    <w:rsid w:val="12CB0A5B"/>
    <w:rsid w:val="13375D52"/>
    <w:rsid w:val="13E72709"/>
    <w:rsid w:val="14D34591"/>
    <w:rsid w:val="154D4C74"/>
    <w:rsid w:val="15A47E68"/>
    <w:rsid w:val="16861D19"/>
    <w:rsid w:val="173F18BE"/>
    <w:rsid w:val="18151F96"/>
    <w:rsid w:val="181C07FE"/>
    <w:rsid w:val="187354C1"/>
    <w:rsid w:val="189237DC"/>
    <w:rsid w:val="190621F2"/>
    <w:rsid w:val="1A2F4635"/>
    <w:rsid w:val="1A531F7F"/>
    <w:rsid w:val="1A98475D"/>
    <w:rsid w:val="1AD03189"/>
    <w:rsid w:val="1AFC3630"/>
    <w:rsid w:val="1B257D65"/>
    <w:rsid w:val="1B862A01"/>
    <w:rsid w:val="1C817B9F"/>
    <w:rsid w:val="1D946687"/>
    <w:rsid w:val="1E203761"/>
    <w:rsid w:val="1E486D96"/>
    <w:rsid w:val="1EA91761"/>
    <w:rsid w:val="1EBA5A37"/>
    <w:rsid w:val="1F647BA2"/>
    <w:rsid w:val="1FF540F7"/>
    <w:rsid w:val="1FF92163"/>
    <w:rsid w:val="20216DCB"/>
    <w:rsid w:val="202C50C6"/>
    <w:rsid w:val="20EA0012"/>
    <w:rsid w:val="20EB1AE8"/>
    <w:rsid w:val="20F461FB"/>
    <w:rsid w:val="212A1126"/>
    <w:rsid w:val="22AD0709"/>
    <w:rsid w:val="23141450"/>
    <w:rsid w:val="24A972CC"/>
    <w:rsid w:val="27AC1B6A"/>
    <w:rsid w:val="28530A3B"/>
    <w:rsid w:val="28790229"/>
    <w:rsid w:val="289F315B"/>
    <w:rsid w:val="29466BCF"/>
    <w:rsid w:val="2A880A7B"/>
    <w:rsid w:val="2ABB54F4"/>
    <w:rsid w:val="2AE676B4"/>
    <w:rsid w:val="2C0D164C"/>
    <w:rsid w:val="2DC4660F"/>
    <w:rsid w:val="30997F39"/>
    <w:rsid w:val="30CB388B"/>
    <w:rsid w:val="310A17BD"/>
    <w:rsid w:val="31682B17"/>
    <w:rsid w:val="32184F44"/>
    <w:rsid w:val="32BF3509"/>
    <w:rsid w:val="339B6959"/>
    <w:rsid w:val="33BA702B"/>
    <w:rsid w:val="33CB137D"/>
    <w:rsid w:val="3457257C"/>
    <w:rsid w:val="35BB7673"/>
    <w:rsid w:val="36FA484C"/>
    <w:rsid w:val="37465954"/>
    <w:rsid w:val="375D203C"/>
    <w:rsid w:val="37FA01D4"/>
    <w:rsid w:val="38026A6F"/>
    <w:rsid w:val="38660B51"/>
    <w:rsid w:val="386C44C8"/>
    <w:rsid w:val="38FB5AD3"/>
    <w:rsid w:val="390239BE"/>
    <w:rsid w:val="39C15447"/>
    <w:rsid w:val="39FF6BA3"/>
    <w:rsid w:val="3A4B56FC"/>
    <w:rsid w:val="3A566F31"/>
    <w:rsid w:val="3A8B1EF5"/>
    <w:rsid w:val="3A8D1903"/>
    <w:rsid w:val="3B0B1AD8"/>
    <w:rsid w:val="3B817F46"/>
    <w:rsid w:val="3C0435A9"/>
    <w:rsid w:val="3C6E7851"/>
    <w:rsid w:val="3CB17B91"/>
    <w:rsid w:val="3D60411F"/>
    <w:rsid w:val="3F6C2C90"/>
    <w:rsid w:val="41CF635B"/>
    <w:rsid w:val="41E657FF"/>
    <w:rsid w:val="42A21DA3"/>
    <w:rsid w:val="42BB330B"/>
    <w:rsid w:val="447C0411"/>
    <w:rsid w:val="450D5A45"/>
    <w:rsid w:val="45675EB9"/>
    <w:rsid w:val="45C65BB7"/>
    <w:rsid w:val="4789207B"/>
    <w:rsid w:val="47ED366A"/>
    <w:rsid w:val="481A7151"/>
    <w:rsid w:val="48523C0A"/>
    <w:rsid w:val="493058B4"/>
    <w:rsid w:val="4B3F6B82"/>
    <w:rsid w:val="4B6B7860"/>
    <w:rsid w:val="4BFE3359"/>
    <w:rsid w:val="4C066B29"/>
    <w:rsid w:val="4C3719B2"/>
    <w:rsid w:val="4C96649F"/>
    <w:rsid w:val="4CC414CF"/>
    <w:rsid w:val="4CC87B94"/>
    <w:rsid w:val="4D2866B7"/>
    <w:rsid w:val="4E6C325B"/>
    <w:rsid w:val="4E8F6564"/>
    <w:rsid w:val="50760543"/>
    <w:rsid w:val="51BB4DAA"/>
    <w:rsid w:val="53672172"/>
    <w:rsid w:val="53F92C98"/>
    <w:rsid w:val="548C6339"/>
    <w:rsid w:val="54B40BE7"/>
    <w:rsid w:val="56AE4214"/>
    <w:rsid w:val="573354B6"/>
    <w:rsid w:val="57452F9B"/>
    <w:rsid w:val="57920D10"/>
    <w:rsid w:val="57E02CC4"/>
    <w:rsid w:val="58223237"/>
    <w:rsid w:val="5864233E"/>
    <w:rsid w:val="58F51A81"/>
    <w:rsid w:val="590D059C"/>
    <w:rsid w:val="592B15DF"/>
    <w:rsid w:val="593E6324"/>
    <w:rsid w:val="59C9560C"/>
    <w:rsid w:val="59E2645B"/>
    <w:rsid w:val="5A755E33"/>
    <w:rsid w:val="5AE07983"/>
    <w:rsid w:val="5B215ACE"/>
    <w:rsid w:val="5BA66C84"/>
    <w:rsid w:val="5C193C6F"/>
    <w:rsid w:val="5CDF456F"/>
    <w:rsid w:val="5D572C78"/>
    <w:rsid w:val="5DD714A4"/>
    <w:rsid w:val="5E6D347A"/>
    <w:rsid w:val="5F0F299B"/>
    <w:rsid w:val="5F4B72E8"/>
    <w:rsid w:val="5FEF5F56"/>
    <w:rsid w:val="607D63EF"/>
    <w:rsid w:val="618E445E"/>
    <w:rsid w:val="620F7EF6"/>
    <w:rsid w:val="62832486"/>
    <w:rsid w:val="638A67B2"/>
    <w:rsid w:val="63C01BA2"/>
    <w:rsid w:val="63C10880"/>
    <w:rsid w:val="644C1739"/>
    <w:rsid w:val="64FB758F"/>
    <w:rsid w:val="64FD03AC"/>
    <w:rsid w:val="653505E7"/>
    <w:rsid w:val="65890C8C"/>
    <w:rsid w:val="65E77799"/>
    <w:rsid w:val="677772D0"/>
    <w:rsid w:val="68E029FD"/>
    <w:rsid w:val="699A2DE5"/>
    <w:rsid w:val="69AC0C58"/>
    <w:rsid w:val="69B813AB"/>
    <w:rsid w:val="69FA40E3"/>
    <w:rsid w:val="6B036428"/>
    <w:rsid w:val="6B040620"/>
    <w:rsid w:val="6B407C0E"/>
    <w:rsid w:val="6B804DE4"/>
    <w:rsid w:val="6BC46986"/>
    <w:rsid w:val="6C7621DF"/>
    <w:rsid w:val="6C787452"/>
    <w:rsid w:val="6C7D39C9"/>
    <w:rsid w:val="6CEF4F0F"/>
    <w:rsid w:val="6D824924"/>
    <w:rsid w:val="6DAB59DE"/>
    <w:rsid w:val="6EAF3BF9"/>
    <w:rsid w:val="6F9220A7"/>
    <w:rsid w:val="6F9F1217"/>
    <w:rsid w:val="6FD146E6"/>
    <w:rsid w:val="702751BC"/>
    <w:rsid w:val="70803C45"/>
    <w:rsid w:val="708A2F7E"/>
    <w:rsid w:val="70E06CE3"/>
    <w:rsid w:val="723F4C97"/>
    <w:rsid w:val="73BC4877"/>
    <w:rsid w:val="73CC483B"/>
    <w:rsid w:val="747857C5"/>
    <w:rsid w:val="74BC2D43"/>
    <w:rsid w:val="74D57DC3"/>
    <w:rsid w:val="75091C36"/>
    <w:rsid w:val="754E44BD"/>
    <w:rsid w:val="75866B39"/>
    <w:rsid w:val="761F5CF5"/>
    <w:rsid w:val="762A5C33"/>
    <w:rsid w:val="76305A01"/>
    <w:rsid w:val="769748A4"/>
    <w:rsid w:val="76F579B0"/>
    <w:rsid w:val="77302EC9"/>
    <w:rsid w:val="783B609A"/>
    <w:rsid w:val="7A9554CF"/>
    <w:rsid w:val="7ADC31A8"/>
    <w:rsid w:val="7AF33058"/>
    <w:rsid w:val="7B012F78"/>
    <w:rsid w:val="7BFC5316"/>
    <w:rsid w:val="7CBD6A8F"/>
    <w:rsid w:val="7CC47394"/>
    <w:rsid w:val="7CFF4621"/>
    <w:rsid w:val="7D5F768E"/>
    <w:rsid w:val="7E97060A"/>
    <w:rsid w:val="7EF002A6"/>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9"/>
    <w:qFormat/>
    <w:uiPriority w:val="0"/>
    <w:pPr>
      <w:keepNext/>
      <w:keepLines/>
      <w:spacing w:after="120" w:line="360" w:lineRule="auto"/>
      <w:outlineLvl w:val="0"/>
    </w:pPr>
    <w:rPr>
      <w:kern w:val="44"/>
      <w:sz w:val="28"/>
      <w:szCs w:val="28"/>
    </w:rPr>
  </w:style>
  <w:style w:type="paragraph" w:styleId="6">
    <w:name w:val="heading 2"/>
    <w:basedOn w:val="1"/>
    <w:next w:val="1"/>
    <w:link w:val="60"/>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54"/>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7"/>
    <w:next w:val="9"/>
    <w:link w:val="61"/>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2"/>
    <w:qFormat/>
    <w:uiPriority w:val="0"/>
    <w:pPr>
      <w:numPr>
        <w:ilvl w:val="4"/>
      </w:numPr>
      <w:spacing w:line="240" w:lineRule="exact"/>
      <w:outlineLvl w:val="4"/>
    </w:pPr>
  </w:style>
  <w:style w:type="paragraph" w:styleId="11">
    <w:name w:val="heading 6"/>
    <w:basedOn w:val="1"/>
    <w:next w:val="1"/>
    <w:link w:val="63"/>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4"/>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5"/>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0"/>
    <w:qFormat/>
    <w:uiPriority w:val="0"/>
    <w:pPr>
      <w:spacing w:after="120"/>
    </w:pPr>
    <w:rPr>
      <w:rFonts w:ascii="Times New Roman" w:hAnsi="Times New Roman"/>
      <w:szCs w:val="20"/>
    </w:rPr>
  </w:style>
  <w:style w:type="paragraph" w:styleId="4">
    <w:name w:val="Title"/>
    <w:basedOn w:val="1"/>
    <w:link w:val="68"/>
    <w:qFormat/>
    <w:uiPriority w:val="0"/>
    <w:pPr>
      <w:spacing w:before="120" w:after="60"/>
      <w:jc w:val="center"/>
    </w:pPr>
    <w:rPr>
      <w:rFonts w:ascii="Arial" w:hAnsi="Arial"/>
      <w:b/>
      <w:sz w:val="44"/>
      <w:szCs w:val="20"/>
    </w:rPr>
  </w:style>
  <w:style w:type="paragraph" w:styleId="5">
    <w:name w:val="Body Text First Indent"/>
    <w:basedOn w:val="2"/>
    <w:link w:val="72"/>
    <w:qFormat/>
    <w:uiPriority w:val="0"/>
    <w:pPr>
      <w:ind w:firstLine="420"/>
    </w:pPr>
  </w:style>
  <w:style w:type="paragraph" w:styleId="9">
    <w:name w:val="Normal Indent"/>
    <w:basedOn w:val="1"/>
    <w:qFormat/>
    <w:uiPriority w:val="0"/>
    <w:pPr>
      <w:ind w:firstLine="420"/>
    </w:pPr>
    <w:rPr>
      <w:rFonts w:ascii="Times New Roman" w:hAnsi="Times New Roman"/>
      <w:szCs w:val="20"/>
    </w:rPr>
  </w:style>
  <w:style w:type="paragraph" w:styleId="15">
    <w:name w:val="Document Map"/>
    <w:basedOn w:val="1"/>
    <w:link w:val="78"/>
    <w:qFormat/>
    <w:uiPriority w:val="0"/>
    <w:pPr>
      <w:shd w:val="clear" w:color="auto" w:fill="000080"/>
    </w:pPr>
    <w:rPr>
      <w:rFonts w:ascii="Times New Roman" w:hAnsi="Times New Roman"/>
      <w:szCs w:val="20"/>
    </w:rPr>
  </w:style>
  <w:style w:type="paragraph" w:styleId="16">
    <w:name w:val="annotation text"/>
    <w:basedOn w:val="1"/>
    <w:link w:val="104"/>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6"/>
    <w:qFormat/>
    <w:uiPriority w:val="0"/>
    <w:pPr>
      <w:ind w:firstLine="570"/>
    </w:pPr>
    <w:rPr>
      <w:rFonts w:ascii="Times New Roman" w:hAnsi="Times New Roman"/>
      <w:sz w:val="28"/>
      <w:szCs w:val="20"/>
    </w:r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80"/>
    <w:qFormat/>
    <w:uiPriority w:val="0"/>
    <w:rPr>
      <w:rFonts w:ascii="宋体" w:hAnsi="Courier New"/>
      <w:szCs w:val="20"/>
    </w:rPr>
  </w:style>
  <w:style w:type="paragraph" w:styleId="20">
    <w:name w:val="Date"/>
    <w:basedOn w:val="1"/>
    <w:next w:val="1"/>
    <w:link w:val="74"/>
    <w:qFormat/>
    <w:uiPriority w:val="0"/>
    <w:rPr>
      <w:rFonts w:ascii="Times New Roman" w:hAnsi="Times New Roman"/>
      <w:szCs w:val="20"/>
    </w:rPr>
  </w:style>
  <w:style w:type="paragraph" w:styleId="21">
    <w:name w:val="Body Text Indent 2"/>
    <w:basedOn w:val="1"/>
    <w:link w:val="82"/>
    <w:qFormat/>
    <w:uiPriority w:val="0"/>
    <w:pPr>
      <w:spacing w:line="400" w:lineRule="exact"/>
      <w:ind w:left="425"/>
    </w:pPr>
    <w:rPr>
      <w:rFonts w:ascii="Times New Roman" w:hAnsi="Times New Roman"/>
      <w:color w:val="000000"/>
      <w:sz w:val="24"/>
      <w:szCs w:val="20"/>
    </w:rPr>
  </w:style>
  <w:style w:type="paragraph" w:styleId="22">
    <w:name w:val="endnote text"/>
    <w:basedOn w:val="1"/>
    <w:link w:val="91"/>
    <w:qFormat/>
    <w:uiPriority w:val="0"/>
    <w:pPr>
      <w:snapToGrid w:val="0"/>
      <w:jc w:val="left"/>
    </w:pPr>
    <w:rPr>
      <w:rFonts w:ascii="Times New Roman" w:hAnsi="Times New Roman"/>
      <w:szCs w:val="20"/>
    </w:rPr>
  </w:style>
  <w:style w:type="paragraph" w:styleId="23">
    <w:name w:val="Balloon Text"/>
    <w:basedOn w:val="1"/>
    <w:link w:val="101"/>
    <w:qFormat/>
    <w:uiPriority w:val="0"/>
    <w:rPr>
      <w:rFonts w:ascii="Times New Roman" w:hAnsi="Times New Roman"/>
      <w:sz w:val="18"/>
      <w:szCs w:val="18"/>
    </w:rPr>
  </w:style>
  <w:style w:type="paragraph" w:styleId="24">
    <w:name w:val="footer"/>
    <w:basedOn w:val="1"/>
    <w:link w:val="58"/>
    <w:unhideWhenUsed/>
    <w:qFormat/>
    <w:uiPriority w:val="0"/>
    <w:pPr>
      <w:tabs>
        <w:tab w:val="center" w:pos="4153"/>
        <w:tab w:val="right" w:pos="8306"/>
      </w:tabs>
      <w:snapToGrid w:val="0"/>
      <w:jc w:val="left"/>
    </w:pPr>
    <w:rPr>
      <w:sz w:val="18"/>
      <w:szCs w:val="18"/>
    </w:rPr>
  </w:style>
  <w:style w:type="paragraph" w:styleId="25">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6"/>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4"/>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88"/>
    <w:qFormat/>
    <w:uiPriority w:val="0"/>
    <w:rPr>
      <w:rFonts w:ascii="宋体" w:hAnsi="宋体"/>
      <w:szCs w:val="24"/>
      <w:u w:val="single"/>
    </w:rPr>
  </w:style>
  <w:style w:type="paragraph" w:styleId="3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6"/>
    <w:next w:val="16"/>
    <w:link w:val="108"/>
    <w:qFormat/>
    <w:uiPriority w:val="0"/>
    <w:rPr>
      <w:b/>
      <w:bCs/>
    </w:rPr>
  </w:style>
  <w:style w:type="paragraph" w:styleId="34">
    <w:name w:val="Body Text First Indent 2"/>
    <w:basedOn w:val="1"/>
    <w:qFormat/>
    <w:uiPriority w:val="0"/>
    <w:pPr>
      <w:spacing w:after="120" w:line="240" w:lineRule="auto"/>
      <w:ind w:left="200" w:leftChars="200" w:firstLine="200" w:firstLineChars="200"/>
    </w:pPr>
    <w:rPr>
      <w:rFonts w:ascii="Calibri" w:hAnsi="Calibri"/>
      <w:kern w:val="2"/>
      <w:sz w:val="21"/>
      <w:szCs w:val="24"/>
    </w:rPr>
  </w:style>
  <w:style w:type="table" w:styleId="36">
    <w:name w:val="Table Grid"/>
    <w:basedOn w:val="35"/>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endnote reference"/>
    <w:qFormat/>
    <w:uiPriority w:val="0"/>
    <w:rPr>
      <w:vertAlign w:val="superscript"/>
    </w:rPr>
  </w:style>
  <w:style w:type="character" w:styleId="40">
    <w:name w:val="page number"/>
    <w:qFormat/>
    <w:uiPriority w:val="0"/>
    <w:rPr>
      <w:rFonts w:cs="Times New Roman"/>
    </w:rPr>
  </w:style>
  <w:style w:type="character" w:styleId="41">
    <w:name w:val="FollowedHyperlink"/>
    <w:semiHidden/>
    <w:unhideWhenUsed/>
    <w:qFormat/>
    <w:uiPriority w:val="99"/>
    <w:rPr>
      <w:color w:val="954F72"/>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customStyle="1" w:styleId="45">
    <w:name w:val="标题 1 字符"/>
    <w:qFormat/>
    <w:uiPriority w:val="9"/>
    <w:rPr>
      <w:rFonts w:ascii="Calibri" w:hAnsi="Calibri" w:eastAsia="宋体" w:cs="Times New Roman"/>
      <w:b/>
      <w:bCs/>
      <w:kern w:val="44"/>
      <w:sz w:val="44"/>
      <w:szCs w:val="44"/>
    </w:rPr>
  </w:style>
  <w:style w:type="character" w:customStyle="1" w:styleId="46">
    <w:name w:val="标题 2 字符"/>
    <w:semiHidden/>
    <w:qFormat/>
    <w:uiPriority w:val="9"/>
    <w:rPr>
      <w:rFonts w:ascii="等线 Light" w:hAnsi="等线 Light" w:eastAsia="等线 Light" w:cs="Times New Roman"/>
      <w:b/>
      <w:bCs/>
      <w:sz w:val="32"/>
      <w:szCs w:val="32"/>
    </w:rPr>
  </w:style>
  <w:style w:type="character" w:customStyle="1" w:styleId="47">
    <w:name w:val="标题 3 字符"/>
    <w:semiHidden/>
    <w:qFormat/>
    <w:uiPriority w:val="9"/>
    <w:rPr>
      <w:rFonts w:ascii="Calibri" w:hAnsi="Calibri" w:eastAsia="宋体" w:cs="Times New Roman"/>
      <w:b/>
      <w:bCs/>
      <w:sz w:val="32"/>
      <w:szCs w:val="32"/>
    </w:rPr>
  </w:style>
  <w:style w:type="character" w:customStyle="1" w:styleId="48">
    <w:name w:val="标题 4 字符"/>
    <w:semiHidden/>
    <w:qFormat/>
    <w:uiPriority w:val="9"/>
    <w:rPr>
      <w:rFonts w:ascii="等线 Light" w:hAnsi="等线 Light" w:eastAsia="等线 Light" w:cs="Times New Roman"/>
      <w:b/>
      <w:bCs/>
      <w:sz w:val="28"/>
      <w:szCs w:val="28"/>
    </w:rPr>
  </w:style>
  <w:style w:type="character" w:customStyle="1" w:styleId="49">
    <w:name w:val="标题 5 字符"/>
    <w:semiHidden/>
    <w:qFormat/>
    <w:uiPriority w:val="9"/>
    <w:rPr>
      <w:rFonts w:ascii="Calibri" w:hAnsi="Calibri" w:eastAsia="宋体" w:cs="Times New Roman"/>
      <w:b/>
      <w:bCs/>
      <w:sz w:val="28"/>
      <w:szCs w:val="28"/>
    </w:rPr>
  </w:style>
  <w:style w:type="character" w:customStyle="1" w:styleId="50">
    <w:name w:val="标题 6 字符"/>
    <w:semiHidden/>
    <w:qFormat/>
    <w:uiPriority w:val="9"/>
    <w:rPr>
      <w:rFonts w:ascii="等线 Light" w:hAnsi="等线 Light" w:eastAsia="等线 Light" w:cs="Times New Roman"/>
      <w:b/>
      <w:bCs/>
      <w:sz w:val="24"/>
      <w:szCs w:val="24"/>
    </w:rPr>
  </w:style>
  <w:style w:type="character" w:customStyle="1" w:styleId="51">
    <w:name w:val="标题 7 字符"/>
    <w:semiHidden/>
    <w:qFormat/>
    <w:uiPriority w:val="9"/>
    <w:rPr>
      <w:rFonts w:ascii="Calibri" w:hAnsi="Calibri" w:eastAsia="宋体" w:cs="Times New Roman"/>
      <w:b/>
      <w:bCs/>
      <w:sz w:val="24"/>
      <w:szCs w:val="24"/>
    </w:rPr>
  </w:style>
  <w:style w:type="character" w:customStyle="1" w:styleId="52">
    <w:name w:val="标题 8 字符"/>
    <w:semiHidden/>
    <w:qFormat/>
    <w:uiPriority w:val="9"/>
    <w:rPr>
      <w:rFonts w:ascii="等线 Light" w:hAnsi="等线 Light" w:eastAsia="等线 Light" w:cs="Times New Roman"/>
      <w:sz w:val="24"/>
      <w:szCs w:val="24"/>
    </w:rPr>
  </w:style>
  <w:style w:type="character" w:customStyle="1" w:styleId="53">
    <w:name w:val="标题 9 字符"/>
    <w:semiHidden/>
    <w:qFormat/>
    <w:uiPriority w:val="9"/>
    <w:rPr>
      <w:rFonts w:ascii="等线 Light" w:hAnsi="等线 Light" w:eastAsia="等线 Light" w:cs="Times New Roman"/>
      <w:szCs w:val="21"/>
    </w:rPr>
  </w:style>
  <w:style w:type="character" w:customStyle="1" w:styleId="54">
    <w:name w:val="标题 3 字符1"/>
    <w:link w:val="7"/>
    <w:qFormat/>
    <w:uiPriority w:val="0"/>
    <w:rPr>
      <w:rFonts w:ascii="宋体" w:hAnsi="宋体" w:eastAsia="宋体" w:cs="宋体"/>
      <w:kern w:val="0"/>
      <w:sz w:val="27"/>
      <w:szCs w:val="27"/>
    </w:rPr>
  </w:style>
  <w:style w:type="character" w:customStyle="1" w:styleId="55">
    <w:name w:val="页眉 字符"/>
    <w:semiHidden/>
    <w:qFormat/>
    <w:uiPriority w:val="99"/>
    <w:rPr>
      <w:rFonts w:ascii="Calibri" w:hAnsi="Calibri" w:eastAsia="宋体" w:cs="Times New Roman"/>
      <w:sz w:val="18"/>
      <w:szCs w:val="18"/>
    </w:rPr>
  </w:style>
  <w:style w:type="character" w:customStyle="1" w:styleId="56">
    <w:name w:val="页眉 字符1"/>
    <w:link w:val="25"/>
    <w:qFormat/>
    <w:uiPriority w:val="0"/>
    <w:rPr>
      <w:rFonts w:ascii="Calibri" w:hAnsi="Calibri" w:eastAsia="宋体" w:cs="Times New Roman"/>
      <w:sz w:val="18"/>
      <w:szCs w:val="18"/>
    </w:rPr>
  </w:style>
  <w:style w:type="character" w:customStyle="1" w:styleId="57">
    <w:name w:val="页脚 字符"/>
    <w:semiHidden/>
    <w:qFormat/>
    <w:uiPriority w:val="99"/>
    <w:rPr>
      <w:rFonts w:ascii="Calibri" w:hAnsi="Calibri" w:eastAsia="宋体" w:cs="Times New Roman"/>
      <w:sz w:val="18"/>
      <w:szCs w:val="18"/>
    </w:rPr>
  </w:style>
  <w:style w:type="character" w:customStyle="1" w:styleId="58">
    <w:name w:val="页脚 字符1"/>
    <w:link w:val="24"/>
    <w:qFormat/>
    <w:uiPriority w:val="0"/>
    <w:rPr>
      <w:rFonts w:ascii="Calibri" w:hAnsi="Calibri" w:eastAsia="宋体" w:cs="Times New Roman"/>
      <w:sz w:val="18"/>
      <w:szCs w:val="18"/>
    </w:rPr>
  </w:style>
  <w:style w:type="character" w:customStyle="1" w:styleId="59">
    <w:name w:val="标题 1 字符1"/>
    <w:link w:val="3"/>
    <w:qFormat/>
    <w:uiPriority w:val="0"/>
    <w:rPr>
      <w:rFonts w:ascii="Arial" w:hAnsi="Arial" w:eastAsia="宋体"/>
      <w:b/>
      <w:kern w:val="44"/>
      <w:sz w:val="28"/>
      <w:szCs w:val="28"/>
    </w:rPr>
  </w:style>
  <w:style w:type="character" w:customStyle="1" w:styleId="60">
    <w:name w:val="标题 2 字符1"/>
    <w:link w:val="6"/>
    <w:qFormat/>
    <w:uiPriority w:val="0"/>
    <w:rPr>
      <w:rFonts w:ascii="Arial" w:hAnsi="Arial" w:eastAsia="宋体" w:cs="Times New Roman"/>
      <w:b/>
      <w:color w:val="000000"/>
      <w:sz w:val="24"/>
      <w:szCs w:val="24"/>
    </w:rPr>
  </w:style>
  <w:style w:type="character" w:customStyle="1" w:styleId="61">
    <w:name w:val="标题 4 字符1"/>
    <w:link w:val="8"/>
    <w:qFormat/>
    <w:uiPriority w:val="0"/>
    <w:rPr>
      <w:rFonts w:ascii="Arial" w:hAnsi="Arial" w:eastAsia="宋体" w:cs="Times New Roman"/>
      <w:color w:val="000000"/>
      <w:szCs w:val="21"/>
    </w:rPr>
  </w:style>
  <w:style w:type="character" w:customStyle="1" w:styleId="62">
    <w:name w:val="标题 5 字符1"/>
    <w:link w:val="10"/>
    <w:qFormat/>
    <w:uiPriority w:val="0"/>
    <w:rPr>
      <w:rFonts w:ascii="Arial" w:hAnsi="Arial" w:eastAsia="宋体" w:cs="Times New Roman"/>
      <w:color w:val="000000"/>
      <w:szCs w:val="21"/>
    </w:rPr>
  </w:style>
  <w:style w:type="character" w:customStyle="1" w:styleId="63">
    <w:name w:val="标题 6 字符1"/>
    <w:link w:val="11"/>
    <w:qFormat/>
    <w:uiPriority w:val="0"/>
    <w:rPr>
      <w:rFonts w:ascii="Arial" w:hAnsi="Arial" w:eastAsia="黑体" w:cs="Times New Roman"/>
      <w:b/>
      <w:bCs/>
      <w:sz w:val="24"/>
      <w:szCs w:val="24"/>
    </w:rPr>
  </w:style>
  <w:style w:type="character" w:customStyle="1" w:styleId="64">
    <w:name w:val="标题 7 字符1"/>
    <w:link w:val="12"/>
    <w:qFormat/>
    <w:uiPriority w:val="0"/>
    <w:rPr>
      <w:rFonts w:ascii="Times New Roman" w:hAnsi="Times New Roman" w:eastAsia="宋体" w:cs="Times New Roman"/>
      <w:b/>
      <w:sz w:val="24"/>
      <w:szCs w:val="20"/>
    </w:rPr>
  </w:style>
  <w:style w:type="character" w:customStyle="1" w:styleId="65">
    <w:name w:val="标题 8 字符1"/>
    <w:link w:val="13"/>
    <w:qFormat/>
    <w:uiPriority w:val="0"/>
    <w:rPr>
      <w:rFonts w:ascii="Arial" w:hAnsi="Arial" w:eastAsia="黑体" w:cs="Times New Roman"/>
      <w:sz w:val="24"/>
      <w:szCs w:val="20"/>
    </w:rPr>
  </w:style>
  <w:style w:type="character" w:customStyle="1" w:styleId="66">
    <w:name w:val="标题 9 字符1"/>
    <w:link w:val="14"/>
    <w:qFormat/>
    <w:uiPriority w:val="0"/>
    <w:rPr>
      <w:rFonts w:ascii="Arial" w:hAnsi="Arial" w:eastAsia="黑体" w:cs="Times New Roman"/>
      <w:szCs w:val="20"/>
    </w:rPr>
  </w:style>
  <w:style w:type="character" w:customStyle="1" w:styleId="67">
    <w:name w:val="标题 字符"/>
    <w:qFormat/>
    <w:uiPriority w:val="10"/>
    <w:rPr>
      <w:rFonts w:ascii="等线 Light" w:hAnsi="等线 Light" w:eastAsia="等线 Light" w:cs="Times New Roman"/>
      <w:b/>
      <w:bCs/>
      <w:sz w:val="32"/>
      <w:szCs w:val="32"/>
    </w:rPr>
  </w:style>
  <w:style w:type="character" w:customStyle="1" w:styleId="68">
    <w:name w:val="标题 字符1"/>
    <w:link w:val="4"/>
    <w:qFormat/>
    <w:uiPriority w:val="0"/>
    <w:rPr>
      <w:rFonts w:ascii="Arial" w:hAnsi="Arial" w:eastAsia="宋体" w:cs="Times New Roman"/>
      <w:b/>
      <w:sz w:val="44"/>
      <w:szCs w:val="20"/>
    </w:rPr>
  </w:style>
  <w:style w:type="character" w:customStyle="1" w:styleId="69">
    <w:name w:val="正文文本 字符"/>
    <w:semiHidden/>
    <w:qFormat/>
    <w:uiPriority w:val="99"/>
    <w:rPr>
      <w:rFonts w:ascii="Calibri" w:hAnsi="Calibri" w:eastAsia="宋体" w:cs="Times New Roman"/>
    </w:rPr>
  </w:style>
  <w:style w:type="character" w:customStyle="1" w:styleId="70">
    <w:name w:val="正文文本 字符1"/>
    <w:link w:val="2"/>
    <w:qFormat/>
    <w:uiPriority w:val="0"/>
    <w:rPr>
      <w:rFonts w:ascii="Times New Roman" w:hAnsi="Times New Roman" w:eastAsia="宋体" w:cs="Times New Roman"/>
      <w:szCs w:val="20"/>
    </w:rPr>
  </w:style>
  <w:style w:type="character" w:customStyle="1" w:styleId="71">
    <w:name w:val="正文首行缩进 字符"/>
    <w:basedOn w:val="69"/>
    <w:semiHidden/>
    <w:qFormat/>
    <w:uiPriority w:val="99"/>
    <w:rPr>
      <w:rFonts w:ascii="Calibri" w:hAnsi="Calibri" w:eastAsia="宋体" w:cs="Times New Roman"/>
    </w:rPr>
  </w:style>
  <w:style w:type="character" w:customStyle="1" w:styleId="72">
    <w:name w:val="正文首行缩进 字符1"/>
    <w:link w:val="5"/>
    <w:qFormat/>
    <w:uiPriority w:val="0"/>
  </w:style>
  <w:style w:type="character" w:customStyle="1" w:styleId="73">
    <w:name w:val="日期 字符"/>
    <w:semiHidden/>
    <w:qFormat/>
    <w:uiPriority w:val="99"/>
    <w:rPr>
      <w:rFonts w:ascii="Calibri" w:hAnsi="Calibri" w:eastAsia="宋体" w:cs="Times New Roman"/>
    </w:rPr>
  </w:style>
  <w:style w:type="character" w:customStyle="1" w:styleId="74">
    <w:name w:val="日期 字符1"/>
    <w:link w:val="20"/>
    <w:qFormat/>
    <w:uiPriority w:val="0"/>
    <w:rPr>
      <w:rFonts w:ascii="Times New Roman" w:hAnsi="Times New Roman" w:eastAsia="宋体" w:cs="Times New Roman"/>
      <w:szCs w:val="20"/>
    </w:rPr>
  </w:style>
  <w:style w:type="character" w:customStyle="1" w:styleId="75">
    <w:name w:val="正文文本缩进 字符"/>
    <w:semiHidden/>
    <w:qFormat/>
    <w:uiPriority w:val="99"/>
    <w:rPr>
      <w:rFonts w:ascii="Calibri" w:hAnsi="Calibri" w:eastAsia="宋体" w:cs="Times New Roman"/>
    </w:rPr>
  </w:style>
  <w:style w:type="character" w:customStyle="1" w:styleId="76">
    <w:name w:val="正文文本缩进 字符1"/>
    <w:link w:val="17"/>
    <w:qFormat/>
    <w:uiPriority w:val="0"/>
    <w:rPr>
      <w:rFonts w:ascii="Times New Roman" w:hAnsi="Times New Roman" w:eastAsia="宋体" w:cs="Times New Roman"/>
      <w:sz w:val="28"/>
      <w:szCs w:val="20"/>
    </w:rPr>
  </w:style>
  <w:style w:type="character" w:customStyle="1" w:styleId="77">
    <w:name w:val="文档结构图 字符"/>
    <w:semiHidden/>
    <w:qFormat/>
    <w:uiPriority w:val="99"/>
    <w:rPr>
      <w:rFonts w:ascii="Microsoft YaHei UI" w:hAnsi="Calibri" w:eastAsia="Microsoft YaHei UI" w:cs="Times New Roman"/>
      <w:sz w:val="18"/>
      <w:szCs w:val="18"/>
    </w:rPr>
  </w:style>
  <w:style w:type="character" w:customStyle="1" w:styleId="78">
    <w:name w:val="文档结构图 字符1"/>
    <w:link w:val="15"/>
    <w:qFormat/>
    <w:uiPriority w:val="0"/>
    <w:rPr>
      <w:rFonts w:ascii="Times New Roman" w:hAnsi="Times New Roman" w:eastAsia="宋体" w:cs="Times New Roman"/>
      <w:szCs w:val="20"/>
      <w:shd w:val="clear" w:color="auto" w:fill="000080"/>
    </w:rPr>
  </w:style>
  <w:style w:type="character" w:customStyle="1" w:styleId="79">
    <w:name w:val="纯文本 字符"/>
    <w:semiHidden/>
    <w:qFormat/>
    <w:uiPriority w:val="99"/>
    <w:rPr>
      <w:rFonts w:ascii="等线" w:hAnsi="Courier New" w:cs="Courier New"/>
    </w:rPr>
  </w:style>
  <w:style w:type="character" w:customStyle="1" w:styleId="80">
    <w:name w:val="纯文本 字符1"/>
    <w:link w:val="19"/>
    <w:qFormat/>
    <w:uiPriority w:val="0"/>
    <w:rPr>
      <w:rFonts w:ascii="宋体" w:hAnsi="Courier New" w:eastAsia="宋体" w:cs="Times New Roman"/>
      <w:szCs w:val="20"/>
    </w:rPr>
  </w:style>
  <w:style w:type="character" w:customStyle="1" w:styleId="81">
    <w:name w:val="正文文本缩进 2 字符"/>
    <w:semiHidden/>
    <w:qFormat/>
    <w:uiPriority w:val="99"/>
    <w:rPr>
      <w:rFonts w:ascii="Calibri" w:hAnsi="Calibri" w:eastAsia="宋体" w:cs="Times New Roman"/>
    </w:rPr>
  </w:style>
  <w:style w:type="character" w:customStyle="1" w:styleId="82">
    <w:name w:val="正文文本缩进 2 字符1"/>
    <w:link w:val="21"/>
    <w:qFormat/>
    <w:uiPriority w:val="0"/>
    <w:rPr>
      <w:rFonts w:ascii="Times New Roman" w:hAnsi="Times New Roman" w:eastAsia="宋体" w:cs="Times New Roman"/>
      <w:color w:val="000000"/>
      <w:sz w:val="24"/>
      <w:szCs w:val="20"/>
    </w:rPr>
  </w:style>
  <w:style w:type="character" w:customStyle="1" w:styleId="83">
    <w:name w:val="正文文本缩进 3 字符"/>
    <w:semiHidden/>
    <w:qFormat/>
    <w:uiPriority w:val="99"/>
    <w:rPr>
      <w:rFonts w:ascii="Calibri" w:hAnsi="Calibri" w:eastAsia="宋体" w:cs="Times New Roman"/>
      <w:sz w:val="16"/>
      <w:szCs w:val="16"/>
    </w:rPr>
  </w:style>
  <w:style w:type="character" w:customStyle="1" w:styleId="84">
    <w:name w:val="正文文本缩进 3 字符1"/>
    <w:link w:val="28"/>
    <w:qFormat/>
    <w:uiPriority w:val="0"/>
    <w:rPr>
      <w:rFonts w:ascii="Times New Roman" w:hAnsi="Times New Roman" w:eastAsia="宋体" w:cs="Times New Roman"/>
      <w:color w:val="000000"/>
      <w:sz w:val="24"/>
      <w:szCs w:val="20"/>
    </w:rPr>
  </w:style>
  <w:style w:type="paragraph" w:customStyle="1" w:styleId="85">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6">
    <w:name w:val="_Style 69"/>
    <w:qFormat/>
    <w:uiPriority w:val="0"/>
    <w:rPr>
      <w:rFonts w:ascii="等线" w:hAnsi="等线" w:eastAsia="等线" w:cs="Times New Roman"/>
      <w:lang w:val="en-US" w:eastAsia="zh-CN" w:bidi="ar-SA"/>
    </w:rPr>
  </w:style>
  <w:style w:type="character" w:customStyle="1" w:styleId="87">
    <w:name w:val="正文文本 2 字符"/>
    <w:semiHidden/>
    <w:qFormat/>
    <w:uiPriority w:val="99"/>
    <w:rPr>
      <w:rFonts w:ascii="Calibri" w:hAnsi="Calibri" w:eastAsia="宋体" w:cs="Times New Roman"/>
    </w:rPr>
  </w:style>
  <w:style w:type="character" w:customStyle="1" w:styleId="88">
    <w:name w:val="正文文本 2 字符1"/>
    <w:link w:val="30"/>
    <w:qFormat/>
    <w:uiPriority w:val="0"/>
    <w:rPr>
      <w:rFonts w:ascii="宋体" w:hAnsi="宋体" w:eastAsia="宋体" w:cs="Times New Roman"/>
      <w:szCs w:val="24"/>
      <w:u w:val="single"/>
    </w:rPr>
  </w:style>
  <w:style w:type="paragraph" w:customStyle="1" w:styleId="89">
    <w:name w:val="表头"/>
    <w:basedOn w:val="1"/>
    <w:qFormat/>
    <w:uiPriority w:val="0"/>
    <w:pPr>
      <w:spacing w:line="360" w:lineRule="auto"/>
      <w:jc w:val="center"/>
    </w:pPr>
    <w:rPr>
      <w:rFonts w:ascii="黑体" w:hAnsi="Times New Roman" w:eastAsia="黑体"/>
      <w:kern w:val="0"/>
      <w:sz w:val="24"/>
      <w:szCs w:val="20"/>
    </w:rPr>
  </w:style>
  <w:style w:type="character" w:customStyle="1" w:styleId="90">
    <w:name w:val="尾注文本 字符"/>
    <w:semiHidden/>
    <w:qFormat/>
    <w:uiPriority w:val="99"/>
    <w:rPr>
      <w:rFonts w:ascii="Calibri" w:hAnsi="Calibri" w:eastAsia="宋体" w:cs="Times New Roman"/>
    </w:rPr>
  </w:style>
  <w:style w:type="character" w:customStyle="1" w:styleId="91">
    <w:name w:val="尾注文本 字符1"/>
    <w:link w:val="22"/>
    <w:qFormat/>
    <w:uiPriority w:val="0"/>
    <w:rPr>
      <w:rFonts w:ascii="Times New Roman" w:hAnsi="Times New Roman" w:eastAsia="宋体" w:cs="Times New Roman"/>
      <w:szCs w:val="20"/>
    </w:rPr>
  </w:style>
  <w:style w:type="paragraph" w:customStyle="1" w:styleId="92">
    <w:name w:val="Char"/>
    <w:basedOn w:val="1"/>
    <w:qFormat/>
    <w:uiPriority w:val="0"/>
    <w:rPr>
      <w:rFonts w:ascii="Tahoma" w:hAnsi="Tahoma"/>
      <w:sz w:val="24"/>
      <w:szCs w:val="20"/>
    </w:rPr>
  </w:style>
  <w:style w:type="paragraph" w:customStyle="1" w:styleId="93">
    <w:name w:val="Char1"/>
    <w:basedOn w:val="1"/>
    <w:qFormat/>
    <w:uiPriority w:val="0"/>
    <w:pPr>
      <w:numPr>
        <w:ilvl w:val="0"/>
        <w:numId w:val="1"/>
      </w:numPr>
    </w:pPr>
    <w:rPr>
      <w:rFonts w:ascii="Times New Roman" w:hAnsi="Times New Roman"/>
      <w:sz w:val="24"/>
      <w:szCs w:val="24"/>
    </w:rPr>
  </w:style>
  <w:style w:type="paragraph" w:customStyle="1" w:styleId="94">
    <w:name w:val="公文抬头"/>
    <w:basedOn w:val="9"/>
    <w:qFormat/>
    <w:uiPriority w:val="0"/>
    <w:pPr>
      <w:ind w:firstLine="0"/>
    </w:pPr>
    <w:rPr>
      <w:rFonts w:ascii="仿宋_GB2312" w:eastAsia="仿宋_GB2312"/>
      <w:sz w:val="30"/>
      <w:szCs w:val="24"/>
    </w:rPr>
  </w:style>
  <w:style w:type="paragraph" w:customStyle="1" w:styleId="95">
    <w:name w:val="Char Char Char1 Char"/>
    <w:basedOn w:val="15"/>
    <w:qFormat/>
    <w:uiPriority w:val="0"/>
    <w:rPr>
      <w:rFonts w:ascii="Tahoma" w:hAnsi="Tahoma"/>
      <w:sz w:val="24"/>
      <w:szCs w:val="24"/>
    </w:rPr>
  </w:style>
  <w:style w:type="paragraph" w:customStyle="1" w:styleId="9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7">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8">
    <w:name w:val="发文落款"/>
    <w:basedOn w:val="96"/>
    <w:qFormat/>
    <w:uiPriority w:val="0"/>
    <w:pPr>
      <w:ind w:left="4094" w:right="607" w:firstLine="0"/>
      <w:jc w:val="center"/>
    </w:pPr>
  </w:style>
  <w:style w:type="paragraph" w:customStyle="1" w:styleId="99">
    <w:name w:val="Char Char Char Char"/>
    <w:basedOn w:val="1"/>
    <w:qFormat/>
    <w:uiPriority w:val="0"/>
    <w:rPr>
      <w:rFonts w:ascii="Times New Roman" w:hAnsi="Times New Roman"/>
      <w:sz w:val="30"/>
      <w:szCs w:val="24"/>
    </w:rPr>
  </w:style>
  <w:style w:type="character" w:customStyle="1" w:styleId="100">
    <w:name w:val="批注框文本 字符"/>
    <w:semiHidden/>
    <w:qFormat/>
    <w:uiPriority w:val="99"/>
    <w:rPr>
      <w:rFonts w:ascii="Calibri" w:hAnsi="Calibri" w:eastAsia="宋体" w:cs="Times New Roman"/>
      <w:sz w:val="18"/>
      <w:szCs w:val="18"/>
    </w:rPr>
  </w:style>
  <w:style w:type="character" w:customStyle="1" w:styleId="101">
    <w:name w:val="批注框文本 字符1"/>
    <w:link w:val="23"/>
    <w:qFormat/>
    <w:uiPriority w:val="0"/>
    <w:rPr>
      <w:rFonts w:ascii="Times New Roman" w:hAnsi="Times New Roman" w:eastAsia="宋体" w:cs="Times New Roman"/>
      <w:sz w:val="18"/>
      <w:szCs w:val="18"/>
    </w:rPr>
  </w:style>
  <w:style w:type="paragraph" w:customStyle="1" w:styleId="102">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3">
    <w:name w:val="批注文字 字符"/>
    <w:semiHidden/>
    <w:qFormat/>
    <w:uiPriority w:val="99"/>
    <w:rPr>
      <w:rFonts w:ascii="Calibri" w:hAnsi="Calibri" w:eastAsia="宋体" w:cs="Times New Roman"/>
    </w:rPr>
  </w:style>
  <w:style w:type="character" w:customStyle="1" w:styleId="104">
    <w:name w:val="批注文字 字符1"/>
    <w:link w:val="16"/>
    <w:qFormat/>
    <w:uiPriority w:val="0"/>
    <w:rPr>
      <w:rFonts w:ascii="宋体" w:hAnsi="宋体" w:eastAsia="宋体" w:cs="Times New Roman"/>
      <w:sz w:val="24"/>
      <w:szCs w:val="24"/>
    </w:rPr>
  </w:style>
  <w:style w:type="character" w:customStyle="1" w:styleId="105">
    <w:name w:val="脚注文本 字符"/>
    <w:semiHidden/>
    <w:qFormat/>
    <w:uiPriority w:val="99"/>
    <w:rPr>
      <w:rFonts w:ascii="Calibri" w:hAnsi="Calibri" w:eastAsia="宋体" w:cs="Times New Roman"/>
      <w:sz w:val="18"/>
      <w:szCs w:val="18"/>
    </w:rPr>
  </w:style>
  <w:style w:type="character" w:customStyle="1" w:styleId="106">
    <w:name w:val="脚注文本 字符1"/>
    <w:link w:val="27"/>
    <w:qFormat/>
    <w:uiPriority w:val="0"/>
    <w:rPr>
      <w:rFonts w:ascii="宋体" w:hAnsi="宋体" w:eastAsia="宋体" w:cs="Times New Roman"/>
      <w:sz w:val="18"/>
      <w:szCs w:val="18"/>
    </w:rPr>
  </w:style>
  <w:style w:type="character" w:customStyle="1" w:styleId="107">
    <w:name w:val="批注主题 字符"/>
    <w:semiHidden/>
    <w:qFormat/>
    <w:uiPriority w:val="99"/>
    <w:rPr>
      <w:rFonts w:ascii="Calibri" w:hAnsi="Calibri" w:eastAsia="宋体" w:cs="Times New Roman"/>
      <w:b/>
      <w:bCs/>
    </w:rPr>
  </w:style>
  <w:style w:type="character" w:customStyle="1" w:styleId="108">
    <w:name w:val="批注主题 字符1"/>
    <w:link w:val="33"/>
    <w:qFormat/>
    <w:uiPriority w:val="0"/>
    <w:rPr>
      <w:rFonts w:ascii="宋体" w:hAnsi="宋体" w:eastAsia="宋体" w:cs="Times New Roman"/>
      <w:b/>
      <w:bCs/>
      <w:sz w:val="24"/>
      <w:szCs w:val="24"/>
    </w:rPr>
  </w:style>
  <w:style w:type="paragraph" w:styleId="109">
    <w:name w:val="List Paragraph"/>
    <w:basedOn w:val="1"/>
    <w:qFormat/>
    <w:uiPriority w:val="34"/>
    <w:pPr>
      <w:ind w:firstLine="420" w:firstLineChars="200"/>
    </w:pPr>
    <w:rPr>
      <w:rFonts w:ascii="Times New Roman" w:hAnsi="Times New Roman"/>
      <w:szCs w:val="20"/>
    </w:rPr>
  </w:style>
  <w:style w:type="paragraph" w:customStyle="1" w:styleId="110">
    <w:name w:val="修订1"/>
    <w:hidden/>
    <w:semiHidden/>
    <w:qFormat/>
    <w:uiPriority w:val="99"/>
    <w:rPr>
      <w:rFonts w:ascii="Times New Roman" w:hAnsi="Times New Roman" w:eastAsia="宋体" w:cs="Times New Roman"/>
      <w:kern w:val="2"/>
      <w:sz w:val="21"/>
      <w:lang w:val="en-US" w:eastAsia="zh-CN" w:bidi="ar-SA"/>
    </w:rPr>
  </w:style>
  <w:style w:type="paragraph" w:customStyle="1" w:styleId="11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2">
    <w:name w:val="font11"/>
    <w:qFormat/>
    <w:uiPriority w:val="0"/>
    <w:rPr>
      <w:rFonts w:hint="eastAsia" w:ascii="仿宋" w:hAnsi="仿宋" w:eastAsia="仿宋" w:cs="仿宋"/>
      <w:color w:val="000000"/>
      <w:sz w:val="28"/>
      <w:szCs w:val="28"/>
      <w:u w:val="none"/>
    </w:rPr>
  </w:style>
  <w:style w:type="paragraph" w:customStyle="1" w:styleId="113">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15">
    <w:name w:val="正文 New New"/>
    <w:qFormat/>
    <w:uiPriority w:val="0"/>
    <w:pPr>
      <w:widowControl w:val="0"/>
      <w:jc w:val="both"/>
    </w:pPr>
    <w:rPr>
      <w:rFonts w:ascii="Calibri" w:hAnsi="Calibri" w:eastAsia="楷体_GB2312" w:cs="Times New Roman"/>
      <w:lang w:val="en-US" w:eastAsia="zh-CN" w:bidi="ar-SA"/>
    </w:rPr>
  </w:style>
  <w:style w:type="character" w:customStyle="1" w:styleId="116">
    <w:name w:val="正文文本1"/>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117">
    <w:name w:val="正文文本3"/>
    <w:basedOn w:val="1"/>
    <w:qFormat/>
    <w:uiPriority w:val="0"/>
    <w:pPr>
      <w:shd w:val="clear" w:color="auto" w:fill="FFFFFF"/>
      <w:spacing w:line="0" w:lineRule="atLeast"/>
      <w:jc w:val="left"/>
    </w:pPr>
    <w:rPr>
      <w:rFonts w:ascii="宋体" w:hAnsi="宋体" w:cs="宋体"/>
      <w:sz w:val="19"/>
      <w:szCs w:val="19"/>
    </w:rPr>
  </w:style>
  <w:style w:type="character" w:customStyle="1" w:styleId="118">
    <w:name w:val="正文文本 + Century Schoolbook"/>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119">
    <w:name w:val="表格文字缩进"/>
    <w:basedOn w:val="1"/>
    <w:qFormat/>
    <w:uiPriority w:val="0"/>
    <w:pPr>
      <w:widowControl/>
      <w:spacing w:before="62" w:after="62" w:line="240" w:lineRule="atLeast"/>
      <w:ind w:firstLine="360" w:firstLineChars="200"/>
      <w:jc w:val="left"/>
    </w:pPr>
    <w:rPr>
      <w:rFonts w:cs="宋体"/>
      <w:color w:val="000000"/>
      <w:kern w:val="0"/>
      <w:szCs w:val="18"/>
    </w:rPr>
  </w:style>
  <w:style w:type="paragraph" w:customStyle="1" w:styleId="120">
    <w:name w:val="Plain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42038</Words>
  <Characters>44600</Characters>
  <Lines>520</Lines>
  <Paragraphs>146</Paragraphs>
  <TotalTime>1</TotalTime>
  <ScaleCrop>false</ScaleCrop>
  <LinksUpToDate>false</LinksUpToDate>
  <CharactersWithSpaces>46905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2019-10-12T07:40:00Z</dcterms:created>
  <dc:creator>管理员</dc:creator>
  <cp:lastModifiedBy>迪迪</cp:lastModifiedBy>
  <dcterms:modified xsi:type="dcterms:W3CDTF">2022-09-29T00:15:16Z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250FF80DCD014B5882B688684B5B4F7A</vt:lpwstr>
  </property>
</Properties>
</file>