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30" w:firstLineChars="300"/>
        <w:jc w:val="left"/>
        <w:rPr>
          <w:rFonts w:ascii="宋体" w:hAnsi="宋体"/>
          <w:b/>
          <w:color w:val="auto"/>
          <w:szCs w:val="21"/>
          <w:highlight w:val="none"/>
        </w:rPr>
      </w:pPr>
      <w:r>
        <w:rPr>
          <w:rFonts w:hint="eastAsia" w:ascii="宋体" w:hAnsi="宋体"/>
          <w:b/>
          <w:color w:val="auto"/>
          <w:szCs w:val="21"/>
          <w:highlight w:val="none"/>
        </w:rPr>
        <w:t>版本号：2015-1</w:t>
      </w:r>
    </w:p>
    <w:p>
      <w:pPr>
        <w:wordWrap w:val="0"/>
        <w:topLinePunct/>
        <w:jc w:val="center"/>
        <w:rPr>
          <w:rFonts w:ascii="宋体" w:hAnsi="宋体"/>
          <w:b/>
          <w:color w:val="auto"/>
          <w:sz w:val="52"/>
          <w:szCs w:val="52"/>
          <w:highlight w:val="none"/>
        </w:rPr>
      </w:pPr>
    </w:p>
    <w:p>
      <w:pPr>
        <w:wordWrap w:val="0"/>
        <w:topLinePunct/>
        <w:jc w:val="center"/>
        <w:rPr>
          <w:rFonts w:ascii="宋体" w:hAnsi="宋体"/>
          <w:b/>
          <w:color w:val="auto"/>
          <w:sz w:val="52"/>
          <w:szCs w:val="52"/>
          <w:highlight w:val="none"/>
        </w:rPr>
      </w:pPr>
      <w:r>
        <w:rPr>
          <w:rFonts w:hint="eastAsia" w:ascii="宋体" w:hAnsi="宋体"/>
          <w:b/>
          <w:color w:val="auto"/>
          <w:sz w:val="52"/>
          <w:szCs w:val="52"/>
          <w:highlight w:val="none"/>
        </w:rPr>
        <w:t>知识城科教创新园区中部道路完善工程勘察设计</w:t>
      </w:r>
    </w:p>
    <w:p>
      <w:pPr>
        <w:wordWrap w:val="0"/>
        <w:topLinePunct/>
        <w:jc w:val="center"/>
        <w:rPr>
          <w:rFonts w:ascii="宋体" w:hAnsi="宋体"/>
          <w:b/>
          <w:color w:val="auto"/>
          <w:sz w:val="52"/>
          <w:szCs w:val="52"/>
          <w:highlight w:val="none"/>
        </w:rPr>
      </w:pPr>
    </w:p>
    <w:p>
      <w:pPr>
        <w:pStyle w:val="5"/>
        <w:rPr>
          <w:color w:val="auto"/>
          <w:highlight w:val="none"/>
        </w:rPr>
      </w:pPr>
    </w:p>
    <w:p>
      <w:pPr>
        <w:wordWrap w:val="0"/>
        <w:topLinePunct/>
        <w:jc w:val="center"/>
        <w:rPr>
          <w:rFonts w:ascii="宋体" w:hAnsi="宋体"/>
          <w:b/>
          <w:color w:val="auto"/>
          <w:sz w:val="52"/>
          <w:szCs w:val="52"/>
          <w:highlight w:val="none"/>
        </w:rPr>
      </w:pPr>
    </w:p>
    <w:p>
      <w:pPr>
        <w:wordWrap w:val="0"/>
        <w:topLinePunct/>
        <w:jc w:val="center"/>
        <w:rPr>
          <w:rFonts w:ascii="宋体" w:hAnsi="宋体"/>
          <w:b/>
          <w:color w:val="auto"/>
          <w:sz w:val="72"/>
          <w:szCs w:val="72"/>
          <w:highlight w:val="none"/>
        </w:rPr>
      </w:pPr>
      <w:r>
        <w:rPr>
          <w:rFonts w:hint="eastAsia" w:ascii="宋体" w:hAnsi="宋体"/>
          <w:b/>
          <w:color w:val="auto"/>
          <w:sz w:val="72"/>
          <w:szCs w:val="72"/>
          <w:highlight w:val="none"/>
        </w:rPr>
        <w:t>招标文件</w:t>
      </w:r>
    </w:p>
    <w:p>
      <w:pPr>
        <w:wordWrap w:val="0"/>
        <w:topLinePunct/>
        <w:jc w:val="center"/>
        <w:rPr>
          <w:rFonts w:ascii="宋体" w:hAnsi="宋体"/>
          <w:color w:val="auto"/>
          <w:highlight w:val="none"/>
        </w:rPr>
      </w:pPr>
      <w:r>
        <w:rPr>
          <w:rFonts w:hint="eastAsia" w:ascii="宋体" w:hAnsi="宋体"/>
          <w:color w:val="auto"/>
          <w:highlight w:val="none"/>
        </w:rPr>
        <w:t xml:space="preserve"> </w:t>
      </w:r>
    </w:p>
    <w:p>
      <w:pPr>
        <w:wordWrap w:val="0"/>
        <w:topLinePunct/>
        <w:jc w:val="center"/>
        <w:rPr>
          <w:rFonts w:ascii="宋体" w:hAnsi="宋体"/>
          <w:color w:val="auto"/>
          <w:highlight w:val="none"/>
        </w:rPr>
      </w:pPr>
    </w:p>
    <w:p>
      <w:pPr>
        <w:wordWrap w:val="0"/>
        <w:topLinePunct/>
        <w:jc w:val="center"/>
        <w:rPr>
          <w:rFonts w:ascii="宋体" w:hAnsi="宋体"/>
          <w:color w:val="auto"/>
          <w:highlight w:val="none"/>
        </w:rPr>
      </w:pPr>
    </w:p>
    <w:p>
      <w:pPr>
        <w:wordWrap w:val="0"/>
        <w:topLinePunct/>
        <w:jc w:val="center"/>
        <w:rPr>
          <w:rFonts w:ascii="宋体" w:hAnsi="宋体"/>
          <w:color w:val="auto"/>
          <w:highlight w:val="none"/>
        </w:rPr>
      </w:pPr>
    </w:p>
    <w:p>
      <w:pPr>
        <w:wordWrap w:val="0"/>
        <w:topLinePunct/>
        <w:rPr>
          <w:rFonts w:ascii="宋体" w:hAnsi="宋体"/>
          <w:color w:val="auto"/>
          <w:highlight w:val="none"/>
        </w:rPr>
      </w:pPr>
    </w:p>
    <w:p>
      <w:pPr>
        <w:wordWrap w:val="0"/>
        <w:topLinePunct/>
        <w:rPr>
          <w:rFonts w:ascii="宋体" w:hAnsi="宋体"/>
          <w:color w:val="auto"/>
          <w:sz w:val="24"/>
          <w:highlight w:val="none"/>
        </w:rPr>
      </w:pPr>
    </w:p>
    <w:p>
      <w:pPr>
        <w:wordWrap w:val="0"/>
        <w:topLinePunct/>
        <w:rPr>
          <w:rFonts w:ascii="宋体" w:hAnsi="宋体"/>
          <w:color w:val="auto"/>
          <w:sz w:val="24"/>
          <w:highlight w:val="none"/>
        </w:rPr>
      </w:pPr>
    </w:p>
    <w:p>
      <w:pPr>
        <w:wordWrap w:val="0"/>
        <w:topLinePunct/>
        <w:rPr>
          <w:rFonts w:ascii="宋体" w:hAnsi="宋体"/>
          <w:color w:val="auto"/>
          <w:sz w:val="24"/>
          <w:highlight w:val="none"/>
        </w:rPr>
      </w:pPr>
    </w:p>
    <w:p>
      <w:pPr>
        <w:wordWrap w:val="0"/>
        <w:topLinePunct/>
        <w:rPr>
          <w:rFonts w:ascii="宋体" w:hAnsi="宋体"/>
          <w:color w:val="auto"/>
          <w:sz w:val="24"/>
          <w:highlight w:val="none"/>
        </w:rPr>
      </w:pPr>
    </w:p>
    <w:p>
      <w:pPr>
        <w:wordWrap w:val="0"/>
        <w:topLinePunct/>
        <w:rPr>
          <w:rFonts w:ascii="宋体" w:hAnsi="宋体"/>
          <w:color w:val="auto"/>
          <w:sz w:val="24"/>
          <w:highlight w:val="none"/>
        </w:rPr>
      </w:pPr>
    </w:p>
    <w:p>
      <w:pPr>
        <w:wordWrap w:val="0"/>
        <w:topLinePunct/>
        <w:rPr>
          <w:rFonts w:ascii="宋体" w:hAnsi="宋体"/>
          <w:color w:val="auto"/>
          <w:sz w:val="24"/>
          <w:highlight w:val="none"/>
        </w:rPr>
      </w:pPr>
      <w:r>
        <w:rPr>
          <w:rFonts w:hint="eastAsia" w:ascii="宋体" w:hAnsi="宋体"/>
          <w:color w:val="auto"/>
          <w:sz w:val="24"/>
          <w:highlight w:val="none"/>
        </w:rPr>
        <w:t>-------------------------------------------------------------------------</w:t>
      </w:r>
    </w:p>
    <w:p>
      <w:pPr>
        <w:wordWrap w:val="0"/>
        <w:topLinePunct/>
        <w:rPr>
          <w:rFonts w:ascii="宋体" w:hAnsi="宋体"/>
          <w:color w:val="auto"/>
          <w:sz w:val="24"/>
          <w:highlight w:val="none"/>
        </w:rPr>
        <w:sectPr>
          <w:headerReference r:id="rId3"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ordWrap w:val="0"/>
        <w:topLinePunct/>
        <w:spacing w:line="360" w:lineRule="auto"/>
        <w:ind w:left="1260" w:hanging="1260" w:hangingChars="600"/>
        <w:rPr>
          <w:rFonts w:ascii="宋体" w:hAnsi="宋体" w:cs="宋体"/>
          <w:bCs/>
          <w:color w:val="auto"/>
          <w:szCs w:val="21"/>
          <w:highlight w:val="none"/>
        </w:rPr>
      </w:pPr>
      <w:r>
        <w:rPr>
          <w:rFonts w:hint="eastAsia" w:ascii="宋体" w:hAnsi="宋体"/>
          <w:color w:val="auto"/>
          <w:szCs w:val="21"/>
          <w:highlight w:val="none"/>
        </w:rPr>
        <w:t>招标人（章）：</w:t>
      </w:r>
      <w:r>
        <w:rPr>
          <w:rFonts w:hint="eastAsia" w:ascii="宋体" w:hAnsi="宋体" w:cs="宋体"/>
          <w:bCs/>
          <w:color w:val="auto"/>
          <w:szCs w:val="21"/>
          <w:highlight w:val="none"/>
        </w:rPr>
        <w:t>中新广州知识城财政投资建设</w:t>
      </w:r>
    </w:p>
    <w:p>
      <w:pPr>
        <w:wordWrap w:val="0"/>
        <w:topLinePunct/>
        <w:spacing w:line="360" w:lineRule="auto"/>
        <w:ind w:firstLine="1478" w:firstLineChars="704"/>
        <w:rPr>
          <w:rFonts w:ascii="宋体" w:hAnsi="宋体"/>
          <w:color w:val="auto"/>
          <w:szCs w:val="21"/>
          <w:highlight w:val="none"/>
        </w:rPr>
      </w:pPr>
      <w:r>
        <w:rPr>
          <w:rFonts w:hint="eastAsia" w:ascii="宋体" w:hAnsi="宋体" w:cs="宋体"/>
          <w:bCs/>
          <w:color w:val="auto"/>
          <w:szCs w:val="21"/>
          <w:highlight w:val="none"/>
        </w:rPr>
        <w:t>项目管理中心</w:t>
      </w:r>
    </w:p>
    <w:p>
      <w:pPr>
        <w:wordWrap w:val="0"/>
        <w:topLinePunct/>
        <w:spacing w:line="360" w:lineRule="auto"/>
        <w:rPr>
          <w:rFonts w:ascii="宋体" w:hAnsi="宋体"/>
          <w:color w:val="auto"/>
          <w:szCs w:val="21"/>
          <w:highlight w:val="none"/>
        </w:rPr>
      </w:pPr>
      <w:r>
        <w:rPr>
          <w:rFonts w:hint="eastAsia" w:ascii="宋体" w:hAnsi="宋体"/>
          <w:color w:val="auto"/>
          <w:szCs w:val="21"/>
          <w:highlight w:val="none"/>
        </w:rPr>
        <w:t>授权代表：</w:t>
      </w:r>
      <w:bookmarkStart w:id="121" w:name="_GoBack"/>
      <w:bookmarkEnd w:id="121"/>
      <w:r>
        <w:rPr>
          <w:rFonts w:hint="eastAsia" w:ascii="宋体" w:hAnsi="宋体"/>
          <w:color w:val="auto"/>
          <w:szCs w:val="21"/>
          <w:highlight w:val="none"/>
          <w:lang w:val="en-US" w:eastAsia="zh-CN"/>
        </w:rPr>
        <w:t>涂工</w:t>
      </w:r>
    </w:p>
    <w:p>
      <w:pPr>
        <w:wordWrap w:val="0"/>
        <w:topLinePunct/>
        <w:spacing w:line="360" w:lineRule="auto"/>
        <w:ind w:left="630" w:hanging="630" w:hangingChars="300"/>
        <w:rPr>
          <w:rFonts w:ascii="宋体" w:hAnsi="宋体" w:cs="宋体"/>
          <w:bCs/>
          <w:color w:val="auto"/>
          <w:szCs w:val="21"/>
          <w:highlight w:val="none"/>
        </w:rPr>
      </w:pPr>
      <w:r>
        <w:rPr>
          <w:rFonts w:hint="eastAsia" w:ascii="宋体" w:hAnsi="宋体"/>
          <w:color w:val="auto"/>
          <w:szCs w:val="21"/>
          <w:highlight w:val="none"/>
        </w:rPr>
        <w:t>地址：</w:t>
      </w:r>
      <w:r>
        <w:rPr>
          <w:rFonts w:hint="eastAsia" w:ascii="宋体" w:hAnsi="宋体" w:cs="宋体"/>
          <w:bCs/>
          <w:color w:val="auto"/>
          <w:szCs w:val="21"/>
          <w:highlight w:val="none"/>
        </w:rPr>
        <w:t>广州市黄埔区中新广州知识城亿创街</w:t>
      </w:r>
    </w:p>
    <w:p>
      <w:pPr>
        <w:wordWrap w:val="0"/>
        <w:topLinePunct/>
        <w:spacing w:line="360" w:lineRule="auto"/>
        <w:ind w:left="630" w:leftChars="300"/>
        <w:rPr>
          <w:rFonts w:ascii="宋体" w:hAnsi="宋体"/>
          <w:color w:val="auto"/>
          <w:szCs w:val="21"/>
          <w:highlight w:val="none"/>
        </w:rPr>
      </w:pPr>
      <w:r>
        <w:rPr>
          <w:rFonts w:hint="eastAsia" w:ascii="宋体" w:hAnsi="宋体" w:cs="宋体"/>
          <w:bCs/>
          <w:color w:val="auto"/>
          <w:szCs w:val="21"/>
          <w:highlight w:val="none"/>
        </w:rPr>
        <w:t>1号人才大厦31楼</w:t>
      </w:r>
    </w:p>
    <w:p>
      <w:pPr>
        <w:wordWrap w:val="0"/>
        <w:topLinePunct/>
        <w:spacing w:line="360" w:lineRule="auto"/>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s="宋体"/>
          <w:bCs/>
          <w:color w:val="auto"/>
          <w:szCs w:val="21"/>
          <w:highlight w:val="none"/>
        </w:rPr>
        <w:t>510663</w:t>
      </w:r>
    </w:p>
    <w:p>
      <w:pPr>
        <w:wordWrap w:val="0"/>
        <w:topLinePunct/>
        <w:spacing w:line="360" w:lineRule="auto"/>
        <w:rPr>
          <w:rFonts w:hint="eastAsia" w:ascii="宋体" w:hAnsi="宋体" w:eastAsia="宋体"/>
          <w:color w:val="auto"/>
          <w:szCs w:val="21"/>
          <w:highlight w:val="none"/>
          <w:lang w:val="en-US" w:eastAsia="zh-CN"/>
        </w:rPr>
      </w:pPr>
      <w:r>
        <w:rPr>
          <w:rFonts w:hint="eastAsia" w:ascii="宋体" w:hAnsi="宋体"/>
          <w:color w:val="auto"/>
          <w:szCs w:val="21"/>
          <w:highlight w:val="none"/>
        </w:rPr>
        <w:t>电话：</w:t>
      </w:r>
      <w:r>
        <w:rPr>
          <w:rFonts w:hint="eastAsia" w:ascii="宋体" w:hAnsi="宋体" w:cs="宋体"/>
          <w:bCs/>
          <w:color w:val="auto"/>
          <w:szCs w:val="21"/>
          <w:highlight w:val="none"/>
          <w:lang w:eastAsia="zh-CN"/>
        </w:rPr>
        <w:t>020-82118977</w:t>
      </w:r>
    </w:p>
    <w:p>
      <w:pPr>
        <w:wordWrap w:val="0"/>
        <w:topLinePunct/>
        <w:spacing w:line="360" w:lineRule="auto"/>
        <w:rPr>
          <w:rFonts w:ascii="宋体" w:hAnsi="宋体"/>
          <w:color w:val="auto"/>
          <w:szCs w:val="21"/>
          <w:highlight w:val="none"/>
        </w:rPr>
      </w:pPr>
      <w:r>
        <w:rPr>
          <w:rFonts w:hint="eastAsia" w:ascii="宋体" w:hAnsi="宋体"/>
          <w:color w:val="auto"/>
          <w:szCs w:val="21"/>
          <w:highlight w:val="none"/>
        </w:rPr>
        <w:t>传真：/</w:t>
      </w:r>
    </w:p>
    <w:p>
      <w:pPr>
        <w:wordWrap w:val="0"/>
        <w:topLinePunct/>
        <w:spacing w:line="360" w:lineRule="auto"/>
        <w:rPr>
          <w:rFonts w:ascii="宋体" w:hAnsi="宋体"/>
          <w:color w:val="auto"/>
          <w:szCs w:val="21"/>
          <w:highlight w:val="none"/>
        </w:rPr>
      </w:pPr>
      <w:r>
        <w:rPr>
          <w:rFonts w:hint="eastAsia" w:ascii="宋体" w:hAnsi="宋体"/>
          <w:color w:val="auto"/>
          <w:szCs w:val="21"/>
          <w:highlight w:val="none"/>
        </w:rPr>
        <w:t>电子邮箱：/</w:t>
      </w:r>
    </w:p>
    <w:p>
      <w:pPr>
        <w:wordWrap w:val="0"/>
        <w:topLinePunct/>
        <w:spacing w:line="360" w:lineRule="auto"/>
        <w:rPr>
          <w:rFonts w:ascii="宋体" w:hAnsi="宋体"/>
          <w:color w:val="auto"/>
          <w:szCs w:val="21"/>
          <w:highlight w:val="none"/>
        </w:rPr>
      </w:pPr>
      <w:r>
        <w:rPr>
          <w:rFonts w:hint="eastAsia" w:ascii="宋体" w:hAnsi="宋体"/>
          <w:color w:val="auto"/>
          <w:szCs w:val="21"/>
          <w:highlight w:val="none"/>
        </w:rPr>
        <w:t>招标代理（章）：广州市见智咨询有限公司</w:t>
      </w:r>
    </w:p>
    <w:p>
      <w:pPr>
        <w:wordWrap w:val="0"/>
        <w:topLinePunct/>
        <w:spacing w:line="360" w:lineRule="auto"/>
        <w:rPr>
          <w:rFonts w:ascii="宋体" w:hAnsi="宋体"/>
          <w:color w:val="auto"/>
          <w:szCs w:val="21"/>
          <w:highlight w:val="none"/>
        </w:rPr>
      </w:pPr>
    </w:p>
    <w:p>
      <w:pPr>
        <w:wordWrap w:val="0"/>
        <w:topLinePunct/>
        <w:spacing w:line="360" w:lineRule="auto"/>
        <w:rPr>
          <w:rFonts w:ascii="宋体" w:hAnsi="宋体"/>
          <w:color w:val="auto"/>
          <w:szCs w:val="21"/>
          <w:highlight w:val="none"/>
        </w:rPr>
      </w:pPr>
      <w:r>
        <w:rPr>
          <w:rFonts w:hint="eastAsia" w:ascii="宋体" w:hAnsi="宋体"/>
          <w:color w:val="auto"/>
          <w:szCs w:val="21"/>
          <w:highlight w:val="none"/>
        </w:rPr>
        <w:t>授权代表：罗工</w:t>
      </w:r>
    </w:p>
    <w:p>
      <w:pPr>
        <w:wordWrap w:val="0"/>
        <w:topLinePunct/>
        <w:spacing w:line="360" w:lineRule="auto"/>
        <w:rPr>
          <w:rFonts w:ascii="宋体" w:hAnsi="宋体"/>
          <w:color w:val="auto"/>
          <w:szCs w:val="21"/>
          <w:highlight w:val="none"/>
        </w:rPr>
      </w:pPr>
      <w:r>
        <w:rPr>
          <w:rFonts w:hint="eastAsia" w:ascii="宋体" w:hAnsi="宋体"/>
          <w:color w:val="auto"/>
          <w:szCs w:val="21"/>
          <w:highlight w:val="none"/>
        </w:rPr>
        <w:t>地址：广州市天河区晴旭街1号505房</w:t>
      </w:r>
    </w:p>
    <w:p>
      <w:pPr>
        <w:wordWrap w:val="0"/>
        <w:topLinePunct/>
        <w:spacing w:line="360" w:lineRule="auto"/>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s="宋体"/>
          <w:bCs/>
          <w:color w:val="auto"/>
          <w:szCs w:val="21"/>
          <w:highlight w:val="none"/>
        </w:rPr>
        <w:t>510556</w:t>
      </w:r>
    </w:p>
    <w:p>
      <w:pPr>
        <w:wordWrap w:val="0"/>
        <w:topLinePunct/>
        <w:spacing w:line="360" w:lineRule="auto"/>
        <w:rPr>
          <w:rFonts w:ascii="宋体" w:hAnsi="宋体"/>
          <w:color w:val="auto"/>
          <w:szCs w:val="21"/>
          <w:highlight w:val="none"/>
        </w:rPr>
      </w:pPr>
      <w:r>
        <w:rPr>
          <w:rFonts w:hint="eastAsia" w:ascii="宋体" w:hAnsi="宋体"/>
          <w:color w:val="auto"/>
          <w:szCs w:val="21"/>
          <w:highlight w:val="none"/>
        </w:rPr>
        <w:t>电话：18998363732</w:t>
      </w:r>
    </w:p>
    <w:p>
      <w:pPr>
        <w:wordWrap w:val="0"/>
        <w:topLinePunct/>
        <w:spacing w:line="360" w:lineRule="auto"/>
        <w:rPr>
          <w:rFonts w:ascii="宋体" w:hAnsi="宋体"/>
          <w:color w:val="auto"/>
          <w:szCs w:val="21"/>
          <w:highlight w:val="none"/>
        </w:rPr>
      </w:pPr>
      <w:r>
        <w:rPr>
          <w:rFonts w:hint="eastAsia" w:ascii="宋体" w:hAnsi="宋体"/>
          <w:color w:val="auto"/>
          <w:szCs w:val="21"/>
          <w:highlight w:val="none"/>
        </w:rPr>
        <w:t>传真：/</w:t>
      </w:r>
    </w:p>
    <w:p>
      <w:pPr>
        <w:wordWrap w:val="0"/>
        <w:topLinePunct/>
        <w:spacing w:line="360" w:lineRule="auto"/>
        <w:rPr>
          <w:rFonts w:ascii="宋体" w:hAnsi="宋体"/>
          <w:color w:val="auto"/>
          <w:szCs w:val="21"/>
          <w:highlight w:val="none"/>
        </w:rPr>
        <w:sectPr>
          <w:type w:val="continuous"/>
          <w:pgSz w:w="11906" w:h="16838"/>
          <w:pgMar w:top="1440" w:right="1466" w:bottom="1440" w:left="1440" w:header="851" w:footer="992" w:gutter="0"/>
          <w:pgBorders>
            <w:top w:val="none" w:sz="0" w:space="0"/>
            <w:left w:val="none" w:sz="0" w:space="0"/>
            <w:bottom w:val="none" w:sz="0" w:space="0"/>
            <w:right w:val="none" w:sz="0" w:space="0"/>
          </w:pgBorders>
          <w:cols w:equalWidth="0" w:num="2">
            <w:col w:w="4287" w:space="425"/>
            <w:col w:w="4287"/>
          </w:cols>
          <w:docGrid w:type="linesAndChars" w:linePitch="312" w:charSpace="0"/>
        </w:sectPr>
      </w:pPr>
      <w:r>
        <w:rPr>
          <w:rFonts w:hint="eastAsia" w:ascii="宋体" w:hAnsi="宋体"/>
          <w:color w:val="auto"/>
          <w:szCs w:val="21"/>
          <w:highlight w:val="none"/>
        </w:rPr>
        <w:t>电子邮箱：/</w:t>
      </w:r>
    </w:p>
    <w:p>
      <w:pPr>
        <w:wordWrap w:val="0"/>
        <w:topLinePunct/>
        <w:spacing w:line="360" w:lineRule="auto"/>
        <w:rPr>
          <w:rFonts w:ascii="宋体" w:hAnsi="宋体"/>
          <w:color w:val="auto"/>
          <w:szCs w:val="21"/>
          <w:highlight w:val="none"/>
        </w:rPr>
        <w:sectPr>
          <w:type w:val="continuous"/>
          <w:pgSz w:w="11906" w:h="16838"/>
          <w:pgMar w:top="1440" w:right="1466" w:bottom="1440" w:left="1440" w:header="851" w:footer="992" w:gutter="0"/>
          <w:pgBorders>
            <w:top w:val="none" w:sz="0" w:space="0"/>
            <w:left w:val="none" w:sz="0" w:space="0"/>
            <w:bottom w:val="none" w:sz="0" w:space="0"/>
            <w:right w:val="none" w:sz="0" w:space="0"/>
          </w:pgBorders>
          <w:cols w:equalWidth="0" w:num="2">
            <w:col w:w="4287" w:space="425"/>
            <w:col w:w="4287"/>
          </w:cols>
          <w:docGrid w:type="linesAndChars" w:linePitch="312" w:charSpace="0"/>
        </w:sectPr>
      </w:pPr>
    </w:p>
    <w:p>
      <w:pPr>
        <w:jc w:val="center"/>
        <w:rPr>
          <w:rFonts w:ascii="宋体" w:hAnsi="宋体"/>
          <w:b/>
          <w:color w:val="auto"/>
          <w:sz w:val="32"/>
          <w:szCs w:val="32"/>
          <w:highlight w:val="none"/>
        </w:rPr>
      </w:pPr>
      <w:r>
        <w:rPr>
          <w:rFonts w:hint="eastAsia" w:ascii="宋体" w:hAnsi="宋体"/>
          <w:b/>
          <w:color w:val="auto"/>
          <w:sz w:val="32"/>
          <w:szCs w:val="32"/>
          <w:highlight w:val="none"/>
        </w:rPr>
        <w:t>招标文件修改申报表</w:t>
      </w:r>
    </w:p>
    <w:p>
      <w:pPr>
        <w:ind w:firstLine="420"/>
        <w:rPr>
          <w:rFonts w:ascii="宋体" w:hAnsi="宋体"/>
          <w:color w:val="auto"/>
          <w:szCs w:val="21"/>
          <w:highlight w:val="none"/>
        </w:rPr>
      </w:pPr>
      <w:r>
        <w:rPr>
          <w:rFonts w:hint="eastAsia" w:ascii="宋体" w:hAnsi="宋体"/>
          <w:color w:val="auto"/>
          <w:highlight w:val="none"/>
        </w:rPr>
        <w:t>招标人（招标代理机构）一般应按照全过程电子化范本格式编制招标文件。如果修改，范本被删除的内容应标注删除线，新增内容应标注下划线。需要修改的内容</w:t>
      </w:r>
      <w:r>
        <w:rPr>
          <w:rFonts w:hint="eastAsia" w:ascii="宋体" w:hAnsi="宋体"/>
          <w:color w:val="auto"/>
          <w:szCs w:val="21"/>
          <w:highlight w:val="none"/>
        </w:rPr>
        <w:t>均在本表中列明，并以现文为准，原文不再有效。本招标文件中不再转录范本条款，请投标人自行到广州市住房和城乡建设局网站（网址：</w:t>
      </w:r>
      <w:r>
        <w:rPr>
          <w:color w:val="auto"/>
          <w:highlight w:val="none"/>
        </w:rPr>
        <w:fldChar w:fldCharType="begin"/>
      </w:r>
      <w:r>
        <w:rPr>
          <w:color w:val="auto"/>
          <w:highlight w:val="none"/>
        </w:rPr>
        <w:instrText xml:space="preserve"> HYPERLINK "http://zfcj.gz.gov.cn/" </w:instrText>
      </w:r>
      <w:r>
        <w:rPr>
          <w:color w:val="auto"/>
          <w:highlight w:val="none"/>
        </w:rPr>
        <w:fldChar w:fldCharType="separate"/>
      </w:r>
      <w:r>
        <w:rPr>
          <w:rStyle w:val="45"/>
          <w:rFonts w:ascii="宋体" w:hAnsi="宋体"/>
          <w:color w:val="auto"/>
          <w:szCs w:val="21"/>
          <w:highlight w:val="none"/>
        </w:rPr>
        <w:t>http://zfcj.gz.gov.cn/</w:t>
      </w:r>
      <w:r>
        <w:rPr>
          <w:rStyle w:val="45"/>
          <w:rFonts w:ascii="宋体" w:hAnsi="宋体"/>
          <w:color w:val="auto"/>
          <w:szCs w:val="21"/>
          <w:highlight w:val="none"/>
        </w:rPr>
        <w:fldChar w:fldCharType="end"/>
      </w:r>
      <w:r>
        <w:rPr>
          <w:rFonts w:hint="eastAsia" w:ascii="宋体" w:hAnsi="宋体"/>
          <w:color w:val="auto"/>
          <w:szCs w:val="21"/>
          <w:highlight w:val="none"/>
        </w:rPr>
        <w:t>）下载查阅。　</w:t>
      </w:r>
    </w:p>
    <w:tbl>
      <w:tblPr>
        <w:tblStyle w:val="38"/>
        <w:tblW w:w="9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95"/>
        <w:gridCol w:w="3713"/>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章节、条目</w:t>
            </w:r>
          </w:p>
        </w:tc>
        <w:tc>
          <w:tcPr>
            <w:tcW w:w="371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范本原文</w:t>
            </w:r>
          </w:p>
        </w:tc>
        <w:tc>
          <w:tcPr>
            <w:tcW w:w="43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拟删改的内容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第一章</w:t>
            </w:r>
          </w:p>
        </w:tc>
        <w:tc>
          <w:tcPr>
            <w:tcW w:w="3713"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招标公告（见范本）</w:t>
            </w:r>
          </w:p>
        </w:tc>
        <w:tc>
          <w:tcPr>
            <w:tcW w:w="4395" w:type="dxa"/>
            <w:vAlign w:val="center"/>
          </w:tcPr>
          <w:p>
            <w:pPr>
              <w:jc w:val="left"/>
              <w:rPr>
                <w:rFonts w:ascii="宋体" w:hAnsi="宋体" w:cs="宋体"/>
                <w:color w:val="auto"/>
                <w:szCs w:val="21"/>
                <w:highlight w:val="none"/>
              </w:rPr>
            </w:pPr>
            <w:r>
              <w:rPr>
                <w:rFonts w:hint="eastAsia" w:ascii="宋体" w:hAnsi="宋体" w:cs="宋体"/>
                <w:b/>
                <w:bCs/>
                <w:color w:val="auto"/>
                <w:szCs w:val="21"/>
                <w:highlight w:val="none"/>
              </w:rPr>
              <w:t>（修改详见招标公告）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48" w:type="dxa"/>
            <w:vAlign w:val="center"/>
          </w:tcPr>
          <w:p>
            <w:pPr>
              <w:jc w:val="center"/>
              <w:rPr>
                <w:rFonts w:ascii="宋体" w:hAnsi="宋体" w:cs="宋体"/>
                <w:color w:val="auto"/>
                <w:szCs w:val="21"/>
                <w:highlight w:val="none"/>
              </w:rPr>
            </w:pPr>
          </w:p>
        </w:tc>
        <w:tc>
          <w:tcPr>
            <w:tcW w:w="1195" w:type="dxa"/>
            <w:vAlign w:val="center"/>
          </w:tcPr>
          <w:p>
            <w:pPr>
              <w:jc w:val="center"/>
              <w:rPr>
                <w:rFonts w:ascii="宋体" w:hAnsi="宋体" w:cs="宋体"/>
                <w:color w:val="auto"/>
                <w:szCs w:val="21"/>
                <w:highlight w:val="none"/>
              </w:rPr>
            </w:pPr>
            <w:r>
              <w:rPr>
                <w:rFonts w:hint="eastAsia" w:ascii="宋体" w:hAnsi="宋体"/>
                <w:color w:val="auto"/>
                <w:szCs w:val="21"/>
                <w:highlight w:val="none"/>
              </w:rPr>
              <w:t>2.2.8</w:t>
            </w:r>
          </w:p>
        </w:tc>
        <w:tc>
          <w:tcPr>
            <w:tcW w:w="3713" w:type="dxa"/>
          </w:tcPr>
          <w:p>
            <w:pPr>
              <w:jc w:val="left"/>
              <w:rPr>
                <w:rFonts w:ascii="宋体" w:hAnsi="宋体" w:cs="宋体"/>
                <w:color w:val="auto"/>
                <w:szCs w:val="21"/>
                <w:highlight w:val="none"/>
              </w:rPr>
            </w:pPr>
          </w:p>
        </w:tc>
        <w:tc>
          <w:tcPr>
            <w:tcW w:w="4395" w:type="dxa"/>
          </w:tcPr>
          <w:p>
            <w:pPr>
              <w:jc w:val="left"/>
              <w:rPr>
                <w:rFonts w:ascii="宋体" w:hAnsi="宋体"/>
                <w:color w:val="auto"/>
                <w:szCs w:val="21"/>
                <w:highlight w:val="none"/>
                <w:u w:val="single"/>
              </w:rPr>
            </w:pPr>
            <w:r>
              <w:rPr>
                <w:rFonts w:hint="eastAsia" w:ascii="宋体" w:hAnsi="宋体"/>
                <w:b/>
                <w:color w:val="auto"/>
                <w:szCs w:val="21"/>
                <w:highlight w:val="none"/>
              </w:rPr>
              <w:t>增加：</w:t>
            </w:r>
          </w:p>
          <w:p>
            <w:pPr>
              <w:jc w:val="left"/>
              <w:rPr>
                <w:rFonts w:ascii="宋体" w:hAnsi="宋体" w:cs="宋体"/>
                <w:color w:val="auto"/>
                <w:szCs w:val="21"/>
                <w:highlight w:val="none"/>
              </w:rPr>
            </w:pPr>
            <w:r>
              <w:rPr>
                <w:rFonts w:ascii="宋体" w:hAnsi="宋体"/>
                <w:color w:val="auto"/>
                <w:szCs w:val="21"/>
                <w:highlight w:val="none"/>
              </w:rPr>
              <w:t>2.2.8</w:t>
            </w:r>
            <w:r>
              <w:rPr>
                <w:rFonts w:hint="eastAsia" w:ascii="宋体" w:hAnsi="宋体"/>
                <w:color w:val="auto"/>
                <w:szCs w:val="21"/>
                <w:highlight w:val="none"/>
              </w:rPr>
              <w:t xml:space="preserve"> </w:t>
            </w:r>
            <w:r>
              <w:rPr>
                <w:rFonts w:hint="eastAsia" w:ascii="宋体" w:hAnsi="宋体"/>
                <w:color w:val="auto"/>
                <w:szCs w:val="21"/>
                <w:highlight w:val="none"/>
                <w:u w:val="single"/>
              </w:rPr>
              <w:t>招标人有权使用领取补偿费的未中标单位的设计方案（不需另付给使用费）。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195" w:type="dxa"/>
            <w:vAlign w:val="center"/>
          </w:tcPr>
          <w:p>
            <w:pPr>
              <w:spacing w:line="300" w:lineRule="atLeast"/>
              <w:jc w:val="center"/>
              <w:rPr>
                <w:rFonts w:ascii="宋体" w:hAnsi="宋体" w:cs="宋体"/>
                <w:color w:val="auto"/>
                <w:szCs w:val="21"/>
                <w:highlight w:val="none"/>
                <w:u w:val="single"/>
              </w:rPr>
            </w:pPr>
            <w:r>
              <w:rPr>
                <w:rFonts w:hint="eastAsia" w:ascii="宋体" w:hAnsi="宋体" w:cs="宋体"/>
                <w:color w:val="auto"/>
                <w:szCs w:val="21"/>
                <w:highlight w:val="none"/>
                <w:u w:val="single"/>
              </w:rPr>
              <w:t>2.4</w:t>
            </w:r>
          </w:p>
          <w:p>
            <w:pPr>
              <w:jc w:val="center"/>
              <w:rPr>
                <w:rFonts w:ascii="宋体" w:hAnsi="宋体" w:cs="宋体"/>
                <w:color w:val="auto"/>
                <w:szCs w:val="21"/>
                <w:highlight w:val="none"/>
              </w:rPr>
            </w:pPr>
            <w:r>
              <w:rPr>
                <w:rFonts w:hint="eastAsia" w:ascii="宋体" w:hAnsi="宋体" w:cs="宋体"/>
                <w:color w:val="auto"/>
                <w:szCs w:val="21"/>
                <w:highlight w:val="none"/>
                <w:u w:val="single"/>
              </w:rPr>
              <w:t>2.4.1</w:t>
            </w:r>
          </w:p>
        </w:tc>
        <w:tc>
          <w:tcPr>
            <w:tcW w:w="3713" w:type="dxa"/>
            <w:vAlign w:val="center"/>
          </w:tcPr>
          <w:p>
            <w:pPr>
              <w:jc w:val="left"/>
              <w:rPr>
                <w:rFonts w:ascii="宋体" w:hAnsi="宋体" w:cs="宋体"/>
                <w:color w:val="auto"/>
                <w:szCs w:val="21"/>
                <w:highlight w:val="none"/>
              </w:rPr>
            </w:pPr>
          </w:p>
        </w:tc>
        <w:tc>
          <w:tcPr>
            <w:tcW w:w="4395" w:type="dxa"/>
            <w:vAlign w:val="center"/>
          </w:tcPr>
          <w:p>
            <w:pPr>
              <w:spacing w:line="300" w:lineRule="atLeast"/>
              <w:jc w:val="left"/>
              <w:rPr>
                <w:rFonts w:ascii="宋体" w:hAnsi="宋体" w:cs="宋体"/>
                <w:b/>
                <w:color w:val="auto"/>
                <w:szCs w:val="21"/>
                <w:highlight w:val="none"/>
              </w:rPr>
            </w:pPr>
            <w:r>
              <w:rPr>
                <w:rFonts w:hint="eastAsia" w:ascii="宋体" w:hAnsi="宋体" w:cs="宋体"/>
                <w:b/>
                <w:color w:val="auto"/>
                <w:szCs w:val="21"/>
                <w:highlight w:val="none"/>
              </w:rPr>
              <w:t>增加：</w:t>
            </w:r>
          </w:p>
          <w:p>
            <w:pPr>
              <w:spacing w:line="300" w:lineRule="atLeast"/>
              <w:jc w:val="left"/>
              <w:rPr>
                <w:rFonts w:ascii="宋体" w:hAnsi="宋体" w:cs="宋体"/>
                <w:b/>
                <w:color w:val="auto"/>
                <w:szCs w:val="21"/>
                <w:highlight w:val="none"/>
                <w:u w:val="single"/>
              </w:rPr>
            </w:pPr>
            <w:r>
              <w:rPr>
                <w:rFonts w:hint="eastAsia" w:ascii="宋体" w:hAnsi="宋体" w:cs="宋体"/>
                <w:b/>
                <w:color w:val="auto"/>
                <w:szCs w:val="21"/>
                <w:highlight w:val="none"/>
                <w:u w:val="single"/>
              </w:rPr>
              <w:t>2.4   交易服务费</w:t>
            </w:r>
          </w:p>
          <w:p>
            <w:pPr>
              <w:jc w:val="left"/>
              <w:rPr>
                <w:rFonts w:ascii="宋体" w:hAnsi="宋体" w:cs="宋体"/>
                <w:color w:val="auto"/>
                <w:szCs w:val="21"/>
                <w:highlight w:val="none"/>
              </w:rPr>
            </w:pPr>
            <w:r>
              <w:rPr>
                <w:rFonts w:hint="eastAsia" w:ascii="宋体" w:hAnsi="宋体" w:cs="宋体"/>
                <w:color w:val="auto"/>
                <w:szCs w:val="21"/>
                <w:highlight w:val="none"/>
                <w:u w:val="single"/>
              </w:rPr>
              <w:t>2.4.1  中标人缴纳交易服务费，其费用包含在中标人投标报价中。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195" w:type="dxa"/>
            <w:vAlign w:val="center"/>
          </w:tcPr>
          <w:p>
            <w:pPr>
              <w:jc w:val="center"/>
              <w:rPr>
                <w:rFonts w:ascii="宋体" w:hAnsi="宋体" w:cs="宋体"/>
                <w:color w:val="auto"/>
                <w:szCs w:val="21"/>
                <w:highlight w:val="none"/>
                <w:u w:val="single"/>
              </w:rPr>
            </w:pPr>
            <w:r>
              <w:rPr>
                <w:rFonts w:hint="eastAsia" w:ascii="宋体" w:hAnsi="宋体" w:cs="宋体"/>
                <w:color w:val="auto"/>
                <w:szCs w:val="21"/>
                <w:highlight w:val="none"/>
              </w:rPr>
              <w:t>3.1</w:t>
            </w:r>
          </w:p>
        </w:tc>
        <w:tc>
          <w:tcPr>
            <w:tcW w:w="3713" w:type="dxa"/>
            <w:vAlign w:val="center"/>
          </w:tcPr>
          <w:p>
            <w:pPr>
              <w:jc w:val="left"/>
              <w:rPr>
                <w:rFonts w:ascii="宋体" w:hAnsi="宋体" w:cs="宋体"/>
                <w:b/>
                <w:color w:val="auto"/>
                <w:szCs w:val="21"/>
                <w:highlight w:val="none"/>
              </w:rPr>
            </w:pPr>
          </w:p>
          <w:p>
            <w:pPr>
              <w:jc w:val="left"/>
              <w:rPr>
                <w:rFonts w:ascii="宋体" w:hAnsi="宋体" w:cs="宋体"/>
                <w:b/>
                <w:color w:val="auto"/>
                <w:szCs w:val="21"/>
                <w:highlight w:val="none"/>
              </w:rPr>
            </w:pPr>
            <w:r>
              <w:rPr>
                <w:rFonts w:hint="eastAsia" w:ascii="宋体" w:hAnsi="宋体" w:cs="宋体"/>
                <w:b/>
                <w:color w:val="auto"/>
                <w:szCs w:val="21"/>
                <w:highlight w:val="none"/>
              </w:rPr>
              <w:t>3.1    现场考察</w:t>
            </w:r>
          </w:p>
          <w:p>
            <w:pPr>
              <w:jc w:val="left"/>
              <w:rPr>
                <w:rFonts w:ascii="宋体" w:hAnsi="宋体" w:cs="宋体"/>
                <w:color w:val="auto"/>
                <w:szCs w:val="21"/>
                <w:highlight w:val="none"/>
              </w:rPr>
            </w:pPr>
            <w:r>
              <w:rPr>
                <w:rFonts w:hint="eastAsia" w:ascii="宋体" w:hAnsi="宋体" w:cs="宋体"/>
                <w:color w:val="auto"/>
                <w:szCs w:val="21"/>
                <w:highlight w:val="none"/>
              </w:rPr>
              <w:t>3.1.1  招标人安排投标人代表对工程现场进行考察，目的是使每个投标人查看现场并获得编制投标文件所需要的一切资料。</w:t>
            </w:r>
          </w:p>
          <w:p>
            <w:pPr>
              <w:jc w:val="left"/>
              <w:rPr>
                <w:rFonts w:ascii="宋体" w:hAnsi="宋体" w:cs="宋体"/>
                <w:color w:val="auto"/>
                <w:szCs w:val="21"/>
                <w:highlight w:val="none"/>
              </w:rPr>
            </w:pPr>
            <w:r>
              <w:rPr>
                <w:rFonts w:hint="eastAsia" w:ascii="宋体" w:hAnsi="宋体" w:cs="宋体"/>
                <w:color w:val="auto"/>
                <w:szCs w:val="21"/>
                <w:highlight w:val="none"/>
              </w:rPr>
              <w:t>3.1.2  每个投标人参加现场考察的人数不宜超过3人，外国投标人代表应自带中文翻译。</w:t>
            </w:r>
          </w:p>
          <w:p>
            <w:pPr>
              <w:jc w:val="left"/>
              <w:rPr>
                <w:rFonts w:ascii="宋体" w:hAnsi="宋体" w:cs="宋体"/>
                <w:color w:val="auto"/>
                <w:szCs w:val="21"/>
                <w:highlight w:val="none"/>
              </w:rPr>
            </w:pPr>
            <w:r>
              <w:rPr>
                <w:rFonts w:hint="eastAsia" w:ascii="宋体" w:hAnsi="宋体" w:cs="宋体"/>
                <w:color w:val="auto"/>
                <w:szCs w:val="21"/>
                <w:highlight w:val="none"/>
              </w:rPr>
              <w:t>3.1.3  现场考察期间招标人将召开一次会议，接受投标人代表的提问。</w:t>
            </w:r>
          </w:p>
        </w:tc>
        <w:tc>
          <w:tcPr>
            <w:tcW w:w="4395" w:type="dxa"/>
          </w:tcPr>
          <w:p>
            <w:pPr>
              <w:spacing w:line="300" w:lineRule="atLeast"/>
              <w:jc w:val="left"/>
              <w:rPr>
                <w:rFonts w:ascii="宋体" w:hAnsi="宋体" w:cs="宋体"/>
                <w:b/>
                <w:color w:val="auto"/>
                <w:szCs w:val="21"/>
                <w:highlight w:val="none"/>
              </w:rPr>
            </w:pPr>
            <w:r>
              <w:rPr>
                <w:rFonts w:hint="eastAsia" w:ascii="宋体" w:hAnsi="宋体" w:cs="宋体"/>
                <w:b/>
                <w:color w:val="auto"/>
                <w:szCs w:val="21"/>
                <w:highlight w:val="none"/>
              </w:rPr>
              <w:t>修改：</w:t>
            </w:r>
          </w:p>
          <w:p>
            <w:pPr>
              <w:jc w:val="left"/>
              <w:rPr>
                <w:rFonts w:ascii="宋体" w:hAnsi="宋体" w:cs="宋体"/>
                <w:b/>
                <w:color w:val="auto"/>
                <w:szCs w:val="21"/>
                <w:highlight w:val="none"/>
              </w:rPr>
            </w:pPr>
            <w:r>
              <w:rPr>
                <w:rFonts w:hint="eastAsia" w:ascii="宋体" w:hAnsi="宋体" w:cs="宋体"/>
                <w:b/>
                <w:color w:val="auto"/>
                <w:szCs w:val="21"/>
                <w:highlight w:val="none"/>
              </w:rPr>
              <w:t>3.1    现场考察</w:t>
            </w:r>
          </w:p>
          <w:p>
            <w:pPr>
              <w:jc w:val="left"/>
              <w:rPr>
                <w:rFonts w:ascii="宋体" w:hAnsi="宋体" w:cs="宋体"/>
                <w:color w:val="auto"/>
                <w:szCs w:val="21"/>
                <w:highlight w:val="none"/>
                <w:u w:val="single"/>
              </w:rPr>
            </w:pPr>
            <w:r>
              <w:rPr>
                <w:rFonts w:hint="eastAsia" w:ascii="宋体" w:hAnsi="宋体" w:cs="宋体"/>
                <w:color w:val="auto"/>
                <w:szCs w:val="21"/>
                <w:highlight w:val="none"/>
                <w:u w:val="single"/>
              </w:rPr>
              <w:t>3.1.1  时间：不统一组织现场考察，请各投标人自行考察（费用自理）。</w:t>
            </w:r>
          </w:p>
          <w:p>
            <w:pPr>
              <w:jc w:val="left"/>
              <w:rPr>
                <w:rFonts w:ascii="宋体" w:hAnsi="宋体" w:cs="宋体"/>
                <w:color w:val="auto"/>
                <w:szCs w:val="21"/>
                <w:highlight w:val="none"/>
                <w:u w:val="single"/>
              </w:rPr>
            </w:pPr>
            <w:r>
              <w:rPr>
                <w:rFonts w:hint="eastAsia" w:ascii="宋体" w:hAnsi="宋体" w:cs="宋体"/>
                <w:color w:val="auto"/>
                <w:szCs w:val="21"/>
                <w:highlight w:val="none"/>
                <w:u w:val="single"/>
              </w:rPr>
              <w:t>3.1.2  地点：不统一组织现场考察，请各投标人自行考察（费用自理）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3.2.3</w:t>
            </w:r>
          </w:p>
        </w:tc>
        <w:tc>
          <w:tcPr>
            <w:tcW w:w="3713" w:type="dxa"/>
          </w:tcPr>
          <w:p>
            <w:pPr>
              <w:jc w:val="left"/>
              <w:rPr>
                <w:rFonts w:ascii="宋体" w:hAnsi="宋体" w:cs="宋体"/>
                <w:color w:val="auto"/>
                <w:szCs w:val="21"/>
                <w:highlight w:val="none"/>
              </w:rPr>
            </w:pPr>
          </w:p>
          <w:p>
            <w:pPr>
              <w:jc w:val="left"/>
              <w:rPr>
                <w:rFonts w:ascii="宋体" w:hAnsi="宋体" w:cs="宋体"/>
                <w:color w:val="auto"/>
                <w:szCs w:val="21"/>
                <w:highlight w:val="none"/>
              </w:rPr>
            </w:pPr>
            <w:r>
              <w:rPr>
                <w:rFonts w:hint="eastAsia" w:ascii="宋体" w:hAnsi="宋体" w:cs="宋体"/>
                <w:color w:val="auto"/>
                <w:szCs w:val="21"/>
                <w:highlight w:val="none"/>
              </w:rPr>
              <w:t>3.2.3 投标人需要澄清的问题应在规定的时间内，按交易平台的操作指引上传至交易平台网站。招标人应在递交投标文件截止时间15日前解答投标人对招标文件提出的疑问，形成澄清或答疑纪要在交易平台发布。不足15日的，招标人应当顺延投标文件的截止时间。</w:t>
            </w:r>
          </w:p>
        </w:tc>
        <w:tc>
          <w:tcPr>
            <w:tcW w:w="4395" w:type="dxa"/>
          </w:tcPr>
          <w:p>
            <w:pPr>
              <w:spacing w:line="300" w:lineRule="atLeast"/>
              <w:jc w:val="left"/>
              <w:rPr>
                <w:rFonts w:ascii="宋体" w:hAnsi="宋体" w:cs="宋体"/>
                <w:b/>
                <w:color w:val="auto"/>
                <w:szCs w:val="21"/>
                <w:highlight w:val="none"/>
              </w:rPr>
            </w:pPr>
            <w:r>
              <w:rPr>
                <w:rFonts w:hint="eastAsia" w:ascii="宋体" w:hAnsi="宋体" w:cs="宋体"/>
                <w:b/>
                <w:color w:val="auto"/>
                <w:szCs w:val="21"/>
                <w:highlight w:val="none"/>
              </w:rPr>
              <w:t>修改：</w:t>
            </w:r>
          </w:p>
          <w:p>
            <w:pPr>
              <w:jc w:val="left"/>
              <w:rPr>
                <w:rFonts w:ascii="宋体" w:hAnsi="宋体" w:cs="宋体"/>
                <w:color w:val="auto"/>
                <w:szCs w:val="21"/>
                <w:highlight w:val="none"/>
              </w:rPr>
            </w:pPr>
            <w:r>
              <w:rPr>
                <w:rFonts w:hint="eastAsia" w:ascii="宋体" w:hAnsi="宋体" w:cs="宋体"/>
                <w:color w:val="auto"/>
                <w:szCs w:val="21"/>
                <w:highlight w:val="none"/>
              </w:rPr>
              <w:t>3.2.3 投标人需要澄清的问题应在规定的时间内</w:t>
            </w:r>
            <w:r>
              <w:rPr>
                <w:rFonts w:hint="eastAsia" w:ascii="宋体" w:hAnsi="宋体" w:cs="宋体"/>
                <w:color w:val="auto"/>
                <w:szCs w:val="21"/>
                <w:highlight w:val="none"/>
                <w:u w:val="single"/>
              </w:rPr>
              <w:t>（招标公告开始发布后至投标截止时间前18日）</w:t>
            </w:r>
            <w:r>
              <w:rPr>
                <w:rFonts w:hint="eastAsia" w:ascii="宋体" w:hAnsi="宋体" w:cs="宋体"/>
                <w:color w:val="auto"/>
                <w:szCs w:val="21"/>
                <w:highlight w:val="none"/>
              </w:rPr>
              <w:t>，按交易平台的操作指引上传至交易平台网站。招标人应在递交投标文件截止时间15日前解答投标人对招标文件提出的疑问，形成澄清或答疑纪要在交易平台发布。不足15日的，招标人应当顺延投标文件的截止时间。</w:t>
            </w:r>
            <w:r>
              <w:rPr>
                <w:rFonts w:hint="eastAsia" w:ascii="宋体" w:hAnsi="宋体" w:cs="宋体"/>
                <w:color w:val="auto"/>
                <w:szCs w:val="21"/>
                <w:highlight w:val="none"/>
                <w:u w:val="single"/>
              </w:rPr>
              <w:t>投标人应在投标截止时间前18日停止质疑。招标人对已发出的招标文件进行必要的澄清或者修改的，将统一整理为按时序编号的补充材料，在交易中心网站“项目查询（日程安排、答疑纪要）”中公开登载。</w:t>
            </w:r>
            <w:r>
              <w:rPr>
                <w:rFonts w:hint="eastAsia" w:ascii="宋体" w:hAnsi="宋体"/>
                <w:color w:val="auto"/>
                <w:szCs w:val="21"/>
                <w:highlight w:val="none"/>
                <w:u w:val="single"/>
              </w:rPr>
              <w:t>网上答疑的操作指南为：登陆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r>
              <w:rPr>
                <w:rFonts w:hint="eastAsia" w:ascii="宋体" w:hAnsi="宋体" w:cs="宋体"/>
                <w:color w:val="auto"/>
                <w:szCs w:val="21"/>
                <w:highlight w:val="none"/>
                <w:u w:val="single"/>
              </w:rPr>
              <w:t>以及查看所有的问题。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3.2.5</w:t>
            </w:r>
          </w:p>
        </w:tc>
        <w:tc>
          <w:tcPr>
            <w:tcW w:w="3713"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3.2.5 网上答疑的具体操作详见交易平台发布的相关操作指引。</w:t>
            </w:r>
          </w:p>
        </w:tc>
        <w:tc>
          <w:tcPr>
            <w:tcW w:w="4395" w:type="dxa"/>
            <w:vAlign w:val="center"/>
          </w:tcPr>
          <w:p>
            <w:pPr>
              <w:spacing w:line="300" w:lineRule="atLeast"/>
              <w:jc w:val="left"/>
              <w:rPr>
                <w:rFonts w:ascii="宋体" w:hAnsi="宋体" w:cs="宋体"/>
                <w:b/>
                <w:color w:val="auto"/>
                <w:szCs w:val="21"/>
                <w:highlight w:val="none"/>
              </w:rPr>
            </w:pPr>
            <w:r>
              <w:rPr>
                <w:rFonts w:hint="eastAsia" w:ascii="宋体" w:hAnsi="宋体" w:cs="宋体"/>
                <w:b/>
                <w:color w:val="auto"/>
                <w:szCs w:val="21"/>
                <w:highlight w:val="none"/>
              </w:rPr>
              <w:t>修改：</w:t>
            </w:r>
          </w:p>
          <w:p>
            <w:pPr>
              <w:jc w:val="left"/>
              <w:rPr>
                <w:rFonts w:ascii="宋体" w:hAnsi="宋体" w:cs="宋体"/>
                <w:color w:val="auto"/>
                <w:szCs w:val="21"/>
                <w:highlight w:val="none"/>
              </w:rPr>
            </w:pPr>
            <w:r>
              <w:rPr>
                <w:rFonts w:hint="eastAsia" w:ascii="宋体" w:hAnsi="宋体" w:cs="宋体"/>
                <w:color w:val="auto"/>
                <w:szCs w:val="21"/>
                <w:highlight w:val="none"/>
                <w:u w:val="single"/>
              </w:rPr>
              <w:t>3.2.5 招标文件的澄清或修改在广州公共资源交易中心网站发布。招标文件的澄清或修改一经在广州公共资源交易中心网站发布，视作已发放给所有投标人。网上答疑的具体操作详见交易平台发布的相关操作指引。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3.3.3</w:t>
            </w:r>
          </w:p>
        </w:tc>
        <w:tc>
          <w:tcPr>
            <w:tcW w:w="3713" w:type="dxa"/>
          </w:tcPr>
          <w:p>
            <w:pPr>
              <w:jc w:val="left"/>
              <w:rPr>
                <w:rFonts w:ascii="宋体" w:hAnsi="宋体" w:cs="宋体"/>
                <w:color w:val="auto"/>
                <w:szCs w:val="21"/>
                <w:highlight w:val="none"/>
              </w:rPr>
            </w:pPr>
          </w:p>
          <w:p>
            <w:pPr>
              <w:jc w:val="left"/>
              <w:rPr>
                <w:rFonts w:ascii="宋体" w:hAnsi="宋体" w:cs="宋体"/>
                <w:color w:val="auto"/>
                <w:szCs w:val="21"/>
                <w:highlight w:val="none"/>
              </w:rPr>
            </w:pPr>
            <w:r>
              <w:rPr>
                <w:rFonts w:hint="eastAsia" w:ascii="宋体" w:hAnsi="宋体" w:cs="宋体"/>
                <w:color w:val="auto"/>
                <w:szCs w:val="21"/>
                <w:highlight w:val="none"/>
              </w:rPr>
              <w:t>3.3.3  投标文件全部采用电子文档，投标文件所附证书证件均为原件扫描件或电子证书，并采用单位数字证书，按招标文件要求在相应位置加盖电子印章，投标文件中需个人签字或盖章的，应手签后扫描上传，具体操作详见交易平台发布的相关操作指引。</w:t>
            </w:r>
          </w:p>
        </w:tc>
        <w:tc>
          <w:tcPr>
            <w:tcW w:w="4395" w:type="dxa"/>
          </w:tcPr>
          <w:p>
            <w:pPr>
              <w:spacing w:line="300" w:lineRule="atLeast"/>
              <w:jc w:val="left"/>
              <w:rPr>
                <w:rFonts w:ascii="宋体" w:hAnsi="宋体" w:cs="宋体"/>
                <w:b/>
                <w:color w:val="auto"/>
                <w:szCs w:val="21"/>
                <w:highlight w:val="none"/>
              </w:rPr>
            </w:pPr>
            <w:r>
              <w:rPr>
                <w:rFonts w:hint="eastAsia" w:ascii="宋体" w:hAnsi="宋体" w:cs="宋体"/>
                <w:b/>
                <w:color w:val="auto"/>
                <w:szCs w:val="21"/>
                <w:highlight w:val="none"/>
              </w:rPr>
              <w:t>修改：</w:t>
            </w:r>
          </w:p>
          <w:p>
            <w:pPr>
              <w:jc w:val="left"/>
              <w:rPr>
                <w:rFonts w:ascii="宋体" w:hAnsi="宋体"/>
                <w:color w:val="auto"/>
                <w:highlight w:val="none"/>
              </w:rPr>
            </w:pPr>
            <w:r>
              <w:rPr>
                <w:rFonts w:hint="eastAsia" w:ascii="宋体" w:hAnsi="宋体"/>
                <w:color w:val="auto"/>
                <w:highlight w:val="none"/>
              </w:rPr>
              <w:t>3.3.3  投标文件全部采用电子文档,投标文件所附证书证件均为原件</w:t>
            </w:r>
            <w:r>
              <w:rPr>
                <w:rFonts w:hint="eastAsia" w:ascii="宋体" w:hAnsi="宋体"/>
                <w:color w:val="auto"/>
                <w:highlight w:val="none"/>
                <w:u w:val="single"/>
              </w:rPr>
              <w:t>清晰</w:t>
            </w:r>
            <w:r>
              <w:rPr>
                <w:rFonts w:hint="eastAsia" w:ascii="宋体" w:hAnsi="宋体"/>
                <w:color w:val="auto"/>
                <w:highlight w:val="none"/>
              </w:rPr>
              <w:t>扫描件或电子证书，并采用单位数字证书，按招标文件要求在相应位置加盖电子印章，投标文件中需个人签字或盖章的，应</w:t>
            </w:r>
            <w:r>
              <w:rPr>
                <w:rFonts w:hint="eastAsia" w:ascii="宋体" w:hAnsi="宋体"/>
                <w:color w:val="auto"/>
                <w:highlight w:val="none"/>
                <w:u w:val="single"/>
              </w:rPr>
              <w:t>在线下完成</w:t>
            </w:r>
            <w:r>
              <w:rPr>
                <w:rFonts w:hint="eastAsia" w:ascii="宋体" w:hAnsi="宋体"/>
                <w:color w:val="auto"/>
                <w:highlight w:val="none"/>
              </w:rPr>
              <w:t>后扫描上传，具体操作详见交易平台发布的相关操作指引。</w:t>
            </w:r>
            <w:r>
              <w:rPr>
                <w:rFonts w:hint="eastAsia" w:ascii="宋体" w:hAnsi="宋体"/>
                <w:color w:val="auto"/>
                <w:szCs w:val="21"/>
                <w:highlight w:val="none"/>
                <w:u w:val="single"/>
              </w:rPr>
              <w:t>联合体投标时，《联合体共同投标协议》需填妥并由联合体各方共同签字盖章；《投标人声明》需联合体各方均按要求独自填妥并签字盖章提供；投标文件其他内容落款中的“投标人”应填写联合体各方的单位全称【格式为：(主)XXXX公司(成)XXXX公司】，需要盖章或签字的部分可仅由联合体主办方</w:t>
            </w:r>
            <w:r>
              <w:rPr>
                <w:rFonts w:hint="eastAsia" w:ascii="宋体" w:hAnsi="宋体"/>
                <w:color w:val="auto"/>
                <w:highlight w:val="none"/>
                <w:u w:val="single"/>
              </w:rPr>
              <w:t>（即牵头人）</w:t>
            </w:r>
            <w:r>
              <w:rPr>
                <w:rFonts w:hint="eastAsia" w:ascii="宋体" w:hAnsi="宋体"/>
                <w:color w:val="auto"/>
                <w:szCs w:val="21"/>
                <w:highlight w:val="none"/>
                <w:u w:val="single"/>
              </w:rPr>
              <w:t>盖章或签字，视作符合要求。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3.5.1</w:t>
            </w:r>
          </w:p>
        </w:tc>
        <w:tc>
          <w:tcPr>
            <w:tcW w:w="3713"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3.5.1  投标截止时间自本工程招标公告发布之日起计。</w:t>
            </w:r>
          </w:p>
        </w:tc>
        <w:tc>
          <w:tcPr>
            <w:tcW w:w="4395" w:type="dxa"/>
            <w:vAlign w:val="center"/>
          </w:tcPr>
          <w:p>
            <w:pPr>
              <w:spacing w:line="300" w:lineRule="atLeast"/>
              <w:jc w:val="left"/>
              <w:rPr>
                <w:rFonts w:ascii="宋体" w:hAnsi="宋体" w:cs="宋体"/>
                <w:b/>
                <w:color w:val="auto"/>
                <w:szCs w:val="21"/>
                <w:highlight w:val="none"/>
              </w:rPr>
            </w:pPr>
            <w:r>
              <w:rPr>
                <w:rFonts w:hint="eastAsia" w:ascii="宋体" w:hAnsi="宋体" w:cs="宋体"/>
                <w:b/>
                <w:color w:val="auto"/>
                <w:szCs w:val="21"/>
                <w:highlight w:val="none"/>
              </w:rPr>
              <w:t>修改：</w:t>
            </w:r>
          </w:p>
          <w:p>
            <w:pPr>
              <w:jc w:val="left"/>
              <w:rPr>
                <w:rFonts w:ascii="宋体" w:hAnsi="宋体" w:cs="宋体"/>
                <w:color w:val="auto"/>
                <w:szCs w:val="21"/>
                <w:highlight w:val="none"/>
              </w:rPr>
            </w:pPr>
            <w:r>
              <w:rPr>
                <w:rFonts w:hint="eastAsia" w:ascii="宋体" w:hAnsi="宋体" w:cs="宋体"/>
                <w:color w:val="auto"/>
                <w:szCs w:val="21"/>
                <w:highlight w:val="none"/>
              </w:rPr>
              <w:t xml:space="preserve">3.5.1  </w:t>
            </w:r>
            <w:r>
              <w:rPr>
                <w:rFonts w:hint="eastAsia" w:ascii="宋体" w:hAnsi="宋体" w:cs="宋体"/>
                <w:color w:val="auto"/>
                <w:kern w:val="0"/>
                <w:szCs w:val="21"/>
                <w:highlight w:val="none"/>
                <w:u w:val="single"/>
              </w:rPr>
              <w:t>招标公告网上发布时，同时发布招标文件。招标公告发布之日起计算编制投标文件时间。编制投标文件的时间不得少于20天。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195" w:type="dxa"/>
            <w:vAlign w:val="center"/>
          </w:tcPr>
          <w:p>
            <w:pPr>
              <w:tabs>
                <w:tab w:val="center" w:pos="522"/>
              </w:tabs>
              <w:spacing w:line="300" w:lineRule="atLeast"/>
              <w:jc w:val="center"/>
              <w:rPr>
                <w:rFonts w:ascii="宋体" w:hAnsi="宋体"/>
                <w:color w:val="auto"/>
                <w:highlight w:val="none"/>
              </w:rPr>
            </w:pPr>
            <w:r>
              <w:rPr>
                <w:rFonts w:hint="eastAsia" w:ascii="宋体" w:hAnsi="宋体" w:cs="宋体"/>
                <w:color w:val="auto"/>
                <w:szCs w:val="21"/>
                <w:highlight w:val="none"/>
              </w:rPr>
              <w:t>3.6.5</w:t>
            </w:r>
          </w:p>
        </w:tc>
        <w:tc>
          <w:tcPr>
            <w:tcW w:w="3713" w:type="dxa"/>
            <w:vAlign w:val="center"/>
          </w:tcPr>
          <w:p>
            <w:pPr>
              <w:spacing w:line="300" w:lineRule="atLeast"/>
              <w:jc w:val="left"/>
              <w:rPr>
                <w:rFonts w:ascii="宋体" w:hAnsi="宋体"/>
                <w:color w:val="auto"/>
                <w:szCs w:val="21"/>
                <w:highlight w:val="none"/>
              </w:rPr>
            </w:pPr>
          </w:p>
        </w:tc>
        <w:tc>
          <w:tcPr>
            <w:tcW w:w="4395" w:type="dxa"/>
            <w:vAlign w:val="center"/>
          </w:tcPr>
          <w:p>
            <w:pPr>
              <w:spacing w:line="300" w:lineRule="atLeast"/>
              <w:jc w:val="left"/>
              <w:rPr>
                <w:rFonts w:ascii="宋体" w:hAnsi="宋体" w:cs="宋体"/>
                <w:b/>
                <w:color w:val="auto"/>
                <w:szCs w:val="21"/>
                <w:highlight w:val="none"/>
              </w:rPr>
            </w:pPr>
            <w:r>
              <w:rPr>
                <w:rFonts w:hint="eastAsia" w:ascii="宋体" w:hAnsi="宋体" w:cs="宋体"/>
                <w:b/>
                <w:color w:val="auto"/>
                <w:szCs w:val="21"/>
                <w:highlight w:val="none"/>
              </w:rPr>
              <w:t>增加：</w:t>
            </w:r>
          </w:p>
          <w:p>
            <w:pPr>
              <w:spacing w:line="300" w:lineRule="atLeast"/>
              <w:jc w:val="left"/>
              <w:rPr>
                <w:rFonts w:ascii="宋体" w:hAnsi="宋体" w:cs="宋体"/>
                <w:color w:val="auto"/>
                <w:highlight w:val="none"/>
                <w:u w:val="single"/>
              </w:rPr>
            </w:pPr>
            <w:r>
              <w:rPr>
                <w:rFonts w:hint="eastAsia" w:ascii="宋体" w:hAnsi="宋体" w:cs="宋体"/>
                <w:color w:val="auto"/>
                <w:highlight w:val="none"/>
                <w:u w:val="single"/>
              </w:rPr>
              <w:t>3.6.5  拒绝接收投标文件光盘（备用）的情况</w:t>
            </w:r>
          </w:p>
          <w:p>
            <w:pPr>
              <w:spacing w:line="300" w:lineRule="atLeast"/>
              <w:jc w:val="left"/>
              <w:rPr>
                <w:rFonts w:ascii="宋体" w:hAnsi="宋体" w:cs="宋体"/>
                <w:color w:val="auto"/>
                <w:highlight w:val="none"/>
                <w:u w:val="single"/>
              </w:rPr>
            </w:pPr>
            <w:r>
              <w:rPr>
                <w:rFonts w:hint="eastAsia" w:ascii="宋体" w:hAnsi="宋体" w:cs="宋体"/>
                <w:color w:val="auto"/>
                <w:highlight w:val="none"/>
                <w:u w:val="single"/>
              </w:rPr>
              <w:t>（1）逾期或未在指定地点递交备用投标文件光盘（备用）；</w:t>
            </w:r>
          </w:p>
          <w:p>
            <w:pPr>
              <w:spacing w:line="300" w:lineRule="atLeast"/>
              <w:jc w:val="left"/>
              <w:rPr>
                <w:rFonts w:ascii="宋体" w:hAnsi="宋体" w:cs="宋体"/>
                <w:color w:val="auto"/>
                <w:highlight w:val="none"/>
                <w:u w:val="single"/>
              </w:rPr>
            </w:pPr>
            <w:r>
              <w:rPr>
                <w:rFonts w:hint="eastAsia" w:ascii="宋体" w:hAnsi="宋体" w:cs="宋体"/>
                <w:color w:val="auto"/>
                <w:highlight w:val="none"/>
                <w:u w:val="single"/>
              </w:rPr>
              <w:t>（2）投标人递交的投标文件光盘（备用）未按招标文件要求密封或未在密封处盖章的；</w:t>
            </w:r>
          </w:p>
          <w:p>
            <w:pPr>
              <w:spacing w:line="300" w:lineRule="atLeast"/>
              <w:jc w:val="left"/>
              <w:rPr>
                <w:rFonts w:ascii="宋体" w:hAnsi="宋体"/>
                <w:color w:val="auto"/>
                <w:highlight w:val="none"/>
                <w:u w:val="single"/>
              </w:rPr>
            </w:pPr>
            <w:r>
              <w:rPr>
                <w:rFonts w:hint="eastAsia" w:ascii="宋体" w:hAnsi="宋体" w:cs="宋体"/>
                <w:color w:val="auto"/>
                <w:highlight w:val="none"/>
                <w:u w:val="single"/>
              </w:rPr>
              <w:t>（3）投标人代表未凭法定代表人证明书原件（格式自定）、法定代表人授权委托书原件（非法定代表人递交投标文件光盘时提供，格式自定）、本人身份证复印件（提供原件核对）、联合体共同投标协议原件（联合体投标时提供，格式见招标文件附录）递交投标文件光盘（备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1195" w:type="dxa"/>
            <w:vAlign w:val="center"/>
          </w:tcPr>
          <w:p>
            <w:pPr>
              <w:tabs>
                <w:tab w:val="center" w:pos="522"/>
              </w:tabs>
              <w:spacing w:line="300" w:lineRule="atLeast"/>
              <w:jc w:val="center"/>
              <w:rPr>
                <w:rFonts w:ascii="宋体" w:hAnsi="宋体" w:cs="宋体"/>
                <w:color w:val="auto"/>
                <w:szCs w:val="21"/>
                <w:highlight w:val="none"/>
              </w:rPr>
            </w:pPr>
            <w:r>
              <w:rPr>
                <w:rFonts w:hint="eastAsia" w:ascii="宋体" w:hAnsi="宋体" w:cs="宋体"/>
                <w:color w:val="auto"/>
                <w:szCs w:val="21"/>
                <w:highlight w:val="none"/>
              </w:rPr>
              <w:t>3.8.1</w:t>
            </w:r>
          </w:p>
        </w:tc>
        <w:tc>
          <w:tcPr>
            <w:tcW w:w="3713"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3.8.1  提交投标文件光盘备用</w:t>
            </w:r>
          </w:p>
          <w:p>
            <w:pPr>
              <w:jc w:val="left"/>
              <w:rPr>
                <w:rFonts w:ascii="宋体" w:hAnsi="宋体" w:cs="宋体"/>
                <w:color w:val="auto"/>
                <w:szCs w:val="21"/>
                <w:highlight w:val="none"/>
              </w:rPr>
            </w:pPr>
            <w:r>
              <w:rPr>
                <w:rFonts w:hint="eastAsia" w:ascii="宋体" w:hAnsi="宋体" w:cs="宋体"/>
                <w:color w:val="auto"/>
                <w:szCs w:val="21"/>
                <w:highlight w:val="none"/>
              </w:rPr>
              <w:t>投标人可制作非加密的电子投标文件刻入光盘（1份），在招标公告规定的时间、地点提交备用。刻录好的投标文件光盘密封在密封袋中，并在封口处加盖投标人单位公章。密封袋上应写明项目名称和招标人名称。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tc>
        <w:tc>
          <w:tcPr>
            <w:tcW w:w="4395" w:type="dxa"/>
            <w:vAlign w:val="center"/>
          </w:tcPr>
          <w:p>
            <w:pPr>
              <w:jc w:val="left"/>
              <w:rPr>
                <w:rFonts w:ascii="宋体" w:hAnsi="宋体" w:cs="宋体"/>
                <w:color w:val="auto"/>
                <w:szCs w:val="21"/>
                <w:highlight w:val="none"/>
              </w:rPr>
            </w:pPr>
            <w:r>
              <w:rPr>
                <w:rFonts w:hint="eastAsia" w:ascii="宋体" w:hAnsi="宋体" w:cs="宋体"/>
                <w:b/>
                <w:color w:val="auto"/>
                <w:szCs w:val="21"/>
                <w:highlight w:val="none"/>
              </w:rPr>
              <w:t>修改：</w:t>
            </w:r>
          </w:p>
          <w:p>
            <w:pPr>
              <w:jc w:val="left"/>
              <w:rPr>
                <w:rFonts w:ascii="宋体" w:hAnsi="宋体" w:cs="宋体"/>
                <w:color w:val="auto"/>
                <w:szCs w:val="21"/>
                <w:highlight w:val="none"/>
              </w:rPr>
            </w:pPr>
            <w:r>
              <w:rPr>
                <w:rFonts w:hint="eastAsia" w:ascii="宋体" w:hAnsi="宋体" w:cs="宋体"/>
                <w:color w:val="auto"/>
                <w:szCs w:val="21"/>
                <w:highlight w:val="none"/>
              </w:rPr>
              <w:t>3.8.1  提交投标文件光盘备用</w:t>
            </w:r>
          </w:p>
          <w:p>
            <w:pPr>
              <w:jc w:val="left"/>
              <w:rPr>
                <w:rFonts w:ascii="宋体" w:hAnsi="宋体" w:cs="宋体"/>
                <w:color w:val="auto"/>
                <w:szCs w:val="21"/>
                <w:highlight w:val="none"/>
              </w:rPr>
            </w:pPr>
            <w:r>
              <w:rPr>
                <w:rFonts w:hint="eastAsia" w:ascii="宋体" w:hAnsi="宋体" w:cs="宋体"/>
                <w:color w:val="auto"/>
                <w:szCs w:val="21"/>
                <w:highlight w:val="none"/>
              </w:rPr>
              <w:t>投标人可制作非加密的电子投标文件刻入光盘（1份），在招标公告规定的时间、地点提交备用。</w:t>
            </w:r>
            <w:r>
              <w:rPr>
                <w:rFonts w:hint="eastAsia" w:ascii="宋体" w:hAnsi="宋体" w:cs="宋体"/>
                <w:color w:val="auto"/>
                <w:szCs w:val="21"/>
                <w:highlight w:val="none"/>
                <w:u w:val="single"/>
              </w:rPr>
              <w:t>电子投标文件刻入光盘（1份）包括“资格审查文件和商务文件光盘”1个、“勘察设计技术方案（技术文件）光盘”1个、“保密文件光盘”1个。刻录好的投标文件光盘分别密封在不透明的密封袋并作标记，其中“资格审查文件和商务文件光盘”应在密封袋上写明（1）招标人名称；（2）“[工程名称][资格审查文件和商务文件光盘]”字样；（3）投标人名称；并在封口处加盖投标人单位公章；“勘察设计技术方案（技术文件）光盘”“保密文件光盘”应仅在密封袋上写明（1）招标人名称；（2）“[工程名称][勘察设计技术方案（技术文件）光盘或保密文件光盘]”字样；</w:t>
            </w:r>
            <w:r>
              <w:rPr>
                <w:rFonts w:hint="eastAsia" w:ascii="宋体" w:hAnsi="宋体" w:cs="宋体"/>
                <w:color w:val="auto"/>
                <w:szCs w:val="21"/>
                <w:highlight w:val="none"/>
              </w:rPr>
              <w:t>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195" w:type="dxa"/>
            <w:vAlign w:val="center"/>
          </w:tcPr>
          <w:p>
            <w:pPr>
              <w:tabs>
                <w:tab w:val="center" w:pos="522"/>
              </w:tabs>
              <w:spacing w:line="300" w:lineRule="atLeast"/>
              <w:jc w:val="center"/>
              <w:rPr>
                <w:rFonts w:ascii="宋体" w:hAnsi="宋体" w:cs="宋体"/>
                <w:color w:val="auto"/>
                <w:szCs w:val="21"/>
                <w:highlight w:val="none"/>
              </w:rPr>
            </w:pPr>
            <w:r>
              <w:rPr>
                <w:rFonts w:hint="eastAsia" w:ascii="宋体" w:hAnsi="宋体" w:cs="宋体"/>
                <w:color w:val="auto"/>
                <w:szCs w:val="21"/>
                <w:highlight w:val="none"/>
              </w:rPr>
              <w:t>3.8.2.4</w:t>
            </w:r>
          </w:p>
        </w:tc>
        <w:tc>
          <w:tcPr>
            <w:tcW w:w="3713" w:type="dxa"/>
          </w:tcPr>
          <w:p>
            <w:pPr>
              <w:jc w:val="left"/>
              <w:rPr>
                <w:rFonts w:ascii="宋体" w:hAnsi="宋体" w:cs="宋体"/>
                <w:color w:val="auto"/>
                <w:szCs w:val="21"/>
                <w:highlight w:val="none"/>
              </w:rPr>
            </w:pPr>
          </w:p>
          <w:p>
            <w:pPr>
              <w:jc w:val="left"/>
              <w:rPr>
                <w:rFonts w:ascii="宋体" w:hAnsi="宋体" w:cs="宋体"/>
                <w:color w:val="auto"/>
                <w:szCs w:val="21"/>
                <w:highlight w:val="none"/>
              </w:rPr>
            </w:pPr>
          </w:p>
        </w:tc>
        <w:tc>
          <w:tcPr>
            <w:tcW w:w="4395" w:type="dxa"/>
          </w:tcPr>
          <w:p>
            <w:pPr>
              <w:jc w:val="left"/>
              <w:rPr>
                <w:rFonts w:ascii="宋体" w:hAnsi="宋体" w:cs="宋体"/>
                <w:b/>
                <w:color w:val="auto"/>
                <w:szCs w:val="21"/>
                <w:highlight w:val="none"/>
                <w:u w:val="single"/>
              </w:rPr>
            </w:pPr>
            <w:r>
              <w:rPr>
                <w:rFonts w:hint="eastAsia" w:ascii="宋体" w:hAnsi="宋体" w:cs="宋体"/>
                <w:b/>
                <w:color w:val="auto"/>
                <w:szCs w:val="21"/>
                <w:highlight w:val="none"/>
                <w:u w:val="single"/>
              </w:rPr>
              <w:t>增加：</w:t>
            </w:r>
          </w:p>
          <w:p>
            <w:pPr>
              <w:jc w:val="left"/>
              <w:rPr>
                <w:rFonts w:ascii="宋体" w:hAnsi="宋体" w:cs="宋体"/>
                <w:color w:val="auto"/>
                <w:szCs w:val="21"/>
                <w:highlight w:val="none"/>
                <w:u w:val="single"/>
              </w:rPr>
            </w:pPr>
            <w:r>
              <w:rPr>
                <w:rFonts w:hint="eastAsia" w:ascii="宋体" w:hAnsi="宋体" w:cs="宋体"/>
                <w:color w:val="auto"/>
                <w:szCs w:val="21"/>
                <w:highlight w:val="none"/>
                <w:u w:val="single"/>
              </w:rPr>
              <w:t>3.8.2.4“勘察设计技术方案（技术文件）光盘”“保密文件光盘”接收时不得启封，当符合</w:t>
            </w:r>
            <w:r>
              <w:rPr>
                <w:rFonts w:ascii="宋体" w:hAnsi="宋体" w:cs="宋体"/>
                <w:color w:val="auto"/>
                <w:szCs w:val="21"/>
                <w:highlight w:val="none"/>
                <w:u w:val="single"/>
              </w:rPr>
              <w:t>3.8.2.</w:t>
            </w:r>
            <w:r>
              <w:rPr>
                <w:rFonts w:hint="eastAsia" w:ascii="宋体" w:hAnsi="宋体" w:cs="宋体"/>
                <w:color w:val="auto"/>
                <w:szCs w:val="21"/>
                <w:highlight w:val="none"/>
                <w:u w:val="single"/>
              </w:rPr>
              <w:t>1款或</w:t>
            </w:r>
            <w:r>
              <w:rPr>
                <w:rFonts w:ascii="宋体" w:hAnsi="宋体" w:cs="宋体"/>
                <w:color w:val="auto"/>
                <w:szCs w:val="21"/>
                <w:highlight w:val="none"/>
                <w:u w:val="single"/>
              </w:rPr>
              <w:t>3.8.2.</w:t>
            </w:r>
            <w:r>
              <w:rPr>
                <w:rFonts w:hint="eastAsia" w:ascii="宋体" w:hAnsi="宋体" w:cs="宋体"/>
                <w:color w:val="auto"/>
                <w:szCs w:val="21"/>
                <w:highlight w:val="none"/>
                <w:u w:val="single"/>
              </w:rPr>
              <w:t>2款条件需要对勘察设计技术方案（技术文件）进行评审时，由交易服务机构见证人对“勘察设计技术方案（技术文件）光盘”启封密封袋并编号，参与开标、评标的其他人员应当回避，完成编号后送交评标委员会进行评审。评标结果揭晓前，负责编号的工作人员不得向他人透露投标文件编号的情况。在完成勘察设计技术方案（技术文件）评审后，由交易服务机构见证人和评标委员会共同开启“保密文件光盘”密封袋揭晓投标人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1195" w:type="dxa"/>
            <w:vAlign w:val="center"/>
          </w:tcPr>
          <w:p>
            <w:pPr>
              <w:tabs>
                <w:tab w:val="center" w:pos="522"/>
              </w:tabs>
              <w:spacing w:line="300" w:lineRule="atLeast"/>
              <w:jc w:val="center"/>
              <w:rPr>
                <w:rFonts w:ascii="宋体" w:hAnsi="宋体" w:cs="宋体"/>
                <w:color w:val="auto"/>
                <w:szCs w:val="21"/>
                <w:highlight w:val="none"/>
              </w:rPr>
            </w:pPr>
            <w:r>
              <w:rPr>
                <w:rFonts w:hint="eastAsia" w:ascii="宋体" w:hAnsi="宋体" w:cs="宋体"/>
                <w:color w:val="auto"/>
                <w:szCs w:val="21"/>
                <w:highlight w:val="none"/>
              </w:rPr>
              <w:t>3.9.1</w:t>
            </w:r>
          </w:p>
        </w:tc>
        <w:tc>
          <w:tcPr>
            <w:tcW w:w="3713" w:type="dxa"/>
            <w:vAlign w:val="center"/>
          </w:tcPr>
          <w:p>
            <w:pPr>
              <w:jc w:val="left"/>
              <w:rPr>
                <w:rFonts w:ascii="宋体" w:hAnsi="宋体" w:cs="宋体"/>
                <w:color w:val="auto"/>
                <w:highlight w:val="none"/>
              </w:rPr>
            </w:pPr>
          </w:p>
          <w:p>
            <w:pPr>
              <w:jc w:val="left"/>
              <w:rPr>
                <w:rFonts w:ascii="宋体" w:hAnsi="宋体" w:cs="宋体"/>
                <w:color w:val="auto"/>
                <w:szCs w:val="21"/>
                <w:highlight w:val="none"/>
              </w:rPr>
            </w:pPr>
            <w:r>
              <w:rPr>
                <w:rFonts w:hint="eastAsia" w:ascii="宋体" w:hAnsi="宋体" w:cs="宋体"/>
                <w:color w:val="auto"/>
                <w:highlight w:val="none"/>
              </w:rPr>
              <w:t>3.9.1  在投标截止时间后半小时内，投标人通过递交投标文件的交易平台对已递交的电子投标文件进行解密。投标人完成解密后，再由招标人进行解密。解密完成后，公布招标项目名称、投标人名称、开标信封文件和资格审查文件（如有）。未在规定时间内解密的投标文件不参与开标、评标。</w:t>
            </w:r>
          </w:p>
        </w:tc>
        <w:tc>
          <w:tcPr>
            <w:tcW w:w="4395" w:type="dxa"/>
            <w:vAlign w:val="center"/>
          </w:tcPr>
          <w:p>
            <w:pPr>
              <w:jc w:val="left"/>
              <w:rPr>
                <w:rFonts w:ascii="宋体" w:hAnsi="宋体" w:cs="宋体"/>
                <w:color w:val="auto"/>
                <w:szCs w:val="21"/>
                <w:highlight w:val="none"/>
              </w:rPr>
            </w:pPr>
            <w:r>
              <w:rPr>
                <w:rFonts w:hint="eastAsia" w:ascii="宋体" w:hAnsi="宋体" w:cs="宋体"/>
                <w:b/>
                <w:color w:val="auto"/>
                <w:szCs w:val="21"/>
                <w:highlight w:val="none"/>
              </w:rPr>
              <w:t>修改：</w:t>
            </w:r>
          </w:p>
          <w:p>
            <w:pPr>
              <w:jc w:val="left"/>
              <w:rPr>
                <w:rFonts w:ascii="宋体" w:hAnsi="宋体" w:cs="宋体"/>
                <w:color w:val="auto"/>
                <w:szCs w:val="21"/>
                <w:highlight w:val="none"/>
              </w:rPr>
            </w:pPr>
            <w:r>
              <w:rPr>
                <w:rFonts w:hint="eastAsia" w:ascii="宋体" w:hAnsi="宋体" w:cs="宋体"/>
                <w:color w:val="auto"/>
                <w:highlight w:val="none"/>
              </w:rPr>
              <w:t>3.9.1  在投标截止时间后半小时内，投标人通过递交投标文件的交易平台对已递交的电子投标文件进行解密。投标人完成解密后，再由招标人进行解密。解密完成后，公布招标项目名称、投标人名称、</w:t>
            </w:r>
            <w:r>
              <w:rPr>
                <w:rFonts w:hint="eastAsia" w:ascii="宋体" w:hAnsi="宋体" w:cs="宋体"/>
                <w:color w:val="auto"/>
                <w:highlight w:val="none"/>
                <w:u w:val="single"/>
              </w:rPr>
              <w:t>开标一览表、资格审查文件和商务文件</w:t>
            </w:r>
            <w:r>
              <w:rPr>
                <w:rFonts w:hint="eastAsia" w:ascii="宋体" w:hAnsi="宋体" w:cs="宋体"/>
                <w:color w:val="auto"/>
                <w:highlight w:val="none"/>
              </w:rPr>
              <w:t>。未在规定时间内解密的投标文件不参与开标、评标。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1195" w:type="dxa"/>
            <w:vAlign w:val="center"/>
          </w:tcPr>
          <w:p>
            <w:pPr>
              <w:tabs>
                <w:tab w:val="center" w:pos="522"/>
              </w:tabs>
              <w:spacing w:line="300" w:lineRule="atLeast"/>
              <w:jc w:val="center"/>
              <w:rPr>
                <w:rFonts w:ascii="宋体" w:hAnsi="宋体" w:cs="宋体"/>
                <w:color w:val="auto"/>
                <w:szCs w:val="21"/>
                <w:highlight w:val="none"/>
              </w:rPr>
            </w:pPr>
            <w:r>
              <w:rPr>
                <w:rFonts w:hint="eastAsia" w:ascii="宋体" w:hAnsi="宋体" w:cs="宋体"/>
                <w:color w:val="auto"/>
                <w:szCs w:val="21"/>
                <w:highlight w:val="none"/>
              </w:rPr>
              <w:t>3.9.9</w:t>
            </w:r>
          </w:p>
        </w:tc>
        <w:tc>
          <w:tcPr>
            <w:tcW w:w="3713" w:type="dxa"/>
            <w:vAlign w:val="center"/>
          </w:tcPr>
          <w:p>
            <w:pPr>
              <w:jc w:val="left"/>
              <w:rPr>
                <w:rFonts w:ascii="宋体" w:hAnsi="宋体" w:cs="宋体"/>
                <w:color w:val="auto"/>
                <w:highlight w:val="none"/>
              </w:rPr>
            </w:pPr>
          </w:p>
          <w:p>
            <w:pPr>
              <w:jc w:val="left"/>
              <w:rPr>
                <w:rFonts w:ascii="宋体" w:hAnsi="宋体" w:cs="宋体"/>
                <w:color w:val="auto"/>
                <w:highlight w:val="none"/>
              </w:rPr>
            </w:pPr>
            <w:r>
              <w:rPr>
                <w:rFonts w:hint="eastAsia" w:ascii="宋体" w:hAnsi="宋体" w:cs="宋体"/>
                <w:color w:val="auto"/>
                <w:highlight w:val="none"/>
              </w:rPr>
              <w:t>3.9.9  开标时，两个（含两个）以上的投标人加密打包投标文件电脑机器特征码一致的，不参与下一程序，并由评标委员会否决其投标。</w:t>
            </w:r>
          </w:p>
        </w:tc>
        <w:tc>
          <w:tcPr>
            <w:tcW w:w="4395" w:type="dxa"/>
          </w:tcPr>
          <w:p>
            <w:pPr>
              <w:jc w:val="left"/>
              <w:rPr>
                <w:rFonts w:ascii="宋体" w:hAnsi="宋体" w:cs="宋体"/>
                <w:color w:val="auto"/>
                <w:szCs w:val="21"/>
                <w:highlight w:val="none"/>
              </w:rPr>
            </w:pPr>
            <w:r>
              <w:rPr>
                <w:rFonts w:hint="eastAsia" w:ascii="宋体" w:hAnsi="宋体" w:cs="宋体"/>
                <w:b/>
                <w:color w:val="auto"/>
                <w:szCs w:val="21"/>
                <w:highlight w:val="none"/>
              </w:rPr>
              <w:t>修改：</w:t>
            </w:r>
          </w:p>
          <w:p>
            <w:pPr>
              <w:jc w:val="left"/>
              <w:rPr>
                <w:rFonts w:ascii="宋体" w:hAnsi="宋体" w:cs="宋体"/>
                <w:color w:val="auto"/>
                <w:highlight w:val="none"/>
              </w:rPr>
            </w:pPr>
            <w:r>
              <w:rPr>
                <w:rFonts w:hint="eastAsia" w:ascii="宋体" w:hAnsi="宋体" w:cs="宋体"/>
                <w:color w:val="auto"/>
                <w:highlight w:val="none"/>
              </w:rPr>
              <w:t>3.9.9  开标时，两个（含两个）以上的投标人加密打包投标文件电脑机器特征码一致的，</w:t>
            </w:r>
            <w:r>
              <w:rPr>
                <w:rFonts w:hint="eastAsia" w:ascii="宋体" w:hAnsi="宋体" w:cs="宋体"/>
                <w:color w:val="auto"/>
                <w:highlight w:val="none"/>
                <w:u w:val="single"/>
              </w:rPr>
              <w:t>由评标委员会否决其投标</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1195" w:type="dxa"/>
            <w:vAlign w:val="center"/>
          </w:tcPr>
          <w:p>
            <w:pPr>
              <w:tabs>
                <w:tab w:val="center" w:pos="522"/>
              </w:tabs>
              <w:spacing w:line="300" w:lineRule="atLeast"/>
              <w:jc w:val="center"/>
              <w:rPr>
                <w:rFonts w:ascii="宋体" w:hAnsi="宋体" w:cs="宋体"/>
                <w:color w:val="auto"/>
                <w:szCs w:val="21"/>
                <w:highlight w:val="none"/>
              </w:rPr>
            </w:pPr>
            <w:r>
              <w:rPr>
                <w:rFonts w:hint="eastAsia" w:ascii="宋体" w:hAnsi="宋体" w:cs="宋体"/>
                <w:color w:val="auto"/>
                <w:szCs w:val="21"/>
                <w:highlight w:val="none"/>
              </w:rPr>
              <w:t>3.9.10</w:t>
            </w:r>
          </w:p>
        </w:tc>
        <w:tc>
          <w:tcPr>
            <w:tcW w:w="3713" w:type="dxa"/>
            <w:vAlign w:val="center"/>
          </w:tcPr>
          <w:p>
            <w:pPr>
              <w:jc w:val="left"/>
              <w:rPr>
                <w:rFonts w:ascii="宋体" w:hAnsi="宋体" w:cs="宋体"/>
                <w:color w:val="auto"/>
                <w:highlight w:val="none"/>
              </w:rPr>
            </w:pPr>
          </w:p>
          <w:p>
            <w:pPr>
              <w:jc w:val="left"/>
              <w:rPr>
                <w:rFonts w:ascii="宋体" w:hAnsi="宋体" w:cs="宋体"/>
                <w:color w:val="auto"/>
                <w:highlight w:val="none"/>
              </w:rPr>
            </w:pPr>
            <w:r>
              <w:rPr>
                <w:rFonts w:hint="eastAsia" w:ascii="宋体" w:hAnsi="宋体" w:cs="宋体"/>
                <w:color w:val="auto"/>
                <w:highlight w:val="none"/>
              </w:rPr>
              <w:t>3.9.10 投标文件（设计方案）开标时不得开启，在评标时由交易平台随机编号后开启，交由评标委员会进行评审。编号所对应的投标人在投票结束前不得告知评标委员会、交易平台工作人员、招标人或招标代理机构。</w:t>
            </w:r>
          </w:p>
        </w:tc>
        <w:tc>
          <w:tcPr>
            <w:tcW w:w="4395" w:type="dxa"/>
            <w:vAlign w:val="center"/>
          </w:tcPr>
          <w:p>
            <w:pPr>
              <w:jc w:val="left"/>
              <w:rPr>
                <w:rFonts w:ascii="宋体" w:hAnsi="宋体" w:cs="宋体"/>
                <w:color w:val="auto"/>
                <w:highlight w:val="none"/>
              </w:rPr>
            </w:pPr>
            <w:r>
              <w:rPr>
                <w:rFonts w:hint="eastAsia" w:ascii="宋体" w:hAnsi="宋体" w:cs="宋体"/>
                <w:b/>
                <w:color w:val="auto"/>
                <w:szCs w:val="21"/>
                <w:highlight w:val="none"/>
              </w:rPr>
              <w:t>修改：</w:t>
            </w:r>
          </w:p>
          <w:p>
            <w:pPr>
              <w:jc w:val="left"/>
              <w:rPr>
                <w:rFonts w:ascii="宋体" w:hAnsi="宋体" w:cs="宋体"/>
                <w:color w:val="auto"/>
                <w:highlight w:val="none"/>
              </w:rPr>
            </w:pPr>
            <w:r>
              <w:rPr>
                <w:rFonts w:hint="eastAsia" w:ascii="宋体" w:hAnsi="宋体" w:cs="宋体"/>
                <w:color w:val="auto"/>
                <w:highlight w:val="none"/>
              </w:rPr>
              <w:t xml:space="preserve">3.9.10 </w:t>
            </w:r>
            <w:r>
              <w:rPr>
                <w:rFonts w:hint="eastAsia" w:ascii="宋体" w:hAnsi="宋体" w:cs="宋体"/>
                <w:color w:val="auto"/>
                <w:szCs w:val="21"/>
                <w:highlight w:val="none"/>
                <w:u w:val="single"/>
              </w:rPr>
              <w:t>勘察设计技术方案（技术文件）</w:t>
            </w:r>
            <w:r>
              <w:rPr>
                <w:rFonts w:hint="eastAsia" w:ascii="宋体" w:hAnsi="宋体" w:cs="宋体"/>
                <w:color w:val="auto"/>
                <w:highlight w:val="none"/>
              </w:rPr>
              <w:t>开标时不得开启，在评标时由交易平台随机编号后开启，交由评标委员会进行评审。编号所对应的投标人在投票结束前不得告知评标委员会、交易平台工作人员、招标人或招标代理机构。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1195" w:type="dxa"/>
            <w:vAlign w:val="center"/>
          </w:tcPr>
          <w:p>
            <w:pPr>
              <w:tabs>
                <w:tab w:val="center" w:pos="522"/>
              </w:tabs>
              <w:spacing w:line="300" w:lineRule="atLeast"/>
              <w:jc w:val="center"/>
              <w:rPr>
                <w:rFonts w:ascii="宋体" w:hAnsi="宋体" w:cs="宋体"/>
                <w:color w:val="auto"/>
                <w:szCs w:val="21"/>
                <w:highlight w:val="none"/>
              </w:rPr>
            </w:pPr>
            <w:r>
              <w:rPr>
                <w:rFonts w:hint="eastAsia" w:ascii="宋体" w:hAnsi="宋体" w:cs="宋体"/>
                <w:color w:val="auto"/>
                <w:szCs w:val="21"/>
                <w:highlight w:val="none"/>
              </w:rPr>
              <w:t>3.10.1</w:t>
            </w:r>
          </w:p>
        </w:tc>
        <w:tc>
          <w:tcPr>
            <w:tcW w:w="3713" w:type="dxa"/>
            <w:vAlign w:val="center"/>
          </w:tcPr>
          <w:p>
            <w:pPr>
              <w:spacing w:line="300" w:lineRule="atLeast"/>
              <w:jc w:val="left"/>
              <w:rPr>
                <w:rFonts w:ascii="宋体" w:hAnsi="宋体" w:cs="宋体"/>
                <w:color w:val="auto"/>
                <w:highlight w:val="none"/>
              </w:rPr>
            </w:pPr>
          </w:p>
          <w:p>
            <w:pPr>
              <w:spacing w:line="300" w:lineRule="atLeast"/>
              <w:jc w:val="left"/>
              <w:rPr>
                <w:rFonts w:ascii="宋体" w:hAnsi="宋体" w:cs="宋体"/>
                <w:color w:val="auto"/>
                <w:szCs w:val="21"/>
                <w:highlight w:val="none"/>
              </w:rPr>
            </w:pPr>
            <w:r>
              <w:rPr>
                <w:rFonts w:hint="eastAsia" w:ascii="宋体" w:hAnsi="宋体" w:cs="宋体"/>
                <w:color w:val="auto"/>
                <w:highlight w:val="none"/>
              </w:rPr>
              <w:t xml:space="preserve">3.10.1 </w:t>
            </w:r>
            <w:r>
              <w:rPr>
                <w:rFonts w:hint="eastAsia" w:ascii="宋体" w:hAnsi="宋体" w:cs="宋体"/>
                <w:color w:val="auto"/>
                <w:szCs w:val="21"/>
                <w:highlight w:val="none"/>
              </w:rPr>
              <w:t>投标人不需要提交投标保证金，评标结果揭晓后，中标候选人所得投标补偿转作保证金，确定中标人后立即返还，其中中标人的保证金待签订合同后立即返还。如果重新招标，保证金立即返还。</w:t>
            </w:r>
          </w:p>
        </w:tc>
        <w:tc>
          <w:tcPr>
            <w:tcW w:w="4395" w:type="dxa"/>
          </w:tcPr>
          <w:p>
            <w:pPr>
              <w:spacing w:line="300" w:lineRule="atLeast"/>
              <w:jc w:val="left"/>
              <w:rPr>
                <w:rFonts w:ascii="宋体" w:hAnsi="宋体" w:cs="宋体"/>
                <w:b/>
                <w:color w:val="auto"/>
                <w:szCs w:val="21"/>
                <w:highlight w:val="none"/>
              </w:rPr>
            </w:pPr>
            <w:r>
              <w:rPr>
                <w:rFonts w:hint="eastAsia" w:ascii="宋体" w:hAnsi="宋体" w:cs="宋体"/>
                <w:b/>
                <w:color w:val="auto"/>
                <w:szCs w:val="21"/>
                <w:highlight w:val="none"/>
              </w:rPr>
              <w:t>修改：</w:t>
            </w:r>
          </w:p>
          <w:p>
            <w:pPr>
              <w:spacing w:line="300" w:lineRule="atLeast"/>
              <w:jc w:val="left"/>
              <w:rPr>
                <w:rFonts w:ascii="宋体" w:hAnsi="宋体" w:cs="宋体"/>
                <w:b/>
                <w:color w:val="auto"/>
                <w:szCs w:val="21"/>
                <w:highlight w:val="none"/>
              </w:rPr>
            </w:pPr>
            <w:r>
              <w:rPr>
                <w:rFonts w:hint="eastAsia" w:ascii="宋体" w:hAnsi="宋体" w:cs="宋体"/>
                <w:color w:val="auto"/>
                <w:highlight w:val="none"/>
              </w:rPr>
              <w:t xml:space="preserve">3.10.1 </w:t>
            </w:r>
            <w:r>
              <w:rPr>
                <w:rFonts w:hint="eastAsia" w:ascii="宋体" w:hAnsi="宋体"/>
                <w:color w:val="auto"/>
                <w:highlight w:val="none"/>
                <w:u w:val="single"/>
              </w:rPr>
              <w:t>投标人不需要提交投标保证金。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1195" w:type="dxa"/>
            <w:vAlign w:val="center"/>
          </w:tcPr>
          <w:p>
            <w:pPr>
              <w:tabs>
                <w:tab w:val="center" w:pos="522"/>
              </w:tabs>
              <w:spacing w:line="300" w:lineRule="atLeast"/>
              <w:jc w:val="center"/>
              <w:rPr>
                <w:rFonts w:ascii="宋体" w:hAnsi="宋体" w:cs="宋体"/>
                <w:color w:val="auto"/>
                <w:szCs w:val="21"/>
                <w:highlight w:val="none"/>
              </w:rPr>
            </w:pPr>
            <w:r>
              <w:rPr>
                <w:rFonts w:hint="eastAsia" w:ascii="宋体" w:hAnsi="宋体" w:cs="宋体"/>
                <w:color w:val="auto"/>
                <w:szCs w:val="21"/>
                <w:highlight w:val="none"/>
              </w:rPr>
              <w:t>3.10.2</w:t>
            </w:r>
          </w:p>
        </w:tc>
        <w:tc>
          <w:tcPr>
            <w:tcW w:w="3713" w:type="dxa"/>
            <w:vAlign w:val="center"/>
          </w:tcPr>
          <w:p>
            <w:pPr>
              <w:spacing w:line="300" w:lineRule="atLeast"/>
              <w:jc w:val="left"/>
              <w:rPr>
                <w:rFonts w:ascii="宋体" w:hAnsi="宋体" w:cs="宋体"/>
                <w:color w:val="auto"/>
                <w:szCs w:val="21"/>
                <w:highlight w:val="none"/>
              </w:rPr>
            </w:pPr>
          </w:p>
          <w:p>
            <w:pPr>
              <w:spacing w:line="300" w:lineRule="atLeast"/>
              <w:jc w:val="left"/>
              <w:rPr>
                <w:rFonts w:ascii="宋体" w:hAnsi="宋体" w:cs="宋体"/>
                <w:color w:val="auto"/>
                <w:szCs w:val="21"/>
                <w:highlight w:val="none"/>
              </w:rPr>
            </w:pPr>
            <w:r>
              <w:rPr>
                <w:rFonts w:hint="eastAsia" w:ascii="宋体" w:hAnsi="宋体" w:cs="宋体"/>
                <w:color w:val="auto"/>
                <w:szCs w:val="21"/>
                <w:highlight w:val="none"/>
              </w:rPr>
              <w:t>3.10.2 投标有效期90天，从提交投标文件截止日起计算。在提交投标文件截止时间后到招标文件规定的投标有效期终止之前，投标人不得补充、修改或者撤回其投标文件，否则其保证金将被没收。</w:t>
            </w:r>
          </w:p>
        </w:tc>
        <w:tc>
          <w:tcPr>
            <w:tcW w:w="4395" w:type="dxa"/>
          </w:tcPr>
          <w:p>
            <w:pPr>
              <w:spacing w:line="300" w:lineRule="atLeast"/>
              <w:jc w:val="left"/>
              <w:rPr>
                <w:rFonts w:ascii="宋体" w:hAnsi="宋体" w:cs="宋体"/>
                <w:color w:val="auto"/>
                <w:szCs w:val="21"/>
                <w:highlight w:val="none"/>
              </w:rPr>
            </w:pPr>
            <w:r>
              <w:rPr>
                <w:rFonts w:hint="eastAsia" w:ascii="宋体" w:hAnsi="宋体" w:cs="宋体"/>
                <w:b/>
                <w:color w:val="auto"/>
                <w:szCs w:val="21"/>
                <w:highlight w:val="none"/>
              </w:rPr>
              <w:t>修改：</w:t>
            </w:r>
          </w:p>
          <w:p>
            <w:pPr>
              <w:spacing w:line="300" w:lineRule="atLeast"/>
              <w:jc w:val="left"/>
              <w:rPr>
                <w:rFonts w:ascii="宋体" w:hAnsi="宋体" w:cs="宋体"/>
                <w:color w:val="auto"/>
                <w:szCs w:val="21"/>
                <w:highlight w:val="none"/>
              </w:rPr>
            </w:pPr>
            <w:r>
              <w:rPr>
                <w:rFonts w:hint="eastAsia" w:ascii="宋体" w:hAnsi="宋体" w:cs="宋体"/>
                <w:color w:val="auto"/>
                <w:szCs w:val="21"/>
                <w:highlight w:val="none"/>
              </w:rPr>
              <w:t>3.10.2 投标有效期90天，从提交投标文件截止日起计算。在提交投标文件截止时间后到招标文件规定的投标有效期终止之前，</w:t>
            </w:r>
            <w:r>
              <w:rPr>
                <w:rFonts w:hint="eastAsia" w:ascii="宋体" w:hAnsi="宋体" w:cs="宋体"/>
                <w:color w:val="auto"/>
                <w:szCs w:val="21"/>
                <w:highlight w:val="none"/>
                <w:u w:val="single"/>
              </w:rPr>
              <w:t>投标人不得补充、修改或者撤回其投标文件</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1195" w:type="dxa"/>
            <w:vAlign w:val="center"/>
          </w:tcPr>
          <w:p>
            <w:pPr>
              <w:tabs>
                <w:tab w:val="center" w:pos="522"/>
              </w:tabs>
              <w:spacing w:line="300" w:lineRule="atLeast"/>
              <w:jc w:val="center"/>
              <w:rPr>
                <w:rFonts w:ascii="宋体" w:hAnsi="宋体" w:cs="宋体"/>
                <w:color w:val="auto"/>
                <w:szCs w:val="21"/>
                <w:highlight w:val="none"/>
              </w:rPr>
            </w:pPr>
            <w:r>
              <w:rPr>
                <w:rFonts w:hint="eastAsia" w:ascii="宋体" w:hAnsi="宋体" w:cs="宋体"/>
                <w:color w:val="auto"/>
                <w:szCs w:val="21"/>
                <w:highlight w:val="none"/>
              </w:rPr>
              <w:t>3.11（13）</w:t>
            </w:r>
          </w:p>
        </w:tc>
        <w:tc>
          <w:tcPr>
            <w:tcW w:w="3713" w:type="dxa"/>
            <w:vAlign w:val="center"/>
          </w:tcPr>
          <w:p>
            <w:pPr>
              <w:spacing w:line="300" w:lineRule="atLeast"/>
              <w:jc w:val="left"/>
              <w:rPr>
                <w:rFonts w:ascii="宋体" w:hAnsi="宋体" w:cs="宋体"/>
                <w:color w:val="auto"/>
                <w:szCs w:val="21"/>
                <w:highlight w:val="none"/>
              </w:rPr>
            </w:pPr>
          </w:p>
          <w:p>
            <w:pPr>
              <w:spacing w:line="300" w:lineRule="atLeast"/>
              <w:jc w:val="left"/>
              <w:rPr>
                <w:rFonts w:ascii="宋体" w:hAnsi="宋体" w:cs="宋体"/>
                <w:color w:val="auto"/>
                <w:szCs w:val="21"/>
                <w:highlight w:val="none"/>
              </w:rPr>
            </w:pPr>
            <w:r>
              <w:rPr>
                <w:rFonts w:hint="eastAsia" w:ascii="宋体" w:hAnsi="宋体" w:cs="宋体"/>
                <w:color w:val="auto"/>
                <w:szCs w:val="21"/>
                <w:highlight w:val="none"/>
              </w:rPr>
              <w:t>3.11（13）被工商行政管理机关在全国企业信用信息公示系统中列入严重违法失信企业名单；</w:t>
            </w:r>
          </w:p>
        </w:tc>
        <w:tc>
          <w:tcPr>
            <w:tcW w:w="4395" w:type="dxa"/>
            <w:vAlign w:val="center"/>
          </w:tcPr>
          <w:p>
            <w:pPr>
              <w:spacing w:line="300" w:lineRule="atLeast"/>
              <w:jc w:val="left"/>
              <w:rPr>
                <w:rFonts w:ascii="宋体" w:hAnsi="宋体" w:cs="宋体"/>
                <w:color w:val="auto"/>
                <w:szCs w:val="21"/>
                <w:highlight w:val="none"/>
              </w:rPr>
            </w:pPr>
            <w:r>
              <w:rPr>
                <w:rFonts w:hint="eastAsia" w:ascii="宋体" w:hAnsi="宋体" w:cs="宋体"/>
                <w:b/>
                <w:color w:val="auto"/>
                <w:szCs w:val="21"/>
                <w:highlight w:val="none"/>
              </w:rPr>
              <w:t>修改：</w:t>
            </w:r>
          </w:p>
          <w:p>
            <w:pPr>
              <w:spacing w:line="300" w:lineRule="atLeast"/>
              <w:jc w:val="left"/>
              <w:rPr>
                <w:rFonts w:ascii="宋体" w:hAnsi="宋体" w:cs="宋体"/>
                <w:color w:val="auto"/>
                <w:szCs w:val="21"/>
                <w:highlight w:val="none"/>
              </w:rPr>
            </w:pPr>
            <w:r>
              <w:rPr>
                <w:rFonts w:hint="eastAsia" w:ascii="宋体" w:hAnsi="宋体" w:cs="宋体"/>
                <w:color w:val="auto"/>
                <w:szCs w:val="21"/>
                <w:highlight w:val="none"/>
              </w:rPr>
              <w:t>3.11（13）被工商行政</w:t>
            </w:r>
            <w:r>
              <w:rPr>
                <w:rFonts w:hint="eastAsia" w:ascii="宋体" w:hAnsi="宋体" w:cs="宋体"/>
                <w:color w:val="auto"/>
                <w:szCs w:val="21"/>
                <w:highlight w:val="none"/>
                <w:u w:val="single"/>
              </w:rPr>
              <w:t>（市场监管）</w:t>
            </w:r>
            <w:r>
              <w:rPr>
                <w:rFonts w:hint="eastAsia" w:ascii="宋体" w:hAnsi="宋体" w:cs="宋体"/>
                <w:color w:val="auto"/>
                <w:szCs w:val="21"/>
                <w:highlight w:val="none"/>
              </w:rPr>
              <w:t>管理机关在全国企业信用信息公示系统中列入严重违法失信企业名单；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17</w:t>
            </w:r>
          </w:p>
        </w:tc>
        <w:tc>
          <w:tcPr>
            <w:tcW w:w="1195" w:type="dxa"/>
            <w:vAlign w:val="center"/>
          </w:tcPr>
          <w:p>
            <w:pPr>
              <w:tabs>
                <w:tab w:val="center" w:pos="522"/>
              </w:tabs>
              <w:spacing w:line="300" w:lineRule="atLeast"/>
              <w:jc w:val="center"/>
              <w:rPr>
                <w:rFonts w:ascii="宋体" w:hAnsi="宋体" w:cs="宋体"/>
                <w:color w:val="auto"/>
                <w:szCs w:val="21"/>
                <w:highlight w:val="none"/>
              </w:rPr>
            </w:pPr>
            <w:r>
              <w:rPr>
                <w:rFonts w:hint="eastAsia" w:ascii="宋体" w:hAnsi="宋体" w:cs="宋体"/>
                <w:color w:val="auto"/>
                <w:szCs w:val="21"/>
                <w:highlight w:val="none"/>
              </w:rPr>
              <w:t>3.11（16）</w:t>
            </w:r>
          </w:p>
          <w:p>
            <w:pPr>
              <w:tabs>
                <w:tab w:val="center" w:pos="522"/>
              </w:tabs>
              <w:spacing w:line="300" w:lineRule="atLeast"/>
              <w:jc w:val="center"/>
              <w:rPr>
                <w:rFonts w:ascii="宋体" w:hAnsi="宋体" w:cs="宋体"/>
                <w:color w:val="auto"/>
                <w:szCs w:val="21"/>
                <w:highlight w:val="none"/>
              </w:rPr>
            </w:pPr>
            <w:r>
              <w:rPr>
                <w:rFonts w:hint="eastAsia" w:ascii="宋体" w:hAnsi="宋体" w:cs="宋体"/>
                <w:color w:val="auto"/>
                <w:szCs w:val="21"/>
                <w:highlight w:val="none"/>
              </w:rPr>
              <w:t>3.11（17）</w:t>
            </w:r>
          </w:p>
          <w:p>
            <w:pPr>
              <w:tabs>
                <w:tab w:val="center" w:pos="522"/>
              </w:tabs>
              <w:spacing w:line="300" w:lineRule="atLeast"/>
              <w:jc w:val="center"/>
              <w:rPr>
                <w:rFonts w:ascii="宋体" w:hAnsi="宋体" w:cs="宋体"/>
                <w:color w:val="auto"/>
                <w:szCs w:val="21"/>
                <w:highlight w:val="none"/>
              </w:rPr>
            </w:pPr>
          </w:p>
        </w:tc>
        <w:tc>
          <w:tcPr>
            <w:tcW w:w="3713" w:type="dxa"/>
            <w:vAlign w:val="center"/>
          </w:tcPr>
          <w:p>
            <w:pPr>
              <w:jc w:val="left"/>
              <w:rPr>
                <w:rFonts w:ascii="宋体" w:hAnsi="宋体" w:cs="宋体"/>
                <w:color w:val="auto"/>
                <w:szCs w:val="21"/>
                <w:highlight w:val="none"/>
              </w:rPr>
            </w:pPr>
          </w:p>
        </w:tc>
        <w:tc>
          <w:tcPr>
            <w:tcW w:w="4395" w:type="dxa"/>
          </w:tcPr>
          <w:p>
            <w:pPr>
              <w:spacing w:line="300" w:lineRule="atLeast"/>
              <w:jc w:val="left"/>
              <w:rPr>
                <w:rFonts w:ascii="宋体" w:hAnsi="宋体" w:cs="宋体"/>
                <w:b/>
                <w:color w:val="auto"/>
                <w:szCs w:val="21"/>
                <w:highlight w:val="none"/>
              </w:rPr>
            </w:pPr>
            <w:r>
              <w:rPr>
                <w:rFonts w:hint="eastAsia" w:ascii="宋体" w:hAnsi="宋体" w:cs="宋体"/>
                <w:b/>
                <w:color w:val="auto"/>
                <w:szCs w:val="21"/>
                <w:highlight w:val="none"/>
              </w:rPr>
              <w:t>增加：</w:t>
            </w:r>
          </w:p>
          <w:p>
            <w:pPr>
              <w:jc w:val="left"/>
              <w:rPr>
                <w:rFonts w:ascii="宋体" w:hAnsi="宋体"/>
                <w:color w:val="auto"/>
                <w:szCs w:val="21"/>
                <w:highlight w:val="none"/>
                <w:u w:val="single"/>
              </w:rPr>
            </w:pPr>
            <w:r>
              <w:rPr>
                <w:rFonts w:hint="eastAsia" w:ascii="宋体" w:hAnsi="宋体"/>
                <w:color w:val="auto"/>
                <w:szCs w:val="21"/>
                <w:highlight w:val="none"/>
                <w:u w:val="single"/>
              </w:rPr>
              <w:t>3.11（16）</w:t>
            </w:r>
            <w:r>
              <w:rPr>
                <w:rFonts w:hint="eastAsia" w:ascii="宋体" w:hAnsi="宋体"/>
                <w:color w:val="auto"/>
                <w:highlight w:val="none"/>
                <w:u w:val="single"/>
              </w:rPr>
              <w:t>被住房城乡建设行政主管部门在全国建筑市场监管一体化工作平台列入建筑市场主体“黑名单”</w:t>
            </w:r>
            <w:r>
              <w:rPr>
                <w:rFonts w:hint="eastAsia" w:ascii="宋体" w:hAnsi="宋体"/>
                <w:color w:val="auto"/>
                <w:szCs w:val="21"/>
                <w:highlight w:val="none"/>
                <w:u w:val="single"/>
              </w:rPr>
              <w:t>；</w:t>
            </w:r>
          </w:p>
          <w:p>
            <w:pPr>
              <w:jc w:val="left"/>
              <w:rPr>
                <w:rFonts w:ascii="宋体" w:hAnsi="宋体" w:cs="宋体"/>
                <w:color w:val="auto"/>
                <w:szCs w:val="21"/>
                <w:highlight w:val="none"/>
                <w:u w:val="single"/>
              </w:rPr>
            </w:pPr>
            <w:r>
              <w:rPr>
                <w:rFonts w:hint="eastAsia" w:ascii="宋体" w:hAnsi="宋体"/>
                <w:color w:val="auto"/>
                <w:szCs w:val="21"/>
                <w:highlight w:val="none"/>
                <w:u w:val="single"/>
              </w:rPr>
              <w:t>3.11（17）</w:t>
            </w:r>
            <w:r>
              <w:rPr>
                <w:rFonts w:hint="eastAsia" w:ascii="宋体" w:hAnsi="宋体"/>
                <w:color w:val="auto"/>
                <w:highlight w:val="none"/>
                <w:u w:val="single"/>
              </w:rPr>
              <w:t>被发改委、人力资源社会保障、质检总局等有关部门、单位在“信用中国”网站中列入联合惩戒失信黑名单。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18</w:t>
            </w:r>
          </w:p>
        </w:tc>
        <w:tc>
          <w:tcPr>
            <w:tcW w:w="1195" w:type="dxa"/>
            <w:vAlign w:val="center"/>
          </w:tcPr>
          <w:p>
            <w:pPr>
              <w:tabs>
                <w:tab w:val="center" w:pos="522"/>
              </w:tabs>
              <w:spacing w:line="300" w:lineRule="atLeast"/>
              <w:jc w:val="center"/>
              <w:rPr>
                <w:rFonts w:ascii="宋体" w:hAnsi="宋体" w:cs="宋体"/>
                <w:color w:val="auto"/>
                <w:szCs w:val="21"/>
                <w:highlight w:val="none"/>
              </w:rPr>
            </w:pPr>
            <w:r>
              <w:rPr>
                <w:rFonts w:hint="eastAsia" w:ascii="宋体" w:hAnsi="宋体" w:cs="宋体"/>
                <w:color w:val="auto"/>
                <w:szCs w:val="21"/>
                <w:highlight w:val="none"/>
              </w:rPr>
              <w:t>4.1.1</w:t>
            </w:r>
          </w:p>
        </w:tc>
        <w:tc>
          <w:tcPr>
            <w:tcW w:w="3713" w:type="dxa"/>
          </w:tcPr>
          <w:p>
            <w:pPr>
              <w:jc w:val="left"/>
              <w:rPr>
                <w:rFonts w:ascii="宋体" w:hAnsi="宋体" w:cs="宋体"/>
                <w:color w:val="auto"/>
                <w:szCs w:val="21"/>
                <w:highlight w:val="none"/>
              </w:rPr>
            </w:pPr>
          </w:p>
          <w:p>
            <w:pPr>
              <w:jc w:val="left"/>
              <w:rPr>
                <w:rFonts w:ascii="宋体" w:hAnsi="宋体" w:cs="宋体"/>
                <w:color w:val="auto"/>
                <w:szCs w:val="21"/>
                <w:highlight w:val="none"/>
              </w:rPr>
            </w:pPr>
            <w:r>
              <w:rPr>
                <w:rFonts w:hint="eastAsia" w:ascii="宋体" w:hAnsi="宋体" w:cs="宋体"/>
                <w:color w:val="auto"/>
                <w:szCs w:val="21"/>
                <w:highlight w:val="none"/>
              </w:rPr>
              <w:t>4.1.1  投标人有下列情况之一的，评标委员会应当否决其投标：</w:t>
            </w:r>
          </w:p>
          <w:p>
            <w:pPr>
              <w:jc w:val="left"/>
              <w:rPr>
                <w:rFonts w:ascii="宋体" w:hAnsi="宋体" w:cs="宋体"/>
                <w:color w:val="auto"/>
                <w:szCs w:val="21"/>
                <w:highlight w:val="none"/>
              </w:rPr>
            </w:pPr>
            <w:r>
              <w:rPr>
                <w:rFonts w:hint="eastAsia" w:ascii="宋体" w:hAnsi="宋体" w:cs="宋体"/>
                <w:color w:val="auto"/>
                <w:szCs w:val="21"/>
                <w:highlight w:val="none"/>
              </w:rPr>
              <w:t>(a) 投标人与招标人、评标委员会成员或者其他投标人串通投标；</w:t>
            </w:r>
          </w:p>
          <w:p>
            <w:pPr>
              <w:jc w:val="left"/>
              <w:rPr>
                <w:rFonts w:ascii="宋体" w:hAnsi="宋体" w:cs="宋体"/>
                <w:color w:val="auto"/>
                <w:szCs w:val="21"/>
                <w:highlight w:val="none"/>
              </w:rPr>
            </w:pPr>
            <w:r>
              <w:rPr>
                <w:rFonts w:hint="eastAsia" w:ascii="宋体" w:hAnsi="宋体" w:cs="宋体"/>
                <w:color w:val="auto"/>
                <w:szCs w:val="21"/>
                <w:highlight w:val="none"/>
              </w:rPr>
              <w:t>(b) 投标人之间存在《广东省实施&lt;中华人民共和国招标投标法&gt;》第十六条所禁止的情形的；</w:t>
            </w:r>
          </w:p>
        </w:tc>
        <w:tc>
          <w:tcPr>
            <w:tcW w:w="4395" w:type="dxa"/>
          </w:tcPr>
          <w:p>
            <w:pPr>
              <w:jc w:val="left"/>
              <w:rPr>
                <w:rFonts w:ascii="宋体" w:hAnsi="宋体" w:cs="宋体"/>
                <w:b/>
                <w:bCs/>
                <w:color w:val="auto"/>
                <w:szCs w:val="21"/>
                <w:highlight w:val="none"/>
              </w:rPr>
            </w:pPr>
            <w:r>
              <w:rPr>
                <w:rFonts w:hint="eastAsia" w:ascii="宋体" w:hAnsi="宋体" w:cs="宋体"/>
                <w:b/>
                <w:bCs/>
                <w:color w:val="auto"/>
                <w:szCs w:val="21"/>
                <w:highlight w:val="none"/>
              </w:rPr>
              <w:t>修改：</w:t>
            </w:r>
          </w:p>
          <w:p>
            <w:pPr>
              <w:jc w:val="left"/>
              <w:rPr>
                <w:rFonts w:ascii="宋体" w:hAnsi="宋体" w:cs="宋体"/>
                <w:color w:val="auto"/>
                <w:szCs w:val="21"/>
                <w:highlight w:val="none"/>
              </w:rPr>
            </w:pPr>
            <w:r>
              <w:rPr>
                <w:rFonts w:hint="eastAsia" w:ascii="宋体" w:hAnsi="宋体" w:cs="宋体"/>
                <w:color w:val="auto"/>
                <w:szCs w:val="21"/>
                <w:highlight w:val="none"/>
              </w:rPr>
              <w:t>4.1.1  投标人有下列情况之一的，评标委员会应当否决其投标：</w:t>
            </w:r>
          </w:p>
          <w:p>
            <w:pPr>
              <w:jc w:val="left"/>
              <w:rPr>
                <w:rFonts w:ascii="宋体" w:hAnsi="宋体" w:cs="宋体"/>
                <w:color w:val="auto"/>
                <w:szCs w:val="21"/>
                <w:highlight w:val="none"/>
              </w:rPr>
            </w:pPr>
            <w:r>
              <w:rPr>
                <w:rFonts w:hint="eastAsia" w:ascii="宋体" w:hAnsi="宋体" w:cs="宋体"/>
                <w:color w:val="auto"/>
                <w:szCs w:val="21"/>
                <w:highlight w:val="none"/>
              </w:rPr>
              <w:t>(a) 投标人与招标人、评标委员会成员或者其他投标人串通投标；</w:t>
            </w:r>
          </w:p>
          <w:p>
            <w:pPr>
              <w:jc w:val="left"/>
              <w:rPr>
                <w:rFonts w:ascii="宋体" w:hAnsi="宋体" w:cs="宋体"/>
                <w:color w:val="auto"/>
                <w:szCs w:val="21"/>
                <w:highlight w:val="none"/>
              </w:rPr>
            </w:pPr>
            <w:r>
              <w:rPr>
                <w:rFonts w:hint="eastAsia" w:ascii="宋体" w:hAnsi="宋体" w:cs="宋体"/>
                <w:color w:val="auto"/>
                <w:szCs w:val="21"/>
                <w:highlight w:val="none"/>
              </w:rPr>
              <w:t>(b) 投标人之间存在《广东省实施&lt;中华人民共和国招标投标法&gt;》第十六条所禁止的情形的；</w:t>
            </w:r>
          </w:p>
          <w:p>
            <w:pPr>
              <w:jc w:val="left"/>
              <w:rPr>
                <w:rFonts w:ascii="宋体" w:hAnsi="宋体" w:cs="宋体"/>
                <w:color w:val="auto"/>
                <w:szCs w:val="21"/>
                <w:highlight w:val="none"/>
              </w:rPr>
            </w:pPr>
            <w:r>
              <w:rPr>
                <w:rFonts w:hint="eastAsia" w:ascii="宋体" w:hAnsi="宋体"/>
                <w:color w:val="auto"/>
                <w:highlight w:val="none"/>
                <w:u w:val="single"/>
              </w:rPr>
              <w:t>(c) 投标人不符合本项目招标文件附录《资格审查表》中任一条审查项目的；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19</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4.1.2</w:t>
            </w:r>
          </w:p>
        </w:tc>
        <w:tc>
          <w:tcPr>
            <w:tcW w:w="3713" w:type="dxa"/>
          </w:tcPr>
          <w:p>
            <w:pPr>
              <w:jc w:val="left"/>
              <w:rPr>
                <w:rFonts w:ascii="宋体" w:hAnsi="宋体" w:cs="宋体"/>
                <w:color w:val="auto"/>
                <w:szCs w:val="21"/>
                <w:highlight w:val="none"/>
              </w:rPr>
            </w:pPr>
          </w:p>
          <w:p>
            <w:pPr>
              <w:jc w:val="left"/>
              <w:rPr>
                <w:rFonts w:ascii="宋体" w:hAnsi="宋体" w:cs="宋体"/>
                <w:color w:val="auto"/>
                <w:szCs w:val="21"/>
                <w:highlight w:val="none"/>
              </w:rPr>
            </w:pPr>
            <w:r>
              <w:rPr>
                <w:rFonts w:hint="eastAsia" w:ascii="宋体" w:hAnsi="宋体" w:cs="宋体"/>
                <w:color w:val="auto"/>
                <w:szCs w:val="21"/>
                <w:highlight w:val="none"/>
              </w:rPr>
              <w:t>4.1.2  投标书有下列情况之一的，评标委员会应当否决其投标：</w:t>
            </w:r>
          </w:p>
          <w:p>
            <w:pPr>
              <w:jc w:val="left"/>
              <w:rPr>
                <w:rFonts w:ascii="宋体" w:hAnsi="宋体" w:cs="宋体"/>
                <w:color w:val="auto"/>
                <w:szCs w:val="21"/>
                <w:highlight w:val="none"/>
              </w:rPr>
            </w:pPr>
            <w:r>
              <w:rPr>
                <w:rFonts w:hint="eastAsia" w:ascii="宋体" w:hAnsi="宋体" w:cs="宋体"/>
                <w:color w:val="auto"/>
                <w:szCs w:val="21"/>
                <w:highlight w:val="none"/>
              </w:rPr>
              <w:t>(a) 《投标书》未加盖投标人公章，也未经法定代表人或者其授权代表签字；</w:t>
            </w:r>
          </w:p>
          <w:p>
            <w:pPr>
              <w:jc w:val="left"/>
              <w:rPr>
                <w:rFonts w:ascii="宋体" w:hAnsi="宋体" w:cs="宋体"/>
                <w:color w:val="auto"/>
                <w:szCs w:val="21"/>
                <w:highlight w:val="none"/>
              </w:rPr>
            </w:pPr>
            <w:r>
              <w:rPr>
                <w:rFonts w:hint="eastAsia" w:ascii="宋体" w:hAnsi="宋体" w:cs="宋体"/>
                <w:color w:val="auto"/>
                <w:szCs w:val="21"/>
                <w:highlight w:val="none"/>
              </w:rPr>
              <w:t>(b) 《投标书》包含有招标人不能接受的偏差，并且投标人拒绝书面撤回偏差；</w:t>
            </w:r>
          </w:p>
          <w:p>
            <w:pPr>
              <w:jc w:val="left"/>
              <w:rPr>
                <w:rFonts w:ascii="宋体" w:hAnsi="宋体" w:cs="宋体"/>
                <w:color w:val="auto"/>
                <w:szCs w:val="21"/>
                <w:highlight w:val="none"/>
              </w:rPr>
            </w:pPr>
            <w:r>
              <w:rPr>
                <w:rFonts w:hint="eastAsia" w:ascii="宋体" w:hAnsi="宋体" w:cs="宋体"/>
                <w:color w:val="auto"/>
                <w:szCs w:val="21"/>
                <w:highlight w:val="none"/>
              </w:rPr>
              <w:t>(c) 《投标人声明》未按规定格式填写或未加盖投标人公章（适用于未设资格审查环节的项目）</w:t>
            </w:r>
          </w:p>
        </w:tc>
        <w:tc>
          <w:tcPr>
            <w:tcW w:w="4395" w:type="dxa"/>
          </w:tcPr>
          <w:p>
            <w:pPr>
              <w:jc w:val="left"/>
              <w:rPr>
                <w:rFonts w:ascii="宋体" w:hAnsi="宋体" w:cs="宋体"/>
                <w:b/>
                <w:bCs/>
                <w:color w:val="auto"/>
                <w:szCs w:val="21"/>
                <w:highlight w:val="none"/>
              </w:rPr>
            </w:pPr>
            <w:r>
              <w:rPr>
                <w:rFonts w:hint="eastAsia" w:ascii="宋体" w:hAnsi="宋体" w:cs="宋体"/>
                <w:b/>
                <w:bCs/>
                <w:color w:val="auto"/>
                <w:szCs w:val="21"/>
                <w:highlight w:val="none"/>
              </w:rPr>
              <w:t>修改：</w:t>
            </w:r>
          </w:p>
          <w:p>
            <w:pPr>
              <w:jc w:val="left"/>
              <w:rPr>
                <w:rFonts w:ascii="宋体" w:hAnsi="宋体" w:cs="宋体"/>
                <w:color w:val="auto"/>
                <w:szCs w:val="21"/>
                <w:highlight w:val="none"/>
              </w:rPr>
            </w:pPr>
            <w:r>
              <w:rPr>
                <w:rFonts w:hint="eastAsia" w:ascii="宋体" w:hAnsi="宋体" w:cs="宋体"/>
                <w:color w:val="auto"/>
                <w:szCs w:val="21"/>
                <w:highlight w:val="none"/>
              </w:rPr>
              <w:t>4.1.2  投标书有下列情况之一的，评标委员会应当否决其投标：</w:t>
            </w:r>
          </w:p>
          <w:p>
            <w:pPr>
              <w:jc w:val="left"/>
              <w:rPr>
                <w:rFonts w:ascii="宋体" w:hAnsi="宋体" w:cs="宋体"/>
                <w:color w:val="auto"/>
                <w:szCs w:val="21"/>
                <w:highlight w:val="none"/>
              </w:rPr>
            </w:pPr>
            <w:r>
              <w:rPr>
                <w:rFonts w:hint="eastAsia" w:ascii="宋体" w:hAnsi="宋体" w:cs="宋体"/>
                <w:color w:val="auto"/>
                <w:szCs w:val="21"/>
                <w:highlight w:val="none"/>
              </w:rPr>
              <w:t>(a) 《投标书》未加盖投标人公章</w:t>
            </w:r>
            <w:r>
              <w:rPr>
                <w:rFonts w:hint="eastAsia" w:ascii="宋体" w:hAnsi="宋体" w:cs="宋体"/>
                <w:color w:val="auto"/>
                <w:szCs w:val="21"/>
                <w:highlight w:val="none"/>
                <w:u w:val="single"/>
              </w:rPr>
              <w:t>（以联合体形式投标的，未加盖联合体牵头人公章）</w:t>
            </w:r>
            <w:r>
              <w:rPr>
                <w:rFonts w:hint="eastAsia" w:ascii="宋体" w:hAnsi="宋体" w:cs="宋体"/>
                <w:color w:val="auto"/>
                <w:szCs w:val="21"/>
                <w:highlight w:val="none"/>
              </w:rPr>
              <w:t>，</w:t>
            </w:r>
            <w:r>
              <w:rPr>
                <w:rFonts w:hint="eastAsia" w:ascii="宋体" w:hAnsi="宋体" w:cs="宋体"/>
                <w:color w:val="auto"/>
                <w:szCs w:val="21"/>
                <w:highlight w:val="none"/>
                <w:u w:val="single"/>
              </w:rPr>
              <w:t>或</w:t>
            </w:r>
            <w:r>
              <w:rPr>
                <w:rFonts w:hint="eastAsia" w:ascii="宋体" w:hAnsi="宋体" w:cs="宋体"/>
                <w:color w:val="auto"/>
                <w:szCs w:val="21"/>
                <w:highlight w:val="none"/>
              </w:rPr>
              <w:t>未经法定代表人</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其授权代表</w:t>
            </w:r>
            <w:r>
              <w:rPr>
                <w:rFonts w:hint="eastAsia" w:ascii="宋体" w:hAnsi="宋体" w:cs="宋体"/>
                <w:color w:val="auto"/>
                <w:szCs w:val="21"/>
                <w:highlight w:val="none"/>
                <w:u w:val="single"/>
              </w:rPr>
              <w:t>或者项目负责人签字或盖章（以联合体形式投标的，未经项目负责人</w:t>
            </w:r>
            <w:r>
              <w:rPr>
                <w:rFonts w:hint="eastAsia" w:ascii="宋体" w:hAnsi="宋体" w:cs="宋体"/>
                <w:color w:val="auto"/>
                <w:szCs w:val="21"/>
                <w:highlight w:val="none"/>
                <w:u w:val="single"/>
                <w:lang w:val="en-US" w:eastAsia="zh-CN"/>
              </w:rPr>
              <w:t>和</w:t>
            </w:r>
            <w:r>
              <w:rPr>
                <w:rFonts w:hint="eastAsia" w:ascii="宋体" w:hAnsi="宋体" w:cs="宋体"/>
                <w:color w:val="auto"/>
                <w:szCs w:val="21"/>
                <w:highlight w:val="none"/>
                <w:u w:val="single"/>
              </w:rPr>
              <w:t>联合体牵头人的法定代表人或者其授权代表签字或盖章）</w:t>
            </w:r>
            <w:r>
              <w:rPr>
                <w:rFonts w:hint="eastAsia" w:ascii="宋体" w:hAnsi="宋体" w:cs="宋体"/>
                <w:color w:val="auto"/>
                <w:szCs w:val="21"/>
                <w:highlight w:val="none"/>
              </w:rPr>
              <w:t>；</w:t>
            </w:r>
          </w:p>
          <w:p>
            <w:pPr>
              <w:jc w:val="left"/>
              <w:rPr>
                <w:rFonts w:ascii="宋体" w:hAnsi="宋体" w:cs="宋体"/>
                <w:color w:val="auto"/>
                <w:szCs w:val="21"/>
                <w:highlight w:val="none"/>
              </w:rPr>
            </w:pPr>
            <w:r>
              <w:rPr>
                <w:rFonts w:hint="eastAsia" w:ascii="宋体" w:hAnsi="宋体" w:cs="宋体"/>
                <w:color w:val="auto"/>
                <w:szCs w:val="21"/>
                <w:highlight w:val="none"/>
              </w:rPr>
              <w:t>(b) 《投标书》包含有招标人不能接受的偏差，并且投标人拒绝书面撤回偏差；</w:t>
            </w:r>
          </w:p>
          <w:p>
            <w:pPr>
              <w:jc w:val="left"/>
              <w:rPr>
                <w:rFonts w:ascii="宋体" w:hAnsi="宋体" w:cs="宋体"/>
                <w:color w:val="auto"/>
                <w:szCs w:val="21"/>
                <w:highlight w:val="none"/>
              </w:rPr>
            </w:pPr>
            <w:r>
              <w:rPr>
                <w:rFonts w:hint="eastAsia" w:ascii="宋体" w:hAnsi="宋体" w:cs="宋体"/>
                <w:color w:val="auto"/>
                <w:szCs w:val="21"/>
                <w:highlight w:val="none"/>
              </w:rPr>
              <w:t xml:space="preserve">(c) </w:t>
            </w:r>
            <w:r>
              <w:rPr>
                <w:rFonts w:hint="eastAsia" w:ascii="宋体" w:hAnsi="宋体" w:cs="宋体"/>
                <w:color w:val="auto"/>
                <w:szCs w:val="21"/>
                <w:highlight w:val="none"/>
                <w:u w:val="single"/>
              </w:rPr>
              <w:t>《投标书》未按招标文件规定的格式填写，内容不全或者关键字迹模糊无法辨认；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1195" w:type="dxa"/>
            <w:vAlign w:val="center"/>
          </w:tcPr>
          <w:p>
            <w:pPr>
              <w:jc w:val="center"/>
              <w:rPr>
                <w:rFonts w:ascii="宋体" w:hAnsi="宋体"/>
                <w:color w:val="auto"/>
                <w:szCs w:val="21"/>
                <w:highlight w:val="none"/>
              </w:rPr>
            </w:pPr>
            <w:r>
              <w:rPr>
                <w:rFonts w:hint="eastAsia" w:ascii="宋体" w:hAnsi="宋体" w:cs="宋体"/>
                <w:color w:val="auto"/>
                <w:szCs w:val="21"/>
                <w:highlight w:val="none"/>
              </w:rPr>
              <w:t>4.1.3</w:t>
            </w:r>
          </w:p>
        </w:tc>
        <w:tc>
          <w:tcPr>
            <w:tcW w:w="3713" w:type="dxa"/>
          </w:tcPr>
          <w:p>
            <w:pPr>
              <w:jc w:val="left"/>
              <w:rPr>
                <w:rFonts w:ascii="宋体" w:hAnsi="宋体" w:cs="宋体"/>
                <w:color w:val="auto"/>
                <w:szCs w:val="21"/>
                <w:highlight w:val="none"/>
              </w:rPr>
            </w:pPr>
          </w:p>
          <w:p>
            <w:pPr>
              <w:jc w:val="left"/>
              <w:rPr>
                <w:rFonts w:ascii="宋体" w:hAnsi="宋体" w:cs="宋体"/>
                <w:color w:val="auto"/>
                <w:szCs w:val="21"/>
                <w:highlight w:val="none"/>
              </w:rPr>
            </w:pPr>
            <w:r>
              <w:rPr>
                <w:rFonts w:hint="eastAsia" w:ascii="宋体" w:hAnsi="宋体" w:cs="宋体"/>
                <w:color w:val="auto"/>
                <w:szCs w:val="21"/>
                <w:highlight w:val="none"/>
              </w:rPr>
              <w:t>4.1.3  投标文件有下列情况之一的，评标委员会应当否决其投标：</w:t>
            </w:r>
          </w:p>
          <w:p>
            <w:pPr>
              <w:jc w:val="left"/>
              <w:rPr>
                <w:rFonts w:ascii="宋体" w:hAnsi="宋体" w:cs="宋体"/>
                <w:color w:val="auto"/>
                <w:szCs w:val="21"/>
                <w:highlight w:val="none"/>
              </w:rPr>
            </w:pPr>
            <w:r>
              <w:rPr>
                <w:rFonts w:hint="eastAsia" w:ascii="宋体" w:hAnsi="宋体" w:cs="宋体"/>
                <w:color w:val="auto"/>
                <w:szCs w:val="21"/>
                <w:highlight w:val="none"/>
              </w:rPr>
              <w:t>(a) 投标人与其他投标人加密打包投标文件电脑机器特征码一致的；</w:t>
            </w:r>
          </w:p>
          <w:p>
            <w:pPr>
              <w:jc w:val="left"/>
              <w:rPr>
                <w:rFonts w:ascii="宋体" w:hAnsi="宋体" w:cs="宋体"/>
                <w:color w:val="auto"/>
                <w:szCs w:val="21"/>
                <w:highlight w:val="none"/>
              </w:rPr>
            </w:pPr>
            <w:r>
              <w:rPr>
                <w:rFonts w:hint="eastAsia" w:ascii="宋体" w:hAnsi="宋体" w:cs="宋体"/>
                <w:color w:val="auto"/>
                <w:szCs w:val="21"/>
                <w:highlight w:val="none"/>
              </w:rPr>
              <w:t>(b) 投标人在设计方案内标注名称、印章、商标、图形等记认符号，使人辨认出投标人或其专业技术人员的身份；</w:t>
            </w:r>
          </w:p>
          <w:p>
            <w:pPr>
              <w:jc w:val="left"/>
              <w:rPr>
                <w:rFonts w:ascii="宋体" w:hAnsi="宋体" w:cs="宋体"/>
                <w:color w:val="auto"/>
                <w:szCs w:val="21"/>
                <w:highlight w:val="none"/>
              </w:rPr>
            </w:pPr>
            <w:r>
              <w:rPr>
                <w:rFonts w:hint="eastAsia" w:ascii="宋体" w:hAnsi="宋体" w:cs="宋体"/>
                <w:color w:val="auto"/>
                <w:szCs w:val="21"/>
                <w:highlight w:val="none"/>
              </w:rPr>
              <w:t>(c)投标人之间存在《广东省实施&lt;中华人民共和国招标投标法&gt;》第十六条所禁止的情形的；</w:t>
            </w:r>
          </w:p>
          <w:p>
            <w:pPr>
              <w:jc w:val="left"/>
              <w:rPr>
                <w:rFonts w:ascii="宋体" w:hAnsi="宋体" w:cs="宋体"/>
                <w:color w:val="auto"/>
                <w:szCs w:val="21"/>
                <w:highlight w:val="none"/>
              </w:rPr>
            </w:pPr>
            <w:r>
              <w:rPr>
                <w:rFonts w:hint="eastAsia" w:ascii="宋体" w:hAnsi="宋体" w:cs="宋体"/>
                <w:color w:val="auto"/>
                <w:szCs w:val="21"/>
                <w:highlight w:val="none"/>
              </w:rPr>
              <w:t>(d)投标报价高于最高投标限价的。</w:t>
            </w:r>
          </w:p>
        </w:tc>
        <w:tc>
          <w:tcPr>
            <w:tcW w:w="4395" w:type="dxa"/>
            <w:vAlign w:val="center"/>
          </w:tcPr>
          <w:p>
            <w:pPr>
              <w:jc w:val="left"/>
              <w:rPr>
                <w:rFonts w:ascii="宋体" w:hAnsi="宋体" w:cs="宋体"/>
                <w:b/>
                <w:bCs/>
                <w:color w:val="auto"/>
                <w:szCs w:val="21"/>
                <w:highlight w:val="none"/>
              </w:rPr>
            </w:pPr>
            <w:r>
              <w:rPr>
                <w:rFonts w:hint="eastAsia" w:ascii="宋体" w:hAnsi="宋体" w:cs="宋体"/>
                <w:b/>
                <w:bCs/>
                <w:color w:val="auto"/>
                <w:szCs w:val="21"/>
                <w:highlight w:val="none"/>
              </w:rPr>
              <w:t>修改：</w:t>
            </w:r>
          </w:p>
          <w:p>
            <w:pPr>
              <w:jc w:val="left"/>
              <w:rPr>
                <w:rFonts w:ascii="宋体" w:hAnsi="宋体"/>
                <w:color w:val="auto"/>
                <w:highlight w:val="none"/>
              </w:rPr>
            </w:pPr>
            <w:r>
              <w:rPr>
                <w:rFonts w:hint="eastAsia" w:ascii="宋体" w:hAnsi="宋体"/>
                <w:color w:val="auto"/>
                <w:highlight w:val="none"/>
              </w:rPr>
              <w:t>4.1</w:t>
            </w:r>
            <w:r>
              <w:rPr>
                <w:rFonts w:ascii="宋体" w:hAnsi="宋体"/>
                <w:color w:val="auto"/>
                <w:highlight w:val="none"/>
              </w:rPr>
              <w:t>.</w:t>
            </w:r>
            <w:r>
              <w:rPr>
                <w:rFonts w:hint="eastAsia" w:ascii="宋体" w:hAnsi="宋体"/>
                <w:color w:val="auto"/>
                <w:highlight w:val="none"/>
              </w:rPr>
              <w:t xml:space="preserve">3  </w:t>
            </w:r>
            <w:r>
              <w:rPr>
                <w:rFonts w:hint="eastAsia" w:ascii="宋体" w:hAnsi="宋体"/>
                <w:color w:val="auto"/>
                <w:szCs w:val="21"/>
                <w:highlight w:val="none"/>
              </w:rPr>
              <w:t>投标文件有下列情况之一的，</w:t>
            </w:r>
            <w:r>
              <w:rPr>
                <w:rFonts w:hint="eastAsia" w:ascii="宋体" w:hAnsi="宋体"/>
                <w:color w:val="auto"/>
                <w:highlight w:val="none"/>
              </w:rPr>
              <w:t>评标委员会</w:t>
            </w:r>
            <w:r>
              <w:rPr>
                <w:rFonts w:hint="eastAsia" w:ascii="宋体" w:hAnsi="宋体" w:cs="宋体"/>
                <w:color w:val="auto"/>
                <w:szCs w:val="21"/>
                <w:highlight w:val="none"/>
              </w:rPr>
              <w:t>应当</w:t>
            </w:r>
            <w:r>
              <w:rPr>
                <w:rFonts w:hint="eastAsia" w:ascii="宋体" w:hAnsi="宋体"/>
                <w:color w:val="auto"/>
                <w:highlight w:val="none"/>
              </w:rPr>
              <w:t>否决其投标：</w:t>
            </w:r>
          </w:p>
          <w:p>
            <w:pPr>
              <w:jc w:val="left"/>
              <w:rPr>
                <w:rFonts w:ascii="宋体" w:hAnsi="宋体"/>
                <w:color w:val="auto"/>
                <w:highlight w:val="none"/>
              </w:rPr>
            </w:pPr>
            <w:r>
              <w:rPr>
                <w:rFonts w:hint="eastAsia" w:ascii="宋体" w:hAnsi="宋体"/>
                <w:color w:val="auto"/>
                <w:highlight w:val="none"/>
              </w:rPr>
              <w:t>(a)投标人与其他投标人加密打包投标文件电脑机器特征码一致的；</w:t>
            </w:r>
          </w:p>
          <w:p>
            <w:pPr>
              <w:jc w:val="left"/>
              <w:rPr>
                <w:rFonts w:ascii="宋体" w:hAnsi="宋体"/>
                <w:color w:val="auto"/>
                <w:highlight w:val="none"/>
              </w:rPr>
            </w:pPr>
            <w:r>
              <w:rPr>
                <w:rFonts w:hint="eastAsia" w:ascii="宋体" w:hAnsi="宋体"/>
                <w:color w:val="auto"/>
                <w:highlight w:val="none"/>
              </w:rPr>
              <w:t>(b)投标人之间存在《广东省实施&lt;中华人民共和国招标投标法&gt;》第十六条所禁止的情形的；</w:t>
            </w:r>
          </w:p>
          <w:p>
            <w:pPr>
              <w:jc w:val="left"/>
              <w:rPr>
                <w:rFonts w:ascii="宋体" w:hAnsi="宋体"/>
                <w:color w:val="auto"/>
                <w:highlight w:val="none"/>
                <w:u w:val="single"/>
              </w:rPr>
            </w:pPr>
            <w:r>
              <w:rPr>
                <w:rFonts w:hint="eastAsia" w:ascii="宋体" w:hAnsi="宋体"/>
                <w:color w:val="auto"/>
                <w:highlight w:val="none"/>
                <w:u w:val="single"/>
              </w:rPr>
              <w:t>(c) 商务文件未按照招标文件要求进行投标报价，未按招标文件附录3、附录3-1、附录3-2、附录3-3填报报价；</w:t>
            </w:r>
          </w:p>
          <w:p>
            <w:pPr>
              <w:jc w:val="left"/>
              <w:rPr>
                <w:rFonts w:ascii="宋体" w:hAnsi="宋体"/>
                <w:color w:val="auto"/>
                <w:highlight w:val="none"/>
                <w:u w:val="single"/>
              </w:rPr>
            </w:pPr>
            <w:r>
              <w:rPr>
                <w:rFonts w:hint="eastAsia" w:ascii="宋体" w:hAnsi="宋体"/>
                <w:color w:val="auto"/>
                <w:highlight w:val="none"/>
                <w:u w:val="single"/>
              </w:rPr>
              <w:t>(d)未按照要求（必要时）对投标文件进行澄清、说明或者补正；</w:t>
            </w:r>
          </w:p>
          <w:p>
            <w:pPr>
              <w:jc w:val="left"/>
              <w:rPr>
                <w:rFonts w:ascii="宋体" w:hAnsi="宋体"/>
                <w:color w:val="auto"/>
                <w:highlight w:val="none"/>
                <w:u w:val="single"/>
              </w:rPr>
            </w:pPr>
            <w:r>
              <w:rPr>
                <w:rFonts w:hint="eastAsia" w:ascii="宋体" w:hAnsi="宋体"/>
                <w:color w:val="auto"/>
                <w:highlight w:val="none"/>
                <w:u w:val="single"/>
              </w:rPr>
              <w:t>(e)发现证明材料弄虚作假；</w:t>
            </w:r>
          </w:p>
          <w:p>
            <w:pPr>
              <w:jc w:val="left"/>
              <w:rPr>
                <w:rFonts w:ascii="宋体" w:hAnsi="宋体"/>
                <w:color w:val="auto"/>
                <w:highlight w:val="none"/>
                <w:u w:val="single"/>
              </w:rPr>
            </w:pPr>
            <w:r>
              <w:rPr>
                <w:rFonts w:hint="eastAsia" w:ascii="宋体" w:hAnsi="宋体"/>
                <w:color w:val="auto"/>
                <w:highlight w:val="none"/>
                <w:u w:val="single"/>
              </w:rPr>
              <w:t>(f)投标人在勘察设计技术方案（技术文件）内标注名称、印章、商标、图形等记认符号或显示投标报价信息，使人辨认出投标人或其专业技术人员的身份；</w:t>
            </w:r>
          </w:p>
          <w:p>
            <w:pPr>
              <w:jc w:val="left"/>
              <w:rPr>
                <w:rFonts w:ascii="宋体" w:hAnsi="宋体"/>
                <w:color w:val="auto"/>
                <w:szCs w:val="21"/>
                <w:highlight w:val="none"/>
              </w:rPr>
            </w:pPr>
            <w:r>
              <w:rPr>
                <w:rFonts w:hint="eastAsia" w:ascii="宋体" w:hAnsi="宋体"/>
                <w:color w:val="auto"/>
                <w:highlight w:val="none"/>
                <w:u w:val="single"/>
              </w:rPr>
              <w:t>(g)勘察设计技术方案（技术文件）发现互相雷同和串通投标（串通投标情形以《中华人民共和国招标投标法实施条例》的规定为准），或者发现明显抄袭行为，或者发现侵犯他人著作权和特许权。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4.2.1</w:t>
            </w:r>
          </w:p>
        </w:tc>
        <w:tc>
          <w:tcPr>
            <w:tcW w:w="3713" w:type="dxa"/>
          </w:tcPr>
          <w:p>
            <w:pPr>
              <w:jc w:val="left"/>
              <w:rPr>
                <w:rFonts w:ascii="宋体" w:hAnsi="宋体" w:cs="宋体"/>
                <w:color w:val="auto"/>
                <w:szCs w:val="21"/>
                <w:highlight w:val="none"/>
              </w:rPr>
            </w:pPr>
          </w:p>
          <w:p>
            <w:pPr>
              <w:jc w:val="left"/>
              <w:rPr>
                <w:rFonts w:ascii="宋体" w:hAnsi="宋体" w:cs="宋体"/>
                <w:color w:val="auto"/>
                <w:szCs w:val="21"/>
                <w:highlight w:val="none"/>
              </w:rPr>
            </w:pPr>
            <w:r>
              <w:rPr>
                <w:rFonts w:hint="eastAsia" w:ascii="宋体" w:hAnsi="宋体" w:cs="宋体"/>
                <w:color w:val="auto"/>
                <w:szCs w:val="21"/>
                <w:highlight w:val="none"/>
              </w:rPr>
              <w:t>4.2.1评标委员会由专家和业主代表组成，专家不得少于评标委员会成员总数的三分之二。专家一般从政府评标专家库随机抽取，技术特别复杂、专业性要求特别高或者国家有特别要求的项目，采取随机抽取方式确定的专家难以胜任的，可以由招标人直接确定。</w:t>
            </w:r>
          </w:p>
        </w:tc>
        <w:tc>
          <w:tcPr>
            <w:tcW w:w="4395" w:type="dxa"/>
          </w:tcPr>
          <w:p>
            <w:pPr>
              <w:spacing w:line="300" w:lineRule="atLeast"/>
              <w:jc w:val="left"/>
              <w:rPr>
                <w:rFonts w:ascii="宋体" w:hAnsi="宋体" w:cs="宋体"/>
                <w:b/>
                <w:color w:val="auto"/>
                <w:szCs w:val="21"/>
                <w:highlight w:val="none"/>
              </w:rPr>
            </w:pPr>
            <w:r>
              <w:rPr>
                <w:rFonts w:hint="eastAsia" w:ascii="宋体" w:hAnsi="宋体" w:cs="宋体"/>
                <w:b/>
                <w:color w:val="auto"/>
                <w:szCs w:val="21"/>
                <w:highlight w:val="none"/>
              </w:rPr>
              <w:t>修改：</w:t>
            </w:r>
          </w:p>
          <w:p>
            <w:pPr>
              <w:jc w:val="left"/>
              <w:rPr>
                <w:rFonts w:ascii="宋体" w:hAnsi="宋体" w:cs="宋体"/>
                <w:b/>
                <w:color w:val="auto"/>
                <w:szCs w:val="21"/>
                <w:highlight w:val="none"/>
              </w:rPr>
            </w:pPr>
            <w:r>
              <w:rPr>
                <w:rFonts w:hint="eastAsia" w:ascii="宋体" w:hAnsi="宋体" w:cs="宋体"/>
                <w:color w:val="auto"/>
                <w:szCs w:val="21"/>
                <w:highlight w:val="none"/>
              </w:rPr>
              <w:t>4.2.1</w:t>
            </w:r>
            <w:r>
              <w:rPr>
                <w:rFonts w:hint="eastAsia" w:ascii="宋体" w:hAnsi="宋体"/>
                <w:color w:val="auto"/>
                <w:szCs w:val="21"/>
                <w:highlight w:val="none"/>
                <w:u w:val="single"/>
              </w:rPr>
              <w:t>评标委员会由招标人依法组建</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4.2.2</w:t>
            </w:r>
          </w:p>
        </w:tc>
        <w:tc>
          <w:tcPr>
            <w:tcW w:w="3713" w:type="dxa"/>
          </w:tcPr>
          <w:p>
            <w:pPr>
              <w:jc w:val="left"/>
              <w:rPr>
                <w:rFonts w:ascii="宋体" w:hAnsi="宋体" w:cs="宋体"/>
                <w:color w:val="auto"/>
                <w:szCs w:val="21"/>
                <w:highlight w:val="none"/>
              </w:rPr>
            </w:pPr>
          </w:p>
          <w:p>
            <w:pPr>
              <w:jc w:val="left"/>
              <w:rPr>
                <w:rFonts w:ascii="宋体" w:hAnsi="宋体" w:cs="宋体"/>
                <w:color w:val="auto"/>
                <w:szCs w:val="21"/>
                <w:highlight w:val="none"/>
              </w:rPr>
            </w:pPr>
            <w:r>
              <w:rPr>
                <w:rFonts w:hint="eastAsia" w:ascii="宋体" w:hAnsi="宋体" w:cs="宋体"/>
                <w:color w:val="auto"/>
                <w:szCs w:val="21"/>
                <w:highlight w:val="none"/>
              </w:rPr>
              <w:t>4.2.2  评标委员会随机产生一名负责人，主持评审工作，在每一轮投票中，负责人与其他成员有同等表决权。每一轮投票结束后，如果有得票相同的投标方案，则评标委员会对得票相同的投标方案进行附加投票表决排序和取舍。</w:t>
            </w:r>
          </w:p>
        </w:tc>
        <w:tc>
          <w:tcPr>
            <w:tcW w:w="4395" w:type="dxa"/>
          </w:tcPr>
          <w:p>
            <w:pPr>
              <w:spacing w:line="300" w:lineRule="atLeast"/>
              <w:jc w:val="left"/>
              <w:rPr>
                <w:rFonts w:ascii="宋体" w:hAnsi="宋体" w:cs="宋体"/>
                <w:b/>
                <w:color w:val="auto"/>
                <w:szCs w:val="21"/>
                <w:highlight w:val="none"/>
              </w:rPr>
            </w:pPr>
            <w:r>
              <w:rPr>
                <w:rFonts w:hint="eastAsia" w:ascii="宋体" w:hAnsi="宋体" w:cs="宋体"/>
                <w:b/>
                <w:color w:val="auto"/>
                <w:szCs w:val="21"/>
                <w:highlight w:val="none"/>
              </w:rPr>
              <w:t>修改：</w:t>
            </w:r>
          </w:p>
          <w:p>
            <w:pPr>
              <w:spacing w:line="276" w:lineRule="auto"/>
              <w:jc w:val="left"/>
              <w:rPr>
                <w:rFonts w:ascii="宋体" w:hAnsi="宋体" w:cs="宋体"/>
                <w:color w:val="auto"/>
                <w:szCs w:val="21"/>
                <w:highlight w:val="none"/>
              </w:rPr>
            </w:pPr>
            <w:r>
              <w:rPr>
                <w:rFonts w:hint="eastAsia" w:ascii="宋体" w:hAnsi="宋体" w:cs="宋体"/>
                <w:color w:val="auto"/>
                <w:szCs w:val="21"/>
                <w:highlight w:val="none"/>
              </w:rPr>
              <w:t xml:space="preserve">4.2.2  </w:t>
            </w:r>
            <w:r>
              <w:rPr>
                <w:rFonts w:hint="eastAsia" w:ascii="宋体" w:hAnsi="宋体"/>
                <w:color w:val="auto"/>
                <w:szCs w:val="21"/>
                <w:highlight w:val="none"/>
              </w:rPr>
              <w:t>评标委员会随机产生一名负责人，主持评审工作，</w:t>
            </w:r>
            <w:r>
              <w:rPr>
                <w:rFonts w:hint="eastAsia" w:ascii="宋体" w:hAnsi="宋体"/>
                <w:color w:val="auto"/>
                <w:szCs w:val="21"/>
                <w:highlight w:val="none"/>
                <w:u w:val="single"/>
              </w:rPr>
              <w:t>如委派业主代表参与评标，则不得担任评标委员会负责人。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23</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4.2.5</w:t>
            </w:r>
          </w:p>
        </w:tc>
        <w:tc>
          <w:tcPr>
            <w:tcW w:w="3713" w:type="dxa"/>
          </w:tcPr>
          <w:p>
            <w:pPr>
              <w:spacing w:line="300" w:lineRule="atLeast"/>
              <w:jc w:val="left"/>
              <w:rPr>
                <w:rFonts w:ascii="宋体" w:hAnsi="宋体" w:cs="宋体"/>
                <w:color w:val="auto"/>
                <w:szCs w:val="21"/>
                <w:highlight w:val="none"/>
              </w:rPr>
            </w:pPr>
          </w:p>
          <w:p>
            <w:pPr>
              <w:spacing w:line="300" w:lineRule="atLeast"/>
              <w:jc w:val="left"/>
              <w:rPr>
                <w:rFonts w:ascii="宋体" w:hAnsi="宋体" w:cs="宋体"/>
                <w:color w:val="auto"/>
                <w:szCs w:val="21"/>
                <w:highlight w:val="none"/>
              </w:rPr>
            </w:pPr>
            <w:r>
              <w:rPr>
                <w:rFonts w:hint="eastAsia" w:ascii="宋体" w:hAnsi="宋体" w:cs="宋体"/>
                <w:color w:val="auto"/>
                <w:szCs w:val="21"/>
                <w:highlight w:val="none"/>
              </w:rPr>
              <w:t>4.2.5如果评标专家到达评标地点后发现不符合本项目评标资格，酬金或交通费用按相关规定执行。</w:t>
            </w:r>
          </w:p>
        </w:tc>
        <w:tc>
          <w:tcPr>
            <w:tcW w:w="4395" w:type="dxa"/>
            <w:vAlign w:val="center"/>
          </w:tcPr>
          <w:p>
            <w:pPr>
              <w:spacing w:line="300" w:lineRule="atLeast"/>
              <w:jc w:val="left"/>
              <w:rPr>
                <w:rFonts w:ascii="宋体" w:hAnsi="宋体" w:cs="宋体"/>
                <w:b/>
                <w:color w:val="auto"/>
                <w:szCs w:val="21"/>
                <w:highlight w:val="none"/>
              </w:rPr>
            </w:pPr>
            <w:r>
              <w:rPr>
                <w:rFonts w:hint="eastAsia" w:ascii="宋体" w:hAnsi="宋体" w:cs="宋体"/>
                <w:b/>
                <w:color w:val="auto"/>
                <w:szCs w:val="21"/>
                <w:highlight w:val="none"/>
              </w:rPr>
              <w:t>修改：</w:t>
            </w:r>
          </w:p>
          <w:p>
            <w:pPr>
              <w:spacing w:line="300" w:lineRule="atLeast"/>
              <w:jc w:val="left"/>
              <w:rPr>
                <w:rFonts w:ascii="宋体" w:hAnsi="宋体" w:cs="宋体"/>
                <w:color w:val="auto"/>
                <w:szCs w:val="21"/>
                <w:highlight w:val="none"/>
              </w:rPr>
            </w:pPr>
            <w:r>
              <w:rPr>
                <w:rFonts w:hint="eastAsia" w:ascii="宋体" w:hAnsi="宋体" w:cs="宋体"/>
                <w:color w:val="auto"/>
                <w:szCs w:val="21"/>
                <w:highlight w:val="none"/>
              </w:rPr>
              <w:t>4.2.5如果评标专家到达评标地点后发现不符合本项目评标资格，</w:t>
            </w:r>
            <w:r>
              <w:rPr>
                <w:rFonts w:hint="eastAsia" w:ascii="宋体" w:hAnsi="宋体" w:cs="宋体"/>
                <w:color w:val="auto"/>
                <w:szCs w:val="21"/>
                <w:highlight w:val="none"/>
                <w:u w:val="single"/>
              </w:rPr>
              <w:t>招标代理机构按《广东省发展改革委关于广东省综合评标评审专家库专家酬劳的管理办法》的规定向评标专家支付酬金。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24</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4.3</w:t>
            </w:r>
          </w:p>
        </w:tc>
        <w:tc>
          <w:tcPr>
            <w:tcW w:w="3713" w:type="dxa"/>
            <w:vAlign w:val="center"/>
          </w:tcPr>
          <w:p>
            <w:pPr>
              <w:spacing w:line="300" w:lineRule="atLeast"/>
              <w:jc w:val="left"/>
              <w:rPr>
                <w:rFonts w:ascii="宋体" w:hAnsi="宋体" w:cs="宋体"/>
                <w:color w:val="auto"/>
                <w:szCs w:val="21"/>
                <w:highlight w:val="none"/>
              </w:rPr>
            </w:pPr>
          </w:p>
          <w:p>
            <w:pPr>
              <w:spacing w:line="300" w:lineRule="atLeast"/>
              <w:jc w:val="left"/>
              <w:rPr>
                <w:rFonts w:ascii="宋体" w:hAnsi="宋体" w:cs="宋体"/>
                <w:color w:val="auto"/>
                <w:szCs w:val="21"/>
                <w:highlight w:val="none"/>
              </w:rPr>
            </w:pPr>
            <w:r>
              <w:rPr>
                <w:rFonts w:hint="eastAsia" w:ascii="宋体" w:hAnsi="宋体" w:cs="宋体"/>
                <w:color w:val="auto"/>
                <w:szCs w:val="21"/>
                <w:highlight w:val="none"/>
              </w:rPr>
              <w:t>4.3    定标委员会（如有）</w:t>
            </w:r>
          </w:p>
          <w:p>
            <w:pPr>
              <w:spacing w:line="300" w:lineRule="atLeast"/>
              <w:jc w:val="left"/>
              <w:rPr>
                <w:rFonts w:ascii="宋体" w:hAnsi="宋体" w:cs="宋体"/>
                <w:color w:val="auto"/>
                <w:szCs w:val="21"/>
                <w:highlight w:val="none"/>
              </w:rPr>
            </w:pPr>
            <w:r>
              <w:rPr>
                <w:rFonts w:hint="eastAsia" w:ascii="宋体" w:hAnsi="宋体" w:cs="宋体"/>
                <w:color w:val="auto"/>
                <w:szCs w:val="21"/>
                <w:highlight w:val="none"/>
              </w:rPr>
              <w:t>4.3.1  定标委员会由招标人组建。组建办法详见附表15《定标委员会的组成》。</w:t>
            </w:r>
          </w:p>
        </w:tc>
        <w:tc>
          <w:tcPr>
            <w:tcW w:w="4395" w:type="dxa"/>
          </w:tcPr>
          <w:p>
            <w:pPr>
              <w:spacing w:line="300" w:lineRule="atLeast"/>
              <w:jc w:val="left"/>
              <w:rPr>
                <w:rFonts w:ascii="宋体" w:hAnsi="宋体" w:cs="宋体"/>
                <w:color w:val="auto"/>
                <w:szCs w:val="21"/>
                <w:highlight w:val="none"/>
              </w:rPr>
            </w:pPr>
            <w:r>
              <w:rPr>
                <w:rFonts w:hint="eastAsia" w:ascii="宋体" w:hAnsi="宋体" w:cs="宋体"/>
                <w:b/>
                <w:color w:val="auto"/>
                <w:szCs w:val="21"/>
                <w:highlight w:val="none"/>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25</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4.4</w:t>
            </w:r>
          </w:p>
        </w:tc>
        <w:tc>
          <w:tcPr>
            <w:tcW w:w="3713" w:type="dxa"/>
          </w:tcPr>
          <w:p>
            <w:pPr>
              <w:spacing w:line="300" w:lineRule="atLeast"/>
              <w:jc w:val="left"/>
              <w:rPr>
                <w:rFonts w:ascii="宋体" w:hAnsi="宋体" w:cs="宋体"/>
                <w:color w:val="auto"/>
                <w:szCs w:val="21"/>
                <w:highlight w:val="none"/>
              </w:rPr>
            </w:pPr>
          </w:p>
          <w:p>
            <w:pPr>
              <w:spacing w:line="300" w:lineRule="atLeast"/>
              <w:jc w:val="left"/>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4</w:t>
            </w:r>
            <w:r>
              <w:rPr>
                <w:rFonts w:hint="eastAsia" w:ascii="宋体" w:hAnsi="宋体" w:cs="宋体"/>
                <w:color w:val="auto"/>
                <w:szCs w:val="21"/>
                <w:highlight w:val="none"/>
              </w:rPr>
              <w:t xml:space="preserve">.4  </w:t>
            </w:r>
            <w:r>
              <w:rPr>
                <w:rFonts w:hint="eastAsia" w:ascii="宋体" w:hAnsi="宋体" w:cs="宋体"/>
                <w:bCs/>
                <w:color w:val="auto"/>
                <w:szCs w:val="21"/>
                <w:highlight w:val="none"/>
              </w:rPr>
              <w:t>评标讨论过程中，</w:t>
            </w:r>
            <w:r>
              <w:rPr>
                <w:rFonts w:hint="eastAsia" w:ascii="宋体" w:hAnsi="宋体" w:cs="宋体"/>
                <w:color w:val="auto"/>
                <w:szCs w:val="21"/>
                <w:highlight w:val="none"/>
              </w:rPr>
              <w:t>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pPr>
              <w:spacing w:line="300" w:lineRule="atLeast"/>
              <w:jc w:val="left"/>
              <w:rPr>
                <w:rFonts w:ascii="宋体" w:hAnsi="宋体" w:cs="宋体"/>
                <w:color w:val="auto"/>
                <w:szCs w:val="21"/>
                <w:highlight w:val="none"/>
              </w:rPr>
            </w:pPr>
            <w:r>
              <w:rPr>
                <w:rFonts w:hint="eastAsia" w:ascii="宋体" w:hAnsi="宋体" w:cs="宋体"/>
                <w:color w:val="auto"/>
                <w:szCs w:val="21"/>
                <w:highlight w:val="none"/>
              </w:rPr>
              <w:t>若在评标期间（设计方案评审阶段除外），经评标委员会两人以上（含两人）以书面形式提出动议，评标委员会应当书面发出澄清通知，要求投标人对投标文件含义不明确的内容作出澄清。</w:t>
            </w:r>
          </w:p>
          <w:p>
            <w:pPr>
              <w:spacing w:line="300" w:lineRule="atLeast"/>
              <w:jc w:val="left"/>
              <w:rPr>
                <w:rFonts w:ascii="宋体" w:hAnsi="宋体" w:cs="宋体"/>
                <w:color w:val="auto"/>
                <w:szCs w:val="21"/>
                <w:highlight w:val="none"/>
              </w:rPr>
            </w:pPr>
            <w:r>
              <w:rPr>
                <w:rFonts w:hint="eastAsia" w:ascii="宋体" w:hAnsi="宋体" w:cs="宋体"/>
                <w:color w:val="auto"/>
                <w:szCs w:val="21"/>
                <w:highlight w:val="none"/>
              </w:rPr>
              <w:t>投标人应以书面形式进行澄清，澄清中的承诺性意思表示在投标文件有效期内均对投标人有约束力。澄清不得超出投标文件的范围或改变投标文件的实质性内容，超出部分不作为评标委员会评审的依据。</w:t>
            </w:r>
          </w:p>
          <w:p>
            <w:pPr>
              <w:spacing w:line="300" w:lineRule="atLeast"/>
              <w:jc w:val="left"/>
              <w:rPr>
                <w:rFonts w:ascii="宋体" w:hAnsi="宋体" w:cs="宋体"/>
                <w:color w:val="auto"/>
                <w:szCs w:val="21"/>
                <w:highlight w:val="none"/>
              </w:rPr>
            </w:pPr>
            <w:r>
              <w:rPr>
                <w:rFonts w:hint="eastAsia" w:ascii="宋体" w:hAnsi="宋体" w:cs="宋体"/>
                <w:color w:val="auto"/>
                <w:szCs w:val="21"/>
                <w:highlight w:val="none"/>
              </w:rPr>
              <w:t>评标委员会均应当阅读投标人的澄清，但应独立参考澄清对投标文件进行评审。</w:t>
            </w:r>
          </w:p>
        </w:tc>
        <w:tc>
          <w:tcPr>
            <w:tcW w:w="4395" w:type="dxa"/>
          </w:tcPr>
          <w:p>
            <w:pPr>
              <w:spacing w:line="300" w:lineRule="atLeast"/>
              <w:jc w:val="left"/>
              <w:rPr>
                <w:rFonts w:ascii="宋体" w:hAnsi="宋体" w:cs="宋体"/>
                <w:b/>
                <w:color w:val="auto"/>
                <w:szCs w:val="21"/>
                <w:highlight w:val="none"/>
              </w:rPr>
            </w:pPr>
            <w:r>
              <w:rPr>
                <w:rFonts w:hint="eastAsia" w:ascii="宋体" w:hAnsi="宋体" w:cs="宋体"/>
                <w:b/>
                <w:color w:val="auto"/>
                <w:szCs w:val="21"/>
                <w:highlight w:val="none"/>
              </w:rPr>
              <w:t>修改：</w:t>
            </w:r>
          </w:p>
          <w:p>
            <w:pPr>
              <w:spacing w:line="300" w:lineRule="atLeast"/>
              <w:jc w:val="left"/>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4</w:t>
            </w:r>
            <w:r>
              <w:rPr>
                <w:rFonts w:hint="eastAsia" w:ascii="宋体" w:hAnsi="宋体" w:cs="宋体"/>
                <w:color w:val="auto"/>
                <w:szCs w:val="21"/>
                <w:highlight w:val="none"/>
              </w:rPr>
              <w:t>.4  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pPr>
              <w:spacing w:line="300" w:lineRule="atLeast"/>
              <w:jc w:val="left"/>
              <w:rPr>
                <w:rFonts w:ascii="宋体" w:hAnsi="宋体" w:cs="宋体"/>
                <w:color w:val="auto"/>
                <w:szCs w:val="21"/>
                <w:highlight w:val="none"/>
              </w:rPr>
            </w:pPr>
            <w:r>
              <w:rPr>
                <w:rFonts w:hint="eastAsia" w:ascii="宋体" w:hAnsi="宋体" w:cs="宋体"/>
                <w:color w:val="auto"/>
                <w:szCs w:val="21"/>
                <w:highlight w:val="none"/>
              </w:rPr>
              <w:t>若在评标期间（</w:t>
            </w:r>
            <w:r>
              <w:rPr>
                <w:rFonts w:hint="eastAsia" w:ascii="宋体" w:hAnsi="宋体" w:cs="宋体"/>
                <w:color w:val="auto"/>
                <w:szCs w:val="21"/>
                <w:highlight w:val="none"/>
                <w:u w:val="single"/>
              </w:rPr>
              <w:t>勘察设计</w:t>
            </w:r>
            <w:r>
              <w:rPr>
                <w:rFonts w:hint="eastAsia" w:ascii="宋体" w:hAnsi="宋体" w:cs="宋体"/>
                <w:color w:val="auto"/>
                <w:szCs w:val="21"/>
                <w:highlight w:val="none"/>
              </w:rPr>
              <w:t>技术</w:t>
            </w:r>
            <w:r>
              <w:rPr>
                <w:rFonts w:ascii="宋体" w:hAnsi="宋体" w:cs="宋体"/>
                <w:color w:val="auto"/>
                <w:szCs w:val="21"/>
                <w:highlight w:val="none"/>
              </w:rPr>
              <w:t>方案评审阶段除外</w:t>
            </w:r>
            <w:r>
              <w:rPr>
                <w:rFonts w:hint="eastAsia" w:ascii="宋体" w:hAnsi="宋体" w:cs="宋体"/>
                <w:color w:val="auto"/>
                <w:szCs w:val="21"/>
                <w:highlight w:val="none"/>
              </w:rPr>
              <w:t>），经评标委员会两人以上（含两人）以书面形式提出动议，评标委员会应当书面发出澄清通知，要求投标人对投标文件含义不明确的内容作出澄清。</w:t>
            </w:r>
          </w:p>
          <w:p>
            <w:pPr>
              <w:spacing w:line="300" w:lineRule="atLeast"/>
              <w:jc w:val="left"/>
              <w:rPr>
                <w:rFonts w:ascii="宋体" w:hAnsi="宋体" w:cs="宋体"/>
                <w:color w:val="auto"/>
                <w:szCs w:val="21"/>
                <w:highlight w:val="none"/>
              </w:rPr>
            </w:pPr>
            <w:r>
              <w:rPr>
                <w:rFonts w:hint="eastAsia" w:ascii="宋体" w:hAnsi="宋体" w:cs="宋体"/>
                <w:color w:val="auto"/>
                <w:szCs w:val="21"/>
                <w:highlight w:val="none"/>
              </w:rPr>
              <w:t>投标人应以书面形式进行澄清，澄清中的承诺性意思表示在投标文件有效期内均对投标人有约束力。澄清不得超出投标文件的范围或改变投标文件的实质性内容，超出部分不作为评标委员会评审的依据。</w:t>
            </w:r>
          </w:p>
          <w:p>
            <w:pPr>
              <w:spacing w:line="300" w:lineRule="atLeast"/>
              <w:jc w:val="left"/>
              <w:rPr>
                <w:rFonts w:ascii="宋体" w:hAnsi="宋体" w:cs="宋体"/>
                <w:color w:val="auto"/>
                <w:szCs w:val="21"/>
                <w:highlight w:val="none"/>
              </w:rPr>
            </w:pPr>
            <w:r>
              <w:rPr>
                <w:rFonts w:hint="eastAsia" w:ascii="宋体" w:hAnsi="宋体" w:cs="宋体"/>
                <w:color w:val="auto"/>
                <w:szCs w:val="21"/>
                <w:highlight w:val="none"/>
              </w:rPr>
              <w:t>评标委员会均应当阅读投标人的澄清，但应独立参考澄清对投标文件进行评审。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26</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4.5.1</w:t>
            </w:r>
          </w:p>
        </w:tc>
        <w:tc>
          <w:tcPr>
            <w:tcW w:w="3713" w:type="dxa"/>
          </w:tcPr>
          <w:p>
            <w:pPr>
              <w:jc w:val="left"/>
              <w:rPr>
                <w:rFonts w:ascii="宋体" w:hAnsi="宋体" w:cs="宋体"/>
                <w:color w:val="auto"/>
                <w:szCs w:val="21"/>
                <w:highlight w:val="none"/>
              </w:rPr>
            </w:pPr>
          </w:p>
          <w:p>
            <w:pPr>
              <w:jc w:val="left"/>
              <w:rPr>
                <w:rFonts w:ascii="宋体" w:hAnsi="宋体" w:cs="宋体"/>
                <w:color w:val="auto"/>
                <w:szCs w:val="21"/>
                <w:highlight w:val="none"/>
              </w:rPr>
            </w:pPr>
            <w:r>
              <w:rPr>
                <w:rFonts w:hint="eastAsia" w:ascii="宋体" w:hAnsi="宋体" w:cs="宋体"/>
                <w:color w:val="auto"/>
                <w:szCs w:val="21"/>
                <w:highlight w:val="none"/>
              </w:rPr>
              <w:t xml:space="preserve">4.5.1  是否采用评定分离：□是，入围定标环节的投标人家数：    名； </w:t>
            </w:r>
          </w:p>
          <w:p>
            <w:pPr>
              <w:jc w:val="left"/>
              <w:rPr>
                <w:rFonts w:ascii="宋体" w:hAnsi="宋体" w:cs="宋体"/>
                <w:color w:val="auto"/>
                <w:szCs w:val="21"/>
                <w:highlight w:val="none"/>
              </w:rPr>
            </w:pPr>
            <w:r>
              <w:rPr>
                <w:rFonts w:hint="eastAsia" w:ascii="宋体" w:hAnsi="宋体" w:cs="宋体"/>
                <w:color w:val="auto"/>
                <w:szCs w:val="21"/>
                <w:highlight w:val="none"/>
              </w:rPr>
              <w:t xml:space="preserve">                         □否。</w:t>
            </w:r>
          </w:p>
        </w:tc>
        <w:tc>
          <w:tcPr>
            <w:tcW w:w="4395" w:type="dxa"/>
          </w:tcPr>
          <w:p>
            <w:pPr>
              <w:jc w:val="left"/>
              <w:rPr>
                <w:rFonts w:ascii="宋体" w:hAnsi="宋体" w:cs="宋体"/>
                <w:b/>
                <w:color w:val="auto"/>
                <w:szCs w:val="21"/>
                <w:highlight w:val="none"/>
              </w:rPr>
            </w:pPr>
            <w:r>
              <w:rPr>
                <w:rFonts w:hint="eastAsia" w:ascii="宋体" w:hAnsi="宋体" w:cs="宋体"/>
                <w:b/>
                <w:color w:val="auto"/>
                <w:szCs w:val="21"/>
                <w:highlight w:val="none"/>
              </w:rPr>
              <w:t>修改：</w:t>
            </w:r>
          </w:p>
          <w:p>
            <w:pPr>
              <w:jc w:val="left"/>
              <w:rPr>
                <w:rFonts w:ascii="宋体" w:hAnsi="宋体" w:cs="宋体"/>
                <w:color w:val="auto"/>
                <w:szCs w:val="21"/>
                <w:highlight w:val="none"/>
              </w:rPr>
            </w:pPr>
            <w:r>
              <w:rPr>
                <w:rFonts w:hint="eastAsia" w:ascii="宋体" w:hAnsi="宋体" w:cs="宋体"/>
                <w:color w:val="auto"/>
                <w:szCs w:val="21"/>
                <w:highlight w:val="none"/>
              </w:rPr>
              <w:t xml:space="preserve">4.5.1  是否采用评定分离：□是，入围定标环节的投标人家数：    名； </w:t>
            </w:r>
          </w:p>
          <w:p>
            <w:pPr>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ascii="Segoe UI Symbol" w:hAnsi="Segoe UI Symbol" w:cs="Segoe UI Symbol"/>
                <w:color w:val="auto"/>
                <w:szCs w:val="21"/>
                <w:highlight w:val="none"/>
              </w:rPr>
              <w:t>☑</w:t>
            </w:r>
            <w:r>
              <w:rPr>
                <w:rFonts w:hint="eastAsia" w:ascii="宋体" w:hAnsi="宋体" w:cs="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27</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4.5.2</w:t>
            </w:r>
          </w:p>
        </w:tc>
        <w:tc>
          <w:tcPr>
            <w:tcW w:w="3713" w:type="dxa"/>
          </w:tcPr>
          <w:p>
            <w:pPr>
              <w:jc w:val="left"/>
              <w:rPr>
                <w:rFonts w:ascii="宋体" w:hAnsi="宋体" w:cs="宋体"/>
                <w:color w:val="auto"/>
                <w:szCs w:val="21"/>
                <w:highlight w:val="none"/>
              </w:rPr>
            </w:pPr>
          </w:p>
          <w:p>
            <w:pPr>
              <w:jc w:val="left"/>
              <w:rPr>
                <w:rFonts w:ascii="宋体" w:hAnsi="宋体" w:cs="宋体"/>
                <w:color w:val="auto"/>
                <w:szCs w:val="21"/>
                <w:highlight w:val="none"/>
              </w:rPr>
            </w:pPr>
            <w:r>
              <w:rPr>
                <w:rFonts w:hint="eastAsia" w:ascii="宋体" w:hAnsi="宋体" w:cs="宋体"/>
                <w:color w:val="auto"/>
                <w:szCs w:val="21"/>
                <w:highlight w:val="none"/>
              </w:rPr>
              <w:t>4.5.2  不采用评定分离项目的评标办法</w:t>
            </w:r>
          </w:p>
          <w:p>
            <w:pPr>
              <w:jc w:val="left"/>
              <w:rPr>
                <w:rFonts w:ascii="宋体" w:hAnsi="宋体" w:cs="宋体"/>
                <w:color w:val="auto"/>
                <w:szCs w:val="21"/>
                <w:highlight w:val="none"/>
              </w:rPr>
            </w:pPr>
            <w:r>
              <w:rPr>
                <w:rFonts w:hint="eastAsia" w:ascii="宋体" w:hAnsi="宋体" w:cs="宋体"/>
                <w:color w:val="auto"/>
                <w:szCs w:val="21"/>
                <w:highlight w:val="none"/>
              </w:rPr>
              <w:t>4.5.2.1招标人（招标代理机构）在不透露投标人身份的前提下（资格审查文件除外）将投标文件交给评标委员会，除4.5.2.2(g)中规定，不需要投标人派代表介绍投标方案。</w:t>
            </w:r>
          </w:p>
          <w:p>
            <w:pPr>
              <w:jc w:val="left"/>
              <w:rPr>
                <w:rFonts w:ascii="宋体" w:hAnsi="宋体" w:cs="宋体"/>
                <w:color w:val="auto"/>
                <w:szCs w:val="21"/>
                <w:highlight w:val="none"/>
              </w:rPr>
            </w:pPr>
            <w:r>
              <w:rPr>
                <w:rFonts w:hint="eastAsia" w:ascii="宋体" w:hAnsi="宋体" w:cs="宋体"/>
                <w:color w:val="auto"/>
                <w:szCs w:val="21"/>
                <w:highlight w:val="none"/>
              </w:rPr>
              <w:t>4.5.2.2如果评标委员会成员在交易服务机构评标，将按方法    规定的步骤进行：</w:t>
            </w:r>
          </w:p>
          <w:p>
            <w:pPr>
              <w:jc w:val="left"/>
              <w:rPr>
                <w:rFonts w:ascii="宋体" w:hAnsi="宋体" w:cs="宋体"/>
                <w:color w:val="auto"/>
                <w:szCs w:val="21"/>
                <w:highlight w:val="none"/>
              </w:rPr>
            </w:pPr>
            <w:r>
              <w:rPr>
                <w:rFonts w:hint="eastAsia" w:ascii="宋体" w:hAnsi="宋体" w:cs="宋体"/>
                <w:color w:val="auto"/>
                <w:szCs w:val="21"/>
                <w:highlight w:val="none"/>
              </w:rPr>
              <w:t xml:space="preserve">       方法一（设有资格审查环节的一阶段评标法）：a、b、c、d、e、f、h、i、j</w:t>
            </w:r>
          </w:p>
          <w:p>
            <w:pPr>
              <w:jc w:val="left"/>
              <w:rPr>
                <w:rFonts w:ascii="宋体" w:hAnsi="宋体" w:cs="宋体"/>
                <w:color w:val="auto"/>
                <w:szCs w:val="21"/>
                <w:highlight w:val="none"/>
              </w:rPr>
            </w:pPr>
            <w:r>
              <w:rPr>
                <w:rFonts w:hint="eastAsia" w:ascii="宋体" w:hAnsi="宋体" w:cs="宋体"/>
                <w:color w:val="auto"/>
                <w:szCs w:val="21"/>
                <w:highlight w:val="none"/>
              </w:rPr>
              <w:t xml:space="preserve">       方法二（设有资格审查环节的二阶段评标法）：a、b、c、d、e、f、g、h、i、j</w:t>
            </w:r>
          </w:p>
          <w:p>
            <w:pPr>
              <w:jc w:val="left"/>
              <w:rPr>
                <w:rFonts w:ascii="宋体" w:hAnsi="宋体" w:cs="宋体"/>
                <w:color w:val="auto"/>
                <w:szCs w:val="21"/>
                <w:highlight w:val="none"/>
              </w:rPr>
            </w:pPr>
            <w:r>
              <w:rPr>
                <w:rFonts w:hint="eastAsia" w:ascii="宋体" w:hAnsi="宋体" w:cs="宋体"/>
                <w:color w:val="auto"/>
                <w:szCs w:val="21"/>
                <w:highlight w:val="none"/>
              </w:rPr>
              <w:t xml:space="preserve">       方法三（未设资格审查环节的一阶段评标法）：a、d、e、f、h、i、j</w:t>
            </w:r>
          </w:p>
          <w:p>
            <w:pPr>
              <w:jc w:val="left"/>
              <w:rPr>
                <w:rFonts w:ascii="宋体" w:hAnsi="宋体" w:cs="宋体"/>
                <w:color w:val="auto"/>
                <w:szCs w:val="21"/>
                <w:highlight w:val="none"/>
              </w:rPr>
            </w:pPr>
            <w:r>
              <w:rPr>
                <w:rFonts w:hint="eastAsia" w:ascii="宋体" w:hAnsi="宋体" w:cs="宋体"/>
                <w:color w:val="auto"/>
                <w:szCs w:val="21"/>
                <w:highlight w:val="none"/>
              </w:rPr>
              <w:t xml:space="preserve">       方法四（未设资格审查环节的二阶段评标法）：a、d、e、f、g、h、i、j</w:t>
            </w:r>
          </w:p>
          <w:p>
            <w:pPr>
              <w:jc w:val="left"/>
              <w:rPr>
                <w:rFonts w:ascii="宋体" w:hAnsi="宋体" w:cs="宋体"/>
                <w:color w:val="auto"/>
                <w:szCs w:val="21"/>
                <w:highlight w:val="none"/>
              </w:rPr>
            </w:pPr>
            <w:r>
              <w:rPr>
                <w:rFonts w:hint="eastAsia" w:ascii="宋体" w:hAnsi="宋体" w:cs="宋体"/>
                <w:color w:val="auto"/>
                <w:szCs w:val="21"/>
                <w:highlight w:val="none"/>
              </w:rPr>
              <w:t>(a) 评标委员会成员依据招标文件规定，否决两个（含两个）以上的加密打包投标文件电脑机器特征码一致的投标人，不参与下一阶段评审。</w:t>
            </w:r>
          </w:p>
          <w:p>
            <w:pPr>
              <w:jc w:val="left"/>
              <w:rPr>
                <w:rFonts w:ascii="宋体" w:hAnsi="宋体" w:cs="宋体"/>
                <w:color w:val="auto"/>
                <w:szCs w:val="21"/>
                <w:highlight w:val="none"/>
              </w:rPr>
            </w:pPr>
            <w:r>
              <w:rPr>
                <w:rFonts w:hint="eastAsia" w:ascii="宋体" w:hAnsi="宋体" w:cs="宋体"/>
                <w:color w:val="auto"/>
                <w:szCs w:val="21"/>
                <w:highlight w:val="none"/>
              </w:rPr>
              <w:t>(b) 评标委员会成员依据招标文件规定，按附录12《资格审查表》对各投标人递交的投标文件进行资格审查。</w:t>
            </w:r>
          </w:p>
          <w:p>
            <w:pPr>
              <w:jc w:val="left"/>
              <w:rPr>
                <w:rFonts w:ascii="宋体" w:hAnsi="宋体" w:cs="宋体"/>
                <w:color w:val="auto"/>
                <w:szCs w:val="21"/>
                <w:highlight w:val="none"/>
              </w:rPr>
            </w:pPr>
            <w:r>
              <w:rPr>
                <w:rFonts w:hint="eastAsia" w:ascii="宋体" w:hAnsi="宋体" w:cs="宋体"/>
                <w:color w:val="auto"/>
                <w:szCs w:val="21"/>
                <w:highlight w:val="none"/>
              </w:rPr>
              <w:t>(c) 评标委员会成员汇总资格审查结果，编写资格审查报告。</w:t>
            </w:r>
          </w:p>
          <w:p>
            <w:pPr>
              <w:jc w:val="left"/>
              <w:rPr>
                <w:rFonts w:ascii="宋体" w:hAnsi="宋体" w:cs="宋体"/>
                <w:color w:val="auto"/>
                <w:szCs w:val="21"/>
                <w:highlight w:val="none"/>
              </w:rPr>
            </w:pPr>
            <w:r>
              <w:rPr>
                <w:rFonts w:hint="eastAsia" w:ascii="宋体" w:hAnsi="宋体" w:cs="宋体"/>
                <w:color w:val="auto"/>
                <w:szCs w:val="21"/>
                <w:highlight w:val="none"/>
              </w:rPr>
              <w:t>(d) 评标委员会专家依据招标文件规定，按附录15《设计方案评审记录表》、附录17《投标方案评语》对各投标人递交的投标文件进行评审。如果有否决投标提议，则评标委员会成员共同表决，按照少数服从多数的原则决定是否否决。</w:t>
            </w:r>
          </w:p>
          <w:p>
            <w:pPr>
              <w:jc w:val="left"/>
              <w:rPr>
                <w:rFonts w:ascii="宋体" w:hAnsi="宋体" w:cs="宋体"/>
                <w:color w:val="auto"/>
                <w:szCs w:val="21"/>
                <w:highlight w:val="none"/>
              </w:rPr>
            </w:pPr>
            <w:r>
              <w:rPr>
                <w:rFonts w:hint="eastAsia" w:ascii="宋体" w:hAnsi="宋体" w:cs="宋体"/>
                <w:color w:val="auto"/>
                <w:szCs w:val="21"/>
                <w:highlight w:val="none"/>
              </w:rPr>
              <w:t>(e) 以差额选举逐轮淘汰的记名投票方式选出所有投标方案的排序。（方案补偿费按(h)步骤确定的最终排序进行补偿）。</w:t>
            </w:r>
          </w:p>
          <w:p>
            <w:pPr>
              <w:jc w:val="left"/>
              <w:rPr>
                <w:rFonts w:ascii="宋体" w:hAnsi="宋体" w:cs="宋体"/>
                <w:color w:val="auto"/>
                <w:szCs w:val="21"/>
                <w:highlight w:val="none"/>
              </w:rPr>
            </w:pPr>
            <w:r>
              <w:rPr>
                <w:rFonts w:hint="eastAsia" w:ascii="宋体" w:hAnsi="宋体" w:cs="宋体"/>
                <w:color w:val="auto"/>
                <w:szCs w:val="21"/>
                <w:highlight w:val="none"/>
              </w:rPr>
              <w:t>(f) 评标委员会揭晓投标人身份。</w:t>
            </w:r>
          </w:p>
          <w:p>
            <w:pPr>
              <w:jc w:val="left"/>
              <w:rPr>
                <w:rFonts w:ascii="宋体" w:hAnsi="宋体" w:cs="宋体"/>
                <w:color w:val="auto"/>
                <w:szCs w:val="21"/>
                <w:highlight w:val="none"/>
              </w:rPr>
            </w:pPr>
            <w:r>
              <w:rPr>
                <w:rFonts w:hint="eastAsia" w:ascii="宋体" w:hAnsi="宋体" w:cs="宋体"/>
                <w:color w:val="auto"/>
                <w:szCs w:val="21"/>
                <w:highlight w:val="none"/>
              </w:rPr>
              <w:t>(g) 采用二阶段评标法的，由方案排序前3名的投标人讲解投标方案(如方案排序前3名的投标人均存在不通过资格审查（如有）或有效性审查的情形，则按方案从高到低的排序从资格审查（如有）及通过有效性审查的投标人中替补1名讲解；否则不替补)、解答疑问、介绍业绩、信誉和人员的能力，评标委员会成员再次共同表决，以差额选举逐轮淘汰的记名投票方式选出投标方案的排序（讲解方案的人员在讲解前需提供投标人授权证明书及身份证原件给评标委员会确认其身份，未提供以上资料的不得进行讲解）。</w:t>
            </w:r>
          </w:p>
          <w:p>
            <w:pPr>
              <w:jc w:val="left"/>
              <w:rPr>
                <w:rFonts w:ascii="宋体" w:hAnsi="宋体" w:cs="宋体"/>
                <w:color w:val="auto"/>
                <w:szCs w:val="21"/>
                <w:highlight w:val="none"/>
              </w:rPr>
            </w:pPr>
            <w:r>
              <w:rPr>
                <w:rFonts w:hint="eastAsia" w:ascii="宋体" w:hAnsi="宋体" w:cs="宋体"/>
                <w:color w:val="auto"/>
                <w:szCs w:val="21"/>
                <w:highlight w:val="none"/>
              </w:rPr>
              <w:t>(h) 评标委员会按只有通过资格审查（如有）及有效性审查的投标人的投标文件方可进入下一阶段评审的评审原则，在揭晓投标人身份后，根据资格审查（如有）及有效性审查结果，取消被否决投标及未通过资格审查（如有）的投标人的投标方案的排序，其余通过资格审查（如有）及有效性审查的投标人的投标方案的排序依次上升替补确定，以此类推。评标委员会按投标方案最终排序的先后，依次推荐3名中标候选人。投标经济补偿费按投标方案的最终排序确定进行补偿。</w:t>
            </w:r>
          </w:p>
          <w:p>
            <w:pPr>
              <w:jc w:val="left"/>
              <w:rPr>
                <w:rFonts w:ascii="宋体" w:hAnsi="宋体" w:cs="宋体"/>
                <w:color w:val="auto"/>
                <w:szCs w:val="21"/>
                <w:highlight w:val="none"/>
              </w:rPr>
            </w:pPr>
            <w:r>
              <w:rPr>
                <w:rFonts w:hint="eastAsia" w:ascii="宋体" w:hAnsi="宋体" w:cs="宋体"/>
                <w:color w:val="auto"/>
                <w:szCs w:val="21"/>
                <w:highlight w:val="none"/>
              </w:rPr>
              <w:t>(i) 编写、签署评标报告，并标明最终中标候选人的排列顺序，评标报告由评标委员会全体成员签字，对评标结论持有异议的评标委员会成员可以书面方式阐述其不同意见和理由。</w:t>
            </w:r>
          </w:p>
          <w:p>
            <w:pPr>
              <w:jc w:val="left"/>
              <w:rPr>
                <w:rFonts w:ascii="宋体" w:hAnsi="宋体" w:cs="宋体"/>
                <w:color w:val="auto"/>
                <w:szCs w:val="21"/>
                <w:highlight w:val="none"/>
              </w:rPr>
            </w:pPr>
            <w:r>
              <w:rPr>
                <w:rFonts w:hint="eastAsia" w:ascii="宋体" w:hAnsi="宋体" w:cs="宋体"/>
                <w:color w:val="auto"/>
                <w:szCs w:val="21"/>
                <w:highlight w:val="none"/>
              </w:rPr>
              <w:t>(j) 评标委员会向招标人提交书面评标报告后即告解散，评标过程中使用的文件、表格以及其他资料应当即时归还招标人（招标代理机构）。</w:t>
            </w:r>
          </w:p>
        </w:tc>
        <w:tc>
          <w:tcPr>
            <w:tcW w:w="4395" w:type="dxa"/>
          </w:tcPr>
          <w:p>
            <w:pPr>
              <w:jc w:val="left"/>
              <w:rPr>
                <w:rFonts w:ascii="宋体" w:hAnsi="宋体" w:cs="宋体"/>
                <w:color w:val="auto"/>
                <w:szCs w:val="21"/>
                <w:highlight w:val="none"/>
              </w:rPr>
            </w:pPr>
            <w:r>
              <w:rPr>
                <w:rFonts w:hint="eastAsia" w:ascii="宋体" w:hAnsi="宋体" w:cs="宋体"/>
                <w:b/>
                <w:color w:val="auto"/>
                <w:szCs w:val="21"/>
                <w:highlight w:val="none"/>
              </w:rPr>
              <w:t>修改：</w:t>
            </w:r>
          </w:p>
          <w:p>
            <w:pPr>
              <w:jc w:val="left"/>
              <w:rPr>
                <w:rFonts w:ascii="宋体" w:hAnsi="宋体" w:cs="宋体"/>
                <w:color w:val="auto"/>
                <w:szCs w:val="21"/>
                <w:highlight w:val="none"/>
              </w:rPr>
            </w:pPr>
            <w:r>
              <w:rPr>
                <w:rFonts w:hint="eastAsia" w:ascii="宋体" w:hAnsi="宋体" w:cs="宋体"/>
                <w:color w:val="auto"/>
                <w:szCs w:val="21"/>
                <w:highlight w:val="none"/>
              </w:rPr>
              <w:t>4.5.2  不采用评定分离项目的评标办法</w:t>
            </w:r>
          </w:p>
          <w:p>
            <w:pPr>
              <w:jc w:val="left"/>
              <w:rPr>
                <w:rFonts w:ascii="宋体" w:hAnsi="宋体" w:cs="宋体"/>
                <w:color w:val="auto"/>
                <w:szCs w:val="21"/>
                <w:highlight w:val="none"/>
              </w:rPr>
            </w:pPr>
            <w:r>
              <w:rPr>
                <w:rFonts w:hint="eastAsia" w:ascii="宋体" w:hAnsi="宋体" w:cs="宋体"/>
                <w:color w:val="auto"/>
                <w:szCs w:val="21"/>
                <w:highlight w:val="none"/>
              </w:rPr>
              <w:t>4.5.2.1招标人（招标代理机构）在不透露投标人身份的前提下（资格审查文件</w:t>
            </w:r>
            <w:r>
              <w:rPr>
                <w:rFonts w:hint="eastAsia" w:ascii="宋体" w:hAnsi="宋体" w:cs="宋体"/>
                <w:color w:val="auto"/>
                <w:szCs w:val="21"/>
                <w:highlight w:val="none"/>
                <w:u w:val="single"/>
              </w:rPr>
              <w:t>和商务文件除外），对于勘察设计技术方案（技术文件）开标时不得开启，在评标时由交易平台随机编号后开启，交由评标委员会以暗标形式进行评审，</w:t>
            </w:r>
            <w:r>
              <w:rPr>
                <w:rFonts w:hint="eastAsia" w:ascii="宋体" w:hAnsi="宋体" w:cs="宋体"/>
                <w:color w:val="auto"/>
                <w:szCs w:val="21"/>
                <w:highlight w:val="none"/>
              </w:rPr>
              <w:t>不需要投标人派代表介绍投标方案。</w:t>
            </w:r>
          </w:p>
          <w:p>
            <w:pPr>
              <w:jc w:val="left"/>
              <w:rPr>
                <w:rFonts w:ascii="宋体" w:hAnsi="宋体" w:cs="宋体"/>
                <w:color w:val="auto"/>
                <w:szCs w:val="21"/>
                <w:highlight w:val="none"/>
              </w:rPr>
            </w:pPr>
            <w:r>
              <w:rPr>
                <w:rFonts w:hint="eastAsia" w:ascii="宋体" w:hAnsi="宋体" w:cs="宋体"/>
                <w:color w:val="auto"/>
                <w:szCs w:val="21"/>
                <w:highlight w:val="none"/>
              </w:rPr>
              <w:t>4.5.2.2如果评标委员会成员在交易服务机构评标，将按</w:t>
            </w:r>
            <w:r>
              <w:rPr>
                <w:rFonts w:hint="eastAsia" w:ascii="宋体" w:hAnsi="宋体" w:cs="宋体"/>
                <w:color w:val="auto"/>
                <w:szCs w:val="21"/>
                <w:highlight w:val="none"/>
                <w:u w:val="single"/>
              </w:rPr>
              <w:t>下列</w:t>
            </w:r>
            <w:r>
              <w:rPr>
                <w:rFonts w:hint="eastAsia" w:ascii="宋体" w:hAnsi="宋体" w:cs="宋体"/>
                <w:color w:val="auto"/>
                <w:szCs w:val="21"/>
                <w:highlight w:val="none"/>
              </w:rPr>
              <w:t>步骤进行：</w:t>
            </w:r>
          </w:p>
          <w:p>
            <w:pPr>
              <w:jc w:val="left"/>
              <w:rPr>
                <w:rFonts w:ascii="宋体" w:hAnsi="宋体" w:cs="宋体"/>
                <w:color w:val="auto"/>
                <w:szCs w:val="21"/>
                <w:highlight w:val="none"/>
              </w:rPr>
            </w:pPr>
            <w:r>
              <w:rPr>
                <w:rFonts w:hint="eastAsia" w:ascii="宋体" w:hAnsi="宋体" w:cs="宋体"/>
                <w:color w:val="auto"/>
                <w:szCs w:val="21"/>
                <w:highlight w:val="none"/>
              </w:rPr>
              <w:t xml:space="preserve">(a) </w:t>
            </w:r>
            <w:r>
              <w:rPr>
                <w:rFonts w:hint="eastAsia" w:ascii="宋体" w:hAnsi="宋体"/>
                <w:color w:val="auto"/>
                <w:szCs w:val="21"/>
                <w:highlight w:val="none"/>
                <w:u w:val="single"/>
              </w:rPr>
              <w:t>评标委员会成员依据招标文件规定，按附录9《资格审查表》对各投标人递交的投标文件进行资格审查。</w:t>
            </w:r>
            <w:r>
              <w:rPr>
                <w:rFonts w:hint="eastAsia" w:ascii="宋体" w:hAnsi="宋体" w:cs="宋体"/>
                <w:color w:val="auto"/>
                <w:szCs w:val="21"/>
                <w:highlight w:val="none"/>
                <w:u w:val="single"/>
              </w:rPr>
              <w:t>汇总资格审查结果，编写资格审查报告。</w:t>
            </w:r>
            <w:r>
              <w:rPr>
                <w:rFonts w:hint="eastAsia" w:ascii="宋体" w:hAnsi="宋体"/>
                <w:color w:val="auto"/>
                <w:szCs w:val="21"/>
                <w:highlight w:val="none"/>
                <w:u w:val="single"/>
              </w:rPr>
              <w:t>如果有否决投标提议，则评标委员会成员共同表决，按照少数服从多数的原则决定是否否决。</w:t>
            </w:r>
          </w:p>
          <w:p>
            <w:pPr>
              <w:jc w:val="left"/>
              <w:rPr>
                <w:rFonts w:ascii="宋体" w:hAnsi="宋体" w:cs="宋体"/>
                <w:color w:val="auto"/>
                <w:szCs w:val="21"/>
                <w:highlight w:val="none"/>
              </w:rPr>
            </w:pPr>
            <w:r>
              <w:rPr>
                <w:rFonts w:hint="eastAsia" w:ascii="宋体" w:hAnsi="宋体" w:cs="宋体"/>
                <w:color w:val="auto"/>
                <w:szCs w:val="21"/>
                <w:highlight w:val="none"/>
              </w:rPr>
              <w:t xml:space="preserve">(b) </w:t>
            </w:r>
            <w:r>
              <w:rPr>
                <w:rFonts w:hint="eastAsia" w:ascii="宋体" w:hAnsi="宋体"/>
                <w:color w:val="auto"/>
                <w:szCs w:val="21"/>
                <w:highlight w:val="none"/>
                <w:u w:val="single"/>
              </w:rPr>
              <w:t>评标委员会成员按附录10《商务文件有效性审查表》对通过资格审查的投标人递交的商务文件进行有效性审查。只有通过商务有效性审查的投标文件方可进入下一阶段的评审。如果有否决投标提议，则评标委员会成员共同表决，按照少数服从多数的原则决定是否否决。</w:t>
            </w:r>
          </w:p>
          <w:p>
            <w:pPr>
              <w:jc w:val="left"/>
              <w:rPr>
                <w:rFonts w:ascii="宋体" w:hAnsi="宋体" w:cs="宋体"/>
                <w:color w:val="auto"/>
                <w:szCs w:val="21"/>
                <w:highlight w:val="none"/>
              </w:rPr>
            </w:pPr>
            <w:r>
              <w:rPr>
                <w:rFonts w:hint="eastAsia" w:ascii="宋体" w:hAnsi="宋体" w:cs="宋体"/>
                <w:color w:val="auto"/>
                <w:szCs w:val="21"/>
                <w:highlight w:val="none"/>
              </w:rPr>
              <w:t xml:space="preserve">(c) </w:t>
            </w:r>
            <w:r>
              <w:rPr>
                <w:rFonts w:hint="eastAsia" w:ascii="宋体" w:hAnsi="宋体"/>
                <w:color w:val="auto"/>
                <w:szCs w:val="21"/>
                <w:highlight w:val="none"/>
                <w:u w:val="single"/>
              </w:rPr>
              <w:t>评标委员会成员按附录11《商务文件综合评分表》对通过有效性审查的商务文件进行综合评分。所有评委每个分项的分数汇总后去掉一个最高分和一个最低分后计取算术平均值，得出每个投标人商务文件的得分，分数出现小数点，保留小数点后二位，第三位小数四舍五入。</w:t>
            </w:r>
          </w:p>
          <w:p>
            <w:pPr>
              <w:jc w:val="left"/>
              <w:rPr>
                <w:rFonts w:ascii="宋体" w:hAnsi="宋体" w:cs="宋体"/>
                <w:color w:val="auto"/>
                <w:szCs w:val="21"/>
                <w:highlight w:val="none"/>
              </w:rPr>
            </w:pPr>
            <w:r>
              <w:rPr>
                <w:rFonts w:hint="eastAsia" w:ascii="宋体" w:hAnsi="宋体" w:cs="宋体"/>
                <w:color w:val="auto"/>
                <w:szCs w:val="21"/>
                <w:highlight w:val="none"/>
              </w:rPr>
              <w:t xml:space="preserve">(d) </w:t>
            </w:r>
            <w:r>
              <w:rPr>
                <w:rFonts w:hint="eastAsia" w:ascii="宋体" w:hAnsi="宋体"/>
                <w:color w:val="auto"/>
                <w:szCs w:val="21"/>
                <w:highlight w:val="none"/>
                <w:u w:val="single"/>
              </w:rPr>
              <w:t>评标委员会成员按附录12《技术文件有效性审查表》对勘察设计技术方案（技术文件）进行有效性审查。只有通过技术文件有效性审查的投标文件方可进入下一阶段的评审。如果有否决投标提议，则评标委员会成员共同表决，按照少数服从多数的原则决定是否否决。</w:t>
            </w:r>
          </w:p>
          <w:p>
            <w:pPr>
              <w:jc w:val="left"/>
              <w:rPr>
                <w:rFonts w:ascii="宋体" w:hAnsi="宋体" w:cs="宋体"/>
                <w:color w:val="auto"/>
                <w:szCs w:val="21"/>
                <w:highlight w:val="none"/>
              </w:rPr>
            </w:pPr>
            <w:r>
              <w:rPr>
                <w:rFonts w:hint="eastAsia" w:ascii="宋体" w:hAnsi="宋体" w:cs="宋体"/>
                <w:color w:val="auto"/>
                <w:szCs w:val="21"/>
                <w:highlight w:val="none"/>
              </w:rPr>
              <w:t xml:space="preserve">(e) </w:t>
            </w:r>
            <w:r>
              <w:rPr>
                <w:rFonts w:hint="eastAsia" w:ascii="宋体" w:hAnsi="宋体"/>
                <w:color w:val="auto"/>
                <w:szCs w:val="21"/>
                <w:highlight w:val="none"/>
                <w:u w:val="single"/>
              </w:rPr>
              <w:t>评标委员会成员按附录13《技术文件综合评分表》对通过有效性审查的勘察设计技术方案（技术文件）进行综合评分。所有评委每个分项的分数汇总后去掉一个最高分和一个最低分后计取算术平均值，得出每个投标人技术文件的得分，分数出现小数点，保留小数点后二位，第三位小数四舍五入。</w:t>
            </w:r>
          </w:p>
          <w:p>
            <w:pPr>
              <w:jc w:val="left"/>
              <w:rPr>
                <w:rFonts w:ascii="宋体" w:hAnsi="宋体" w:cs="宋体"/>
                <w:color w:val="auto"/>
                <w:szCs w:val="21"/>
                <w:highlight w:val="none"/>
              </w:rPr>
            </w:pPr>
            <w:r>
              <w:rPr>
                <w:rFonts w:hint="eastAsia" w:ascii="宋体" w:hAnsi="宋体" w:cs="宋体"/>
                <w:color w:val="auto"/>
                <w:szCs w:val="21"/>
                <w:highlight w:val="none"/>
              </w:rPr>
              <w:t xml:space="preserve">(f) </w:t>
            </w:r>
            <w:r>
              <w:rPr>
                <w:rFonts w:hint="eastAsia" w:ascii="宋体" w:hAnsi="宋体"/>
                <w:color w:val="auto"/>
                <w:szCs w:val="21"/>
                <w:highlight w:val="none"/>
                <w:u w:val="single"/>
              </w:rPr>
              <w:t>评标委员会揭晓各勘察设计技术方案（技术文件）对应的投标人身份。</w:t>
            </w:r>
          </w:p>
          <w:p>
            <w:pPr>
              <w:jc w:val="left"/>
              <w:rPr>
                <w:rFonts w:ascii="宋体" w:hAnsi="宋体"/>
                <w:color w:val="auto"/>
                <w:szCs w:val="21"/>
                <w:highlight w:val="none"/>
                <w:u w:val="single"/>
              </w:rPr>
            </w:pPr>
            <w:r>
              <w:rPr>
                <w:rFonts w:hint="eastAsia" w:ascii="宋体" w:hAnsi="宋体" w:cs="宋体"/>
                <w:color w:val="auto"/>
                <w:szCs w:val="21"/>
                <w:highlight w:val="none"/>
              </w:rPr>
              <w:t xml:space="preserve">(g) </w:t>
            </w:r>
            <w:r>
              <w:rPr>
                <w:rFonts w:hint="eastAsia" w:ascii="宋体" w:hAnsi="宋体"/>
                <w:color w:val="auto"/>
                <w:szCs w:val="21"/>
                <w:highlight w:val="none"/>
                <w:u w:val="single"/>
              </w:rPr>
              <w:t>评标委员会按只有通过资格审查及有效性审查的投标人的投标文件方可进入下一阶段评审的评审原则，在揭晓投标人身份后，根据资格审查及有效性审查结果，去除被否决投标及未通过资格审查的投标人，评标委员对各有效投标人的勘察设计技术方案（技术文件）得分由高至低进行排序，依次确定获得投标经济补偿的投标人及其费用。</w:t>
            </w:r>
          </w:p>
          <w:p>
            <w:pPr>
              <w:jc w:val="left"/>
              <w:rPr>
                <w:rFonts w:ascii="宋体" w:hAnsi="宋体" w:cs="宋体"/>
                <w:color w:val="auto"/>
                <w:szCs w:val="21"/>
                <w:highlight w:val="none"/>
              </w:rPr>
            </w:pPr>
            <w:r>
              <w:rPr>
                <w:rFonts w:hint="eastAsia" w:ascii="宋体" w:hAnsi="宋体" w:cs="宋体"/>
                <w:color w:val="auto"/>
                <w:szCs w:val="21"/>
                <w:highlight w:val="none"/>
              </w:rPr>
              <w:t>(h)</w:t>
            </w:r>
            <w:r>
              <w:rPr>
                <w:rFonts w:hint="eastAsia" w:ascii="宋体" w:hAnsi="宋体"/>
                <w:color w:val="auto"/>
                <w:szCs w:val="21"/>
                <w:highlight w:val="none"/>
              </w:rPr>
              <w:t xml:space="preserve"> </w:t>
            </w:r>
            <w:r>
              <w:rPr>
                <w:rFonts w:hint="eastAsia" w:ascii="宋体" w:hAnsi="宋体" w:cs="宋体"/>
                <w:color w:val="auto"/>
                <w:szCs w:val="21"/>
                <w:highlight w:val="none"/>
                <w:u w:val="single"/>
              </w:rPr>
              <w:t>评标委员会</w:t>
            </w:r>
            <w:r>
              <w:rPr>
                <w:rFonts w:hint="eastAsia" w:ascii="宋体" w:hAnsi="宋体"/>
                <w:color w:val="auto"/>
                <w:szCs w:val="21"/>
                <w:highlight w:val="none"/>
                <w:u w:val="single"/>
              </w:rPr>
              <w:t>按只有通过资格审查及有效性审查的投标人的投标文件方可进入下一阶段评审的评审原则，评标委员会汇总计算各有效投标人的综合得分，投标人的综合得分（满分100分）＝商务文件得分×30%+技术文件得分×70%，然后按照综合得分由高至低进行排序。综合得分相同的，则以技术文件得分较高的排前；若技术文件得分仍相同的，则以投标报价较低的排前；如仍存在相同情况，则对具有相同情况的投标人，由评标委员会采用记名投票方式，确定投标人最终名次的排序。评标委员会按综合得分最终排序的先后，依次推荐3名中标候选人。</w:t>
            </w:r>
          </w:p>
          <w:p>
            <w:pPr>
              <w:jc w:val="left"/>
              <w:rPr>
                <w:rFonts w:ascii="宋体" w:hAnsi="宋体" w:cs="宋体"/>
                <w:color w:val="auto"/>
                <w:szCs w:val="21"/>
                <w:highlight w:val="none"/>
              </w:rPr>
            </w:pPr>
            <w:r>
              <w:rPr>
                <w:rFonts w:hint="eastAsia" w:ascii="宋体" w:hAnsi="宋体" w:cs="宋体"/>
                <w:color w:val="auto"/>
                <w:szCs w:val="21"/>
                <w:highlight w:val="none"/>
              </w:rPr>
              <w:t>(i) 编写、签署评标报告，并标明最终中标候选人的排列顺序，评标报告由评标委员会全体成员签字，对评标结论持有异议的评标委员会成员可以书面方式阐述其不同意见和理由。</w:t>
            </w:r>
          </w:p>
          <w:p>
            <w:pPr>
              <w:jc w:val="left"/>
              <w:rPr>
                <w:rFonts w:ascii="宋体" w:hAnsi="宋体" w:cs="宋体"/>
                <w:color w:val="auto"/>
                <w:szCs w:val="21"/>
                <w:highlight w:val="none"/>
              </w:rPr>
            </w:pPr>
            <w:r>
              <w:rPr>
                <w:rFonts w:hint="eastAsia" w:ascii="宋体" w:hAnsi="宋体" w:cs="宋体"/>
                <w:color w:val="auto"/>
                <w:szCs w:val="21"/>
                <w:highlight w:val="none"/>
              </w:rPr>
              <w:t>(j) 评标委员会向招标人提交书面评标报告后即告解散，评标过程中使用的文件、表格以及其他资料应当即时归还招标人（招标代理机构）。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28</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4.5.3</w:t>
            </w:r>
          </w:p>
        </w:tc>
        <w:tc>
          <w:tcPr>
            <w:tcW w:w="3713" w:type="dxa"/>
          </w:tcPr>
          <w:p>
            <w:pPr>
              <w:jc w:val="left"/>
              <w:rPr>
                <w:rFonts w:ascii="宋体" w:hAnsi="宋体" w:cs="宋体"/>
                <w:bCs/>
                <w:color w:val="auto"/>
                <w:szCs w:val="21"/>
                <w:highlight w:val="none"/>
              </w:rPr>
            </w:pPr>
          </w:p>
          <w:p>
            <w:pPr>
              <w:jc w:val="left"/>
              <w:rPr>
                <w:rFonts w:ascii="宋体" w:hAnsi="宋体" w:cs="宋体"/>
                <w:b/>
                <w:bCs/>
                <w:color w:val="auto"/>
                <w:szCs w:val="21"/>
                <w:highlight w:val="none"/>
              </w:rPr>
            </w:pPr>
            <w:r>
              <w:rPr>
                <w:rFonts w:hint="eastAsia" w:ascii="宋体" w:hAnsi="宋体" w:cs="宋体"/>
                <w:bCs/>
                <w:color w:val="auto"/>
                <w:szCs w:val="21"/>
                <w:highlight w:val="none"/>
              </w:rPr>
              <w:t>4.</w:t>
            </w:r>
            <w:r>
              <w:rPr>
                <w:rFonts w:ascii="宋体" w:hAnsi="宋体" w:cs="宋体"/>
                <w:bCs/>
                <w:color w:val="auto"/>
                <w:szCs w:val="21"/>
                <w:highlight w:val="none"/>
              </w:rPr>
              <w:t>5.3</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采用评定分离项目的评标及定标办法</w:t>
            </w:r>
          </w:p>
          <w:p>
            <w:pPr>
              <w:jc w:val="left"/>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.1招标人（招标代理机构）在不透露投标人身份的前提下（资格审查文件除外）将投标文件交给评标委员会，不需要投标人派代表介绍投标方案。</w:t>
            </w:r>
          </w:p>
          <w:p>
            <w:pPr>
              <w:jc w:val="left"/>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.2如果评标委员会成员在交易服务机构评标，将按方法</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规定的步骤进行：</w:t>
            </w:r>
          </w:p>
          <w:p>
            <w:pPr>
              <w:jc w:val="left"/>
              <w:rPr>
                <w:rFonts w:ascii="宋体" w:hAnsi="宋体" w:cs="宋体"/>
                <w:color w:val="auto"/>
                <w:szCs w:val="21"/>
                <w:highlight w:val="none"/>
              </w:rPr>
            </w:pPr>
            <w:r>
              <w:rPr>
                <w:rFonts w:hint="eastAsia" w:ascii="宋体" w:hAnsi="宋体" w:cs="宋体"/>
                <w:color w:val="auto"/>
                <w:szCs w:val="21"/>
                <w:highlight w:val="none"/>
              </w:rPr>
              <w:t xml:space="preserve">       方法一（设有资格审查环节的一阶段评标法）：a、b、c、d、e、f、g、h、i、j</w:t>
            </w:r>
          </w:p>
          <w:p>
            <w:pPr>
              <w:jc w:val="left"/>
              <w:rPr>
                <w:rFonts w:ascii="宋体" w:hAnsi="宋体" w:cs="宋体"/>
                <w:color w:val="auto"/>
                <w:szCs w:val="21"/>
                <w:highlight w:val="none"/>
              </w:rPr>
            </w:pPr>
            <w:r>
              <w:rPr>
                <w:rFonts w:hint="eastAsia" w:ascii="宋体" w:hAnsi="宋体" w:cs="宋体"/>
                <w:color w:val="auto"/>
                <w:szCs w:val="21"/>
                <w:highlight w:val="none"/>
              </w:rPr>
              <w:t xml:space="preserve">       方法二（未设资格审查环节的一阶段评标法）：a、d、e、f、g、h、i、j</w:t>
            </w:r>
          </w:p>
          <w:p>
            <w:pPr>
              <w:jc w:val="left"/>
              <w:rPr>
                <w:rFonts w:ascii="宋体" w:hAnsi="宋体" w:cs="宋体"/>
                <w:color w:val="auto"/>
                <w:szCs w:val="21"/>
                <w:highlight w:val="none"/>
              </w:rPr>
            </w:pPr>
            <w:r>
              <w:rPr>
                <w:rFonts w:hint="eastAsia" w:ascii="宋体" w:hAnsi="宋体" w:cs="宋体"/>
                <w:color w:val="auto"/>
                <w:szCs w:val="21"/>
                <w:highlight w:val="none"/>
              </w:rPr>
              <w:t xml:space="preserve">       </w:t>
            </w:r>
          </w:p>
          <w:p>
            <w:pPr>
              <w:jc w:val="left"/>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a</w:t>
            </w:r>
            <w:r>
              <w:rPr>
                <w:rFonts w:ascii="宋体" w:hAnsi="宋体" w:cs="宋体"/>
                <w:color w:val="auto"/>
                <w:szCs w:val="21"/>
                <w:highlight w:val="none"/>
              </w:rPr>
              <w:t>)</w:t>
            </w:r>
            <w:r>
              <w:rPr>
                <w:rFonts w:hint="eastAsia" w:ascii="宋体" w:hAnsi="宋体" w:cs="宋体"/>
                <w:color w:val="auto"/>
                <w:szCs w:val="21"/>
                <w:highlight w:val="none"/>
              </w:rPr>
              <w:t xml:space="preserve">评标委员会成员依据招标文件规定，否决两个（含两个）以上的加密打包投标文件电脑机器特征码一致的投标人，不参与下一阶段评审。 </w:t>
            </w:r>
          </w:p>
          <w:p>
            <w:pPr>
              <w:jc w:val="left"/>
              <w:rPr>
                <w:rFonts w:ascii="宋体" w:hAnsi="宋体" w:cs="宋体"/>
                <w:color w:val="auto"/>
                <w:szCs w:val="21"/>
                <w:highlight w:val="none"/>
              </w:rPr>
            </w:pPr>
            <w:r>
              <w:rPr>
                <w:rFonts w:hint="eastAsia" w:ascii="宋体" w:hAnsi="宋体" w:cs="宋体"/>
                <w:color w:val="auto"/>
                <w:szCs w:val="21"/>
                <w:highlight w:val="none"/>
              </w:rPr>
              <w:t>(b)评标委员会成员业主代表及专家依据招标文件规定，按附录12《资格审查表》对各投标人递交的投标文件进行资格审查。</w:t>
            </w:r>
          </w:p>
          <w:p>
            <w:pPr>
              <w:jc w:val="left"/>
              <w:rPr>
                <w:rFonts w:ascii="宋体" w:hAnsi="宋体" w:cs="宋体"/>
                <w:color w:val="auto"/>
                <w:szCs w:val="21"/>
                <w:highlight w:val="none"/>
              </w:rPr>
            </w:pPr>
            <w:r>
              <w:rPr>
                <w:rFonts w:hint="eastAsia" w:ascii="宋体" w:hAnsi="宋体" w:cs="宋体"/>
                <w:color w:val="auto"/>
                <w:szCs w:val="21"/>
                <w:highlight w:val="none"/>
              </w:rPr>
              <w:t>(c) 评标委员会成员汇总资格审查结果，编写资格审查报告。</w:t>
            </w:r>
          </w:p>
          <w:p>
            <w:pPr>
              <w:jc w:val="left"/>
              <w:rPr>
                <w:rFonts w:ascii="宋体" w:hAnsi="宋体" w:cs="宋体"/>
                <w:color w:val="auto"/>
                <w:szCs w:val="21"/>
                <w:highlight w:val="none"/>
              </w:rPr>
            </w:pPr>
            <w:r>
              <w:rPr>
                <w:rFonts w:hint="eastAsia" w:ascii="宋体" w:hAnsi="宋体" w:cs="宋体"/>
                <w:color w:val="auto"/>
                <w:szCs w:val="21"/>
                <w:highlight w:val="none"/>
              </w:rPr>
              <w:t>(d)评标委员会专家依据招标文件规定，按附录15《设计方案评审记录表》、附录17《投标方案评语》对各投标人递交的投标文件进行评审。如果有否决投标提议，则评标委员会成员共同表决，按照少数服从多数的原则决定是否否决。</w:t>
            </w:r>
          </w:p>
          <w:p>
            <w:pPr>
              <w:jc w:val="left"/>
              <w:rPr>
                <w:rFonts w:ascii="宋体" w:hAnsi="宋体" w:cs="宋体"/>
                <w:color w:val="auto"/>
                <w:szCs w:val="21"/>
                <w:highlight w:val="none"/>
              </w:rPr>
            </w:pPr>
            <w:r>
              <w:rPr>
                <w:rFonts w:hint="eastAsia" w:ascii="宋体" w:hAnsi="宋体" w:cs="宋体"/>
                <w:color w:val="auto"/>
                <w:szCs w:val="21"/>
                <w:highlight w:val="none"/>
              </w:rPr>
              <w:t>(e) 以差额选举逐轮淘汰的记名投票方式选出所有投标方案的排序，并按照4.</w:t>
            </w:r>
            <w:r>
              <w:rPr>
                <w:rFonts w:ascii="宋体" w:hAnsi="宋体" w:cs="宋体"/>
                <w:color w:val="auto"/>
                <w:szCs w:val="21"/>
                <w:highlight w:val="none"/>
              </w:rPr>
              <w:t>5.1</w:t>
            </w:r>
            <w:r>
              <w:rPr>
                <w:rFonts w:hint="eastAsia" w:ascii="宋体" w:hAnsi="宋体" w:cs="宋体"/>
                <w:color w:val="auto"/>
                <w:szCs w:val="21"/>
                <w:highlight w:val="none"/>
              </w:rPr>
              <w:t>约定的家数入围定标阶段（该排序不作为定标的依据）；或以差额选举逐轮淘汰的记名投票方式直接确定入围定标阶段的投标人。（方案补偿费按(g)步骤确定的方式进行补偿）。</w:t>
            </w:r>
          </w:p>
          <w:p>
            <w:pPr>
              <w:jc w:val="left"/>
              <w:rPr>
                <w:rFonts w:ascii="宋体" w:hAnsi="宋体" w:cs="宋体"/>
                <w:color w:val="auto"/>
                <w:szCs w:val="21"/>
                <w:highlight w:val="none"/>
              </w:rPr>
            </w:pPr>
            <w:r>
              <w:rPr>
                <w:rFonts w:hint="eastAsia" w:ascii="宋体" w:hAnsi="宋体" w:cs="宋体"/>
                <w:color w:val="auto"/>
                <w:szCs w:val="21"/>
                <w:highlight w:val="none"/>
              </w:rPr>
              <w:t xml:space="preserve">(f) 评标委员会揭晓投标人身份。 </w:t>
            </w:r>
          </w:p>
          <w:p>
            <w:pPr>
              <w:jc w:val="left"/>
              <w:rPr>
                <w:rFonts w:ascii="宋体" w:hAnsi="宋体" w:cs="宋体"/>
                <w:color w:val="auto"/>
                <w:szCs w:val="21"/>
                <w:highlight w:val="none"/>
              </w:rPr>
            </w:pPr>
            <w:r>
              <w:rPr>
                <w:rFonts w:hint="eastAsia" w:ascii="宋体" w:hAnsi="宋体" w:cs="宋体"/>
                <w:color w:val="auto"/>
                <w:szCs w:val="21"/>
                <w:highlight w:val="none"/>
              </w:rPr>
              <w:t>(g) 评标委员会按只有通过资格审查（如有）及有效性审查的投标人的投标文件方可进入下一阶段评审的评审原则，在揭晓投标人身份后，根据资格审查（如有）及有效性审查结果，取消被否决投标及未通过资格审查（如有）的投标人的投标。若采取排序方式确定入围单位的，其余通过资格审查（如有）及有效性审查的投标人按排序依次上升替补入围定标阶段，以此类推。若采取直接确定入围单位的，确定替补入围单位的方法为：</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。评标委员会按上述方式推荐入围定标阶段的投标人。投标经济补偿费按投标方案的最终排序（采取排序方式的）或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（采取直接确定入围方式的）确定进行补偿。</w:t>
            </w:r>
          </w:p>
          <w:p>
            <w:pPr>
              <w:jc w:val="left"/>
              <w:rPr>
                <w:rFonts w:ascii="宋体" w:hAnsi="宋体" w:cs="宋体"/>
                <w:color w:val="auto"/>
                <w:szCs w:val="21"/>
                <w:highlight w:val="none"/>
              </w:rPr>
            </w:pPr>
            <w:r>
              <w:rPr>
                <w:rFonts w:hint="eastAsia" w:ascii="宋体" w:hAnsi="宋体" w:cs="宋体"/>
                <w:color w:val="auto"/>
                <w:szCs w:val="21"/>
                <w:highlight w:val="none"/>
              </w:rPr>
              <w:t>(h) 编写、签署评标报告，评标报告由评标委员会全体成员签字，对评标结论持有异议的评标委员会成员可以书面方式阐述其不同意见和理由。</w:t>
            </w:r>
          </w:p>
          <w:p>
            <w:pPr>
              <w:jc w:val="left"/>
              <w:rPr>
                <w:rFonts w:ascii="宋体" w:hAnsi="宋体" w:cs="宋体"/>
                <w:color w:val="auto"/>
                <w:szCs w:val="21"/>
                <w:highlight w:val="none"/>
              </w:rPr>
            </w:pPr>
            <w:r>
              <w:rPr>
                <w:rFonts w:hint="eastAsia" w:ascii="宋体" w:hAnsi="宋体" w:cs="宋体"/>
                <w:color w:val="auto"/>
                <w:szCs w:val="21"/>
                <w:highlight w:val="none"/>
              </w:rPr>
              <w:t>(i) 评标委员会向招标人提交书面评标报告后即告解散，评标过程中使用的文件、表格以及其他资料应当即时归还招标人（招标代理机构）。</w:t>
            </w:r>
          </w:p>
          <w:p>
            <w:pPr>
              <w:jc w:val="left"/>
              <w:rPr>
                <w:rFonts w:ascii="宋体" w:hAnsi="宋体" w:cs="宋体"/>
                <w:color w:val="auto"/>
                <w:szCs w:val="21"/>
                <w:highlight w:val="none"/>
              </w:rPr>
            </w:pPr>
            <w:r>
              <w:rPr>
                <w:rFonts w:hint="eastAsia" w:ascii="宋体" w:hAnsi="宋体" w:cs="宋体"/>
                <w:color w:val="auto"/>
                <w:szCs w:val="21"/>
                <w:highlight w:val="none"/>
              </w:rPr>
              <w:t>（j）定标</w:t>
            </w:r>
            <w:r>
              <w:rPr>
                <w:rFonts w:ascii="宋体" w:hAnsi="宋体" w:cs="宋体"/>
                <w:color w:val="auto"/>
                <w:szCs w:val="21"/>
                <w:highlight w:val="none"/>
              </w:rPr>
              <w:t>委员会</w:t>
            </w:r>
            <w:r>
              <w:rPr>
                <w:rFonts w:hint="eastAsia" w:ascii="宋体" w:hAnsi="宋体" w:cs="宋体"/>
                <w:color w:val="auto"/>
                <w:szCs w:val="21"/>
                <w:highlight w:val="none"/>
              </w:rPr>
              <w:t>定标。定标委员会按附录16《定标原则》确定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名（不多于3名）中标候选人（排序），也可直接确定中标人。</w:t>
            </w:r>
          </w:p>
        </w:tc>
        <w:tc>
          <w:tcPr>
            <w:tcW w:w="4395" w:type="dxa"/>
          </w:tcPr>
          <w:p>
            <w:pPr>
              <w:jc w:val="left"/>
              <w:rPr>
                <w:rFonts w:ascii="宋体" w:hAnsi="宋体" w:cs="宋体"/>
                <w:b/>
                <w:color w:val="auto"/>
                <w:szCs w:val="21"/>
                <w:highlight w:val="none"/>
              </w:rPr>
            </w:pPr>
            <w:r>
              <w:rPr>
                <w:rFonts w:hint="eastAsia" w:ascii="宋体" w:hAnsi="宋体" w:cs="宋体"/>
                <w:b/>
                <w:color w:val="auto"/>
                <w:szCs w:val="21"/>
                <w:highlight w:val="none"/>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29</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5.1</w:t>
            </w:r>
          </w:p>
        </w:tc>
        <w:tc>
          <w:tcPr>
            <w:tcW w:w="3713" w:type="dxa"/>
          </w:tcPr>
          <w:p>
            <w:pPr>
              <w:jc w:val="left"/>
              <w:rPr>
                <w:rFonts w:ascii="宋体" w:hAnsi="宋体" w:cs="宋体"/>
                <w:b/>
                <w:bCs/>
                <w:color w:val="auto"/>
                <w:szCs w:val="21"/>
                <w:highlight w:val="none"/>
              </w:rPr>
            </w:pPr>
          </w:p>
          <w:p>
            <w:pPr>
              <w:jc w:val="left"/>
              <w:rPr>
                <w:rFonts w:ascii="宋体" w:hAnsi="宋体" w:cs="宋体"/>
                <w:b/>
                <w:bCs/>
                <w:color w:val="auto"/>
                <w:szCs w:val="21"/>
                <w:highlight w:val="none"/>
              </w:rPr>
            </w:pPr>
            <w:r>
              <w:rPr>
                <w:rFonts w:hint="eastAsia" w:ascii="宋体" w:hAnsi="宋体" w:cs="宋体"/>
                <w:b/>
                <w:bCs/>
                <w:color w:val="auto"/>
                <w:szCs w:val="21"/>
                <w:highlight w:val="none"/>
              </w:rPr>
              <w:t>5.1    确定中标人</w:t>
            </w:r>
          </w:p>
          <w:p>
            <w:pPr>
              <w:jc w:val="left"/>
              <w:rPr>
                <w:rFonts w:ascii="宋体" w:hAnsi="宋体" w:cs="宋体"/>
                <w:bCs/>
                <w:color w:val="auto"/>
                <w:szCs w:val="21"/>
                <w:highlight w:val="none"/>
              </w:rPr>
            </w:pPr>
            <w:r>
              <w:rPr>
                <w:rFonts w:hint="eastAsia" w:ascii="宋体" w:hAnsi="宋体" w:cs="宋体"/>
                <w:bCs/>
                <w:color w:val="auto"/>
                <w:szCs w:val="21"/>
                <w:highlight w:val="none"/>
              </w:rPr>
              <w:t>采用方式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确定中标人：</w:t>
            </w:r>
          </w:p>
          <w:p>
            <w:pPr>
              <w:jc w:val="left"/>
              <w:rPr>
                <w:rFonts w:ascii="宋体" w:hAnsi="宋体" w:cs="宋体"/>
                <w:b/>
                <w:bCs/>
                <w:color w:val="auto"/>
                <w:szCs w:val="21"/>
                <w:highlight w:val="none"/>
              </w:rPr>
            </w:pPr>
            <w:r>
              <w:rPr>
                <w:rFonts w:hint="eastAsia" w:ascii="宋体" w:hAnsi="宋体" w:cs="宋体"/>
                <w:b/>
                <w:bCs/>
                <w:color w:val="auto"/>
                <w:szCs w:val="21"/>
                <w:highlight w:val="none"/>
              </w:rPr>
              <w:t>方式一（适用于设置资格审查环节的项目）：</w:t>
            </w:r>
          </w:p>
          <w:p>
            <w:pPr>
              <w:jc w:val="left"/>
              <w:rPr>
                <w:rFonts w:ascii="宋体" w:hAnsi="宋体" w:cs="宋体"/>
                <w:bCs/>
                <w:color w:val="auto"/>
                <w:szCs w:val="21"/>
                <w:highlight w:val="none"/>
              </w:rPr>
            </w:pPr>
            <w:r>
              <w:rPr>
                <w:rFonts w:hint="eastAsia" w:ascii="宋体" w:hAnsi="宋体" w:cs="宋体"/>
                <w:bCs/>
                <w:color w:val="auto"/>
                <w:szCs w:val="21"/>
                <w:highlight w:val="none"/>
              </w:rPr>
              <w:t>5.1.1  招标人在评标委员会或</w:t>
            </w:r>
            <w:r>
              <w:rPr>
                <w:rFonts w:ascii="宋体" w:hAnsi="宋体" w:cs="宋体"/>
                <w:bCs/>
                <w:color w:val="auto"/>
                <w:szCs w:val="21"/>
                <w:highlight w:val="none"/>
              </w:rPr>
              <w:t>定标委员会</w:t>
            </w:r>
            <w:r>
              <w:rPr>
                <w:rFonts w:hint="eastAsia" w:ascii="宋体" w:hAnsi="宋体" w:cs="宋体"/>
                <w:bCs/>
                <w:color w:val="auto"/>
                <w:szCs w:val="21"/>
                <w:highlight w:val="none"/>
              </w:rPr>
              <w:t>推荐的中标候选人中确定中标人。</w:t>
            </w:r>
          </w:p>
          <w:p>
            <w:pPr>
              <w:jc w:val="left"/>
              <w:rPr>
                <w:rFonts w:ascii="宋体" w:hAnsi="宋体" w:cs="宋体"/>
                <w:bCs/>
                <w:color w:val="auto"/>
                <w:szCs w:val="21"/>
                <w:highlight w:val="none"/>
              </w:rPr>
            </w:pPr>
            <w:r>
              <w:rPr>
                <w:rFonts w:hint="eastAsia" w:ascii="宋体" w:hAnsi="宋体" w:cs="宋体"/>
                <w:bCs/>
                <w:color w:val="auto"/>
                <w:szCs w:val="21"/>
                <w:highlight w:val="none"/>
              </w:rPr>
              <w:t>5.1.2</w:t>
            </w:r>
            <w:r>
              <w:rPr>
                <w:rFonts w:ascii="宋体" w:hAnsi="宋体" w:cs="宋体"/>
                <w:bCs/>
                <w:color w:val="auto"/>
                <w:szCs w:val="21"/>
                <w:highlight w:val="none"/>
              </w:rPr>
              <w:t xml:space="preserve">  </w:t>
            </w:r>
            <w:r>
              <w:rPr>
                <w:rFonts w:hint="eastAsia" w:ascii="宋体" w:hAnsi="宋体" w:cs="宋体"/>
                <w:bCs/>
                <w:color w:val="auto"/>
                <w:szCs w:val="21"/>
                <w:highlight w:val="none"/>
              </w:rPr>
              <w:t>招标人确定中标人：</w:t>
            </w:r>
          </w:p>
          <w:p>
            <w:pPr>
              <w:jc w:val="left"/>
              <w:rPr>
                <w:rFonts w:ascii="宋体" w:hAnsi="宋体" w:cs="宋体"/>
                <w:bCs/>
                <w:color w:val="auto"/>
                <w:szCs w:val="21"/>
                <w:highlight w:val="none"/>
              </w:rPr>
            </w:pPr>
            <w:r>
              <w:rPr>
                <w:rFonts w:hint="eastAsia" w:ascii="宋体" w:hAnsi="宋体" w:cs="宋体"/>
                <w:bCs/>
                <w:color w:val="auto"/>
                <w:szCs w:val="21"/>
                <w:highlight w:val="none"/>
              </w:rPr>
              <w:t>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或</w:t>
            </w:r>
            <w:r>
              <w:rPr>
                <w:rFonts w:ascii="宋体" w:hAnsi="宋体" w:cs="宋体"/>
                <w:bCs/>
                <w:color w:val="auto"/>
                <w:szCs w:val="21"/>
                <w:highlight w:val="none"/>
              </w:rPr>
              <w:t>定标委员会</w:t>
            </w:r>
            <w:r>
              <w:rPr>
                <w:rFonts w:hint="eastAsia" w:ascii="宋体" w:hAnsi="宋体" w:cs="宋体"/>
                <w:bCs/>
                <w:color w:val="auto"/>
                <w:szCs w:val="21"/>
                <w:highlight w:val="none"/>
              </w:rPr>
              <w:t>提出的中标候选人名单排序依次确定其他中标候选人为中标人，也可以重新招标。如定标委员会直接确定中标人的，可省略此步骤。</w:t>
            </w:r>
          </w:p>
          <w:p>
            <w:pPr>
              <w:jc w:val="left"/>
              <w:rPr>
                <w:rFonts w:ascii="宋体" w:hAnsi="宋体" w:cs="宋体"/>
                <w:bCs/>
                <w:color w:val="auto"/>
                <w:szCs w:val="21"/>
                <w:highlight w:val="none"/>
              </w:rPr>
            </w:pPr>
            <w:r>
              <w:rPr>
                <w:rFonts w:hint="eastAsia" w:ascii="宋体" w:hAnsi="宋体" w:cs="宋体"/>
                <w:bCs/>
                <w:color w:val="auto"/>
                <w:szCs w:val="21"/>
                <w:highlight w:val="none"/>
              </w:rPr>
              <w:t>5.1.3 在产生中标候选人后，招标人将中标候选人的投标文件商务部分（包括报价清单、人员、业绩、奖项等资料）在交易平台和广东省招标投标监管网公开。</w:t>
            </w:r>
          </w:p>
          <w:p>
            <w:pPr>
              <w:jc w:val="left"/>
              <w:rPr>
                <w:rFonts w:ascii="宋体" w:hAnsi="宋体" w:cs="宋体"/>
                <w:bCs/>
                <w:color w:val="auto"/>
                <w:szCs w:val="21"/>
                <w:highlight w:val="none"/>
              </w:rPr>
            </w:pPr>
          </w:p>
          <w:p>
            <w:pPr>
              <w:jc w:val="left"/>
              <w:rPr>
                <w:rFonts w:ascii="宋体" w:hAnsi="宋体" w:cs="宋体"/>
                <w:b/>
                <w:bCs/>
                <w:color w:val="auto"/>
                <w:szCs w:val="21"/>
                <w:highlight w:val="none"/>
              </w:rPr>
            </w:pPr>
            <w:r>
              <w:rPr>
                <w:rFonts w:hint="eastAsia" w:ascii="宋体" w:hAnsi="宋体" w:cs="宋体"/>
                <w:b/>
                <w:bCs/>
                <w:color w:val="auto"/>
                <w:szCs w:val="21"/>
                <w:highlight w:val="none"/>
              </w:rPr>
              <w:t>方式二（适用于未设资格审查环节的项目）：</w:t>
            </w:r>
          </w:p>
          <w:p>
            <w:pPr>
              <w:jc w:val="left"/>
              <w:rPr>
                <w:rFonts w:ascii="宋体" w:hAnsi="宋体" w:cs="宋体"/>
                <w:bCs/>
                <w:color w:val="auto"/>
                <w:szCs w:val="21"/>
                <w:highlight w:val="none"/>
              </w:rPr>
            </w:pPr>
            <w:r>
              <w:rPr>
                <w:rFonts w:hint="eastAsia" w:ascii="宋体" w:hAnsi="宋体" w:cs="宋体"/>
                <w:bCs/>
                <w:color w:val="auto"/>
                <w:szCs w:val="21"/>
                <w:highlight w:val="none"/>
              </w:rPr>
              <w:t>5.1.1  招标人依据评标委员会或</w:t>
            </w:r>
            <w:r>
              <w:rPr>
                <w:rFonts w:ascii="宋体" w:hAnsi="宋体" w:cs="宋体"/>
                <w:bCs/>
                <w:color w:val="auto"/>
                <w:szCs w:val="21"/>
                <w:highlight w:val="none"/>
              </w:rPr>
              <w:t>定标委员会</w:t>
            </w:r>
            <w:r>
              <w:rPr>
                <w:rFonts w:hint="eastAsia" w:ascii="宋体" w:hAnsi="宋体" w:cs="宋体"/>
                <w:bCs/>
                <w:color w:val="auto"/>
                <w:szCs w:val="21"/>
                <w:highlight w:val="none"/>
              </w:rPr>
              <w:t>推荐的中标候选人顺序，依次对中标候选人进行资格复核。如排名第一的中标候选人通过资格复核的，应确定排名第一的中标候选人为中标人。若排名第一的中标候选人未通过资格复核的，招标人可对排名第二的中标候选人进行资格复核，通过的，确定其为中标人，以此类推；也可以重新招标。</w:t>
            </w:r>
          </w:p>
          <w:p>
            <w:pPr>
              <w:jc w:val="left"/>
              <w:rPr>
                <w:rFonts w:ascii="宋体" w:hAnsi="宋体" w:cs="宋体"/>
                <w:bCs/>
                <w:color w:val="auto"/>
                <w:szCs w:val="21"/>
                <w:highlight w:val="none"/>
              </w:rPr>
            </w:pPr>
            <w:r>
              <w:rPr>
                <w:rFonts w:hint="eastAsia" w:ascii="宋体" w:hAnsi="宋体" w:cs="宋体"/>
                <w:bCs/>
                <w:color w:val="auto"/>
                <w:szCs w:val="21"/>
                <w:highlight w:val="none"/>
              </w:rPr>
              <w:t>5.1.2</w:t>
            </w:r>
            <w:r>
              <w:rPr>
                <w:rFonts w:ascii="宋体" w:hAnsi="宋体" w:cs="宋体"/>
                <w:bCs/>
                <w:color w:val="auto"/>
                <w:szCs w:val="21"/>
                <w:highlight w:val="none"/>
              </w:rPr>
              <w:t xml:space="preserve">  </w:t>
            </w:r>
            <w:r>
              <w:rPr>
                <w:rFonts w:hint="eastAsia" w:ascii="宋体" w:hAnsi="宋体" w:cs="宋体"/>
                <w:bCs/>
                <w:color w:val="auto"/>
                <w:szCs w:val="21"/>
                <w:highlight w:val="none"/>
              </w:rPr>
              <w:t>排名第一的中标候选人放弃中标、因不可抗力不能履行合同、不按照招标文件要求提交履约保证金，或者被查实存在影响中标结果的违法行为等情形，不符合中标条件的，招标人可以按照评标委员会或</w:t>
            </w:r>
            <w:r>
              <w:rPr>
                <w:rFonts w:ascii="宋体" w:hAnsi="宋体" w:cs="宋体"/>
                <w:bCs/>
                <w:color w:val="auto"/>
                <w:szCs w:val="21"/>
                <w:highlight w:val="none"/>
              </w:rPr>
              <w:t>定标委员会</w:t>
            </w:r>
            <w:r>
              <w:rPr>
                <w:rFonts w:hint="eastAsia" w:ascii="宋体" w:hAnsi="宋体" w:cs="宋体"/>
                <w:bCs/>
                <w:color w:val="auto"/>
                <w:szCs w:val="21"/>
                <w:highlight w:val="none"/>
              </w:rPr>
              <w:t>提出的中标候选人名单排序依次确定其他通过资格复核的中标候选人为中标人，也可以重新招标。</w:t>
            </w:r>
          </w:p>
          <w:p>
            <w:pPr>
              <w:jc w:val="left"/>
              <w:rPr>
                <w:rFonts w:ascii="宋体" w:hAnsi="宋体" w:cs="宋体"/>
                <w:bCs/>
                <w:color w:val="auto"/>
                <w:szCs w:val="21"/>
                <w:highlight w:val="none"/>
              </w:rPr>
            </w:pPr>
            <w:r>
              <w:rPr>
                <w:rFonts w:hint="eastAsia" w:ascii="宋体" w:hAnsi="宋体" w:cs="宋体"/>
                <w:bCs/>
                <w:color w:val="auto"/>
                <w:szCs w:val="21"/>
                <w:highlight w:val="none"/>
              </w:rPr>
              <w:t>5.1.</w:t>
            </w:r>
            <w:r>
              <w:rPr>
                <w:rFonts w:ascii="宋体" w:hAnsi="宋体" w:cs="宋体"/>
                <w:bCs/>
                <w:color w:val="auto"/>
                <w:szCs w:val="21"/>
                <w:highlight w:val="none"/>
              </w:rPr>
              <w:t>3  定标委员会直接确定中标人，</w:t>
            </w:r>
            <w:r>
              <w:rPr>
                <w:rFonts w:hint="eastAsia" w:ascii="宋体" w:hAnsi="宋体" w:cs="宋体"/>
                <w:bCs/>
                <w:color w:val="auto"/>
                <w:szCs w:val="21"/>
                <w:highlight w:val="none"/>
              </w:rPr>
              <w:t>中标人</w:t>
            </w:r>
            <w:r>
              <w:rPr>
                <w:rFonts w:ascii="宋体" w:hAnsi="宋体" w:cs="宋体"/>
                <w:bCs/>
                <w:color w:val="auto"/>
                <w:szCs w:val="21"/>
                <w:highlight w:val="none"/>
              </w:rPr>
              <w:t>未能通过资格复核的，招标失败</w:t>
            </w:r>
            <w:r>
              <w:rPr>
                <w:rFonts w:hint="eastAsia" w:ascii="宋体" w:hAnsi="宋体" w:cs="宋体"/>
                <w:bCs/>
                <w:color w:val="auto"/>
                <w:szCs w:val="21"/>
                <w:highlight w:val="none"/>
              </w:rPr>
              <w:t>。</w:t>
            </w:r>
            <w:r>
              <w:rPr>
                <w:rFonts w:ascii="宋体" w:hAnsi="宋体" w:cs="宋体"/>
                <w:bCs/>
                <w:color w:val="auto"/>
                <w:szCs w:val="21"/>
                <w:highlight w:val="none"/>
              </w:rPr>
              <w:t>招标人</w:t>
            </w:r>
            <w:r>
              <w:rPr>
                <w:rFonts w:hint="eastAsia" w:ascii="宋体" w:hAnsi="宋体" w:cs="宋体"/>
                <w:bCs/>
                <w:color w:val="auto"/>
                <w:szCs w:val="21"/>
                <w:highlight w:val="none"/>
              </w:rPr>
              <w:t>应</w:t>
            </w:r>
            <w:r>
              <w:rPr>
                <w:rFonts w:ascii="宋体" w:hAnsi="宋体" w:cs="宋体"/>
                <w:bCs/>
                <w:color w:val="auto"/>
                <w:szCs w:val="21"/>
                <w:highlight w:val="none"/>
              </w:rPr>
              <w:t>重新组织招标。</w:t>
            </w:r>
          </w:p>
          <w:p>
            <w:pPr>
              <w:jc w:val="left"/>
              <w:rPr>
                <w:rFonts w:ascii="宋体" w:hAnsi="宋体" w:cs="宋体"/>
                <w:bCs/>
                <w:color w:val="auto"/>
                <w:szCs w:val="21"/>
                <w:highlight w:val="none"/>
              </w:rPr>
            </w:pPr>
            <w:r>
              <w:rPr>
                <w:rFonts w:hint="eastAsia" w:ascii="宋体" w:hAnsi="宋体" w:cs="宋体"/>
                <w:bCs/>
                <w:color w:val="auto"/>
                <w:szCs w:val="21"/>
                <w:highlight w:val="none"/>
              </w:rPr>
              <w:t>5.1.</w:t>
            </w:r>
            <w:r>
              <w:rPr>
                <w:rFonts w:ascii="宋体" w:hAnsi="宋体" w:cs="宋体"/>
                <w:bCs/>
                <w:color w:val="auto"/>
                <w:szCs w:val="21"/>
                <w:highlight w:val="none"/>
              </w:rPr>
              <w:t>4</w:t>
            </w:r>
            <w:r>
              <w:rPr>
                <w:rFonts w:hint="eastAsia" w:ascii="宋体" w:hAnsi="宋体" w:cs="宋体"/>
                <w:bCs/>
                <w:color w:val="auto"/>
                <w:szCs w:val="21"/>
                <w:highlight w:val="none"/>
              </w:rPr>
              <w:t xml:space="preserve"> </w:t>
            </w:r>
            <w:r>
              <w:rPr>
                <w:rFonts w:ascii="宋体" w:hAnsi="宋体" w:cs="宋体"/>
                <w:bCs/>
                <w:color w:val="auto"/>
                <w:szCs w:val="21"/>
                <w:highlight w:val="none"/>
              </w:rPr>
              <w:t xml:space="preserve"> </w:t>
            </w:r>
            <w:r>
              <w:rPr>
                <w:rFonts w:hint="eastAsia" w:ascii="宋体" w:hAnsi="宋体" w:cs="宋体"/>
                <w:bCs/>
                <w:color w:val="auto"/>
                <w:szCs w:val="21"/>
                <w:highlight w:val="none"/>
              </w:rPr>
              <w:t>在产生中标候选人后，招标人将中标候选人的投标文件商务部分（包括报价清单、人员、业绩、奖项等资料）在交易平台和广东省招标投标监管网公开。</w:t>
            </w:r>
          </w:p>
        </w:tc>
        <w:tc>
          <w:tcPr>
            <w:tcW w:w="4395" w:type="dxa"/>
          </w:tcPr>
          <w:p>
            <w:pPr>
              <w:jc w:val="left"/>
              <w:rPr>
                <w:rFonts w:ascii="宋体" w:hAnsi="宋体" w:cs="宋体"/>
                <w:b/>
                <w:bCs/>
                <w:color w:val="auto"/>
                <w:szCs w:val="21"/>
                <w:highlight w:val="none"/>
              </w:rPr>
            </w:pPr>
            <w:r>
              <w:rPr>
                <w:rFonts w:hint="eastAsia" w:ascii="宋体" w:hAnsi="宋体" w:cs="宋体"/>
                <w:b/>
                <w:bCs/>
                <w:color w:val="auto"/>
                <w:szCs w:val="21"/>
                <w:highlight w:val="none"/>
              </w:rPr>
              <w:t>修改：</w:t>
            </w:r>
          </w:p>
          <w:p>
            <w:pPr>
              <w:jc w:val="left"/>
              <w:rPr>
                <w:rFonts w:ascii="宋体" w:hAnsi="宋体" w:cs="宋体"/>
                <w:b/>
                <w:bCs/>
                <w:color w:val="auto"/>
                <w:szCs w:val="21"/>
                <w:highlight w:val="none"/>
              </w:rPr>
            </w:pPr>
            <w:r>
              <w:rPr>
                <w:rFonts w:hint="eastAsia" w:ascii="宋体" w:hAnsi="宋体" w:cs="宋体"/>
                <w:b/>
                <w:bCs/>
                <w:color w:val="auto"/>
                <w:szCs w:val="21"/>
                <w:highlight w:val="none"/>
              </w:rPr>
              <w:t>5.1    确定中标人</w:t>
            </w:r>
          </w:p>
          <w:p>
            <w:pPr>
              <w:jc w:val="left"/>
              <w:rPr>
                <w:rFonts w:ascii="宋体" w:hAnsi="宋体" w:cs="宋体"/>
                <w:bCs/>
                <w:color w:val="auto"/>
                <w:szCs w:val="21"/>
                <w:highlight w:val="none"/>
              </w:rPr>
            </w:pPr>
            <w:r>
              <w:rPr>
                <w:rFonts w:hint="eastAsia" w:ascii="宋体" w:hAnsi="宋体" w:cs="宋体"/>
                <w:bCs/>
                <w:color w:val="auto"/>
                <w:szCs w:val="21"/>
                <w:highlight w:val="none"/>
              </w:rPr>
              <w:t>采用方式</w:t>
            </w:r>
            <w:r>
              <w:rPr>
                <w:rFonts w:hint="eastAsia" w:ascii="宋体" w:hAnsi="宋体" w:cs="宋体"/>
                <w:bCs/>
                <w:color w:val="auto"/>
                <w:szCs w:val="21"/>
                <w:highlight w:val="none"/>
                <w:u w:val="single"/>
              </w:rPr>
              <w:t xml:space="preserve"> 一 </w:t>
            </w:r>
            <w:r>
              <w:rPr>
                <w:rFonts w:hint="eastAsia" w:ascii="宋体" w:hAnsi="宋体" w:cs="宋体"/>
                <w:bCs/>
                <w:color w:val="auto"/>
                <w:szCs w:val="21"/>
                <w:highlight w:val="none"/>
              </w:rPr>
              <w:t>确定中标人：</w:t>
            </w:r>
          </w:p>
          <w:p>
            <w:pPr>
              <w:jc w:val="left"/>
              <w:rPr>
                <w:rFonts w:ascii="宋体" w:hAnsi="宋体" w:cs="宋体"/>
                <w:b/>
                <w:bCs/>
                <w:color w:val="auto"/>
                <w:szCs w:val="21"/>
                <w:highlight w:val="none"/>
              </w:rPr>
            </w:pPr>
            <w:r>
              <w:rPr>
                <w:rFonts w:hint="eastAsia" w:ascii="宋体" w:hAnsi="宋体" w:cs="宋体"/>
                <w:b/>
                <w:bCs/>
                <w:color w:val="auto"/>
                <w:szCs w:val="21"/>
                <w:highlight w:val="none"/>
              </w:rPr>
              <w:t>方式一（适用于设置资格审查环节的项目）：</w:t>
            </w:r>
          </w:p>
          <w:p>
            <w:pPr>
              <w:jc w:val="left"/>
              <w:rPr>
                <w:rFonts w:ascii="宋体" w:hAnsi="宋体" w:cs="宋体"/>
                <w:bCs/>
                <w:color w:val="auto"/>
                <w:szCs w:val="21"/>
                <w:highlight w:val="none"/>
              </w:rPr>
            </w:pPr>
            <w:r>
              <w:rPr>
                <w:rFonts w:hint="eastAsia" w:ascii="宋体" w:hAnsi="宋体" w:cs="宋体"/>
                <w:bCs/>
                <w:color w:val="auto"/>
                <w:szCs w:val="21"/>
                <w:highlight w:val="none"/>
              </w:rPr>
              <w:t>5.1.1  招标人在</w:t>
            </w:r>
            <w:r>
              <w:rPr>
                <w:rFonts w:hint="eastAsia" w:ascii="宋体" w:hAnsi="宋体" w:cs="宋体"/>
                <w:bCs/>
                <w:color w:val="auto"/>
                <w:szCs w:val="21"/>
                <w:highlight w:val="none"/>
                <w:u w:val="single"/>
              </w:rPr>
              <w:t>评标委员会</w:t>
            </w:r>
            <w:r>
              <w:rPr>
                <w:rFonts w:hint="eastAsia" w:ascii="宋体" w:hAnsi="宋体" w:cs="宋体"/>
                <w:bCs/>
                <w:color w:val="auto"/>
                <w:szCs w:val="21"/>
                <w:highlight w:val="none"/>
              </w:rPr>
              <w:t>推荐的中标候选人中确定中标人。</w:t>
            </w:r>
          </w:p>
          <w:p>
            <w:pPr>
              <w:jc w:val="left"/>
              <w:rPr>
                <w:rFonts w:ascii="宋体" w:hAnsi="宋体" w:cs="宋体"/>
                <w:bCs/>
                <w:color w:val="auto"/>
                <w:szCs w:val="21"/>
                <w:highlight w:val="none"/>
              </w:rPr>
            </w:pPr>
            <w:r>
              <w:rPr>
                <w:rFonts w:hint="eastAsia" w:ascii="宋体" w:hAnsi="宋体" w:cs="宋体"/>
                <w:bCs/>
                <w:color w:val="auto"/>
                <w:szCs w:val="21"/>
                <w:highlight w:val="none"/>
              </w:rPr>
              <w:t>5.1.2</w:t>
            </w:r>
            <w:r>
              <w:rPr>
                <w:rFonts w:ascii="宋体" w:hAnsi="宋体" w:cs="宋体"/>
                <w:bCs/>
                <w:color w:val="auto"/>
                <w:szCs w:val="21"/>
                <w:highlight w:val="none"/>
              </w:rPr>
              <w:t xml:space="preserve">  </w:t>
            </w:r>
            <w:r>
              <w:rPr>
                <w:rFonts w:hint="eastAsia" w:ascii="宋体" w:hAnsi="宋体" w:cs="宋体"/>
                <w:bCs/>
                <w:color w:val="auto"/>
                <w:szCs w:val="21"/>
                <w:highlight w:val="none"/>
              </w:rPr>
              <w:t>招标人确定中标人：</w:t>
            </w:r>
          </w:p>
          <w:p>
            <w:pPr>
              <w:jc w:val="left"/>
              <w:rPr>
                <w:rFonts w:ascii="宋体" w:hAnsi="宋体" w:cs="宋体"/>
                <w:bCs/>
                <w:color w:val="auto"/>
                <w:szCs w:val="21"/>
                <w:highlight w:val="none"/>
              </w:rPr>
            </w:pPr>
            <w:r>
              <w:rPr>
                <w:rFonts w:hint="eastAsia" w:ascii="宋体" w:hAnsi="宋体" w:cs="宋体"/>
                <w:bCs/>
                <w:color w:val="auto"/>
                <w:szCs w:val="21"/>
                <w:highlight w:val="none"/>
              </w:rPr>
              <w:t>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w:t>
            </w:r>
            <w:r>
              <w:rPr>
                <w:rFonts w:hint="eastAsia" w:ascii="宋体" w:hAnsi="宋体" w:cs="宋体"/>
                <w:bCs/>
                <w:color w:val="auto"/>
                <w:szCs w:val="21"/>
                <w:highlight w:val="none"/>
                <w:u w:val="single"/>
              </w:rPr>
              <w:t>评标委员会</w:t>
            </w:r>
            <w:r>
              <w:rPr>
                <w:rFonts w:hint="eastAsia" w:ascii="宋体" w:hAnsi="宋体" w:cs="宋体"/>
                <w:bCs/>
                <w:color w:val="auto"/>
                <w:szCs w:val="21"/>
                <w:highlight w:val="none"/>
              </w:rPr>
              <w:t>提出的中标候选人名单排序依次确定其他中标候选人为中标人，也可以重新招标。</w:t>
            </w:r>
            <w:r>
              <w:rPr>
                <w:rFonts w:hint="eastAsia" w:ascii="宋体" w:hAnsi="宋体" w:cs="宋体"/>
                <w:bCs/>
                <w:color w:val="auto"/>
                <w:szCs w:val="21"/>
                <w:highlight w:val="none"/>
                <w:u w:val="single"/>
              </w:rPr>
              <w:t>如排名第二的中标候选人也发生上述问题，招标人可以确定排名第三的中标候选人为中标人，也可以重新招标。排名第一的中标候选人放弃中标、不按照招标文件要求提交履约保证金，或者被查实存在影响中标结果的违法行为等情形，不符合中标条件的，不予支付其投标经济补偿。</w:t>
            </w:r>
          </w:p>
          <w:p>
            <w:pPr>
              <w:jc w:val="left"/>
              <w:rPr>
                <w:rFonts w:ascii="宋体" w:hAnsi="宋体" w:cs="宋体"/>
                <w:bCs/>
                <w:color w:val="auto"/>
                <w:szCs w:val="21"/>
                <w:highlight w:val="none"/>
              </w:rPr>
            </w:pPr>
            <w:r>
              <w:rPr>
                <w:rFonts w:hint="eastAsia" w:ascii="宋体" w:hAnsi="宋体" w:cs="宋体"/>
                <w:bCs/>
                <w:color w:val="auto"/>
                <w:szCs w:val="21"/>
                <w:highlight w:val="none"/>
              </w:rPr>
              <w:t>5.1.3 在产生中标候选人后，招标人将中标候选人的投标文件商务部分（包括</w:t>
            </w:r>
            <w:r>
              <w:rPr>
                <w:rFonts w:hint="eastAsia" w:ascii="宋体" w:hAnsi="宋体" w:cs="宋体"/>
                <w:bCs/>
                <w:color w:val="auto"/>
                <w:szCs w:val="21"/>
                <w:highlight w:val="none"/>
                <w:u w:val="single"/>
              </w:rPr>
              <w:t>报价、人员、业绩、奖项等资料</w:t>
            </w:r>
            <w:r>
              <w:rPr>
                <w:rFonts w:hint="eastAsia" w:ascii="宋体" w:hAnsi="宋体" w:cs="宋体"/>
                <w:bCs/>
                <w:color w:val="auto"/>
                <w:szCs w:val="21"/>
                <w:highlight w:val="none"/>
              </w:rPr>
              <w:t>）在交易平台和广东省招标投标监管网公开。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30</w:t>
            </w:r>
          </w:p>
        </w:tc>
        <w:tc>
          <w:tcPr>
            <w:tcW w:w="1195" w:type="dxa"/>
            <w:vAlign w:val="center"/>
          </w:tcPr>
          <w:p>
            <w:pPr>
              <w:spacing w:line="0" w:lineRule="atLeast"/>
              <w:jc w:val="center"/>
              <w:rPr>
                <w:rFonts w:ascii="宋体" w:hAnsi="宋体"/>
                <w:bCs/>
                <w:color w:val="auto"/>
                <w:szCs w:val="21"/>
                <w:highlight w:val="none"/>
              </w:rPr>
            </w:pPr>
            <w:r>
              <w:rPr>
                <w:rFonts w:hint="eastAsia" w:ascii="宋体" w:hAnsi="宋体" w:cs="宋体"/>
                <w:color w:val="auto"/>
                <w:szCs w:val="21"/>
                <w:highlight w:val="none"/>
              </w:rPr>
              <w:t>6.1.6</w:t>
            </w:r>
          </w:p>
        </w:tc>
        <w:tc>
          <w:tcPr>
            <w:tcW w:w="3713" w:type="dxa"/>
            <w:vAlign w:val="center"/>
          </w:tcPr>
          <w:p>
            <w:pPr>
              <w:ind w:left="2"/>
              <w:jc w:val="left"/>
              <w:rPr>
                <w:rFonts w:ascii="宋体" w:hAnsi="宋体"/>
                <w:bCs/>
                <w:color w:val="auto"/>
                <w:highlight w:val="none"/>
              </w:rPr>
            </w:pPr>
          </w:p>
        </w:tc>
        <w:tc>
          <w:tcPr>
            <w:tcW w:w="4395" w:type="dxa"/>
            <w:vAlign w:val="center"/>
          </w:tcPr>
          <w:p>
            <w:pPr>
              <w:spacing w:line="276" w:lineRule="auto"/>
              <w:jc w:val="left"/>
              <w:rPr>
                <w:rFonts w:ascii="宋体" w:hAnsi="宋体" w:cs="宋体"/>
                <w:b/>
                <w:bCs/>
                <w:color w:val="auto"/>
                <w:szCs w:val="21"/>
                <w:highlight w:val="none"/>
              </w:rPr>
            </w:pPr>
            <w:r>
              <w:rPr>
                <w:rFonts w:hint="eastAsia" w:ascii="宋体" w:hAnsi="宋体" w:cs="宋体"/>
                <w:b/>
                <w:bCs/>
                <w:color w:val="auto"/>
                <w:szCs w:val="21"/>
                <w:highlight w:val="none"/>
              </w:rPr>
              <w:t>增加：</w:t>
            </w:r>
          </w:p>
          <w:p>
            <w:pPr>
              <w:spacing w:line="276" w:lineRule="auto"/>
              <w:jc w:val="left"/>
              <w:rPr>
                <w:rFonts w:ascii="宋体" w:hAnsi="宋体"/>
                <w:color w:val="auto"/>
                <w:szCs w:val="21"/>
                <w:highlight w:val="none"/>
              </w:rPr>
            </w:pPr>
            <w:r>
              <w:rPr>
                <w:rFonts w:hint="eastAsia" w:ascii="宋体" w:hAnsi="宋体" w:cs="宋体"/>
                <w:color w:val="auto"/>
                <w:szCs w:val="21"/>
                <w:highlight w:val="none"/>
                <w:u w:val="single"/>
              </w:rPr>
              <w:t>6.1.6如本项目实行代建制管理的，则可由代建单位与中标人签订合同。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31</w:t>
            </w:r>
          </w:p>
        </w:tc>
        <w:tc>
          <w:tcPr>
            <w:tcW w:w="1195" w:type="dxa"/>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附录1</w:t>
            </w:r>
          </w:p>
        </w:tc>
        <w:tc>
          <w:tcPr>
            <w:tcW w:w="3713" w:type="dxa"/>
            <w:vAlign w:val="center"/>
          </w:tcPr>
          <w:p>
            <w:pPr>
              <w:ind w:left="2"/>
              <w:jc w:val="left"/>
              <w:rPr>
                <w:rFonts w:ascii="宋体" w:hAnsi="宋体" w:cs="宋体"/>
                <w:color w:val="auto"/>
                <w:szCs w:val="21"/>
                <w:highlight w:val="none"/>
              </w:rPr>
            </w:pPr>
            <w:r>
              <w:rPr>
                <w:rFonts w:hint="eastAsia" w:ascii="宋体" w:hAnsi="宋体" w:cs="宋体"/>
                <w:color w:val="auto"/>
                <w:szCs w:val="21"/>
                <w:highlight w:val="none"/>
              </w:rPr>
              <w:t>投标申请表（申请人、资质、机构简介）</w:t>
            </w:r>
          </w:p>
        </w:tc>
        <w:tc>
          <w:tcPr>
            <w:tcW w:w="4395" w:type="dxa"/>
            <w:vAlign w:val="center"/>
          </w:tcPr>
          <w:p>
            <w:pPr>
              <w:spacing w:line="276" w:lineRule="auto"/>
              <w:jc w:val="left"/>
              <w:rPr>
                <w:rFonts w:ascii="宋体" w:hAnsi="宋体" w:cs="宋体"/>
                <w:b/>
                <w:bCs/>
                <w:color w:val="auto"/>
                <w:szCs w:val="21"/>
                <w:highlight w:val="none"/>
              </w:rPr>
            </w:pPr>
            <w:r>
              <w:rPr>
                <w:rFonts w:hint="eastAsia" w:ascii="宋体" w:hAnsi="宋体" w:cs="宋体"/>
                <w:b/>
                <w:bCs/>
                <w:color w:val="auto"/>
                <w:szCs w:val="21"/>
                <w:highlight w:val="none"/>
              </w:rPr>
              <w:t>修改：</w:t>
            </w:r>
          </w:p>
          <w:p>
            <w:pPr>
              <w:jc w:val="left"/>
              <w:rPr>
                <w:rFonts w:ascii="宋体" w:hAnsi="宋体"/>
                <w:color w:val="auto"/>
                <w:szCs w:val="21"/>
                <w:highlight w:val="none"/>
              </w:rPr>
            </w:pPr>
            <w:r>
              <w:rPr>
                <w:rFonts w:hint="eastAsia" w:ascii="宋体" w:hAnsi="宋体" w:cs="宋体"/>
                <w:color w:val="auto"/>
                <w:szCs w:val="21"/>
                <w:highlight w:val="none"/>
              </w:rPr>
              <w:t>具体修改见招标文件附录1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32</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附录2</w:t>
            </w:r>
          </w:p>
        </w:tc>
        <w:tc>
          <w:tcPr>
            <w:tcW w:w="3713"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设计投标文件编制要求</w:t>
            </w:r>
          </w:p>
        </w:tc>
        <w:tc>
          <w:tcPr>
            <w:tcW w:w="4395" w:type="dxa"/>
            <w:vAlign w:val="center"/>
          </w:tcPr>
          <w:p>
            <w:pPr>
              <w:spacing w:line="276" w:lineRule="auto"/>
              <w:jc w:val="left"/>
              <w:rPr>
                <w:rFonts w:ascii="宋体" w:hAnsi="宋体" w:cs="宋体"/>
                <w:b/>
                <w:bCs/>
                <w:color w:val="auto"/>
                <w:szCs w:val="21"/>
                <w:highlight w:val="none"/>
              </w:rPr>
            </w:pPr>
            <w:r>
              <w:rPr>
                <w:rFonts w:hint="eastAsia" w:ascii="宋体" w:hAnsi="宋体" w:cs="宋体"/>
                <w:b/>
                <w:bCs/>
                <w:color w:val="auto"/>
                <w:szCs w:val="21"/>
                <w:highlight w:val="none"/>
              </w:rPr>
              <w:t>修改：</w:t>
            </w:r>
          </w:p>
          <w:p>
            <w:pPr>
              <w:jc w:val="left"/>
              <w:rPr>
                <w:rFonts w:ascii="宋体" w:hAnsi="宋体" w:cs="宋体"/>
                <w:color w:val="auto"/>
                <w:szCs w:val="21"/>
                <w:highlight w:val="none"/>
              </w:rPr>
            </w:pPr>
            <w:r>
              <w:rPr>
                <w:rFonts w:hint="eastAsia" w:ascii="宋体" w:hAnsi="宋体" w:cs="宋体"/>
                <w:color w:val="auto"/>
                <w:szCs w:val="21"/>
                <w:highlight w:val="none"/>
              </w:rPr>
              <w:t>具体修改见招标文件附录2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33</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附录3</w:t>
            </w:r>
          </w:p>
        </w:tc>
        <w:tc>
          <w:tcPr>
            <w:tcW w:w="3713"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勘察设计费投标报价表</w:t>
            </w:r>
          </w:p>
        </w:tc>
        <w:tc>
          <w:tcPr>
            <w:tcW w:w="4395" w:type="dxa"/>
            <w:vAlign w:val="center"/>
          </w:tcPr>
          <w:p>
            <w:pPr>
              <w:spacing w:line="276" w:lineRule="auto"/>
              <w:jc w:val="left"/>
              <w:rPr>
                <w:rFonts w:ascii="宋体" w:hAnsi="宋体" w:cs="宋体"/>
                <w:b/>
                <w:bCs/>
                <w:color w:val="auto"/>
                <w:szCs w:val="21"/>
                <w:highlight w:val="none"/>
              </w:rPr>
            </w:pPr>
            <w:r>
              <w:rPr>
                <w:rFonts w:hint="eastAsia" w:ascii="宋体" w:hAnsi="宋体" w:cs="宋体"/>
                <w:b/>
                <w:bCs/>
                <w:color w:val="auto"/>
                <w:szCs w:val="21"/>
                <w:highlight w:val="none"/>
              </w:rPr>
              <w:t>修改：</w:t>
            </w:r>
          </w:p>
          <w:p>
            <w:pPr>
              <w:jc w:val="left"/>
              <w:rPr>
                <w:rFonts w:ascii="宋体" w:hAnsi="宋体" w:cs="宋体"/>
                <w:color w:val="auto"/>
                <w:szCs w:val="21"/>
                <w:highlight w:val="none"/>
              </w:rPr>
            </w:pPr>
            <w:r>
              <w:rPr>
                <w:rFonts w:hint="eastAsia" w:ascii="宋体" w:hAnsi="宋体" w:cs="宋体"/>
                <w:color w:val="auto"/>
                <w:szCs w:val="21"/>
                <w:highlight w:val="none"/>
              </w:rPr>
              <w:t>具体修改见招标文件附录3《市政综合工程设计费用计算表》、附录3-1《勘探费报价及计算依据表》、附录3-2《测量费报价及计算依据表》、附录3-3《投标报价汇总表》。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34</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附录4</w:t>
            </w:r>
          </w:p>
        </w:tc>
        <w:tc>
          <w:tcPr>
            <w:tcW w:w="3713"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建筑工程设计方案测试记录表</w:t>
            </w:r>
          </w:p>
        </w:tc>
        <w:tc>
          <w:tcPr>
            <w:tcW w:w="4395" w:type="dxa"/>
            <w:vAlign w:val="center"/>
          </w:tcPr>
          <w:p>
            <w:pPr>
              <w:spacing w:line="276" w:lineRule="auto"/>
              <w:jc w:val="left"/>
              <w:rPr>
                <w:rFonts w:ascii="宋体" w:hAnsi="宋体" w:cs="宋体"/>
                <w:b/>
                <w:bCs/>
                <w:color w:val="auto"/>
                <w:szCs w:val="21"/>
                <w:highlight w:val="none"/>
              </w:rPr>
            </w:pPr>
            <w:r>
              <w:rPr>
                <w:rFonts w:hint="eastAsia" w:ascii="宋体" w:hAnsi="宋体" w:cs="宋体"/>
                <w:b/>
                <w:bCs/>
                <w:color w:val="auto"/>
                <w:szCs w:val="21"/>
                <w:highlight w:val="none"/>
              </w:rPr>
              <w:t>修改：</w:t>
            </w:r>
          </w:p>
          <w:p>
            <w:pPr>
              <w:jc w:val="left"/>
              <w:rPr>
                <w:rFonts w:ascii="宋体" w:hAnsi="宋体" w:cs="宋体"/>
                <w:color w:val="auto"/>
                <w:szCs w:val="21"/>
                <w:highlight w:val="none"/>
              </w:rPr>
            </w:pPr>
            <w:r>
              <w:rPr>
                <w:rFonts w:hint="eastAsia" w:ascii="宋体" w:hAnsi="宋体" w:cs="宋体"/>
                <w:color w:val="auto"/>
                <w:szCs w:val="21"/>
                <w:highlight w:val="none"/>
              </w:rPr>
              <w:t>具体修改见招标文件附录4《本项目拟投入的人员基本情况表》、附录4-1《项目负责人资历表》、附录4-2《专业人员资历表》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35</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附录5</w:t>
            </w:r>
          </w:p>
        </w:tc>
        <w:tc>
          <w:tcPr>
            <w:tcW w:w="3713"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勘察投标文件编制要求</w:t>
            </w:r>
          </w:p>
        </w:tc>
        <w:tc>
          <w:tcPr>
            <w:tcW w:w="4395" w:type="dxa"/>
            <w:vAlign w:val="center"/>
          </w:tcPr>
          <w:p>
            <w:pPr>
              <w:spacing w:line="276" w:lineRule="auto"/>
              <w:jc w:val="left"/>
              <w:rPr>
                <w:rFonts w:ascii="宋体" w:hAnsi="宋体" w:cs="宋体"/>
                <w:b/>
                <w:bCs/>
                <w:color w:val="auto"/>
                <w:szCs w:val="21"/>
                <w:highlight w:val="none"/>
              </w:rPr>
            </w:pPr>
            <w:r>
              <w:rPr>
                <w:rFonts w:hint="eastAsia" w:ascii="宋体" w:hAnsi="宋体" w:cs="宋体"/>
                <w:b/>
                <w:bCs/>
                <w:color w:val="auto"/>
                <w:szCs w:val="21"/>
                <w:highlight w:val="none"/>
              </w:rPr>
              <w:t>修改：</w:t>
            </w:r>
          </w:p>
          <w:p>
            <w:pPr>
              <w:jc w:val="left"/>
              <w:rPr>
                <w:rFonts w:ascii="宋体" w:hAnsi="宋体" w:cs="宋体"/>
                <w:color w:val="auto"/>
                <w:szCs w:val="21"/>
                <w:highlight w:val="none"/>
              </w:rPr>
            </w:pPr>
            <w:r>
              <w:rPr>
                <w:rFonts w:hint="eastAsia" w:ascii="宋体" w:hAnsi="宋体" w:cs="宋体"/>
                <w:color w:val="auto"/>
                <w:szCs w:val="21"/>
                <w:highlight w:val="none"/>
              </w:rPr>
              <w:t>具体修改见招标文件附录5《投标人已完成项目情况》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36</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附录6</w:t>
            </w:r>
          </w:p>
        </w:tc>
        <w:tc>
          <w:tcPr>
            <w:tcW w:w="3713"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投标书</w:t>
            </w:r>
          </w:p>
        </w:tc>
        <w:tc>
          <w:tcPr>
            <w:tcW w:w="4395" w:type="dxa"/>
            <w:vAlign w:val="center"/>
          </w:tcPr>
          <w:p>
            <w:pPr>
              <w:spacing w:line="276" w:lineRule="auto"/>
              <w:jc w:val="left"/>
              <w:rPr>
                <w:rFonts w:ascii="宋体" w:hAnsi="宋体" w:cs="宋体"/>
                <w:b/>
                <w:bCs/>
                <w:color w:val="auto"/>
                <w:szCs w:val="21"/>
                <w:highlight w:val="none"/>
              </w:rPr>
            </w:pPr>
            <w:r>
              <w:rPr>
                <w:rFonts w:hint="eastAsia" w:ascii="宋体" w:hAnsi="宋体" w:cs="宋体"/>
                <w:b/>
                <w:bCs/>
                <w:color w:val="auto"/>
                <w:szCs w:val="21"/>
                <w:highlight w:val="none"/>
              </w:rPr>
              <w:t>修改：</w:t>
            </w:r>
          </w:p>
          <w:p>
            <w:pPr>
              <w:spacing w:line="276" w:lineRule="auto"/>
              <w:jc w:val="left"/>
              <w:rPr>
                <w:rFonts w:ascii="宋体" w:hAnsi="宋体" w:cs="宋体"/>
                <w:b/>
                <w:bCs/>
                <w:color w:val="auto"/>
                <w:szCs w:val="21"/>
                <w:highlight w:val="none"/>
              </w:rPr>
            </w:pPr>
            <w:r>
              <w:rPr>
                <w:rFonts w:hint="eastAsia" w:ascii="宋体" w:hAnsi="宋体" w:cs="宋体"/>
                <w:color w:val="auto"/>
                <w:szCs w:val="21"/>
                <w:highlight w:val="none"/>
              </w:rPr>
              <w:t>具体修改见招标文件附录6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37</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附录7</w:t>
            </w:r>
          </w:p>
        </w:tc>
        <w:tc>
          <w:tcPr>
            <w:tcW w:w="3713"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联合体共同投标协议</w:t>
            </w:r>
          </w:p>
        </w:tc>
        <w:tc>
          <w:tcPr>
            <w:tcW w:w="4395" w:type="dxa"/>
            <w:vAlign w:val="center"/>
          </w:tcPr>
          <w:p>
            <w:pPr>
              <w:spacing w:line="276" w:lineRule="auto"/>
              <w:jc w:val="left"/>
              <w:rPr>
                <w:rFonts w:ascii="宋体" w:hAnsi="宋体" w:cs="宋体"/>
                <w:b/>
                <w:bCs/>
                <w:color w:val="auto"/>
                <w:szCs w:val="21"/>
                <w:highlight w:val="none"/>
              </w:rPr>
            </w:pPr>
            <w:r>
              <w:rPr>
                <w:rFonts w:hint="eastAsia" w:ascii="宋体" w:hAnsi="宋体" w:cs="宋体"/>
                <w:b/>
                <w:bCs/>
                <w:color w:val="auto"/>
                <w:szCs w:val="21"/>
                <w:highlight w:val="none"/>
              </w:rPr>
              <w:t>修改：</w:t>
            </w:r>
          </w:p>
          <w:p>
            <w:pPr>
              <w:jc w:val="left"/>
              <w:rPr>
                <w:rFonts w:ascii="宋体" w:hAnsi="宋体" w:cs="宋体"/>
                <w:color w:val="auto"/>
                <w:szCs w:val="21"/>
                <w:highlight w:val="none"/>
              </w:rPr>
            </w:pPr>
            <w:r>
              <w:rPr>
                <w:rFonts w:hint="eastAsia" w:ascii="宋体" w:hAnsi="宋体" w:cs="宋体"/>
                <w:color w:val="auto"/>
                <w:szCs w:val="21"/>
                <w:highlight w:val="none"/>
              </w:rPr>
              <w:t>具体修改见招标文件附录7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38</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附录8</w:t>
            </w:r>
          </w:p>
        </w:tc>
        <w:tc>
          <w:tcPr>
            <w:tcW w:w="3713"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投标人声明</w:t>
            </w:r>
          </w:p>
        </w:tc>
        <w:tc>
          <w:tcPr>
            <w:tcW w:w="4395" w:type="dxa"/>
            <w:vAlign w:val="center"/>
          </w:tcPr>
          <w:p>
            <w:pPr>
              <w:spacing w:line="276" w:lineRule="auto"/>
              <w:jc w:val="left"/>
              <w:rPr>
                <w:rFonts w:ascii="宋体" w:hAnsi="宋体" w:cs="宋体"/>
                <w:b/>
                <w:bCs/>
                <w:color w:val="auto"/>
                <w:szCs w:val="21"/>
                <w:highlight w:val="none"/>
              </w:rPr>
            </w:pPr>
            <w:r>
              <w:rPr>
                <w:rFonts w:hint="eastAsia" w:ascii="宋体" w:hAnsi="宋体" w:cs="宋体"/>
                <w:b/>
                <w:bCs/>
                <w:color w:val="auto"/>
                <w:szCs w:val="21"/>
                <w:highlight w:val="none"/>
              </w:rPr>
              <w:t>修改：</w:t>
            </w:r>
          </w:p>
          <w:p>
            <w:pPr>
              <w:jc w:val="left"/>
              <w:rPr>
                <w:rFonts w:ascii="宋体" w:hAnsi="宋体" w:cs="宋体"/>
                <w:b/>
                <w:bCs/>
                <w:color w:val="auto"/>
                <w:szCs w:val="21"/>
                <w:highlight w:val="none"/>
              </w:rPr>
            </w:pPr>
            <w:r>
              <w:rPr>
                <w:rFonts w:hint="eastAsia" w:ascii="宋体" w:hAnsi="宋体" w:cs="宋体"/>
                <w:color w:val="auto"/>
                <w:szCs w:val="21"/>
                <w:highlight w:val="none"/>
              </w:rPr>
              <w:t>具体修改见招标文件附录8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39</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附录9</w:t>
            </w:r>
          </w:p>
        </w:tc>
        <w:tc>
          <w:tcPr>
            <w:tcW w:w="3713"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资格审查表</w:t>
            </w:r>
          </w:p>
        </w:tc>
        <w:tc>
          <w:tcPr>
            <w:tcW w:w="4395" w:type="dxa"/>
            <w:vAlign w:val="center"/>
          </w:tcPr>
          <w:p>
            <w:pPr>
              <w:spacing w:line="276" w:lineRule="auto"/>
              <w:jc w:val="left"/>
              <w:rPr>
                <w:rFonts w:ascii="宋体" w:hAnsi="宋体" w:cs="宋体"/>
                <w:b/>
                <w:bCs/>
                <w:color w:val="auto"/>
                <w:szCs w:val="21"/>
                <w:highlight w:val="none"/>
              </w:rPr>
            </w:pPr>
            <w:r>
              <w:rPr>
                <w:rFonts w:hint="eastAsia" w:ascii="宋体" w:hAnsi="宋体" w:cs="宋体"/>
                <w:b/>
                <w:bCs/>
                <w:color w:val="auto"/>
                <w:szCs w:val="21"/>
                <w:highlight w:val="none"/>
              </w:rPr>
              <w:t>修改：</w:t>
            </w:r>
          </w:p>
          <w:p>
            <w:pPr>
              <w:jc w:val="left"/>
              <w:rPr>
                <w:rFonts w:ascii="宋体" w:hAnsi="宋体" w:cs="宋体"/>
                <w:b/>
                <w:bCs/>
                <w:color w:val="auto"/>
                <w:szCs w:val="21"/>
                <w:highlight w:val="none"/>
              </w:rPr>
            </w:pPr>
            <w:r>
              <w:rPr>
                <w:rFonts w:hint="eastAsia" w:ascii="宋体" w:hAnsi="宋体" w:cs="宋体"/>
                <w:color w:val="auto"/>
                <w:szCs w:val="21"/>
                <w:highlight w:val="none"/>
              </w:rPr>
              <w:t>具体修改见招标文件附录9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40</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附录10</w:t>
            </w:r>
          </w:p>
        </w:tc>
        <w:tc>
          <w:tcPr>
            <w:tcW w:w="3713"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投票表格</w:t>
            </w:r>
          </w:p>
        </w:tc>
        <w:tc>
          <w:tcPr>
            <w:tcW w:w="4395" w:type="dxa"/>
            <w:vAlign w:val="center"/>
          </w:tcPr>
          <w:p>
            <w:pPr>
              <w:spacing w:line="276" w:lineRule="auto"/>
              <w:jc w:val="left"/>
              <w:rPr>
                <w:rFonts w:ascii="宋体" w:hAnsi="宋体" w:cs="宋体"/>
                <w:b/>
                <w:bCs/>
                <w:color w:val="auto"/>
                <w:szCs w:val="21"/>
                <w:highlight w:val="none"/>
              </w:rPr>
            </w:pPr>
            <w:r>
              <w:rPr>
                <w:rFonts w:hint="eastAsia" w:ascii="宋体" w:hAnsi="宋体" w:cs="宋体"/>
                <w:b/>
                <w:bCs/>
                <w:color w:val="auto"/>
                <w:szCs w:val="21"/>
                <w:highlight w:val="none"/>
              </w:rPr>
              <w:t>修改：</w:t>
            </w:r>
          </w:p>
          <w:p>
            <w:pPr>
              <w:jc w:val="left"/>
              <w:rPr>
                <w:rFonts w:ascii="宋体" w:hAnsi="宋体" w:cs="宋体"/>
                <w:color w:val="auto"/>
                <w:szCs w:val="21"/>
                <w:highlight w:val="none"/>
              </w:rPr>
            </w:pPr>
            <w:r>
              <w:rPr>
                <w:rFonts w:hint="eastAsia" w:ascii="宋体" w:hAnsi="宋体" w:cs="宋体"/>
                <w:color w:val="auto"/>
                <w:szCs w:val="21"/>
                <w:highlight w:val="none"/>
              </w:rPr>
              <w:t>具体修改见招标文件附录10《商务文件有效性审查表》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41</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附录11</w:t>
            </w:r>
          </w:p>
        </w:tc>
        <w:tc>
          <w:tcPr>
            <w:tcW w:w="3713"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投票汇总表格</w:t>
            </w:r>
          </w:p>
        </w:tc>
        <w:tc>
          <w:tcPr>
            <w:tcW w:w="4395" w:type="dxa"/>
            <w:vAlign w:val="center"/>
          </w:tcPr>
          <w:p>
            <w:pPr>
              <w:spacing w:line="276" w:lineRule="auto"/>
              <w:jc w:val="left"/>
              <w:rPr>
                <w:rFonts w:ascii="宋体" w:hAnsi="宋体" w:cs="宋体"/>
                <w:b/>
                <w:bCs/>
                <w:color w:val="auto"/>
                <w:szCs w:val="21"/>
                <w:highlight w:val="none"/>
              </w:rPr>
            </w:pPr>
            <w:r>
              <w:rPr>
                <w:rFonts w:hint="eastAsia" w:ascii="宋体" w:hAnsi="宋体" w:cs="宋体"/>
                <w:b/>
                <w:bCs/>
                <w:color w:val="auto"/>
                <w:szCs w:val="21"/>
                <w:highlight w:val="none"/>
              </w:rPr>
              <w:t>修改：</w:t>
            </w:r>
          </w:p>
          <w:p>
            <w:pPr>
              <w:jc w:val="left"/>
              <w:rPr>
                <w:rFonts w:ascii="宋体" w:hAnsi="宋体" w:cs="宋体"/>
                <w:color w:val="auto"/>
                <w:szCs w:val="21"/>
                <w:highlight w:val="none"/>
              </w:rPr>
            </w:pPr>
            <w:r>
              <w:rPr>
                <w:rFonts w:hint="eastAsia" w:ascii="宋体" w:hAnsi="宋体" w:cs="宋体"/>
                <w:color w:val="auto"/>
                <w:szCs w:val="21"/>
                <w:highlight w:val="none"/>
              </w:rPr>
              <w:t>具体修改见招标文件附录11《商务文件综合评分表》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42</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附录12</w:t>
            </w:r>
          </w:p>
        </w:tc>
        <w:tc>
          <w:tcPr>
            <w:tcW w:w="3713"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建筑工程设计方案评审记录表</w:t>
            </w:r>
          </w:p>
        </w:tc>
        <w:tc>
          <w:tcPr>
            <w:tcW w:w="4395" w:type="dxa"/>
            <w:vAlign w:val="center"/>
          </w:tcPr>
          <w:p>
            <w:pPr>
              <w:spacing w:line="276" w:lineRule="auto"/>
              <w:jc w:val="left"/>
              <w:rPr>
                <w:rFonts w:ascii="宋体" w:hAnsi="宋体" w:cs="宋体"/>
                <w:b/>
                <w:bCs/>
                <w:color w:val="auto"/>
                <w:szCs w:val="21"/>
                <w:highlight w:val="none"/>
              </w:rPr>
            </w:pPr>
            <w:r>
              <w:rPr>
                <w:rFonts w:hint="eastAsia" w:ascii="宋体" w:hAnsi="宋体" w:cs="宋体"/>
                <w:b/>
                <w:bCs/>
                <w:color w:val="auto"/>
                <w:szCs w:val="21"/>
                <w:highlight w:val="none"/>
              </w:rPr>
              <w:t>修改：</w:t>
            </w:r>
          </w:p>
          <w:p>
            <w:pPr>
              <w:jc w:val="left"/>
              <w:rPr>
                <w:rFonts w:ascii="宋体" w:hAnsi="宋体" w:cs="宋体"/>
                <w:color w:val="auto"/>
                <w:szCs w:val="21"/>
                <w:highlight w:val="none"/>
              </w:rPr>
            </w:pPr>
            <w:r>
              <w:rPr>
                <w:rFonts w:hint="eastAsia" w:ascii="宋体" w:hAnsi="宋体" w:cs="宋体"/>
                <w:color w:val="auto"/>
                <w:szCs w:val="21"/>
                <w:highlight w:val="none"/>
              </w:rPr>
              <w:t>具体修改见招标文件附录12《技术文件有效性审查表》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43</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附录13</w:t>
            </w:r>
          </w:p>
        </w:tc>
        <w:tc>
          <w:tcPr>
            <w:tcW w:w="3713"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投标方案评语</w:t>
            </w:r>
          </w:p>
        </w:tc>
        <w:tc>
          <w:tcPr>
            <w:tcW w:w="4395" w:type="dxa"/>
            <w:vAlign w:val="center"/>
          </w:tcPr>
          <w:p>
            <w:pPr>
              <w:spacing w:line="276" w:lineRule="auto"/>
              <w:jc w:val="left"/>
              <w:rPr>
                <w:rFonts w:ascii="宋体" w:hAnsi="宋体" w:cs="宋体"/>
                <w:b/>
                <w:bCs/>
                <w:color w:val="auto"/>
                <w:szCs w:val="21"/>
                <w:highlight w:val="none"/>
              </w:rPr>
            </w:pPr>
            <w:r>
              <w:rPr>
                <w:rFonts w:hint="eastAsia" w:ascii="宋体" w:hAnsi="宋体" w:cs="宋体"/>
                <w:b/>
                <w:bCs/>
                <w:color w:val="auto"/>
                <w:szCs w:val="21"/>
                <w:highlight w:val="none"/>
              </w:rPr>
              <w:t>修改：</w:t>
            </w:r>
          </w:p>
          <w:p>
            <w:pPr>
              <w:spacing w:line="276" w:lineRule="auto"/>
              <w:jc w:val="left"/>
              <w:rPr>
                <w:rFonts w:ascii="宋体" w:hAnsi="宋体" w:cs="宋体"/>
                <w:color w:val="auto"/>
                <w:szCs w:val="21"/>
                <w:highlight w:val="none"/>
              </w:rPr>
            </w:pPr>
            <w:r>
              <w:rPr>
                <w:rFonts w:hint="eastAsia" w:ascii="宋体" w:hAnsi="宋体" w:cs="宋体"/>
                <w:color w:val="auto"/>
                <w:szCs w:val="21"/>
                <w:highlight w:val="none"/>
              </w:rPr>
              <w:t>具体修改见招标文件附录13《技术文件综合评分表》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44</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附录14</w:t>
            </w:r>
          </w:p>
        </w:tc>
        <w:tc>
          <w:tcPr>
            <w:tcW w:w="3713"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基础资料和设计任务书</w:t>
            </w:r>
          </w:p>
        </w:tc>
        <w:tc>
          <w:tcPr>
            <w:tcW w:w="4395" w:type="dxa"/>
            <w:vAlign w:val="center"/>
          </w:tcPr>
          <w:p>
            <w:pPr>
              <w:spacing w:line="276" w:lineRule="auto"/>
              <w:jc w:val="left"/>
              <w:rPr>
                <w:rFonts w:ascii="宋体" w:hAnsi="宋体" w:cs="宋体"/>
                <w:b/>
                <w:bCs/>
                <w:color w:val="auto"/>
                <w:szCs w:val="21"/>
                <w:highlight w:val="none"/>
              </w:rPr>
            </w:pPr>
            <w:r>
              <w:rPr>
                <w:rFonts w:hint="eastAsia" w:ascii="宋体" w:hAnsi="宋体" w:cs="宋体"/>
                <w:b/>
                <w:bCs/>
                <w:color w:val="auto"/>
                <w:szCs w:val="21"/>
                <w:highlight w:val="none"/>
              </w:rPr>
              <w:t>修改：</w:t>
            </w:r>
          </w:p>
          <w:p>
            <w:pPr>
              <w:spacing w:line="276" w:lineRule="auto"/>
              <w:jc w:val="left"/>
              <w:rPr>
                <w:rFonts w:ascii="宋体" w:hAnsi="宋体" w:cs="宋体"/>
                <w:color w:val="auto"/>
                <w:szCs w:val="21"/>
                <w:highlight w:val="none"/>
              </w:rPr>
            </w:pPr>
            <w:r>
              <w:rPr>
                <w:rFonts w:hint="eastAsia" w:ascii="宋体" w:hAnsi="宋体" w:cs="宋体"/>
                <w:color w:val="auto"/>
                <w:szCs w:val="21"/>
                <w:highlight w:val="none"/>
              </w:rPr>
              <w:t>具体修改见招标文件附录14《投标文件光盘（备用）接收记录表格》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4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45</w:t>
            </w:r>
          </w:p>
        </w:tc>
        <w:tc>
          <w:tcPr>
            <w:tcW w:w="1195"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附录15</w:t>
            </w:r>
          </w:p>
        </w:tc>
        <w:tc>
          <w:tcPr>
            <w:tcW w:w="3713" w:type="dxa"/>
            <w:vAlign w:val="center"/>
          </w:tcPr>
          <w:p>
            <w:pPr>
              <w:jc w:val="left"/>
              <w:rPr>
                <w:rFonts w:ascii="宋体" w:hAnsi="宋体" w:cs="宋体"/>
                <w:color w:val="auto"/>
                <w:szCs w:val="21"/>
                <w:highlight w:val="none"/>
              </w:rPr>
            </w:pPr>
            <w:r>
              <w:rPr>
                <w:rFonts w:hint="eastAsia" w:ascii="宋体" w:hAnsi="宋体" w:cs="宋体"/>
                <w:color w:val="auto"/>
                <w:szCs w:val="21"/>
                <w:highlight w:val="none"/>
              </w:rPr>
              <w:t>定标委员会的组成</w:t>
            </w:r>
          </w:p>
        </w:tc>
        <w:tc>
          <w:tcPr>
            <w:tcW w:w="4395" w:type="dxa"/>
            <w:vAlign w:val="center"/>
          </w:tcPr>
          <w:p>
            <w:pPr>
              <w:spacing w:line="276" w:lineRule="auto"/>
              <w:jc w:val="left"/>
              <w:rPr>
                <w:rFonts w:ascii="宋体" w:hAnsi="宋体" w:cs="宋体"/>
                <w:b/>
                <w:bCs/>
                <w:color w:val="auto"/>
                <w:szCs w:val="21"/>
                <w:highlight w:val="none"/>
              </w:rPr>
            </w:pPr>
            <w:r>
              <w:rPr>
                <w:rFonts w:hint="eastAsia" w:ascii="宋体" w:hAnsi="宋体" w:cs="宋体"/>
                <w:b/>
                <w:bCs/>
                <w:color w:val="auto"/>
                <w:szCs w:val="21"/>
                <w:highlight w:val="none"/>
              </w:rPr>
              <w:t>修改：</w:t>
            </w:r>
          </w:p>
          <w:p>
            <w:pPr>
              <w:jc w:val="left"/>
              <w:rPr>
                <w:rFonts w:ascii="宋体" w:hAnsi="宋体" w:cs="宋体"/>
                <w:color w:val="auto"/>
                <w:szCs w:val="21"/>
                <w:highlight w:val="none"/>
              </w:rPr>
            </w:pPr>
            <w:r>
              <w:rPr>
                <w:rFonts w:hint="eastAsia" w:ascii="宋体" w:hAnsi="宋体" w:cs="宋体"/>
                <w:color w:val="auto"/>
                <w:szCs w:val="21"/>
                <w:highlight w:val="none"/>
              </w:rPr>
              <w:t>具体修改见招标文件附录1</w:t>
            </w:r>
            <w:r>
              <w:rPr>
                <w:rFonts w:ascii="宋体" w:hAnsi="宋体" w:cs="宋体"/>
                <w:color w:val="auto"/>
                <w:szCs w:val="21"/>
                <w:highlight w:val="none"/>
              </w:rPr>
              <w:t>5</w:t>
            </w:r>
            <w:r>
              <w:rPr>
                <w:rFonts w:hint="eastAsia" w:ascii="宋体" w:hAnsi="宋体" w:cs="宋体"/>
                <w:color w:val="auto"/>
                <w:szCs w:val="21"/>
                <w:highlight w:val="none"/>
              </w:rPr>
              <w:t>《基础资料和设计任务书》</w:t>
            </w:r>
          </w:p>
        </w:tc>
      </w:tr>
    </w:tbl>
    <w:p>
      <w:pPr>
        <w:jc w:val="center"/>
        <w:rPr>
          <w:rFonts w:ascii="宋体" w:hAnsi="宋体"/>
          <w:b/>
          <w:color w:val="auto"/>
          <w:sz w:val="32"/>
          <w:highlight w:val="none"/>
        </w:rPr>
      </w:pPr>
      <w:r>
        <w:rPr>
          <w:rFonts w:ascii="宋体" w:hAnsi="宋体"/>
          <w:b/>
          <w:color w:val="auto"/>
          <w:sz w:val="32"/>
          <w:highlight w:val="none"/>
        </w:rPr>
        <w:br w:type="page"/>
      </w:r>
      <w:r>
        <w:rPr>
          <w:rFonts w:hint="eastAsia" w:ascii="宋体" w:hAnsi="宋体"/>
          <w:b/>
          <w:color w:val="auto"/>
          <w:sz w:val="32"/>
          <w:highlight w:val="none"/>
        </w:rPr>
        <w:t>目  录</w:t>
      </w:r>
    </w:p>
    <w:p>
      <w:pPr>
        <w:spacing w:line="276" w:lineRule="auto"/>
        <w:rPr>
          <w:rFonts w:ascii="宋体" w:hAnsi="宋体"/>
          <w:color w:val="auto"/>
          <w:szCs w:val="21"/>
          <w:highlight w:val="none"/>
        </w:rPr>
      </w:pPr>
    </w:p>
    <w:p>
      <w:pPr>
        <w:pStyle w:val="28"/>
        <w:tabs>
          <w:tab w:val="right" w:leader="dot" w:pos="9321"/>
        </w:tabs>
        <w:spacing w:line="360" w:lineRule="auto"/>
        <w:rPr>
          <w:color w:val="auto"/>
          <w:sz w:val="21"/>
          <w:szCs w:val="21"/>
          <w:highlight w:val="none"/>
        </w:rPr>
      </w:pPr>
      <w:r>
        <w:rPr>
          <w:rFonts w:hint="eastAsia" w:cs="宋体"/>
          <w:caps/>
          <w:color w:val="auto"/>
          <w:sz w:val="21"/>
          <w:szCs w:val="21"/>
          <w:highlight w:val="none"/>
        </w:rPr>
        <w:fldChar w:fldCharType="begin"/>
      </w:r>
      <w:r>
        <w:rPr>
          <w:rFonts w:hint="eastAsia" w:cs="宋体"/>
          <w:caps/>
          <w:color w:val="auto"/>
          <w:sz w:val="21"/>
          <w:szCs w:val="21"/>
          <w:highlight w:val="none"/>
        </w:rPr>
        <w:instrText xml:space="preserve"> TOC \o "1-3" \h \z \u </w:instrText>
      </w:r>
      <w:r>
        <w:rPr>
          <w:rFonts w:hint="eastAsia" w:cs="宋体"/>
          <w:caps/>
          <w:color w:val="auto"/>
          <w:sz w:val="21"/>
          <w:szCs w:val="21"/>
          <w:highlight w:val="none"/>
        </w:rPr>
        <w:fldChar w:fldCharType="separate"/>
      </w:r>
      <w:r>
        <w:rPr>
          <w:color w:val="auto"/>
          <w:highlight w:val="none"/>
        </w:rPr>
        <w:fldChar w:fldCharType="begin"/>
      </w:r>
      <w:r>
        <w:rPr>
          <w:color w:val="auto"/>
          <w:highlight w:val="none"/>
        </w:rPr>
        <w:instrText xml:space="preserve"> HYPERLINK \l "_Toc10889" </w:instrText>
      </w:r>
      <w:r>
        <w:rPr>
          <w:color w:val="auto"/>
          <w:highlight w:val="none"/>
        </w:rPr>
        <w:fldChar w:fldCharType="separate"/>
      </w:r>
      <w:r>
        <w:rPr>
          <w:rFonts w:hint="eastAsia"/>
          <w:color w:val="auto"/>
          <w:sz w:val="21"/>
          <w:szCs w:val="21"/>
          <w:highlight w:val="none"/>
        </w:rPr>
        <w:t xml:space="preserve">第一章 </w:t>
      </w:r>
      <w:r>
        <w:rPr>
          <w:color w:val="auto"/>
          <w:sz w:val="21"/>
          <w:szCs w:val="21"/>
          <w:highlight w:val="none"/>
        </w:rPr>
        <w:t xml:space="preserve"> </w:t>
      </w:r>
      <w:r>
        <w:rPr>
          <w:rFonts w:hint="eastAsia"/>
          <w:color w:val="auto"/>
          <w:sz w:val="21"/>
          <w:szCs w:val="21"/>
          <w:highlight w:val="none"/>
        </w:rPr>
        <w:t>招标公告</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_Toc10889 \h </w:instrText>
      </w:r>
      <w:r>
        <w:rPr>
          <w:color w:val="auto"/>
          <w:sz w:val="21"/>
          <w:szCs w:val="21"/>
          <w:highlight w:val="none"/>
        </w:rPr>
        <w:fldChar w:fldCharType="separate"/>
      </w:r>
      <w:r>
        <w:rPr>
          <w:color w:val="auto"/>
          <w:sz w:val="21"/>
          <w:szCs w:val="21"/>
          <w:highlight w:val="none"/>
        </w:rPr>
        <w:t>15</w:t>
      </w:r>
      <w:r>
        <w:rPr>
          <w:color w:val="auto"/>
          <w:sz w:val="21"/>
          <w:szCs w:val="21"/>
          <w:highlight w:val="none"/>
        </w:rPr>
        <w:fldChar w:fldCharType="end"/>
      </w:r>
      <w:r>
        <w:rPr>
          <w:color w:val="auto"/>
          <w:sz w:val="21"/>
          <w:szCs w:val="21"/>
          <w:highlight w:val="none"/>
        </w:rPr>
        <w:fldChar w:fldCharType="end"/>
      </w:r>
    </w:p>
    <w:p>
      <w:pPr>
        <w:pStyle w:val="28"/>
        <w:tabs>
          <w:tab w:val="right" w:leader="dot" w:pos="9321"/>
        </w:tabs>
        <w:spacing w:line="360" w:lineRule="auto"/>
        <w:rPr>
          <w:color w:val="auto"/>
          <w:sz w:val="21"/>
          <w:szCs w:val="21"/>
          <w:highlight w:val="none"/>
        </w:rPr>
      </w:pPr>
      <w:r>
        <w:rPr>
          <w:color w:val="auto"/>
          <w:highlight w:val="none"/>
        </w:rPr>
        <w:fldChar w:fldCharType="begin"/>
      </w:r>
      <w:r>
        <w:rPr>
          <w:color w:val="auto"/>
          <w:highlight w:val="none"/>
        </w:rPr>
        <w:instrText xml:space="preserve"> HYPERLINK \l "_Toc2090" </w:instrText>
      </w:r>
      <w:r>
        <w:rPr>
          <w:color w:val="auto"/>
          <w:highlight w:val="none"/>
        </w:rPr>
        <w:fldChar w:fldCharType="separate"/>
      </w:r>
      <w:r>
        <w:rPr>
          <w:rFonts w:hint="eastAsia"/>
          <w:color w:val="auto"/>
          <w:sz w:val="21"/>
          <w:szCs w:val="21"/>
          <w:highlight w:val="none"/>
        </w:rPr>
        <w:t>第二章  招标</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_Toc2090 \h </w:instrText>
      </w:r>
      <w:r>
        <w:rPr>
          <w:color w:val="auto"/>
          <w:sz w:val="21"/>
          <w:szCs w:val="21"/>
          <w:highlight w:val="none"/>
        </w:rPr>
        <w:fldChar w:fldCharType="separate"/>
      </w:r>
      <w:r>
        <w:rPr>
          <w:color w:val="auto"/>
          <w:sz w:val="21"/>
          <w:szCs w:val="21"/>
          <w:highlight w:val="none"/>
        </w:rPr>
        <w:t>16</w:t>
      </w:r>
      <w:r>
        <w:rPr>
          <w:color w:val="auto"/>
          <w:sz w:val="21"/>
          <w:szCs w:val="21"/>
          <w:highlight w:val="none"/>
        </w:rPr>
        <w:fldChar w:fldCharType="end"/>
      </w:r>
      <w:r>
        <w:rPr>
          <w:color w:val="auto"/>
          <w:sz w:val="21"/>
          <w:szCs w:val="21"/>
          <w:highlight w:val="none"/>
        </w:rPr>
        <w:fldChar w:fldCharType="end"/>
      </w:r>
    </w:p>
    <w:p>
      <w:pPr>
        <w:pStyle w:val="28"/>
        <w:tabs>
          <w:tab w:val="right" w:leader="dot" w:pos="9321"/>
        </w:tabs>
        <w:spacing w:line="360" w:lineRule="auto"/>
        <w:rPr>
          <w:color w:val="auto"/>
          <w:sz w:val="21"/>
          <w:szCs w:val="21"/>
          <w:highlight w:val="none"/>
        </w:rPr>
      </w:pPr>
      <w:r>
        <w:rPr>
          <w:color w:val="auto"/>
          <w:highlight w:val="none"/>
        </w:rPr>
        <w:fldChar w:fldCharType="begin"/>
      </w:r>
      <w:r>
        <w:rPr>
          <w:color w:val="auto"/>
          <w:highlight w:val="none"/>
        </w:rPr>
        <w:instrText xml:space="preserve"> HYPERLINK \l "_Toc7766" </w:instrText>
      </w:r>
      <w:r>
        <w:rPr>
          <w:color w:val="auto"/>
          <w:highlight w:val="none"/>
        </w:rPr>
        <w:fldChar w:fldCharType="separate"/>
      </w:r>
      <w:r>
        <w:rPr>
          <w:rFonts w:hint="eastAsia"/>
          <w:color w:val="auto"/>
          <w:sz w:val="21"/>
          <w:szCs w:val="21"/>
          <w:highlight w:val="none"/>
        </w:rPr>
        <w:t>第三章  投标</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_Toc7766 \h </w:instrText>
      </w:r>
      <w:r>
        <w:rPr>
          <w:color w:val="auto"/>
          <w:sz w:val="21"/>
          <w:szCs w:val="21"/>
          <w:highlight w:val="none"/>
        </w:rPr>
        <w:fldChar w:fldCharType="separate"/>
      </w:r>
      <w:r>
        <w:rPr>
          <w:color w:val="auto"/>
          <w:sz w:val="21"/>
          <w:szCs w:val="21"/>
          <w:highlight w:val="none"/>
        </w:rPr>
        <w:t>18</w:t>
      </w:r>
      <w:r>
        <w:rPr>
          <w:color w:val="auto"/>
          <w:sz w:val="21"/>
          <w:szCs w:val="21"/>
          <w:highlight w:val="none"/>
        </w:rPr>
        <w:fldChar w:fldCharType="end"/>
      </w:r>
      <w:r>
        <w:rPr>
          <w:color w:val="auto"/>
          <w:sz w:val="21"/>
          <w:szCs w:val="21"/>
          <w:highlight w:val="none"/>
        </w:rPr>
        <w:fldChar w:fldCharType="end"/>
      </w:r>
    </w:p>
    <w:p>
      <w:pPr>
        <w:pStyle w:val="28"/>
        <w:tabs>
          <w:tab w:val="right" w:leader="dot" w:pos="9321"/>
        </w:tabs>
        <w:spacing w:line="360" w:lineRule="auto"/>
        <w:rPr>
          <w:color w:val="auto"/>
          <w:sz w:val="21"/>
          <w:szCs w:val="21"/>
          <w:highlight w:val="none"/>
        </w:rPr>
      </w:pPr>
      <w:r>
        <w:rPr>
          <w:color w:val="auto"/>
          <w:highlight w:val="none"/>
        </w:rPr>
        <w:fldChar w:fldCharType="begin"/>
      </w:r>
      <w:r>
        <w:rPr>
          <w:color w:val="auto"/>
          <w:highlight w:val="none"/>
        </w:rPr>
        <w:instrText xml:space="preserve"> HYPERLINK \l "_Toc31828" </w:instrText>
      </w:r>
      <w:r>
        <w:rPr>
          <w:color w:val="auto"/>
          <w:highlight w:val="none"/>
        </w:rPr>
        <w:fldChar w:fldCharType="separate"/>
      </w:r>
      <w:r>
        <w:rPr>
          <w:rFonts w:hint="eastAsia"/>
          <w:color w:val="auto"/>
          <w:sz w:val="21"/>
          <w:szCs w:val="21"/>
          <w:highlight w:val="none"/>
        </w:rPr>
        <w:t>第四章  评标</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_Toc31828 \h </w:instrText>
      </w:r>
      <w:r>
        <w:rPr>
          <w:color w:val="auto"/>
          <w:sz w:val="21"/>
          <w:szCs w:val="21"/>
          <w:highlight w:val="none"/>
        </w:rPr>
        <w:fldChar w:fldCharType="separate"/>
      </w:r>
      <w:r>
        <w:rPr>
          <w:color w:val="auto"/>
          <w:sz w:val="21"/>
          <w:szCs w:val="21"/>
          <w:highlight w:val="none"/>
        </w:rPr>
        <w:t>24</w:t>
      </w:r>
      <w:r>
        <w:rPr>
          <w:color w:val="auto"/>
          <w:sz w:val="21"/>
          <w:szCs w:val="21"/>
          <w:highlight w:val="none"/>
        </w:rPr>
        <w:fldChar w:fldCharType="end"/>
      </w:r>
      <w:r>
        <w:rPr>
          <w:color w:val="auto"/>
          <w:sz w:val="21"/>
          <w:szCs w:val="21"/>
          <w:highlight w:val="none"/>
        </w:rPr>
        <w:fldChar w:fldCharType="end"/>
      </w:r>
    </w:p>
    <w:p>
      <w:pPr>
        <w:pStyle w:val="28"/>
        <w:tabs>
          <w:tab w:val="right" w:leader="dot" w:pos="9321"/>
        </w:tabs>
        <w:spacing w:line="360" w:lineRule="auto"/>
        <w:rPr>
          <w:color w:val="auto"/>
          <w:sz w:val="21"/>
          <w:szCs w:val="21"/>
          <w:highlight w:val="none"/>
        </w:rPr>
      </w:pPr>
      <w:r>
        <w:rPr>
          <w:color w:val="auto"/>
          <w:highlight w:val="none"/>
        </w:rPr>
        <w:fldChar w:fldCharType="begin"/>
      </w:r>
      <w:r>
        <w:rPr>
          <w:color w:val="auto"/>
          <w:highlight w:val="none"/>
        </w:rPr>
        <w:instrText xml:space="preserve"> HYPERLINK \l "_Toc14280" </w:instrText>
      </w:r>
      <w:r>
        <w:rPr>
          <w:color w:val="auto"/>
          <w:highlight w:val="none"/>
        </w:rPr>
        <w:fldChar w:fldCharType="separate"/>
      </w:r>
      <w:r>
        <w:rPr>
          <w:rFonts w:hint="eastAsia"/>
          <w:color w:val="auto"/>
          <w:sz w:val="21"/>
          <w:szCs w:val="21"/>
          <w:highlight w:val="none"/>
        </w:rPr>
        <w:t>第五章  定标</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_Toc14280 \h </w:instrText>
      </w:r>
      <w:r>
        <w:rPr>
          <w:color w:val="auto"/>
          <w:sz w:val="21"/>
          <w:szCs w:val="21"/>
          <w:highlight w:val="none"/>
        </w:rPr>
        <w:fldChar w:fldCharType="separate"/>
      </w:r>
      <w:r>
        <w:rPr>
          <w:color w:val="auto"/>
          <w:sz w:val="21"/>
          <w:szCs w:val="21"/>
          <w:highlight w:val="none"/>
        </w:rPr>
        <w:t>30</w:t>
      </w:r>
      <w:r>
        <w:rPr>
          <w:color w:val="auto"/>
          <w:sz w:val="21"/>
          <w:szCs w:val="21"/>
          <w:highlight w:val="none"/>
        </w:rPr>
        <w:fldChar w:fldCharType="end"/>
      </w:r>
      <w:r>
        <w:rPr>
          <w:color w:val="auto"/>
          <w:sz w:val="21"/>
          <w:szCs w:val="21"/>
          <w:highlight w:val="none"/>
        </w:rPr>
        <w:fldChar w:fldCharType="end"/>
      </w:r>
    </w:p>
    <w:p>
      <w:pPr>
        <w:pStyle w:val="28"/>
        <w:tabs>
          <w:tab w:val="right" w:leader="dot" w:pos="9321"/>
        </w:tabs>
        <w:spacing w:line="360" w:lineRule="auto"/>
        <w:rPr>
          <w:color w:val="auto"/>
          <w:sz w:val="21"/>
          <w:szCs w:val="21"/>
          <w:highlight w:val="none"/>
        </w:rPr>
      </w:pPr>
      <w:r>
        <w:rPr>
          <w:color w:val="auto"/>
          <w:highlight w:val="none"/>
        </w:rPr>
        <w:fldChar w:fldCharType="begin"/>
      </w:r>
      <w:r>
        <w:rPr>
          <w:color w:val="auto"/>
          <w:highlight w:val="none"/>
        </w:rPr>
        <w:instrText xml:space="preserve"> HYPERLINK \l "_Toc8276" </w:instrText>
      </w:r>
      <w:r>
        <w:rPr>
          <w:color w:val="auto"/>
          <w:highlight w:val="none"/>
        </w:rPr>
        <w:fldChar w:fldCharType="separate"/>
      </w:r>
      <w:r>
        <w:rPr>
          <w:rFonts w:hint="eastAsia"/>
          <w:color w:val="auto"/>
          <w:sz w:val="21"/>
          <w:szCs w:val="21"/>
          <w:highlight w:val="none"/>
        </w:rPr>
        <w:t>第六章  授予合同</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_Toc8276 \h </w:instrText>
      </w:r>
      <w:r>
        <w:rPr>
          <w:color w:val="auto"/>
          <w:sz w:val="21"/>
          <w:szCs w:val="21"/>
          <w:highlight w:val="none"/>
        </w:rPr>
        <w:fldChar w:fldCharType="separate"/>
      </w:r>
      <w:r>
        <w:rPr>
          <w:color w:val="auto"/>
          <w:sz w:val="21"/>
          <w:szCs w:val="21"/>
          <w:highlight w:val="none"/>
        </w:rPr>
        <w:t>32</w:t>
      </w:r>
      <w:r>
        <w:rPr>
          <w:color w:val="auto"/>
          <w:sz w:val="21"/>
          <w:szCs w:val="21"/>
          <w:highlight w:val="none"/>
        </w:rPr>
        <w:fldChar w:fldCharType="end"/>
      </w:r>
      <w:r>
        <w:rPr>
          <w:color w:val="auto"/>
          <w:sz w:val="21"/>
          <w:szCs w:val="21"/>
          <w:highlight w:val="none"/>
        </w:rPr>
        <w:fldChar w:fldCharType="end"/>
      </w:r>
    </w:p>
    <w:p>
      <w:pPr>
        <w:pStyle w:val="28"/>
        <w:tabs>
          <w:tab w:val="right" w:leader="dot" w:pos="9321"/>
        </w:tabs>
        <w:spacing w:line="360" w:lineRule="auto"/>
        <w:rPr>
          <w:color w:val="auto"/>
          <w:sz w:val="21"/>
          <w:szCs w:val="21"/>
          <w:highlight w:val="none"/>
        </w:rPr>
      </w:pPr>
      <w:r>
        <w:rPr>
          <w:color w:val="auto"/>
          <w:highlight w:val="none"/>
        </w:rPr>
        <w:fldChar w:fldCharType="begin"/>
      </w:r>
      <w:r>
        <w:rPr>
          <w:color w:val="auto"/>
          <w:highlight w:val="none"/>
        </w:rPr>
        <w:instrText xml:space="preserve"> HYPERLINK \l "_Toc1127" </w:instrText>
      </w:r>
      <w:r>
        <w:rPr>
          <w:color w:val="auto"/>
          <w:highlight w:val="none"/>
        </w:rPr>
        <w:fldChar w:fldCharType="separate"/>
      </w:r>
      <w:r>
        <w:rPr>
          <w:rFonts w:hint="eastAsia"/>
          <w:color w:val="auto"/>
          <w:sz w:val="21"/>
          <w:szCs w:val="21"/>
          <w:highlight w:val="none"/>
        </w:rPr>
        <w:t>第七章  知识产权</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_Toc1127 \h </w:instrText>
      </w:r>
      <w:r>
        <w:rPr>
          <w:color w:val="auto"/>
          <w:sz w:val="21"/>
          <w:szCs w:val="21"/>
          <w:highlight w:val="none"/>
        </w:rPr>
        <w:fldChar w:fldCharType="separate"/>
      </w:r>
      <w:r>
        <w:rPr>
          <w:color w:val="auto"/>
          <w:sz w:val="21"/>
          <w:szCs w:val="21"/>
          <w:highlight w:val="none"/>
        </w:rPr>
        <w:t>33</w:t>
      </w:r>
      <w:r>
        <w:rPr>
          <w:color w:val="auto"/>
          <w:sz w:val="21"/>
          <w:szCs w:val="21"/>
          <w:highlight w:val="none"/>
        </w:rPr>
        <w:fldChar w:fldCharType="end"/>
      </w:r>
      <w:r>
        <w:rPr>
          <w:color w:val="auto"/>
          <w:sz w:val="21"/>
          <w:szCs w:val="21"/>
          <w:highlight w:val="none"/>
        </w:rPr>
        <w:fldChar w:fldCharType="end"/>
      </w:r>
    </w:p>
    <w:p>
      <w:pPr>
        <w:pStyle w:val="2"/>
        <w:tabs>
          <w:tab w:val="right" w:leader="dot" w:pos="9321"/>
        </w:tabs>
        <w:spacing w:line="360" w:lineRule="auto"/>
        <w:rPr>
          <w:color w:val="auto"/>
          <w:highlight w:val="none"/>
        </w:rPr>
      </w:pPr>
      <w:r>
        <w:rPr>
          <w:color w:val="auto"/>
          <w:highlight w:val="none"/>
        </w:rPr>
        <w:fldChar w:fldCharType="begin"/>
      </w:r>
      <w:r>
        <w:rPr>
          <w:color w:val="auto"/>
          <w:highlight w:val="none"/>
        </w:rPr>
        <w:instrText xml:space="preserve"> HYPERLINK \l "_Toc29628" </w:instrText>
      </w:r>
      <w:r>
        <w:rPr>
          <w:color w:val="auto"/>
          <w:highlight w:val="none"/>
        </w:rPr>
        <w:fldChar w:fldCharType="separate"/>
      </w:r>
      <w:r>
        <w:rPr>
          <w:rFonts w:hint="eastAsia"/>
          <w:color w:val="auto"/>
          <w:highlight w:val="none"/>
        </w:rPr>
        <w:t>附录1：投标申请表（申请人、资质、机构简介）</w:t>
      </w:r>
      <w:r>
        <w:rPr>
          <w:color w:val="auto"/>
          <w:highlight w:val="none"/>
        </w:rPr>
        <w:tab/>
      </w:r>
      <w:r>
        <w:rPr>
          <w:color w:val="auto"/>
          <w:highlight w:val="none"/>
        </w:rPr>
        <w:fldChar w:fldCharType="begin"/>
      </w:r>
      <w:r>
        <w:rPr>
          <w:color w:val="auto"/>
          <w:highlight w:val="none"/>
        </w:rPr>
        <w:instrText xml:space="preserve"> PAGEREF _Toc29628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2"/>
        <w:tabs>
          <w:tab w:val="right" w:leader="dot" w:pos="9321"/>
        </w:tabs>
        <w:spacing w:line="360" w:lineRule="auto"/>
        <w:rPr>
          <w:color w:val="auto"/>
          <w:highlight w:val="none"/>
        </w:rPr>
      </w:pPr>
      <w:r>
        <w:rPr>
          <w:color w:val="auto"/>
          <w:highlight w:val="none"/>
        </w:rPr>
        <w:fldChar w:fldCharType="begin"/>
      </w:r>
      <w:r>
        <w:rPr>
          <w:color w:val="auto"/>
          <w:highlight w:val="none"/>
        </w:rPr>
        <w:instrText xml:space="preserve"> HYPERLINK \l "_Toc13567" </w:instrText>
      </w:r>
      <w:r>
        <w:rPr>
          <w:color w:val="auto"/>
          <w:highlight w:val="none"/>
        </w:rPr>
        <w:fldChar w:fldCharType="separate"/>
      </w:r>
      <w:r>
        <w:rPr>
          <w:rFonts w:hint="eastAsia"/>
          <w:color w:val="auto"/>
          <w:highlight w:val="none"/>
        </w:rPr>
        <w:t>附录2：设计投标文件编制要求</w:t>
      </w:r>
      <w:r>
        <w:rPr>
          <w:color w:val="auto"/>
          <w:highlight w:val="none"/>
        </w:rPr>
        <w:tab/>
      </w:r>
      <w:r>
        <w:rPr>
          <w:color w:val="auto"/>
          <w:highlight w:val="none"/>
        </w:rPr>
        <w:fldChar w:fldCharType="begin"/>
      </w:r>
      <w:r>
        <w:rPr>
          <w:color w:val="auto"/>
          <w:highlight w:val="none"/>
        </w:rPr>
        <w:instrText xml:space="preserve"> PAGEREF _Toc13567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2"/>
        <w:tabs>
          <w:tab w:val="right" w:leader="dot" w:pos="9321"/>
        </w:tabs>
        <w:spacing w:line="360" w:lineRule="auto"/>
        <w:rPr>
          <w:color w:val="auto"/>
          <w:highlight w:val="none"/>
        </w:rPr>
      </w:pPr>
      <w:r>
        <w:rPr>
          <w:color w:val="auto"/>
          <w:highlight w:val="none"/>
        </w:rPr>
        <w:fldChar w:fldCharType="begin"/>
      </w:r>
      <w:r>
        <w:rPr>
          <w:color w:val="auto"/>
          <w:highlight w:val="none"/>
        </w:rPr>
        <w:instrText xml:space="preserve"> HYPERLINK \l "_Toc23970" </w:instrText>
      </w:r>
      <w:r>
        <w:rPr>
          <w:color w:val="auto"/>
          <w:highlight w:val="none"/>
        </w:rPr>
        <w:fldChar w:fldCharType="separate"/>
      </w:r>
      <w:r>
        <w:rPr>
          <w:rFonts w:hint="eastAsia"/>
          <w:color w:val="auto"/>
          <w:highlight w:val="none"/>
        </w:rPr>
        <w:t>附录3：市政综合工程设计费用计算表</w:t>
      </w:r>
      <w:r>
        <w:rPr>
          <w:color w:val="auto"/>
          <w:highlight w:val="none"/>
        </w:rPr>
        <w:tab/>
      </w:r>
      <w:r>
        <w:rPr>
          <w:color w:val="auto"/>
          <w:highlight w:val="none"/>
        </w:rPr>
        <w:fldChar w:fldCharType="begin"/>
      </w:r>
      <w:r>
        <w:rPr>
          <w:color w:val="auto"/>
          <w:highlight w:val="none"/>
        </w:rPr>
        <w:instrText xml:space="preserve"> PAGEREF _Toc23970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2"/>
        <w:tabs>
          <w:tab w:val="right" w:leader="dot" w:pos="9321"/>
        </w:tabs>
        <w:spacing w:line="360" w:lineRule="auto"/>
        <w:rPr>
          <w:color w:val="auto"/>
          <w:highlight w:val="none"/>
        </w:rPr>
      </w:pPr>
      <w:r>
        <w:rPr>
          <w:color w:val="auto"/>
          <w:highlight w:val="none"/>
        </w:rPr>
        <w:fldChar w:fldCharType="begin"/>
      </w:r>
      <w:r>
        <w:rPr>
          <w:color w:val="auto"/>
          <w:highlight w:val="none"/>
        </w:rPr>
        <w:instrText xml:space="preserve"> HYPERLINK \l "_Toc4065" </w:instrText>
      </w:r>
      <w:r>
        <w:rPr>
          <w:color w:val="auto"/>
          <w:highlight w:val="none"/>
        </w:rPr>
        <w:fldChar w:fldCharType="separate"/>
      </w:r>
      <w:r>
        <w:rPr>
          <w:rFonts w:hint="eastAsia"/>
          <w:color w:val="auto"/>
          <w:highlight w:val="none"/>
        </w:rPr>
        <w:t>附录3-1：勘探费报价及计算依据表</w:t>
      </w:r>
      <w:r>
        <w:rPr>
          <w:color w:val="auto"/>
          <w:highlight w:val="none"/>
        </w:rPr>
        <w:tab/>
      </w:r>
      <w:r>
        <w:rPr>
          <w:color w:val="auto"/>
          <w:highlight w:val="none"/>
        </w:rPr>
        <w:fldChar w:fldCharType="begin"/>
      </w:r>
      <w:r>
        <w:rPr>
          <w:color w:val="auto"/>
          <w:highlight w:val="none"/>
        </w:rPr>
        <w:instrText xml:space="preserve"> PAGEREF _Toc4065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pPr>
        <w:pStyle w:val="2"/>
        <w:tabs>
          <w:tab w:val="right" w:leader="dot" w:pos="9321"/>
        </w:tabs>
        <w:spacing w:line="360" w:lineRule="auto"/>
        <w:rPr>
          <w:color w:val="auto"/>
          <w:highlight w:val="none"/>
        </w:rPr>
      </w:pPr>
      <w:r>
        <w:rPr>
          <w:color w:val="auto"/>
          <w:highlight w:val="none"/>
        </w:rPr>
        <w:fldChar w:fldCharType="begin"/>
      </w:r>
      <w:r>
        <w:rPr>
          <w:color w:val="auto"/>
          <w:highlight w:val="none"/>
        </w:rPr>
        <w:instrText xml:space="preserve"> HYPERLINK \l "_Toc24670" </w:instrText>
      </w:r>
      <w:r>
        <w:rPr>
          <w:color w:val="auto"/>
          <w:highlight w:val="none"/>
        </w:rPr>
        <w:fldChar w:fldCharType="separate"/>
      </w:r>
      <w:r>
        <w:rPr>
          <w:rFonts w:hint="eastAsia"/>
          <w:color w:val="auto"/>
          <w:highlight w:val="none"/>
        </w:rPr>
        <w:t>附录3-2：测量费报价及计算依据表</w:t>
      </w:r>
      <w:r>
        <w:rPr>
          <w:color w:val="auto"/>
          <w:highlight w:val="none"/>
        </w:rPr>
        <w:tab/>
      </w:r>
      <w:r>
        <w:rPr>
          <w:color w:val="auto"/>
          <w:highlight w:val="none"/>
        </w:rPr>
        <w:fldChar w:fldCharType="begin"/>
      </w:r>
      <w:r>
        <w:rPr>
          <w:color w:val="auto"/>
          <w:highlight w:val="none"/>
        </w:rPr>
        <w:instrText xml:space="preserve"> PAGEREF _Toc24670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2"/>
        <w:tabs>
          <w:tab w:val="right" w:leader="dot" w:pos="9321"/>
        </w:tabs>
        <w:spacing w:line="360" w:lineRule="auto"/>
        <w:rPr>
          <w:color w:val="auto"/>
          <w:highlight w:val="none"/>
        </w:rPr>
      </w:pPr>
      <w:r>
        <w:rPr>
          <w:color w:val="auto"/>
          <w:highlight w:val="none"/>
        </w:rPr>
        <w:fldChar w:fldCharType="begin"/>
      </w:r>
      <w:r>
        <w:rPr>
          <w:color w:val="auto"/>
          <w:highlight w:val="none"/>
        </w:rPr>
        <w:instrText xml:space="preserve"> HYPERLINK \l "_Toc13864" </w:instrText>
      </w:r>
      <w:r>
        <w:rPr>
          <w:color w:val="auto"/>
          <w:highlight w:val="none"/>
        </w:rPr>
        <w:fldChar w:fldCharType="separate"/>
      </w:r>
      <w:r>
        <w:rPr>
          <w:rFonts w:hint="eastAsia"/>
          <w:color w:val="auto"/>
          <w:highlight w:val="none"/>
        </w:rPr>
        <w:t>附录3-3：投标报价汇总表</w:t>
      </w:r>
      <w:r>
        <w:rPr>
          <w:color w:val="auto"/>
          <w:highlight w:val="none"/>
        </w:rPr>
        <w:tab/>
      </w:r>
      <w:r>
        <w:rPr>
          <w:color w:val="auto"/>
          <w:highlight w:val="none"/>
        </w:rPr>
        <w:fldChar w:fldCharType="begin"/>
      </w:r>
      <w:r>
        <w:rPr>
          <w:color w:val="auto"/>
          <w:highlight w:val="none"/>
        </w:rPr>
        <w:instrText xml:space="preserve"> PAGEREF _Toc13864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pPr>
        <w:pStyle w:val="2"/>
        <w:tabs>
          <w:tab w:val="right" w:leader="dot" w:pos="9321"/>
        </w:tabs>
        <w:spacing w:line="360" w:lineRule="auto"/>
        <w:rPr>
          <w:color w:val="auto"/>
          <w:highlight w:val="none"/>
        </w:rPr>
      </w:pPr>
      <w:r>
        <w:rPr>
          <w:color w:val="auto"/>
          <w:highlight w:val="none"/>
        </w:rPr>
        <w:fldChar w:fldCharType="begin"/>
      </w:r>
      <w:r>
        <w:rPr>
          <w:color w:val="auto"/>
          <w:highlight w:val="none"/>
        </w:rPr>
        <w:instrText xml:space="preserve"> HYPERLINK \l "_Toc1195" </w:instrText>
      </w:r>
      <w:r>
        <w:rPr>
          <w:color w:val="auto"/>
          <w:highlight w:val="none"/>
        </w:rPr>
        <w:fldChar w:fldCharType="separate"/>
      </w:r>
      <w:r>
        <w:rPr>
          <w:color w:val="auto"/>
          <w:highlight w:val="none"/>
        </w:rPr>
        <w:t>附录</w:t>
      </w:r>
      <w:r>
        <w:rPr>
          <w:rFonts w:hint="eastAsia"/>
          <w:color w:val="auto"/>
          <w:highlight w:val="none"/>
        </w:rPr>
        <w:t>4：本项目拟投入的人员基本情况表</w:t>
      </w:r>
      <w:r>
        <w:rPr>
          <w:color w:val="auto"/>
          <w:highlight w:val="none"/>
        </w:rPr>
        <w:tab/>
      </w:r>
      <w:r>
        <w:rPr>
          <w:color w:val="auto"/>
          <w:highlight w:val="none"/>
        </w:rPr>
        <w:fldChar w:fldCharType="begin"/>
      </w:r>
      <w:r>
        <w:rPr>
          <w:color w:val="auto"/>
          <w:highlight w:val="none"/>
        </w:rPr>
        <w:instrText xml:space="preserve"> PAGEREF _Toc1195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2"/>
        <w:tabs>
          <w:tab w:val="right" w:leader="dot" w:pos="9321"/>
        </w:tabs>
        <w:spacing w:line="360" w:lineRule="auto"/>
        <w:rPr>
          <w:color w:val="auto"/>
          <w:highlight w:val="none"/>
        </w:rPr>
      </w:pPr>
      <w:r>
        <w:rPr>
          <w:color w:val="auto"/>
          <w:highlight w:val="none"/>
        </w:rPr>
        <w:fldChar w:fldCharType="begin"/>
      </w:r>
      <w:r>
        <w:rPr>
          <w:color w:val="auto"/>
          <w:highlight w:val="none"/>
        </w:rPr>
        <w:instrText xml:space="preserve"> HYPERLINK \l "_Toc28302" </w:instrText>
      </w:r>
      <w:r>
        <w:rPr>
          <w:color w:val="auto"/>
          <w:highlight w:val="none"/>
        </w:rPr>
        <w:fldChar w:fldCharType="separate"/>
      </w:r>
      <w:r>
        <w:rPr>
          <w:color w:val="auto"/>
          <w:highlight w:val="none"/>
        </w:rPr>
        <w:t>附录</w:t>
      </w:r>
      <w:r>
        <w:rPr>
          <w:rFonts w:hint="eastAsia"/>
          <w:color w:val="auto"/>
          <w:highlight w:val="none"/>
        </w:rPr>
        <w:t>4-1：项目负责人资历表</w:t>
      </w:r>
      <w:r>
        <w:rPr>
          <w:color w:val="auto"/>
          <w:highlight w:val="none"/>
        </w:rPr>
        <w:tab/>
      </w:r>
      <w:r>
        <w:rPr>
          <w:color w:val="auto"/>
          <w:highlight w:val="none"/>
        </w:rPr>
        <w:fldChar w:fldCharType="begin"/>
      </w:r>
      <w:r>
        <w:rPr>
          <w:color w:val="auto"/>
          <w:highlight w:val="none"/>
        </w:rPr>
        <w:instrText xml:space="preserve"> PAGEREF _Toc28302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2"/>
        <w:tabs>
          <w:tab w:val="right" w:leader="dot" w:pos="9321"/>
        </w:tabs>
        <w:spacing w:line="360" w:lineRule="auto"/>
        <w:rPr>
          <w:color w:val="auto"/>
          <w:highlight w:val="none"/>
        </w:rPr>
      </w:pPr>
      <w:r>
        <w:rPr>
          <w:color w:val="auto"/>
          <w:highlight w:val="none"/>
        </w:rPr>
        <w:fldChar w:fldCharType="begin"/>
      </w:r>
      <w:r>
        <w:rPr>
          <w:color w:val="auto"/>
          <w:highlight w:val="none"/>
        </w:rPr>
        <w:instrText xml:space="preserve"> HYPERLINK \l "_Toc6828" </w:instrText>
      </w:r>
      <w:r>
        <w:rPr>
          <w:color w:val="auto"/>
          <w:highlight w:val="none"/>
        </w:rPr>
        <w:fldChar w:fldCharType="separate"/>
      </w:r>
      <w:r>
        <w:rPr>
          <w:color w:val="auto"/>
          <w:highlight w:val="none"/>
        </w:rPr>
        <w:t>附录</w:t>
      </w:r>
      <w:r>
        <w:rPr>
          <w:rFonts w:hint="eastAsia"/>
          <w:color w:val="auto"/>
          <w:highlight w:val="none"/>
        </w:rPr>
        <w:t>4-2：专业人员资历表</w:t>
      </w:r>
      <w:r>
        <w:rPr>
          <w:color w:val="auto"/>
          <w:highlight w:val="none"/>
        </w:rPr>
        <w:tab/>
      </w:r>
      <w:r>
        <w:rPr>
          <w:color w:val="auto"/>
          <w:highlight w:val="none"/>
        </w:rPr>
        <w:fldChar w:fldCharType="begin"/>
      </w:r>
      <w:r>
        <w:rPr>
          <w:color w:val="auto"/>
          <w:highlight w:val="none"/>
        </w:rPr>
        <w:instrText xml:space="preserve"> PAGEREF _Toc6828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2"/>
        <w:tabs>
          <w:tab w:val="right" w:leader="dot" w:pos="9321"/>
        </w:tabs>
        <w:spacing w:line="360" w:lineRule="auto"/>
        <w:rPr>
          <w:color w:val="auto"/>
          <w:highlight w:val="none"/>
        </w:rPr>
      </w:pPr>
      <w:r>
        <w:rPr>
          <w:color w:val="auto"/>
          <w:highlight w:val="none"/>
        </w:rPr>
        <w:fldChar w:fldCharType="begin"/>
      </w:r>
      <w:r>
        <w:rPr>
          <w:color w:val="auto"/>
          <w:highlight w:val="none"/>
        </w:rPr>
        <w:instrText xml:space="preserve"> HYPERLINK \l "_Toc20268" </w:instrText>
      </w:r>
      <w:r>
        <w:rPr>
          <w:color w:val="auto"/>
          <w:highlight w:val="none"/>
        </w:rPr>
        <w:fldChar w:fldCharType="separate"/>
      </w:r>
      <w:r>
        <w:rPr>
          <w:rFonts w:hint="eastAsia"/>
          <w:color w:val="auto"/>
          <w:highlight w:val="none"/>
        </w:rPr>
        <w:t>附录5：投标人已完成项目情况</w:t>
      </w:r>
      <w:r>
        <w:rPr>
          <w:color w:val="auto"/>
          <w:highlight w:val="none"/>
        </w:rPr>
        <w:tab/>
      </w:r>
      <w:r>
        <w:rPr>
          <w:color w:val="auto"/>
          <w:highlight w:val="none"/>
        </w:rPr>
        <w:fldChar w:fldCharType="begin"/>
      </w:r>
      <w:r>
        <w:rPr>
          <w:color w:val="auto"/>
          <w:highlight w:val="none"/>
        </w:rPr>
        <w:instrText xml:space="preserve"> PAGEREF _Toc20268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2"/>
        <w:tabs>
          <w:tab w:val="right" w:leader="dot" w:pos="9321"/>
        </w:tabs>
        <w:spacing w:line="360" w:lineRule="auto"/>
        <w:rPr>
          <w:color w:val="auto"/>
          <w:highlight w:val="none"/>
        </w:rPr>
      </w:pPr>
      <w:r>
        <w:rPr>
          <w:color w:val="auto"/>
          <w:highlight w:val="none"/>
        </w:rPr>
        <w:fldChar w:fldCharType="begin"/>
      </w:r>
      <w:r>
        <w:rPr>
          <w:color w:val="auto"/>
          <w:highlight w:val="none"/>
        </w:rPr>
        <w:instrText xml:space="preserve"> HYPERLINK \l "_Toc25748" </w:instrText>
      </w:r>
      <w:r>
        <w:rPr>
          <w:color w:val="auto"/>
          <w:highlight w:val="none"/>
        </w:rPr>
        <w:fldChar w:fldCharType="separate"/>
      </w:r>
      <w:r>
        <w:rPr>
          <w:rFonts w:hint="eastAsia"/>
          <w:color w:val="auto"/>
          <w:highlight w:val="none"/>
        </w:rPr>
        <w:t>附录6：投标书</w:t>
      </w:r>
      <w:r>
        <w:rPr>
          <w:color w:val="auto"/>
          <w:highlight w:val="none"/>
        </w:rPr>
        <w:tab/>
      </w:r>
      <w:r>
        <w:rPr>
          <w:color w:val="auto"/>
          <w:highlight w:val="none"/>
        </w:rPr>
        <w:fldChar w:fldCharType="begin"/>
      </w:r>
      <w:r>
        <w:rPr>
          <w:color w:val="auto"/>
          <w:highlight w:val="none"/>
        </w:rPr>
        <w:instrText xml:space="preserve"> PAGEREF _Toc25748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pPr>
        <w:pStyle w:val="2"/>
        <w:tabs>
          <w:tab w:val="right" w:leader="dot" w:pos="9321"/>
        </w:tabs>
        <w:spacing w:line="360" w:lineRule="auto"/>
        <w:rPr>
          <w:color w:val="auto"/>
          <w:highlight w:val="none"/>
        </w:rPr>
      </w:pPr>
      <w:r>
        <w:rPr>
          <w:color w:val="auto"/>
          <w:highlight w:val="none"/>
        </w:rPr>
        <w:fldChar w:fldCharType="begin"/>
      </w:r>
      <w:r>
        <w:rPr>
          <w:color w:val="auto"/>
          <w:highlight w:val="none"/>
        </w:rPr>
        <w:instrText xml:space="preserve"> HYPERLINK \l "_Toc13144" </w:instrText>
      </w:r>
      <w:r>
        <w:rPr>
          <w:color w:val="auto"/>
          <w:highlight w:val="none"/>
        </w:rPr>
        <w:fldChar w:fldCharType="separate"/>
      </w:r>
      <w:r>
        <w:rPr>
          <w:rFonts w:hint="eastAsia"/>
          <w:color w:val="auto"/>
          <w:highlight w:val="none"/>
        </w:rPr>
        <w:t>附录7：联合体共同投标协议</w:t>
      </w:r>
      <w:r>
        <w:rPr>
          <w:color w:val="auto"/>
          <w:highlight w:val="none"/>
        </w:rPr>
        <w:tab/>
      </w:r>
      <w:r>
        <w:rPr>
          <w:color w:val="auto"/>
          <w:highlight w:val="none"/>
        </w:rPr>
        <w:fldChar w:fldCharType="begin"/>
      </w:r>
      <w:r>
        <w:rPr>
          <w:color w:val="auto"/>
          <w:highlight w:val="none"/>
        </w:rPr>
        <w:instrText xml:space="preserve"> PAGEREF _Toc13144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2"/>
        <w:tabs>
          <w:tab w:val="right" w:leader="dot" w:pos="9321"/>
        </w:tabs>
        <w:spacing w:line="360" w:lineRule="auto"/>
        <w:rPr>
          <w:color w:val="auto"/>
          <w:highlight w:val="none"/>
        </w:rPr>
      </w:pPr>
      <w:r>
        <w:rPr>
          <w:color w:val="auto"/>
          <w:highlight w:val="none"/>
        </w:rPr>
        <w:fldChar w:fldCharType="begin"/>
      </w:r>
      <w:r>
        <w:rPr>
          <w:color w:val="auto"/>
          <w:highlight w:val="none"/>
        </w:rPr>
        <w:instrText xml:space="preserve"> HYPERLINK \l "_Toc25346" </w:instrText>
      </w:r>
      <w:r>
        <w:rPr>
          <w:color w:val="auto"/>
          <w:highlight w:val="none"/>
        </w:rPr>
        <w:fldChar w:fldCharType="separate"/>
      </w:r>
      <w:r>
        <w:rPr>
          <w:rFonts w:hint="eastAsia"/>
          <w:color w:val="auto"/>
          <w:highlight w:val="none"/>
        </w:rPr>
        <w:t>附录8：投标人声明</w:t>
      </w:r>
      <w:r>
        <w:rPr>
          <w:color w:val="auto"/>
          <w:highlight w:val="none"/>
        </w:rPr>
        <w:tab/>
      </w:r>
      <w:r>
        <w:rPr>
          <w:color w:val="auto"/>
          <w:highlight w:val="none"/>
        </w:rPr>
        <w:fldChar w:fldCharType="begin"/>
      </w:r>
      <w:r>
        <w:rPr>
          <w:color w:val="auto"/>
          <w:highlight w:val="none"/>
        </w:rPr>
        <w:instrText xml:space="preserve"> PAGEREF _Toc25346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2"/>
        <w:tabs>
          <w:tab w:val="right" w:leader="dot" w:pos="9321"/>
        </w:tabs>
        <w:spacing w:line="360" w:lineRule="auto"/>
        <w:rPr>
          <w:color w:val="auto"/>
          <w:highlight w:val="none"/>
        </w:rPr>
      </w:pPr>
      <w:r>
        <w:rPr>
          <w:color w:val="auto"/>
          <w:highlight w:val="none"/>
        </w:rPr>
        <w:fldChar w:fldCharType="begin"/>
      </w:r>
      <w:r>
        <w:rPr>
          <w:color w:val="auto"/>
          <w:highlight w:val="none"/>
        </w:rPr>
        <w:instrText xml:space="preserve"> HYPERLINK \l "_Toc25934" </w:instrText>
      </w:r>
      <w:r>
        <w:rPr>
          <w:color w:val="auto"/>
          <w:highlight w:val="none"/>
        </w:rPr>
        <w:fldChar w:fldCharType="separate"/>
      </w:r>
      <w:r>
        <w:rPr>
          <w:rFonts w:hint="eastAsia"/>
          <w:color w:val="auto"/>
          <w:highlight w:val="none"/>
        </w:rPr>
        <w:t>附录9：资格审查表</w:t>
      </w:r>
      <w:r>
        <w:rPr>
          <w:color w:val="auto"/>
          <w:highlight w:val="none"/>
        </w:rPr>
        <w:tab/>
      </w:r>
      <w:r>
        <w:rPr>
          <w:color w:val="auto"/>
          <w:highlight w:val="none"/>
        </w:rPr>
        <w:fldChar w:fldCharType="begin"/>
      </w:r>
      <w:r>
        <w:rPr>
          <w:color w:val="auto"/>
          <w:highlight w:val="none"/>
        </w:rPr>
        <w:instrText xml:space="preserve"> PAGEREF _Toc25934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pPr>
        <w:pStyle w:val="2"/>
        <w:tabs>
          <w:tab w:val="right" w:leader="dot" w:pos="9321"/>
        </w:tabs>
        <w:spacing w:line="360" w:lineRule="auto"/>
        <w:rPr>
          <w:color w:val="auto"/>
          <w:highlight w:val="none"/>
        </w:rPr>
      </w:pPr>
      <w:r>
        <w:rPr>
          <w:color w:val="auto"/>
          <w:highlight w:val="none"/>
        </w:rPr>
        <w:fldChar w:fldCharType="begin"/>
      </w:r>
      <w:r>
        <w:rPr>
          <w:color w:val="auto"/>
          <w:highlight w:val="none"/>
        </w:rPr>
        <w:instrText xml:space="preserve"> HYPERLINK \l "_Toc15101" </w:instrText>
      </w:r>
      <w:r>
        <w:rPr>
          <w:color w:val="auto"/>
          <w:highlight w:val="none"/>
        </w:rPr>
        <w:fldChar w:fldCharType="separate"/>
      </w:r>
      <w:r>
        <w:rPr>
          <w:rFonts w:hint="eastAsia"/>
          <w:color w:val="auto"/>
          <w:highlight w:val="none"/>
        </w:rPr>
        <w:t>附录10：商务文件有效性审查表</w:t>
      </w:r>
      <w:r>
        <w:rPr>
          <w:color w:val="auto"/>
          <w:highlight w:val="none"/>
        </w:rPr>
        <w:tab/>
      </w:r>
      <w:r>
        <w:rPr>
          <w:color w:val="auto"/>
          <w:highlight w:val="none"/>
        </w:rPr>
        <w:fldChar w:fldCharType="begin"/>
      </w:r>
      <w:r>
        <w:rPr>
          <w:color w:val="auto"/>
          <w:highlight w:val="none"/>
        </w:rPr>
        <w:instrText xml:space="preserve"> PAGEREF _Toc15101 \h </w:instrText>
      </w:r>
      <w:r>
        <w:rPr>
          <w:color w:val="auto"/>
          <w:highlight w:val="none"/>
        </w:rPr>
        <w:fldChar w:fldCharType="separate"/>
      </w:r>
      <w:r>
        <w:rPr>
          <w:color w:val="auto"/>
          <w:highlight w:val="none"/>
        </w:rPr>
        <w:t>88</w:t>
      </w:r>
      <w:r>
        <w:rPr>
          <w:color w:val="auto"/>
          <w:highlight w:val="none"/>
        </w:rPr>
        <w:fldChar w:fldCharType="end"/>
      </w:r>
      <w:r>
        <w:rPr>
          <w:color w:val="auto"/>
          <w:highlight w:val="none"/>
        </w:rPr>
        <w:fldChar w:fldCharType="end"/>
      </w:r>
    </w:p>
    <w:p>
      <w:pPr>
        <w:pStyle w:val="2"/>
        <w:tabs>
          <w:tab w:val="right" w:leader="dot" w:pos="9321"/>
        </w:tabs>
        <w:spacing w:line="360" w:lineRule="auto"/>
        <w:rPr>
          <w:color w:val="auto"/>
          <w:highlight w:val="none"/>
        </w:rPr>
      </w:pPr>
      <w:r>
        <w:rPr>
          <w:color w:val="auto"/>
          <w:highlight w:val="none"/>
        </w:rPr>
        <w:fldChar w:fldCharType="begin"/>
      </w:r>
      <w:r>
        <w:rPr>
          <w:color w:val="auto"/>
          <w:highlight w:val="none"/>
        </w:rPr>
        <w:instrText xml:space="preserve"> HYPERLINK \l "_Toc13029" </w:instrText>
      </w:r>
      <w:r>
        <w:rPr>
          <w:color w:val="auto"/>
          <w:highlight w:val="none"/>
        </w:rPr>
        <w:fldChar w:fldCharType="separate"/>
      </w:r>
      <w:r>
        <w:rPr>
          <w:rFonts w:hint="eastAsia"/>
          <w:color w:val="auto"/>
          <w:highlight w:val="none"/>
        </w:rPr>
        <w:t>附录11：商务文件综合评分表</w:t>
      </w:r>
      <w:r>
        <w:rPr>
          <w:color w:val="auto"/>
          <w:highlight w:val="none"/>
        </w:rPr>
        <w:tab/>
      </w:r>
      <w:r>
        <w:rPr>
          <w:color w:val="auto"/>
          <w:highlight w:val="none"/>
        </w:rPr>
        <w:fldChar w:fldCharType="begin"/>
      </w:r>
      <w:r>
        <w:rPr>
          <w:color w:val="auto"/>
          <w:highlight w:val="none"/>
        </w:rPr>
        <w:instrText xml:space="preserve"> PAGEREF _Toc13029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pPr>
        <w:pStyle w:val="2"/>
        <w:tabs>
          <w:tab w:val="right" w:leader="dot" w:pos="9321"/>
        </w:tabs>
        <w:spacing w:line="360" w:lineRule="auto"/>
        <w:rPr>
          <w:color w:val="auto"/>
          <w:highlight w:val="none"/>
        </w:rPr>
      </w:pPr>
      <w:r>
        <w:rPr>
          <w:color w:val="auto"/>
          <w:highlight w:val="none"/>
        </w:rPr>
        <w:fldChar w:fldCharType="begin"/>
      </w:r>
      <w:r>
        <w:rPr>
          <w:color w:val="auto"/>
          <w:highlight w:val="none"/>
        </w:rPr>
        <w:instrText xml:space="preserve"> HYPERLINK \l "_Toc29761" </w:instrText>
      </w:r>
      <w:r>
        <w:rPr>
          <w:color w:val="auto"/>
          <w:highlight w:val="none"/>
        </w:rPr>
        <w:fldChar w:fldCharType="separate"/>
      </w:r>
      <w:r>
        <w:rPr>
          <w:rFonts w:hint="eastAsia"/>
          <w:color w:val="auto"/>
          <w:highlight w:val="none"/>
        </w:rPr>
        <w:t>附录12：技术文件有效性审查表</w:t>
      </w:r>
      <w:r>
        <w:rPr>
          <w:color w:val="auto"/>
          <w:highlight w:val="none"/>
        </w:rPr>
        <w:tab/>
      </w:r>
      <w:r>
        <w:rPr>
          <w:color w:val="auto"/>
          <w:highlight w:val="none"/>
        </w:rPr>
        <w:fldChar w:fldCharType="begin"/>
      </w:r>
      <w:r>
        <w:rPr>
          <w:color w:val="auto"/>
          <w:highlight w:val="none"/>
        </w:rPr>
        <w:instrText xml:space="preserve"> PAGEREF _Toc29761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pPr>
        <w:pStyle w:val="2"/>
        <w:tabs>
          <w:tab w:val="right" w:leader="dot" w:pos="9321"/>
        </w:tabs>
        <w:spacing w:line="360" w:lineRule="auto"/>
        <w:rPr>
          <w:color w:val="auto"/>
          <w:highlight w:val="none"/>
        </w:rPr>
      </w:pPr>
      <w:r>
        <w:rPr>
          <w:color w:val="auto"/>
          <w:highlight w:val="none"/>
        </w:rPr>
        <w:fldChar w:fldCharType="begin"/>
      </w:r>
      <w:r>
        <w:rPr>
          <w:color w:val="auto"/>
          <w:highlight w:val="none"/>
        </w:rPr>
        <w:instrText xml:space="preserve"> HYPERLINK \l "_Toc14627" </w:instrText>
      </w:r>
      <w:r>
        <w:rPr>
          <w:color w:val="auto"/>
          <w:highlight w:val="none"/>
        </w:rPr>
        <w:fldChar w:fldCharType="separate"/>
      </w:r>
      <w:r>
        <w:rPr>
          <w:rFonts w:hint="eastAsia"/>
          <w:color w:val="auto"/>
          <w:highlight w:val="none"/>
        </w:rPr>
        <w:t>附录13：技术文件综合评分表</w:t>
      </w:r>
      <w:r>
        <w:rPr>
          <w:color w:val="auto"/>
          <w:highlight w:val="none"/>
        </w:rPr>
        <w:tab/>
      </w:r>
      <w:r>
        <w:rPr>
          <w:color w:val="auto"/>
          <w:highlight w:val="none"/>
        </w:rPr>
        <w:fldChar w:fldCharType="begin"/>
      </w:r>
      <w:r>
        <w:rPr>
          <w:color w:val="auto"/>
          <w:highlight w:val="none"/>
        </w:rPr>
        <w:instrText xml:space="preserve"> PAGEREF _Toc14627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pPr>
        <w:pStyle w:val="2"/>
        <w:tabs>
          <w:tab w:val="right" w:leader="dot" w:pos="9321"/>
        </w:tabs>
        <w:spacing w:line="360" w:lineRule="auto"/>
        <w:rPr>
          <w:color w:val="auto"/>
          <w:highlight w:val="none"/>
        </w:rPr>
      </w:pPr>
      <w:r>
        <w:rPr>
          <w:color w:val="auto"/>
          <w:highlight w:val="none"/>
        </w:rPr>
        <w:fldChar w:fldCharType="begin"/>
      </w:r>
      <w:r>
        <w:rPr>
          <w:color w:val="auto"/>
          <w:highlight w:val="none"/>
        </w:rPr>
        <w:instrText xml:space="preserve"> HYPERLINK \l "_Toc344" </w:instrText>
      </w:r>
      <w:r>
        <w:rPr>
          <w:color w:val="auto"/>
          <w:highlight w:val="none"/>
        </w:rPr>
        <w:fldChar w:fldCharType="separate"/>
      </w:r>
      <w:r>
        <w:rPr>
          <w:rFonts w:hint="eastAsia"/>
          <w:color w:val="auto"/>
          <w:highlight w:val="none"/>
        </w:rPr>
        <w:t>附录14：基础资料和设计任务书</w:t>
      </w:r>
      <w:r>
        <w:rPr>
          <w:color w:val="auto"/>
          <w:highlight w:val="none"/>
        </w:rPr>
        <w:tab/>
      </w:r>
      <w:r>
        <w:rPr>
          <w:color w:val="auto"/>
          <w:highlight w:val="none"/>
        </w:rPr>
        <w:fldChar w:fldCharType="begin"/>
      </w:r>
      <w:r>
        <w:rPr>
          <w:color w:val="auto"/>
          <w:highlight w:val="none"/>
        </w:rPr>
        <w:instrText xml:space="preserve"> PAGEREF _Toc344 \h </w:instrText>
      </w:r>
      <w:r>
        <w:rPr>
          <w:color w:val="auto"/>
          <w:highlight w:val="none"/>
        </w:rPr>
        <w:fldChar w:fldCharType="separate"/>
      </w:r>
      <w:r>
        <w:rPr>
          <w:color w:val="auto"/>
          <w:highlight w:val="none"/>
        </w:rPr>
        <w:t>96</w:t>
      </w:r>
      <w:r>
        <w:rPr>
          <w:color w:val="auto"/>
          <w:highlight w:val="none"/>
        </w:rPr>
        <w:fldChar w:fldCharType="end"/>
      </w:r>
      <w:r>
        <w:rPr>
          <w:color w:val="auto"/>
          <w:highlight w:val="none"/>
        </w:rPr>
        <w:fldChar w:fldCharType="end"/>
      </w:r>
    </w:p>
    <w:p>
      <w:pPr>
        <w:spacing w:line="360" w:lineRule="auto"/>
        <w:jc w:val="center"/>
        <w:rPr>
          <w:rFonts w:ascii="宋体" w:hAnsi="宋体"/>
          <w:color w:val="auto"/>
          <w:highlight w:val="none"/>
        </w:rPr>
      </w:pPr>
      <w:r>
        <w:rPr>
          <w:rFonts w:hint="eastAsia" w:ascii="宋体" w:hAnsi="宋体" w:cs="宋体"/>
          <w:color w:val="auto"/>
          <w:szCs w:val="21"/>
          <w:highlight w:val="none"/>
        </w:rPr>
        <w:fldChar w:fldCharType="end"/>
      </w:r>
    </w:p>
    <w:p>
      <w:pPr>
        <w:rPr>
          <w:rFonts w:ascii="宋体" w:hAnsi="宋体"/>
          <w:color w:val="auto"/>
          <w:highlight w:val="none"/>
        </w:rPr>
      </w:pPr>
    </w:p>
    <w:p>
      <w:pPr>
        <w:pStyle w:val="3"/>
        <w:rPr>
          <w:color w:val="auto"/>
          <w:highlight w:val="none"/>
        </w:rPr>
      </w:pPr>
      <w:r>
        <w:rPr>
          <w:color w:val="auto"/>
          <w:highlight w:val="none"/>
        </w:rPr>
        <w:br w:type="page"/>
      </w:r>
      <w:bookmarkStart w:id="0" w:name="_Toc10889"/>
      <w:bookmarkStart w:id="1" w:name="_Toc99463978"/>
      <w:bookmarkStart w:id="2" w:name="_Toc14249"/>
      <w:r>
        <w:rPr>
          <w:rFonts w:hint="eastAsia"/>
          <w:color w:val="auto"/>
          <w:highlight w:val="none"/>
        </w:rPr>
        <w:t xml:space="preserve">第一章 </w:t>
      </w:r>
      <w:r>
        <w:rPr>
          <w:color w:val="auto"/>
          <w:highlight w:val="none"/>
        </w:rPr>
        <w:t xml:space="preserve"> </w:t>
      </w:r>
      <w:r>
        <w:rPr>
          <w:rFonts w:hint="eastAsia"/>
          <w:color w:val="auto"/>
          <w:highlight w:val="none"/>
        </w:rPr>
        <w:t>招标公告</w:t>
      </w:r>
      <w:bookmarkEnd w:id="0"/>
      <w:bookmarkEnd w:id="1"/>
      <w:bookmarkEnd w:id="2"/>
    </w:p>
    <w:p>
      <w:pPr>
        <w:wordWrap w:val="0"/>
        <w:topLinePunct/>
        <w:spacing w:line="360" w:lineRule="auto"/>
        <w:ind w:left="1515" w:firstLine="2891" w:firstLineChars="800"/>
        <w:rPr>
          <w:rFonts w:ascii="宋体" w:hAnsi="宋体"/>
          <w:color w:val="auto"/>
          <w:szCs w:val="21"/>
          <w:highlight w:val="none"/>
        </w:rPr>
      </w:pPr>
      <w:r>
        <w:rPr>
          <w:rFonts w:hint="eastAsia" w:ascii="宋体" w:hAnsi="宋体"/>
          <w:b/>
          <w:color w:val="auto"/>
          <w:sz w:val="36"/>
          <w:szCs w:val="36"/>
          <w:highlight w:val="none"/>
        </w:rPr>
        <w:t>（另册）</w:t>
      </w:r>
    </w:p>
    <w:p>
      <w:pPr>
        <w:pStyle w:val="3"/>
        <w:rPr>
          <w:color w:val="auto"/>
          <w:highlight w:val="none"/>
        </w:rPr>
      </w:pPr>
      <w:r>
        <w:rPr>
          <w:color w:val="auto"/>
          <w:highlight w:val="none"/>
        </w:rPr>
        <w:br w:type="page"/>
      </w:r>
      <w:bookmarkStart w:id="3" w:name="_Toc99463979"/>
      <w:bookmarkStart w:id="4" w:name="_Toc32635"/>
      <w:bookmarkStart w:id="5" w:name="_Toc2090"/>
      <w:r>
        <w:rPr>
          <w:rFonts w:hint="eastAsia"/>
          <w:color w:val="auto"/>
          <w:highlight w:val="none"/>
        </w:rPr>
        <w:t>第二章  招标</w:t>
      </w:r>
      <w:bookmarkEnd w:id="3"/>
      <w:bookmarkEnd w:id="4"/>
      <w:bookmarkEnd w:id="5"/>
    </w:p>
    <w:p>
      <w:pPr>
        <w:spacing w:line="360" w:lineRule="auto"/>
        <w:ind w:left="721" w:hanging="721" w:hangingChars="342"/>
        <w:rPr>
          <w:rFonts w:ascii="宋体" w:hAnsi="宋体"/>
          <w:b/>
          <w:color w:val="auto"/>
          <w:highlight w:val="none"/>
        </w:rPr>
      </w:pPr>
      <w:r>
        <w:rPr>
          <w:rFonts w:hint="eastAsia" w:ascii="宋体" w:hAnsi="宋体"/>
          <w:b/>
          <w:color w:val="auto"/>
          <w:highlight w:val="none"/>
        </w:rPr>
        <w:t>2.1    释义</w:t>
      </w:r>
    </w:p>
    <w:p>
      <w:pPr>
        <w:spacing w:line="360" w:lineRule="auto"/>
        <w:ind w:left="718" w:hanging="718" w:hangingChars="342"/>
        <w:rPr>
          <w:rFonts w:ascii="宋体" w:hAnsi="宋体"/>
          <w:color w:val="auto"/>
          <w:highlight w:val="none"/>
        </w:rPr>
      </w:pPr>
      <w:r>
        <w:rPr>
          <w:rFonts w:hint="eastAsia" w:ascii="宋体" w:hAnsi="宋体"/>
          <w:color w:val="auto"/>
          <w:highlight w:val="none"/>
        </w:rPr>
        <w:t>2.1.1 “设计”是指根据建设工程的要求，对建设工程所需的技术、经济、资源、环境等条件进行综合分析、论证，编制建设工程设计文件的活动。</w:t>
      </w:r>
    </w:p>
    <w:p>
      <w:pPr>
        <w:spacing w:line="360" w:lineRule="auto"/>
        <w:ind w:left="718" w:hanging="718" w:hangingChars="342"/>
        <w:rPr>
          <w:rFonts w:ascii="宋体" w:hAnsi="宋体"/>
          <w:color w:val="auto"/>
          <w:highlight w:val="none"/>
        </w:rPr>
      </w:pPr>
      <w:r>
        <w:rPr>
          <w:rFonts w:hint="eastAsia" w:ascii="宋体" w:hAnsi="宋体"/>
          <w:color w:val="auto"/>
          <w:highlight w:val="none"/>
        </w:rPr>
        <w:t>2.1.2 “勘察”是指根据建设工程的要求，查明、分析、评价建设场地的地质地理环境特征和岩土工程条件，编制建设工程勘察文件的活动。</w:t>
      </w:r>
    </w:p>
    <w:p>
      <w:pPr>
        <w:spacing w:line="360" w:lineRule="auto"/>
        <w:ind w:left="718" w:hanging="718" w:hangingChars="342"/>
        <w:rPr>
          <w:rFonts w:ascii="宋体" w:hAnsi="宋体"/>
          <w:color w:val="auto"/>
          <w:highlight w:val="none"/>
        </w:rPr>
      </w:pPr>
      <w:r>
        <w:rPr>
          <w:rFonts w:hint="eastAsia" w:ascii="宋体" w:hAnsi="宋体"/>
          <w:color w:val="auto"/>
          <w:highlight w:val="none"/>
        </w:rPr>
        <w:t>2.1.3 “招标”是指发包人通过建设工程的勘察、设计等方案招标，将工程相应的任务发包给符合勘察设计资质条件的建设工程承包单位的行为。</w:t>
      </w:r>
    </w:p>
    <w:p>
      <w:pPr>
        <w:spacing w:line="360" w:lineRule="auto"/>
        <w:ind w:left="718" w:hanging="718" w:hangingChars="342"/>
        <w:rPr>
          <w:rFonts w:ascii="宋体" w:hAnsi="宋体"/>
          <w:color w:val="auto"/>
          <w:highlight w:val="none"/>
        </w:rPr>
      </w:pPr>
      <w:r>
        <w:rPr>
          <w:rFonts w:hint="eastAsia" w:ascii="宋体" w:hAnsi="宋体"/>
          <w:color w:val="auto"/>
          <w:highlight w:val="none"/>
        </w:rPr>
        <w:t>2.1.4 “招标人”是指提出招标项目、进行招标的法人或者其他组织。</w:t>
      </w:r>
    </w:p>
    <w:p>
      <w:pPr>
        <w:spacing w:line="360" w:lineRule="auto"/>
        <w:ind w:left="718" w:hanging="718" w:hangingChars="342"/>
        <w:rPr>
          <w:rFonts w:ascii="宋体" w:hAnsi="宋体"/>
          <w:color w:val="auto"/>
          <w:highlight w:val="none"/>
        </w:rPr>
      </w:pPr>
      <w:r>
        <w:rPr>
          <w:rFonts w:hint="eastAsia" w:ascii="宋体" w:hAnsi="宋体"/>
          <w:color w:val="auto"/>
          <w:highlight w:val="none"/>
        </w:rPr>
        <w:t>2.1.5 “招标代理机构”是指从事招标代理业务并提供相关服务的社会中介组织。</w:t>
      </w:r>
    </w:p>
    <w:p>
      <w:pPr>
        <w:spacing w:line="360" w:lineRule="auto"/>
        <w:ind w:left="718" w:hanging="718" w:hangingChars="342"/>
        <w:rPr>
          <w:rFonts w:ascii="宋体" w:hAnsi="宋体"/>
          <w:color w:val="auto"/>
          <w:highlight w:val="none"/>
        </w:rPr>
      </w:pPr>
      <w:r>
        <w:rPr>
          <w:rFonts w:hint="eastAsia" w:ascii="宋体" w:hAnsi="宋体"/>
          <w:color w:val="auto"/>
          <w:highlight w:val="none"/>
        </w:rPr>
        <w:t>2.1.6 “投标人”是指响应招标、参加投标竞争的法人或者其他组织。</w:t>
      </w:r>
    </w:p>
    <w:p>
      <w:pPr>
        <w:spacing w:line="360" w:lineRule="auto"/>
        <w:ind w:left="718" w:hanging="718" w:hangingChars="342"/>
        <w:rPr>
          <w:rFonts w:ascii="宋体" w:hAnsi="宋体"/>
          <w:color w:val="auto"/>
          <w:highlight w:val="none"/>
        </w:rPr>
      </w:pPr>
      <w:r>
        <w:rPr>
          <w:rFonts w:hint="eastAsia" w:ascii="宋体" w:hAnsi="宋体"/>
          <w:color w:val="auto"/>
          <w:highlight w:val="none"/>
        </w:rPr>
        <w:t>2.1.7 “监督机构”是指招标活动的监督机构。</w:t>
      </w:r>
    </w:p>
    <w:p>
      <w:pPr>
        <w:spacing w:line="360" w:lineRule="auto"/>
        <w:ind w:left="718" w:hanging="718" w:hangingChars="342"/>
        <w:rPr>
          <w:rFonts w:ascii="宋体" w:hAnsi="宋体"/>
          <w:color w:val="auto"/>
          <w:highlight w:val="none"/>
        </w:rPr>
      </w:pPr>
      <w:r>
        <w:rPr>
          <w:rFonts w:hint="eastAsia" w:ascii="宋体" w:hAnsi="宋体"/>
          <w:color w:val="auto"/>
          <w:highlight w:val="none"/>
        </w:rPr>
        <w:t>2.1.8 “招标管理机构”是指受监督机构委托管理招标活动的机构。</w:t>
      </w:r>
    </w:p>
    <w:p>
      <w:pPr>
        <w:spacing w:line="360" w:lineRule="auto"/>
        <w:ind w:left="718" w:hanging="718" w:hangingChars="342"/>
        <w:rPr>
          <w:rFonts w:ascii="宋体" w:hAnsi="宋体"/>
          <w:color w:val="auto"/>
          <w:highlight w:val="none"/>
        </w:rPr>
      </w:pPr>
      <w:r>
        <w:rPr>
          <w:rFonts w:hint="eastAsia" w:ascii="宋体" w:hAnsi="宋体"/>
          <w:color w:val="auto"/>
          <w:highlight w:val="none"/>
        </w:rPr>
        <w:t>2.1.9 “交易服务机构”是指为招标人和投标人提供场所、信息和咨询服务，见证招标过程，确认中标通知书的服务机构。</w:t>
      </w:r>
    </w:p>
    <w:p>
      <w:pPr>
        <w:spacing w:line="360" w:lineRule="auto"/>
        <w:ind w:left="718" w:hanging="718" w:hangingChars="342"/>
        <w:rPr>
          <w:rFonts w:ascii="宋体" w:hAnsi="宋体"/>
          <w:color w:val="auto"/>
          <w:highlight w:val="none"/>
        </w:rPr>
      </w:pPr>
      <w:r>
        <w:rPr>
          <w:rFonts w:hint="eastAsia" w:ascii="宋体" w:hAnsi="宋体"/>
          <w:color w:val="auto"/>
          <w:highlight w:val="none"/>
        </w:rPr>
        <w:t>2.1.10 “招标文件”是指招标人（招标代理机构）发出的包括招标预告、招标公告、招标程序和规则、技术规范、合同条件、附录、图表、说明、投资立项批准文件、建设用地批准文件及其它一切补充资料的书面文件和电子文件。</w:t>
      </w:r>
    </w:p>
    <w:p>
      <w:pPr>
        <w:spacing w:line="360" w:lineRule="auto"/>
        <w:rPr>
          <w:rFonts w:ascii="宋体" w:hAnsi="宋体"/>
          <w:color w:val="auto"/>
          <w:highlight w:val="none"/>
        </w:rPr>
      </w:pPr>
    </w:p>
    <w:p>
      <w:pPr>
        <w:spacing w:line="360" w:lineRule="auto"/>
        <w:jc w:val="left"/>
        <w:rPr>
          <w:rFonts w:ascii="宋体" w:hAnsi="宋体"/>
          <w:b/>
          <w:bCs/>
          <w:color w:val="auto"/>
          <w:szCs w:val="21"/>
          <w:highlight w:val="none"/>
        </w:rPr>
      </w:pPr>
      <w:r>
        <w:rPr>
          <w:rFonts w:hint="eastAsia" w:ascii="宋体" w:hAnsi="宋体"/>
          <w:b/>
          <w:bCs/>
          <w:color w:val="auto"/>
          <w:szCs w:val="21"/>
          <w:highlight w:val="none"/>
        </w:rPr>
        <w:t>2.2    免责条款</w:t>
      </w:r>
    </w:p>
    <w:p>
      <w:pPr>
        <w:spacing w:line="360" w:lineRule="auto"/>
        <w:ind w:left="718" w:hanging="718" w:hangingChars="342"/>
        <w:jc w:val="left"/>
        <w:rPr>
          <w:rFonts w:ascii="宋体" w:hAnsi="宋体"/>
          <w:color w:val="auto"/>
          <w:szCs w:val="21"/>
          <w:highlight w:val="none"/>
        </w:rPr>
      </w:pPr>
      <w:r>
        <w:rPr>
          <w:rFonts w:hint="eastAsia" w:ascii="宋体" w:hAnsi="宋体"/>
          <w:color w:val="auto"/>
          <w:szCs w:val="21"/>
          <w:highlight w:val="none"/>
        </w:rPr>
        <w:t>2.2.1  招标文件的解释权归招标人所有，招标人有权在法律允许范围内调整本次招标活动的细节及保留最终解释权。</w:t>
      </w:r>
    </w:p>
    <w:p>
      <w:pPr>
        <w:spacing w:line="360" w:lineRule="auto"/>
        <w:ind w:left="718" w:hanging="718" w:hangingChars="342"/>
        <w:jc w:val="left"/>
        <w:rPr>
          <w:rFonts w:ascii="宋体" w:hAnsi="宋体"/>
          <w:color w:val="auto"/>
          <w:szCs w:val="21"/>
          <w:highlight w:val="none"/>
        </w:rPr>
      </w:pPr>
      <w:r>
        <w:rPr>
          <w:rFonts w:hint="eastAsia" w:ascii="宋体" w:hAnsi="宋体"/>
          <w:color w:val="auto"/>
          <w:szCs w:val="21"/>
          <w:highlight w:val="none"/>
        </w:rPr>
        <w:t>2.2.2  招标人不受将合同授予任何投标人的约束，招标人有权接受任何一份投标文件的全部或部分内容。</w:t>
      </w:r>
    </w:p>
    <w:p>
      <w:pPr>
        <w:spacing w:line="360" w:lineRule="auto"/>
        <w:ind w:left="718" w:hanging="718" w:hangingChars="342"/>
        <w:jc w:val="left"/>
        <w:rPr>
          <w:rFonts w:ascii="宋体" w:hAnsi="宋体"/>
          <w:color w:val="auto"/>
          <w:szCs w:val="21"/>
          <w:highlight w:val="none"/>
        </w:rPr>
      </w:pPr>
      <w:r>
        <w:rPr>
          <w:rFonts w:hint="eastAsia" w:ascii="宋体" w:hAnsi="宋体"/>
          <w:color w:val="auto"/>
          <w:szCs w:val="21"/>
          <w:highlight w:val="none"/>
        </w:rPr>
        <w:t>2.2.3  招标人向投标人提供的资料和数据，是招标人现有的能使投标人利用的资料，招标人对投标人由此而作出的推论、理解和结论概不负责。</w:t>
      </w:r>
    </w:p>
    <w:p>
      <w:pPr>
        <w:spacing w:line="360" w:lineRule="auto"/>
        <w:ind w:left="718" w:hanging="718" w:hangingChars="342"/>
        <w:jc w:val="left"/>
        <w:rPr>
          <w:rFonts w:ascii="宋体" w:hAnsi="宋体"/>
          <w:color w:val="auto"/>
          <w:szCs w:val="21"/>
          <w:highlight w:val="none"/>
        </w:rPr>
      </w:pPr>
      <w:r>
        <w:rPr>
          <w:rFonts w:hint="eastAsia" w:ascii="宋体" w:hAnsi="宋体"/>
          <w:color w:val="auto"/>
          <w:szCs w:val="21"/>
          <w:highlight w:val="none"/>
        </w:rPr>
        <w:t>2.2.4  投标人应承担其现场考察、编制和提交投标文件有关的一切费用、损害和人身伤亡事故责任，不管投标结果如何，招标人对上述费用不负任何责任。</w:t>
      </w:r>
    </w:p>
    <w:p>
      <w:pPr>
        <w:spacing w:line="360" w:lineRule="auto"/>
        <w:ind w:left="718" w:hanging="718" w:hangingChars="342"/>
        <w:rPr>
          <w:rFonts w:ascii="宋体" w:hAnsi="宋体"/>
          <w:color w:val="auto"/>
          <w:szCs w:val="21"/>
          <w:highlight w:val="none"/>
        </w:rPr>
      </w:pPr>
      <w:r>
        <w:rPr>
          <w:rFonts w:hint="eastAsia" w:ascii="宋体" w:hAnsi="宋体"/>
          <w:color w:val="auto"/>
          <w:szCs w:val="21"/>
          <w:highlight w:val="none"/>
        </w:rPr>
        <w:t>2.2.5  招标人对投标人的失误不负任何责任，投标人应指定一名投标事务负责人，专门负责跟踪、接收、阅读和理解招标文件及随后收到的有关资料，向招标人发出质疑，检查投标文件，协助有关人员尽力克服各种投标失误。</w:t>
      </w:r>
    </w:p>
    <w:p>
      <w:pPr>
        <w:spacing w:line="360" w:lineRule="auto"/>
        <w:ind w:left="718" w:hanging="718" w:hangingChars="342"/>
        <w:jc w:val="left"/>
        <w:rPr>
          <w:rFonts w:ascii="宋体" w:hAnsi="宋体"/>
          <w:color w:val="auto"/>
          <w:highlight w:val="none"/>
        </w:rPr>
      </w:pPr>
      <w:r>
        <w:rPr>
          <w:rFonts w:hint="eastAsia" w:ascii="宋体" w:hAnsi="宋体"/>
          <w:color w:val="auto"/>
          <w:highlight w:val="none"/>
        </w:rPr>
        <w:t>2.2.6  评标委员会成员</w:t>
      </w:r>
      <w:r>
        <w:rPr>
          <w:rFonts w:hint="eastAsia" w:ascii="宋体" w:hAnsi="宋体"/>
          <w:color w:val="auto"/>
          <w:szCs w:val="21"/>
          <w:highlight w:val="none"/>
        </w:rPr>
        <w:t>应承担其参加评标有关的一切费用、损害和人身伤亡事故责任，招标人除提供评标酬金和差旅费用外，对其他费用不负任何责任。</w:t>
      </w:r>
    </w:p>
    <w:p>
      <w:pPr>
        <w:spacing w:line="360" w:lineRule="auto"/>
        <w:ind w:left="718" w:hanging="718" w:hangingChars="342"/>
        <w:rPr>
          <w:rFonts w:ascii="宋体" w:hAnsi="宋体"/>
          <w:color w:val="auto"/>
          <w:szCs w:val="21"/>
          <w:highlight w:val="none"/>
        </w:rPr>
      </w:pPr>
      <w:r>
        <w:rPr>
          <w:rFonts w:hint="eastAsia" w:ascii="宋体" w:hAnsi="宋体"/>
          <w:color w:val="auto"/>
          <w:highlight w:val="none"/>
        </w:rPr>
        <w:t xml:space="preserve">2.2.7  </w:t>
      </w:r>
      <w:r>
        <w:rPr>
          <w:rFonts w:hint="eastAsia" w:ascii="宋体" w:hAnsi="宋体"/>
          <w:color w:val="auto"/>
          <w:szCs w:val="21"/>
          <w:highlight w:val="none"/>
        </w:rPr>
        <w:t>如果投标人实质上不符合投标资格，即使已购买招标文件、参加投标并缴纳各种费用，招标人可以随时取消其投标或中标资格，招标人对该投标人的一切损失不负任何责任。</w:t>
      </w:r>
    </w:p>
    <w:p>
      <w:pPr>
        <w:spacing w:line="360" w:lineRule="auto"/>
        <w:ind w:left="718" w:hanging="718" w:hangingChars="342"/>
        <w:rPr>
          <w:rFonts w:ascii="宋体" w:hAnsi="宋体"/>
          <w:color w:val="auto"/>
          <w:szCs w:val="21"/>
          <w:highlight w:val="none"/>
        </w:rPr>
      </w:pPr>
      <w:r>
        <w:rPr>
          <w:rFonts w:ascii="宋体" w:hAnsi="宋体"/>
          <w:color w:val="auto"/>
          <w:szCs w:val="21"/>
          <w:highlight w:val="none"/>
        </w:rPr>
        <w:t>2.2.8</w:t>
      </w:r>
      <w:r>
        <w:rPr>
          <w:rFonts w:hint="eastAsia" w:ascii="宋体" w:hAnsi="宋体"/>
          <w:color w:val="auto"/>
          <w:szCs w:val="21"/>
          <w:highlight w:val="none"/>
        </w:rPr>
        <w:t xml:space="preserve">  </w:t>
      </w:r>
      <w:r>
        <w:rPr>
          <w:rFonts w:hint="eastAsia" w:ascii="宋体" w:hAnsi="宋体"/>
          <w:color w:val="auto"/>
          <w:szCs w:val="21"/>
          <w:highlight w:val="none"/>
          <w:u w:val="single"/>
        </w:rPr>
        <w:t>招标人有权使用领取补偿费的未中标单位的设计方案（不需另付给使用费）。</w:t>
      </w:r>
    </w:p>
    <w:p>
      <w:pPr>
        <w:spacing w:line="360" w:lineRule="auto"/>
        <w:ind w:left="718" w:hanging="718" w:hangingChars="342"/>
        <w:rPr>
          <w:rFonts w:ascii="宋体" w:hAnsi="宋体"/>
          <w:color w:val="auto"/>
          <w:szCs w:val="21"/>
          <w:highlight w:val="none"/>
        </w:rPr>
      </w:pPr>
    </w:p>
    <w:p>
      <w:pPr>
        <w:spacing w:line="360" w:lineRule="auto"/>
        <w:rPr>
          <w:rFonts w:ascii="宋体" w:hAnsi="宋体"/>
          <w:b/>
          <w:color w:val="auto"/>
          <w:highlight w:val="none"/>
        </w:rPr>
      </w:pPr>
      <w:r>
        <w:rPr>
          <w:rFonts w:hint="eastAsia" w:ascii="宋体" w:hAnsi="宋体"/>
          <w:b/>
          <w:color w:val="auto"/>
          <w:highlight w:val="none"/>
        </w:rPr>
        <w:t>2.3    招标文件效力</w:t>
      </w:r>
    </w:p>
    <w:p>
      <w:pPr>
        <w:spacing w:line="360" w:lineRule="auto"/>
        <w:ind w:left="718" w:hanging="718" w:hangingChars="342"/>
        <w:jc w:val="left"/>
        <w:rPr>
          <w:rFonts w:ascii="宋体" w:hAnsi="宋体"/>
          <w:color w:val="auto"/>
          <w:highlight w:val="none"/>
        </w:rPr>
      </w:pPr>
      <w:r>
        <w:rPr>
          <w:rFonts w:hint="eastAsia" w:ascii="宋体" w:hAnsi="宋体"/>
          <w:color w:val="auto"/>
          <w:highlight w:val="none"/>
        </w:rPr>
        <w:t>2.3.1  招标文件是招标人发出的</w:t>
      </w:r>
      <w:r>
        <w:rPr>
          <w:rFonts w:ascii="宋体" w:hAnsi="宋体"/>
          <w:color w:val="auto"/>
          <w:highlight w:val="none"/>
        </w:rPr>
        <w:t>要约寻求</w:t>
      </w:r>
      <w:r>
        <w:rPr>
          <w:rFonts w:hint="eastAsia" w:ascii="宋体" w:hAnsi="宋体"/>
          <w:color w:val="auto"/>
          <w:highlight w:val="none"/>
        </w:rPr>
        <w:t>，投标人参加投标均视为承认招标公告、招标文件及附录的所有条款</w:t>
      </w:r>
      <w:r>
        <w:rPr>
          <w:rFonts w:ascii="宋体" w:hAnsi="宋体"/>
          <w:color w:val="auto"/>
          <w:highlight w:val="none"/>
        </w:rPr>
        <w:t>,</w:t>
      </w:r>
      <w:r>
        <w:rPr>
          <w:rFonts w:hint="eastAsia" w:ascii="宋体" w:hAnsi="宋体"/>
          <w:color w:val="auto"/>
          <w:highlight w:val="none"/>
        </w:rPr>
        <w:t>并承诺一旦中标将按招标文件、投标文件、合同条款、技术规范要求的质量和进度完成全部委托任务。</w:t>
      </w:r>
    </w:p>
    <w:p>
      <w:pPr>
        <w:spacing w:line="360" w:lineRule="auto"/>
        <w:ind w:left="718" w:hanging="718" w:hangingChars="342"/>
        <w:rPr>
          <w:rFonts w:ascii="宋体" w:hAnsi="宋体"/>
          <w:color w:val="auto"/>
          <w:highlight w:val="none"/>
        </w:rPr>
      </w:pPr>
      <w:r>
        <w:rPr>
          <w:rFonts w:hint="eastAsia" w:ascii="宋体" w:hAnsi="宋体"/>
          <w:color w:val="auto"/>
          <w:highlight w:val="none"/>
        </w:rPr>
        <w:t>2.3.2  招标人或招标代理机构与投标人之间使用电子邮箱传送的文件，与公开登载的文件或者盖章发出的文件一样具有同等效力。</w:t>
      </w:r>
    </w:p>
    <w:p>
      <w:pPr>
        <w:spacing w:line="360" w:lineRule="auto"/>
        <w:rPr>
          <w:rFonts w:ascii="宋体" w:hAnsi="宋体"/>
          <w:color w:val="auto"/>
          <w:highlight w:val="none"/>
        </w:rPr>
      </w:pPr>
      <w:r>
        <w:rPr>
          <w:rFonts w:hint="eastAsia" w:ascii="宋体" w:hAnsi="宋体"/>
          <w:color w:val="auto"/>
          <w:highlight w:val="none"/>
        </w:rPr>
        <w:t>2.3.3  招标人通过交易服务机构公开登载的文件，与盖章发出的文件一样具有同等效力。</w:t>
      </w:r>
    </w:p>
    <w:p>
      <w:pPr>
        <w:spacing w:line="360" w:lineRule="auto"/>
        <w:rPr>
          <w:rFonts w:ascii="宋体" w:hAnsi="宋体"/>
          <w:color w:val="auto"/>
          <w:highlight w:val="none"/>
        </w:rPr>
      </w:pPr>
    </w:p>
    <w:p>
      <w:pPr>
        <w:spacing w:line="360" w:lineRule="auto"/>
        <w:jc w:val="left"/>
        <w:rPr>
          <w:rFonts w:ascii="宋体" w:hAnsi="宋体"/>
          <w:b/>
          <w:color w:val="auto"/>
          <w:szCs w:val="21"/>
          <w:highlight w:val="none"/>
          <w:u w:val="single"/>
        </w:rPr>
      </w:pPr>
      <w:r>
        <w:rPr>
          <w:rFonts w:hint="eastAsia" w:ascii="宋体" w:hAnsi="宋体"/>
          <w:b/>
          <w:color w:val="auto"/>
          <w:szCs w:val="21"/>
          <w:highlight w:val="none"/>
          <w:u w:val="single"/>
        </w:rPr>
        <w:t>2.4    交易服务费</w:t>
      </w:r>
    </w:p>
    <w:p>
      <w:pPr>
        <w:spacing w:line="360" w:lineRule="auto"/>
        <w:rPr>
          <w:rFonts w:ascii="宋体" w:hAnsi="宋体"/>
          <w:color w:val="auto"/>
          <w:szCs w:val="21"/>
          <w:highlight w:val="none"/>
          <w:u w:val="single"/>
        </w:rPr>
      </w:pPr>
      <w:r>
        <w:rPr>
          <w:rFonts w:hint="eastAsia" w:ascii="宋体" w:hAnsi="宋体"/>
          <w:color w:val="auto"/>
          <w:szCs w:val="21"/>
          <w:highlight w:val="none"/>
          <w:u w:val="single"/>
        </w:rPr>
        <w:t>2.4.1  中标人缴纳交易服务费，其费用包含在中标人投标报价中。</w:t>
      </w:r>
    </w:p>
    <w:p>
      <w:pPr>
        <w:spacing w:line="360" w:lineRule="auto"/>
        <w:rPr>
          <w:rFonts w:ascii="宋体" w:hAnsi="宋体"/>
          <w:color w:val="auto"/>
          <w:highlight w:val="none"/>
        </w:rPr>
      </w:pPr>
    </w:p>
    <w:p>
      <w:pPr>
        <w:spacing w:line="360" w:lineRule="auto"/>
        <w:rPr>
          <w:rFonts w:ascii="宋体" w:hAnsi="宋体"/>
          <w:dstrike/>
          <w:color w:val="auto"/>
          <w:highlight w:val="none"/>
        </w:rPr>
      </w:pPr>
    </w:p>
    <w:p>
      <w:pPr>
        <w:rPr>
          <w:rFonts w:ascii="宋体" w:hAnsi="宋体"/>
          <w:dstrike/>
          <w:color w:val="auto"/>
          <w:highlight w:val="none"/>
        </w:rPr>
      </w:pPr>
    </w:p>
    <w:p>
      <w:pPr>
        <w:rPr>
          <w:rFonts w:ascii="宋体" w:hAnsi="宋体"/>
          <w:dstrike/>
          <w:color w:val="auto"/>
          <w:highlight w:val="none"/>
        </w:rPr>
      </w:pPr>
    </w:p>
    <w:p>
      <w:pPr>
        <w:rPr>
          <w:rFonts w:ascii="宋体" w:hAnsi="宋体"/>
          <w:color w:val="auto"/>
          <w:highlight w:val="none"/>
        </w:rPr>
      </w:pPr>
    </w:p>
    <w:p>
      <w:pPr>
        <w:spacing w:line="360" w:lineRule="auto"/>
        <w:rPr>
          <w:rFonts w:ascii="宋体" w:hAnsi="宋体"/>
          <w:dstrike/>
          <w:color w:val="auto"/>
          <w:highlight w:val="none"/>
        </w:rPr>
      </w:pPr>
    </w:p>
    <w:p>
      <w:pPr>
        <w:rPr>
          <w:rFonts w:ascii="宋体" w:hAnsi="宋体"/>
          <w:dstrike/>
          <w:color w:val="auto"/>
          <w:highlight w:val="none"/>
        </w:rPr>
      </w:pPr>
    </w:p>
    <w:p>
      <w:pPr>
        <w:rPr>
          <w:rFonts w:ascii="宋体" w:hAnsi="宋体"/>
          <w:dstrike/>
          <w:color w:val="auto"/>
          <w:highlight w:val="none"/>
        </w:rPr>
      </w:pPr>
    </w:p>
    <w:p>
      <w:pPr>
        <w:spacing w:line="360" w:lineRule="auto"/>
        <w:jc w:val="center"/>
        <w:rPr>
          <w:rFonts w:ascii="宋体" w:hAnsi="宋体"/>
          <w:b/>
          <w:color w:val="auto"/>
          <w:sz w:val="36"/>
          <w:szCs w:val="36"/>
          <w:highlight w:val="none"/>
        </w:rPr>
      </w:pPr>
    </w:p>
    <w:p>
      <w:pPr>
        <w:spacing w:line="360" w:lineRule="auto"/>
        <w:jc w:val="center"/>
        <w:rPr>
          <w:rFonts w:ascii="宋体" w:hAnsi="宋体"/>
          <w:b/>
          <w:color w:val="auto"/>
          <w:sz w:val="36"/>
          <w:szCs w:val="36"/>
          <w:highlight w:val="none"/>
        </w:rPr>
      </w:pPr>
    </w:p>
    <w:p>
      <w:pPr>
        <w:spacing w:line="360" w:lineRule="auto"/>
        <w:jc w:val="center"/>
        <w:outlineLvl w:val="0"/>
        <w:rPr>
          <w:rFonts w:ascii="宋体" w:hAnsi="宋体"/>
          <w:b/>
          <w:color w:val="auto"/>
          <w:sz w:val="36"/>
          <w:szCs w:val="36"/>
          <w:highlight w:val="none"/>
        </w:rPr>
      </w:pPr>
      <w:r>
        <w:rPr>
          <w:rFonts w:hint="eastAsia" w:ascii="宋体" w:hAnsi="宋体"/>
          <w:b/>
          <w:color w:val="auto"/>
          <w:sz w:val="36"/>
          <w:szCs w:val="36"/>
          <w:highlight w:val="none"/>
        </w:rPr>
        <w:br w:type="page"/>
      </w:r>
      <w:bookmarkStart w:id="6" w:name="_Toc7766"/>
      <w:bookmarkStart w:id="7" w:name="_Toc13928"/>
      <w:bookmarkStart w:id="8" w:name="_Toc99463980"/>
      <w:r>
        <w:rPr>
          <w:rFonts w:hint="eastAsia" w:ascii="宋体" w:hAnsi="宋体"/>
          <w:b/>
          <w:color w:val="auto"/>
          <w:sz w:val="36"/>
          <w:szCs w:val="36"/>
          <w:highlight w:val="none"/>
        </w:rPr>
        <w:t>第三章  投标</w:t>
      </w:r>
      <w:bookmarkEnd w:id="6"/>
      <w:bookmarkEnd w:id="7"/>
      <w:bookmarkEnd w:id="8"/>
    </w:p>
    <w:p>
      <w:pPr>
        <w:rPr>
          <w:rFonts w:ascii="宋体" w:hAnsi="宋体"/>
          <w:color w:val="auto"/>
          <w:highlight w:val="none"/>
        </w:rPr>
      </w:pPr>
    </w:p>
    <w:p>
      <w:pPr>
        <w:spacing w:line="360" w:lineRule="auto"/>
        <w:jc w:val="left"/>
        <w:rPr>
          <w:rFonts w:ascii="宋体" w:hAnsi="宋体"/>
          <w:b/>
          <w:color w:val="auto"/>
          <w:highlight w:val="none"/>
        </w:rPr>
      </w:pPr>
      <w:r>
        <w:rPr>
          <w:rFonts w:hint="eastAsia" w:ascii="宋体" w:hAnsi="宋体"/>
          <w:b/>
          <w:color w:val="auto"/>
          <w:highlight w:val="none"/>
        </w:rPr>
        <w:t>3.1    现场考察</w:t>
      </w:r>
    </w:p>
    <w:p>
      <w:pPr>
        <w:spacing w:line="360" w:lineRule="auto"/>
        <w:rPr>
          <w:rFonts w:ascii="宋体" w:hAnsi="宋体"/>
          <w:color w:val="auto"/>
          <w:szCs w:val="21"/>
          <w:highlight w:val="none"/>
          <w:u w:val="single"/>
        </w:rPr>
      </w:pPr>
      <w:r>
        <w:rPr>
          <w:rFonts w:hint="eastAsia" w:ascii="宋体" w:hAnsi="宋体"/>
          <w:color w:val="auto"/>
          <w:szCs w:val="21"/>
          <w:highlight w:val="none"/>
        </w:rPr>
        <w:t xml:space="preserve">3.1.1  </w:t>
      </w:r>
      <w:r>
        <w:rPr>
          <w:rFonts w:hint="eastAsia" w:ascii="宋体" w:hAnsi="宋体"/>
          <w:color w:val="auto"/>
          <w:szCs w:val="21"/>
          <w:highlight w:val="none"/>
          <w:u w:val="single"/>
        </w:rPr>
        <w:t>时间：不统一组织现场考察，请各投标人自行考察（费用自理）。</w:t>
      </w:r>
    </w:p>
    <w:p>
      <w:pPr>
        <w:spacing w:line="360" w:lineRule="auto"/>
        <w:jc w:val="left"/>
        <w:rPr>
          <w:rFonts w:ascii="宋体" w:hAnsi="宋体"/>
          <w:color w:val="auto"/>
          <w:highlight w:val="none"/>
        </w:rPr>
      </w:pPr>
      <w:r>
        <w:rPr>
          <w:rFonts w:hint="eastAsia" w:ascii="宋体" w:hAnsi="宋体"/>
          <w:color w:val="auto"/>
          <w:szCs w:val="21"/>
          <w:highlight w:val="none"/>
        </w:rPr>
        <w:t xml:space="preserve">3.1.2  </w:t>
      </w:r>
      <w:r>
        <w:rPr>
          <w:rFonts w:hint="eastAsia" w:ascii="宋体" w:hAnsi="宋体"/>
          <w:color w:val="auto"/>
          <w:szCs w:val="21"/>
          <w:highlight w:val="none"/>
          <w:u w:val="single"/>
        </w:rPr>
        <w:t>地点：不统一组织现场考察，请各投标人自行考察（费用自理）。</w:t>
      </w:r>
    </w:p>
    <w:p>
      <w:pPr>
        <w:spacing w:line="360" w:lineRule="auto"/>
        <w:jc w:val="left"/>
        <w:rPr>
          <w:rFonts w:ascii="宋体" w:hAnsi="宋体"/>
          <w:color w:val="auto"/>
          <w:highlight w:val="none"/>
        </w:rPr>
      </w:pPr>
    </w:p>
    <w:p>
      <w:pPr>
        <w:spacing w:line="360" w:lineRule="auto"/>
        <w:rPr>
          <w:rFonts w:ascii="宋体" w:hAnsi="宋体"/>
          <w:color w:val="auto"/>
          <w:highlight w:val="none"/>
        </w:rPr>
      </w:pPr>
      <w:r>
        <w:rPr>
          <w:rFonts w:hint="eastAsia" w:ascii="宋体" w:hAnsi="宋体"/>
          <w:b/>
          <w:bCs/>
          <w:color w:val="auto"/>
          <w:highlight w:val="none"/>
        </w:rPr>
        <w:t>3.2    质疑和澄清</w:t>
      </w:r>
    </w:p>
    <w:p>
      <w:pPr>
        <w:spacing w:line="360" w:lineRule="auto"/>
        <w:ind w:left="718" w:hanging="718" w:hangingChars="342"/>
        <w:jc w:val="left"/>
        <w:rPr>
          <w:rFonts w:ascii="宋体" w:hAnsi="宋体"/>
          <w:color w:val="auto"/>
          <w:highlight w:val="none"/>
        </w:rPr>
      </w:pPr>
      <w:r>
        <w:rPr>
          <w:rFonts w:hint="eastAsia" w:ascii="宋体" w:hAnsi="宋体"/>
          <w:color w:val="auto"/>
          <w:highlight w:val="none"/>
        </w:rPr>
        <w:t>3.2.1  投标人应认真审阅招标文件和有关资料，</w:t>
      </w:r>
      <w:r>
        <w:rPr>
          <w:rFonts w:ascii="宋体" w:hAnsi="宋体"/>
          <w:color w:val="auto"/>
          <w:highlight w:val="none"/>
        </w:rPr>
        <w:t>尽力澄清一切疑点</w:t>
      </w:r>
      <w:r>
        <w:rPr>
          <w:rFonts w:hint="eastAsia" w:ascii="宋体" w:hAnsi="宋体"/>
          <w:color w:val="auto"/>
          <w:highlight w:val="none"/>
        </w:rPr>
        <w:t>，对工程现场和周围环境进行勘察，以获取编制投标文件和签署合同所需的所有资料。</w:t>
      </w:r>
    </w:p>
    <w:p>
      <w:pPr>
        <w:spacing w:line="360" w:lineRule="auto"/>
        <w:ind w:left="718" w:hanging="718" w:hangingChars="342"/>
        <w:jc w:val="left"/>
        <w:rPr>
          <w:rFonts w:ascii="宋体" w:hAnsi="宋体"/>
          <w:color w:val="auto"/>
          <w:highlight w:val="none"/>
        </w:rPr>
      </w:pPr>
      <w:r>
        <w:rPr>
          <w:rFonts w:hint="eastAsia" w:ascii="宋体" w:hAnsi="宋体"/>
          <w:color w:val="auto"/>
          <w:highlight w:val="none"/>
        </w:rPr>
        <w:t xml:space="preserve">3.2.2  </w:t>
      </w:r>
      <w:r>
        <w:rPr>
          <w:rFonts w:hint="eastAsia" w:ascii="宋体" w:hAnsi="宋体"/>
          <w:color w:val="auto"/>
          <w:szCs w:val="21"/>
          <w:highlight w:val="none"/>
        </w:rPr>
        <w:t>投标人和其他利害关系人</w:t>
      </w:r>
      <w:r>
        <w:rPr>
          <w:rFonts w:hint="eastAsia" w:ascii="宋体" w:hAnsi="宋体"/>
          <w:color w:val="auto"/>
          <w:highlight w:val="none"/>
        </w:rPr>
        <w:t>如对招标文件及随后收到的有关资料有任何异议的，应当在投标截止时间10日前向招标人提出。招标人应当自收到异议之日起3日内作出答复；作出答复前，应当暂停招标投标活动。</w:t>
      </w:r>
    </w:p>
    <w:p>
      <w:pPr>
        <w:spacing w:line="360" w:lineRule="auto"/>
        <w:ind w:left="718" w:hanging="718" w:hangingChars="342"/>
        <w:rPr>
          <w:rFonts w:ascii="宋体" w:hAnsi="宋体"/>
          <w:color w:val="auto"/>
          <w:highlight w:val="none"/>
        </w:rPr>
      </w:pPr>
      <w:r>
        <w:rPr>
          <w:rFonts w:hint="eastAsia" w:ascii="宋体" w:hAnsi="宋体"/>
          <w:color w:val="auto"/>
          <w:highlight w:val="none"/>
        </w:rPr>
        <w:t xml:space="preserve">3.2.3  </w:t>
      </w:r>
      <w:r>
        <w:rPr>
          <w:rFonts w:hint="eastAsia" w:ascii="宋体" w:hAnsi="宋体" w:cs="宋体"/>
          <w:color w:val="auto"/>
          <w:szCs w:val="21"/>
          <w:highlight w:val="none"/>
        </w:rPr>
        <w:t>投标人需要澄清的问题应在规定的时间内</w:t>
      </w:r>
      <w:r>
        <w:rPr>
          <w:rFonts w:hint="eastAsia" w:ascii="宋体" w:hAnsi="宋体" w:cs="宋体"/>
          <w:color w:val="auto"/>
          <w:szCs w:val="21"/>
          <w:highlight w:val="none"/>
          <w:u w:val="single"/>
        </w:rPr>
        <w:t>（招标公告开始发布后至投标截止时间前18日）</w:t>
      </w:r>
      <w:r>
        <w:rPr>
          <w:rFonts w:hint="eastAsia" w:ascii="宋体" w:hAnsi="宋体" w:cs="宋体"/>
          <w:color w:val="auto"/>
          <w:szCs w:val="21"/>
          <w:highlight w:val="none"/>
        </w:rPr>
        <w:t>，按交易平台的操作指引上传至交易平台网站。招标人应在递交投标文件截止时间15日前解答投标人对招标文件提出的疑问，形成澄清或答疑纪要在交易平台发布。不足15日的，招标人应当顺延投标文件的截止时间。</w:t>
      </w:r>
      <w:r>
        <w:rPr>
          <w:rFonts w:hint="eastAsia" w:ascii="宋体" w:hAnsi="宋体" w:cs="宋体"/>
          <w:color w:val="auto"/>
          <w:szCs w:val="21"/>
          <w:highlight w:val="none"/>
          <w:u w:val="single"/>
        </w:rPr>
        <w:t>投标人应在投标截止时间前18日停止质疑。招标人对已发出的招标文件进行必要的澄清或者修改的，将统一整理为按时序编号的补充材料，在交易中心网站“项目查询（日程安排、答疑纪要）”中公开登载。</w:t>
      </w:r>
      <w:r>
        <w:rPr>
          <w:rFonts w:hint="eastAsia" w:ascii="宋体" w:hAnsi="宋体"/>
          <w:color w:val="auto"/>
          <w:szCs w:val="21"/>
          <w:highlight w:val="none"/>
          <w:u w:val="single"/>
        </w:rPr>
        <w:t>网上答疑的操作指南为：登陆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r>
        <w:rPr>
          <w:rFonts w:hint="eastAsia" w:ascii="宋体" w:hAnsi="宋体" w:cs="宋体"/>
          <w:color w:val="auto"/>
          <w:szCs w:val="21"/>
          <w:highlight w:val="none"/>
          <w:u w:val="single"/>
        </w:rPr>
        <w:t>以及查看所有的问题。</w:t>
      </w:r>
    </w:p>
    <w:p>
      <w:pPr>
        <w:spacing w:line="360" w:lineRule="auto"/>
        <w:ind w:left="718" w:hanging="718" w:hangingChars="342"/>
        <w:jc w:val="left"/>
        <w:rPr>
          <w:rFonts w:ascii="宋体" w:hAnsi="宋体"/>
          <w:color w:val="auto"/>
          <w:szCs w:val="21"/>
          <w:highlight w:val="none"/>
        </w:rPr>
      </w:pPr>
      <w:r>
        <w:rPr>
          <w:rFonts w:hint="eastAsia" w:ascii="宋体" w:hAnsi="宋体"/>
          <w:color w:val="auto"/>
          <w:szCs w:val="21"/>
          <w:highlight w:val="none"/>
        </w:rPr>
        <w:t>3.2.4  澄清或答疑纪要是招标文件的组成部分，对投标人起约束作用。若招标答疑纪要或澄清与招标文件有矛盾时，以交易平台网站最后发布的答疑纪要或澄清为准。</w:t>
      </w:r>
    </w:p>
    <w:p>
      <w:pPr>
        <w:spacing w:line="360" w:lineRule="auto"/>
        <w:ind w:left="718" w:hanging="718" w:hangingChars="342"/>
        <w:rPr>
          <w:rFonts w:ascii="宋体" w:hAnsi="宋体"/>
          <w:color w:val="auto"/>
          <w:highlight w:val="none"/>
        </w:rPr>
      </w:pPr>
      <w:r>
        <w:rPr>
          <w:rFonts w:hint="eastAsia" w:ascii="宋体" w:hAnsi="宋体"/>
          <w:color w:val="auto"/>
          <w:highlight w:val="none"/>
        </w:rPr>
        <w:t xml:space="preserve">3.2.5  </w:t>
      </w:r>
      <w:r>
        <w:rPr>
          <w:rFonts w:hint="eastAsia" w:ascii="宋体" w:hAnsi="宋体"/>
          <w:color w:val="auto"/>
          <w:szCs w:val="21"/>
          <w:highlight w:val="none"/>
          <w:u w:val="single"/>
        </w:rPr>
        <w:t>招标文件的澄清或修改在广州公共资源交易中心网站发布。招标文件的澄清或修改一经在广州公共资源交易中心网站发布，视作已发放给所有投标人。网上答疑的具体操作详见交易平台发布的相关操作指引。</w:t>
      </w: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b/>
          <w:bCs/>
          <w:color w:val="auto"/>
          <w:highlight w:val="none"/>
        </w:rPr>
        <w:t>3.3    投标文件编制要求</w:t>
      </w:r>
    </w:p>
    <w:p>
      <w:pPr>
        <w:spacing w:line="360" w:lineRule="auto"/>
        <w:ind w:left="708" w:hanging="707" w:hangingChars="337"/>
        <w:rPr>
          <w:rFonts w:ascii="宋体" w:hAnsi="宋体"/>
          <w:color w:val="auto"/>
          <w:highlight w:val="none"/>
        </w:rPr>
      </w:pPr>
      <w:r>
        <w:rPr>
          <w:rFonts w:hint="eastAsia" w:ascii="宋体" w:hAnsi="宋体"/>
          <w:color w:val="auto"/>
          <w:highlight w:val="none"/>
        </w:rPr>
        <w:t>3.3.1  投标文件应做到清晰、完整，文本、图纸文件大小应满足交易平台的要求。除非另有规定，否则投标文件的计量单位宜采用国际标准计量单位，尺寸齐全、准确，所有文字说明和文字标注以中文为准，报价均为人民币，时间均为北京时间。</w:t>
      </w:r>
    </w:p>
    <w:p>
      <w:pPr>
        <w:spacing w:line="360" w:lineRule="auto"/>
        <w:ind w:left="840" w:hanging="840" w:hangingChars="400"/>
        <w:rPr>
          <w:rFonts w:ascii="宋体" w:hAnsi="宋体"/>
          <w:color w:val="auto"/>
          <w:highlight w:val="none"/>
        </w:rPr>
      </w:pPr>
      <w:r>
        <w:rPr>
          <w:rFonts w:hint="eastAsia" w:ascii="宋体" w:hAnsi="宋体"/>
          <w:color w:val="auto"/>
          <w:highlight w:val="none"/>
        </w:rPr>
        <w:t>3.3.2  每个投标人报送一个投标方案，投标文件应达到招标文件规定的深度，满足评审需要。不响应招标文件要求的投标文件可能被拒绝，责任由投标人自负。</w:t>
      </w:r>
    </w:p>
    <w:p>
      <w:pPr>
        <w:spacing w:line="360" w:lineRule="auto"/>
        <w:ind w:left="708" w:hanging="707" w:hangingChars="337"/>
        <w:rPr>
          <w:rFonts w:ascii="宋体" w:hAnsi="宋体"/>
          <w:color w:val="auto"/>
          <w:highlight w:val="none"/>
        </w:rPr>
      </w:pPr>
      <w:r>
        <w:rPr>
          <w:rFonts w:hint="eastAsia" w:ascii="宋体" w:hAnsi="宋体"/>
          <w:color w:val="auto"/>
          <w:highlight w:val="none"/>
        </w:rPr>
        <w:t>3.3.3  投标文件全部采用电子文档,投标文件所附证书证件均为原件</w:t>
      </w:r>
      <w:r>
        <w:rPr>
          <w:rFonts w:hint="eastAsia" w:ascii="宋体" w:hAnsi="宋体"/>
          <w:color w:val="auto"/>
          <w:highlight w:val="none"/>
          <w:u w:val="single"/>
        </w:rPr>
        <w:t>清晰</w:t>
      </w:r>
      <w:r>
        <w:rPr>
          <w:rFonts w:hint="eastAsia" w:ascii="宋体" w:hAnsi="宋体"/>
          <w:color w:val="auto"/>
          <w:highlight w:val="none"/>
        </w:rPr>
        <w:t>扫描件或电子证书，并采用单位数字证书，按招标文件要求在相应位置加盖电子印章，投标文件中需个人签字或盖章的，应</w:t>
      </w:r>
      <w:r>
        <w:rPr>
          <w:rFonts w:hint="eastAsia" w:ascii="宋体" w:hAnsi="宋体"/>
          <w:color w:val="auto"/>
          <w:highlight w:val="none"/>
          <w:u w:val="single"/>
        </w:rPr>
        <w:t>在线下完成</w:t>
      </w:r>
      <w:r>
        <w:rPr>
          <w:rFonts w:hint="eastAsia" w:ascii="宋体" w:hAnsi="宋体"/>
          <w:color w:val="auto"/>
          <w:highlight w:val="none"/>
        </w:rPr>
        <w:t>后扫描上传，具体操作详见交易平台发布的相关操作指引。</w:t>
      </w:r>
      <w:r>
        <w:rPr>
          <w:rFonts w:hint="eastAsia" w:ascii="宋体" w:hAnsi="宋体"/>
          <w:color w:val="auto"/>
          <w:szCs w:val="21"/>
          <w:highlight w:val="none"/>
          <w:u w:val="single"/>
        </w:rPr>
        <w:t>联合体投标时，《联合体共同投标协议》需填妥并由联合体各方共同签字盖章；《投标人声明》需联合体各方均按要求独自填妥并签字盖章提供；投标文件其他内容落款中的“投标人”应填写联合体各方的单位全称【格式为：(主)XXXX公司(成)XXXX公司】，需要盖章或签字的部分可仅由联合体主办方</w:t>
      </w:r>
      <w:r>
        <w:rPr>
          <w:rFonts w:hint="eastAsia" w:ascii="宋体" w:hAnsi="宋体"/>
          <w:color w:val="auto"/>
          <w:highlight w:val="none"/>
          <w:u w:val="single"/>
        </w:rPr>
        <w:t>（即牵头人）</w:t>
      </w:r>
      <w:r>
        <w:rPr>
          <w:rFonts w:hint="eastAsia" w:ascii="宋体" w:hAnsi="宋体"/>
          <w:color w:val="auto"/>
          <w:szCs w:val="21"/>
          <w:highlight w:val="none"/>
          <w:u w:val="single"/>
        </w:rPr>
        <w:t>盖章或签字，视作符合要求。</w:t>
      </w:r>
    </w:p>
    <w:p>
      <w:pPr>
        <w:spacing w:line="360" w:lineRule="auto"/>
        <w:ind w:left="840" w:hanging="840" w:hangingChars="400"/>
        <w:rPr>
          <w:rFonts w:ascii="宋体" w:hAnsi="宋体"/>
          <w:color w:val="auto"/>
          <w:highlight w:val="none"/>
        </w:rPr>
      </w:pPr>
      <w:r>
        <w:rPr>
          <w:rFonts w:hint="eastAsia" w:ascii="宋体" w:hAnsi="宋体"/>
          <w:color w:val="auto"/>
          <w:highlight w:val="none"/>
        </w:rPr>
        <w:t>3.3.4  投标文件加密要求</w:t>
      </w:r>
    </w:p>
    <w:p>
      <w:pPr>
        <w:spacing w:line="360" w:lineRule="auto"/>
        <w:ind w:left="840" w:hanging="840" w:hangingChars="400"/>
        <w:rPr>
          <w:rFonts w:ascii="宋体" w:hAnsi="宋体"/>
          <w:color w:val="auto"/>
          <w:highlight w:val="none"/>
        </w:rPr>
      </w:pPr>
      <w:r>
        <w:rPr>
          <w:rFonts w:hint="eastAsia" w:ascii="宋体" w:hAnsi="宋体"/>
          <w:color w:val="auto"/>
          <w:highlight w:val="none"/>
        </w:rPr>
        <w:t>3.3.4.1递交的电子投标文件必须进行加密。具体操作详见交易平台发布的相关操作指引。</w:t>
      </w:r>
    </w:p>
    <w:p>
      <w:pPr>
        <w:spacing w:line="360" w:lineRule="auto"/>
        <w:ind w:left="840" w:hanging="840" w:hangingChars="400"/>
        <w:rPr>
          <w:rFonts w:ascii="宋体" w:hAnsi="宋体"/>
          <w:color w:val="auto"/>
          <w:highlight w:val="none"/>
        </w:rPr>
      </w:pPr>
      <w:r>
        <w:rPr>
          <w:rFonts w:hint="eastAsia" w:ascii="宋体" w:hAnsi="宋体"/>
          <w:color w:val="auto"/>
          <w:highlight w:val="none"/>
        </w:rPr>
        <w:t>3.3.4.2 未按要求加密的投标文件，交易平台将予以拒收。</w:t>
      </w:r>
    </w:p>
    <w:p>
      <w:pPr>
        <w:spacing w:line="360" w:lineRule="auto"/>
        <w:rPr>
          <w:rFonts w:ascii="宋体" w:hAnsi="宋体"/>
          <w:color w:val="auto"/>
          <w:highlight w:val="none"/>
        </w:rPr>
      </w:pPr>
    </w:p>
    <w:p>
      <w:pPr>
        <w:spacing w:line="360" w:lineRule="auto"/>
        <w:rPr>
          <w:rFonts w:ascii="宋体" w:hAnsi="宋体"/>
          <w:b/>
          <w:bCs/>
          <w:color w:val="auto"/>
          <w:highlight w:val="none"/>
        </w:rPr>
      </w:pPr>
      <w:r>
        <w:rPr>
          <w:rFonts w:hint="eastAsia" w:ascii="宋体" w:hAnsi="宋体"/>
          <w:b/>
          <w:bCs/>
          <w:color w:val="auto"/>
          <w:highlight w:val="none"/>
        </w:rPr>
        <w:t>3.4    延期</w:t>
      </w:r>
    </w:p>
    <w:p>
      <w:pPr>
        <w:spacing w:line="360" w:lineRule="auto"/>
        <w:ind w:left="718" w:hanging="718" w:hangingChars="342"/>
        <w:rPr>
          <w:rFonts w:ascii="宋体" w:hAnsi="宋体"/>
          <w:color w:val="auto"/>
          <w:highlight w:val="none"/>
        </w:rPr>
      </w:pPr>
      <w:r>
        <w:rPr>
          <w:rFonts w:hint="eastAsia" w:ascii="宋体" w:hAnsi="宋体"/>
          <w:color w:val="auto"/>
          <w:highlight w:val="none"/>
        </w:rPr>
        <w:t>3.4.1  如果招标过程出现监督机构、招标管理机构要求暂停、重新评标等意外情形，招标投标各项期限相应延长</w:t>
      </w:r>
      <w:r>
        <w:rPr>
          <w:rFonts w:ascii="宋体" w:hAnsi="宋体"/>
          <w:color w:val="auto"/>
          <w:kern w:val="0"/>
          <w:highlight w:val="none"/>
        </w:rPr>
        <w:t>。</w:t>
      </w:r>
    </w:p>
    <w:p>
      <w:pPr>
        <w:spacing w:line="360" w:lineRule="auto"/>
        <w:ind w:left="718" w:hanging="718" w:hangingChars="342"/>
        <w:jc w:val="left"/>
        <w:rPr>
          <w:rFonts w:ascii="宋体" w:hAnsi="宋体"/>
          <w:color w:val="auto"/>
          <w:highlight w:val="none"/>
        </w:rPr>
      </w:pPr>
      <w:r>
        <w:rPr>
          <w:rFonts w:hint="eastAsia" w:ascii="宋体" w:hAnsi="宋体"/>
          <w:color w:val="auto"/>
          <w:highlight w:val="none"/>
        </w:rPr>
        <w:t>3.4.2  为使投标人在编制投标文件时把</w:t>
      </w:r>
      <w:r>
        <w:rPr>
          <w:rFonts w:hint="eastAsia" w:ascii="宋体" w:hAnsi="宋体"/>
          <w:color w:val="auto"/>
          <w:kern w:val="0"/>
          <w:highlight w:val="none"/>
        </w:rPr>
        <w:t>招标人</w:t>
      </w:r>
      <w:r>
        <w:rPr>
          <w:rFonts w:ascii="宋体" w:hAnsi="宋体"/>
          <w:color w:val="auto"/>
          <w:kern w:val="0"/>
          <w:highlight w:val="none"/>
        </w:rPr>
        <w:t>对招标文件</w:t>
      </w:r>
      <w:r>
        <w:rPr>
          <w:rFonts w:hint="eastAsia" w:ascii="宋体" w:hAnsi="宋体"/>
          <w:color w:val="auto"/>
          <w:kern w:val="0"/>
          <w:highlight w:val="none"/>
        </w:rPr>
        <w:t>的</w:t>
      </w:r>
      <w:r>
        <w:rPr>
          <w:rFonts w:ascii="宋体" w:hAnsi="宋体"/>
          <w:color w:val="auto"/>
          <w:kern w:val="0"/>
          <w:highlight w:val="none"/>
        </w:rPr>
        <w:t>澄清、修改</w:t>
      </w:r>
      <w:r>
        <w:rPr>
          <w:rFonts w:hint="eastAsia" w:ascii="宋体" w:hAnsi="宋体"/>
          <w:color w:val="auto"/>
          <w:kern w:val="0"/>
          <w:highlight w:val="none"/>
        </w:rPr>
        <w:t>和</w:t>
      </w:r>
      <w:r>
        <w:rPr>
          <w:rFonts w:hint="eastAsia" w:ascii="宋体" w:hAnsi="宋体"/>
          <w:color w:val="auto"/>
          <w:highlight w:val="none"/>
        </w:rPr>
        <w:t>补充内容考虑进去，招标人可以酌情延长提交投标文件的截止日期。</w:t>
      </w:r>
    </w:p>
    <w:p>
      <w:pPr>
        <w:spacing w:line="360" w:lineRule="auto"/>
        <w:ind w:left="718" w:hanging="718" w:hangingChars="342"/>
        <w:rPr>
          <w:rFonts w:ascii="宋体" w:hAnsi="宋体"/>
          <w:color w:val="auto"/>
          <w:highlight w:val="none"/>
        </w:rPr>
      </w:pPr>
      <w:r>
        <w:rPr>
          <w:rFonts w:hint="eastAsia" w:ascii="宋体" w:hAnsi="宋体"/>
          <w:color w:val="auto"/>
          <w:highlight w:val="none"/>
        </w:rPr>
        <w:t xml:space="preserve">3.4.3  </w:t>
      </w:r>
      <w:r>
        <w:rPr>
          <w:rFonts w:ascii="宋体" w:hAnsi="宋体"/>
          <w:color w:val="auto"/>
          <w:kern w:val="0"/>
          <w:highlight w:val="none"/>
        </w:rPr>
        <w:t>某几个</w:t>
      </w:r>
      <w:r>
        <w:rPr>
          <w:rFonts w:hint="eastAsia" w:ascii="宋体" w:hAnsi="宋体"/>
          <w:color w:val="auto"/>
          <w:kern w:val="0"/>
          <w:highlight w:val="none"/>
        </w:rPr>
        <w:t>投标人</w:t>
      </w:r>
      <w:r>
        <w:rPr>
          <w:rFonts w:ascii="宋体" w:hAnsi="宋体"/>
          <w:color w:val="auto"/>
          <w:kern w:val="0"/>
          <w:highlight w:val="none"/>
        </w:rPr>
        <w:t>因无法控制的原因不能</w:t>
      </w:r>
      <w:r>
        <w:rPr>
          <w:rFonts w:hint="eastAsia" w:ascii="宋体" w:hAnsi="宋体"/>
          <w:color w:val="auto"/>
          <w:kern w:val="0"/>
          <w:highlight w:val="none"/>
        </w:rPr>
        <w:t>如</w:t>
      </w:r>
      <w:r>
        <w:rPr>
          <w:rFonts w:ascii="宋体" w:hAnsi="宋体"/>
          <w:color w:val="auto"/>
          <w:kern w:val="0"/>
          <w:highlight w:val="none"/>
        </w:rPr>
        <w:t>期提交投标</w:t>
      </w:r>
      <w:r>
        <w:rPr>
          <w:rFonts w:hint="eastAsia" w:ascii="宋体" w:hAnsi="宋体"/>
          <w:color w:val="auto"/>
          <w:kern w:val="0"/>
          <w:highlight w:val="none"/>
        </w:rPr>
        <w:t>文件</w:t>
      </w:r>
      <w:r>
        <w:rPr>
          <w:rFonts w:ascii="宋体" w:hAnsi="宋体"/>
          <w:color w:val="auto"/>
          <w:kern w:val="0"/>
          <w:highlight w:val="none"/>
        </w:rPr>
        <w:t>，</w:t>
      </w:r>
      <w:r>
        <w:rPr>
          <w:rFonts w:hint="eastAsia" w:ascii="宋体" w:hAnsi="宋体"/>
          <w:color w:val="auto"/>
          <w:kern w:val="0"/>
          <w:highlight w:val="none"/>
        </w:rPr>
        <w:t>影响到提交投标文件的人数少于三人，招标人</w:t>
      </w:r>
      <w:r>
        <w:rPr>
          <w:rFonts w:ascii="宋体" w:hAnsi="宋体"/>
          <w:color w:val="auto"/>
          <w:kern w:val="0"/>
          <w:highlight w:val="none"/>
        </w:rPr>
        <w:t>可以决定展延截止日期。</w:t>
      </w:r>
      <w:r>
        <w:rPr>
          <w:rFonts w:hint="eastAsia" w:ascii="宋体" w:hAnsi="宋体"/>
          <w:color w:val="auto"/>
          <w:highlight w:val="none"/>
        </w:rPr>
        <w:t>延长提交投标文件截标日期和截止时间的决定由招标人作出。</w:t>
      </w:r>
    </w:p>
    <w:p>
      <w:pPr>
        <w:spacing w:line="360" w:lineRule="auto"/>
        <w:ind w:left="718" w:hanging="718" w:hangingChars="342"/>
        <w:rPr>
          <w:rFonts w:ascii="宋体" w:hAnsi="宋体"/>
          <w:color w:val="auto"/>
          <w:highlight w:val="none"/>
        </w:rPr>
      </w:pPr>
    </w:p>
    <w:p>
      <w:pPr>
        <w:spacing w:line="360" w:lineRule="auto"/>
        <w:rPr>
          <w:rFonts w:ascii="宋体" w:hAnsi="宋体"/>
          <w:b/>
          <w:bCs/>
          <w:color w:val="auto"/>
          <w:highlight w:val="none"/>
        </w:rPr>
      </w:pPr>
      <w:r>
        <w:rPr>
          <w:rFonts w:hint="eastAsia" w:ascii="宋体" w:hAnsi="宋体"/>
          <w:b/>
          <w:bCs/>
          <w:color w:val="auto"/>
          <w:highlight w:val="none"/>
        </w:rPr>
        <w:t>3.5    投标时间</w:t>
      </w:r>
    </w:p>
    <w:p>
      <w:pPr>
        <w:spacing w:line="360" w:lineRule="auto"/>
        <w:ind w:left="718" w:hanging="718" w:hangingChars="342"/>
        <w:rPr>
          <w:rFonts w:ascii="宋体" w:hAnsi="宋体"/>
          <w:color w:val="auto"/>
          <w:highlight w:val="none"/>
        </w:rPr>
      </w:pPr>
      <w:r>
        <w:rPr>
          <w:rFonts w:hint="eastAsia" w:ascii="宋体" w:hAnsi="宋体"/>
          <w:color w:val="auto"/>
          <w:szCs w:val="21"/>
          <w:highlight w:val="none"/>
        </w:rPr>
        <w:t xml:space="preserve">3.5.1  </w:t>
      </w:r>
      <w:r>
        <w:rPr>
          <w:rFonts w:hint="eastAsia" w:ascii="宋体" w:hAnsi="宋体" w:cs="宋体"/>
          <w:color w:val="auto"/>
          <w:kern w:val="0"/>
          <w:szCs w:val="21"/>
          <w:highlight w:val="none"/>
          <w:u w:val="single"/>
        </w:rPr>
        <w:t>招标公告网上发布时，同时发布招标文件。招标公告发布之日起计算编制投标文件时间。编制投标文件的时间不得少于20天。</w:t>
      </w:r>
    </w:p>
    <w:p>
      <w:pPr>
        <w:spacing w:line="360" w:lineRule="auto"/>
        <w:ind w:left="718" w:hanging="718" w:hangingChars="342"/>
        <w:rPr>
          <w:rFonts w:ascii="宋体" w:hAnsi="宋体"/>
          <w:color w:val="auto"/>
          <w:highlight w:val="none"/>
        </w:rPr>
      </w:pPr>
      <w:r>
        <w:rPr>
          <w:rFonts w:hint="eastAsia" w:ascii="宋体" w:hAnsi="宋体"/>
          <w:color w:val="auto"/>
          <w:highlight w:val="none"/>
        </w:rPr>
        <w:t>3.5.2  具体投标截止时间以招标人（招标代理机构）的最新通知为准，请各投标人留意交易平台网站发布的本工程相关信息。</w:t>
      </w:r>
    </w:p>
    <w:p>
      <w:pPr>
        <w:spacing w:line="360" w:lineRule="auto"/>
        <w:ind w:left="718" w:hanging="718" w:hangingChars="342"/>
        <w:jc w:val="left"/>
        <w:rPr>
          <w:rFonts w:ascii="宋体" w:hAnsi="宋体"/>
          <w:dstrike/>
          <w:color w:val="auto"/>
          <w:szCs w:val="21"/>
          <w:highlight w:val="none"/>
        </w:rPr>
      </w:pPr>
      <w:r>
        <w:rPr>
          <w:rFonts w:hint="eastAsia" w:ascii="宋体" w:hAnsi="宋体"/>
          <w:color w:val="auto"/>
          <w:szCs w:val="21"/>
          <w:highlight w:val="none"/>
        </w:rPr>
        <w:t>3.5.3  到投标截止时间止，招标人收到的投标文件少于3家的，招标人将重新组织招标（当N个标段同时招标且不允许兼中时，若有效投标人不足N+2家，则重新组织招标）。</w:t>
      </w:r>
    </w:p>
    <w:p>
      <w:pPr>
        <w:spacing w:line="360" w:lineRule="auto"/>
        <w:jc w:val="left"/>
        <w:rPr>
          <w:rFonts w:ascii="宋体" w:hAnsi="宋体"/>
          <w:color w:val="auto"/>
          <w:szCs w:val="21"/>
          <w:highlight w:val="none"/>
        </w:rPr>
      </w:pPr>
    </w:p>
    <w:p>
      <w:pPr>
        <w:spacing w:line="360" w:lineRule="auto"/>
        <w:rPr>
          <w:rFonts w:ascii="宋体" w:hAnsi="宋体"/>
          <w:b/>
          <w:bCs/>
          <w:color w:val="auto"/>
          <w:highlight w:val="none"/>
        </w:rPr>
      </w:pPr>
      <w:r>
        <w:rPr>
          <w:rFonts w:hint="eastAsia" w:ascii="宋体" w:hAnsi="宋体"/>
          <w:b/>
          <w:bCs/>
          <w:color w:val="auto"/>
          <w:highlight w:val="none"/>
        </w:rPr>
        <w:t>3.6    投标文件的递交和接受</w:t>
      </w:r>
    </w:p>
    <w:p>
      <w:pPr>
        <w:spacing w:line="360" w:lineRule="auto"/>
        <w:ind w:left="708" w:hanging="707" w:hangingChars="337"/>
        <w:jc w:val="left"/>
        <w:rPr>
          <w:rFonts w:ascii="宋体" w:hAnsi="宋体"/>
          <w:color w:val="auto"/>
          <w:szCs w:val="21"/>
          <w:highlight w:val="none"/>
        </w:rPr>
      </w:pPr>
      <w:r>
        <w:rPr>
          <w:rFonts w:hint="eastAsia" w:ascii="宋体" w:hAnsi="宋体"/>
          <w:color w:val="auto"/>
          <w:szCs w:val="21"/>
          <w:highlight w:val="none"/>
        </w:rPr>
        <w:t>3.6.1  投标人通过下载招标文件的交易平台递交电子投标文件。</w:t>
      </w:r>
    </w:p>
    <w:p>
      <w:pPr>
        <w:spacing w:line="360" w:lineRule="auto"/>
        <w:ind w:left="708" w:hanging="707" w:hangingChars="337"/>
        <w:jc w:val="left"/>
        <w:rPr>
          <w:rFonts w:ascii="宋体" w:hAnsi="宋体"/>
          <w:color w:val="auto"/>
          <w:szCs w:val="21"/>
          <w:highlight w:val="none"/>
        </w:rPr>
      </w:pPr>
      <w:r>
        <w:rPr>
          <w:rFonts w:hint="eastAsia" w:ascii="宋体" w:hAnsi="宋体"/>
          <w:color w:val="auto"/>
          <w:szCs w:val="21"/>
          <w:highlight w:val="none"/>
        </w:rPr>
        <w:t>3.6.2  投标人完成电子投标文件上传后，交易平台即时向投标人发出递交回执通知。递交时间以递交回执通知载明的传输完成时间为准。</w:t>
      </w:r>
    </w:p>
    <w:p>
      <w:pPr>
        <w:spacing w:line="360" w:lineRule="auto"/>
        <w:ind w:left="708" w:hanging="707" w:hangingChars="337"/>
        <w:jc w:val="left"/>
        <w:rPr>
          <w:rFonts w:ascii="宋体" w:hAnsi="宋体"/>
          <w:color w:val="auto"/>
          <w:szCs w:val="21"/>
          <w:highlight w:val="none"/>
        </w:rPr>
      </w:pPr>
      <w:r>
        <w:rPr>
          <w:rFonts w:hint="eastAsia" w:ascii="宋体" w:hAnsi="宋体"/>
          <w:color w:val="auto"/>
          <w:szCs w:val="21"/>
          <w:highlight w:val="none"/>
        </w:rPr>
        <w:t>3.6.3  如按招标公告要求需要递交投标文件光盘（备用），备用光盘不得加密。如使用投标文件光盘（备用）时无法读取或导入的，则视为未提交投标文件。</w:t>
      </w:r>
    </w:p>
    <w:p>
      <w:pPr>
        <w:spacing w:line="360" w:lineRule="auto"/>
        <w:ind w:left="708" w:hanging="707" w:hangingChars="337"/>
        <w:jc w:val="left"/>
        <w:rPr>
          <w:rFonts w:ascii="宋体" w:hAnsi="宋体"/>
          <w:color w:val="auto"/>
          <w:szCs w:val="21"/>
          <w:highlight w:val="none"/>
        </w:rPr>
      </w:pPr>
      <w:r>
        <w:rPr>
          <w:rFonts w:hint="eastAsia" w:ascii="宋体" w:hAnsi="宋体"/>
          <w:color w:val="auto"/>
          <w:szCs w:val="21"/>
          <w:highlight w:val="none"/>
        </w:rPr>
        <w:t>3.6.4  逾期送达的投标文件，交易平台将予以拒收。</w:t>
      </w:r>
    </w:p>
    <w:p>
      <w:pPr>
        <w:spacing w:line="360" w:lineRule="auto"/>
        <w:rPr>
          <w:rFonts w:ascii="宋体" w:hAnsi="宋体" w:cs="宋体"/>
          <w:color w:val="auto"/>
          <w:highlight w:val="none"/>
          <w:u w:val="single"/>
        </w:rPr>
      </w:pPr>
      <w:r>
        <w:rPr>
          <w:rFonts w:hint="eastAsia" w:ascii="宋体" w:hAnsi="宋体"/>
          <w:color w:val="auto"/>
          <w:szCs w:val="21"/>
          <w:highlight w:val="none"/>
          <w:u w:val="single"/>
        </w:rPr>
        <w:t xml:space="preserve">3.6.5  </w:t>
      </w:r>
      <w:r>
        <w:rPr>
          <w:rFonts w:hint="eastAsia" w:ascii="宋体" w:hAnsi="宋体" w:cs="宋体"/>
          <w:color w:val="auto"/>
          <w:highlight w:val="none"/>
          <w:u w:val="single"/>
        </w:rPr>
        <w:t>拒绝接收</w:t>
      </w:r>
      <w:r>
        <w:rPr>
          <w:rFonts w:hint="eastAsia" w:ascii="宋体" w:hAnsi="宋体"/>
          <w:color w:val="auto"/>
          <w:szCs w:val="21"/>
          <w:highlight w:val="none"/>
          <w:u w:val="single"/>
        </w:rPr>
        <w:t>投标文件光盘（备用）</w:t>
      </w:r>
      <w:r>
        <w:rPr>
          <w:rFonts w:hint="eastAsia" w:ascii="宋体" w:hAnsi="宋体" w:cs="宋体"/>
          <w:color w:val="auto"/>
          <w:highlight w:val="none"/>
          <w:u w:val="single"/>
        </w:rPr>
        <w:t>的情况</w:t>
      </w:r>
    </w:p>
    <w:p>
      <w:pPr>
        <w:spacing w:line="360" w:lineRule="auto"/>
        <w:ind w:firstLine="630" w:firstLineChars="300"/>
        <w:rPr>
          <w:rFonts w:ascii="宋体" w:hAnsi="宋体"/>
          <w:color w:val="auto"/>
          <w:szCs w:val="21"/>
          <w:highlight w:val="none"/>
          <w:u w:val="single"/>
        </w:rPr>
      </w:pPr>
      <w:r>
        <w:rPr>
          <w:rFonts w:hint="eastAsia" w:ascii="宋体" w:hAnsi="宋体" w:cs="宋体"/>
          <w:color w:val="auto"/>
          <w:highlight w:val="none"/>
          <w:u w:val="single"/>
        </w:rPr>
        <w:t>（1）</w:t>
      </w:r>
      <w:r>
        <w:rPr>
          <w:rFonts w:hint="eastAsia" w:ascii="宋体" w:hAnsi="宋体"/>
          <w:color w:val="auto"/>
          <w:szCs w:val="21"/>
          <w:highlight w:val="none"/>
          <w:u w:val="single"/>
        </w:rPr>
        <w:t>逾期或未在指定地点递交备用投标文件光盘（备用）；</w:t>
      </w:r>
    </w:p>
    <w:p>
      <w:pPr>
        <w:spacing w:line="360" w:lineRule="auto"/>
        <w:ind w:firstLine="630" w:firstLineChars="300"/>
        <w:rPr>
          <w:rFonts w:ascii="宋体" w:hAnsi="宋体"/>
          <w:color w:val="auto"/>
          <w:szCs w:val="21"/>
          <w:highlight w:val="none"/>
          <w:u w:val="single"/>
        </w:rPr>
      </w:pPr>
      <w:r>
        <w:rPr>
          <w:rFonts w:hint="eastAsia" w:ascii="宋体" w:hAnsi="宋体" w:cs="宋体"/>
          <w:color w:val="auto"/>
          <w:highlight w:val="none"/>
          <w:u w:val="single"/>
        </w:rPr>
        <w:t>（2）</w:t>
      </w:r>
      <w:r>
        <w:rPr>
          <w:rFonts w:hint="eastAsia" w:ascii="宋体" w:hAnsi="宋体"/>
          <w:color w:val="auto"/>
          <w:szCs w:val="21"/>
          <w:highlight w:val="none"/>
          <w:u w:val="single"/>
        </w:rPr>
        <w:t>投标人递交的投标文件光盘（备用）未按招标文件要求密封或未在密封处盖章的；</w:t>
      </w:r>
    </w:p>
    <w:p>
      <w:pPr>
        <w:spacing w:line="360" w:lineRule="auto"/>
        <w:ind w:left="630" w:leftChars="300"/>
        <w:rPr>
          <w:rFonts w:ascii="宋体" w:hAnsi="宋体"/>
          <w:color w:val="auto"/>
          <w:szCs w:val="21"/>
          <w:highlight w:val="none"/>
          <w:u w:val="single"/>
        </w:rPr>
      </w:pPr>
      <w:r>
        <w:rPr>
          <w:rFonts w:hint="eastAsia" w:ascii="宋体" w:hAnsi="宋体"/>
          <w:color w:val="auto"/>
          <w:szCs w:val="21"/>
          <w:highlight w:val="none"/>
          <w:u w:val="single"/>
        </w:rPr>
        <w:t>（3）投标人代表未凭法定代表人证明书原件（格式自定）、法定代表人授权委托书原件（非法定代表人递交投标文件光盘时提供，格式自定）、本人身份证复印件（提供原件核对）、联合体共同投标协议原件（联合体投标时提供，格式见招标文件附录）递交投标文件光盘（备用）的。</w:t>
      </w:r>
    </w:p>
    <w:p>
      <w:pPr>
        <w:spacing w:line="360" w:lineRule="auto"/>
        <w:ind w:left="708" w:hanging="707" w:hangingChars="337"/>
        <w:jc w:val="left"/>
        <w:rPr>
          <w:rFonts w:ascii="宋体" w:hAnsi="宋体"/>
          <w:color w:val="auto"/>
          <w:szCs w:val="21"/>
          <w:highlight w:val="none"/>
        </w:rPr>
      </w:pPr>
    </w:p>
    <w:p>
      <w:pPr>
        <w:spacing w:line="360" w:lineRule="auto"/>
        <w:rPr>
          <w:rFonts w:ascii="宋体" w:hAnsi="宋体"/>
          <w:b/>
          <w:bCs/>
          <w:color w:val="auto"/>
          <w:highlight w:val="none"/>
        </w:rPr>
      </w:pPr>
      <w:r>
        <w:rPr>
          <w:rFonts w:hint="eastAsia" w:ascii="宋体" w:hAnsi="宋体"/>
          <w:b/>
          <w:bCs/>
          <w:color w:val="auto"/>
          <w:highlight w:val="none"/>
        </w:rPr>
        <w:t>3.7    投标文件的修改与撤回</w:t>
      </w:r>
    </w:p>
    <w:p>
      <w:pPr>
        <w:spacing w:line="360" w:lineRule="auto"/>
        <w:ind w:left="840" w:hanging="840" w:hangingChars="400"/>
        <w:rPr>
          <w:rFonts w:ascii="宋体" w:hAnsi="宋体"/>
          <w:color w:val="auto"/>
          <w:highlight w:val="none"/>
        </w:rPr>
      </w:pPr>
      <w:r>
        <w:rPr>
          <w:rFonts w:hint="eastAsia" w:ascii="宋体" w:hAnsi="宋体"/>
          <w:color w:val="auto"/>
          <w:highlight w:val="none"/>
        </w:rPr>
        <w:t>3.7.1  在规定的投标截止时间前，投标人可以修改或撤回已递交的投标文件。</w:t>
      </w:r>
    </w:p>
    <w:p>
      <w:pPr>
        <w:spacing w:line="360" w:lineRule="auto"/>
        <w:ind w:left="840" w:hanging="840" w:hangingChars="400"/>
        <w:rPr>
          <w:rFonts w:ascii="宋体" w:hAnsi="宋体"/>
          <w:color w:val="auto"/>
          <w:highlight w:val="none"/>
        </w:rPr>
      </w:pPr>
      <w:r>
        <w:rPr>
          <w:rFonts w:hint="eastAsia" w:ascii="宋体" w:hAnsi="宋体"/>
          <w:color w:val="auto"/>
          <w:highlight w:val="none"/>
        </w:rPr>
        <w:t>3.7.2  投标人修改或撤回已递交的投标文件，需在交易平台发出撤回通知，并按要求加盖电子印章。电子招标投标交易平台收到通知后，即时向投标人发布确认回执通知。</w:t>
      </w:r>
    </w:p>
    <w:p>
      <w:pPr>
        <w:spacing w:line="360" w:lineRule="auto"/>
        <w:ind w:left="840" w:hanging="840" w:hangingChars="400"/>
        <w:rPr>
          <w:rFonts w:ascii="宋体" w:hAnsi="宋体"/>
          <w:color w:val="auto"/>
          <w:highlight w:val="none"/>
        </w:rPr>
      </w:pPr>
      <w:r>
        <w:rPr>
          <w:rFonts w:hint="eastAsia" w:ascii="宋体" w:hAnsi="宋体"/>
          <w:color w:val="auto"/>
          <w:highlight w:val="none"/>
        </w:rPr>
        <w:t>3.7.3  修改后再次递交的，按3.6的规定执行。</w:t>
      </w:r>
    </w:p>
    <w:p>
      <w:pPr>
        <w:spacing w:line="360" w:lineRule="auto"/>
        <w:ind w:left="840" w:hanging="840" w:hangingChars="400"/>
        <w:rPr>
          <w:rFonts w:ascii="宋体" w:hAnsi="宋体"/>
          <w:color w:val="auto"/>
          <w:highlight w:val="none"/>
        </w:rPr>
      </w:pPr>
      <w:r>
        <w:rPr>
          <w:rFonts w:hint="eastAsia" w:ascii="宋体" w:hAnsi="宋体"/>
          <w:color w:val="auto"/>
          <w:highlight w:val="none"/>
        </w:rPr>
        <w:t>3.7.4  在投标截止时间后，投标人不得补充、修改或更换投标文件。</w:t>
      </w:r>
    </w:p>
    <w:p>
      <w:pPr>
        <w:spacing w:line="360" w:lineRule="auto"/>
        <w:ind w:left="840" w:hanging="840" w:hangingChars="400"/>
        <w:rPr>
          <w:rFonts w:ascii="宋体" w:hAnsi="宋体"/>
          <w:color w:val="auto"/>
          <w:highlight w:val="none"/>
        </w:rPr>
      </w:pPr>
    </w:p>
    <w:p>
      <w:pPr>
        <w:spacing w:line="360" w:lineRule="auto"/>
        <w:ind w:left="843" w:hanging="843" w:hangingChars="400"/>
        <w:rPr>
          <w:rFonts w:ascii="宋体" w:hAnsi="宋体"/>
          <w:b/>
          <w:bCs/>
          <w:color w:val="auto"/>
          <w:highlight w:val="none"/>
        </w:rPr>
      </w:pPr>
      <w:r>
        <w:rPr>
          <w:rFonts w:hint="eastAsia" w:ascii="宋体" w:hAnsi="宋体"/>
          <w:b/>
          <w:bCs/>
          <w:color w:val="auto"/>
          <w:highlight w:val="none"/>
        </w:rPr>
        <w:t>3.8    电子招标投标解密失败及突发状况的补救</w:t>
      </w:r>
    </w:p>
    <w:p>
      <w:pPr>
        <w:spacing w:line="360" w:lineRule="auto"/>
        <w:ind w:left="840" w:hanging="840" w:hangingChars="400"/>
        <w:rPr>
          <w:rFonts w:ascii="宋体" w:hAnsi="宋体"/>
          <w:color w:val="auto"/>
          <w:highlight w:val="none"/>
        </w:rPr>
      </w:pPr>
      <w:r>
        <w:rPr>
          <w:rFonts w:hint="eastAsia" w:ascii="宋体" w:hAnsi="宋体"/>
          <w:color w:val="auto"/>
          <w:highlight w:val="none"/>
        </w:rPr>
        <w:t>3.8.1  提交投标文件光盘备用</w:t>
      </w:r>
    </w:p>
    <w:p>
      <w:pPr>
        <w:spacing w:line="360" w:lineRule="auto"/>
        <w:ind w:left="653" w:hanging="653" w:hangingChars="311"/>
        <w:rPr>
          <w:rFonts w:ascii="宋体" w:hAnsi="宋体"/>
          <w:color w:val="auto"/>
          <w:highlight w:val="none"/>
        </w:rPr>
      </w:pPr>
      <w:r>
        <w:rPr>
          <w:rFonts w:hint="eastAsia" w:ascii="宋体" w:hAnsi="宋体"/>
          <w:color w:val="auto"/>
          <w:highlight w:val="none"/>
        </w:rPr>
        <w:t xml:space="preserve">       投标人可制作非加密的电子投标文件刻入光盘（1份），在招标公告规定的时间、地点提交备用。</w:t>
      </w:r>
      <w:r>
        <w:rPr>
          <w:rFonts w:hint="eastAsia" w:ascii="宋体" w:hAnsi="宋体" w:cs="宋体"/>
          <w:color w:val="auto"/>
          <w:szCs w:val="21"/>
          <w:highlight w:val="none"/>
          <w:u w:val="single"/>
        </w:rPr>
        <w:t>电子投标文件刻入光盘（1份）包括“资格审查文件和商务文件光盘”1个、“勘察设计技术方案（技术文件）光盘”1个、“保密文件光盘”1个。刻录好的投标文件光盘分别密封在不透明的密封袋并作标记，其中“资格审查文件和商务文件光盘”应在密封袋上写明（1）招标人名称；（2）“[工程名称][资格审查文件和商务文件光盘]”字样；（3）投标人名称；并在封口处加盖投标人单位公章；“勘察设计技术方案（技术文件）光盘”“保密文件光盘”应仅在密封袋上写明（1）招标人名称；（2）“[工程名称][勘察设计技术方案（技术文件）光盘或保密文件光盘]”字样；</w:t>
      </w:r>
      <w:r>
        <w:rPr>
          <w:rFonts w:hint="eastAsia" w:ascii="宋体" w:hAnsi="宋体"/>
          <w:color w:val="auto"/>
          <w:highlight w:val="none"/>
        </w:rPr>
        <w:t>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p>
      <w:pPr>
        <w:spacing w:line="360" w:lineRule="auto"/>
        <w:ind w:left="840" w:hanging="840" w:hangingChars="400"/>
        <w:rPr>
          <w:rFonts w:ascii="宋体" w:hAnsi="宋体"/>
          <w:color w:val="auto"/>
          <w:highlight w:val="none"/>
        </w:rPr>
      </w:pPr>
      <w:r>
        <w:rPr>
          <w:rFonts w:hint="eastAsia" w:ascii="宋体" w:hAnsi="宋体"/>
          <w:color w:val="auto"/>
          <w:highlight w:val="none"/>
        </w:rPr>
        <w:t>3.8.2  补救方案</w:t>
      </w:r>
    </w:p>
    <w:p>
      <w:pPr>
        <w:spacing w:line="360" w:lineRule="auto"/>
        <w:ind w:left="840" w:hanging="840" w:hangingChars="400"/>
        <w:rPr>
          <w:rFonts w:ascii="宋体" w:hAnsi="宋体"/>
          <w:color w:val="auto"/>
          <w:highlight w:val="none"/>
        </w:rPr>
      </w:pPr>
      <w:r>
        <w:rPr>
          <w:rFonts w:hint="eastAsia" w:ascii="宋体" w:hAnsi="宋体"/>
          <w:color w:val="auto"/>
          <w:highlight w:val="none"/>
        </w:rPr>
        <w:t>3.8.2.1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spacing w:line="360" w:lineRule="auto"/>
        <w:ind w:left="840" w:hanging="840" w:hangingChars="400"/>
        <w:rPr>
          <w:rFonts w:ascii="宋体" w:hAnsi="宋体"/>
          <w:color w:val="auto"/>
          <w:highlight w:val="none"/>
        </w:rPr>
      </w:pPr>
      <w:r>
        <w:rPr>
          <w:rFonts w:hint="eastAsia" w:ascii="宋体" w:hAnsi="宋体"/>
          <w:color w:val="auto"/>
          <w:highlight w:val="none"/>
        </w:rPr>
        <w:t>3.8.2.2评标时突发情况的补救方案：若遇不可抗力发生（如：网络瘫痪、服务器损坏、交易系统故障短期无法恢复等因素），由评标委员会开启现场递交的全部投标文件光盘，并按光盘内容进行评审。投标人未递交投标文件光盘（备用）的，视为撤回投标文件。</w:t>
      </w:r>
    </w:p>
    <w:p>
      <w:pPr>
        <w:spacing w:line="360" w:lineRule="auto"/>
        <w:ind w:left="840" w:hanging="840" w:hangingChars="400"/>
        <w:rPr>
          <w:rFonts w:ascii="宋体" w:hAnsi="宋体"/>
          <w:color w:val="auto"/>
          <w:highlight w:val="none"/>
        </w:rPr>
      </w:pPr>
      <w:r>
        <w:rPr>
          <w:rFonts w:hint="eastAsia" w:ascii="宋体" w:hAnsi="宋体"/>
          <w:color w:val="auto"/>
          <w:highlight w:val="none"/>
        </w:rPr>
        <w:t>3.8.2.3除发生上述情况外，开标评标均以投标人通过交易平台网上递交的电子投标文件为准。</w:t>
      </w:r>
    </w:p>
    <w:p>
      <w:pPr>
        <w:spacing w:line="360" w:lineRule="auto"/>
        <w:ind w:left="840" w:hanging="840" w:hangingChars="400"/>
        <w:rPr>
          <w:rFonts w:ascii="宋体" w:hAnsi="宋体"/>
          <w:color w:val="auto"/>
          <w:highlight w:val="none"/>
        </w:rPr>
      </w:pPr>
      <w:r>
        <w:rPr>
          <w:rFonts w:hint="eastAsia" w:ascii="宋体" w:hAnsi="宋体"/>
          <w:color w:val="auto"/>
          <w:highlight w:val="none"/>
          <w:u w:val="single"/>
        </w:rPr>
        <w:t>3.8.2.4 “勘察设计技术方案（技术文件）光盘”“保密文件光盘”接收时不得启封，当符合</w:t>
      </w:r>
      <w:r>
        <w:rPr>
          <w:rFonts w:ascii="宋体" w:hAnsi="宋体"/>
          <w:color w:val="auto"/>
          <w:highlight w:val="none"/>
          <w:u w:val="single"/>
        </w:rPr>
        <w:t>3.8.2.</w:t>
      </w:r>
      <w:r>
        <w:rPr>
          <w:rFonts w:hint="eastAsia" w:ascii="宋体" w:hAnsi="宋体"/>
          <w:color w:val="auto"/>
          <w:highlight w:val="none"/>
          <w:u w:val="single"/>
        </w:rPr>
        <w:t>1款或</w:t>
      </w:r>
      <w:r>
        <w:rPr>
          <w:rFonts w:ascii="宋体" w:hAnsi="宋体"/>
          <w:color w:val="auto"/>
          <w:highlight w:val="none"/>
          <w:u w:val="single"/>
        </w:rPr>
        <w:t>3.8.2.</w:t>
      </w:r>
      <w:r>
        <w:rPr>
          <w:rFonts w:hint="eastAsia" w:ascii="宋体" w:hAnsi="宋体"/>
          <w:color w:val="auto"/>
          <w:highlight w:val="none"/>
          <w:u w:val="single"/>
        </w:rPr>
        <w:t>2款条件需要对勘察设计技术方案（技术文件）进行评审时，由交易服务机构见证人对“勘察设计技术方案（技术文件）光盘”启封密封袋并编号，参与开标、评标的其他人员应当回避，完成编号后送交评标委员会进行评审。评标结果揭晓前，负责编号的工作人员不得向他人透露投标文件编号的情况。在完成勘察设计技术方案（技术文件）评审后，由交易服务机构见证人和评标委员会共同开启“保密文件光盘”密封袋揭晓投标人身份。</w:t>
      </w:r>
    </w:p>
    <w:p>
      <w:pPr>
        <w:spacing w:line="360" w:lineRule="auto"/>
        <w:ind w:left="840" w:hanging="840" w:hangingChars="400"/>
        <w:rPr>
          <w:rFonts w:ascii="宋体" w:hAnsi="宋体"/>
          <w:color w:val="auto"/>
          <w:highlight w:val="none"/>
        </w:rPr>
      </w:pPr>
    </w:p>
    <w:p>
      <w:pPr>
        <w:spacing w:line="360" w:lineRule="auto"/>
        <w:ind w:left="843" w:hanging="843" w:hangingChars="400"/>
        <w:rPr>
          <w:rFonts w:ascii="宋体" w:hAnsi="宋体"/>
          <w:b/>
          <w:bCs/>
          <w:color w:val="auto"/>
          <w:highlight w:val="none"/>
        </w:rPr>
      </w:pPr>
      <w:r>
        <w:rPr>
          <w:rFonts w:hint="eastAsia" w:ascii="宋体" w:hAnsi="宋体"/>
          <w:b/>
          <w:bCs/>
          <w:color w:val="auto"/>
          <w:highlight w:val="none"/>
        </w:rPr>
        <w:t>3.9    开标及投标文件编号</w:t>
      </w:r>
    </w:p>
    <w:p>
      <w:pPr>
        <w:spacing w:line="360" w:lineRule="auto"/>
        <w:ind w:left="840" w:hanging="840" w:hangingChars="400"/>
        <w:rPr>
          <w:rFonts w:ascii="宋体" w:hAnsi="宋体"/>
          <w:color w:val="auto"/>
          <w:highlight w:val="none"/>
        </w:rPr>
      </w:pPr>
      <w:r>
        <w:rPr>
          <w:rFonts w:hint="eastAsia" w:ascii="宋体" w:hAnsi="宋体"/>
          <w:color w:val="auto"/>
          <w:highlight w:val="none"/>
        </w:rPr>
        <w:t>3.9.1  在投标截止时间后半小时内，投标人通过递交投标文件的交易平台对已递交的电子投标文件进行解密。投标人完成解密后，再由招标人进行解密。解密完成后，公布招标项目名称、投标人名称、</w:t>
      </w:r>
      <w:r>
        <w:rPr>
          <w:rFonts w:hint="eastAsia" w:ascii="宋体" w:hAnsi="宋体" w:cs="宋体"/>
          <w:color w:val="auto"/>
          <w:highlight w:val="none"/>
          <w:u w:val="single"/>
        </w:rPr>
        <w:t>开标一览表、资格审查文件和商务文件</w:t>
      </w:r>
      <w:r>
        <w:rPr>
          <w:rFonts w:hint="eastAsia" w:ascii="宋体" w:hAnsi="宋体"/>
          <w:color w:val="auto"/>
          <w:highlight w:val="none"/>
        </w:rPr>
        <w:t>。未在规定时间内解密的投标文件不参与开标、评标。</w:t>
      </w:r>
    </w:p>
    <w:p>
      <w:pPr>
        <w:spacing w:line="360" w:lineRule="auto"/>
        <w:ind w:left="840" w:hanging="840" w:hangingChars="400"/>
        <w:rPr>
          <w:rFonts w:ascii="宋体" w:hAnsi="宋体"/>
          <w:color w:val="auto"/>
          <w:highlight w:val="none"/>
        </w:rPr>
      </w:pPr>
      <w:r>
        <w:rPr>
          <w:rFonts w:hint="eastAsia" w:ascii="宋体" w:hAnsi="宋体"/>
          <w:color w:val="auto"/>
          <w:highlight w:val="none"/>
        </w:rPr>
        <w:t>3.9.2  截标后，开标开始时间因故推迟的，相关评标信息仍以原定的开标开始时间的信息为准。</w:t>
      </w:r>
    </w:p>
    <w:p>
      <w:pPr>
        <w:spacing w:line="360" w:lineRule="auto"/>
        <w:ind w:left="840" w:hanging="840" w:hangingChars="400"/>
        <w:rPr>
          <w:rFonts w:ascii="宋体" w:hAnsi="宋体"/>
          <w:color w:val="auto"/>
          <w:highlight w:val="none"/>
        </w:rPr>
      </w:pPr>
      <w:r>
        <w:rPr>
          <w:rFonts w:hint="eastAsia" w:ascii="宋体" w:hAnsi="宋体"/>
          <w:color w:val="auto"/>
          <w:highlight w:val="none"/>
        </w:rPr>
        <w:t>3.9.3  备用光盘的读取按3.8.2的规定执行。</w:t>
      </w:r>
    </w:p>
    <w:p>
      <w:pPr>
        <w:spacing w:line="360" w:lineRule="auto"/>
        <w:ind w:left="840" w:hanging="840" w:hangingChars="400"/>
        <w:rPr>
          <w:rFonts w:ascii="宋体" w:hAnsi="宋体"/>
          <w:color w:val="auto"/>
          <w:highlight w:val="none"/>
        </w:rPr>
      </w:pPr>
      <w:r>
        <w:rPr>
          <w:rFonts w:hint="eastAsia" w:ascii="宋体" w:hAnsi="宋体"/>
          <w:color w:val="auto"/>
          <w:highlight w:val="none"/>
        </w:rPr>
        <w:t>3.9.4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left="840" w:hanging="840" w:hangingChars="400"/>
        <w:rPr>
          <w:rFonts w:ascii="宋体" w:hAnsi="宋体"/>
          <w:color w:val="auto"/>
          <w:highlight w:val="none"/>
        </w:rPr>
      </w:pPr>
      <w:r>
        <w:rPr>
          <w:rFonts w:hint="eastAsia" w:ascii="宋体" w:hAnsi="宋体"/>
          <w:color w:val="auto"/>
          <w:highlight w:val="none"/>
        </w:rPr>
        <w:t>3.9.5  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spacing w:line="360" w:lineRule="auto"/>
        <w:ind w:left="840" w:hanging="840" w:hangingChars="400"/>
        <w:rPr>
          <w:rFonts w:ascii="宋体" w:hAnsi="宋体"/>
          <w:color w:val="auto"/>
          <w:highlight w:val="none"/>
        </w:rPr>
      </w:pPr>
      <w:r>
        <w:rPr>
          <w:rFonts w:hint="eastAsia" w:ascii="宋体" w:hAnsi="宋体"/>
          <w:color w:val="auto"/>
          <w:highlight w:val="none"/>
        </w:rPr>
        <w:t>3.9.6  参加现场开标的投标人对开标结果有异议的，应当在开标现场提出，招标人应当当场作出答复，并制作记录。</w:t>
      </w:r>
    </w:p>
    <w:p>
      <w:pPr>
        <w:spacing w:line="360" w:lineRule="auto"/>
        <w:ind w:left="840" w:hanging="840" w:hangingChars="400"/>
        <w:rPr>
          <w:rFonts w:ascii="宋体" w:hAnsi="宋体"/>
          <w:color w:val="auto"/>
          <w:highlight w:val="none"/>
        </w:rPr>
      </w:pPr>
      <w:r>
        <w:rPr>
          <w:rFonts w:hint="eastAsia" w:ascii="宋体" w:hAnsi="宋体"/>
          <w:color w:val="auto"/>
          <w:highlight w:val="none"/>
        </w:rPr>
        <w:t>3.9.7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spacing w:line="360" w:lineRule="auto"/>
        <w:ind w:left="840" w:hanging="840" w:hangingChars="400"/>
        <w:rPr>
          <w:rFonts w:ascii="宋体" w:hAnsi="宋体"/>
          <w:color w:val="auto"/>
          <w:highlight w:val="none"/>
        </w:rPr>
      </w:pPr>
      <w:r>
        <w:rPr>
          <w:rFonts w:hint="eastAsia" w:ascii="宋体" w:hAnsi="宋体"/>
          <w:color w:val="auto"/>
          <w:highlight w:val="none"/>
        </w:rPr>
        <w:t>3.9.8  投标人未参加开标或在规定的时间内未提出异议的，视为对开标无异议。</w:t>
      </w:r>
    </w:p>
    <w:p>
      <w:pPr>
        <w:spacing w:line="360" w:lineRule="auto"/>
        <w:ind w:left="840" w:hanging="840" w:hangingChars="400"/>
        <w:rPr>
          <w:rFonts w:ascii="宋体" w:hAnsi="宋体"/>
          <w:color w:val="auto"/>
          <w:highlight w:val="none"/>
        </w:rPr>
      </w:pPr>
      <w:r>
        <w:rPr>
          <w:rFonts w:hint="eastAsia" w:ascii="宋体" w:hAnsi="宋体"/>
          <w:color w:val="auto"/>
          <w:highlight w:val="none"/>
        </w:rPr>
        <w:t>3.9.9  开标时，两个（含两个）以上的投标人加密打包投标文件电脑机器特征码一致的，</w:t>
      </w:r>
      <w:r>
        <w:rPr>
          <w:rFonts w:hint="eastAsia" w:ascii="宋体" w:hAnsi="宋体"/>
          <w:color w:val="auto"/>
          <w:highlight w:val="none"/>
          <w:u w:val="single"/>
        </w:rPr>
        <w:t>由评标委员会否决其投标</w:t>
      </w:r>
      <w:r>
        <w:rPr>
          <w:rFonts w:hint="eastAsia" w:ascii="宋体" w:hAnsi="宋体"/>
          <w:color w:val="auto"/>
          <w:highlight w:val="none"/>
        </w:rPr>
        <w:t>。</w:t>
      </w:r>
    </w:p>
    <w:p>
      <w:pPr>
        <w:spacing w:line="360" w:lineRule="auto"/>
        <w:ind w:left="840" w:hanging="840" w:hangingChars="400"/>
        <w:rPr>
          <w:rFonts w:ascii="宋体" w:hAnsi="宋体"/>
          <w:color w:val="auto"/>
          <w:highlight w:val="none"/>
        </w:rPr>
      </w:pPr>
      <w:r>
        <w:rPr>
          <w:rFonts w:hint="eastAsia" w:ascii="宋体" w:hAnsi="宋体"/>
          <w:color w:val="auto"/>
          <w:highlight w:val="none"/>
        </w:rPr>
        <w:t xml:space="preserve">3.9.10 </w:t>
      </w:r>
      <w:r>
        <w:rPr>
          <w:rFonts w:hint="eastAsia" w:ascii="宋体" w:hAnsi="宋体" w:cs="宋体"/>
          <w:color w:val="auto"/>
          <w:szCs w:val="21"/>
          <w:highlight w:val="none"/>
          <w:u w:val="single"/>
        </w:rPr>
        <w:t>勘察设计技术方案（技术文件）</w:t>
      </w:r>
      <w:r>
        <w:rPr>
          <w:rFonts w:hint="eastAsia" w:ascii="宋体" w:hAnsi="宋体"/>
          <w:color w:val="auto"/>
          <w:highlight w:val="none"/>
        </w:rPr>
        <w:t>开标时不得开启，在评标时由交易平台随机编号后开启，交由评标委员会进行评审。编号所对应的投标人在投票结束前不得告知评标委员会、交易平台工作人员、招标人或招标代理机构。</w:t>
      </w:r>
    </w:p>
    <w:p>
      <w:pPr>
        <w:spacing w:line="360" w:lineRule="auto"/>
        <w:ind w:left="840" w:hanging="840" w:hangingChars="400"/>
        <w:rPr>
          <w:rFonts w:ascii="宋体" w:hAnsi="宋体"/>
          <w:color w:val="auto"/>
          <w:highlight w:val="none"/>
        </w:rPr>
      </w:pPr>
    </w:p>
    <w:p>
      <w:pPr>
        <w:spacing w:line="360" w:lineRule="auto"/>
        <w:ind w:left="843" w:hanging="843" w:hangingChars="400"/>
        <w:rPr>
          <w:rFonts w:ascii="宋体" w:hAnsi="宋体"/>
          <w:b/>
          <w:bCs/>
          <w:color w:val="auto"/>
          <w:highlight w:val="none"/>
        </w:rPr>
      </w:pPr>
      <w:r>
        <w:rPr>
          <w:rFonts w:hint="eastAsia" w:ascii="宋体" w:hAnsi="宋体"/>
          <w:b/>
          <w:bCs/>
          <w:color w:val="auto"/>
          <w:highlight w:val="none"/>
        </w:rPr>
        <w:t>3.10   投标保证</w:t>
      </w:r>
    </w:p>
    <w:p>
      <w:pPr>
        <w:spacing w:line="360" w:lineRule="auto"/>
        <w:ind w:left="840" w:hanging="840" w:hangingChars="400"/>
        <w:rPr>
          <w:rFonts w:ascii="宋体" w:hAnsi="宋体"/>
          <w:color w:val="auto"/>
          <w:highlight w:val="none"/>
        </w:rPr>
      </w:pPr>
      <w:r>
        <w:rPr>
          <w:rFonts w:hint="eastAsia" w:ascii="宋体" w:hAnsi="宋体"/>
          <w:color w:val="auto"/>
          <w:highlight w:val="none"/>
        </w:rPr>
        <w:t xml:space="preserve">3.10.1 </w:t>
      </w:r>
      <w:r>
        <w:rPr>
          <w:rFonts w:hint="eastAsia" w:ascii="宋体" w:hAnsi="宋体"/>
          <w:color w:val="auto"/>
          <w:highlight w:val="none"/>
          <w:u w:val="single"/>
        </w:rPr>
        <w:t>投标人不需要提交投标保证金。</w:t>
      </w:r>
    </w:p>
    <w:p>
      <w:pPr>
        <w:spacing w:line="360" w:lineRule="auto"/>
        <w:ind w:left="840" w:hanging="840" w:hangingChars="400"/>
        <w:rPr>
          <w:rFonts w:ascii="宋体" w:hAnsi="宋体"/>
          <w:color w:val="auto"/>
          <w:highlight w:val="none"/>
        </w:rPr>
      </w:pPr>
      <w:r>
        <w:rPr>
          <w:rFonts w:hint="eastAsia" w:ascii="宋体" w:hAnsi="宋体"/>
          <w:color w:val="auto"/>
          <w:highlight w:val="none"/>
        </w:rPr>
        <w:t>3.10.2 投标有效期90天，从提交投标文件截止日起计算。在提交投标文件截止时间后到招标文件规定的投标有效期终止之前，</w:t>
      </w:r>
      <w:r>
        <w:rPr>
          <w:rFonts w:hint="eastAsia" w:ascii="宋体" w:hAnsi="宋体"/>
          <w:color w:val="auto"/>
          <w:highlight w:val="none"/>
          <w:u w:val="single"/>
        </w:rPr>
        <w:t>投标人不得补充、修改或者撤回其投标文件</w:t>
      </w:r>
      <w:r>
        <w:rPr>
          <w:rFonts w:hint="eastAsia" w:ascii="宋体" w:hAnsi="宋体"/>
          <w:color w:val="auto"/>
          <w:highlight w:val="none"/>
        </w:rPr>
        <w:t>。</w:t>
      </w:r>
    </w:p>
    <w:p>
      <w:pPr>
        <w:spacing w:line="360" w:lineRule="auto"/>
        <w:ind w:left="840" w:hanging="840" w:hangingChars="400"/>
        <w:rPr>
          <w:rFonts w:ascii="宋体" w:hAnsi="宋体"/>
          <w:color w:val="auto"/>
          <w:highlight w:val="none"/>
        </w:rPr>
      </w:pPr>
      <w:r>
        <w:rPr>
          <w:rFonts w:hint="eastAsia" w:ascii="宋体" w:hAnsi="宋体"/>
          <w:color w:val="auto"/>
          <w:highlight w:val="none"/>
        </w:rPr>
        <w:t>3.10.3 招标人因特殊情况需要延长提交投标文件截止时间，投标人可以拒绝投标，招标人对退出的投标人不作任何经济补偿。同意延长投标有效期的投标人，在延长期内本招标文件的规定仍然适用。</w:t>
      </w: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b/>
          <w:bCs/>
          <w:color w:val="auto"/>
          <w:highlight w:val="none"/>
        </w:rPr>
        <w:t>3.11    投标人不得存在下列情形之一：</w:t>
      </w:r>
    </w:p>
    <w:p>
      <w:pPr>
        <w:spacing w:line="360" w:lineRule="auto"/>
        <w:ind w:firstLine="420" w:firstLineChars="200"/>
        <w:rPr>
          <w:rFonts w:ascii="宋体" w:hAnsi="宋体"/>
          <w:color w:val="auto"/>
          <w:highlight w:val="none"/>
        </w:rPr>
      </w:pPr>
      <w:r>
        <w:rPr>
          <w:rFonts w:hint="eastAsia" w:ascii="宋体" w:hAnsi="宋体"/>
          <w:color w:val="auto"/>
          <w:highlight w:val="none"/>
        </w:rPr>
        <w:t>（1）为招标人不具有独立法人资格的附属机构（单位）；</w:t>
      </w:r>
    </w:p>
    <w:p>
      <w:pPr>
        <w:spacing w:line="360" w:lineRule="auto"/>
        <w:ind w:firstLine="420" w:firstLineChars="200"/>
        <w:rPr>
          <w:rFonts w:ascii="宋体" w:hAnsi="宋体"/>
          <w:color w:val="auto"/>
          <w:highlight w:val="none"/>
        </w:rPr>
      </w:pPr>
      <w:r>
        <w:rPr>
          <w:rFonts w:hint="eastAsia" w:ascii="宋体" w:hAnsi="宋体"/>
          <w:color w:val="auto"/>
          <w:highlight w:val="none"/>
        </w:rPr>
        <w:t>（2）与招标人存在利害关系且可能影响招标公正性；</w:t>
      </w:r>
    </w:p>
    <w:p>
      <w:pPr>
        <w:spacing w:line="360" w:lineRule="auto"/>
        <w:ind w:firstLine="420" w:firstLineChars="200"/>
        <w:rPr>
          <w:rFonts w:ascii="宋体" w:hAnsi="宋体"/>
          <w:color w:val="auto"/>
          <w:highlight w:val="none"/>
        </w:rPr>
      </w:pPr>
      <w:r>
        <w:rPr>
          <w:rFonts w:hint="eastAsia" w:ascii="宋体" w:hAnsi="宋体"/>
          <w:color w:val="auto"/>
          <w:highlight w:val="none"/>
        </w:rPr>
        <w:t>（3）与本招标项目的其他投标人为同一个单位负责人；</w:t>
      </w:r>
    </w:p>
    <w:p>
      <w:pPr>
        <w:spacing w:line="360" w:lineRule="auto"/>
        <w:ind w:firstLine="420" w:firstLineChars="200"/>
        <w:rPr>
          <w:rFonts w:ascii="宋体" w:hAnsi="宋体"/>
          <w:color w:val="auto"/>
          <w:highlight w:val="none"/>
        </w:rPr>
      </w:pPr>
      <w:r>
        <w:rPr>
          <w:rFonts w:hint="eastAsia" w:ascii="宋体" w:hAnsi="宋体"/>
          <w:color w:val="auto"/>
          <w:highlight w:val="none"/>
        </w:rPr>
        <w:t>（4）与本招标项目的其他投标人存在控股、管理关系；</w:t>
      </w:r>
    </w:p>
    <w:p>
      <w:pPr>
        <w:spacing w:line="360" w:lineRule="auto"/>
        <w:ind w:firstLine="420" w:firstLineChars="200"/>
        <w:rPr>
          <w:rFonts w:ascii="宋体" w:hAnsi="宋体"/>
          <w:color w:val="auto"/>
          <w:highlight w:val="none"/>
        </w:rPr>
      </w:pPr>
      <w:r>
        <w:rPr>
          <w:rFonts w:hint="eastAsia" w:ascii="宋体" w:hAnsi="宋体"/>
          <w:color w:val="auto"/>
          <w:highlight w:val="none"/>
        </w:rPr>
        <w:t>（5）为本招标项目的代建人；</w:t>
      </w:r>
    </w:p>
    <w:p>
      <w:pPr>
        <w:spacing w:line="360" w:lineRule="auto"/>
        <w:ind w:firstLine="420" w:firstLineChars="200"/>
        <w:rPr>
          <w:rFonts w:ascii="宋体" w:hAnsi="宋体"/>
          <w:color w:val="auto"/>
          <w:highlight w:val="none"/>
        </w:rPr>
      </w:pPr>
      <w:r>
        <w:rPr>
          <w:rFonts w:hint="eastAsia" w:ascii="宋体" w:hAnsi="宋体"/>
          <w:color w:val="auto"/>
          <w:highlight w:val="none"/>
        </w:rPr>
        <w:t>（6）为本招标项目的招标代理机构；</w:t>
      </w:r>
    </w:p>
    <w:p>
      <w:pPr>
        <w:spacing w:line="360" w:lineRule="auto"/>
        <w:ind w:firstLine="420" w:firstLineChars="200"/>
        <w:rPr>
          <w:rFonts w:ascii="宋体" w:hAnsi="宋体"/>
          <w:color w:val="auto"/>
          <w:highlight w:val="none"/>
        </w:rPr>
      </w:pPr>
      <w:r>
        <w:rPr>
          <w:rFonts w:hint="eastAsia" w:ascii="宋体" w:hAnsi="宋体"/>
          <w:color w:val="auto"/>
          <w:highlight w:val="none"/>
        </w:rPr>
        <w:t>（7）与本招标项目的代建人或招标代理机构同为一个法定代表人；</w:t>
      </w:r>
    </w:p>
    <w:p>
      <w:pPr>
        <w:spacing w:line="360" w:lineRule="auto"/>
        <w:ind w:firstLine="420" w:firstLineChars="200"/>
        <w:rPr>
          <w:rFonts w:ascii="宋体" w:hAnsi="宋体"/>
          <w:color w:val="auto"/>
          <w:highlight w:val="none"/>
        </w:rPr>
      </w:pPr>
      <w:r>
        <w:rPr>
          <w:rFonts w:hint="eastAsia" w:ascii="宋体" w:hAnsi="宋体"/>
          <w:color w:val="auto"/>
          <w:highlight w:val="none"/>
        </w:rPr>
        <w:t>（8）与本招标项目的代建人或招标代理机构存在控股或参股关系；</w:t>
      </w:r>
    </w:p>
    <w:p>
      <w:pPr>
        <w:spacing w:line="360" w:lineRule="auto"/>
        <w:ind w:firstLine="420" w:firstLineChars="200"/>
        <w:rPr>
          <w:rFonts w:ascii="宋体" w:hAnsi="宋体"/>
          <w:color w:val="auto"/>
          <w:highlight w:val="none"/>
        </w:rPr>
      </w:pPr>
      <w:r>
        <w:rPr>
          <w:rFonts w:hint="eastAsia" w:ascii="宋体" w:hAnsi="宋体"/>
          <w:color w:val="auto"/>
          <w:highlight w:val="none"/>
        </w:rPr>
        <w:t>（9）被依法暂停或者取消投标资格；</w:t>
      </w:r>
    </w:p>
    <w:p>
      <w:pPr>
        <w:spacing w:line="360" w:lineRule="auto"/>
        <w:ind w:firstLine="420" w:firstLineChars="200"/>
        <w:rPr>
          <w:rFonts w:ascii="宋体" w:hAnsi="宋体"/>
          <w:color w:val="auto"/>
          <w:highlight w:val="none"/>
        </w:rPr>
      </w:pPr>
      <w:r>
        <w:rPr>
          <w:rFonts w:hint="eastAsia" w:ascii="宋体" w:hAnsi="宋体"/>
          <w:color w:val="auto"/>
          <w:highlight w:val="none"/>
        </w:rPr>
        <w:t>（10）被责令停产停业、暂扣或者吊销许可证、暂扣或者吊销执照；</w:t>
      </w:r>
    </w:p>
    <w:p>
      <w:pPr>
        <w:spacing w:line="360" w:lineRule="auto"/>
        <w:ind w:firstLine="420" w:firstLineChars="200"/>
        <w:rPr>
          <w:rFonts w:ascii="宋体" w:hAnsi="宋体"/>
          <w:color w:val="auto"/>
          <w:highlight w:val="none"/>
        </w:rPr>
      </w:pPr>
      <w:r>
        <w:rPr>
          <w:rFonts w:hint="eastAsia" w:ascii="宋体" w:hAnsi="宋体"/>
          <w:color w:val="auto"/>
          <w:highlight w:val="none"/>
        </w:rPr>
        <w:t>（11）进入清算程序，或被宣告破产，或其他丧失履约能力的情形；</w:t>
      </w:r>
    </w:p>
    <w:p>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（12）在最近三年内发生重大设计质量问题（以相关行业主管部门的行政处罚决定或司法机关出具的有关法律文书为准）；</w:t>
      </w:r>
    </w:p>
    <w:p>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被工商行政（市场监管）管理机关在全国企业信用信息公示系统中列入严重违法失信企业名单；</w:t>
      </w:r>
    </w:p>
    <w:p>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（14）被最高人民法院在“信用中国”网站（www.creditchina.gov.cn）或各级信用信息共享平台中列入失信被执行人名单；</w:t>
      </w:r>
    </w:p>
    <w:p>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（15）在近三年内投标人或其法定代表人、拟委任的项目负责人有行贿犯罪行为的。</w:t>
      </w:r>
    </w:p>
    <w:p>
      <w:pPr>
        <w:spacing w:line="360" w:lineRule="auto"/>
        <w:ind w:firstLine="420" w:firstLineChars="200"/>
        <w:rPr>
          <w:rFonts w:hint="eastAsia" w:ascii="宋体" w:hAnsi="宋体" w:eastAsia="宋体" w:cs="Times New Roman"/>
          <w:color w:val="auto"/>
          <w:highlight w:val="none"/>
          <w:u w:val="single"/>
        </w:rPr>
      </w:pPr>
      <w:r>
        <w:rPr>
          <w:rFonts w:hint="eastAsia" w:ascii="宋体" w:hAnsi="宋体" w:eastAsia="宋体" w:cs="Times New Roman"/>
          <w:color w:val="auto"/>
          <w:highlight w:val="none"/>
          <w:u w:val="single"/>
        </w:rPr>
        <w:t>（16）被住房城乡建设行政主管部门在全国建筑市场监管一体化工作平台列入建筑市场主体“黑名单”；</w:t>
      </w:r>
    </w:p>
    <w:p>
      <w:pPr>
        <w:spacing w:line="360" w:lineRule="auto"/>
        <w:ind w:firstLine="420" w:firstLineChars="200"/>
        <w:rPr>
          <w:rFonts w:hint="eastAsia" w:ascii="宋体" w:hAnsi="宋体" w:eastAsia="宋体" w:cs="Times New Roman"/>
          <w:color w:val="auto"/>
          <w:highlight w:val="none"/>
          <w:u w:val="single"/>
        </w:rPr>
      </w:pPr>
      <w:r>
        <w:rPr>
          <w:rFonts w:hint="eastAsia" w:ascii="宋体" w:hAnsi="宋体" w:eastAsia="宋体" w:cs="Times New Roman"/>
          <w:color w:val="auto"/>
          <w:highlight w:val="none"/>
          <w:u w:val="single"/>
        </w:rPr>
        <w:t>（17）被发改委、人力资源社会保障、质检总局等有关部门、单位在“信用中国”网站中列入联合惩戒失信黑名单。</w:t>
      </w:r>
    </w:p>
    <w:p>
      <w:pPr>
        <w:spacing w:line="360" w:lineRule="auto"/>
        <w:ind w:firstLine="420" w:firstLineChars="200"/>
        <w:jc w:val="center"/>
        <w:outlineLvl w:val="0"/>
        <w:rPr>
          <w:rFonts w:ascii="宋体" w:hAnsi="宋体"/>
          <w:b/>
          <w:color w:val="auto"/>
          <w:sz w:val="36"/>
          <w:szCs w:val="36"/>
          <w:highlight w:val="none"/>
          <w:u w:val="single"/>
        </w:rPr>
      </w:pPr>
      <w:r>
        <w:rPr>
          <w:rFonts w:ascii="宋体" w:hAnsi="宋体"/>
          <w:strike/>
          <w:color w:val="auto"/>
          <w:highlight w:val="none"/>
        </w:rPr>
        <w:br w:type="page"/>
      </w:r>
      <w:bookmarkStart w:id="9" w:name="_Toc31828"/>
      <w:bookmarkStart w:id="10" w:name="_Toc27623"/>
      <w:bookmarkStart w:id="11" w:name="_Toc99463981"/>
      <w:r>
        <w:rPr>
          <w:rFonts w:hint="eastAsia" w:ascii="宋体" w:hAnsi="宋体"/>
          <w:b/>
          <w:color w:val="auto"/>
          <w:sz w:val="36"/>
          <w:szCs w:val="36"/>
          <w:highlight w:val="none"/>
        </w:rPr>
        <w:t>第四章  评标</w:t>
      </w:r>
      <w:bookmarkEnd w:id="9"/>
      <w:bookmarkEnd w:id="10"/>
      <w:bookmarkEnd w:id="11"/>
    </w:p>
    <w:p>
      <w:pPr>
        <w:rPr>
          <w:rFonts w:ascii="宋体" w:hAnsi="宋体"/>
          <w:color w:val="auto"/>
          <w:highlight w:val="none"/>
        </w:rPr>
      </w:pPr>
    </w:p>
    <w:p>
      <w:pPr>
        <w:spacing w:line="360" w:lineRule="auto"/>
        <w:rPr>
          <w:rFonts w:ascii="宋体" w:hAnsi="宋体"/>
          <w:b/>
          <w:bCs/>
          <w:color w:val="auto"/>
          <w:highlight w:val="none"/>
        </w:rPr>
      </w:pPr>
      <w:r>
        <w:rPr>
          <w:rFonts w:hint="eastAsia" w:ascii="宋体" w:hAnsi="宋体"/>
          <w:b/>
          <w:bCs/>
          <w:color w:val="auto"/>
          <w:highlight w:val="none"/>
        </w:rPr>
        <w:t>4.1    否决投标</w:t>
      </w:r>
    </w:p>
    <w:p>
      <w:pPr>
        <w:spacing w:line="360" w:lineRule="auto"/>
        <w:rPr>
          <w:rFonts w:ascii="宋体" w:hAnsi="宋体"/>
          <w:color w:val="auto"/>
          <w:highlight w:val="none"/>
        </w:rPr>
      </w:pPr>
      <w:r>
        <w:rPr>
          <w:rFonts w:hint="eastAsia" w:ascii="宋体" w:hAnsi="宋体"/>
          <w:color w:val="auto"/>
          <w:highlight w:val="none"/>
        </w:rPr>
        <w:t>4.1</w:t>
      </w:r>
      <w:r>
        <w:rPr>
          <w:rFonts w:ascii="宋体" w:hAnsi="宋体"/>
          <w:color w:val="auto"/>
          <w:highlight w:val="none"/>
        </w:rPr>
        <w:t>.1</w:t>
      </w:r>
      <w:r>
        <w:rPr>
          <w:rFonts w:hint="eastAsia" w:ascii="宋体" w:hAnsi="宋体"/>
          <w:color w:val="auto"/>
          <w:highlight w:val="none"/>
        </w:rPr>
        <w:t xml:space="preserve">  </w:t>
      </w:r>
      <w:r>
        <w:rPr>
          <w:rFonts w:hint="eastAsia" w:ascii="宋体" w:hAnsi="宋体"/>
          <w:color w:val="auto"/>
          <w:szCs w:val="21"/>
          <w:highlight w:val="none"/>
        </w:rPr>
        <w:t>投标人有下列情况之一的，</w:t>
      </w:r>
      <w:r>
        <w:rPr>
          <w:rFonts w:hint="eastAsia" w:ascii="宋体" w:hAnsi="宋体"/>
          <w:color w:val="auto"/>
          <w:highlight w:val="none"/>
        </w:rPr>
        <w:t>评标委员会应当否决其投标：</w:t>
      </w:r>
    </w:p>
    <w:p>
      <w:pPr>
        <w:spacing w:line="360" w:lineRule="auto"/>
        <w:rPr>
          <w:rFonts w:ascii="宋体" w:hAnsi="宋体"/>
          <w:color w:val="auto"/>
          <w:highlight w:val="none"/>
        </w:rPr>
      </w:pPr>
      <w:r>
        <w:rPr>
          <w:rFonts w:hint="eastAsia" w:ascii="宋体" w:hAnsi="宋体"/>
          <w:color w:val="auto"/>
          <w:highlight w:val="none"/>
        </w:rPr>
        <w:t xml:space="preserve">   (a) </w:t>
      </w:r>
      <w:r>
        <w:rPr>
          <w:rFonts w:hint="eastAsia" w:ascii="宋体" w:hAnsi="宋体"/>
          <w:color w:val="auto"/>
          <w:szCs w:val="21"/>
          <w:highlight w:val="none"/>
        </w:rPr>
        <w:t>投标人与招标人、评标委员会成员或者其他投标人串通投标；</w:t>
      </w:r>
    </w:p>
    <w:p>
      <w:pPr>
        <w:spacing w:line="360" w:lineRule="auto"/>
        <w:rPr>
          <w:rFonts w:ascii="宋体" w:hAnsi="宋体"/>
          <w:color w:val="auto"/>
          <w:highlight w:val="none"/>
          <w:u w:val="single"/>
        </w:rPr>
      </w:pPr>
      <w:r>
        <w:rPr>
          <w:rFonts w:hint="eastAsia" w:ascii="宋体" w:hAnsi="宋体"/>
          <w:color w:val="auto"/>
          <w:highlight w:val="none"/>
        </w:rPr>
        <w:t xml:space="preserve">   (b) 投标人之间存在《广东省实施&lt;中华人民共和国招标投标法&gt;》第十六条所禁止的情形的；</w:t>
      </w:r>
    </w:p>
    <w:p>
      <w:pPr>
        <w:spacing w:line="360" w:lineRule="auto"/>
        <w:ind w:firstLine="210" w:firstLineChars="100"/>
        <w:rPr>
          <w:rFonts w:ascii="宋体" w:hAnsi="宋体"/>
          <w:color w:val="auto"/>
          <w:highlight w:val="none"/>
        </w:rPr>
      </w:pPr>
      <w:r>
        <w:rPr>
          <w:rFonts w:hint="eastAsia" w:ascii="宋体" w:hAnsi="宋体"/>
          <w:color w:val="auto"/>
          <w:highlight w:val="none"/>
          <w:u w:val="single"/>
        </w:rPr>
        <w:t>(c) 投标人不符合本项目招标文件附录《资格审查表》中任一条审查项目的；</w:t>
      </w:r>
    </w:p>
    <w:p>
      <w:pPr>
        <w:spacing w:line="360" w:lineRule="auto"/>
        <w:rPr>
          <w:rFonts w:ascii="宋体" w:hAnsi="宋体"/>
          <w:color w:val="auto"/>
          <w:highlight w:val="none"/>
        </w:rPr>
      </w:pPr>
      <w:r>
        <w:rPr>
          <w:rFonts w:hint="eastAsia" w:ascii="宋体" w:hAnsi="宋体"/>
          <w:color w:val="auto"/>
          <w:highlight w:val="none"/>
        </w:rPr>
        <w:t xml:space="preserve">4.1.2  </w:t>
      </w:r>
      <w:r>
        <w:rPr>
          <w:rFonts w:hint="eastAsia" w:ascii="宋体" w:hAnsi="宋体"/>
          <w:color w:val="auto"/>
          <w:szCs w:val="21"/>
          <w:highlight w:val="none"/>
        </w:rPr>
        <w:t>投标书有下列情况之一的，</w:t>
      </w:r>
      <w:r>
        <w:rPr>
          <w:rFonts w:hint="eastAsia" w:ascii="宋体" w:hAnsi="宋体"/>
          <w:color w:val="auto"/>
          <w:highlight w:val="none"/>
        </w:rPr>
        <w:t>评标委员会应当否决其投标：</w:t>
      </w:r>
    </w:p>
    <w:p>
      <w:pPr>
        <w:spacing w:line="360" w:lineRule="auto"/>
        <w:rPr>
          <w:rFonts w:ascii="宋体" w:hAnsi="宋体"/>
          <w:color w:val="auto"/>
          <w:highlight w:val="none"/>
        </w:rPr>
      </w:pPr>
      <w:r>
        <w:rPr>
          <w:rFonts w:hint="eastAsia" w:ascii="宋体" w:hAnsi="宋体"/>
          <w:color w:val="auto"/>
          <w:highlight w:val="none"/>
        </w:rPr>
        <w:t xml:space="preserve">   (a) 《投标书》</w:t>
      </w:r>
      <w:r>
        <w:rPr>
          <w:rFonts w:hint="eastAsia" w:ascii="宋体" w:hAnsi="宋体"/>
          <w:color w:val="auto"/>
          <w:szCs w:val="21"/>
          <w:highlight w:val="none"/>
        </w:rPr>
        <w:t>未加盖投标人公章</w:t>
      </w:r>
      <w:r>
        <w:rPr>
          <w:rFonts w:hint="eastAsia" w:ascii="宋体" w:hAnsi="宋体"/>
          <w:color w:val="auto"/>
          <w:highlight w:val="none"/>
          <w:u w:val="single"/>
        </w:rPr>
        <w:t>（以联合体形式投标的，未加盖联合体牵头人公章）</w:t>
      </w:r>
      <w:r>
        <w:rPr>
          <w:rFonts w:hint="eastAsia" w:ascii="宋体" w:hAnsi="宋体"/>
          <w:color w:val="auto"/>
          <w:szCs w:val="21"/>
          <w:highlight w:val="none"/>
        </w:rPr>
        <w:t>，</w:t>
      </w:r>
      <w:r>
        <w:rPr>
          <w:rFonts w:hint="eastAsia" w:ascii="宋体" w:hAnsi="宋体"/>
          <w:color w:val="auto"/>
          <w:szCs w:val="21"/>
          <w:highlight w:val="none"/>
          <w:u w:val="single"/>
        </w:rPr>
        <w:t>或</w:t>
      </w:r>
      <w:r>
        <w:rPr>
          <w:rFonts w:hint="eastAsia" w:ascii="宋体" w:hAnsi="宋体"/>
          <w:color w:val="auto"/>
          <w:szCs w:val="21"/>
          <w:highlight w:val="none"/>
        </w:rPr>
        <w:t>未经法定代表人或者其授权代表</w:t>
      </w:r>
      <w:r>
        <w:rPr>
          <w:rFonts w:hint="eastAsia" w:ascii="宋体" w:hAnsi="宋体" w:cs="宋体"/>
          <w:color w:val="auto"/>
          <w:szCs w:val="21"/>
          <w:highlight w:val="none"/>
          <w:u w:val="single"/>
          <w:lang w:val="en-US" w:eastAsia="zh-CN"/>
        </w:rPr>
        <w:t>和</w:t>
      </w:r>
      <w:r>
        <w:rPr>
          <w:rFonts w:hint="eastAsia" w:ascii="宋体" w:hAnsi="宋体" w:cs="宋体"/>
          <w:color w:val="auto"/>
          <w:szCs w:val="21"/>
          <w:highlight w:val="none"/>
          <w:u w:val="single"/>
        </w:rPr>
        <w:t>项目负责人签字或盖章（以联合体形式投标的，未经项目负责人</w:t>
      </w:r>
      <w:r>
        <w:rPr>
          <w:rFonts w:hint="eastAsia" w:ascii="宋体" w:hAnsi="宋体" w:cs="宋体"/>
          <w:color w:val="auto"/>
          <w:szCs w:val="21"/>
          <w:highlight w:val="none"/>
          <w:u w:val="single"/>
          <w:lang w:val="en-US" w:eastAsia="zh-CN"/>
        </w:rPr>
        <w:t>和</w:t>
      </w:r>
      <w:r>
        <w:rPr>
          <w:rFonts w:hint="eastAsia" w:ascii="宋体" w:hAnsi="宋体" w:cs="宋体"/>
          <w:color w:val="auto"/>
          <w:szCs w:val="21"/>
          <w:highlight w:val="none"/>
          <w:u w:val="single"/>
        </w:rPr>
        <w:t>联合体牵头人的法定代表人或者其授权代表签字或盖章）</w:t>
      </w:r>
      <w:r>
        <w:rPr>
          <w:rFonts w:hint="eastAsia" w:ascii="宋体" w:hAnsi="宋体"/>
          <w:color w:val="auto"/>
          <w:highlight w:val="none"/>
        </w:rPr>
        <w:t>；</w:t>
      </w:r>
    </w:p>
    <w:p>
      <w:pPr>
        <w:spacing w:line="360" w:lineRule="auto"/>
        <w:rPr>
          <w:rFonts w:ascii="宋体" w:hAnsi="宋体"/>
          <w:color w:val="auto"/>
          <w:highlight w:val="none"/>
        </w:rPr>
      </w:pPr>
      <w:r>
        <w:rPr>
          <w:rFonts w:hint="eastAsia" w:ascii="宋体" w:hAnsi="宋体"/>
          <w:color w:val="auto"/>
          <w:highlight w:val="none"/>
        </w:rPr>
        <w:t xml:space="preserve">   (b) 《投标书》包含有招标人不能接受的偏差，并且投标人拒绝书面撤回偏差；</w:t>
      </w:r>
    </w:p>
    <w:p>
      <w:pPr>
        <w:spacing w:line="360" w:lineRule="auto"/>
        <w:rPr>
          <w:rFonts w:ascii="宋体" w:hAnsi="宋体"/>
          <w:color w:val="auto"/>
          <w:highlight w:val="none"/>
        </w:rPr>
      </w:pPr>
      <w:r>
        <w:rPr>
          <w:rFonts w:hint="eastAsia" w:ascii="宋体" w:hAnsi="宋体"/>
          <w:color w:val="auto"/>
          <w:highlight w:val="none"/>
        </w:rPr>
        <w:t xml:space="preserve">   (c) </w:t>
      </w:r>
      <w:r>
        <w:rPr>
          <w:rFonts w:hint="eastAsia" w:ascii="宋体" w:hAnsi="宋体" w:cs="宋体"/>
          <w:color w:val="auto"/>
          <w:szCs w:val="21"/>
          <w:highlight w:val="none"/>
          <w:u w:val="single"/>
        </w:rPr>
        <w:t>《投标书》未按招标文件规定的格式填写，内容不全或者关键字迹模糊无法辨认；</w:t>
      </w:r>
    </w:p>
    <w:p>
      <w:pPr>
        <w:spacing w:line="360" w:lineRule="auto"/>
        <w:rPr>
          <w:rFonts w:ascii="宋体" w:hAnsi="宋体"/>
          <w:color w:val="auto"/>
          <w:highlight w:val="none"/>
        </w:rPr>
      </w:pPr>
      <w:r>
        <w:rPr>
          <w:rFonts w:hint="eastAsia" w:ascii="宋体" w:hAnsi="宋体"/>
          <w:color w:val="auto"/>
          <w:highlight w:val="none"/>
        </w:rPr>
        <w:t>4.1.3  投标文件有下列情况之一的，评标委员会应当否决其投标：</w:t>
      </w:r>
    </w:p>
    <w:p>
      <w:pPr>
        <w:spacing w:line="360" w:lineRule="auto"/>
        <w:rPr>
          <w:rFonts w:ascii="宋体" w:hAnsi="宋体"/>
          <w:color w:val="auto"/>
          <w:highlight w:val="none"/>
        </w:rPr>
      </w:pPr>
      <w:r>
        <w:rPr>
          <w:rFonts w:hint="eastAsia" w:ascii="宋体" w:hAnsi="宋体"/>
          <w:color w:val="auto"/>
          <w:highlight w:val="none"/>
        </w:rPr>
        <w:t>(a)投标人与其他投标人加密打包投标文件电脑机器特征码一致的；</w:t>
      </w:r>
    </w:p>
    <w:p>
      <w:pPr>
        <w:spacing w:line="360" w:lineRule="auto"/>
        <w:rPr>
          <w:rFonts w:ascii="宋体" w:hAnsi="宋体"/>
          <w:color w:val="auto"/>
          <w:highlight w:val="none"/>
        </w:rPr>
      </w:pPr>
      <w:r>
        <w:rPr>
          <w:rFonts w:hint="eastAsia" w:ascii="宋体" w:hAnsi="宋体"/>
          <w:color w:val="auto"/>
          <w:highlight w:val="none"/>
        </w:rPr>
        <w:t>(b)投标人之间存在《广东省实施&lt;中华人民共和国招标投标法&gt;》第十六条所禁止的情形的；</w:t>
      </w:r>
    </w:p>
    <w:p>
      <w:pPr>
        <w:spacing w:line="360" w:lineRule="auto"/>
        <w:rPr>
          <w:rFonts w:ascii="宋体" w:hAnsi="宋体"/>
          <w:color w:val="auto"/>
          <w:highlight w:val="none"/>
          <w:u w:val="single"/>
        </w:rPr>
      </w:pPr>
      <w:r>
        <w:rPr>
          <w:rFonts w:hint="eastAsia" w:ascii="宋体" w:hAnsi="宋体"/>
          <w:color w:val="auto"/>
          <w:highlight w:val="none"/>
          <w:u w:val="single"/>
        </w:rPr>
        <w:t>(c) 商务文件未按照招标文件要求进行投标报价，未按招标文件附录3、附录3-1、附录3-2、附录3-3填报报价；</w:t>
      </w:r>
    </w:p>
    <w:p>
      <w:pPr>
        <w:spacing w:line="360" w:lineRule="auto"/>
        <w:rPr>
          <w:rFonts w:ascii="宋体" w:hAnsi="宋体"/>
          <w:color w:val="auto"/>
          <w:highlight w:val="none"/>
          <w:u w:val="single"/>
        </w:rPr>
      </w:pPr>
      <w:r>
        <w:rPr>
          <w:rFonts w:hint="eastAsia" w:ascii="宋体" w:hAnsi="宋体"/>
          <w:color w:val="auto"/>
          <w:highlight w:val="none"/>
          <w:u w:val="single"/>
        </w:rPr>
        <w:t>(d)未按照要求（必要时）对投标文件进行澄清、说明或者补正；</w:t>
      </w:r>
    </w:p>
    <w:p>
      <w:pPr>
        <w:spacing w:line="360" w:lineRule="auto"/>
        <w:rPr>
          <w:rFonts w:ascii="宋体" w:hAnsi="宋体"/>
          <w:color w:val="auto"/>
          <w:highlight w:val="none"/>
          <w:u w:val="single"/>
        </w:rPr>
      </w:pPr>
      <w:r>
        <w:rPr>
          <w:rFonts w:hint="eastAsia" w:ascii="宋体" w:hAnsi="宋体"/>
          <w:color w:val="auto"/>
          <w:highlight w:val="none"/>
          <w:u w:val="single"/>
        </w:rPr>
        <w:t>(e)发现证明材料弄虚作假；</w:t>
      </w:r>
    </w:p>
    <w:p>
      <w:pPr>
        <w:spacing w:line="360" w:lineRule="auto"/>
        <w:rPr>
          <w:rFonts w:ascii="宋体" w:hAnsi="宋体"/>
          <w:color w:val="auto"/>
          <w:highlight w:val="none"/>
          <w:u w:val="single"/>
        </w:rPr>
      </w:pPr>
      <w:r>
        <w:rPr>
          <w:rFonts w:hint="eastAsia" w:ascii="宋体" w:hAnsi="宋体"/>
          <w:color w:val="auto"/>
          <w:highlight w:val="none"/>
          <w:u w:val="single"/>
        </w:rPr>
        <w:t>(f)投标人在勘察设计技术方案（技术文件）内标注名称、印章、商标、图形等记认符号或显示投标报价信息，使人辨认出投标人或其专业技术人员的身份；</w:t>
      </w:r>
    </w:p>
    <w:p>
      <w:pPr>
        <w:spacing w:line="360" w:lineRule="auto"/>
        <w:rPr>
          <w:rFonts w:ascii="宋体" w:hAnsi="宋体"/>
          <w:color w:val="auto"/>
          <w:highlight w:val="none"/>
          <w:u w:val="single"/>
        </w:rPr>
      </w:pPr>
      <w:r>
        <w:rPr>
          <w:rFonts w:hint="eastAsia" w:ascii="宋体" w:hAnsi="宋体"/>
          <w:color w:val="auto"/>
          <w:highlight w:val="none"/>
          <w:u w:val="single"/>
        </w:rPr>
        <w:t>(g)勘察设计技术方案（技术文件）发现互相雷同和串通投标（串通投标情形以《中华人民共和国招标投标法实施条例》的规定为准），或者发现明显抄袭行为，或者发现侵犯他人著作权和特许权。</w:t>
      </w:r>
    </w:p>
    <w:p>
      <w:pPr>
        <w:spacing w:line="360" w:lineRule="auto"/>
        <w:rPr>
          <w:rFonts w:ascii="宋体" w:hAnsi="宋体"/>
          <w:color w:val="auto"/>
          <w:highlight w:val="none"/>
        </w:rPr>
      </w:pPr>
      <w:r>
        <w:rPr>
          <w:rFonts w:hint="eastAsia" w:ascii="宋体" w:hAnsi="宋体"/>
          <w:color w:val="auto"/>
          <w:highlight w:val="none"/>
        </w:rPr>
        <w:t>4.1.4  投标人有</w:t>
      </w:r>
      <w:r>
        <w:rPr>
          <w:rFonts w:hint="eastAsia" w:ascii="宋体" w:hAnsi="宋体"/>
          <w:color w:val="auto"/>
          <w:szCs w:val="21"/>
          <w:highlight w:val="none"/>
        </w:rPr>
        <w:t>下列情况之一的，</w:t>
      </w:r>
      <w:r>
        <w:rPr>
          <w:rFonts w:hint="eastAsia" w:ascii="宋体" w:hAnsi="宋体"/>
          <w:color w:val="auto"/>
          <w:highlight w:val="none"/>
        </w:rPr>
        <w:t>确定为串通投标：</w:t>
      </w:r>
    </w:p>
    <w:p>
      <w:pPr>
        <w:spacing w:line="360" w:lineRule="auto"/>
        <w:ind w:left="718" w:hanging="718" w:hangingChars="342"/>
        <w:rPr>
          <w:rFonts w:ascii="宋体" w:hAnsi="宋体"/>
          <w:color w:val="auto"/>
          <w:highlight w:val="none"/>
        </w:rPr>
      </w:pPr>
      <w:r>
        <w:rPr>
          <w:rFonts w:hint="eastAsia" w:ascii="宋体" w:hAnsi="宋体"/>
          <w:color w:val="auto"/>
          <w:highlight w:val="none"/>
        </w:rPr>
        <w:t xml:space="preserve">   (a) 递交投标文件前，投标人私下向招标人或其雇员出示或告知投标文件内容；</w:t>
      </w:r>
    </w:p>
    <w:p>
      <w:pPr>
        <w:spacing w:line="360" w:lineRule="auto"/>
        <w:rPr>
          <w:rFonts w:ascii="宋体" w:hAnsi="宋体"/>
          <w:color w:val="auto"/>
          <w:highlight w:val="none"/>
        </w:rPr>
      </w:pPr>
      <w:r>
        <w:rPr>
          <w:rFonts w:hint="eastAsia" w:ascii="宋体" w:hAnsi="宋体"/>
          <w:color w:val="auto"/>
          <w:highlight w:val="none"/>
        </w:rPr>
        <w:t xml:space="preserve">   (b) 评标表决结束前，投标人私下向评标委员会成员出示或告知投标文件内容；</w:t>
      </w:r>
    </w:p>
    <w:p>
      <w:pPr>
        <w:spacing w:line="360" w:lineRule="auto"/>
        <w:rPr>
          <w:rFonts w:ascii="宋体" w:hAnsi="宋体"/>
          <w:color w:val="auto"/>
          <w:highlight w:val="none"/>
        </w:rPr>
      </w:pPr>
      <w:r>
        <w:rPr>
          <w:rFonts w:hint="eastAsia" w:ascii="宋体" w:hAnsi="宋体"/>
          <w:color w:val="auto"/>
          <w:highlight w:val="none"/>
        </w:rPr>
        <w:t xml:space="preserve">   (c) 评标结果揭晓前，投标人与招标人就投标价格、投标方案等实质性内容进行谈判。</w:t>
      </w:r>
    </w:p>
    <w:p>
      <w:pPr>
        <w:spacing w:line="360" w:lineRule="auto"/>
        <w:rPr>
          <w:rFonts w:ascii="宋体" w:hAnsi="宋体"/>
          <w:color w:val="auto"/>
          <w:highlight w:val="none"/>
        </w:rPr>
      </w:pPr>
      <w:r>
        <w:rPr>
          <w:rFonts w:hint="eastAsia" w:ascii="宋体" w:hAnsi="宋体"/>
          <w:color w:val="auto"/>
          <w:highlight w:val="none"/>
        </w:rPr>
        <w:t>4.1</w:t>
      </w:r>
      <w:r>
        <w:rPr>
          <w:rFonts w:ascii="宋体" w:hAnsi="宋体"/>
          <w:color w:val="auto"/>
          <w:highlight w:val="none"/>
        </w:rPr>
        <w:t>.</w:t>
      </w:r>
      <w:r>
        <w:rPr>
          <w:rFonts w:hint="eastAsia" w:ascii="宋体" w:hAnsi="宋体"/>
          <w:color w:val="auto"/>
          <w:highlight w:val="none"/>
        </w:rPr>
        <w:t>5  发生下列情形之一的，招标人应当重新组织招标：</w:t>
      </w:r>
    </w:p>
    <w:p>
      <w:pPr>
        <w:spacing w:line="360" w:lineRule="auto"/>
        <w:rPr>
          <w:rFonts w:ascii="宋体" w:hAnsi="宋体"/>
          <w:color w:val="auto"/>
          <w:highlight w:val="none"/>
        </w:rPr>
      </w:pPr>
      <w:r>
        <w:rPr>
          <w:rFonts w:hint="eastAsia" w:ascii="宋体" w:hAnsi="宋体"/>
          <w:color w:val="auto"/>
          <w:highlight w:val="none"/>
        </w:rPr>
        <w:t xml:space="preserve">   (a) 递交投标文件或通过资格审查的投标人不足三人；</w:t>
      </w:r>
    </w:p>
    <w:p>
      <w:pPr>
        <w:spacing w:line="360" w:lineRule="auto"/>
        <w:rPr>
          <w:rFonts w:ascii="宋体" w:hAnsi="宋体"/>
          <w:color w:val="auto"/>
          <w:highlight w:val="none"/>
        </w:rPr>
      </w:pPr>
      <w:r>
        <w:rPr>
          <w:rFonts w:hint="eastAsia" w:ascii="宋体" w:hAnsi="宋体"/>
          <w:color w:val="auto"/>
          <w:highlight w:val="none"/>
        </w:rPr>
        <w:t xml:space="preserve">   (b) 所有投标被否决，或者经评议有效投标的投标人少于三人；</w:t>
      </w:r>
    </w:p>
    <w:p>
      <w:pPr>
        <w:spacing w:line="360" w:lineRule="auto"/>
        <w:rPr>
          <w:rFonts w:ascii="宋体" w:hAnsi="宋体"/>
          <w:color w:val="auto"/>
          <w:highlight w:val="none"/>
        </w:rPr>
      </w:pPr>
      <w:r>
        <w:rPr>
          <w:rFonts w:hint="eastAsia" w:ascii="宋体" w:hAnsi="宋体"/>
          <w:color w:val="auto"/>
          <w:highlight w:val="none"/>
        </w:rPr>
        <w:t xml:space="preserve">   (c) 经项目审批部门会同行业主管部门裁定招标投标结果无效；</w:t>
      </w:r>
    </w:p>
    <w:p>
      <w:pPr>
        <w:spacing w:line="360" w:lineRule="auto"/>
        <w:rPr>
          <w:rFonts w:ascii="宋体" w:hAnsi="宋体"/>
          <w:color w:val="auto"/>
          <w:highlight w:val="none"/>
        </w:rPr>
      </w:pPr>
      <w:r>
        <w:rPr>
          <w:rFonts w:hint="eastAsia" w:ascii="宋体" w:hAnsi="宋体"/>
          <w:color w:val="auto"/>
          <w:highlight w:val="none"/>
        </w:rPr>
        <w:t>4.1</w:t>
      </w:r>
      <w:r>
        <w:rPr>
          <w:rFonts w:ascii="宋体" w:hAnsi="宋体"/>
          <w:color w:val="auto"/>
          <w:highlight w:val="none"/>
        </w:rPr>
        <w:t>.</w:t>
      </w:r>
      <w:r>
        <w:rPr>
          <w:rFonts w:hint="eastAsia" w:ascii="宋体" w:hAnsi="宋体"/>
          <w:color w:val="auto"/>
          <w:highlight w:val="none"/>
        </w:rPr>
        <w:t>6  否决投标的决定由评标委员会作出，其他投标人无权干涉。</w:t>
      </w:r>
    </w:p>
    <w:p>
      <w:pPr>
        <w:spacing w:line="360" w:lineRule="auto"/>
        <w:rPr>
          <w:rFonts w:ascii="宋体" w:hAnsi="宋体"/>
          <w:color w:val="auto"/>
          <w:highlight w:val="none"/>
        </w:rPr>
      </w:pPr>
      <w:r>
        <w:rPr>
          <w:rFonts w:hint="eastAsia" w:ascii="宋体" w:hAnsi="宋体"/>
          <w:color w:val="auto"/>
          <w:highlight w:val="none"/>
        </w:rPr>
        <w:t>4.1</w:t>
      </w:r>
      <w:r>
        <w:rPr>
          <w:rFonts w:ascii="宋体" w:hAnsi="宋体"/>
          <w:color w:val="auto"/>
          <w:highlight w:val="none"/>
        </w:rPr>
        <w:t>.</w:t>
      </w:r>
      <w:r>
        <w:rPr>
          <w:rFonts w:hint="eastAsia" w:ascii="宋体" w:hAnsi="宋体"/>
          <w:color w:val="auto"/>
          <w:highlight w:val="none"/>
        </w:rPr>
        <w:t>7  投标文件如果隐瞒不符合评审标准的事实，一切法律责任由投标人承担。</w:t>
      </w:r>
    </w:p>
    <w:p>
      <w:pPr>
        <w:spacing w:line="360" w:lineRule="auto"/>
        <w:rPr>
          <w:rFonts w:ascii="宋体" w:hAnsi="宋体"/>
          <w:color w:val="auto"/>
          <w:highlight w:val="none"/>
        </w:rPr>
      </w:pPr>
    </w:p>
    <w:p>
      <w:pPr>
        <w:spacing w:line="360" w:lineRule="auto"/>
        <w:rPr>
          <w:rFonts w:ascii="宋体" w:hAnsi="宋体"/>
          <w:b/>
          <w:bCs/>
          <w:color w:val="auto"/>
          <w:highlight w:val="none"/>
        </w:rPr>
      </w:pPr>
      <w:r>
        <w:rPr>
          <w:rFonts w:hint="eastAsia" w:ascii="宋体" w:hAnsi="宋体"/>
          <w:b/>
          <w:bCs/>
          <w:color w:val="auto"/>
          <w:highlight w:val="none"/>
        </w:rPr>
        <w:t>4.2    评标委员会</w:t>
      </w:r>
    </w:p>
    <w:p>
      <w:pPr>
        <w:spacing w:line="360" w:lineRule="auto"/>
        <w:ind w:left="718" w:hanging="718" w:hangingChars="342"/>
        <w:rPr>
          <w:rFonts w:ascii="宋体" w:hAnsi="宋体"/>
          <w:color w:val="auto"/>
          <w:highlight w:val="none"/>
        </w:rPr>
      </w:pPr>
      <w:r>
        <w:rPr>
          <w:rFonts w:hint="eastAsia" w:ascii="宋体" w:hAnsi="宋体"/>
          <w:color w:val="auto"/>
          <w:highlight w:val="none"/>
        </w:rPr>
        <w:t>4.2</w:t>
      </w:r>
      <w:r>
        <w:rPr>
          <w:rFonts w:ascii="宋体" w:hAnsi="宋体"/>
          <w:color w:val="auto"/>
          <w:highlight w:val="none"/>
        </w:rPr>
        <w:t>.</w:t>
      </w:r>
      <w:r>
        <w:rPr>
          <w:rFonts w:hint="eastAsia" w:ascii="宋体" w:hAnsi="宋体"/>
          <w:color w:val="auto"/>
          <w:highlight w:val="none"/>
        </w:rPr>
        <w:t xml:space="preserve">1  </w:t>
      </w:r>
      <w:r>
        <w:rPr>
          <w:rFonts w:hint="eastAsia" w:ascii="宋体" w:hAnsi="宋体"/>
          <w:color w:val="auto"/>
          <w:szCs w:val="21"/>
          <w:highlight w:val="none"/>
          <w:u w:val="single"/>
        </w:rPr>
        <w:t>评标委员会由招标人依法组建。</w:t>
      </w:r>
    </w:p>
    <w:p>
      <w:pPr>
        <w:spacing w:line="360" w:lineRule="auto"/>
        <w:ind w:left="718" w:hanging="718" w:hangingChars="342"/>
        <w:rPr>
          <w:rFonts w:ascii="宋体" w:hAnsi="宋体" w:cs="Arial"/>
          <w:color w:val="auto"/>
          <w:szCs w:val="18"/>
          <w:highlight w:val="none"/>
        </w:rPr>
      </w:pPr>
      <w:r>
        <w:rPr>
          <w:rFonts w:hint="eastAsia" w:ascii="宋体" w:hAnsi="宋体"/>
          <w:color w:val="auto"/>
          <w:highlight w:val="none"/>
        </w:rPr>
        <w:t xml:space="preserve">4.2.2  </w:t>
      </w:r>
      <w:r>
        <w:rPr>
          <w:rFonts w:hint="eastAsia" w:ascii="宋体" w:hAnsi="宋体"/>
          <w:color w:val="auto"/>
          <w:szCs w:val="21"/>
          <w:highlight w:val="none"/>
        </w:rPr>
        <w:t>评标委员会随机产生一名负责人，主持评审工作，</w:t>
      </w:r>
      <w:r>
        <w:rPr>
          <w:rFonts w:hint="eastAsia" w:ascii="宋体" w:hAnsi="宋体"/>
          <w:color w:val="auto"/>
          <w:szCs w:val="21"/>
          <w:highlight w:val="none"/>
          <w:u w:val="single"/>
        </w:rPr>
        <w:t>如委派业主代表参与评标，则不得担任评标委员会负责人。</w:t>
      </w:r>
    </w:p>
    <w:p>
      <w:pPr>
        <w:spacing w:line="360" w:lineRule="auto"/>
        <w:ind w:left="718" w:hanging="718" w:hangingChars="342"/>
        <w:rPr>
          <w:rFonts w:ascii="宋体" w:hAnsi="宋体"/>
          <w:color w:val="auto"/>
          <w:highlight w:val="none"/>
        </w:rPr>
      </w:pPr>
      <w:r>
        <w:rPr>
          <w:rFonts w:hint="eastAsia" w:ascii="宋体" w:hAnsi="宋体"/>
          <w:color w:val="auto"/>
          <w:highlight w:val="none"/>
        </w:rPr>
        <w:t>4.2.3  评标委员会成员至少应了解和熟悉招标的目标、范围、性质、主要技术要求和标准、商务条款、评标标准、评标方法和在评标过程中考虑的相关因素，并对所提出的评审意见承担个人责任。</w:t>
      </w:r>
    </w:p>
    <w:p>
      <w:pPr>
        <w:spacing w:line="360" w:lineRule="auto"/>
        <w:ind w:left="718" w:hanging="718" w:hangingChars="342"/>
        <w:rPr>
          <w:rFonts w:ascii="宋体" w:hAnsi="宋体"/>
          <w:color w:val="auto"/>
          <w:highlight w:val="none"/>
        </w:rPr>
      </w:pPr>
      <w:r>
        <w:rPr>
          <w:rFonts w:hint="eastAsia" w:ascii="宋体" w:hAnsi="宋体"/>
          <w:color w:val="auto"/>
          <w:highlight w:val="none"/>
        </w:rPr>
        <w:t>4.2.4  下列人员不得担任</w:t>
      </w:r>
      <w:r>
        <w:rPr>
          <w:rFonts w:hint="eastAsia" w:ascii="宋体" w:hAnsi="宋体"/>
          <w:color w:val="auto"/>
          <w:szCs w:val="21"/>
          <w:highlight w:val="none"/>
        </w:rPr>
        <w:t>评标委员会成员</w:t>
      </w:r>
      <w:r>
        <w:rPr>
          <w:rFonts w:hint="eastAsia" w:ascii="宋体" w:hAnsi="宋体"/>
          <w:color w:val="auto"/>
          <w:highlight w:val="none"/>
        </w:rPr>
        <w:t>：</w:t>
      </w:r>
    </w:p>
    <w:p>
      <w:pPr>
        <w:spacing w:line="360" w:lineRule="auto"/>
        <w:ind w:left="540" w:hanging="539" w:hangingChars="257"/>
        <w:rPr>
          <w:rFonts w:ascii="宋体" w:hAnsi="宋体"/>
          <w:color w:val="auto"/>
          <w:highlight w:val="none"/>
        </w:rPr>
      </w:pPr>
      <w:r>
        <w:rPr>
          <w:rFonts w:hint="eastAsia" w:ascii="宋体" w:hAnsi="宋体"/>
          <w:color w:val="auto"/>
          <w:highlight w:val="none"/>
        </w:rPr>
        <w:t xml:space="preserve">   (a) 从事相关领域工作不满八年（招标人代表除外）；</w:t>
      </w:r>
    </w:p>
    <w:p>
      <w:pPr>
        <w:spacing w:line="360" w:lineRule="auto"/>
        <w:ind w:left="359" w:hanging="359" w:hangingChars="171"/>
        <w:rPr>
          <w:rFonts w:ascii="宋体" w:hAnsi="宋体"/>
          <w:color w:val="auto"/>
          <w:highlight w:val="none"/>
        </w:rPr>
      </w:pPr>
      <w:r>
        <w:rPr>
          <w:rFonts w:hint="eastAsia" w:ascii="宋体" w:hAnsi="宋体"/>
          <w:color w:val="auto"/>
          <w:highlight w:val="none"/>
        </w:rPr>
        <w:t xml:space="preserve">   (b) 不具有高级职称或者同等专业水平（招标人代表除外）；</w:t>
      </w:r>
    </w:p>
    <w:p>
      <w:pPr>
        <w:spacing w:line="360" w:lineRule="auto"/>
        <w:ind w:left="359" w:hanging="359" w:hangingChars="171"/>
        <w:rPr>
          <w:rFonts w:ascii="宋体" w:hAnsi="宋体"/>
          <w:color w:val="auto"/>
          <w:highlight w:val="none"/>
        </w:rPr>
      </w:pPr>
      <w:r>
        <w:rPr>
          <w:rFonts w:hint="eastAsia" w:ascii="宋体" w:hAnsi="宋体"/>
          <w:color w:val="auto"/>
          <w:highlight w:val="none"/>
        </w:rPr>
        <w:t xml:space="preserve">   (c)不熟悉评审本项目所必须的专业知识（招标人代表除外）；</w:t>
      </w:r>
    </w:p>
    <w:p>
      <w:pPr>
        <w:spacing w:line="360" w:lineRule="auto"/>
        <w:ind w:left="359" w:hanging="359" w:hangingChars="171"/>
        <w:rPr>
          <w:rFonts w:ascii="宋体" w:hAnsi="宋体"/>
          <w:color w:val="auto"/>
          <w:highlight w:val="none"/>
        </w:rPr>
      </w:pPr>
      <w:r>
        <w:rPr>
          <w:rFonts w:hint="eastAsia" w:ascii="宋体" w:hAnsi="宋体"/>
          <w:color w:val="auto"/>
          <w:highlight w:val="none"/>
        </w:rPr>
        <w:t xml:space="preserve">   (d) 评标前浏览过本项目的某个投标文件；</w:t>
      </w:r>
    </w:p>
    <w:p>
      <w:pPr>
        <w:spacing w:line="360" w:lineRule="auto"/>
        <w:ind w:left="359" w:hanging="359" w:hangingChars="171"/>
        <w:rPr>
          <w:rFonts w:ascii="宋体" w:hAnsi="宋体"/>
          <w:color w:val="auto"/>
          <w:highlight w:val="none"/>
        </w:rPr>
      </w:pPr>
      <w:r>
        <w:rPr>
          <w:rFonts w:hint="eastAsia" w:ascii="宋体" w:hAnsi="宋体"/>
          <w:color w:val="auto"/>
          <w:highlight w:val="none"/>
        </w:rPr>
        <w:t xml:space="preserve">   (e) 与投标人有利害关系；</w:t>
      </w:r>
    </w:p>
    <w:p>
      <w:pPr>
        <w:spacing w:line="360" w:lineRule="auto"/>
        <w:rPr>
          <w:rFonts w:ascii="宋体" w:hAnsi="宋体"/>
          <w:color w:val="auto"/>
          <w:highlight w:val="none"/>
        </w:rPr>
      </w:pPr>
      <w:r>
        <w:rPr>
          <w:rFonts w:hint="eastAsia" w:ascii="宋体" w:hAnsi="宋体"/>
          <w:color w:val="auto"/>
          <w:highlight w:val="none"/>
        </w:rPr>
        <w:t xml:space="preserve">   (f) 招标代理机构的工作人员。</w:t>
      </w:r>
    </w:p>
    <w:p>
      <w:pPr>
        <w:spacing w:line="360" w:lineRule="auto"/>
        <w:ind w:left="718" w:hanging="718" w:hangingChars="342"/>
        <w:rPr>
          <w:rFonts w:ascii="宋体" w:hAnsi="宋体" w:cs="宋体"/>
          <w:color w:val="auto"/>
          <w:szCs w:val="21"/>
          <w:highlight w:val="none"/>
          <w:u w:val="single"/>
        </w:rPr>
      </w:pPr>
      <w:r>
        <w:rPr>
          <w:rFonts w:hint="eastAsia" w:ascii="宋体" w:hAnsi="宋体"/>
          <w:color w:val="auto"/>
          <w:highlight w:val="none"/>
        </w:rPr>
        <w:t>4.2</w:t>
      </w:r>
      <w:r>
        <w:rPr>
          <w:rFonts w:ascii="宋体" w:hAnsi="宋体"/>
          <w:color w:val="auto"/>
          <w:highlight w:val="none"/>
        </w:rPr>
        <w:t>.</w:t>
      </w:r>
      <w:r>
        <w:rPr>
          <w:rFonts w:hint="eastAsia" w:ascii="宋体" w:hAnsi="宋体"/>
          <w:color w:val="auto"/>
          <w:highlight w:val="none"/>
        </w:rPr>
        <w:t xml:space="preserve">5  </w:t>
      </w:r>
      <w:r>
        <w:rPr>
          <w:rFonts w:hint="eastAsia" w:ascii="宋体" w:hAnsi="宋体" w:cs="宋体"/>
          <w:color w:val="auto"/>
          <w:szCs w:val="21"/>
          <w:highlight w:val="none"/>
        </w:rPr>
        <w:t>如果评标专家到达评标地点后发现不符合本项目评标资格，</w:t>
      </w:r>
      <w:r>
        <w:rPr>
          <w:rFonts w:hint="eastAsia" w:ascii="宋体" w:hAnsi="宋体" w:cs="宋体"/>
          <w:color w:val="auto"/>
          <w:szCs w:val="21"/>
          <w:highlight w:val="none"/>
          <w:u w:val="single"/>
        </w:rPr>
        <w:t>招标代理机构按《广东省发展改革委关于广东省综合评标评审专家库专家酬劳的管理办法》的规定向评标专家支付酬金。</w:t>
      </w:r>
    </w:p>
    <w:p>
      <w:pPr>
        <w:spacing w:line="360" w:lineRule="auto"/>
        <w:ind w:left="718" w:hanging="718" w:hangingChars="342"/>
        <w:rPr>
          <w:rFonts w:ascii="宋体" w:hAnsi="宋体"/>
          <w:color w:val="auto"/>
          <w:highlight w:val="none"/>
        </w:rPr>
      </w:pPr>
      <w:r>
        <w:rPr>
          <w:rFonts w:hint="eastAsia" w:ascii="宋体" w:hAnsi="宋体"/>
          <w:color w:val="auto"/>
          <w:highlight w:val="none"/>
        </w:rPr>
        <w:t>4.2</w:t>
      </w:r>
      <w:r>
        <w:rPr>
          <w:rFonts w:ascii="宋体" w:hAnsi="宋体"/>
          <w:color w:val="auto"/>
          <w:highlight w:val="none"/>
        </w:rPr>
        <w:t>.</w:t>
      </w:r>
      <w:r>
        <w:rPr>
          <w:rFonts w:hint="eastAsia" w:ascii="宋体" w:hAnsi="宋体"/>
          <w:color w:val="auto"/>
          <w:highlight w:val="none"/>
        </w:rPr>
        <w:t>6  评标委员会成员不得私下接触投标人，不得收受投标人的财物或者其他好处。</w:t>
      </w:r>
    </w:p>
    <w:p>
      <w:pPr>
        <w:spacing w:line="360" w:lineRule="auto"/>
        <w:ind w:left="718" w:hanging="718" w:hangingChars="342"/>
        <w:rPr>
          <w:rFonts w:ascii="宋体" w:hAnsi="宋体"/>
          <w:color w:val="auto"/>
          <w:highlight w:val="none"/>
        </w:rPr>
      </w:pPr>
      <w:r>
        <w:rPr>
          <w:rFonts w:hint="eastAsia" w:ascii="宋体" w:hAnsi="宋体"/>
          <w:color w:val="auto"/>
          <w:highlight w:val="none"/>
        </w:rPr>
        <w:t>4.2</w:t>
      </w:r>
      <w:r>
        <w:rPr>
          <w:rFonts w:ascii="宋体" w:hAnsi="宋体"/>
          <w:color w:val="auto"/>
          <w:highlight w:val="none"/>
        </w:rPr>
        <w:t>.</w:t>
      </w:r>
      <w:r>
        <w:rPr>
          <w:rFonts w:hint="eastAsia" w:ascii="宋体" w:hAnsi="宋体"/>
          <w:color w:val="auto"/>
          <w:highlight w:val="none"/>
        </w:rPr>
        <w:t>7  评标委员会开展工作期间</w:t>
      </w:r>
      <w:r>
        <w:rPr>
          <w:rFonts w:hint="eastAsia" w:ascii="宋体" w:hAnsi="宋体"/>
          <w:color w:val="auto"/>
          <w:szCs w:val="21"/>
          <w:highlight w:val="none"/>
        </w:rPr>
        <w:t>发生的费用和</w:t>
      </w:r>
      <w:r>
        <w:rPr>
          <w:rFonts w:hint="eastAsia" w:ascii="宋体" w:hAnsi="宋体"/>
          <w:color w:val="auto"/>
          <w:highlight w:val="none"/>
        </w:rPr>
        <w:t>劳务报酬由招标人承担，若招标人与招标代理机构另有协议，按协议执行。</w:t>
      </w:r>
    </w:p>
    <w:p>
      <w:pPr>
        <w:spacing w:line="360" w:lineRule="auto"/>
        <w:rPr>
          <w:rFonts w:ascii="宋体" w:hAnsi="宋体"/>
          <w:color w:val="auto"/>
          <w:highlight w:val="none"/>
        </w:rPr>
      </w:pPr>
      <w:r>
        <w:rPr>
          <w:rFonts w:hint="eastAsia" w:ascii="宋体" w:hAnsi="宋体"/>
          <w:color w:val="auto"/>
          <w:highlight w:val="none"/>
        </w:rPr>
        <w:t>4.2.8  评标结果在评标结束后公示，接受公众监督。</w:t>
      </w:r>
    </w:p>
    <w:p>
      <w:pPr>
        <w:spacing w:line="360" w:lineRule="auto"/>
        <w:rPr>
          <w:rFonts w:ascii="宋体" w:hAnsi="宋体"/>
          <w:color w:val="auto"/>
          <w:highlight w:val="none"/>
        </w:rPr>
      </w:pPr>
    </w:p>
    <w:p>
      <w:pPr>
        <w:spacing w:line="360" w:lineRule="auto"/>
        <w:rPr>
          <w:rFonts w:ascii="宋体" w:hAnsi="宋体"/>
          <w:strike/>
          <w:color w:val="auto"/>
          <w:highlight w:val="none"/>
        </w:rPr>
      </w:pPr>
      <w:r>
        <w:rPr>
          <w:rFonts w:hint="eastAsia" w:ascii="宋体" w:hAnsi="宋体"/>
          <w:strike/>
          <w:color w:val="auto"/>
          <w:highlight w:val="none"/>
        </w:rPr>
        <w:t>4.3    定标委员会（如有）</w:t>
      </w:r>
    </w:p>
    <w:p>
      <w:pPr>
        <w:spacing w:line="360" w:lineRule="auto"/>
        <w:rPr>
          <w:rFonts w:ascii="宋体" w:hAnsi="宋体"/>
          <w:strike/>
          <w:color w:val="auto"/>
          <w:highlight w:val="none"/>
        </w:rPr>
      </w:pPr>
      <w:r>
        <w:rPr>
          <w:rFonts w:hint="eastAsia" w:ascii="宋体" w:hAnsi="宋体"/>
          <w:strike/>
          <w:color w:val="auto"/>
          <w:highlight w:val="none"/>
        </w:rPr>
        <w:t>4.3.1  定标委员会由招标人组建。组建办法详见附表15《定标委员会的组成》。</w:t>
      </w:r>
    </w:p>
    <w:p>
      <w:pPr>
        <w:spacing w:line="360" w:lineRule="auto"/>
        <w:rPr>
          <w:rFonts w:ascii="宋体" w:hAnsi="宋体"/>
          <w:color w:val="auto"/>
          <w:highlight w:val="none"/>
        </w:rPr>
      </w:pPr>
    </w:p>
    <w:p>
      <w:pPr>
        <w:spacing w:line="360" w:lineRule="auto"/>
        <w:rPr>
          <w:rFonts w:ascii="宋体" w:hAnsi="宋体"/>
          <w:b/>
          <w:bCs/>
          <w:color w:val="auto"/>
          <w:highlight w:val="none"/>
        </w:rPr>
      </w:pPr>
      <w:r>
        <w:rPr>
          <w:rFonts w:hint="eastAsia" w:ascii="宋体" w:hAnsi="宋体"/>
          <w:b/>
          <w:bCs/>
          <w:color w:val="auto"/>
          <w:highlight w:val="none"/>
        </w:rPr>
        <w:t>4.4    评标原则</w:t>
      </w:r>
    </w:p>
    <w:p>
      <w:pPr>
        <w:spacing w:line="360" w:lineRule="auto"/>
        <w:ind w:left="718" w:hanging="718" w:hangingChars="342"/>
        <w:rPr>
          <w:rFonts w:ascii="宋体" w:hAnsi="宋体"/>
          <w:color w:val="auto"/>
          <w:highlight w:val="none"/>
        </w:rPr>
      </w:pPr>
      <w:r>
        <w:rPr>
          <w:rFonts w:hint="eastAsia" w:ascii="宋体" w:hAnsi="宋体"/>
          <w:color w:val="auto"/>
          <w:highlight w:val="none"/>
        </w:rPr>
        <w:t>4.4.1  评标委员会根据招标文件规定的评标标准和方法，对投标文件进行评审和比较，招标文件中没有规定的标准和方法不得作为评标的依据。</w:t>
      </w:r>
    </w:p>
    <w:p>
      <w:pPr>
        <w:spacing w:line="360" w:lineRule="auto"/>
        <w:ind w:left="718" w:hanging="718" w:hangingChars="342"/>
        <w:rPr>
          <w:rFonts w:ascii="宋体" w:hAnsi="宋体"/>
          <w:color w:val="auto"/>
          <w:highlight w:val="none"/>
        </w:rPr>
      </w:pPr>
      <w:r>
        <w:rPr>
          <w:rFonts w:hint="eastAsia" w:ascii="宋体" w:hAnsi="宋体"/>
          <w:color w:val="auto"/>
          <w:highlight w:val="none"/>
        </w:rPr>
        <w:t>4.4.2  在符合招标文件规定的前提下，评标委员会主要对投标方案</w:t>
      </w:r>
      <w:r>
        <w:rPr>
          <w:rFonts w:ascii="宋体" w:hAnsi="宋体"/>
          <w:color w:val="auto"/>
          <w:highlight w:val="none"/>
        </w:rPr>
        <w:t>的经济性</w:t>
      </w:r>
      <w:r>
        <w:rPr>
          <w:rFonts w:hint="eastAsia" w:ascii="宋体" w:hAnsi="宋体"/>
          <w:color w:val="auto"/>
          <w:highlight w:val="none"/>
        </w:rPr>
        <w:t>、</w:t>
      </w:r>
      <w:r>
        <w:rPr>
          <w:rFonts w:ascii="宋体" w:hAnsi="宋体"/>
          <w:color w:val="auto"/>
          <w:highlight w:val="none"/>
        </w:rPr>
        <w:t>独创性</w:t>
      </w:r>
      <w:r>
        <w:rPr>
          <w:rFonts w:hint="eastAsia" w:ascii="宋体" w:hAnsi="宋体"/>
          <w:color w:val="auto"/>
          <w:highlight w:val="none"/>
        </w:rPr>
        <w:t>、优越性、功能和造型、运行和维护费用、对环境的影响等进行比选、评价和裁定，确定方案的优劣。</w:t>
      </w:r>
    </w:p>
    <w:p>
      <w:pPr>
        <w:spacing w:line="360" w:lineRule="auto"/>
        <w:ind w:left="718" w:hanging="718" w:hangingChars="342"/>
        <w:jc w:val="left"/>
        <w:rPr>
          <w:rFonts w:ascii="宋体" w:hAnsi="宋体"/>
          <w:color w:val="auto"/>
          <w:highlight w:val="none"/>
        </w:rPr>
      </w:pPr>
      <w:r>
        <w:rPr>
          <w:rFonts w:hint="eastAsia" w:ascii="宋体" w:hAnsi="宋体"/>
          <w:color w:val="auto"/>
          <w:highlight w:val="none"/>
        </w:rPr>
        <w:t>4.4.3  开标、评标过程发现的问题和产生的纠纷，由评标委员会负责裁决。裁决前，评标委员会应认真阅读招标文件的规定，并征询招标人、招标代理机构、交易服务机构、招标管理机构、监督机构等各方代表的意见。除非符合否决投标的条件，否则投标文件存在的其他缺陷和失误，由评标委员会在评估时综合考虑，不作否决投标处理。</w:t>
      </w:r>
    </w:p>
    <w:p>
      <w:pPr>
        <w:spacing w:line="360" w:lineRule="auto"/>
        <w:ind w:left="718" w:hanging="718" w:hangingChars="342"/>
        <w:rPr>
          <w:rFonts w:ascii="宋体" w:hAnsi="宋体"/>
          <w:color w:val="auto"/>
          <w:highlight w:val="none"/>
        </w:rPr>
      </w:pPr>
      <w:r>
        <w:rPr>
          <w:rFonts w:hint="eastAsia" w:ascii="宋体" w:hAnsi="宋体"/>
          <w:color w:val="auto"/>
          <w:highlight w:val="none"/>
        </w:rPr>
        <w:t>4.4.4  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pPr>
        <w:spacing w:line="360" w:lineRule="auto"/>
        <w:ind w:left="686" w:leftChars="304" w:hanging="48" w:hangingChars="23"/>
        <w:rPr>
          <w:rFonts w:ascii="宋体" w:hAnsi="宋体"/>
          <w:color w:val="auto"/>
          <w:highlight w:val="none"/>
        </w:rPr>
      </w:pPr>
      <w:r>
        <w:rPr>
          <w:rFonts w:hint="eastAsia" w:ascii="宋体" w:hAnsi="宋体"/>
          <w:color w:val="auto"/>
          <w:highlight w:val="none"/>
        </w:rPr>
        <w:t>若在评标期间（</w:t>
      </w:r>
      <w:r>
        <w:rPr>
          <w:rFonts w:hint="eastAsia" w:ascii="宋体" w:hAnsi="宋体"/>
          <w:color w:val="auto"/>
          <w:highlight w:val="none"/>
          <w:u w:val="single"/>
        </w:rPr>
        <w:t>勘察设计技术方案</w:t>
      </w:r>
      <w:r>
        <w:rPr>
          <w:rFonts w:hint="eastAsia" w:ascii="宋体" w:hAnsi="宋体"/>
          <w:color w:val="auto"/>
          <w:highlight w:val="none"/>
        </w:rPr>
        <w:t>评审阶段除外），经评标委员会两人以上（含两人）以书面形式提出动议，评标委员会应当书面发出澄清通知，要求投标人对投标文件含义不明确的内容作出澄清。</w:t>
      </w:r>
    </w:p>
    <w:p>
      <w:pPr>
        <w:spacing w:line="360" w:lineRule="auto"/>
        <w:ind w:left="686" w:leftChars="304" w:hanging="48" w:hangingChars="23"/>
        <w:rPr>
          <w:rFonts w:ascii="宋体" w:hAnsi="宋体"/>
          <w:color w:val="auto"/>
          <w:highlight w:val="none"/>
        </w:rPr>
      </w:pPr>
      <w:r>
        <w:rPr>
          <w:rFonts w:hint="eastAsia" w:ascii="宋体" w:hAnsi="宋体"/>
          <w:color w:val="auto"/>
          <w:highlight w:val="none"/>
        </w:rPr>
        <w:t>投标人应以书面形式进行澄清，澄清中的承诺性意思表示在投标文件有效期内均对投标人有约束力。澄清不得超出投标文件的范围或改变投标文件的实质性内容，超出部分不作为评标委员会评审的依据。</w:t>
      </w:r>
    </w:p>
    <w:p>
      <w:pPr>
        <w:spacing w:line="360" w:lineRule="auto"/>
        <w:ind w:left="686" w:leftChars="304" w:hanging="48" w:hangingChars="23"/>
        <w:rPr>
          <w:rFonts w:ascii="宋体" w:hAnsi="宋体"/>
          <w:color w:val="auto"/>
          <w:highlight w:val="none"/>
        </w:rPr>
      </w:pPr>
      <w:r>
        <w:rPr>
          <w:rFonts w:hint="eastAsia" w:ascii="宋体" w:hAnsi="宋体"/>
          <w:color w:val="auto"/>
          <w:highlight w:val="none"/>
        </w:rPr>
        <w:t>评标委员会均应当阅读投标人的澄清，但应独立参考澄清对投标文件进行评审。</w:t>
      </w:r>
    </w:p>
    <w:p>
      <w:pPr>
        <w:spacing w:line="360" w:lineRule="auto"/>
        <w:ind w:left="718" w:hanging="718" w:hangingChars="342"/>
        <w:rPr>
          <w:rFonts w:ascii="宋体" w:hAnsi="宋体"/>
          <w:color w:val="auto"/>
          <w:highlight w:val="none"/>
        </w:rPr>
      </w:pPr>
      <w:r>
        <w:rPr>
          <w:rFonts w:hint="eastAsia" w:ascii="宋体" w:hAnsi="宋体"/>
          <w:color w:val="auto"/>
          <w:highlight w:val="none"/>
        </w:rPr>
        <w:t>4.4</w:t>
      </w:r>
      <w:r>
        <w:rPr>
          <w:rFonts w:ascii="宋体" w:hAnsi="宋体"/>
          <w:color w:val="auto"/>
          <w:highlight w:val="none"/>
        </w:rPr>
        <w:t>.</w:t>
      </w:r>
      <w:r>
        <w:rPr>
          <w:rFonts w:hint="eastAsia" w:ascii="宋体" w:hAnsi="宋体"/>
          <w:color w:val="auto"/>
          <w:highlight w:val="none"/>
        </w:rPr>
        <w:t>5  如果少数投标人超越招标文件要求提交了模型、演示动画或发生其他特殊情况，评标委员会对超越招标文件要求的内容不进行评审，只评审该投标文件符合要求的内容。</w:t>
      </w:r>
    </w:p>
    <w:p>
      <w:pPr>
        <w:spacing w:line="360" w:lineRule="auto"/>
        <w:ind w:left="718" w:hanging="718" w:hangingChars="342"/>
        <w:rPr>
          <w:rFonts w:ascii="宋体" w:hAnsi="宋体"/>
          <w:color w:val="auto"/>
          <w:highlight w:val="none"/>
        </w:rPr>
      </w:pPr>
      <w:r>
        <w:rPr>
          <w:rFonts w:hint="eastAsia" w:ascii="宋体" w:hAnsi="宋体"/>
          <w:color w:val="auto"/>
          <w:highlight w:val="none"/>
        </w:rPr>
        <w:t>4.4</w:t>
      </w:r>
      <w:r>
        <w:rPr>
          <w:rFonts w:ascii="宋体" w:hAnsi="宋体"/>
          <w:color w:val="auto"/>
          <w:highlight w:val="none"/>
        </w:rPr>
        <w:t>.</w:t>
      </w:r>
      <w:r>
        <w:rPr>
          <w:rFonts w:hint="eastAsia" w:ascii="宋体" w:hAnsi="宋体"/>
          <w:color w:val="auto"/>
          <w:highlight w:val="none"/>
        </w:rPr>
        <w:t>6  评标委员会经评审，认为所有投标都不符合招标文件要求的，可以否决所有投标。</w:t>
      </w:r>
      <w:r>
        <w:rPr>
          <w:rFonts w:hint="eastAsia" w:ascii="宋体" w:hAnsi="宋体"/>
          <w:color w:val="auto"/>
          <w:szCs w:val="21"/>
          <w:highlight w:val="none"/>
        </w:rPr>
        <w:t>因有效投标不足三个使得投标明显缺乏竞争，评标委员会可以否决全部投标。</w:t>
      </w:r>
      <w:r>
        <w:rPr>
          <w:rFonts w:hint="eastAsia" w:ascii="宋体" w:hAnsi="宋体"/>
          <w:color w:val="auto"/>
          <w:highlight w:val="none"/>
        </w:rPr>
        <w:t>如果所有投标被否决而重新招标，评标委员会成员及其从业机构不得参加投标。</w:t>
      </w:r>
    </w:p>
    <w:p>
      <w:pPr>
        <w:spacing w:line="360" w:lineRule="auto"/>
        <w:rPr>
          <w:rFonts w:ascii="宋体" w:hAnsi="宋体"/>
          <w:color w:val="auto"/>
          <w:highlight w:val="none"/>
        </w:rPr>
      </w:pPr>
    </w:p>
    <w:p>
      <w:pPr>
        <w:spacing w:line="360" w:lineRule="auto"/>
        <w:rPr>
          <w:rFonts w:ascii="宋体" w:hAnsi="宋体"/>
          <w:b/>
          <w:bCs/>
          <w:color w:val="auto"/>
          <w:highlight w:val="none"/>
        </w:rPr>
      </w:pPr>
      <w:r>
        <w:rPr>
          <w:rFonts w:hint="eastAsia" w:ascii="宋体" w:hAnsi="宋体"/>
          <w:b/>
          <w:bCs/>
          <w:color w:val="auto"/>
          <w:highlight w:val="none"/>
        </w:rPr>
        <w:t>4.5    评标办法</w:t>
      </w:r>
    </w:p>
    <w:p>
      <w:pPr>
        <w:spacing w:line="360" w:lineRule="auto"/>
        <w:rPr>
          <w:rFonts w:ascii="宋体" w:hAnsi="宋体"/>
          <w:color w:val="auto"/>
          <w:highlight w:val="none"/>
        </w:rPr>
      </w:pPr>
      <w:r>
        <w:rPr>
          <w:rFonts w:hint="eastAsia" w:ascii="宋体" w:hAnsi="宋体"/>
          <w:color w:val="auto"/>
          <w:highlight w:val="none"/>
        </w:rPr>
        <w:t>[注释] 招标人应在招标文件修改表中明确适用于本项目的评标方法。</w:t>
      </w:r>
    </w:p>
    <w:p>
      <w:pPr>
        <w:spacing w:line="360" w:lineRule="auto"/>
        <w:ind w:firstLine="420" w:firstLineChars="200"/>
        <w:rPr>
          <w:rFonts w:ascii="宋体" w:hAnsi="宋体"/>
          <w:color w:val="auto"/>
          <w:highlight w:val="none"/>
        </w:rPr>
      </w:pPr>
    </w:p>
    <w:p>
      <w:pPr>
        <w:spacing w:line="360" w:lineRule="auto"/>
        <w:ind w:left="838" w:hanging="837" w:hangingChars="399"/>
        <w:rPr>
          <w:rFonts w:ascii="宋体" w:hAnsi="宋体"/>
          <w:color w:val="auto"/>
          <w:highlight w:val="none"/>
        </w:rPr>
      </w:pPr>
      <w:r>
        <w:rPr>
          <w:rFonts w:hint="eastAsia" w:ascii="宋体" w:hAnsi="宋体"/>
          <w:color w:val="auto"/>
          <w:highlight w:val="none"/>
        </w:rPr>
        <w:t xml:space="preserve">4.5.1  是否采用评定分离：□是，入围定标环节的投标人家数：    名； </w:t>
      </w:r>
    </w:p>
    <w:p>
      <w:pPr>
        <w:spacing w:line="360" w:lineRule="auto"/>
        <w:ind w:left="838" w:hanging="837" w:hangingChars="399"/>
        <w:rPr>
          <w:rFonts w:ascii="宋体" w:hAnsi="宋体"/>
          <w:color w:val="auto"/>
          <w:highlight w:val="none"/>
        </w:rPr>
      </w:pPr>
      <w:r>
        <w:rPr>
          <w:rFonts w:hint="eastAsia" w:ascii="宋体" w:hAnsi="宋体"/>
          <w:color w:val="auto"/>
          <w:highlight w:val="none"/>
        </w:rPr>
        <w:t xml:space="preserve">                         </w:t>
      </w:r>
      <w:r>
        <w:rPr>
          <w:rFonts w:ascii="Segoe UI Symbol" w:hAnsi="Segoe UI Symbol" w:cs="Segoe UI Symbol"/>
          <w:color w:val="auto"/>
          <w:highlight w:val="none"/>
        </w:rPr>
        <w:t>☑</w:t>
      </w:r>
      <w:r>
        <w:rPr>
          <w:rFonts w:hint="eastAsia" w:ascii="宋体" w:hAnsi="宋体"/>
          <w:color w:val="auto"/>
          <w:highlight w:val="none"/>
        </w:rPr>
        <w:t>否。</w:t>
      </w:r>
    </w:p>
    <w:p>
      <w:pPr>
        <w:spacing w:line="360" w:lineRule="auto"/>
        <w:ind w:left="838" w:hanging="837" w:hangingChars="399"/>
        <w:rPr>
          <w:rFonts w:ascii="宋体" w:hAnsi="宋体"/>
          <w:color w:val="auto"/>
          <w:highlight w:val="none"/>
        </w:rPr>
      </w:pPr>
      <w:r>
        <w:rPr>
          <w:rFonts w:hint="eastAsia" w:ascii="宋体" w:hAnsi="宋体"/>
          <w:color w:val="auto"/>
          <w:highlight w:val="none"/>
        </w:rPr>
        <w:t>4.5.2  不采用评定分离项目的评标办法</w:t>
      </w:r>
    </w:p>
    <w:p>
      <w:pPr>
        <w:spacing w:line="360" w:lineRule="auto"/>
        <w:ind w:left="838" w:hanging="837" w:hangingChars="399"/>
        <w:jc w:val="left"/>
        <w:rPr>
          <w:rFonts w:ascii="宋体" w:hAnsi="宋体"/>
          <w:color w:val="auto"/>
          <w:szCs w:val="21"/>
          <w:highlight w:val="none"/>
        </w:rPr>
      </w:pPr>
      <w:r>
        <w:rPr>
          <w:rFonts w:hint="eastAsia" w:ascii="宋体" w:hAnsi="宋体"/>
          <w:color w:val="auto"/>
          <w:szCs w:val="21"/>
          <w:highlight w:val="none"/>
        </w:rPr>
        <w:t>4.5.2.1 招标人（招标代理机构）在不透露投标人身份的前提下（资格审查文件</w:t>
      </w:r>
      <w:r>
        <w:rPr>
          <w:rFonts w:hint="eastAsia" w:ascii="宋体" w:hAnsi="宋体" w:cs="宋体"/>
          <w:color w:val="auto"/>
          <w:szCs w:val="21"/>
          <w:highlight w:val="none"/>
          <w:u w:val="single"/>
        </w:rPr>
        <w:t>和商务文件除外），对于勘察设计技术方案（技术文件）开标时不得开启，在评标时由交易平台随机编号后开启，交由评标委员会以暗标形式进行评审</w:t>
      </w:r>
      <w:r>
        <w:rPr>
          <w:rFonts w:hint="eastAsia" w:ascii="宋体" w:hAnsi="宋体"/>
          <w:color w:val="auto"/>
          <w:szCs w:val="21"/>
          <w:highlight w:val="none"/>
        </w:rPr>
        <w:t>，不需要投标人派代表介绍投标方案。</w:t>
      </w:r>
    </w:p>
    <w:p>
      <w:pPr>
        <w:spacing w:line="360" w:lineRule="auto"/>
        <w:ind w:left="838" w:hanging="837" w:hangingChars="399"/>
        <w:jc w:val="left"/>
        <w:rPr>
          <w:rFonts w:ascii="宋体" w:hAnsi="宋体"/>
          <w:color w:val="auto"/>
          <w:szCs w:val="21"/>
          <w:highlight w:val="none"/>
        </w:rPr>
      </w:pPr>
      <w:r>
        <w:rPr>
          <w:rFonts w:hint="eastAsia" w:ascii="宋体" w:hAnsi="宋体"/>
          <w:color w:val="auto"/>
          <w:szCs w:val="21"/>
          <w:highlight w:val="none"/>
        </w:rPr>
        <w:t>4.5.2.2评标委员会成员在交易服务机构评标，将以</w:t>
      </w:r>
      <w:r>
        <w:rPr>
          <w:rFonts w:hint="eastAsia" w:ascii="宋体" w:hAnsi="宋体"/>
          <w:color w:val="auto"/>
          <w:szCs w:val="21"/>
          <w:highlight w:val="none"/>
          <w:u w:val="single"/>
        </w:rPr>
        <w:t>下列</w:t>
      </w:r>
      <w:r>
        <w:rPr>
          <w:rFonts w:hint="eastAsia" w:ascii="宋体" w:hAnsi="宋体"/>
          <w:color w:val="auto"/>
          <w:szCs w:val="21"/>
          <w:highlight w:val="none"/>
        </w:rPr>
        <w:t>步骤进行：</w:t>
      </w:r>
    </w:p>
    <w:p>
      <w:pPr>
        <w:spacing w:line="360" w:lineRule="auto"/>
        <w:ind w:left="838" w:hanging="837" w:hangingChars="399"/>
        <w:jc w:val="left"/>
        <w:rPr>
          <w:rFonts w:ascii="宋体" w:hAnsi="宋体"/>
          <w:color w:val="auto"/>
          <w:szCs w:val="21"/>
          <w:highlight w:val="none"/>
        </w:rPr>
      </w:pPr>
      <w:r>
        <w:rPr>
          <w:rFonts w:hint="eastAsia" w:ascii="宋体" w:hAnsi="宋体"/>
          <w:color w:val="auto"/>
          <w:szCs w:val="21"/>
          <w:highlight w:val="none"/>
        </w:rPr>
        <w:t xml:space="preserve">       (a) </w:t>
      </w:r>
      <w:r>
        <w:rPr>
          <w:rFonts w:hint="eastAsia" w:ascii="宋体" w:hAnsi="宋体"/>
          <w:color w:val="auto"/>
          <w:szCs w:val="21"/>
          <w:highlight w:val="none"/>
          <w:u w:val="single"/>
        </w:rPr>
        <w:t>评标委员会成员依据招标文件规定，按附录9《资格审查表》对各投标人递交的投标文件进行资格审查。汇总资格审查结果，编写资格审查报告。只有通过资格审查的投标文件方可进入下一阶段的评审。如果有否决投标提议，则评标委员会成员共同表决，按照少数服从多数的原则决定是否否决。</w:t>
      </w:r>
    </w:p>
    <w:p>
      <w:pPr>
        <w:spacing w:line="360" w:lineRule="auto"/>
        <w:ind w:left="838" w:hanging="837" w:hangingChars="399"/>
        <w:jc w:val="left"/>
        <w:rPr>
          <w:rFonts w:ascii="宋体" w:hAnsi="宋体"/>
          <w:color w:val="auto"/>
          <w:szCs w:val="21"/>
          <w:highlight w:val="none"/>
        </w:rPr>
      </w:pPr>
      <w:r>
        <w:rPr>
          <w:rFonts w:hint="eastAsia" w:ascii="宋体" w:hAnsi="宋体"/>
          <w:color w:val="auto"/>
          <w:szCs w:val="21"/>
          <w:highlight w:val="none"/>
        </w:rPr>
        <w:t xml:space="preserve">       (b) </w:t>
      </w:r>
      <w:r>
        <w:rPr>
          <w:rFonts w:hint="eastAsia" w:ascii="宋体" w:hAnsi="宋体"/>
          <w:color w:val="auto"/>
          <w:szCs w:val="21"/>
          <w:highlight w:val="none"/>
          <w:u w:val="single"/>
        </w:rPr>
        <w:t>评标委员会成员按附录10《商务文件有效性审查表》对通过资格审查的投标人递交的商务文件进行有效性审查。只有通过商务有效性审查的投标文件方可进入下一阶段的评审。如果有否决投标提议，则评标委员会成员共同表决，按照少数服从多数的原则决定是否否决。</w:t>
      </w:r>
    </w:p>
    <w:p>
      <w:pPr>
        <w:spacing w:line="360" w:lineRule="auto"/>
        <w:ind w:left="838" w:hanging="837" w:hangingChars="399"/>
        <w:jc w:val="left"/>
        <w:rPr>
          <w:rFonts w:ascii="宋体" w:hAnsi="宋体"/>
          <w:color w:val="auto"/>
          <w:szCs w:val="21"/>
          <w:highlight w:val="none"/>
        </w:rPr>
      </w:pPr>
      <w:r>
        <w:rPr>
          <w:rFonts w:hint="eastAsia" w:ascii="宋体" w:hAnsi="宋体"/>
          <w:color w:val="auto"/>
          <w:szCs w:val="21"/>
          <w:highlight w:val="none"/>
        </w:rPr>
        <w:t xml:space="preserve">       (c) </w:t>
      </w:r>
      <w:r>
        <w:rPr>
          <w:rFonts w:hint="eastAsia" w:ascii="宋体" w:hAnsi="宋体"/>
          <w:color w:val="auto"/>
          <w:szCs w:val="21"/>
          <w:highlight w:val="none"/>
          <w:u w:val="single"/>
        </w:rPr>
        <w:t>评标委员会成员按附录11《商务文件综合评分表》对通过有效性审查的商务文件进行综合评分。所有评委每个分项的分数汇总后去掉一个最高分和一个最低分后计取算术平均值，得出每个投标人商务文件的得分，分数出现小数点，保留小数点后二位，第三位小数四舍五入。</w:t>
      </w:r>
    </w:p>
    <w:p>
      <w:pPr>
        <w:spacing w:line="360" w:lineRule="auto"/>
        <w:ind w:left="838" w:hanging="837" w:hangingChars="399"/>
        <w:jc w:val="left"/>
        <w:rPr>
          <w:rFonts w:ascii="宋体" w:hAnsi="宋体"/>
          <w:color w:val="auto"/>
          <w:highlight w:val="none"/>
        </w:rPr>
      </w:pPr>
      <w:r>
        <w:rPr>
          <w:rFonts w:hint="eastAsia" w:ascii="宋体" w:hAnsi="宋体"/>
          <w:color w:val="auto"/>
          <w:szCs w:val="21"/>
          <w:highlight w:val="none"/>
        </w:rPr>
        <w:t xml:space="preserve">       (d)</w:t>
      </w:r>
      <w:r>
        <w:rPr>
          <w:rFonts w:hint="eastAsia" w:ascii="宋体" w:hAnsi="宋体"/>
          <w:color w:val="auto"/>
          <w:highlight w:val="none"/>
        </w:rPr>
        <w:t xml:space="preserve"> </w:t>
      </w:r>
      <w:r>
        <w:rPr>
          <w:rFonts w:hint="eastAsia" w:ascii="宋体" w:hAnsi="宋体"/>
          <w:color w:val="auto"/>
          <w:szCs w:val="21"/>
          <w:highlight w:val="none"/>
          <w:u w:val="single"/>
        </w:rPr>
        <w:t>评标委员会成员按附录12《技术文件有效性审查表》对勘察设计技术方案（技术文件）进行有效性审查。只有通过技术文件有效性审查的投标文件方可进入下一阶段的评审。如果有否决投标提议，则评标委员会成员共同表决，按照少数服从多数的原则决定是否否决。</w:t>
      </w:r>
    </w:p>
    <w:p>
      <w:pPr>
        <w:spacing w:line="360" w:lineRule="auto"/>
        <w:ind w:left="838" w:hanging="837" w:hangingChars="399"/>
        <w:jc w:val="left"/>
        <w:rPr>
          <w:rFonts w:ascii="宋体" w:hAnsi="宋体"/>
          <w:color w:val="auto"/>
          <w:szCs w:val="21"/>
          <w:highlight w:val="none"/>
        </w:rPr>
      </w:pPr>
      <w:r>
        <w:rPr>
          <w:rFonts w:hint="eastAsia" w:ascii="宋体" w:hAnsi="宋体"/>
          <w:color w:val="auto"/>
          <w:szCs w:val="21"/>
          <w:highlight w:val="none"/>
        </w:rPr>
        <w:t xml:space="preserve">       (e) </w:t>
      </w:r>
      <w:r>
        <w:rPr>
          <w:rFonts w:hint="eastAsia" w:ascii="宋体" w:hAnsi="宋体"/>
          <w:color w:val="auto"/>
          <w:szCs w:val="21"/>
          <w:highlight w:val="none"/>
          <w:u w:val="single"/>
        </w:rPr>
        <w:t>评标委员会成员按附录13《技术文件综合评分表》对通过有效性审查的勘察设计技术方案（技术文件）进行综合评分。所有评委每个分项的分数汇总后去掉一个最高分和一个最低分后计取算术平均值，得出每个投标人技术文件的得分，分数出现小数点，保留小数点后二位，第三位小数四舍五入。</w:t>
      </w:r>
    </w:p>
    <w:p>
      <w:pPr>
        <w:spacing w:line="360" w:lineRule="auto"/>
        <w:ind w:left="708" w:leftChars="337"/>
        <w:jc w:val="left"/>
        <w:rPr>
          <w:rFonts w:ascii="宋体" w:hAnsi="宋体"/>
          <w:color w:val="auto"/>
          <w:highlight w:val="none"/>
        </w:rPr>
      </w:pPr>
      <w:r>
        <w:rPr>
          <w:rFonts w:ascii="宋体" w:hAnsi="宋体"/>
          <w:color w:val="auto"/>
          <w:szCs w:val="21"/>
          <w:highlight w:val="none"/>
        </w:rPr>
        <w:t>(f)</w:t>
      </w:r>
      <w:r>
        <w:rPr>
          <w:rFonts w:hint="eastAsia" w:ascii="宋体" w:hAnsi="宋体"/>
          <w:color w:val="auto"/>
          <w:highlight w:val="none"/>
        </w:rPr>
        <w:t xml:space="preserve"> </w:t>
      </w:r>
      <w:r>
        <w:rPr>
          <w:rFonts w:hint="eastAsia" w:ascii="宋体" w:hAnsi="宋体"/>
          <w:color w:val="auto"/>
          <w:szCs w:val="21"/>
          <w:highlight w:val="none"/>
          <w:u w:val="single"/>
        </w:rPr>
        <w:t>评标委员会揭晓各勘察设计技术方案（技术文件）对应的投标人身份。</w:t>
      </w:r>
    </w:p>
    <w:p>
      <w:pPr>
        <w:spacing w:line="360" w:lineRule="auto"/>
        <w:ind w:left="838" w:hanging="837" w:hangingChars="399"/>
        <w:jc w:val="left"/>
        <w:rPr>
          <w:rFonts w:ascii="宋体" w:hAnsi="宋体"/>
          <w:color w:val="auto"/>
          <w:szCs w:val="21"/>
          <w:highlight w:val="none"/>
          <w:u w:val="single"/>
        </w:rPr>
      </w:pPr>
      <w:r>
        <w:rPr>
          <w:rFonts w:hint="eastAsia" w:ascii="宋体" w:hAnsi="宋体"/>
          <w:color w:val="auto"/>
          <w:szCs w:val="21"/>
          <w:highlight w:val="none"/>
        </w:rPr>
        <w:t xml:space="preserve">       </w:t>
      </w:r>
      <w:r>
        <w:rPr>
          <w:rFonts w:ascii="宋体" w:hAnsi="宋体"/>
          <w:color w:val="auto"/>
          <w:szCs w:val="21"/>
          <w:highlight w:val="none"/>
        </w:rPr>
        <w:t>(g)</w:t>
      </w:r>
      <w:r>
        <w:rPr>
          <w:rFonts w:hint="eastAsia" w:ascii="宋体" w:hAnsi="宋体"/>
          <w:color w:val="auto"/>
          <w:szCs w:val="21"/>
          <w:highlight w:val="none"/>
        </w:rPr>
        <w:t xml:space="preserve"> </w:t>
      </w:r>
      <w:r>
        <w:rPr>
          <w:rFonts w:hint="eastAsia" w:ascii="宋体" w:hAnsi="宋体"/>
          <w:color w:val="auto"/>
          <w:szCs w:val="21"/>
          <w:highlight w:val="none"/>
          <w:u w:val="single"/>
        </w:rPr>
        <w:t>评标委员会按只有通过资格审查及有效性审查的投标人的投标文件方可进入下一阶段评审的评审原则，在揭晓投标人身份后，根据资格审查及有效性审查结果，去除被否决投标及未通过资格审查的投标人，评标委员对各有效投标人的勘察设计技术方案（技术文件）得分由高至低进行排序，依次确定获得投标经济补偿的投标人及其费用。</w:t>
      </w:r>
    </w:p>
    <w:p>
      <w:pPr>
        <w:spacing w:line="360" w:lineRule="auto"/>
        <w:ind w:left="708" w:leftChars="337"/>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h</w:t>
      </w:r>
      <w:r>
        <w:rPr>
          <w:rFonts w:hint="eastAsia" w:ascii="宋体" w:hAnsi="宋体"/>
          <w:color w:val="auto"/>
          <w:szCs w:val="21"/>
          <w:highlight w:val="none"/>
        </w:rPr>
        <w:t xml:space="preserve">) </w:t>
      </w:r>
      <w:r>
        <w:rPr>
          <w:rFonts w:hint="eastAsia" w:ascii="宋体" w:hAnsi="宋体"/>
          <w:color w:val="auto"/>
          <w:szCs w:val="21"/>
          <w:highlight w:val="none"/>
          <w:u w:val="single"/>
        </w:rPr>
        <w:t>评标委员会按只有通过资格审查及有效性审查的投标人的投标文件方可进入下一阶段评审的评审原则，在揭晓投标人身份后，根据资格审查及有效性审查结果，去除被否决投标及未通过资格审查的投标人，评标委员会汇总计算各有效投标人的综合得分，投标人的综合得分（满分100分）＝商务文件得分×30%+技术文件得分×70%，然后按照综合得分由高至低进行排序。综合得分相同的，则以技术文件得分较高的排前；若技术文件得分仍相同的，则以投标报价较低的排前；如仍存在相同情况，则对具有相同情况的投标人，由评标委员会采用记名投票方式，确定投标人最终名次的排序。评标委员会按综合得分最终排序的先后，依次推荐3名中标候选人。</w:t>
      </w:r>
    </w:p>
    <w:p>
      <w:pPr>
        <w:spacing w:line="360" w:lineRule="auto"/>
        <w:ind w:left="838" w:hanging="837" w:hangingChars="399"/>
        <w:jc w:val="left"/>
        <w:rPr>
          <w:rFonts w:ascii="宋体" w:hAnsi="宋体"/>
          <w:color w:val="auto"/>
          <w:szCs w:val="21"/>
          <w:highlight w:val="none"/>
        </w:rPr>
      </w:pPr>
      <w:r>
        <w:rPr>
          <w:rFonts w:hint="eastAsia" w:ascii="宋体" w:hAnsi="宋体"/>
          <w:color w:val="auto"/>
          <w:szCs w:val="21"/>
          <w:highlight w:val="none"/>
        </w:rPr>
        <w:t xml:space="preserve">       (i) 编写、签署评标报告，并标明最终中标候选人的排列顺序，评标报告由评标委员会全体成员签字，对评标结论持有异议的评标委员会成员可以书面方式阐述其不同意见和理由。</w:t>
      </w:r>
    </w:p>
    <w:p>
      <w:pPr>
        <w:spacing w:line="360" w:lineRule="auto"/>
        <w:ind w:left="838" w:hanging="837" w:hangingChars="399"/>
        <w:jc w:val="left"/>
        <w:rPr>
          <w:rFonts w:ascii="宋体" w:hAnsi="宋体"/>
          <w:color w:val="auto"/>
          <w:szCs w:val="21"/>
          <w:highlight w:val="none"/>
        </w:rPr>
      </w:pPr>
      <w:r>
        <w:rPr>
          <w:rFonts w:hint="eastAsia" w:ascii="宋体" w:hAnsi="宋体"/>
          <w:color w:val="auto"/>
          <w:szCs w:val="21"/>
          <w:highlight w:val="none"/>
        </w:rPr>
        <w:t xml:space="preserve">       (j) 评标委员会向招标人提交书面评标报告后即告解散，评标过程中使用的文件、表格以及其他资料应当即时归还招标人（招标代理机构）。</w:t>
      </w:r>
    </w:p>
    <w:p>
      <w:pPr>
        <w:rPr>
          <w:rFonts w:ascii="宋体" w:hAnsi="宋体" w:cs="宋体"/>
          <w:bCs/>
          <w:color w:val="auto"/>
          <w:szCs w:val="21"/>
          <w:highlight w:val="none"/>
        </w:rPr>
      </w:pPr>
    </w:p>
    <w:p>
      <w:pPr>
        <w:spacing w:line="360" w:lineRule="auto"/>
        <w:ind w:left="838" w:hanging="837" w:hangingChars="399"/>
        <w:rPr>
          <w:rFonts w:ascii="宋体" w:hAnsi="宋体"/>
          <w:strike/>
          <w:color w:val="auto"/>
          <w:highlight w:val="none"/>
        </w:rPr>
      </w:pPr>
      <w:r>
        <w:rPr>
          <w:rFonts w:hint="eastAsia" w:ascii="宋体" w:hAnsi="宋体"/>
          <w:strike/>
          <w:color w:val="auto"/>
          <w:highlight w:val="none"/>
        </w:rPr>
        <w:t>4.</w:t>
      </w:r>
      <w:r>
        <w:rPr>
          <w:rFonts w:ascii="宋体" w:hAnsi="宋体"/>
          <w:strike/>
          <w:color w:val="auto"/>
          <w:highlight w:val="none"/>
        </w:rPr>
        <w:t>5.3</w:t>
      </w:r>
      <w:r>
        <w:rPr>
          <w:rFonts w:hint="eastAsia" w:ascii="宋体" w:hAnsi="宋体"/>
          <w:strike/>
          <w:color w:val="auto"/>
          <w:highlight w:val="none"/>
        </w:rPr>
        <w:t xml:space="preserve">  采用评定分离项目的评标及定标办法</w:t>
      </w:r>
    </w:p>
    <w:p>
      <w:pPr>
        <w:spacing w:line="360" w:lineRule="auto"/>
        <w:rPr>
          <w:rFonts w:ascii="宋体" w:hAnsi="宋体" w:cs="宋体"/>
          <w:strike/>
          <w:color w:val="auto"/>
          <w:szCs w:val="21"/>
          <w:highlight w:val="none"/>
        </w:rPr>
      </w:pPr>
      <w:r>
        <w:rPr>
          <w:rFonts w:hint="eastAsia" w:ascii="宋体" w:hAnsi="宋体" w:cs="宋体"/>
          <w:strike/>
          <w:color w:val="auto"/>
          <w:szCs w:val="21"/>
          <w:highlight w:val="none"/>
        </w:rPr>
        <w:t>4.</w:t>
      </w:r>
      <w:r>
        <w:rPr>
          <w:rFonts w:ascii="宋体" w:hAnsi="宋体" w:cs="宋体"/>
          <w:strike/>
          <w:color w:val="auto"/>
          <w:szCs w:val="21"/>
          <w:highlight w:val="none"/>
        </w:rPr>
        <w:t>5</w:t>
      </w:r>
      <w:r>
        <w:rPr>
          <w:rFonts w:hint="eastAsia" w:ascii="宋体" w:hAnsi="宋体" w:cs="宋体"/>
          <w:strike/>
          <w:color w:val="auto"/>
          <w:szCs w:val="21"/>
          <w:highlight w:val="none"/>
        </w:rPr>
        <w:t>.</w:t>
      </w:r>
      <w:r>
        <w:rPr>
          <w:rFonts w:ascii="宋体" w:hAnsi="宋体" w:cs="宋体"/>
          <w:strike/>
          <w:color w:val="auto"/>
          <w:szCs w:val="21"/>
          <w:highlight w:val="none"/>
        </w:rPr>
        <w:t>3</w:t>
      </w:r>
      <w:r>
        <w:rPr>
          <w:rFonts w:hint="eastAsia" w:ascii="宋体" w:hAnsi="宋体" w:cs="宋体"/>
          <w:strike/>
          <w:color w:val="auto"/>
          <w:szCs w:val="21"/>
          <w:highlight w:val="none"/>
        </w:rPr>
        <w:t>.1招标人（招标代理机构）在不透露投标人身份的前提下（资格审查文件除外）将投标文件交给评标委员会，不需要投标人派代表介绍投标方案。</w:t>
      </w:r>
    </w:p>
    <w:p>
      <w:pPr>
        <w:spacing w:line="360" w:lineRule="auto"/>
        <w:rPr>
          <w:rFonts w:ascii="宋体" w:hAnsi="宋体" w:cs="宋体"/>
          <w:strike/>
          <w:color w:val="auto"/>
          <w:szCs w:val="21"/>
          <w:highlight w:val="none"/>
        </w:rPr>
      </w:pPr>
      <w:r>
        <w:rPr>
          <w:rFonts w:hint="eastAsia" w:ascii="宋体" w:hAnsi="宋体" w:cs="宋体"/>
          <w:strike/>
          <w:color w:val="auto"/>
          <w:szCs w:val="21"/>
          <w:highlight w:val="none"/>
        </w:rPr>
        <w:t>4.</w:t>
      </w:r>
      <w:r>
        <w:rPr>
          <w:rFonts w:ascii="宋体" w:hAnsi="宋体" w:cs="宋体"/>
          <w:strike/>
          <w:color w:val="auto"/>
          <w:szCs w:val="21"/>
          <w:highlight w:val="none"/>
        </w:rPr>
        <w:t>5</w:t>
      </w:r>
      <w:r>
        <w:rPr>
          <w:rFonts w:hint="eastAsia" w:ascii="宋体" w:hAnsi="宋体" w:cs="宋体"/>
          <w:strike/>
          <w:color w:val="auto"/>
          <w:szCs w:val="21"/>
          <w:highlight w:val="none"/>
        </w:rPr>
        <w:t>.</w:t>
      </w:r>
      <w:r>
        <w:rPr>
          <w:rFonts w:ascii="宋体" w:hAnsi="宋体" w:cs="宋体"/>
          <w:strike/>
          <w:color w:val="auto"/>
          <w:szCs w:val="21"/>
          <w:highlight w:val="none"/>
        </w:rPr>
        <w:t>3</w:t>
      </w:r>
      <w:r>
        <w:rPr>
          <w:rFonts w:hint="eastAsia" w:ascii="宋体" w:hAnsi="宋体" w:cs="宋体"/>
          <w:strike/>
          <w:color w:val="auto"/>
          <w:szCs w:val="21"/>
          <w:highlight w:val="none"/>
        </w:rPr>
        <w:t>.2如果评标委员会成员在交易服务机构评标，将按方法</w:t>
      </w:r>
      <w:r>
        <w:rPr>
          <w:rFonts w:hint="eastAsia" w:ascii="宋体" w:hAnsi="宋体" w:cs="宋体"/>
          <w:strike/>
          <w:color w:val="auto"/>
          <w:szCs w:val="21"/>
          <w:highlight w:val="none"/>
          <w:u w:val="single"/>
        </w:rPr>
        <w:t xml:space="preserve">    </w:t>
      </w:r>
      <w:r>
        <w:rPr>
          <w:rFonts w:hint="eastAsia" w:ascii="宋体" w:hAnsi="宋体" w:cs="宋体"/>
          <w:strike/>
          <w:color w:val="auto"/>
          <w:szCs w:val="21"/>
          <w:highlight w:val="none"/>
        </w:rPr>
        <w:t>规定的步骤进行：</w:t>
      </w:r>
    </w:p>
    <w:p>
      <w:pPr>
        <w:spacing w:line="360" w:lineRule="auto"/>
        <w:rPr>
          <w:rFonts w:ascii="宋体" w:hAnsi="宋体" w:cs="宋体"/>
          <w:strike/>
          <w:color w:val="auto"/>
          <w:szCs w:val="21"/>
          <w:highlight w:val="none"/>
        </w:rPr>
      </w:pPr>
      <w:r>
        <w:rPr>
          <w:rFonts w:hint="eastAsia" w:ascii="宋体" w:hAnsi="宋体" w:cs="宋体"/>
          <w:strike/>
          <w:color w:val="auto"/>
          <w:szCs w:val="21"/>
          <w:highlight w:val="none"/>
        </w:rPr>
        <w:t xml:space="preserve">       方法一（设有资格审查环节的一阶段评标法）：a、b、c、d、e、f、g、h、i、j</w:t>
      </w:r>
    </w:p>
    <w:p>
      <w:pPr>
        <w:spacing w:line="360" w:lineRule="auto"/>
        <w:rPr>
          <w:rFonts w:ascii="宋体" w:hAnsi="宋体" w:cs="宋体"/>
          <w:strike/>
          <w:color w:val="auto"/>
          <w:szCs w:val="21"/>
          <w:highlight w:val="none"/>
        </w:rPr>
      </w:pPr>
      <w:r>
        <w:rPr>
          <w:rFonts w:hint="eastAsia" w:ascii="宋体" w:hAnsi="宋体" w:cs="宋体"/>
          <w:strike/>
          <w:color w:val="auto"/>
          <w:szCs w:val="21"/>
          <w:highlight w:val="none"/>
        </w:rPr>
        <w:t xml:space="preserve">       方法二（未设资格审查环节的一阶段评标法）：a、d、e、f、g、h、i、j</w:t>
      </w:r>
    </w:p>
    <w:p>
      <w:pPr>
        <w:spacing w:line="360" w:lineRule="auto"/>
        <w:ind w:left="836" w:leftChars="337" w:hanging="128" w:hangingChars="61"/>
        <w:rPr>
          <w:rFonts w:ascii="宋体" w:hAnsi="宋体" w:cs="宋体"/>
          <w:strike/>
          <w:color w:val="auto"/>
          <w:szCs w:val="21"/>
          <w:highlight w:val="none"/>
        </w:rPr>
      </w:pPr>
      <w:r>
        <w:rPr>
          <w:rFonts w:ascii="宋体" w:hAnsi="宋体" w:cs="宋体"/>
          <w:strike/>
          <w:color w:val="auto"/>
          <w:szCs w:val="21"/>
          <w:highlight w:val="none"/>
        </w:rPr>
        <w:t>(</w:t>
      </w:r>
      <w:r>
        <w:rPr>
          <w:rFonts w:hint="eastAsia" w:ascii="宋体" w:hAnsi="宋体" w:cs="宋体"/>
          <w:strike/>
          <w:color w:val="auto"/>
          <w:szCs w:val="21"/>
          <w:highlight w:val="none"/>
        </w:rPr>
        <w:t>a</w:t>
      </w:r>
      <w:r>
        <w:rPr>
          <w:rFonts w:ascii="宋体" w:hAnsi="宋体" w:cs="宋体"/>
          <w:strike/>
          <w:color w:val="auto"/>
          <w:szCs w:val="21"/>
          <w:highlight w:val="none"/>
        </w:rPr>
        <w:t>)</w:t>
      </w:r>
      <w:r>
        <w:rPr>
          <w:rFonts w:hint="eastAsia" w:ascii="宋体" w:hAnsi="宋体" w:cs="宋体"/>
          <w:strike/>
          <w:color w:val="auto"/>
          <w:szCs w:val="21"/>
          <w:highlight w:val="none"/>
        </w:rPr>
        <w:t xml:space="preserve">评标委员会成员依据招标文件规定，否决两个（含两个）以上的加密打包投标文件电脑机器特征码一致的投标人，不参与下一阶段评审。 </w:t>
      </w:r>
    </w:p>
    <w:p>
      <w:pPr>
        <w:spacing w:line="360" w:lineRule="auto"/>
        <w:ind w:left="836" w:leftChars="337" w:hanging="128" w:hangingChars="61"/>
        <w:rPr>
          <w:rFonts w:ascii="宋体" w:hAnsi="宋体" w:cs="宋体"/>
          <w:strike/>
          <w:color w:val="auto"/>
          <w:szCs w:val="21"/>
          <w:highlight w:val="none"/>
        </w:rPr>
      </w:pPr>
      <w:r>
        <w:rPr>
          <w:rFonts w:hint="eastAsia" w:ascii="宋体" w:hAnsi="宋体" w:cs="宋体"/>
          <w:strike/>
          <w:color w:val="auto"/>
          <w:szCs w:val="21"/>
          <w:highlight w:val="none"/>
        </w:rPr>
        <w:t>(b)评标委员会成员业主代表及专家依据招标文件规定，按附录12《资格审查表》对各投标人递交的投标文件进行资格审查。</w:t>
      </w:r>
    </w:p>
    <w:p>
      <w:pPr>
        <w:spacing w:line="360" w:lineRule="auto"/>
        <w:ind w:left="836" w:leftChars="337" w:hanging="128" w:hangingChars="61"/>
        <w:rPr>
          <w:rFonts w:ascii="宋体" w:hAnsi="宋体" w:cs="宋体"/>
          <w:strike/>
          <w:color w:val="auto"/>
          <w:szCs w:val="21"/>
          <w:highlight w:val="none"/>
        </w:rPr>
      </w:pPr>
      <w:r>
        <w:rPr>
          <w:rFonts w:hint="eastAsia" w:ascii="宋体" w:hAnsi="宋体" w:cs="宋体"/>
          <w:strike/>
          <w:color w:val="auto"/>
          <w:szCs w:val="21"/>
          <w:highlight w:val="none"/>
        </w:rPr>
        <w:t>(c) 评标委员会成员汇总资格审查结果，编写资格审查报告。</w:t>
      </w:r>
    </w:p>
    <w:p>
      <w:pPr>
        <w:spacing w:line="360" w:lineRule="auto"/>
        <w:ind w:left="836" w:leftChars="337" w:hanging="128" w:hangingChars="61"/>
        <w:rPr>
          <w:rFonts w:ascii="宋体" w:hAnsi="宋体" w:cs="宋体"/>
          <w:strike/>
          <w:color w:val="auto"/>
          <w:szCs w:val="21"/>
          <w:highlight w:val="none"/>
        </w:rPr>
      </w:pPr>
      <w:r>
        <w:rPr>
          <w:rFonts w:hint="eastAsia" w:ascii="宋体" w:hAnsi="宋体" w:cs="宋体"/>
          <w:strike/>
          <w:color w:val="auto"/>
          <w:szCs w:val="21"/>
          <w:highlight w:val="none"/>
        </w:rPr>
        <w:t>(d)评标委员会专家依据招标文件规定，按附录15《设计方案评审记录表》、附录17《投标方案评语》对各投标人递交的投标文件进行评审。如果有否决投标提议，则评标委员会成员共同表决，按照少数服从多数的原则决定是否否决。</w:t>
      </w:r>
    </w:p>
    <w:p>
      <w:pPr>
        <w:spacing w:line="360" w:lineRule="auto"/>
        <w:ind w:left="836" w:leftChars="337" w:hanging="128" w:hangingChars="61"/>
        <w:rPr>
          <w:rFonts w:ascii="宋体" w:hAnsi="宋体" w:cs="宋体"/>
          <w:strike/>
          <w:color w:val="auto"/>
          <w:szCs w:val="21"/>
          <w:highlight w:val="none"/>
        </w:rPr>
      </w:pPr>
      <w:r>
        <w:rPr>
          <w:rFonts w:hint="eastAsia" w:ascii="宋体" w:hAnsi="宋体" w:cs="宋体"/>
          <w:strike/>
          <w:color w:val="auto"/>
          <w:szCs w:val="21"/>
          <w:highlight w:val="none"/>
        </w:rPr>
        <w:t>(e) 以差额选举逐轮淘汰的记名投票方式选出所有投标方案的排序，并按照4.</w:t>
      </w:r>
      <w:r>
        <w:rPr>
          <w:rFonts w:ascii="宋体" w:hAnsi="宋体" w:cs="宋体"/>
          <w:strike/>
          <w:color w:val="auto"/>
          <w:szCs w:val="21"/>
          <w:highlight w:val="none"/>
        </w:rPr>
        <w:t>5.1</w:t>
      </w:r>
      <w:r>
        <w:rPr>
          <w:rFonts w:hint="eastAsia" w:ascii="宋体" w:hAnsi="宋体" w:cs="宋体"/>
          <w:strike/>
          <w:color w:val="auto"/>
          <w:szCs w:val="21"/>
          <w:highlight w:val="none"/>
        </w:rPr>
        <w:t>约定的家数入围定标阶段（该排序不作为定标的依据）；或以差额选举逐轮淘汰的记名投票方式直接确定入围定标阶段的投标人。（方案补偿费按(g)步骤确定的方式进行补偿）。</w:t>
      </w:r>
    </w:p>
    <w:p>
      <w:pPr>
        <w:spacing w:line="360" w:lineRule="auto"/>
        <w:ind w:left="836" w:leftChars="337" w:hanging="128" w:hangingChars="61"/>
        <w:rPr>
          <w:rFonts w:ascii="宋体" w:hAnsi="宋体" w:cs="宋体"/>
          <w:strike/>
          <w:color w:val="auto"/>
          <w:szCs w:val="21"/>
          <w:highlight w:val="none"/>
        </w:rPr>
      </w:pPr>
      <w:r>
        <w:rPr>
          <w:rFonts w:hint="eastAsia" w:ascii="宋体" w:hAnsi="宋体" w:cs="宋体"/>
          <w:strike/>
          <w:color w:val="auto"/>
          <w:szCs w:val="21"/>
          <w:highlight w:val="none"/>
        </w:rPr>
        <w:t xml:space="preserve">(f) 评标委员会揭晓投标人身份。 </w:t>
      </w:r>
    </w:p>
    <w:p>
      <w:pPr>
        <w:spacing w:line="360" w:lineRule="auto"/>
        <w:ind w:left="836" w:leftChars="337" w:hanging="128" w:hangingChars="61"/>
        <w:rPr>
          <w:rFonts w:ascii="宋体" w:hAnsi="宋体" w:cs="宋体"/>
          <w:strike/>
          <w:color w:val="auto"/>
          <w:szCs w:val="21"/>
          <w:highlight w:val="none"/>
        </w:rPr>
      </w:pPr>
      <w:r>
        <w:rPr>
          <w:rFonts w:hint="eastAsia" w:ascii="宋体" w:hAnsi="宋体" w:cs="宋体"/>
          <w:strike/>
          <w:color w:val="auto"/>
          <w:szCs w:val="21"/>
          <w:highlight w:val="none"/>
        </w:rPr>
        <w:t>(g) 评标委员会按只有通过资格审查（如有）及有效性审查的投标人的投标文件方可进入下一阶段评审的评审原则，在揭晓投标人身份后，根据资格审查（如有）及有效性审查结果，取消被否决投标及未通过资格审查（如有）的投标人的投标。若采取排序方式确定入围单位的，其余通过资格审查（如有）及有效性审查的投标人按排序依次上升替补入围定标阶段，以此类推。若采取直接确定入围单位的，确定替补入围单位的方法为：</w:t>
      </w:r>
      <w:r>
        <w:rPr>
          <w:rFonts w:hint="eastAsia" w:ascii="宋体" w:hAnsi="宋体" w:cs="宋体"/>
          <w:strike/>
          <w:color w:val="auto"/>
          <w:szCs w:val="21"/>
          <w:highlight w:val="none"/>
          <w:u w:val="single"/>
        </w:rPr>
        <w:t xml:space="preserve">       </w:t>
      </w:r>
      <w:r>
        <w:rPr>
          <w:rFonts w:ascii="宋体" w:hAnsi="宋体" w:cs="宋体"/>
          <w:strike/>
          <w:color w:val="auto"/>
          <w:szCs w:val="21"/>
          <w:highlight w:val="none"/>
          <w:u w:val="single"/>
        </w:rPr>
        <w:t xml:space="preserve"> </w:t>
      </w:r>
      <w:r>
        <w:rPr>
          <w:rFonts w:hint="eastAsia" w:ascii="宋体" w:hAnsi="宋体" w:cs="宋体"/>
          <w:strike/>
          <w:color w:val="auto"/>
          <w:szCs w:val="21"/>
          <w:highlight w:val="none"/>
          <w:u w:val="single"/>
        </w:rPr>
        <w:t xml:space="preserve">      </w:t>
      </w:r>
      <w:r>
        <w:rPr>
          <w:rFonts w:hint="eastAsia" w:ascii="宋体" w:hAnsi="宋体" w:cs="宋体"/>
          <w:strike/>
          <w:color w:val="auto"/>
          <w:szCs w:val="21"/>
          <w:highlight w:val="none"/>
        </w:rPr>
        <w:t>。评标委员会按上述方式推荐入围定标阶段的投标人。投标经济补偿费按投标方案的最终排序（采取排序方式的）或</w:t>
      </w:r>
      <w:r>
        <w:rPr>
          <w:rFonts w:hint="eastAsia" w:ascii="宋体" w:hAnsi="宋体" w:cs="宋体"/>
          <w:strike/>
          <w:color w:val="auto"/>
          <w:szCs w:val="21"/>
          <w:highlight w:val="none"/>
          <w:u w:val="single"/>
        </w:rPr>
        <w:t xml:space="preserve">             </w:t>
      </w:r>
      <w:r>
        <w:rPr>
          <w:rFonts w:hint="eastAsia" w:ascii="宋体" w:hAnsi="宋体" w:cs="宋体"/>
          <w:strike/>
          <w:color w:val="auto"/>
          <w:szCs w:val="21"/>
          <w:highlight w:val="none"/>
        </w:rPr>
        <w:t>（采取直接确定入围方式的）确定进行补偿。</w:t>
      </w:r>
    </w:p>
    <w:p>
      <w:pPr>
        <w:spacing w:line="360" w:lineRule="auto"/>
        <w:ind w:left="836" w:leftChars="337" w:hanging="128" w:hangingChars="61"/>
        <w:rPr>
          <w:rFonts w:ascii="宋体" w:hAnsi="宋体" w:cs="宋体"/>
          <w:strike/>
          <w:color w:val="auto"/>
          <w:szCs w:val="21"/>
          <w:highlight w:val="none"/>
        </w:rPr>
      </w:pPr>
      <w:r>
        <w:rPr>
          <w:rFonts w:hint="eastAsia" w:ascii="宋体" w:hAnsi="宋体" w:cs="宋体"/>
          <w:strike/>
          <w:color w:val="auto"/>
          <w:szCs w:val="21"/>
          <w:highlight w:val="none"/>
        </w:rPr>
        <w:t>(h) 编写、签署评标报告，评标报告由评标委员会全体成员签字，对评标结论持有异议的评标委员会成员可以书面方式阐述其不同意见和理由。</w:t>
      </w:r>
    </w:p>
    <w:p>
      <w:pPr>
        <w:spacing w:line="360" w:lineRule="auto"/>
        <w:ind w:left="836" w:leftChars="337" w:hanging="128" w:hangingChars="61"/>
        <w:rPr>
          <w:rFonts w:ascii="宋体" w:hAnsi="宋体" w:cs="宋体"/>
          <w:strike/>
          <w:color w:val="auto"/>
          <w:szCs w:val="21"/>
          <w:highlight w:val="none"/>
        </w:rPr>
      </w:pPr>
      <w:r>
        <w:rPr>
          <w:rFonts w:hint="eastAsia" w:ascii="宋体" w:hAnsi="宋体" w:cs="宋体"/>
          <w:strike/>
          <w:color w:val="auto"/>
          <w:szCs w:val="21"/>
          <w:highlight w:val="none"/>
        </w:rPr>
        <w:t>(i) 评标委员会向招标人提交书面评标报告后即告解散，评标过程中使用的文件、表格以及其他资料应当即时归还招标人（招标代理机构）。</w:t>
      </w:r>
    </w:p>
    <w:p>
      <w:pPr>
        <w:spacing w:line="360" w:lineRule="auto"/>
        <w:ind w:left="836" w:leftChars="337" w:hanging="128" w:hangingChars="61"/>
        <w:rPr>
          <w:rFonts w:ascii="宋体" w:hAnsi="宋体"/>
          <w:strike/>
          <w:color w:val="auto"/>
          <w:highlight w:val="none"/>
        </w:rPr>
      </w:pPr>
      <w:r>
        <w:rPr>
          <w:rFonts w:hint="eastAsia" w:ascii="宋体" w:hAnsi="宋体" w:cs="宋体"/>
          <w:strike/>
          <w:color w:val="auto"/>
          <w:szCs w:val="21"/>
          <w:highlight w:val="none"/>
        </w:rPr>
        <w:t>（j）定标</w:t>
      </w:r>
      <w:r>
        <w:rPr>
          <w:rFonts w:ascii="宋体" w:hAnsi="宋体" w:cs="宋体"/>
          <w:strike/>
          <w:color w:val="auto"/>
          <w:szCs w:val="21"/>
          <w:highlight w:val="none"/>
        </w:rPr>
        <w:t>委员会</w:t>
      </w:r>
      <w:r>
        <w:rPr>
          <w:rFonts w:hint="eastAsia" w:ascii="宋体" w:hAnsi="宋体" w:cs="宋体"/>
          <w:strike/>
          <w:color w:val="auto"/>
          <w:szCs w:val="21"/>
          <w:highlight w:val="none"/>
        </w:rPr>
        <w:t>定标。定标委员会按附录16《定标原则》确定</w:t>
      </w:r>
      <w:r>
        <w:rPr>
          <w:rFonts w:hint="eastAsia" w:ascii="宋体" w:hAnsi="宋体" w:cs="宋体"/>
          <w:strike/>
          <w:color w:val="auto"/>
          <w:szCs w:val="21"/>
          <w:highlight w:val="none"/>
          <w:u w:val="single"/>
        </w:rPr>
        <w:t xml:space="preserve">    </w:t>
      </w:r>
      <w:r>
        <w:rPr>
          <w:rFonts w:hint="eastAsia" w:ascii="宋体" w:hAnsi="宋体" w:cs="宋体"/>
          <w:strike/>
          <w:color w:val="auto"/>
          <w:szCs w:val="21"/>
          <w:highlight w:val="none"/>
        </w:rPr>
        <w:t>名（不多于3名）中标候选人（排序），也可直接确定中标人。</w:t>
      </w:r>
    </w:p>
    <w:p>
      <w:pPr>
        <w:spacing w:line="360" w:lineRule="auto"/>
        <w:jc w:val="center"/>
        <w:outlineLvl w:val="0"/>
        <w:rPr>
          <w:rFonts w:ascii="宋体" w:hAnsi="宋体"/>
          <w:b/>
          <w:color w:val="auto"/>
          <w:sz w:val="36"/>
          <w:szCs w:val="36"/>
          <w:highlight w:val="none"/>
          <w:u w:val="single"/>
        </w:rPr>
      </w:pPr>
      <w:r>
        <w:rPr>
          <w:rFonts w:ascii="宋体" w:hAnsi="宋体"/>
          <w:color w:val="auto"/>
          <w:highlight w:val="none"/>
        </w:rPr>
        <w:br w:type="page"/>
      </w:r>
      <w:bookmarkStart w:id="12" w:name="_Toc27714"/>
      <w:bookmarkStart w:id="13" w:name="_Toc14280"/>
      <w:bookmarkStart w:id="14" w:name="_Toc99463982"/>
      <w:r>
        <w:rPr>
          <w:rFonts w:hint="eastAsia" w:ascii="宋体" w:hAnsi="宋体"/>
          <w:b/>
          <w:color w:val="auto"/>
          <w:sz w:val="36"/>
          <w:szCs w:val="36"/>
          <w:highlight w:val="none"/>
        </w:rPr>
        <w:t>第五章  定标</w:t>
      </w:r>
      <w:bookmarkEnd w:id="12"/>
      <w:bookmarkEnd w:id="13"/>
      <w:bookmarkEnd w:id="14"/>
    </w:p>
    <w:p>
      <w:pPr>
        <w:rPr>
          <w:rFonts w:ascii="宋体" w:hAnsi="宋体"/>
          <w:color w:val="auto"/>
          <w:highlight w:val="none"/>
        </w:rPr>
      </w:pPr>
    </w:p>
    <w:p>
      <w:pPr>
        <w:spacing w:line="360" w:lineRule="auto"/>
        <w:jc w:val="left"/>
        <w:rPr>
          <w:rFonts w:ascii="宋体" w:hAnsi="宋体"/>
          <w:b/>
          <w:color w:val="auto"/>
          <w:szCs w:val="21"/>
          <w:highlight w:val="none"/>
          <w:u w:val="single"/>
        </w:rPr>
      </w:pPr>
      <w:r>
        <w:rPr>
          <w:rFonts w:hint="eastAsia" w:ascii="宋体" w:hAnsi="宋体"/>
          <w:b/>
          <w:color w:val="auto"/>
          <w:highlight w:val="none"/>
          <w:u w:val="single"/>
        </w:rPr>
        <w:t>5.1    确定中标人</w:t>
      </w:r>
    </w:p>
    <w:p>
      <w:pPr>
        <w:spacing w:line="360" w:lineRule="auto"/>
        <w:ind w:left="718" w:hanging="718" w:hangingChars="342"/>
        <w:jc w:val="left"/>
        <w:rPr>
          <w:rFonts w:ascii="宋体" w:hAnsi="宋体"/>
          <w:color w:val="auto"/>
          <w:szCs w:val="21"/>
          <w:highlight w:val="none"/>
        </w:rPr>
      </w:pPr>
      <w:r>
        <w:rPr>
          <w:rFonts w:hint="eastAsia" w:ascii="宋体" w:hAnsi="宋体"/>
          <w:color w:val="auto"/>
          <w:szCs w:val="21"/>
          <w:highlight w:val="none"/>
        </w:rPr>
        <w:t>采用方式</w:t>
      </w:r>
      <w:r>
        <w:rPr>
          <w:rFonts w:hint="eastAsia" w:ascii="宋体" w:hAnsi="宋体"/>
          <w:color w:val="auto"/>
          <w:szCs w:val="21"/>
          <w:highlight w:val="none"/>
          <w:u w:val="single"/>
        </w:rPr>
        <w:t xml:space="preserve"> 一 </w:t>
      </w:r>
      <w:r>
        <w:rPr>
          <w:rFonts w:hint="eastAsia" w:ascii="宋体" w:hAnsi="宋体"/>
          <w:color w:val="auto"/>
          <w:szCs w:val="21"/>
          <w:highlight w:val="none"/>
        </w:rPr>
        <w:t>确定中标人：</w:t>
      </w:r>
    </w:p>
    <w:p>
      <w:pPr>
        <w:spacing w:line="360" w:lineRule="auto"/>
        <w:ind w:left="721" w:hanging="721" w:hangingChars="342"/>
        <w:jc w:val="left"/>
        <w:rPr>
          <w:rFonts w:ascii="宋体" w:hAnsi="宋体"/>
          <w:color w:val="auto"/>
          <w:szCs w:val="21"/>
          <w:highlight w:val="none"/>
        </w:rPr>
      </w:pPr>
      <w:r>
        <w:rPr>
          <w:rFonts w:hint="eastAsia" w:ascii="宋体" w:hAnsi="宋体"/>
          <w:b/>
          <w:color w:val="auto"/>
          <w:szCs w:val="21"/>
          <w:highlight w:val="none"/>
        </w:rPr>
        <w:t>方式一（适用于设置资格审查环节的项目）：</w:t>
      </w:r>
    </w:p>
    <w:p>
      <w:pPr>
        <w:spacing w:line="360" w:lineRule="auto"/>
        <w:ind w:left="718" w:hanging="718" w:hangingChars="342"/>
        <w:jc w:val="left"/>
        <w:rPr>
          <w:rFonts w:ascii="宋体" w:hAnsi="宋体"/>
          <w:color w:val="auto"/>
          <w:szCs w:val="21"/>
          <w:highlight w:val="none"/>
        </w:rPr>
      </w:pPr>
      <w:r>
        <w:rPr>
          <w:rFonts w:hint="eastAsia" w:ascii="宋体" w:hAnsi="宋体"/>
          <w:color w:val="auto"/>
          <w:szCs w:val="21"/>
          <w:highlight w:val="none"/>
        </w:rPr>
        <w:t>5.1.1 招标人在</w:t>
      </w:r>
      <w:r>
        <w:rPr>
          <w:rFonts w:hint="eastAsia" w:ascii="宋体" w:hAnsi="宋体"/>
          <w:color w:val="auto"/>
          <w:szCs w:val="21"/>
          <w:highlight w:val="none"/>
          <w:u w:val="single"/>
        </w:rPr>
        <w:t>评标委员会</w:t>
      </w:r>
      <w:r>
        <w:rPr>
          <w:rFonts w:hint="eastAsia" w:ascii="宋体" w:hAnsi="宋体"/>
          <w:color w:val="auto"/>
          <w:szCs w:val="21"/>
          <w:highlight w:val="none"/>
        </w:rPr>
        <w:t>推荐的中标候选人中确定中标人</w:t>
      </w:r>
      <w:r>
        <w:rPr>
          <w:rFonts w:hint="eastAsia" w:ascii="宋体" w:hAnsi="宋体"/>
          <w:color w:val="auto"/>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5.1.2 招标人确定中标人：</w:t>
      </w:r>
    </w:p>
    <w:p>
      <w:pPr>
        <w:spacing w:line="360" w:lineRule="auto"/>
        <w:ind w:left="630" w:leftChars="300"/>
        <w:rPr>
          <w:rFonts w:ascii="宋体" w:hAnsi="宋体"/>
          <w:color w:val="auto"/>
          <w:szCs w:val="21"/>
          <w:highlight w:val="none"/>
          <w:u w:val="single"/>
        </w:rPr>
      </w:pPr>
      <w:r>
        <w:rPr>
          <w:rFonts w:hint="eastAsia" w:ascii="宋体" w:hAnsi="宋体"/>
          <w:color w:val="auto"/>
          <w:szCs w:val="21"/>
          <w:highlight w:val="none"/>
        </w:rPr>
        <w:t>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w:t>
      </w:r>
      <w:r>
        <w:rPr>
          <w:rFonts w:hint="eastAsia" w:ascii="宋体" w:hAnsi="宋体"/>
          <w:color w:val="auto"/>
          <w:szCs w:val="21"/>
          <w:highlight w:val="none"/>
          <w:u w:val="single"/>
        </w:rPr>
        <w:t>评标委员会</w:t>
      </w:r>
      <w:r>
        <w:rPr>
          <w:rFonts w:hint="eastAsia" w:ascii="宋体" w:hAnsi="宋体"/>
          <w:color w:val="auto"/>
          <w:szCs w:val="21"/>
          <w:highlight w:val="none"/>
        </w:rPr>
        <w:t>提出的中标候选人名单排序依次确定其他中标候选人为中标人，也可以重新招标。</w:t>
      </w:r>
      <w:r>
        <w:rPr>
          <w:rFonts w:hint="eastAsia" w:ascii="宋体" w:hAnsi="宋体"/>
          <w:color w:val="auto"/>
          <w:szCs w:val="21"/>
          <w:highlight w:val="none"/>
          <w:u w:val="single"/>
        </w:rPr>
        <w:t>如排名第二的中标候选人也发生上述问题，招标人可以确定排名第三的中标候选人为中标人，也可以重新招标。排名第一的中标候选人放弃中标、不按照招标文件要求提交履约保证金，或者被查实存在影响中标结果的违法行为等情形，不符合中标条件的，不予支付其投标经济补偿。</w:t>
      </w:r>
    </w:p>
    <w:p>
      <w:pPr>
        <w:spacing w:line="360" w:lineRule="auto"/>
        <w:ind w:left="718" w:hanging="718" w:hangingChars="342"/>
        <w:jc w:val="left"/>
        <w:rPr>
          <w:rFonts w:ascii="宋体" w:hAnsi="宋体"/>
          <w:color w:val="auto"/>
          <w:szCs w:val="21"/>
          <w:highlight w:val="none"/>
        </w:rPr>
      </w:pPr>
      <w:r>
        <w:rPr>
          <w:rFonts w:hint="eastAsia" w:ascii="宋体" w:hAnsi="宋体"/>
          <w:color w:val="auto"/>
          <w:szCs w:val="21"/>
          <w:highlight w:val="none"/>
        </w:rPr>
        <w:t>5.1.3 在产生中标候选人后，招标人将中标候选人的投标文件商务部分（包括</w:t>
      </w:r>
      <w:r>
        <w:rPr>
          <w:rFonts w:hint="eastAsia" w:ascii="宋体" w:hAnsi="宋体"/>
          <w:color w:val="auto"/>
          <w:szCs w:val="21"/>
          <w:highlight w:val="none"/>
          <w:u w:val="single"/>
        </w:rPr>
        <w:t>报价、人员、业绩、奖项等资料</w:t>
      </w:r>
      <w:r>
        <w:rPr>
          <w:rFonts w:hint="eastAsia" w:ascii="宋体" w:hAnsi="宋体"/>
          <w:color w:val="auto"/>
          <w:szCs w:val="21"/>
          <w:highlight w:val="none"/>
        </w:rPr>
        <w:t>）在交易平台和广东省招标投标监管网公开。</w:t>
      </w:r>
    </w:p>
    <w:p>
      <w:pPr>
        <w:spacing w:line="360" w:lineRule="auto"/>
        <w:ind w:left="630" w:hanging="630" w:hangingChars="300"/>
        <w:rPr>
          <w:rFonts w:ascii="宋体" w:hAnsi="宋体"/>
          <w:color w:val="auto"/>
          <w:szCs w:val="21"/>
          <w:highlight w:val="none"/>
          <w:u w:val="single"/>
        </w:rPr>
      </w:pPr>
    </w:p>
    <w:p>
      <w:pPr>
        <w:spacing w:line="360" w:lineRule="auto"/>
        <w:jc w:val="left"/>
        <w:rPr>
          <w:rFonts w:ascii="宋体" w:hAnsi="宋体"/>
          <w:b/>
          <w:bCs/>
          <w:color w:val="auto"/>
          <w:highlight w:val="none"/>
        </w:rPr>
      </w:pPr>
      <w:r>
        <w:rPr>
          <w:rFonts w:hint="eastAsia" w:ascii="宋体" w:hAnsi="宋体"/>
          <w:b/>
          <w:bCs/>
          <w:color w:val="auto"/>
          <w:highlight w:val="none"/>
        </w:rPr>
        <w:t>5.2    中标资格审核及中标通知</w:t>
      </w:r>
    </w:p>
    <w:p>
      <w:pPr>
        <w:spacing w:line="360" w:lineRule="auto"/>
        <w:ind w:left="638" w:hanging="638" w:hangingChars="304"/>
        <w:jc w:val="left"/>
        <w:rPr>
          <w:rFonts w:ascii="宋体" w:hAnsi="宋体"/>
          <w:color w:val="auto"/>
          <w:highlight w:val="none"/>
        </w:rPr>
      </w:pPr>
      <w:r>
        <w:rPr>
          <w:rFonts w:hint="eastAsia" w:ascii="宋体" w:hAnsi="宋体"/>
          <w:color w:val="auto"/>
          <w:highlight w:val="none"/>
        </w:rPr>
        <w:t>5.2.1  招标人发出中标通知书前，与中标人落实以下事项：</w:t>
      </w:r>
    </w:p>
    <w:p>
      <w:pPr>
        <w:spacing w:line="360" w:lineRule="auto"/>
        <w:ind w:left="632" w:leftChars="300" w:hanging="2" w:hangingChars="1"/>
        <w:jc w:val="left"/>
        <w:rPr>
          <w:rFonts w:ascii="宋体" w:hAnsi="宋体"/>
          <w:color w:val="auto"/>
          <w:highlight w:val="none"/>
        </w:rPr>
      </w:pPr>
      <w:r>
        <w:rPr>
          <w:rFonts w:hint="eastAsia" w:ascii="宋体" w:hAnsi="宋体"/>
          <w:color w:val="auto"/>
          <w:highlight w:val="none"/>
        </w:rPr>
        <w:t>(a) 投标文件是否有明显抄袭行为；</w:t>
      </w:r>
    </w:p>
    <w:p>
      <w:pPr>
        <w:spacing w:line="360" w:lineRule="auto"/>
        <w:ind w:left="632" w:leftChars="300" w:hanging="2" w:hangingChars="1"/>
        <w:jc w:val="left"/>
        <w:rPr>
          <w:rFonts w:ascii="宋体" w:hAnsi="宋体"/>
          <w:color w:val="auto"/>
          <w:highlight w:val="none"/>
        </w:rPr>
      </w:pPr>
      <w:r>
        <w:rPr>
          <w:rFonts w:hint="eastAsia" w:ascii="宋体" w:hAnsi="宋体"/>
          <w:color w:val="auto"/>
          <w:highlight w:val="none"/>
        </w:rPr>
        <w:t>(b) 投标文件是否有侵犯他人著作权和特许权；</w:t>
      </w:r>
    </w:p>
    <w:p>
      <w:pPr>
        <w:spacing w:line="360" w:lineRule="auto"/>
        <w:ind w:left="632" w:leftChars="300" w:hanging="2" w:hangingChars="1"/>
        <w:jc w:val="left"/>
        <w:rPr>
          <w:rFonts w:ascii="宋体" w:hAnsi="宋体"/>
          <w:color w:val="auto"/>
          <w:highlight w:val="none"/>
        </w:rPr>
      </w:pPr>
      <w:r>
        <w:rPr>
          <w:rFonts w:hint="eastAsia" w:ascii="宋体" w:hAnsi="宋体"/>
          <w:color w:val="auto"/>
          <w:highlight w:val="none"/>
        </w:rPr>
        <w:t>(c) 投标文件是否有参加过其他竞赛，或在其他竞赛中获奖的作品。</w:t>
      </w:r>
    </w:p>
    <w:p>
      <w:pPr>
        <w:spacing w:line="360" w:lineRule="auto"/>
        <w:ind w:left="632" w:leftChars="300" w:hanging="2" w:hangingChars="1"/>
        <w:jc w:val="left"/>
        <w:rPr>
          <w:rFonts w:ascii="宋体" w:hAnsi="宋体"/>
          <w:color w:val="auto"/>
          <w:highlight w:val="none"/>
        </w:rPr>
      </w:pPr>
      <w:r>
        <w:rPr>
          <w:rFonts w:hint="eastAsia" w:ascii="宋体" w:hAnsi="宋体"/>
          <w:color w:val="auto"/>
          <w:highlight w:val="none"/>
        </w:rPr>
        <w:t>中标人出现以上情形的，中标无效。招标人按照《中华人民共和国招标投标法实施条例》第五十五条的规定依次确定中标人或重新招标。</w:t>
      </w:r>
    </w:p>
    <w:p>
      <w:pPr>
        <w:spacing w:line="360" w:lineRule="auto"/>
        <w:ind w:left="638" w:hanging="638" w:hangingChars="304"/>
        <w:jc w:val="left"/>
        <w:rPr>
          <w:rFonts w:ascii="宋体" w:hAnsi="宋体"/>
          <w:color w:val="auto"/>
          <w:highlight w:val="none"/>
        </w:rPr>
      </w:pPr>
      <w:r>
        <w:rPr>
          <w:rFonts w:hint="eastAsia" w:ascii="宋体" w:hAnsi="宋体"/>
          <w:color w:val="auto"/>
          <w:highlight w:val="none"/>
        </w:rPr>
        <w:t>5.2.2 如果投标人不具备承接任务所需要的全部专业技能和资质，可以通过联合体投标或中标后分包的方式来获得全部专业技能和资质。联合体成员之间分工相同的，以资质等级低的单位业务许可范围核定资格；分工不同的，按各自业务许可范围核定资格。中标人可以将部分工程设计发包给具有相应资质条件的分包单位，但分包单位必须经招标人认可。</w:t>
      </w:r>
    </w:p>
    <w:p>
      <w:pPr>
        <w:spacing w:line="360" w:lineRule="auto"/>
        <w:ind w:left="638" w:hanging="638" w:hangingChars="304"/>
        <w:jc w:val="left"/>
        <w:rPr>
          <w:rFonts w:ascii="宋体" w:hAnsi="宋体"/>
          <w:color w:val="auto"/>
          <w:highlight w:val="none"/>
        </w:rPr>
      </w:pPr>
      <w:r>
        <w:rPr>
          <w:rFonts w:hint="eastAsia" w:ascii="宋体" w:hAnsi="宋体"/>
          <w:color w:val="auto"/>
          <w:highlight w:val="none"/>
        </w:rPr>
        <w:t>5.2.3 如果中标候选人的报价不符合招标文件规定，招标人有权作出修正，招标人的修正备忘录在得到中标候选人的同意后向其颁发中标通知书。</w:t>
      </w:r>
    </w:p>
    <w:p>
      <w:pPr>
        <w:spacing w:line="360" w:lineRule="auto"/>
        <w:ind w:left="638" w:hanging="638" w:hangingChars="304"/>
        <w:jc w:val="left"/>
        <w:rPr>
          <w:rFonts w:ascii="宋体" w:hAnsi="宋体"/>
          <w:color w:val="auto"/>
          <w:highlight w:val="none"/>
        </w:rPr>
      </w:pPr>
      <w:r>
        <w:rPr>
          <w:rFonts w:hint="eastAsia" w:ascii="宋体" w:hAnsi="宋体"/>
          <w:color w:val="auto"/>
          <w:highlight w:val="none"/>
        </w:rPr>
        <w:t>5.2.4 中标人确定后，招标人（招标代理机构）通过交易平台和广东省招标投标监管网公示中标结果。</w:t>
      </w:r>
    </w:p>
    <w:p>
      <w:pPr>
        <w:spacing w:line="360" w:lineRule="auto"/>
        <w:ind w:left="638" w:hanging="638" w:hangingChars="304"/>
        <w:jc w:val="left"/>
        <w:rPr>
          <w:rFonts w:ascii="宋体" w:hAnsi="宋体"/>
          <w:color w:val="auto"/>
          <w:highlight w:val="none"/>
        </w:rPr>
      </w:pPr>
      <w:r>
        <w:rPr>
          <w:rFonts w:hint="eastAsia" w:ascii="宋体" w:hAnsi="宋体"/>
          <w:color w:val="auto"/>
          <w:highlight w:val="none"/>
        </w:rPr>
        <w:t>5.2.5 招标人自确定中标人之日起十五日内向招标管理机构提交招标投标情况的书面报告。</w:t>
      </w:r>
    </w:p>
    <w:p>
      <w:pPr>
        <w:spacing w:line="360" w:lineRule="auto"/>
        <w:jc w:val="left"/>
        <w:rPr>
          <w:rFonts w:ascii="宋体" w:hAnsi="宋体"/>
          <w:color w:val="auto"/>
          <w:highlight w:val="none"/>
        </w:rPr>
      </w:pPr>
    </w:p>
    <w:p>
      <w:pPr>
        <w:spacing w:line="360" w:lineRule="auto"/>
        <w:jc w:val="left"/>
        <w:rPr>
          <w:rFonts w:ascii="宋体" w:hAnsi="宋体"/>
          <w:b/>
          <w:bCs/>
          <w:color w:val="auto"/>
          <w:highlight w:val="none"/>
        </w:rPr>
      </w:pPr>
      <w:r>
        <w:rPr>
          <w:rFonts w:hint="eastAsia" w:ascii="宋体" w:hAnsi="宋体"/>
          <w:b/>
          <w:bCs/>
          <w:color w:val="auto"/>
          <w:highlight w:val="none"/>
        </w:rPr>
        <w:t>5.3    其他</w:t>
      </w:r>
    </w:p>
    <w:p>
      <w:pPr>
        <w:spacing w:line="360" w:lineRule="auto"/>
        <w:ind w:left="638" w:hanging="638" w:hangingChars="304"/>
        <w:jc w:val="left"/>
        <w:rPr>
          <w:rFonts w:ascii="宋体" w:hAnsi="宋体"/>
          <w:color w:val="auto"/>
          <w:highlight w:val="none"/>
        </w:rPr>
      </w:pPr>
      <w:r>
        <w:rPr>
          <w:rFonts w:hint="eastAsia" w:ascii="宋体" w:hAnsi="宋体"/>
          <w:color w:val="auto"/>
          <w:highlight w:val="none"/>
        </w:rPr>
        <w:t>5.3.1 凡是以他人名义投标，或者投标人允许其他单位或者个人以投标人的名义投标承揽业务的，均属违法行为，招标人对这些单位或个人的损失概不负责，对这些单位或个人的投诉概不受理。</w:t>
      </w:r>
    </w:p>
    <w:p>
      <w:pPr>
        <w:spacing w:line="360" w:lineRule="auto"/>
        <w:ind w:left="638" w:hanging="638" w:hangingChars="304"/>
        <w:jc w:val="left"/>
        <w:rPr>
          <w:rFonts w:ascii="宋体" w:hAnsi="宋体"/>
          <w:color w:val="auto"/>
          <w:highlight w:val="none"/>
        </w:rPr>
      </w:pPr>
      <w:r>
        <w:rPr>
          <w:rFonts w:hint="eastAsia" w:ascii="宋体" w:hAnsi="宋体"/>
          <w:color w:val="auto"/>
          <w:highlight w:val="none"/>
        </w:rPr>
        <w:t>5.3.2 本次招标由交易服务机构对各投标人提交的成果和评标过程、评标结果予以见证，若有纠纷，将按现行法律、法规通过友好协商或诉讼程序解决。</w:t>
      </w:r>
    </w:p>
    <w:p>
      <w:pPr>
        <w:spacing w:line="360" w:lineRule="auto"/>
        <w:ind w:left="638" w:hanging="638" w:hangingChars="304"/>
        <w:jc w:val="left"/>
        <w:rPr>
          <w:rFonts w:ascii="宋体" w:hAnsi="宋体"/>
          <w:color w:val="auto"/>
          <w:highlight w:val="none"/>
        </w:rPr>
      </w:pPr>
      <w:r>
        <w:rPr>
          <w:rFonts w:hint="eastAsia" w:ascii="宋体" w:hAnsi="宋体"/>
          <w:color w:val="auto"/>
          <w:highlight w:val="none"/>
        </w:rPr>
        <w:t>5.3.3 腐败与欺诈行为</w:t>
      </w:r>
    </w:p>
    <w:p>
      <w:pPr>
        <w:spacing w:line="360" w:lineRule="auto"/>
        <w:ind w:left="638" w:hanging="638" w:hangingChars="304"/>
        <w:jc w:val="left"/>
        <w:rPr>
          <w:rFonts w:ascii="宋体" w:hAnsi="宋体"/>
          <w:color w:val="auto"/>
          <w:highlight w:val="none"/>
        </w:rPr>
      </w:pPr>
      <w:r>
        <w:rPr>
          <w:rFonts w:hint="eastAsia" w:ascii="宋体" w:hAnsi="宋体"/>
          <w:color w:val="auto"/>
          <w:highlight w:val="none"/>
        </w:rPr>
        <w:t xml:space="preserve">       在招标和合同实施期间，招标人要求投标人和承包人遵守最高的道德标准。</w:t>
      </w:r>
    </w:p>
    <w:p>
      <w:pPr>
        <w:spacing w:line="360" w:lineRule="auto"/>
        <w:ind w:left="638" w:hanging="638" w:hangingChars="304"/>
        <w:jc w:val="left"/>
        <w:rPr>
          <w:rFonts w:ascii="宋体" w:hAnsi="宋体"/>
          <w:color w:val="auto"/>
          <w:highlight w:val="none"/>
        </w:rPr>
      </w:pPr>
      <w:r>
        <w:rPr>
          <w:rFonts w:hint="eastAsia" w:ascii="宋体" w:hAnsi="宋体"/>
          <w:color w:val="auto"/>
          <w:highlight w:val="none"/>
        </w:rPr>
        <w:t>5.3.3.1对本条款的规定，特定义如下词汇：</w:t>
      </w:r>
    </w:p>
    <w:p>
      <w:pPr>
        <w:spacing w:line="360" w:lineRule="auto"/>
        <w:ind w:left="638" w:hanging="638" w:hangingChars="304"/>
        <w:jc w:val="left"/>
        <w:rPr>
          <w:rFonts w:ascii="宋体" w:hAnsi="宋体"/>
          <w:color w:val="auto"/>
          <w:highlight w:val="none"/>
        </w:rPr>
      </w:pPr>
      <w:r>
        <w:rPr>
          <w:rFonts w:hint="eastAsia" w:ascii="宋体" w:hAnsi="宋体"/>
          <w:color w:val="auto"/>
          <w:highlight w:val="none"/>
        </w:rPr>
        <w:t xml:space="preserve">       1）、“腐败行为”是指在招标或合同执行期间，通过提供、给予、接受或索要任何有价值的东西，从而影响招标人有关人员工作的行为；</w:t>
      </w:r>
    </w:p>
    <w:p>
      <w:pPr>
        <w:spacing w:line="360" w:lineRule="auto"/>
        <w:ind w:left="638" w:hanging="638" w:hangingChars="304"/>
        <w:jc w:val="left"/>
        <w:rPr>
          <w:rFonts w:ascii="宋体" w:hAnsi="宋体"/>
          <w:color w:val="auto"/>
          <w:highlight w:val="none"/>
        </w:rPr>
      </w:pPr>
      <w:r>
        <w:rPr>
          <w:rFonts w:hint="eastAsia" w:ascii="宋体" w:hAnsi="宋体"/>
          <w:color w:val="auto"/>
          <w:highlight w:val="none"/>
        </w:rPr>
        <w:t xml:space="preserve">       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spacing w:line="360" w:lineRule="auto"/>
        <w:ind w:left="638" w:hanging="638" w:hangingChars="304"/>
        <w:jc w:val="left"/>
        <w:rPr>
          <w:rFonts w:ascii="宋体" w:hAnsi="宋体"/>
          <w:color w:val="auto"/>
          <w:highlight w:val="none"/>
        </w:rPr>
      </w:pPr>
      <w:r>
        <w:rPr>
          <w:rFonts w:hint="eastAsia" w:ascii="宋体" w:hAnsi="宋体"/>
          <w:color w:val="auto"/>
          <w:highlight w:val="none"/>
        </w:rPr>
        <w:t>5.3.3.2如果投标人被认定在本招标的竞争中有腐败或欺诈行为，则会被取消投标资格。</w:t>
      </w:r>
    </w:p>
    <w:p>
      <w:pPr>
        <w:spacing w:line="360" w:lineRule="auto"/>
        <w:ind w:left="638" w:hanging="638" w:hangingChars="304"/>
        <w:jc w:val="left"/>
        <w:rPr>
          <w:rFonts w:ascii="宋体" w:hAnsi="宋体"/>
          <w:color w:val="auto"/>
          <w:highlight w:val="none"/>
        </w:rPr>
      </w:pPr>
      <w:r>
        <w:rPr>
          <w:rFonts w:hint="eastAsia" w:ascii="宋体" w:hAnsi="宋体"/>
          <w:color w:val="auto"/>
          <w:highlight w:val="none"/>
        </w:rPr>
        <w:t>5.3.3.3投标人如在本项目中存在串通投标、弄虚作假、行贿情形的，中标无效，行政监督部门将对其违法行为进行政处罚并通报。该投标人将被招标人列入黑名单并限制其参与招标人后续项目的投标。</w:t>
      </w:r>
    </w:p>
    <w:p>
      <w:pPr>
        <w:spacing w:line="360" w:lineRule="auto"/>
        <w:ind w:left="638" w:hanging="638" w:hangingChars="304"/>
        <w:jc w:val="left"/>
        <w:rPr>
          <w:rFonts w:ascii="宋体" w:hAnsi="宋体"/>
          <w:color w:val="auto"/>
          <w:highlight w:val="none"/>
        </w:rPr>
      </w:pPr>
      <w:r>
        <w:rPr>
          <w:rFonts w:hint="eastAsia" w:ascii="宋体" w:hAnsi="宋体"/>
          <w:color w:val="auto"/>
          <w:highlight w:val="none"/>
        </w:rPr>
        <w:t>5.3.4 投标人如在本项目中存在串通投标、弄虚作假、行贿情形且在评标、定标过程中未被发现的，该投标不改变本项目评标、定标结果排序，其中标无效。招标人按照《中华人民共和国招标投标法实施条例》第五十五条的规定依次确定中标人或重新招标。</w:t>
      </w:r>
    </w:p>
    <w:p>
      <w:pPr>
        <w:spacing w:line="360" w:lineRule="auto"/>
        <w:ind w:left="1099" w:hanging="1099" w:hangingChars="304"/>
        <w:jc w:val="center"/>
        <w:outlineLvl w:val="0"/>
        <w:rPr>
          <w:rFonts w:ascii="宋体" w:hAnsi="宋体"/>
          <w:b/>
          <w:color w:val="auto"/>
          <w:sz w:val="36"/>
          <w:szCs w:val="36"/>
          <w:highlight w:val="none"/>
        </w:rPr>
      </w:pPr>
      <w:r>
        <w:rPr>
          <w:rFonts w:hint="eastAsia" w:ascii="宋体" w:hAnsi="宋体"/>
          <w:b/>
          <w:color w:val="auto"/>
          <w:sz w:val="36"/>
          <w:szCs w:val="36"/>
          <w:highlight w:val="none"/>
        </w:rPr>
        <w:br w:type="page"/>
      </w:r>
      <w:bookmarkStart w:id="15" w:name="_Toc99463983"/>
      <w:bookmarkStart w:id="16" w:name="_Toc8276"/>
      <w:bookmarkStart w:id="17" w:name="_Toc14748"/>
      <w:r>
        <w:rPr>
          <w:rFonts w:hint="eastAsia" w:ascii="宋体" w:hAnsi="宋体"/>
          <w:b/>
          <w:color w:val="auto"/>
          <w:sz w:val="36"/>
          <w:szCs w:val="36"/>
          <w:highlight w:val="none"/>
        </w:rPr>
        <w:t>第六章  授予合同</w:t>
      </w:r>
      <w:bookmarkEnd w:id="15"/>
      <w:bookmarkEnd w:id="16"/>
      <w:bookmarkEnd w:id="17"/>
    </w:p>
    <w:p>
      <w:pPr>
        <w:spacing w:line="0" w:lineRule="atLeast"/>
        <w:rPr>
          <w:rFonts w:ascii="宋体" w:hAnsi="宋体"/>
          <w:color w:val="auto"/>
          <w:highlight w:val="none"/>
        </w:rPr>
      </w:pPr>
    </w:p>
    <w:p>
      <w:pPr>
        <w:spacing w:line="360" w:lineRule="auto"/>
        <w:rPr>
          <w:rFonts w:ascii="宋体" w:hAnsi="宋体"/>
          <w:b/>
          <w:bCs/>
          <w:color w:val="auto"/>
          <w:highlight w:val="none"/>
        </w:rPr>
      </w:pPr>
      <w:r>
        <w:rPr>
          <w:rFonts w:hint="eastAsia" w:ascii="宋体" w:hAnsi="宋体"/>
          <w:b/>
          <w:bCs/>
          <w:color w:val="auto"/>
          <w:highlight w:val="none"/>
        </w:rPr>
        <w:t>6.1    授予合同</w:t>
      </w:r>
    </w:p>
    <w:p>
      <w:pPr>
        <w:spacing w:line="360" w:lineRule="auto"/>
        <w:ind w:left="718" w:hanging="718" w:hangingChars="342"/>
        <w:jc w:val="left"/>
        <w:rPr>
          <w:rFonts w:ascii="宋体" w:hAnsi="宋体"/>
          <w:color w:val="auto"/>
          <w:highlight w:val="none"/>
        </w:rPr>
      </w:pPr>
      <w:r>
        <w:rPr>
          <w:rFonts w:hint="eastAsia" w:ascii="宋体" w:hAnsi="宋体"/>
          <w:color w:val="auto"/>
          <w:highlight w:val="none"/>
        </w:rPr>
        <w:t>6.1.1  招标人一般将合同授予中标人，合同必须在投标有效期或投标人接受的延长期内授出。</w:t>
      </w:r>
    </w:p>
    <w:p>
      <w:pPr>
        <w:spacing w:line="360" w:lineRule="auto"/>
        <w:ind w:left="718" w:hanging="718" w:hangingChars="342"/>
        <w:jc w:val="left"/>
        <w:rPr>
          <w:rFonts w:ascii="宋体" w:hAnsi="宋体"/>
          <w:color w:val="auto"/>
          <w:highlight w:val="none"/>
        </w:rPr>
      </w:pPr>
      <w:r>
        <w:rPr>
          <w:rFonts w:hint="eastAsia" w:ascii="宋体" w:hAnsi="宋体"/>
          <w:color w:val="auto"/>
          <w:highlight w:val="none"/>
        </w:rPr>
        <w:t>6.1.2  中标通知书是合同的组成部分，</w:t>
      </w:r>
      <w:r>
        <w:rPr>
          <w:rFonts w:hint="eastAsia" w:ascii="宋体" w:hAnsi="宋体"/>
          <w:color w:val="auto"/>
          <w:kern w:val="0"/>
          <w:highlight w:val="none"/>
        </w:rPr>
        <w:t>任何单位和个人</w:t>
      </w:r>
      <w:r>
        <w:rPr>
          <w:rFonts w:ascii="宋体" w:hAnsi="宋体"/>
          <w:color w:val="auto"/>
          <w:kern w:val="0"/>
          <w:highlight w:val="none"/>
        </w:rPr>
        <w:t>不得采取有碍合同生效或履行的行动。</w:t>
      </w:r>
    </w:p>
    <w:p>
      <w:pPr>
        <w:spacing w:line="360" w:lineRule="auto"/>
        <w:ind w:left="718" w:hanging="718" w:hangingChars="342"/>
        <w:jc w:val="left"/>
        <w:rPr>
          <w:rFonts w:ascii="宋体" w:hAnsi="宋体"/>
          <w:color w:val="auto"/>
          <w:highlight w:val="none"/>
        </w:rPr>
      </w:pPr>
      <w:r>
        <w:rPr>
          <w:rFonts w:hint="eastAsia" w:ascii="宋体" w:hAnsi="宋体"/>
          <w:color w:val="auto"/>
          <w:highlight w:val="none"/>
        </w:rPr>
        <w:t xml:space="preserve">6.1.3  </w:t>
      </w:r>
      <w:r>
        <w:rPr>
          <w:rFonts w:hint="eastAsia" w:ascii="宋体" w:hAnsi="宋体"/>
          <w:color w:val="auto"/>
          <w:szCs w:val="21"/>
          <w:highlight w:val="none"/>
        </w:rPr>
        <w:t>联合体中标的，由所有联合体成员法定代表人签署授权委托书，指定牵头人或代表，授权其代表所有联合体成员与招标人签订合同，负责整个合同实施阶段的协调工作。招标人认为必要时，</w:t>
      </w:r>
      <w:r>
        <w:rPr>
          <w:rFonts w:hint="eastAsia" w:ascii="宋体" w:hAnsi="宋体"/>
          <w:color w:val="auto"/>
          <w:highlight w:val="none"/>
        </w:rPr>
        <w:t>联合体各方应当共同与招标人签订合同，为实施合同共同和分别承担责任。</w:t>
      </w:r>
    </w:p>
    <w:p>
      <w:pPr>
        <w:spacing w:line="360" w:lineRule="auto"/>
        <w:ind w:left="718" w:hanging="718" w:hangingChars="342"/>
        <w:jc w:val="left"/>
        <w:rPr>
          <w:rFonts w:ascii="宋体" w:hAnsi="宋体"/>
          <w:color w:val="auto"/>
          <w:highlight w:val="none"/>
        </w:rPr>
      </w:pPr>
      <w:r>
        <w:rPr>
          <w:rFonts w:hint="eastAsia" w:ascii="宋体" w:hAnsi="宋体"/>
          <w:color w:val="auto"/>
          <w:highlight w:val="none"/>
        </w:rPr>
        <w:t>6.1.4  中标人必须签署并执行招标文件规定的合同条件，</w:t>
      </w:r>
      <w:r>
        <w:rPr>
          <w:rFonts w:ascii="宋体" w:hAnsi="宋体"/>
          <w:color w:val="auto"/>
          <w:kern w:val="0"/>
          <w:highlight w:val="none"/>
        </w:rPr>
        <w:t>如</w:t>
      </w:r>
      <w:r>
        <w:rPr>
          <w:rFonts w:hint="eastAsia" w:ascii="宋体" w:hAnsi="宋体"/>
          <w:color w:val="auto"/>
          <w:kern w:val="0"/>
          <w:highlight w:val="none"/>
        </w:rPr>
        <w:t>中标人</w:t>
      </w:r>
      <w:r>
        <w:rPr>
          <w:rFonts w:ascii="宋体" w:hAnsi="宋体"/>
          <w:color w:val="auto"/>
          <w:kern w:val="0"/>
          <w:highlight w:val="none"/>
        </w:rPr>
        <w:t>所提供的投标条件</w:t>
      </w:r>
      <w:r>
        <w:rPr>
          <w:rFonts w:hint="eastAsia" w:ascii="宋体" w:hAnsi="宋体"/>
          <w:color w:val="auto"/>
          <w:kern w:val="0"/>
          <w:highlight w:val="none"/>
        </w:rPr>
        <w:t>（报价、工期、估算工程造价）比其他投标</w:t>
      </w:r>
      <w:r>
        <w:rPr>
          <w:rFonts w:ascii="宋体" w:hAnsi="宋体"/>
          <w:color w:val="auto"/>
          <w:kern w:val="0"/>
          <w:highlight w:val="none"/>
        </w:rPr>
        <w:t>异常低，</w:t>
      </w:r>
      <w:r>
        <w:rPr>
          <w:rFonts w:hint="eastAsia" w:ascii="宋体" w:hAnsi="宋体"/>
          <w:color w:val="auto"/>
          <w:kern w:val="0"/>
          <w:highlight w:val="none"/>
        </w:rPr>
        <w:t>招标人</w:t>
      </w:r>
      <w:r>
        <w:rPr>
          <w:rFonts w:ascii="宋体" w:hAnsi="宋体"/>
          <w:color w:val="auto"/>
          <w:kern w:val="0"/>
          <w:highlight w:val="none"/>
        </w:rPr>
        <w:t>可要求</w:t>
      </w:r>
      <w:r>
        <w:rPr>
          <w:rFonts w:hint="eastAsia" w:ascii="宋体" w:hAnsi="宋体"/>
          <w:color w:val="auto"/>
          <w:kern w:val="0"/>
          <w:highlight w:val="none"/>
        </w:rPr>
        <w:t>中</w:t>
      </w:r>
      <w:r>
        <w:rPr>
          <w:rFonts w:ascii="宋体" w:hAnsi="宋体"/>
          <w:color w:val="auto"/>
          <w:kern w:val="0"/>
          <w:highlight w:val="none"/>
        </w:rPr>
        <w:t>标人对遵守参加投标的各项条件和履行合同的能力作出保证。</w:t>
      </w:r>
    </w:p>
    <w:p>
      <w:pPr>
        <w:spacing w:line="360" w:lineRule="auto"/>
        <w:ind w:left="718" w:hanging="718" w:hangingChars="342"/>
        <w:jc w:val="left"/>
        <w:rPr>
          <w:rFonts w:ascii="宋体" w:hAnsi="宋体"/>
          <w:color w:val="auto"/>
          <w:highlight w:val="none"/>
        </w:rPr>
      </w:pPr>
      <w:r>
        <w:rPr>
          <w:rFonts w:hint="eastAsia" w:ascii="宋体" w:hAnsi="宋体"/>
          <w:color w:val="auto"/>
          <w:highlight w:val="none"/>
        </w:rPr>
        <w:t>6.1.5  招标人提供证据证明中标人有下列行为之一的，经有关行政监督部门确认，该中标无效，招标人不与中标人签订合同：</w:t>
      </w:r>
    </w:p>
    <w:p>
      <w:pPr>
        <w:spacing w:line="360" w:lineRule="auto"/>
        <w:rPr>
          <w:rFonts w:ascii="宋体" w:hAnsi="宋体"/>
          <w:color w:val="auto"/>
          <w:highlight w:val="none"/>
        </w:rPr>
      </w:pPr>
      <w:r>
        <w:rPr>
          <w:rFonts w:hint="eastAsia" w:ascii="宋体" w:hAnsi="宋体"/>
          <w:color w:val="auto"/>
          <w:highlight w:val="none"/>
        </w:rPr>
        <w:t xml:space="preserve">   (a) 不能兑现投标承诺；</w:t>
      </w:r>
    </w:p>
    <w:p>
      <w:pPr>
        <w:spacing w:line="360" w:lineRule="auto"/>
        <w:rPr>
          <w:rFonts w:ascii="宋体" w:hAnsi="宋体"/>
          <w:color w:val="auto"/>
          <w:highlight w:val="none"/>
        </w:rPr>
      </w:pPr>
      <w:r>
        <w:rPr>
          <w:rFonts w:hint="eastAsia" w:ascii="宋体" w:hAnsi="宋体"/>
          <w:color w:val="auto"/>
          <w:highlight w:val="none"/>
        </w:rPr>
        <w:t xml:space="preserve">   (b) 弄虚作假骗取中标；</w:t>
      </w:r>
    </w:p>
    <w:p>
      <w:pPr>
        <w:spacing w:line="360" w:lineRule="auto"/>
        <w:ind w:left="716" w:leftChars="99" w:hanging="508" w:hangingChars="242"/>
        <w:rPr>
          <w:rFonts w:ascii="宋体" w:hAnsi="宋体"/>
          <w:color w:val="auto"/>
          <w:highlight w:val="none"/>
        </w:rPr>
      </w:pPr>
      <w:r>
        <w:rPr>
          <w:rFonts w:hint="eastAsia" w:ascii="宋体" w:hAnsi="宋体"/>
          <w:color w:val="auto"/>
          <w:highlight w:val="none"/>
        </w:rPr>
        <w:t xml:space="preserve"> (</w:t>
      </w:r>
      <w:r>
        <w:rPr>
          <w:rFonts w:ascii="宋体" w:hAnsi="宋体"/>
          <w:color w:val="auto"/>
          <w:highlight w:val="none"/>
        </w:rPr>
        <w:t>c</w:t>
      </w:r>
      <w:r>
        <w:rPr>
          <w:rFonts w:hint="eastAsia" w:ascii="宋体" w:hAnsi="宋体"/>
          <w:color w:val="auto"/>
          <w:highlight w:val="none"/>
        </w:rPr>
        <w:t>) 在招标、投标、评标、定标以及授予合同过程中，对招标人、代理机构、其他投标人、评标委员会成员、</w:t>
      </w:r>
      <w:r>
        <w:rPr>
          <w:rFonts w:hint="eastAsia" w:ascii="宋体" w:hAnsi="宋体"/>
          <w:color w:val="auto"/>
          <w:kern w:val="0"/>
          <w:highlight w:val="none"/>
        </w:rPr>
        <w:t>交易服务机构的</w:t>
      </w:r>
      <w:r>
        <w:rPr>
          <w:rFonts w:hint="eastAsia" w:ascii="宋体" w:hAnsi="宋体"/>
          <w:color w:val="auto"/>
          <w:highlight w:val="none"/>
        </w:rPr>
        <w:t>工作人员行贿、</w:t>
      </w:r>
      <w:r>
        <w:rPr>
          <w:rFonts w:ascii="宋体" w:hAnsi="宋体"/>
          <w:color w:val="auto"/>
          <w:kern w:val="0"/>
          <w:highlight w:val="none"/>
        </w:rPr>
        <w:t>利诱</w:t>
      </w:r>
      <w:r>
        <w:rPr>
          <w:rFonts w:hint="eastAsia" w:ascii="宋体" w:hAnsi="宋体"/>
          <w:color w:val="auto"/>
          <w:kern w:val="0"/>
          <w:highlight w:val="none"/>
        </w:rPr>
        <w:t>、</w:t>
      </w:r>
      <w:r>
        <w:rPr>
          <w:rFonts w:hint="eastAsia" w:ascii="宋体" w:hAnsi="宋体"/>
          <w:color w:val="auto"/>
          <w:highlight w:val="none"/>
        </w:rPr>
        <w:t>欺诈或者施加影响；</w:t>
      </w:r>
    </w:p>
    <w:p>
      <w:pPr>
        <w:spacing w:line="360" w:lineRule="auto"/>
        <w:rPr>
          <w:rFonts w:ascii="宋体" w:hAnsi="宋体"/>
          <w:color w:val="auto"/>
          <w:highlight w:val="none"/>
        </w:rPr>
      </w:pPr>
      <w:r>
        <w:rPr>
          <w:rFonts w:hint="eastAsia" w:ascii="宋体" w:hAnsi="宋体"/>
          <w:color w:val="auto"/>
          <w:highlight w:val="none"/>
        </w:rPr>
        <w:t xml:space="preserve">   (d) 擅自将任务转包其他单位；</w:t>
      </w:r>
    </w:p>
    <w:p>
      <w:pPr>
        <w:spacing w:line="360" w:lineRule="auto"/>
        <w:rPr>
          <w:rFonts w:ascii="宋体" w:hAnsi="宋体"/>
          <w:color w:val="auto"/>
          <w:highlight w:val="none"/>
        </w:rPr>
      </w:pPr>
      <w:r>
        <w:rPr>
          <w:rFonts w:hint="eastAsia" w:ascii="宋体" w:hAnsi="宋体"/>
          <w:color w:val="auto"/>
          <w:highlight w:val="none"/>
        </w:rPr>
        <w:t xml:space="preserve">   (e) 中标人实质上不符合投标资格</w:t>
      </w:r>
      <w:r>
        <w:rPr>
          <w:rFonts w:ascii="宋体" w:hAnsi="宋体"/>
          <w:color w:val="auto"/>
          <w:highlight w:val="none"/>
        </w:rPr>
        <w:t>；</w:t>
      </w:r>
    </w:p>
    <w:p>
      <w:pPr>
        <w:spacing w:line="360" w:lineRule="auto"/>
        <w:rPr>
          <w:rFonts w:ascii="宋体" w:hAnsi="宋体"/>
          <w:color w:val="auto"/>
          <w:highlight w:val="none"/>
        </w:rPr>
      </w:pPr>
      <w:r>
        <w:rPr>
          <w:rFonts w:hint="eastAsia" w:ascii="宋体" w:hAnsi="宋体"/>
          <w:color w:val="auto"/>
          <w:highlight w:val="none"/>
        </w:rPr>
        <w:t xml:space="preserve">   (f) 法律、法规规定的其他损害招标人利益和社会公共利益的情形。</w:t>
      </w:r>
    </w:p>
    <w:p>
      <w:pPr>
        <w:spacing w:line="360" w:lineRule="auto"/>
        <w:rPr>
          <w:rFonts w:ascii="宋体" w:hAnsi="宋体"/>
          <w:color w:val="auto"/>
          <w:szCs w:val="21"/>
          <w:highlight w:val="none"/>
          <w:u w:val="single"/>
        </w:rPr>
      </w:pPr>
      <w:r>
        <w:rPr>
          <w:rFonts w:hint="eastAsia" w:ascii="宋体" w:hAnsi="宋体"/>
          <w:color w:val="auto"/>
          <w:szCs w:val="21"/>
          <w:highlight w:val="none"/>
          <w:u w:val="single"/>
        </w:rPr>
        <w:t>6.1.6  如本项目实行代建制管理的，则可由代建单位与中标人签订合同。</w:t>
      </w:r>
    </w:p>
    <w:p>
      <w:pPr>
        <w:spacing w:line="360" w:lineRule="auto"/>
        <w:rPr>
          <w:rFonts w:ascii="宋体" w:hAnsi="宋体"/>
          <w:color w:val="auto"/>
          <w:highlight w:val="none"/>
          <w:u w:val="singl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jc w:val="center"/>
        <w:outlineLvl w:val="0"/>
        <w:rPr>
          <w:rFonts w:ascii="宋体" w:hAnsi="宋体"/>
          <w:b/>
          <w:color w:val="auto"/>
          <w:sz w:val="36"/>
          <w:szCs w:val="36"/>
          <w:highlight w:val="none"/>
        </w:rPr>
      </w:pPr>
      <w:r>
        <w:rPr>
          <w:rFonts w:ascii="宋体" w:hAnsi="宋体"/>
          <w:color w:val="auto"/>
          <w:highlight w:val="none"/>
        </w:rPr>
        <w:br w:type="page"/>
      </w:r>
      <w:bookmarkStart w:id="18" w:name="_Toc99463984"/>
      <w:bookmarkStart w:id="19" w:name="_Toc4994"/>
      <w:bookmarkStart w:id="20" w:name="_Toc1127"/>
      <w:r>
        <w:rPr>
          <w:rFonts w:hint="eastAsia" w:ascii="宋体" w:hAnsi="宋体"/>
          <w:b/>
          <w:color w:val="auto"/>
          <w:sz w:val="36"/>
          <w:szCs w:val="36"/>
          <w:highlight w:val="none"/>
        </w:rPr>
        <w:t>第七章  知识产权</w:t>
      </w:r>
      <w:bookmarkEnd w:id="18"/>
      <w:bookmarkEnd w:id="19"/>
      <w:bookmarkEnd w:id="20"/>
    </w:p>
    <w:p>
      <w:pPr>
        <w:spacing w:line="0" w:lineRule="atLeast"/>
        <w:rPr>
          <w:rFonts w:ascii="宋体" w:hAnsi="宋体"/>
          <w:color w:val="auto"/>
          <w:highlight w:val="none"/>
        </w:rPr>
      </w:pPr>
    </w:p>
    <w:p>
      <w:pPr>
        <w:spacing w:line="360" w:lineRule="auto"/>
        <w:rPr>
          <w:rFonts w:ascii="宋体" w:hAnsi="宋体"/>
          <w:b/>
          <w:bCs/>
          <w:color w:val="auto"/>
          <w:highlight w:val="none"/>
        </w:rPr>
      </w:pPr>
      <w:r>
        <w:rPr>
          <w:rFonts w:hint="eastAsia" w:ascii="宋体" w:hAnsi="宋体"/>
          <w:b/>
          <w:bCs/>
          <w:color w:val="auto"/>
          <w:highlight w:val="none"/>
        </w:rPr>
        <w:t>7.1    公开展示</w:t>
      </w:r>
    </w:p>
    <w:p>
      <w:pPr>
        <w:spacing w:line="360" w:lineRule="auto"/>
        <w:ind w:left="718" w:hanging="718" w:hangingChars="342"/>
        <w:rPr>
          <w:rFonts w:ascii="宋体" w:hAnsi="宋体"/>
          <w:color w:val="auto"/>
          <w:highlight w:val="none"/>
        </w:rPr>
      </w:pPr>
      <w:r>
        <w:rPr>
          <w:rFonts w:hint="eastAsia" w:ascii="宋体" w:hAnsi="宋体"/>
          <w:color w:val="auto"/>
          <w:highlight w:val="none"/>
        </w:rPr>
        <w:t>7.1.1  按招标文件规定获得补偿的投标文件，评标后不予退回。</w:t>
      </w:r>
    </w:p>
    <w:p>
      <w:pPr>
        <w:spacing w:line="360" w:lineRule="auto"/>
        <w:ind w:left="718" w:hanging="718" w:hangingChars="342"/>
        <w:jc w:val="left"/>
        <w:rPr>
          <w:rFonts w:ascii="宋体" w:hAnsi="宋体"/>
          <w:color w:val="auto"/>
          <w:highlight w:val="none"/>
        </w:rPr>
      </w:pPr>
      <w:r>
        <w:rPr>
          <w:rFonts w:hint="eastAsia" w:ascii="宋体" w:hAnsi="宋体"/>
          <w:color w:val="auto"/>
          <w:highlight w:val="none"/>
        </w:rPr>
        <w:t>7.1.3  招标人有权在评标结束后公开展示获得补偿费用的所有投标方案成果，并通过传播媒介、杂志、书刊或其它形式介绍、展示及评价该方案成果，所有展示、推介、广告均不再向投标人支付费用。</w:t>
      </w:r>
    </w:p>
    <w:p>
      <w:pPr>
        <w:spacing w:line="360" w:lineRule="auto"/>
        <w:ind w:left="718" w:hanging="718" w:hangingChars="342"/>
        <w:jc w:val="left"/>
        <w:rPr>
          <w:rFonts w:ascii="宋体" w:hAnsi="宋体"/>
          <w:color w:val="auto"/>
          <w:highlight w:val="none"/>
        </w:rPr>
      </w:pPr>
    </w:p>
    <w:p>
      <w:pPr>
        <w:spacing w:line="360" w:lineRule="auto"/>
        <w:rPr>
          <w:rFonts w:ascii="宋体" w:hAnsi="宋体"/>
          <w:b/>
          <w:bCs/>
          <w:color w:val="auto"/>
          <w:highlight w:val="none"/>
        </w:rPr>
      </w:pPr>
      <w:r>
        <w:rPr>
          <w:rFonts w:hint="eastAsia" w:ascii="宋体" w:hAnsi="宋体"/>
          <w:b/>
          <w:bCs/>
          <w:color w:val="auto"/>
          <w:highlight w:val="none"/>
        </w:rPr>
        <w:t>7.2    知识产权转移</w:t>
      </w:r>
    </w:p>
    <w:p>
      <w:pPr>
        <w:spacing w:line="360" w:lineRule="auto"/>
        <w:ind w:left="718" w:hanging="718" w:hangingChars="342"/>
        <w:jc w:val="left"/>
        <w:rPr>
          <w:rFonts w:ascii="宋体" w:hAnsi="宋体"/>
          <w:color w:val="auto"/>
          <w:highlight w:val="none"/>
        </w:rPr>
      </w:pPr>
      <w:r>
        <w:rPr>
          <w:rFonts w:hint="eastAsia" w:ascii="宋体" w:hAnsi="宋体"/>
          <w:color w:val="auto"/>
          <w:highlight w:val="none"/>
        </w:rPr>
        <w:t>7.2.1  授予合同并支付定金后，中标方案的发表权、展览权、使用权归招标人和中标人共有。</w:t>
      </w:r>
    </w:p>
    <w:p>
      <w:pPr>
        <w:spacing w:line="360" w:lineRule="auto"/>
        <w:ind w:left="718" w:hanging="718" w:hangingChars="342"/>
        <w:rPr>
          <w:rFonts w:ascii="宋体" w:hAnsi="宋体"/>
          <w:color w:val="auto"/>
          <w:highlight w:val="none"/>
        </w:rPr>
      </w:pPr>
      <w:r>
        <w:rPr>
          <w:rFonts w:hint="eastAsia" w:ascii="宋体" w:hAnsi="宋体"/>
          <w:color w:val="auto"/>
          <w:highlight w:val="none"/>
        </w:rPr>
        <w:t>7.2.2  授予合同并支付定金后，招标人有权在招标标的中使用中标方案中中标人享有合法权利的著作权、专利权，对于中标方案中涉及的他人所有的知识产权，中标人有义务获得许可，否则招标人有权解除合同并要求退还已支付的费用，招标人因此收到损害的，有权要求中标人予以赔偿，如果招标人、中标人使用未中标方案作为本项目实施方案，招标人按招标文件规定向提交方案的投标人付给使用费后，该方案的发表权、展览权、使用权归招标人和中标人共有。</w:t>
      </w:r>
    </w:p>
    <w:p>
      <w:pPr>
        <w:spacing w:line="360" w:lineRule="auto"/>
        <w:ind w:left="718" w:hanging="718" w:hangingChars="342"/>
        <w:rPr>
          <w:rFonts w:ascii="宋体" w:hAnsi="宋体"/>
          <w:color w:val="auto"/>
          <w:highlight w:val="none"/>
        </w:rPr>
      </w:pPr>
    </w:p>
    <w:p>
      <w:pPr>
        <w:spacing w:line="360" w:lineRule="auto"/>
        <w:rPr>
          <w:rFonts w:ascii="宋体" w:hAnsi="宋体"/>
          <w:b/>
          <w:bCs/>
          <w:color w:val="auto"/>
          <w:highlight w:val="none"/>
        </w:rPr>
      </w:pPr>
      <w:r>
        <w:rPr>
          <w:rFonts w:hint="eastAsia" w:ascii="宋体" w:hAnsi="宋体"/>
          <w:b/>
          <w:bCs/>
          <w:color w:val="auto"/>
          <w:highlight w:val="none"/>
        </w:rPr>
        <w:t>7.3    其他</w:t>
      </w:r>
    </w:p>
    <w:p>
      <w:pPr>
        <w:spacing w:line="360" w:lineRule="auto"/>
        <w:ind w:left="718" w:hanging="718" w:hangingChars="342"/>
        <w:rPr>
          <w:rFonts w:ascii="宋体" w:hAnsi="宋体"/>
          <w:color w:val="auto"/>
          <w:highlight w:val="none"/>
        </w:rPr>
      </w:pPr>
      <w:r>
        <w:rPr>
          <w:rFonts w:hint="eastAsia" w:ascii="宋体" w:hAnsi="宋体"/>
          <w:color w:val="auto"/>
          <w:highlight w:val="none"/>
        </w:rPr>
        <w:t>7.3.1  除特殊情况外，招标人有权在工程建设中根据需要对选定的实施方案进行调整和修改。招标人有权在实施方案中参考使用获得补偿费用的所有投标方案成果的部分内容，被使用部分的方案使用费按招标文件规定执行。</w:t>
      </w:r>
    </w:p>
    <w:p>
      <w:pPr>
        <w:spacing w:line="360" w:lineRule="auto"/>
        <w:ind w:left="718" w:hanging="718" w:hangingChars="342"/>
        <w:rPr>
          <w:rFonts w:ascii="宋体" w:hAnsi="宋体"/>
          <w:color w:val="auto"/>
          <w:highlight w:val="none"/>
        </w:rPr>
      </w:pPr>
      <w:r>
        <w:rPr>
          <w:rFonts w:hint="eastAsia" w:ascii="宋体" w:hAnsi="宋体"/>
          <w:color w:val="auto"/>
          <w:highlight w:val="none"/>
        </w:rPr>
        <w:t>7.3.2  投标人保证投标文件及资料均未侵犯他人的知识产权，否则必须承担全部责任。若投标人使用了他人的专利、专有技术，涉及的费用由投标人负责。</w:t>
      </w:r>
    </w:p>
    <w:p>
      <w:pPr>
        <w:spacing w:line="360" w:lineRule="auto"/>
        <w:ind w:left="718" w:hanging="718" w:hangingChars="342"/>
        <w:rPr>
          <w:rFonts w:ascii="宋体" w:hAnsi="宋体"/>
          <w:color w:val="auto"/>
          <w:highlight w:val="none"/>
        </w:rPr>
      </w:pPr>
      <w:r>
        <w:rPr>
          <w:rFonts w:hint="eastAsia" w:ascii="宋体" w:hAnsi="宋体"/>
          <w:color w:val="auto"/>
          <w:highlight w:val="none"/>
        </w:rPr>
        <w:t>7.3.3  中标人未经招标人许可，不得将中标方案成果整体用于其他相同或类似项目的投标和设计（专利权除外）。</w:t>
      </w:r>
    </w:p>
    <w:p>
      <w:pPr>
        <w:spacing w:line="360" w:lineRule="auto"/>
        <w:rPr>
          <w:rFonts w:ascii="宋体" w:hAnsi="宋体"/>
          <w:color w:val="auto"/>
          <w:highlight w:val="none"/>
        </w:rPr>
      </w:pPr>
      <w:r>
        <w:rPr>
          <w:rFonts w:hint="eastAsia" w:ascii="宋体" w:hAnsi="宋体"/>
          <w:color w:val="auto"/>
          <w:highlight w:val="none"/>
        </w:rPr>
        <w:t>7.3.4  招标人有权无须事先征求中标人的同意而披露关于中标人的名称、地址、合同条款。</w:t>
      </w:r>
    </w:p>
    <w:p>
      <w:pPr>
        <w:spacing w:line="360" w:lineRule="auto"/>
        <w:rPr>
          <w:rFonts w:ascii="宋体" w:hAnsi="宋体"/>
          <w:color w:val="auto"/>
          <w:highlight w:val="none"/>
        </w:rPr>
      </w:pPr>
    </w:p>
    <w:p>
      <w:pPr>
        <w:spacing w:line="360" w:lineRule="auto"/>
        <w:rPr>
          <w:rFonts w:ascii="宋体" w:hAnsi="宋体"/>
          <w:color w:val="auto"/>
          <w:highlight w:val="none"/>
        </w:rPr>
      </w:pPr>
    </w:p>
    <w:p>
      <w:pPr>
        <w:jc w:val="center"/>
        <w:rPr>
          <w:rFonts w:ascii="宋体" w:hAnsi="宋体"/>
          <w:color w:val="auto"/>
          <w:sz w:val="24"/>
          <w:highlight w:val="none"/>
        </w:rPr>
      </w:pPr>
      <w:r>
        <w:rPr>
          <w:rFonts w:ascii="宋体" w:hAnsi="宋体"/>
          <w:color w:val="auto"/>
          <w:highlight w:val="none"/>
        </w:rPr>
        <w:br w:type="page"/>
      </w:r>
      <w:r>
        <w:rPr>
          <w:rFonts w:hint="eastAsia" w:ascii="宋体" w:hAnsi="宋体"/>
          <w:b/>
          <w:color w:val="auto"/>
          <w:sz w:val="36"/>
          <w:szCs w:val="36"/>
          <w:highlight w:val="none"/>
        </w:rPr>
        <w:t>第八章  合同条款</w:t>
      </w:r>
      <w:r>
        <w:rPr>
          <w:rFonts w:hint="eastAsia" w:ascii="宋体" w:hAnsi="宋体"/>
          <w:color w:val="auto"/>
          <w:highlight w:val="none"/>
        </w:rPr>
        <w:t xml:space="preserve">  </w:t>
      </w:r>
    </w:p>
    <w:p>
      <w:pPr>
        <w:spacing w:line="480" w:lineRule="exact"/>
        <w:ind w:firstLine="5040"/>
        <w:rPr>
          <w:rFonts w:ascii="宋体" w:hAnsi="宋体"/>
          <w:b/>
          <w:color w:val="auto"/>
          <w:sz w:val="32"/>
          <w:szCs w:val="32"/>
          <w:highlight w:val="none"/>
        </w:rPr>
      </w:pPr>
    </w:p>
    <w:p>
      <w:pPr>
        <w:spacing w:line="0" w:lineRule="atLeast"/>
        <w:jc w:val="center"/>
        <w:rPr>
          <w:rFonts w:ascii="宋体" w:hAnsi="宋体"/>
          <w:color w:val="auto"/>
          <w:sz w:val="24"/>
          <w:highlight w:val="none"/>
        </w:rPr>
      </w:pPr>
    </w:p>
    <w:p>
      <w:pPr>
        <w:spacing w:line="0" w:lineRule="atLeast"/>
        <w:jc w:val="center"/>
        <w:rPr>
          <w:rFonts w:ascii="宋体" w:hAnsi="宋体"/>
          <w:color w:val="auto"/>
          <w:sz w:val="24"/>
          <w:highlight w:val="none"/>
        </w:rPr>
      </w:pPr>
      <w:r>
        <w:rPr>
          <w:rFonts w:hint="eastAsia" w:ascii="宋体" w:hAnsi="宋体"/>
          <w:color w:val="auto"/>
          <w:highlight w:val="none"/>
        </w:rPr>
        <w:drawing>
          <wp:anchor distT="0" distB="0" distL="114300" distR="114300" simplePos="0" relativeHeight="251662336" behindDoc="1" locked="0" layoutInCell="1" allowOverlap="1">
            <wp:simplePos x="0" y="0"/>
            <wp:positionH relativeFrom="column">
              <wp:posOffset>368935</wp:posOffset>
            </wp:positionH>
            <wp:positionV relativeFrom="paragraph">
              <wp:posOffset>43815</wp:posOffset>
            </wp:positionV>
            <wp:extent cx="4730115" cy="1774190"/>
            <wp:effectExtent l="0" t="0" r="13335" b="16510"/>
            <wp:wrapNone/>
            <wp:docPr id="7" name="图片 10" descr="说明: D:\我的文档\Documents\Tencent Files\294312491\FileRecv\SSGKC Inline_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说明: D:\我的文档\Documents\Tencent Files\294312491\FileRecv\SSGKC Inline_Colour Logo.jpg"/>
                    <pic:cNvPicPr>
                      <a:picLocks noChangeAspect="1"/>
                    </pic:cNvPicPr>
                  </pic:nvPicPr>
                  <pic:blipFill>
                    <a:blip r:embed="rId12" cstate="print"/>
                    <a:stretch>
                      <a:fillRect/>
                    </a:stretch>
                  </pic:blipFill>
                  <pic:spPr>
                    <a:xfrm>
                      <a:off x="0" y="0"/>
                      <a:ext cx="4730115" cy="1774190"/>
                    </a:xfrm>
                    <a:prstGeom prst="rect">
                      <a:avLst/>
                    </a:prstGeom>
                    <a:noFill/>
                    <a:ln>
                      <a:noFill/>
                    </a:ln>
                  </pic:spPr>
                </pic:pic>
              </a:graphicData>
            </a:graphic>
          </wp:anchor>
        </w:drawing>
      </w:r>
      <w:r>
        <w:rPr>
          <w:rFonts w:hint="eastAsia" w:ascii="宋体" w:hAnsi="宋体"/>
          <w:color w:val="auto"/>
          <w:highlight w:val="none"/>
        </w:rPr>
        <w:t xml:space="preserve"> </w:t>
      </w:r>
    </w:p>
    <w:p>
      <w:pPr>
        <w:spacing w:line="0" w:lineRule="atLeast"/>
        <w:jc w:val="center"/>
        <w:rPr>
          <w:rFonts w:ascii="宋体" w:hAnsi="宋体"/>
          <w:color w:val="auto"/>
          <w:sz w:val="24"/>
          <w:highlight w:val="none"/>
        </w:rPr>
      </w:pPr>
    </w:p>
    <w:p>
      <w:pPr>
        <w:spacing w:line="0" w:lineRule="atLeast"/>
        <w:jc w:val="center"/>
        <w:rPr>
          <w:rFonts w:ascii="宋体" w:hAnsi="宋体"/>
          <w:color w:val="auto"/>
          <w:sz w:val="24"/>
          <w:highlight w:val="none"/>
        </w:rPr>
      </w:pPr>
    </w:p>
    <w:p>
      <w:pPr>
        <w:ind w:firstLine="5565" w:firstLineChars="2650"/>
        <w:rPr>
          <w:rFonts w:ascii="宋体" w:hAnsi="宋体"/>
          <w:color w:val="auto"/>
          <w:sz w:val="22"/>
          <w:highlight w:val="none"/>
        </w:rPr>
      </w:pPr>
      <w:r>
        <w:rPr>
          <w:rFonts w:hint="eastAsia" w:ascii="宋体" w:hAnsi="宋体"/>
          <w:color w:val="auto"/>
          <w:highlight w:val="none"/>
        </w:rPr>
        <w:t xml:space="preserve"> </w:t>
      </w:r>
      <w:r>
        <w:rPr>
          <w:rFonts w:hint="eastAsia" w:ascii="宋体" w:hAnsi="宋体"/>
          <w:color w:val="auto"/>
          <w:sz w:val="22"/>
          <w:szCs w:val="21"/>
          <w:highlight w:val="none"/>
        </w:rPr>
        <w:t>合同编号：中新知建管设[20  ]  号//</w:t>
      </w:r>
    </w:p>
    <w:p>
      <w:pPr>
        <w:ind w:firstLine="7350" w:firstLineChars="3500"/>
        <w:rPr>
          <w:rFonts w:ascii="宋体" w:hAnsi="宋体"/>
          <w:color w:val="auto"/>
          <w:highlight w:val="none"/>
        </w:rPr>
      </w:pPr>
      <w:r>
        <w:rPr>
          <w:rFonts w:hint="eastAsia" w:ascii="宋体" w:hAnsi="宋体"/>
          <w:color w:val="auto"/>
          <w:highlight w:val="none"/>
        </w:rPr>
        <w:t xml:space="preserve">               </w:t>
      </w:r>
    </w:p>
    <w:p>
      <w:pPr>
        <w:ind w:firstLine="840" w:firstLineChars="400"/>
        <w:rPr>
          <w:rFonts w:ascii="宋体" w:hAnsi="宋体"/>
          <w:color w:val="auto"/>
          <w:highlight w:val="none"/>
        </w:rPr>
      </w:pPr>
    </w:p>
    <w:p>
      <w:pPr>
        <w:ind w:firstLine="840" w:firstLineChars="400"/>
        <w:rPr>
          <w:rFonts w:ascii="宋体" w:hAnsi="宋体"/>
          <w:color w:val="auto"/>
          <w:highlight w:val="none"/>
        </w:rPr>
      </w:pPr>
      <w:r>
        <w:rPr>
          <w:rFonts w:hint="eastAsia" w:ascii="宋体" w:hAnsi="宋体"/>
          <w:color w:val="auto"/>
          <w:highlight w:val="none"/>
        </w:rPr>
        <w:t xml:space="preserve">                                                              </w:t>
      </w:r>
    </w:p>
    <w:p>
      <w:pPr>
        <w:ind w:firstLine="840" w:firstLineChars="400"/>
        <w:rPr>
          <w:rFonts w:ascii="宋体" w:hAnsi="宋体"/>
          <w:color w:val="auto"/>
          <w:highlight w:val="none"/>
        </w:rPr>
      </w:pPr>
      <w:r>
        <w:rPr>
          <w:rFonts w:hint="eastAsia" w:ascii="宋体" w:hAnsi="宋体"/>
          <w:color w:val="auto"/>
          <w:highlight w:val="none"/>
        </w:rPr>
        <w:t xml:space="preserve">                     </w:t>
      </w:r>
    </w:p>
    <w:p>
      <w:pPr>
        <w:snapToGrid w:val="0"/>
        <w:spacing w:line="440" w:lineRule="exact"/>
        <w:ind w:left="-197" w:leftChars="-94"/>
        <w:jc w:val="center"/>
        <w:rPr>
          <w:rFonts w:ascii="宋体" w:hAnsi="宋体"/>
          <w:color w:val="auto"/>
          <w:highlight w:val="none"/>
        </w:rPr>
      </w:pPr>
    </w:p>
    <w:p>
      <w:pPr>
        <w:snapToGrid w:val="0"/>
        <w:spacing w:line="440" w:lineRule="exact"/>
        <w:ind w:left="-197" w:leftChars="-94"/>
        <w:jc w:val="center"/>
        <w:rPr>
          <w:rFonts w:ascii="宋体" w:hAnsi="宋体"/>
          <w:color w:val="auto"/>
          <w:highlight w:val="none"/>
        </w:rPr>
      </w:pPr>
    </w:p>
    <w:p>
      <w:pPr>
        <w:snapToGrid w:val="0"/>
        <w:spacing w:line="440" w:lineRule="exact"/>
        <w:ind w:left="-197" w:leftChars="-94"/>
        <w:jc w:val="center"/>
        <w:rPr>
          <w:rFonts w:ascii="宋体" w:hAnsi="宋体"/>
          <w:color w:val="auto"/>
          <w:sz w:val="28"/>
          <w:szCs w:val="28"/>
          <w:highlight w:val="none"/>
        </w:rPr>
      </w:pPr>
      <w:r>
        <w:rPr>
          <w:rFonts w:hint="eastAsia" w:ascii="宋体" w:hAnsi="宋体"/>
          <w:color w:val="auto"/>
          <w:sz w:val="28"/>
          <w:szCs w:val="28"/>
          <w:highlight w:val="none"/>
        </w:rPr>
        <w:t xml:space="preserve">      </w:t>
      </w:r>
    </w:p>
    <w:p>
      <w:pPr>
        <w:spacing w:line="480" w:lineRule="exact"/>
        <w:jc w:val="center"/>
        <w:rPr>
          <w:rFonts w:ascii="宋体" w:hAnsi="宋体"/>
          <w:color w:val="auto"/>
          <w:sz w:val="28"/>
          <w:szCs w:val="28"/>
          <w:highlight w:val="none"/>
        </w:rPr>
      </w:pPr>
    </w:p>
    <w:p>
      <w:pPr>
        <w:spacing w:line="480" w:lineRule="exact"/>
        <w:jc w:val="center"/>
        <w:rPr>
          <w:rFonts w:ascii="宋体" w:hAnsi="宋体"/>
          <w:color w:val="auto"/>
          <w:sz w:val="28"/>
          <w:szCs w:val="28"/>
          <w:highlight w:val="none"/>
        </w:rPr>
      </w:pPr>
      <w:r>
        <w:rPr>
          <w:rFonts w:hint="eastAsia" w:ascii="宋体" w:hAnsi="宋体"/>
          <w:color w:val="auto"/>
          <w:highlight w:val="none"/>
        </w:rPr>
        <w:drawing>
          <wp:anchor distT="0" distB="0" distL="114300" distR="114300" simplePos="0" relativeHeight="251663360" behindDoc="0" locked="0" layoutInCell="1" allowOverlap="1">
            <wp:simplePos x="0" y="0"/>
            <wp:positionH relativeFrom="column">
              <wp:posOffset>203200</wp:posOffset>
            </wp:positionH>
            <wp:positionV relativeFrom="paragraph">
              <wp:posOffset>194310</wp:posOffset>
            </wp:positionV>
            <wp:extent cx="5530850" cy="513080"/>
            <wp:effectExtent l="0" t="0" r="12700" b="1270"/>
            <wp:wrapSquare wrapText="bothSides"/>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3" cstate="print"/>
                    <a:stretch>
                      <a:fillRect/>
                    </a:stretch>
                  </pic:blipFill>
                  <pic:spPr>
                    <a:xfrm>
                      <a:off x="0" y="0"/>
                      <a:ext cx="5530850" cy="513080"/>
                    </a:xfrm>
                    <a:prstGeom prst="rect">
                      <a:avLst/>
                    </a:prstGeom>
                    <a:noFill/>
                    <a:ln>
                      <a:noFill/>
                    </a:ln>
                  </pic:spPr>
                </pic:pic>
              </a:graphicData>
            </a:graphic>
          </wp:anchor>
        </w:drawing>
      </w:r>
    </w:p>
    <w:p>
      <w:pPr>
        <w:spacing w:line="480" w:lineRule="exact"/>
        <w:ind w:firstLine="1058" w:firstLineChars="378"/>
        <w:rPr>
          <w:rFonts w:ascii="宋体" w:hAnsi="宋体"/>
          <w:color w:val="auto"/>
          <w:sz w:val="28"/>
          <w:szCs w:val="28"/>
          <w:highlight w:val="none"/>
          <w:u w:val="single"/>
        </w:rPr>
      </w:pPr>
      <w:r>
        <w:rPr>
          <w:rFonts w:hint="eastAsia" w:ascii="宋体" w:hAnsi="宋体"/>
          <w:color w:val="auto"/>
          <w:sz w:val="28"/>
          <w:szCs w:val="28"/>
          <w:highlight w:val="none"/>
        </w:rPr>
        <w:t xml:space="preserve"> 项目名称：</w:t>
      </w:r>
      <w:r>
        <w:rPr>
          <w:rFonts w:hint="eastAsia" w:ascii="宋体" w:hAnsi="宋体"/>
          <w:color w:val="auto"/>
          <w:sz w:val="28"/>
          <w:szCs w:val="28"/>
          <w:highlight w:val="none"/>
          <w:u w:val="single"/>
        </w:rPr>
        <w:t xml:space="preserve">                                    </w:t>
      </w:r>
    </w:p>
    <w:p>
      <w:pPr>
        <w:spacing w:line="480" w:lineRule="exact"/>
        <w:ind w:firstLine="1260" w:firstLineChars="450"/>
        <w:rPr>
          <w:rFonts w:ascii="宋体" w:hAnsi="宋体"/>
          <w:color w:val="auto"/>
          <w:sz w:val="28"/>
          <w:szCs w:val="28"/>
          <w:highlight w:val="none"/>
          <w:u w:val="single"/>
        </w:rPr>
      </w:pPr>
      <w:r>
        <w:rPr>
          <w:rFonts w:hint="eastAsia" w:ascii="宋体" w:hAnsi="宋体"/>
          <w:color w:val="auto"/>
          <w:sz w:val="28"/>
          <w:szCs w:val="28"/>
          <w:highlight w:val="none"/>
        </w:rPr>
        <w:t>发包人：</w:t>
      </w:r>
      <w:r>
        <w:rPr>
          <w:rFonts w:hint="eastAsia" w:ascii="宋体" w:hAnsi="宋体"/>
          <w:color w:val="auto"/>
          <w:sz w:val="28"/>
          <w:szCs w:val="28"/>
          <w:highlight w:val="none"/>
          <w:u w:val="single"/>
        </w:rPr>
        <w:t>中新广州知识城财政投资建设项目管理中心</w:t>
      </w:r>
    </w:p>
    <w:p>
      <w:pPr>
        <w:snapToGrid w:val="0"/>
        <w:spacing w:line="440" w:lineRule="exact"/>
        <w:ind w:firstLine="1260" w:firstLineChars="450"/>
        <w:rPr>
          <w:rFonts w:ascii="宋体" w:hAnsi="宋体"/>
          <w:color w:val="auto"/>
          <w:sz w:val="28"/>
          <w:szCs w:val="28"/>
          <w:highlight w:val="none"/>
          <w:u w:val="single"/>
        </w:rPr>
      </w:pPr>
      <w:r>
        <w:rPr>
          <w:rFonts w:hint="eastAsia" w:ascii="宋体" w:hAnsi="宋体"/>
          <w:color w:val="auto"/>
          <w:sz w:val="28"/>
          <w:szCs w:val="28"/>
          <w:highlight w:val="none"/>
        </w:rPr>
        <w:t>勘察、设计人：</w:t>
      </w:r>
      <w:r>
        <w:rPr>
          <w:rFonts w:hint="eastAsia" w:ascii="宋体" w:hAnsi="宋体"/>
          <w:color w:val="auto"/>
          <w:sz w:val="28"/>
          <w:szCs w:val="28"/>
          <w:highlight w:val="none"/>
          <w:u w:val="single"/>
        </w:rPr>
        <w:t xml:space="preserve">                                </w:t>
      </w:r>
    </w:p>
    <w:p>
      <w:pPr>
        <w:spacing w:line="480" w:lineRule="exact"/>
        <w:ind w:firstLine="1260" w:firstLineChars="450"/>
        <w:rPr>
          <w:rFonts w:ascii="宋体" w:hAnsi="宋体"/>
          <w:color w:val="auto"/>
          <w:sz w:val="28"/>
          <w:szCs w:val="28"/>
          <w:highlight w:val="none"/>
          <w:u w:val="single"/>
        </w:rPr>
      </w:pPr>
      <w:r>
        <w:rPr>
          <w:rFonts w:hint="eastAsia" w:ascii="宋体" w:hAnsi="宋体"/>
          <w:color w:val="auto"/>
          <w:sz w:val="28"/>
          <w:szCs w:val="28"/>
          <w:highlight w:val="none"/>
        </w:rPr>
        <w:t>合同签订日期：</w:t>
      </w:r>
      <w:r>
        <w:rPr>
          <w:rFonts w:hint="eastAsia" w:ascii="宋体" w:hAnsi="宋体"/>
          <w:color w:val="auto"/>
          <w:sz w:val="28"/>
          <w:szCs w:val="28"/>
          <w:highlight w:val="none"/>
          <w:u w:val="single"/>
        </w:rPr>
        <w:t xml:space="preserve">         年    月    日         </w:t>
      </w:r>
    </w:p>
    <w:p>
      <w:pPr>
        <w:spacing w:line="480" w:lineRule="exact"/>
        <w:ind w:firstLine="1260" w:firstLineChars="450"/>
        <w:rPr>
          <w:rFonts w:ascii="宋体" w:hAnsi="宋体"/>
          <w:color w:val="auto"/>
          <w:sz w:val="28"/>
          <w:szCs w:val="28"/>
          <w:highlight w:val="none"/>
          <w:u w:val="single"/>
        </w:rPr>
      </w:pPr>
      <w:r>
        <w:rPr>
          <w:rFonts w:hint="eastAsia" w:ascii="宋体" w:hAnsi="宋体"/>
          <w:color w:val="auto"/>
          <w:sz w:val="28"/>
          <w:szCs w:val="28"/>
          <w:highlight w:val="none"/>
        </w:rPr>
        <w:t>签订地点：</w:t>
      </w:r>
      <w:r>
        <w:rPr>
          <w:rFonts w:hint="eastAsia" w:ascii="宋体" w:hAnsi="宋体"/>
          <w:color w:val="auto"/>
          <w:sz w:val="28"/>
          <w:szCs w:val="28"/>
          <w:highlight w:val="none"/>
          <w:u w:val="single"/>
        </w:rPr>
        <w:t xml:space="preserve">           广州市黄埔区             </w:t>
      </w:r>
    </w:p>
    <w:p>
      <w:pPr>
        <w:spacing w:line="480" w:lineRule="exact"/>
        <w:jc w:val="center"/>
        <w:rPr>
          <w:rFonts w:ascii="宋体" w:hAnsi="宋体"/>
          <w:color w:val="auto"/>
          <w:highlight w:val="none"/>
        </w:rPr>
      </w:pPr>
      <w:r>
        <w:rPr>
          <w:rFonts w:hint="eastAsia" w:ascii="宋体" w:hAnsi="宋体"/>
          <w:color w:val="auto"/>
          <w:sz w:val="28"/>
          <w:szCs w:val="28"/>
          <w:highlight w:val="none"/>
        </w:rPr>
        <w:drawing>
          <wp:anchor distT="0" distB="0" distL="114300" distR="114300" simplePos="0" relativeHeight="251664384" behindDoc="0" locked="0" layoutInCell="1" allowOverlap="0">
            <wp:simplePos x="0" y="0"/>
            <wp:positionH relativeFrom="column">
              <wp:posOffset>0</wp:posOffset>
            </wp:positionH>
            <wp:positionV relativeFrom="paragraph">
              <wp:posOffset>639445</wp:posOffset>
            </wp:positionV>
            <wp:extent cx="7562850" cy="2633980"/>
            <wp:effectExtent l="0" t="0" r="0" b="13970"/>
            <wp:wrapSquare wrapText="bothSides"/>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4" cstate="print"/>
                    <a:stretch>
                      <a:fillRect/>
                    </a:stretch>
                  </pic:blipFill>
                  <pic:spPr>
                    <a:xfrm>
                      <a:off x="0" y="0"/>
                      <a:ext cx="7562850" cy="2633980"/>
                    </a:xfrm>
                    <a:prstGeom prst="rect">
                      <a:avLst/>
                    </a:prstGeom>
                    <a:noFill/>
                    <a:ln>
                      <a:noFill/>
                    </a:ln>
                  </pic:spPr>
                </pic:pic>
              </a:graphicData>
            </a:graphic>
          </wp:anchor>
        </w:drawing>
      </w:r>
    </w:p>
    <w:p>
      <w:pPr>
        <w:spacing w:line="460" w:lineRule="exact"/>
        <w:rPr>
          <w:rFonts w:ascii="宋体" w:hAnsi="宋体"/>
          <w:color w:val="auto"/>
          <w:sz w:val="44"/>
          <w:highlight w:val="none"/>
        </w:rPr>
        <w:sectPr>
          <w:footerReference r:id="rId4" w:type="default"/>
          <w:footerReference r:id="rId5" w:type="even"/>
          <w:pgSz w:w="11906" w:h="16838"/>
          <w:pgMar w:top="1247" w:right="1304" w:bottom="1247" w:left="1281" w:header="851" w:footer="992" w:gutter="0"/>
          <w:pgBorders>
            <w:top w:val="none" w:sz="0" w:space="0"/>
            <w:left w:val="none" w:sz="0" w:space="0"/>
            <w:bottom w:val="none" w:sz="0" w:space="0"/>
            <w:right w:val="none" w:sz="0" w:space="0"/>
          </w:pgBorders>
          <w:cols w:space="720" w:num="1"/>
          <w:docGrid w:type="lines" w:linePitch="312" w:charSpace="0"/>
        </w:sectPr>
      </w:pPr>
    </w:p>
    <w:p>
      <w:pPr>
        <w:widowControl/>
        <w:wordWrap w:val="0"/>
        <w:topLinePunct/>
        <w:adjustRightInd w:val="0"/>
        <w:snapToGrid w:val="0"/>
        <w:spacing w:line="360" w:lineRule="auto"/>
        <w:jc w:val="center"/>
        <w:rPr>
          <w:rFonts w:ascii="宋体" w:hAnsi="宋体"/>
          <w:b/>
          <w:bCs/>
          <w:color w:val="auto"/>
          <w:spacing w:val="110"/>
          <w:sz w:val="44"/>
          <w:szCs w:val="44"/>
          <w:highlight w:val="none"/>
        </w:rPr>
      </w:pPr>
      <w:r>
        <w:rPr>
          <w:rFonts w:hint="eastAsia" w:ascii="宋体" w:hAnsi="宋体"/>
          <w:b/>
          <w:bCs/>
          <w:color w:val="auto"/>
          <w:spacing w:val="110"/>
          <w:sz w:val="44"/>
          <w:szCs w:val="44"/>
          <w:highlight w:val="none"/>
        </w:rPr>
        <w:t>一、协议书</w:t>
      </w:r>
    </w:p>
    <w:p>
      <w:pPr>
        <w:widowControl/>
        <w:wordWrap w:val="0"/>
        <w:topLinePunct/>
        <w:adjustRightInd w:val="0"/>
        <w:snapToGrid w:val="0"/>
        <w:spacing w:line="360" w:lineRule="auto"/>
        <w:jc w:val="center"/>
        <w:rPr>
          <w:rFonts w:ascii="宋体" w:hAnsi="宋体"/>
          <w:color w:val="auto"/>
          <w:highlight w:val="none"/>
        </w:rPr>
      </w:pPr>
    </w:p>
    <w:p>
      <w:pPr>
        <w:widowControl/>
        <w:wordWrap w:val="0"/>
        <w:topLinePunct/>
        <w:adjustRightInd w:val="0"/>
        <w:snapToGrid w:val="0"/>
        <w:spacing w:line="360" w:lineRule="auto"/>
        <w:ind w:left="2" w:leftChars="1" w:firstLine="480" w:firstLineChars="200"/>
        <w:rPr>
          <w:rFonts w:ascii="宋体" w:hAnsi="宋体"/>
          <w:color w:val="auto"/>
          <w:sz w:val="24"/>
          <w:highlight w:val="none"/>
        </w:rPr>
      </w:pPr>
      <w:r>
        <w:rPr>
          <w:rFonts w:hint="eastAsia" w:ascii="宋体" w:hAnsi="宋体"/>
          <w:color w:val="auto"/>
          <w:sz w:val="24"/>
          <w:highlight w:val="none"/>
        </w:rPr>
        <w:t>发包人</w:t>
      </w:r>
      <w:r>
        <w:rPr>
          <w:rFonts w:hint="eastAsia" w:ascii="宋体" w:hAnsi="宋体"/>
          <w:color w:val="auto"/>
          <w:sz w:val="24"/>
          <w:highlight w:val="none"/>
          <w:u w:val="single"/>
        </w:rPr>
        <w:t xml:space="preserve">            </w:t>
      </w:r>
      <w:r>
        <w:rPr>
          <w:rFonts w:hint="eastAsia" w:ascii="宋体" w:hAnsi="宋体"/>
          <w:color w:val="auto"/>
          <w:sz w:val="24"/>
          <w:highlight w:val="none"/>
        </w:rPr>
        <w:t>与勘察、设计人</w:t>
      </w:r>
      <w:r>
        <w:rPr>
          <w:rFonts w:hint="eastAsia" w:ascii="宋体" w:hAnsi="宋体"/>
          <w:color w:val="auto"/>
          <w:sz w:val="24"/>
          <w:highlight w:val="none"/>
          <w:u w:val="single"/>
        </w:rPr>
        <w:t xml:space="preserve">             </w:t>
      </w:r>
      <w:r>
        <w:rPr>
          <w:rFonts w:hint="eastAsia" w:ascii="宋体" w:hAnsi="宋体"/>
          <w:color w:val="auto"/>
          <w:sz w:val="24"/>
          <w:highlight w:val="none"/>
        </w:rPr>
        <w:t>经过双方协商一致，签订本合同。</w:t>
      </w:r>
    </w:p>
    <w:p>
      <w:pPr>
        <w:widowControl/>
        <w:wordWrap w:val="0"/>
        <w:topLinePunct/>
        <w:adjustRightInd w:val="0"/>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一、下列文件均为本合同的组成部分。</w:t>
      </w:r>
    </w:p>
    <w:p>
      <w:pPr>
        <w:widowControl/>
        <w:wordWrap w:val="0"/>
        <w:topLinePunct/>
        <w:adjustRightInd w:val="0"/>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（1）中标通知书；</w:t>
      </w:r>
    </w:p>
    <w:p>
      <w:pPr>
        <w:widowControl/>
        <w:wordWrap w:val="0"/>
        <w:topLinePunct/>
        <w:adjustRightInd w:val="0"/>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（2）协议书；</w:t>
      </w:r>
    </w:p>
    <w:p>
      <w:pPr>
        <w:widowControl/>
        <w:wordWrap w:val="0"/>
        <w:topLinePunct/>
        <w:adjustRightInd w:val="0"/>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（3）勘察合同；</w:t>
      </w:r>
    </w:p>
    <w:p>
      <w:pPr>
        <w:widowControl/>
        <w:wordWrap w:val="0"/>
        <w:topLinePunct/>
        <w:adjustRightInd w:val="0"/>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（4）设计合同；</w:t>
      </w:r>
    </w:p>
    <w:p>
      <w:pPr>
        <w:widowControl/>
        <w:wordWrap w:val="0"/>
        <w:topLinePunct/>
        <w:adjustRightInd w:val="0"/>
        <w:snapToGrid w:val="0"/>
        <w:spacing w:line="360" w:lineRule="auto"/>
        <w:ind w:firstLine="360" w:firstLineChars="150"/>
        <w:rPr>
          <w:rFonts w:ascii="宋体" w:hAnsi="宋体"/>
          <w:color w:val="auto"/>
          <w:sz w:val="24"/>
          <w:highlight w:val="none"/>
        </w:rPr>
      </w:pPr>
      <w:r>
        <w:rPr>
          <w:rFonts w:hint="eastAsia" w:ascii="宋体" w:hAnsi="宋体"/>
          <w:color w:val="auto"/>
          <w:sz w:val="24"/>
          <w:highlight w:val="none"/>
        </w:rPr>
        <w:t>（5）在实施过程中双方共同签署的补充与修正文件。</w:t>
      </w:r>
    </w:p>
    <w:p>
      <w:pPr>
        <w:widowControl/>
        <w:wordWrap w:val="0"/>
        <w:topLinePunct/>
        <w:adjustRightInd w:val="0"/>
        <w:snapToGrid w:val="0"/>
        <w:spacing w:line="360" w:lineRule="auto"/>
        <w:ind w:firstLine="482"/>
        <w:rPr>
          <w:rFonts w:ascii="宋体" w:hAnsi="宋体"/>
          <w:color w:val="auto"/>
          <w:sz w:val="24"/>
          <w:highlight w:val="none"/>
        </w:rPr>
      </w:pPr>
      <w:r>
        <w:rPr>
          <w:rFonts w:hint="eastAsia" w:ascii="宋体" w:hAnsi="宋体"/>
          <w:color w:val="auto"/>
          <w:sz w:val="24"/>
          <w:highlight w:val="none"/>
        </w:rPr>
        <w:t>二、工程总投资约</w:t>
      </w:r>
      <w:r>
        <w:rPr>
          <w:rFonts w:hint="eastAsia" w:ascii="宋体" w:hAnsi="宋体"/>
          <w:color w:val="auto"/>
          <w:sz w:val="24"/>
          <w:highlight w:val="none"/>
          <w:u w:val="single"/>
        </w:rPr>
        <w:t xml:space="preserve">     </w:t>
      </w:r>
      <w:r>
        <w:rPr>
          <w:rFonts w:hint="eastAsia" w:ascii="宋体" w:hAnsi="宋体"/>
          <w:color w:val="auto"/>
          <w:sz w:val="24"/>
          <w:highlight w:val="none"/>
        </w:rPr>
        <w:t>万元，本合同暂定价款</w:t>
      </w:r>
      <w:r>
        <w:rPr>
          <w:rFonts w:hint="eastAsia" w:ascii="宋体" w:hAnsi="宋体"/>
          <w:color w:val="auto"/>
          <w:sz w:val="24"/>
          <w:highlight w:val="none"/>
          <w:u w:val="single"/>
        </w:rPr>
        <w:t xml:space="preserve">     </w:t>
      </w:r>
      <w:r>
        <w:rPr>
          <w:rFonts w:hint="eastAsia" w:ascii="宋体" w:hAnsi="宋体"/>
          <w:color w:val="auto"/>
          <w:sz w:val="24"/>
          <w:highlight w:val="none"/>
        </w:rPr>
        <w:t>万元，其中勘察合同暂定价款</w:t>
      </w:r>
      <w:r>
        <w:rPr>
          <w:rFonts w:hint="eastAsia" w:ascii="宋体" w:hAnsi="宋体"/>
          <w:color w:val="auto"/>
          <w:sz w:val="24"/>
          <w:highlight w:val="none"/>
          <w:u w:val="single"/>
        </w:rPr>
        <w:t xml:space="preserve">     </w:t>
      </w:r>
      <w:r>
        <w:rPr>
          <w:rFonts w:hint="eastAsia" w:ascii="宋体" w:hAnsi="宋体"/>
          <w:color w:val="auto"/>
          <w:sz w:val="24"/>
          <w:highlight w:val="none"/>
        </w:rPr>
        <w:t>万元，设计合同暂定价款</w:t>
      </w:r>
      <w:r>
        <w:rPr>
          <w:rFonts w:hint="eastAsia" w:ascii="宋体" w:hAnsi="宋体" w:cs="宋体"/>
          <w:color w:val="auto"/>
          <w:kern w:val="0"/>
          <w:sz w:val="24"/>
          <w:highlight w:val="none"/>
          <w:u w:val="single"/>
        </w:rPr>
        <w:t xml:space="preserve">     </w:t>
      </w:r>
      <w:r>
        <w:rPr>
          <w:rFonts w:hint="eastAsia" w:ascii="宋体" w:hAnsi="宋体"/>
          <w:color w:val="auto"/>
          <w:sz w:val="24"/>
          <w:highlight w:val="none"/>
        </w:rPr>
        <w:t>万元。</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如本合同需缴纳合同印花税，勘察、设计人需在有关税务部门规定期限及结清本合同费用前，代缴按规定属发包人缴纳的部分，代缴后发包人按代缴金额实报实销。勘察、设计人未按规定期限代缴印花税的，因此产生的滞纳金由勘察、设计人承担。</w:t>
      </w:r>
    </w:p>
    <w:p>
      <w:pPr>
        <w:wordWrap w:val="0"/>
        <w:topLinePunct/>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如勘察、设计人为联合体的，本合同协议书由联合体共同签订，勘察合同、设计合同可分别由承担相应工作的联合体方签订。并由联合体主办方负责开具合同价款全额发票、收取合同款项，联合体主办方收取合同款项后由联合体各方自行分配相应款项，</w:t>
      </w:r>
      <w:r>
        <w:rPr>
          <w:rFonts w:ascii="宋体" w:hAnsi="宋体"/>
          <w:color w:val="auto"/>
          <w:sz w:val="24"/>
          <w:highlight w:val="none"/>
        </w:rPr>
        <w:t>或由联合体各方负责开具其对应价款的全额发票</w:t>
      </w:r>
      <w:r>
        <w:rPr>
          <w:rFonts w:hint="eastAsia" w:ascii="宋体" w:hAnsi="宋体"/>
          <w:color w:val="auto"/>
          <w:sz w:val="24"/>
          <w:highlight w:val="none"/>
        </w:rPr>
        <w:t>，具体分配事宜与发包人无关（选择性条款）。</w:t>
      </w:r>
    </w:p>
    <w:p>
      <w:pPr>
        <w:widowControl/>
        <w:wordWrap w:val="0"/>
        <w:topLinePunct/>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五、本合同自发包人及勘察、设计人签字盖章后生效，发包人及勘察、设计人履行完合同约定的义务后，本合同终止。</w:t>
      </w:r>
    </w:p>
    <w:p>
      <w:pPr>
        <w:widowControl/>
        <w:wordWrap w:val="0"/>
        <w:topLinePunct/>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六、本合同正本一式二份，发包人执一份，勘察设计人执一份，副本九份，发包人执五份，勘察设计人执四份。</w:t>
      </w:r>
    </w:p>
    <w:p>
      <w:pPr>
        <w:widowControl/>
        <w:wordWrap w:val="0"/>
        <w:topLinePunct/>
        <w:adjustRightInd w:val="0"/>
        <w:snapToGrid w:val="0"/>
        <w:spacing w:line="480" w:lineRule="exact"/>
        <w:rPr>
          <w:rFonts w:ascii="宋体" w:hAnsi="宋体"/>
          <w:color w:val="auto"/>
          <w:highlight w:val="none"/>
        </w:rPr>
      </w:pPr>
    </w:p>
    <w:p>
      <w:pPr>
        <w:widowControl/>
        <w:wordWrap w:val="0"/>
        <w:topLinePunct/>
        <w:adjustRightInd w:val="0"/>
        <w:snapToGrid w:val="0"/>
        <w:spacing w:line="480" w:lineRule="exact"/>
        <w:rPr>
          <w:rFonts w:ascii="宋体" w:hAnsi="宋体"/>
          <w:color w:val="auto"/>
          <w:sz w:val="24"/>
          <w:highlight w:val="none"/>
        </w:rPr>
      </w:pPr>
      <w:r>
        <w:rPr>
          <w:rFonts w:ascii="宋体" w:hAnsi="宋体"/>
          <w:color w:val="auto"/>
          <w:szCs w:val="21"/>
          <w:highlight w:val="none"/>
        </w:rPr>
        <w:br w:type="page"/>
      </w:r>
    </w:p>
    <w:tbl>
      <w:tblPr>
        <w:tblStyle w:val="38"/>
        <w:tblW w:w="0" w:type="auto"/>
        <w:tblInd w:w="0" w:type="dxa"/>
        <w:tblLayout w:type="fixed"/>
        <w:tblCellMar>
          <w:top w:w="0" w:type="dxa"/>
          <w:left w:w="108" w:type="dxa"/>
          <w:bottom w:w="0" w:type="dxa"/>
          <w:right w:w="108" w:type="dxa"/>
        </w:tblCellMar>
      </w:tblPr>
      <w:tblGrid>
        <w:gridCol w:w="1668"/>
        <w:gridCol w:w="2596"/>
        <w:gridCol w:w="1656"/>
        <w:gridCol w:w="2608"/>
      </w:tblGrid>
      <w:tr>
        <w:tblPrEx>
          <w:tblCellMar>
            <w:top w:w="0" w:type="dxa"/>
            <w:left w:w="108" w:type="dxa"/>
            <w:bottom w:w="0" w:type="dxa"/>
            <w:right w:w="108" w:type="dxa"/>
          </w:tblCellMar>
        </w:tblPrEx>
        <w:trPr>
          <w:trHeight w:val="1021" w:hRule="atLeast"/>
        </w:trPr>
        <w:tc>
          <w:tcPr>
            <w:tcW w:w="1668"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发  包  人：</w:t>
            </w:r>
          </w:p>
        </w:tc>
        <w:tc>
          <w:tcPr>
            <w:tcW w:w="2596" w:type="dxa"/>
            <w:vAlign w:val="center"/>
          </w:tcPr>
          <w:p>
            <w:pPr>
              <w:widowControl/>
              <w:wordWrap w:val="0"/>
              <w:topLinePunct/>
              <w:adjustRightInd w:val="0"/>
              <w:snapToGrid w:val="0"/>
              <w:spacing w:line="480" w:lineRule="exact"/>
              <w:rPr>
                <w:rFonts w:ascii="宋体" w:hAnsi="宋体"/>
                <w:color w:val="auto"/>
                <w:sz w:val="24"/>
                <w:highlight w:val="none"/>
              </w:rPr>
            </w:pPr>
            <w:r>
              <w:rPr>
                <w:rFonts w:hint="eastAsia" w:ascii="宋体" w:hAnsi="宋体"/>
                <w:color w:val="auto"/>
                <w:sz w:val="24"/>
                <w:highlight w:val="none"/>
              </w:rPr>
              <w:t>（公章）</w:t>
            </w: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勘察设计人：</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r>
              <w:rPr>
                <w:rFonts w:hint="eastAsia" w:ascii="宋体" w:hAnsi="宋体"/>
                <w:color w:val="auto"/>
                <w:sz w:val="24"/>
                <w:highlight w:val="none"/>
              </w:rPr>
              <w:t>（公章）</w:t>
            </w:r>
          </w:p>
        </w:tc>
      </w:tr>
      <w:tr>
        <w:tblPrEx>
          <w:tblCellMar>
            <w:top w:w="0" w:type="dxa"/>
            <w:left w:w="108" w:type="dxa"/>
            <w:bottom w:w="0" w:type="dxa"/>
            <w:right w:w="108" w:type="dxa"/>
          </w:tblCellMar>
        </w:tblPrEx>
        <w:trPr>
          <w:trHeight w:val="1021" w:hRule="atLeast"/>
        </w:trPr>
        <w:tc>
          <w:tcPr>
            <w:tcW w:w="1668"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住 所：</w:t>
            </w:r>
          </w:p>
        </w:tc>
        <w:tc>
          <w:tcPr>
            <w:tcW w:w="2596"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住 所：</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r>
        <w:tblPrEx>
          <w:tblCellMar>
            <w:top w:w="0" w:type="dxa"/>
            <w:left w:w="108" w:type="dxa"/>
            <w:bottom w:w="0" w:type="dxa"/>
            <w:right w:w="108" w:type="dxa"/>
          </w:tblCellMar>
        </w:tblPrEx>
        <w:trPr>
          <w:trHeight w:val="1021" w:hRule="atLeast"/>
        </w:trPr>
        <w:tc>
          <w:tcPr>
            <w:tcW w:w="1668"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法定代表人：</w:t>
            </w:r>
          </w:p>
        </w:tc>
        <w:tc>
          <w:tcPr>
            <w:tcW w:w="2596"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法定代表人：</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r>
        <w:tblPrEx>
          <w:tblCellMar>
            <w:top w:w="0" w:type="dxa"/>
            <w:left w:w="108" w:type="dxa"/>
            <w:bottom w:w="0" w:type="dxa"/>
            <w:right w:w="108" w:type="dxa"/>
          </w:tblCellMar>
        </w:tblPrEx>
        <w:trPr>
          <w:trHeight w:val="1021" w:hRule="atLeast"/>
        </w:trPr>
        <w:tc>
          <w:tcPr>
            <w:tcW w:w="1668"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委托代理人：</w:t>
            </w:r>
          </w:p>
        </w:tc>
        <w:tc>
          <w:tcPr>
            <w:tcW w:w="2596"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委托代理人：</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r>
        <w:tblPrEx>
          <w:tblCellMar>
            <w:top w:w="0" w:type="dxa"/>
            <w:left w:w="108" w:type="dxa"/>
            <w:bottom w:w="0" w:type="dxa"/>
            <w:right w:w="108" w:type="dxa"/>
          </w:tblCellMar>
        </w:tblPrEx>
        <w:trPr>
          <w:trHeight w:val="1021" w:hRule="atLeast"/>
        </w:trPr>
        <w:tc>
          <w:tcPr>
            <w:tcW w:w="1668"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电    话：</w:t>
            </w:r>
          </w:p>
        </w:tc>
        <w:tc>
          <w:tcPr>
            <w:tcW w:w="2596"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电    话：</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r>
        <w:tblPrEx>
          <w:tblCellMar>
            <w:top w:w="0" w:type="dxa"/>
            <w:left w:w="108" w:type="dxa"/>
            <w:bottom w:w="0" w:type="dxa"/>
            <w:right w:w="108" w:type="dxa"/>
          </w:tblCellMar>
        </w:tblPrEx>
        <w:trPr>
          <w:trHeight w:val="1021" w:hRule="atLeast"/>
        </w:trPr>
        <w:tc>
          <w:tcPr>
            <w:tcW w:w="1668"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传    真：</w:t>
            </w:r>
          </w:p>
        </w:tc>
        <w:tc>
          <w:tcPr>
            <w:tcW w:w="2596"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传    真：</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r>
        <w:tblPrEx>
          <w:tblCellMar>
            <w:top w:w="0" w:type="dxa"/>
            <w:left w:w="108" w:type="dxa"/>
            <w:bottom w:w="0" w:type="dxa"/>
            <w:right w:w="108" w:type="dxa"/>
          </w:tblCellMar>
        </w:tblPrEx>
        <w:trPr>
          <w:trHeight w:val="1021" w:hRule="atLeast"/>
        </w:trPr>
        <w:tc>
          <w:tcPr>
            <w:tcW w:w="1668"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开户银行：</w:t>
            </w:r>
          </w:p>
        </w:tc>
        <w:tc>
          <w:tcPr>
            <w:tcW w:w="2596"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开户银行：</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r>
        <w:tblPrEx>
          <w:tblCellMar>
            <w:top w:w="0" w:type="dxa"/>
            <w:left w:w="108" w:type="dxa"/>
            <w:bottom w:w="0" w:type="dxa"/>
            <w:right w:w="108" w:type="dxa"/>
          </w:tblCellMar>
        </w:tblPrEx>
        <w:trPr>
          <w:trHeight w:val="1021" w:hRule="atLeast"/>
        </w:trPr>
        <w:tc>
          <w:tcPr>
            <w:tcW w:w="1668"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账    号：</w:t>
            </w:r>
          </w:p>
        </w:tc>
        <w:tc>
          <w:tcPr>
            <w:tcW w:w="2596"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账    号：</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r>
        <w:tblPrEx>
          <w:tblCellMar>
            <w:top w:w="0" w:type="dxa"/>
            <w:left w:w="108" w:type="dxa"/>
            <w:bottom w:w="0" w:type="dxa"/>
            <w:right w:w="108" w:type="dxa"/>
          </w:tblCellMar>
        </w:tblPrEx>
        <w:trPr>
          <w:trHeight w:val="1021" w:hRule="atLeast"/>
        </w:trPr>
        <w:tc>
          <w:tcPr>
            <w:tcW w:w="1668"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邮政编码：</w:t>
            </w:r>
          </w:p>
        </w:tc>
        <w:tc>
          <w:tcPr>
            <w:tcW w:w="2596"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邮政编码：</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bl>
    <w:p>
      <w:pPr>
        <w:widowControl/>
        <w:wordWrap w:val="0"/>
        <w:topLinePunct/>
        <w:adjustRightInd w:val="0"/>
        <w:snapToGrid w:val="0"/>
        <w:spacing w:line="480" w:lineRule="exact"/>
        <w:ind w:left="5520" w:hanging="5520" w:hangingChars="2300"/>
        <w:rPr>
          <w:rFonts w:ascii="宋体" w:hAnsi="宋体"/>
          <w:color w:val="auto"/>
          <w:sz w:val="24"/>
          <w:highlight w:val="none"/>
        </w:rPr>
      </w:pPr>
    </w:p>
    <w:p>
      <w:pPr>
        <w:widowControl/>
        <w:wordWrap w:val="0"/>
        <w:topLinePunct/>
        <w:adjustRightInd w:val="0"/>
        <w:snapToGrid w:val="0"/>
        <w:spacing w:line="480" w:lineRule="exact"/>
        <w:ind w:left="4772" w:leftChars="444" w:hanging="3840" w:hangingChars="1600"/>
        <w:rPr>
          <w:rFonts w:ascii="宋体" w:hAnsi="宋体"/>
          <w:color w:val="auto"/>
          <w:sz w:val="24"/>
          <w:highlight w:val="none"/>
        </w:rPr>
      </w:pPr>
      <w:r>
        <w:rPr>
          <w:rFonts w:hint="eastAsia" w:ascii="宋体" w:hAnsi="宋体"/>
          <w:color w:val="auto"/>
          <w:sz w:val="24"/>
          <w:highlight w:val="none"/>
        </w:rPr>
        <w:t>订立时间：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日，签订地点：广州市黄埔区</w:t>
      </w:r>
    </w:p>
    <w:p>
      <w:pPr>
        <w:widowControl/>
        <w:wordWrap w:val="0"/>
        <w:topLinePunct/>
        <w:adjustRightInd w:val="0"/>
        <w:snapToGrid w:val="0"/>
        <w:spacing w:line="480" w:lineRule="exact"/>
        <w:rPr>
          <w:rFonts w:ascii="宋体" w:hAnsi="宋体"/>
          <w:color w:val="auto"/>
          <w:szCs w:val="21"/>
          <w:highlight w:val="none"/>
        </w:rPr>
      </w:pPr>
      <w:r>
        <w:rPr>
          <w:rFonts w:hint="eastAsia" w:ascii="宋体" w:hAnsi="宋体"/>
          <w:b/>
          <w:color w:val="auto"/>
          <w:szCs w:val="21"/>
          <w:highlight w:val="none"/>
        </w:rPr>
        <w:br w:type="page"/>
      </w:r>
    </w:p>
    <w:p>
      <w:pPr>
        <w:widowControl/>
        <w:wordWrap w:val="0"/>
        <w:topLinePunct/>
        <w:adjustRightInd w:val="0"/>
        <w:snapToGrid w:val="0"/>
        <w:spacing w:line="480" w:lineRule="exact"/>
        <w:rPr>
          <w:rFonts w:ascii="宋体" w:hAnsi="宋体"/>
          <w:color w:val="auto"/>
          <w:szCs w:val="21"/>
          <w:highlight w:val="none"/>
        </w:rPr>
      </w:pPr>
    </w:p>
    <w:p>
      <w:pPr>
        <w:widowControl/>
        <w:wordWrap w:val="0"/>
        <w:topLinePunct/>
        <w:adjustRightInd w:val="0"/>
        <w:snapToGrid w:val="0"/>
        <w:spacing w:line="480" w:lineRule="exact"/>
        <w:jc w:val="center"/>
        <w:rPr>
          <w:rFonts w:ascii="宋体" w:hAnsi="宋体"/>
          <w:b/>
          <w:bCs/>
          <w:color w:val="auto"/>
          <w:sz w:val="36"/>
          <w:highlight w:val="none"/>
        </w:rPr>
      </w:pPr>
    </w:p>
    <w:p>
      <w:pPr>
        <w:widowControl/>
        <w:wordWrap w:val="0"/>
        <w:topLinePunct/>
        <w:adjustRightInd w:val="0"/>
        <w:snapToGrid w:val="0"/>
        <w:spacing w:line="480" w:lineRule="exact"/>
        <w:jc w:val="center"/>
        <w:rPr>
          <w:rFonts w:ascii="宋体" w:hAnsi="宋体"/>
          <w:b/>
          <w:bCs/>
          <w:color w:val="auto"/>
          <w:spacing w:val="110"/>
          <w:sz w:val="44"/>
          <w:szCs w:val="44"/>
          <w:highlight w:val="none"/>
        </w:rPr>
      </w:pPr>
      <w:r>
        <w:rPr>
          <w:rFonts w:hint="eastAsia" w:ascii="宋体" w:hAnsi="宋体"/>
          <w:b/>
          <w:bCs/>
          <w:color w:val="auto"/>
          <w:spacing w:val="110"/>
          <w:sz w:val="44"/>
          <w:szCs w:val="44"/>
          <w:highlight w:val="none"/>
        </w:rPr>
        <w:t>二、勘察合同</w:t>
      </w:r>
    </w:p>
    <w:p>
      <w:pPr>
        <w:widowControl/>
        <w:wordWrap w:val="0"/>
        <w:topLinePunct/>
        <w:adjustRightInd w:val="0"/>
        <w:snapToGrid w:val="0"/>
        <w:spacing w:line="480" w:lineRule="exact"/>
        <w:rPr>
          <w:rFonts w:ascii="宋体" w:hAnsi="宋体"/>
          <w:color w:val="auto"/>
          <w:szCs w:val="21"/>
          <w:highlight w:val="none"/>
        </w:rPr>
      </w:pPr>
    </w:p>
    <w:p>
      <w:pPr>
        <w:widowControl/>
        <w:wordWrap w:val="0"/>
        <w:topLinePunct/>
        <w:adjustRightInd w:val="0"/>
        <w:snapToGrid w:val="0"/>
        <w:spacing w:line="480" w:lineRule="exact"/>
        <w:rPr>
          <w:rFonts w:ascii="宋体" w:hAnsi="宋体"/>
          <w:color w:val="auto"/>
          <w:szCs w:val="21"/>
          <w:highlight w:val="none"/>
        </w:rPr>
      </w:pPr>
    </w:p>
    <w:p>
      <w:pPr>
        <w:widowControl/>
        <w:wordWrap w:val="0"/>
        <w:topLinePunct/>
        <w:adjustRightInd w:val="0"/>
        <w:snapToGrid w:val="0"/>
        <w:spacing w:line="480" w:lineRule="exact"/>
        <w:rPr>
          <w:rFonts w:ascii="宋体" w:hAnsi="宋体"/>
          <w:color w:val="auto"/>
          <w:szCs w:val="21"/>
          <w:highlight w:val="none"/>
        </w:rPr>
      </w:pPr>
    </w:p>
    <w:p>
      <w:pPr>
        <w:widowControl/>
        <w:wordWrap w:val="0"/>
        <w:topLinePunct/>
        <w:adjustRightInd w:val="0"/>
        <w:snapToGrid w:val="0"/>
        <w:spacing w:line="480" w:lineRule="exact"/>
        <w:rPr>
          <w:rFonts w:ascii="宋体" w:hAnsi="宋体"/>
          <w:color w:val="auto"/>
          <w:szCs w:val="21"/>
          <w:highlight w:val="none"/>
        </w:rPr>
      </w:pPr>
    </w:p>
    <w:p>
      <w:pPr>
        <w:widowControl/>
        <w:wordWrap w:val="0"/>
        <w:topLinePunct/>
        <w:adjustRightInd w:val="0"/>
        <w:snapToGrid w:val="0"/>
        <w:spacing w:line="480" w:lineRule="exact"/>
        <w:rPr>
          <w:rFonts w:ascii="宋体" w:hAnsi="宋体"/>
          <w:color w:val="auto"/>
          <w:szCs w:val="21"/>
          <w:highlight w:val="none"/>
        </w:rPr>
      </w:pPr>
    </w:p>
    <w:p>
      <w:pPr>
        <w:widowControl/>
        <w:wordWrap w:val="0"/>
        <w:topLinePunct/>
        <w:adjustRightInd w:val="0"/>
        <w:snapToGrid w:val="0"/>
        <w:spacing w:line="480" w:lineRule="exact"/>
        <w:rPr>
          <w:rFonts w:ascii="宋体" w:hAnsi="宋体"/>
          <w:color w:val="auto"/>
          <w:szCs w:val="21"/>
          <w:highlight w:val="none"/>
        </w:rPr>
      </w:pPr>
    </w:p>
    <w:p>
      <w:pPr>
        <w:widowControl/>
        <w:wordWrap w:val="0"/>
        <w:topLinePunct/>
        <w:adjustRightInd w:val="0"/>
        <w:snapToGrid w:val="0"/>
        <w:spacing w:line="480" w:lineRule="exact"/>
        <w:rPr>
          <w:rFonts w:ascii="宋体" w:hAnsi="宋体"/>
          <w:color w:val="auto"/>
          <w:szCs w:val="21"/>
          <w:highlight w:val="none"/>
        </w:rPr>
      </w:pPr>
    </w:p>
    <w:tbl>
      <w:tblPr>
        <w:tblStyle w:val="38"/>
        <w:tblW w:w="0" w:type="auto"/>
        <w:jc w:val="center"/>
        <w:tblLayout w:type="fixed"/>
        <w:tblCellMar>
          <w:top w:w="0" w:type="dxa"/>
          <w:left w:w="108" w:type="dxa"/>
          <w:bottom w:w="0" w:type="dxa"/>
          <w:right w:w="108" w:type="dxa"/>
        </w:tblCellMar>
      </w:tblPr>
      <w:tblGrid>
        <w:gridCol w:w="2093"/>
        <w:gridCol w:w="5670"/>
      </w:tblGrid>
      <w:tr>
        <w:tblPrEx>
          <w:tblCellMar>
            <w:top w:w="0" w:type="dxa"/>
            <w:left w:w="108" w:type="dxa"/>
            <w:bottom w:w="0" w:type="dxa"/>
            <w:right w:w="108" w:type="dxa"/>
          </w:tblCellMar>
        </w:tblPrEx>
        <w:trPr>
          <w:trHeight w:val="1134" w:hRule="atLeast"/>
          <w:jc w:val="center"/>
        </w:trPr>
        <w:tc>
          <w:tcPr>
            <w:tcW w:w="2093" w:type="dxa"/>
            <w:vAlign w:val="center"/>
          </w:tcPr>
          <w:p>
            <w:pPr>
              <w:widowControl/>
              <w:wordWrap w:val="0"/>
              <w:topLinePunct/>
              <w:adjustRightInd w:val="0"/>
              <w:snapToGrid w:val="0"/>
              <w:spacing w:line="480" w:lineRule="exact"/>
              <w:rPr>
                <w:rFonts w:ascii="宋体" w:hAnsi="宋体"/>
                <w:color w:val="auto"/>
                <w:szCs w:val="21"/>
                <w:highlight w:val="none"/>
              </w:rPr>
            </w:pPr>
            <w:r>
              <w:rPr>
                <w:rFonts w:hint="eastAsia" w:ascii="宋体" w:hAnsi="宋体"/>
                <w:color w:val="auto"/>
                <w:sz w:val="28"/>
                <w:highlight w:val="none"/>
              </w:rPr>
              <w:t>工程名称：</w:t>
            </w:r>
          </w:p>
        </w:tc>
        <w:tc>
          <w:tcPr>
            <w:tcW w:w="5670" w:type="dxa"/>
            <w:vAlign w:val="center"/>
          </w:tcPr>
          <w:p>
            <w:pPr>
              <w:widowControl/>
              <w:wordWrap w:val="0"/>
              <w:topLinePunct/>
              <w:adjustRightInd w:val="0"/>
              <w:snapToGrid w:val="0"/>
              <w:spacing w:line="480" w:lineRule="exac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tc>
      </w:tr>
      <w:tr>
        <w:tblPrEx>
          <w:tblCellMar>
            <w:top w:w="0" w:type="dxa"/>
            <w:left w:w="108" w:type="dxa"/>
            <w:bottom w:w="0" w:type="dxa"/>
            <w:right w:w="108" w:type="dxa"/>
          </w:tblCellMar>
        </w:tblPrEx>
        <w:trPr>
          <w:trHeight w:val="1134" w:hRule="atLeast"/>
          <w:jc w:val="center"/>
        </w:trPr>
        <w:tc>
          <w:tcPr>
            <w:tcW w:w="2093" w:type="dxa"/>
            <w:vAlign w:val="center"/>
          </w:tcPr>
          <w:p>
            <w:pPr>
              <w:widowControl/>
              <w:wordWrap w:val="0"/>
              <w:topLinePunct/>
              <w:adjustRightInd w:val="0"/>
              <w:snapToGrid w:val="0"/>
              <w:spacing w:line="480" w:lineRule="exact"/>
              <w:rPr>
                <w:rFonts w:ascii="宋体" w:hAnsi="宋体"/>
                <w:color w:val="auto"/>
                <w:szCs w:val="21"/>
                <w:highlight w:val="none"/>
              </w:rPr>
            </w:pPr>
            <w:r>
              <w:rPr>
                <w:rFonts w:hint="eastAsia" w:ascii="宋体" w:hAnsi="宋体"/>
                <w:color w:val="auto"/>
                <w:sz w:val="28"/>
                <w:highlight w:val="none"/>
              </w:rPr>
              <w:t>工程地点</w:t>
            </w:r>
            <w:r>
              <w:rPr>
                <w:rFonts w:ascii="宋体" w:hAnsi="宋体"/>
                <w:color w:val="auto"/>
                <w:sz w:val="28"/>
                <w:highlight w:val="none"/>
              </w:rPr>
              <w:t>:</w:t>
            </w:r>
          </w:p>
        </w:tc>
        <w:tc>
          <w:tcPr>
            <w:tcW w:w="5670" w:type="dxa"/>
            <w:vAlign w:val="center"/>
          </w:tcPr>
          <w:p>
            <w:pPr>
              <w:widowControl/>
              <w:wordWrap w:val="0"/>
              <w:topLinePunct/>
              <w:adjustRightInd w:val="0"/>
              <w:snapToGrid w:val="0"/>
              <w:spacing w:line="480" w:lineRule="exac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tc>
      </w:tr>
      <w:tr>
        <w:tblPrEx>
          <w:tblCellMar>
            <w:top w:w="0" w:type="dxa"/>
            <w:left w:w="108" w:type="dxa"/>
            <w:bottom w:w="0" w:type="dxa"/>
            <w:right w:w="108" w:type="dxa"/>
          </w:tblCellMar>
        </w:tblPrEx>
        <w:trPr>
          <w:trHeight w:val="1134" w:hRule="atLeast"/>
          <w:jc w:val="center"/>
        </w:trPr>
        <w:tc>
          <w:tcPr>
            <w:tcW w:w="2093" w:type="dxa"/>
            <w:vAlign w:val="center"/>
          </w:tcPr>
          <w:p>
            <w:pPr>
              <w:widowControl/>
              <w:wordWrap w:val="0"/>
              <w:topLinePunct/>
              <w:adjustRightInd w:val="0"/>
              <w:snapToGrid w:val="0"/>
              <w:spacing w:line="480" w:lineRule="exact"/>
              <w:rPr>
                <w:rFonts w:ascii="宋体" w:hAnsi="宋体"/>
                <w:color w:val="auto"/>
                <w:sz w:val="28"/>
                <w:highlight w:val="none"/>
              </w:rPr>
            </w:pPr>
            <w:r>
              <w:rPr>
                <w:rFonts w:hint="eastAsia" w:ascii="宋体" w:hAnsi="宋体"/>
                <w:color w:val="auto"/>
                <w:sz w:val="28"/>
                <w:highlight w:val="none"/>
              </w:rPr>
              <w:t>合同编号：</w:t>
            </w:r>
          </w:p>
          <w:p>
            <w:pPr>
              <w:widowControl/>
              <w:wordWrap w:val="0"/>
              <w:topLinePunct/>
              <w:adjustRightInd w:val="0"/>
              <w:snapToGrid w:val="0"/>
              <w:spacing w:line="480" w:lineRule="exact"/>
              <w:rPr>
                <w:rFonts w:ascii="宋体" w:hAnsi="宋体"/>
                <w:color w:val="auto"/>
                <w:szCs w:val="21"/>
                <w:highlight w:val="none"/>
              </w:rPr>
            </w:pPr>
            <w:r>
              <w:rPr>
                <w:rFonts w:hint="eastAsia" w:ascii="宋体" w:hAnsi="宋体"/>
                <w:color w:val="auto"/>
                <w:szCs w:val="21"/>
                <w:highlight w:val="none"/>
              </w:rPr>
              <w:t>（由勘察人编填）</w:t>
            </w:r>
          </w:p>
        </w:tc>
        <w:tc>
          <w:tcPr>
            <w:tcW w:w="5670" w:type="dxa"/>
            <w:vAlign w:val="center"/>
          </w:tcPr>
          <w:p>
            <w:pPr>
              <w:widowControl/>
              <w:wordWrap w:val="0"/>
              <w:topLinePunct/>
              <w:adjustRightInd w:val="0"/>
              <w:snapToGrid w:val="0"/>
              <w:spacing w:line="480" w:lineRule="exac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tc>
      </w:tr>
      <w:tr>
        <w:tblPrEx>
          <w:tblCellMar>
            <w:top w:w="0" w:type="dxa"/>
            <w:left w:w="108" w:type="dxa"/>
            <w:bottom w:w="0" w:type="dxa"/>
            <w:right w:w="108" w:type="dxa"/>
          </w:tblCellMar>
        </w:tblPrEx>
        <w:trPr>
          <w:trHeight w:val="1134" w:hRule="atLeast"/>
          <w:jc w:val="center"/>
        </w:trPr>
        <w:tc>
          <w:tcPr>
            <w:tcW w:w="2093" w:type="dxa"/>
            <w:vAlign w:val="center"/>
          </w:tcPr>
          <w:p>
            <w:pPr>
              <w:widowControl/>
              <w:wordWrap w:val="0"/>
              <w:topLinePunct/>
              <w:adjustRightInd w:val="0"/>
              <w:snapToGrid w:val="0"/>
              <w:spacing w:line="480" w:lineRule="exact"/>
              <w:rPr>
                <w:rFonts w:ascii="宋体" w:hAnsi="宋体"/>
                <w:color w:val="auto"/>
                <w:szCs w:val="21"/>
                <w:highlight w:val="none"/>
              </w:rPr>
            </w:pPr>
            <w:r>
              <w:rPr>
                <w:rFonts w:hint="eastAsia" w:ascii="宋体" w:hAnsi="宋体"/>
                <w:color w:val="auto"/>
                <w:sz w:val="28"/>
                <w:highlight w:val="none"/>
              </w:rPr>
              <w:t>勘察证书等级：</w:t>
            </w:r>
          </w:p>
        </w:tc>
        <w:tc>
          <w:tcPr>
            <w:tcW w:w="5670" w:type="dxa"/>
            <w:vAlign w:val="center"/>
          </w:tcPr>
          <w:p>
            <w:pPr>
              <w:widowControl/>
              <w:wordWrap w:val="0"/>
              <w:topLinePunct/>
              <w:adjustRightInd w:val="0"/>
              <w:snapToGrid w:val="0"/>
              <w:spacing w:line="480" w:lineRule="exac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tc>
      </w:tr>
      <w:tr>
        <w:tblPrEx>
          <w:tblCellMar>
            <w:top w:w="0" w:type="dxa"/>
            <w:left w:w="108" w:type="dxa"/>
            <w:bottom w:w="0" w:type="dxa"/>
            <w:right w:w="108" w:type="dxa"/>
          </w:tblCellMar>
        </w:tblPrEx>
        <w:trPr>
          <w:trHeight w:val="1134" w:hRule="atLeast"/>
          <w:jc w:val="center"/>
        </w:trPr>
        <w:tc>
          <w:tcPr>
            <w:tcW w:w="2093" w:type="dxa"/>
            <w:vAlign w:val="center"/>
          </w:tcPr>
          <w:p>
            <w:pPr>
              <w:widowControl/>
              <w:wordWrap w:val="0"/>
              <w:topLinePunct/>
              <w:adjustRightInd w:val="0"/>
              <w:snapToGrid w:val="0"/>
              <w:spacing w:line="480" w:lineRule="exact"/>
              <w:rPr>
                <w:rFonts w:ascii="宋体" w:hAnsi="宋体"/>
                <w:color w:val="auto"/>
                <w:szCs w:val="21"/>
                <w:highlight w:val="none"/>
              </w:rPr>
            </w:pPr>
            <w:r>
              <w:rPr>
                <w:rFonts w:hint="eastAsia" w:ascii="宋体" w:hAnsi="宋体"/>
                <w:color w:val="auto"/>
                <w:sz w:val="28"/>
                <w:highlight w:val="none"/>
              </w:rPr>
              <w:t>发包人：</w:t>
            </w:r>
          </w:p>
        </w:tc>
        <w:tc>
          <w:tcPr>
            <w:tcW w:w="5670" w:type="dxa"/>
            <w:vAlign w:val="center"/>
          </w:tcPr>
          <w:p>
            <w:pPr>
              <w:widowControl/>
              <w:wordWrap w:val="0"/>
              <w:topLinePunct/>
              <w:adjustRightInd w:val="0"/>
              <w:snapToGrid w:val="0"/>
              <w:spacing w:line="480" w:lineRule="exac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tc>
      </w:tr>
      <w:tr>
        <w:tblPrEx>
          <w:tblCellMar>
            <w:top w:w="0" w:type="dxa"/>
            <w:left w:w="108" w:type="dxa"/>
            <w:bottom w:w="0" w:type="dxa"/>
            <w:right w:w="108" w:type="dxa"/>
          </w:tblCellMar>
        </w:tblPrEx>
        <w:trPr>
          <w:trHeight w:val="1134" w:hRule="atLeast"/>
          <w:jc w:val="center"/>
        </w:trPr>
        <w:tc>
          <w:tcPr>
            <w:tcW w:w="2093" w:type="dxa"/>
            <w:vAlign w:val="center"/>
          </w:tcPr>
          <w:p>
            <w:pPr>
              <w:widowControl/>
              <w:wordWrap w:val="0"/>
              <w:topLinePunct/>
              <w:adjustRightInd w:val="0"/>
              <w:snapToGrid w:val="0"/>
              <w:spacing w:line="480" w:lineRule="exact"/>
              <w:rPr>
                <w:rFonts w:ascii="宋体" w:hAnsi="宋体"/>
                <w:color w:val="auto"/>
                <w:szCs w:val="21"/>
                <w:highlight w:val="none"/>
              </w:rPr>
            </w:pPr>
            <w:r>
              <w:rPr>
                <w:rFonts w:hint="eastAsia" w:ascii="宋体" w:hAnsi="宋体"/>
                <w:color w:val="auto"/>
                <w:sz w:val="28"/>
                <w:highlight w:val="none"/>
              </w:rPr>
              <w:t>勘察人：</w:t>
            </w:r>
          </w:p>
        </w:tc>
        <w:tc>
          <w:tcPr>
            <w:tcW w:w="5670" w:type="dxa"/>
            <w:vAlign w:val="center"/>
          </w:tcPr>
          <w:p>
            <w:pPr>
              <w:widowControl/>
              <w:wordWrap w:val="0"/>
              <w:topLinePunct/>
              <w:adjustRightInd w:val="0"/>
              <w:snapToGrid w:val="0"/>
              <w:spacing w:line="480" w:lineRule="exac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tc>
      </w:tr>
    </w:tbl>
    <w:p>
      <w:pPr>
        <w:widowControl/>
        <w:wordWrap w:val="0"/>
        <w:topLinePunct/>
        <w:adjustRightInd w:val="0"/>
        <w:snapToGrid w:val="0"/>
        <w:spacing w:line="480" w:lineRule="exact"/>
        <w:rPr>
          <w:rFonts w:ascii="宋体" w:hAnsi="宋体"/>
          <w:color w:val="auto"/>
          <w:sz w:val="24"/>
          <w:highlight w:val="none"/>
        </w:rPr>
      </w:pPr>
    </w:p>
    <w:p>
      <w:pPr>
        <w:widowControl/>
        <w:wordWrap w:val="0"/>
        <w:topLinePunct/>
        <w:adjustRightInd w:val="0"/>
        <w:snapToGrid w:val="0"/>
        <w:spacing w:line="480" w:lineRule="exact"/>
        <w:rPr>
          <w:rFonts w:ascii="宋体" w:hAnsi="宋体"/>
          <w:color w:val="auto"/>
          <w:sz w:val="24"/>
          <w:highlight w:val="none"/>
        </w:rPr>
      </w:pPr>
      <w:r>
        <w:rPr>
          <w:rFonts w:ascii="宋体" w:hAnsi="宋体"/>
          <w:color w:val="auto"/>
          <w:sz w:val="24"/>
          <w:highlight w:val="none"/>
        </w:rPr>
        <w:br w:type="page"/>
      </w:r>
      <w:r>
        <w:rPr>
          <w:rFonts w:hint="eastAsia" w:ascii="宋体" w:hAnsi="宋体"/>
          <w:b/>
          <w:color w:val="auto"/>
          <w:sz w:val="24"/>
          <w:highlight w:val="none"/>
        </w:rPr>
        <w:t>发包人：</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widowControl/>
        <w:wordWrap w:val="0"/>
        <w:topLinePunct/>
        <w:adjustRightInd w:val="0"/>
        <w:snapToGrid w:val="0"/>
        <w:spacing w:line="480" w:lineRule="exact"/>
        <w:rPr>
          <w:rFonts w:ascii="宋体" w:hAnsi="宋体"/>
          <w:color w:val="auto"/>
          <w:sz w:val="24"/>
          <w:highlight w:val="none"/>
        </w:rPr>
      </w:pPr>
      <w:r>
        <w:rPr>
          <w:rFonts w:hint="eastAsia" w:ascii="宋体" w:hAnsi="宋体"/>
          <w:b/>
          <w:color w:val="auto"/>
          <w:sz w:val="24"/>
          <w:highlight w:val="none"/>
        </w:rPr>
        <w:t>勘察人：</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widowControl/>
        <w:wordWrap w:val="0"/>
        <w:topLinePunct/>
        <w:adjustRightInd w:val="0"/>
        <w:snapToGrid w:val="0"/>
        <w:spacing w:line="480" w:lineRule="exact"/>
        <w:ind w:firstLine="480"/>
        <w:rPr>
          <w:rFonts w:ascii="宋体" w:hAnsi="宋体"/>
          <w:color w:val="auto"/>
          <w:sz w:val="24"/>
          <w:highlight w:val="none"/>
        </w:rPr>
      </w:pP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发包人委托勘察人承担</w:t>
      </w:r>
      <w:r>
        <w:rPr>
          <w:rFonts w:hint="eastAsia" w:ascii="宋体" w:hAnsi="宋体"/>
          <w:color w:val="auto"/>
          <w:sz w:val="24"/>
          <w:highlight w:val="none"/>
          <w:u w:val="single"/>
        </w:rPr>
        <w:t xml:space="preserve">          </w:t>
      </w:r>
      <w:r>
        <w:rPr>
          <w:rFonts w:hint="eastAsia" w:ascii="宋体" w:hAnsi="宋体"/>
          <w:color w:val="auto"/>
          <w:sz w:val="24"/>
          <w:highlight w:val="none"/>
        </w:rPr>
        <w:t>任务。</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根据《中华人民共和国民法典》及国家有关法律、法规规定，结合本工程的具体情况，为明确责任，协作配合，确保工程勘察质量，经发包人、勘察人协商一致，签订本合同，共同遵守。</w:t>
      </w:r>
    </w:p>
    <w:p>
      <w:pPr>
        <w:widowControl/>
        <w:wordWrap w:val="0"/>
        <w:topLinePunct/>
        <w:adjustRightInd w:val="0"/>
        <w:snapToGrid w:val="0"/>
        <w:spacing w:line="480" w:lineRule="exact"/>
        <w:ind w:firstLine="470" w:firstLineChars="196"/>
        <w:rPr>
          <w:rFonts w:ascii="宋体" w:hAnsi="宋体"/>
          <w:color w:val="auto"/>
          <w:sz w:val="24"/>
          <w:highlight w:val="none"/>
        </w:rPr>
      </w:pPr>
      <w:r>
        <w:rPr>
          <w:rFonts w:hint="eastAsia" w:ascii="宋体" w:hAnsi="宋体"/>
          <w:b/>
          <w:color w:val="auto"/>
          <w:sz w:val="24"/>
          <w:highlight w:val="none"/>
        </w:rPr>
        <w:t>第一条</w:t>
      </w:r>
      <w:r>
        <w:rPr>
          <w:rFonts w:hint="eastAsia" w:ascii="宋体" w:hAnsi="宋体"/>
          <w:color w:val="auto"/>
          <w:sz w:val="24"/>
          <w:highlight w:val="none"/>
        </w:rPr>
        <w:t>：工程概况：</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1.1工程名称:</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1.2工程建设地点:</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1.3工程规模、特征:</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1.4工程勘察任务委托文号、日期:</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1.5工程勘察任务（内容）与技术要求:</w:t>
      </w:r>
      <w:r>
        <w:rPr>
          <w:rFonts w:hint="eastAsia" w:ascii="宋体" w:hAnsi="宋体"/>
          <w:color w:val="auto"/>
          <w:sz w:val="24"/>
          <w:highlight w:val="none"/>
          <w:u w:val="single"/>
        </w:rPr>
        <w:t>满足设计要求</w:t>
      </w:r>
      <w:r>
        <w:rPr>
          <w:rFonts w:hint="eastAsia" w:ascii="宋体" w:hAnsi="宋体"/>
          <w:color w:val="auto"/>
          <w:sz w:val="24"/>
          <w:highlight w:val="none"/>
        </w:rPr>
        <w:t>。</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1.6承接方式:</w:t>
      </w:r>
      <w:r>
        <w:rPr>
          <w:rFonts w:hint="eastAsia" w:ascii="宋体" w:hAnsi="宋体"/>
          <w:color w:val="auto"/>
          <w:sz w:val="24"/>
          <w:highlight w:val="none"/>
          <w:u w:val="single"/>
        </w:rPr>
        <w:t>按招标文件的要求</w:t>
      </w:r>
      <w:r>
        <w:rPr>
          <w:rFonts w:hint="eastAsia" w:ascii="宋体" w:hAnsi="宋体"/>
          <w:color w:val="auto"/>
          <w:sz w:val="24"/>
          <w:highlight w:val="none"/>
        </w:rPr>
        <w:t>。</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1.7预计勘察工作量: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b/>
          <w:color w:val="auto"/>
          <w:sz w:val="24"/>
          <w:highlight w:val="none"/>
        </w:rPr>
        <w:t>第二条</w:t>
      </w:r>
      <w:r>
        <w:rPr>
          <w:rFonts w:hint="eastAsia" w:ascii="宋体" w:hAnsi="宋体"/>
          <w:color w:val="auto"/>
          <w:sz w:val="24"/>
          <w:highlight w:val="none"/>
        </w:rPr>
        <w:t>：发包人应及时向勘察人提供下列文件资料，并对其准确性、可靠性负责。</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2.1提供本工程批准文件（复印件），以及用地（附红线范围）。</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2.2提供工程勘察任务委托书、技术要求和工作范围的地形图、建筑总平面布置图。</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2.3如发包人不能提供上述资料，由勘察人自行收集，费用已包含在本合同价款中。</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b/>
          <w:color w:val="auto"/>
          <w:sz w:val="24"/>
          <w:highlight w:val="none"/>
        </w:rPr>
        <w:t>第三条</w:t>
      </w:r>
      <w:r>
        <w:rPr>
          <w:rFonts w:hint="eastAsia" w:ascii="宋体" w:hAnsi="宋体"/>
          <w:color w:val="auto"/>
          <w:sz w:val="24"/>
          <w:highlight w:val="none"/>
        </w:rPr>
        <w:t>：勘察人向发包人提交勘察成果资料并对其质量负责。</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勘察人负责向发包人提交勘察成果资料</w:t>
      </w:r>
      <w:r>
        <w:rPr>
          <w:rFonts w:hint="eastAsia" w:ascii="宋体" w:hAnsi="宋体"/>
          <w:color w:val="auto"/>
          <w:sz w:val="24"/>
          <w:highlight w:val="none"/>
          <w:u w:val="single"/>
        </w:rPr>
        <w:t>壹拾伍</w:t>
      </w:r>
      <w:r>
        <w:rPr>
          <w:rFonts w:hint="eastAsia" w:ascii="宋体" w:hAnsi="宋体"/>
          <w:color w:val="auto"/>
          <w:sz w:val="24"/>
          <w:highlight w:val="none"/>
        </w:rPr>
        <w:t>份、电子文件一套，发包人要求增加的份数另行收费。</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b/>
          <w:color w:val="auto"/>
          <w:sz w:val="24"/>
          <w:highlight w:val="none"/>
        </w:rPr>
        <w:t>第四条</w:t>
      </w:r>
      <w:r>
        <w:rPr>
          <w:rFonts w:hint="eastAsia" w:ascii="宋体" w:hAnsi="宋体"/>
          <w:color w:val="auto"/>
          <w:sz w:val="24"/>
          <w:highlight w:val="none"/>
        </w:rPr>
        <w:t>：开工及提交勘察成果资料的时间和收费标准及付费方式。</w:t>
      </w:r>
    </w:p>
    <w:p>
      <w:pPr>
        <w:widowControl/>
        <w:wordWrap w:val="0"/>
        <w:topLinePunct/>
        <w:adjustRightInd w:val="0"/>
        <w:snapToGrid w:val="0"/>
        <w:spacing w:line="480" w:lineRule="exact"/>
        <w:ind w:firstLine="482"/>
        <w:rPr>
          <w:rFonts w:ascii="宋体" w:hAnsi="宋体"/>
          <w:color w:val="auto"/>
          <w:sz w:val="24"/>
          <w:highlight w:val="none"/>
        </w:rPr>
      </w:pPr>
      <w:r>
        <w:rPr>
          <w:rFonts w:hint="eastAsia" w:ascii="宋体" w:hAnsi="宋体"/>
          <w:color w:val="auto"/>
          <w:sz w:val="24"/>
          <w:highlight w:val="none"/>
        </w:rPr>
        <w:t>4.1开工及提交勘察成果资料的时间。</w:t>
      </w:r>
    </w:p>
    <w:p>
      <w:pPr>
        <w:widowControl/>
        <w:wordWrap w:val="0"/>
        <w:topLinePunct/>
        <w:adjustRightInd w:val="0"/>
        <w:snapToGrid w:val="0"/>
        <w:spacing w:line="480" w:lineRule="exact"/>
        <w:ind w:firstLine="482"/>
        <w:rPr>
          <w:rFonts w:ascii="宋体" w:hAnsi="宋体"/>
          <w:color w:val="auto"/>
          <w:sz w:val="24"/>
          <w:highlight w:val="none"/>
        </w:rPr>
      </w:pPr>
      <w:r>
        <w:rPr>
          <w:rFonts w:hint="eastAsia" w:ascii="宋体" w:hAnsi="宋体"/>
          <w:color w:val="auto"/>
          <w:sz w:val="24"/>
          <w:highlight w:val="none"/>
        </w:rPr>
        <w:t>4.1.1本工程的具体勘察工作开工日期为发包人对该项目勘察工作大纲批复之日，开工   内提交勘察成果资料，由于发包人或勘察人的原因未能按期开工或提交成果资料时，按第六条约定办理。</w:t>
      </w:r>
    </w:p>
    <w:p>
      <w:pPr>
        <w:widowControl/>
        <w:wordWrap w:val="0"/>
        <w:topLinePunct/>
        <w:adjustRightInd w:val="0"/>
        <w:snapToGrid w:val="0"/>
        <w:spacing w:line="480" w:lineRule="exact"/>
        <w:ind w:firstLine="482"/>
        <w:rPr>
          <w:rFonts w:ascii="宋体" w:hAnsi="宋体"/>
          <w:color w:val="auto"/>
          <w:sz w:val="24"/>
          <w:highlight w:val="none"/>
        </w:rPr>
      </w:pPr>
      <w:r>
        <w:rPr>
          <w:rFonts w:hint="eastAsia" w:ascii="宋体" w:hAnsi="宋体"/>
          <w:color w:val="auto"/>
          <w:sz w:val="24"/>
          <w:highlight w:val="none"/>
        </w:rPr>
        <w:t>4.1.2勘察工作有效期限以发包人下达的开工通知书或合同约定的时间为准，如遇特殊情况（设计变更、工作量变化、不可抗力影响以及非勘察人原因造成的停、窝工等）时，工期顺延。</w:t>
      </w:r>
    </w:p>
    <w:p>
      <w:pPr>
        <w:widowControl/>
        <w:wordWrap w:val="0"/>
        <w:topLinePunct/>
        <w:adjustRightInd w:val="0"/>
        <w:snapToGrid w:val="0"/>
        <w:spacing w:line="480" w:lineRule="exact"/>
        <w:ind w:firstLine="482"/>
        <w:rPr>
          <w:rFonts w:ascii="宋体" w:hAnsi="宋体"/>
          <w:color w:val="auto"/>
          <w:sz w:val="24"/>
          <w:highlight w:val="none"/>
        </w:rPr>
      </w:pPr>
      <w:r>
        <w:rPr>
          <w:rFonts w:hint="eastAsia" w:ascii="宋体" w:hAnsi="宋体"/>
          <w:color w:val="auto"/>
          <w:sz w:val="24"/>
          <w:highlight w:val="none"/>
        </w:rPr>
        <w:t>4.2收费标准及付费方式</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4.2.1该收费含岩土工程勘察费、工程测量费、工程物探费。其中，岩土工程勘探费综合单价包干按国家发展计划委员会、建设部2002年颁布的《工程勘察设计收费标准》、《关于印发广州市黄埔区 广州开发区政府投资建设项目资金管理办法的通知》（穗埔财〔2020〕373 号）、《广州开发区财政投资建设项目管理中心咨询服务类合同结算编审指引（2021年修订版）》（穗开建管〔2021〕33号）、广州开发区财政局《关于调整我区岩土工程勘察费取费标准的复函》（穗开财函[2013]615号）及《关于印发&lt;广州开发区、萝岗区政府投资建设项目岩土工程勘探综合费取费标准&gt;的通知》（穗开建管【2014】1号）文计取；工程测量费、工程物探费，按国家发展计划委员会、建设部2002年颁布的《工程勘察设计收费标准》、《关于印发广州市黄埔区 广州开发区政府投资建设项目资金管理办法的通知》（穗埔财〔2020〕373 号）及《广州开发区财政投资建设项目管理中心咨询服务类合同结算编审指引（2021年修订版）》（穗开建管〔2021〕33号）计算，浮动幅度为下浮30%。用于办理规划报建用地预审、规划国土等手续的1:500地形测量收费标准按国家测绘局颁发的国家测绘产品价格收费标准计取并下浮30%。按国测财字[2002]3号文计取单价的项目，不予计取技术工作费。在合同实施期间工程测量费、物探费按实际完成工作量调整，但费率浮动幅度不变。</w:t>
      </w:r>
    </w:p>
    <w:p>
      <w:pPr>
        <w:widowControl/>
        <w:wordWrap w:val="0"/>
        <w:topLinePunct/>
        <w:adjustRightInd w:val="0"/>
        <w:snapToGrid w:val="0"/>
        <w:spacing w:line="480" w:lineRule="exact"/>
        <w:ind w:firstLine="480" w:firstLineChars="200"/>
        <w:rPr>
          <w:rFonts w:ascii="宋体" w:hAnsi="宋体"/>
          <w:strike/>
          <w:color w:val="auto"/>
          <w:sz w:val="24"/>
          <w:highlight w:val="none"/>
        </w:rPr>
      </w:pPr>
      <w:r>
        <w:rPr>
          <w:rFonts w:hint="eastAsia" w:ascii="宋体" w:hAnsi="宋体"/>
          <w:color w:val="auto"/>
          <w:sz w:val="24"/>
          <w:highlight w:val="none"/>
        </w:rPr>
        <w:t>4.2.2本工程勘察费暂定为</w:t>
      </w:r>
      <w:r>
        <w:rPr>
          <w:rFonts w:hint="eastAsia" w:ascii="宋体" w:hAnsi="宋体"/>
          <w:color w:val="auto"/>
          <w:sz w:val="24"/>
          <w:highlight w:val="none"/>
          <w:u w:val="single"/>
        </w:rPr>
        <w:t xml:space="preserve">    </w:t>
      </w:r>
      <w:r>
        <w:rPr>
          <w:rFonts w:hint="eastAsia" w:ascii="宋体" w:hAnsi="宋体"/>
          <w:color w:val="auto"/>
          <w:sz w:val="24"/>
          <w:highlight w:val="none"/>
        </w:rPr>
        <w:t>万元（大写：</w:t>
      </w:r>
      <w:r>
        <w:rPr>
          <w:rFonts w:hint="eastAsia" w:ascii="宋体" w:hAnsi="宋体"/>
          <w:color w:val="auto"/>
          <w:sz w:val="24"/>
          <w:highlight w:val="none"/>
          <w:u w:val="single"/>
        </w:rPr>
        <w:t xml:space="preserve">      整</w:t>
      </w:r>
      <w:r>
        <w:rPr>
          <w:rFonts w:hint="eastAsia" w:ascii="宋体" w:hAnsi="宋体"/>
          <w:color w:val="auto"/>
          <w:sz w:val="24"/>
          <w:highlight w:val="none"/>
        </w:rPr>
        <w:t>）。勘察费结算以广州开发区财政局或其授权委托单位审定为准。合同生效后15天内且财政拨款到位后，发包人向勘察人支付本合同勘察费暂定价的20％作为定金，计</w:t>
      </w:r>
      <w:r>
        <w:rPr>
          <w:rFonts w:hint="eastAsia" w:ascii="宋体" w:hAnsi="宋体"/>
          <w:color w:val="auto"/>
          <w:sz w:val="24"/>
          <w:highlight w:val="none"/>
          <w:u w:val="single"/>
        </w:rPr>
        <w:t xml:space="preserve">     </w:t>
      </w:r>
      <w:r>
        <w:rPr>
          <w:rFonts w:hint="eastAsia" w:ascii="宋体" w:hAnsi="宋体"/>
          <w:color w:val="auto"/>
          <w:sz w:val="24"/>
          <w:highlight w:val="none"/>
        </w:rPr>
        <w:t>万元（本合同履行后，定金抵作勘察费）；提交勘察成果资料后30天内，勘察成果资料通过发包人验收，</w:t>
      </w:r>
      <w:r>
        <w:rPr>
          <w:rFonts w:hint="eastAsia" w:ascii="宋体" w:hAnsi="宋体"/>
          <w:color w:val="auto"/>
          <w:spacing w:val="10"/>
          <w:sz w:val="24"/>
          <w:highlight w:val="none"/>
        </w:rPr>
        <w:t>发包人累计支付至实际完成勘察工程量对应勘察费的70%</w:t>
      </w:r>
      <w:r>
        <w:rPr>
          <w:rFonts w:hint="eastAsia" w:ascii="宋体" w:hAnsi="宋体"/>
          <w:color w:val="auto"/>
          <w:sz w:val="24"/>
          <w:highlight w:val="none"/>
        </w:rPr>
        <w:t>；本工程项目完成施工图审查（或完成施工招标），勘察费结算经广州开发区财政局或其授权委托单位审定后，发包人向勘察人支付勘察费至结算价的90%；剩余的勘察费待工程完工后发包人一次结清（不计利息）。以上勘察费必须待财政拨款到位后方能支付。如遇审计部门审计发现本合同结算价款存在超付的情形，甲方有权据实要求乙方返还该部分款项。</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岩土勘察费计算依据表：（根据项目实际填）</w:t>
      </w:r>
    </w:p>
    <w:p>
      <w:pPr>
        <w:pStyle w:val="5"/>
        <w:ind w:firstLine="480"/>
        <w:rPr>
          <w:color w:val="auto"/>
          <w:sz w:val="24"/>
          <w:szCs w:val="32"/>
          <w:highlight w:val="none"/>
        </w:rPr>
      </w:pPr>
      <w:r>
        <w:rPr>
          <w:rFonts w:hint="eastAsia"/>
          <w:color w:val="auto"/>
          <w:sz w:val="24"/>
          <w:szCs w:val="32"/>
          <w:highlight w:val="none"/>
        </w:rPr>
        <w:t>测量费计算依据表：（根据项目实际填）</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注：所有勘察项目均需报发包人根据现场实际情况确认同意后方可实施。</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4.2.3在签订合同或结算阶段，如发包人发现勘察人的投标报价不符合招标文件规定的，可进行修正，勘察人不得有异议。</w:t>
      </w:r>
    </w:p>
    <w:p>
      <w:pPr>
        <w:widowControl/>
        <w:wordWrap w:val="0"/>
        <w:topLinePunct/>
        <w:adjustRightInd w:val="0"/>
        <w:snapToGrid w:val="0"/>
        <w:spacing w:line="480" w:lineRule="exact"/>
        <w:ind w:firstLine="482"/>
        <w:rPr>
          <w:rFonts w:ascii="宋体" w:hAnsi="宋体"/>
          <w:color w:val="auto"/>
          <w:sz w:val="24"/>
          <w:highlight w:val="none"/>
        </w:rPr>
      </w:pPr>
      <w:r>
        <w:rPr>
          <w:rFonts w:hint="eastAsia" w:ascii="宋体" w:hAnsi="宋体"/>
          <w:b/>
          <w:color w:val="auto"/>
          <w:sz w:val="24"/>
          <w:highlight w:val="none"/>
        </w:rPr>
        <w:t>第五条：</w:t>
      </w:r>
      <w:r>
        <w:rPr>
          <w:rFonts w:hint="eastAsia" w:ascii="宋体" w:hAnsi="宋体"/>
          <w:color w:val="auto"/>
          <w:sz w:val="24"/>
          <w:highlight w:val="none"/>
        </w:rPr>
        <w:t>发包人、勘察人责任</w:t>
      </w:r>
    </w:p>
    <w:p>
      <w:pPr>
        <w:widowControl/>
        <w:wordWrap w:val="0"/>
        <w:topLinePunct/>
        <w:adjustRightInd w:val="0"/>
        <w:snapToGrid w:val="0"/>
        <w:spacing w:line="480" w:lineRule="exact"/>
        <w:ind w:firstLine="482"/>
        <w:rPr>
          <w:rFonts w:ascii="宋体" w:hAnsi="宋体"/>
          <w:color w:val="auto"/>
          <w:sz w:val="24"/>
          <w:highlight w:val="none"/>
        </w:rPr>
      </w:pPr>
      <w:r>
        <w:rPr>
          <w:rFonts w:hint="eastAsia" w:ascii="宋体" w:hAnsi="宋体"/>
          <w:color w:val="auto"/>
          <w:sz w:val="24"/>
          <w:highlight w:val="none"/>
        </w:rPr>
        <w:t>5.1发包人责任</w:t>
      </w:r>
    </w:p>
    <w:p>
      <w:pPr>
        <w:widowControl/>
        <w:wordWrap w:val="0"/>
        <w:topLinePunct/>
        <w:adjustRightInd w:val="0"/>
        <w:snapToGrid w:val="0"/>
        <w:spacing w:line="480" w:lineRule="exact"/>
        <w:ind w:firstLine="482"/>
        <w:rPr>
          <w:rFonts w:ascii="宋体" w:hAnsi="宋体"/>
          <w:color w:val="auto"/>
          <w:sz w:val="24"/>
          <w:highlight w:val="none"/>
        </w:rPr>
      </w:pPr>
      <w:r>
        <w:rPr>
          <w:rFonts w:hint="eastAsia" w:ascii="宋体" w:hAnsi="宋体"/>
          <w:color w:val="auto"/>
          <w:sz w:val="24"/>
          <w:highlight w:val="none"/>
        </w:rPr>
        <w:t>5.1.1发包人委托任务时，必须以书面形式向勘察人明确勘察任务及技术要求，并按第二条约定提供文件资料。</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5.1.2勘察过程中的任何变更、签证，经办理正式变更签证手续后，发包人应按实际发生的工作量支付勘察费。</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5.1.3由于发包人原因或规划调整原因造成的勘察人停、窝工，工期顺延。停工6个月以上的，双方同意按已实际完成的勘察工作量对应勘察费的90%进行支付。</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5.1.4发包人应保护勘察人的投标书、勘察方案、报告书、文件、资料图纸、数据、特殊工艺(方法)、专利技术和合理化建议，未经勘察人同意，发包人不得泄露、不得擅自修改、传送或向第三人转让或用于本合同外的项目；如发生上述情况，发包人应负法律责任，勘察人有权索赔。</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5.1.5本合同有关条款中约定的发包人应负的其它责任。</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5.2勘察人责任</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5.2.1勘察人应按国家技术规范、标准、规程和发包人的任务委托书及技术要求进行工程勘察，按本合同规定的时间提交质量合格的勘察成果资料，并对其负责。勘察人所提交的地形图测量等成果资料需满足规划报建、办理用地预审手续及规划国土部门的审批要求，否则勘察人应将地形图测量工作分包给具备相应资质并能办理上述手续的勘察测量单位负责实施，如果因为资料不合格而导致的返工测量、补充测量、完善资料、修改资料等工作及费用由勘察人承担。</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5.2.2由于勘察人提供的勘察成果资料质量不合格，勘察人应负责无偿给予补充完善使其达到质量合格；若勘察人无力补充完善，需另委托其他单位时，勘察人应承担全部勘察费用；因勘察质量造成重大经济损失或工程事故时，勘察人</w:t>
      </w:r>
      <w:r>
        <w:rPr>
          <w:rFonts w:hint="eastAsia" w:ascii="宋体" w:hAnsi="宋体"/>
          <w:color w:val="auto"/>
          <w:spacing w:val="10"/>
          <w:sz w:val="24"/>
          <w:highlight w:val="none"/>
        </w:rPr>
        <w:t>除应</w:t>
      </w:r>
      <w:r>
        <w:rPr>
          <w:rFonts w:hint="eastAsia" w:ascii="宋体" w:hAnsi="宋体"/>
          <w:color w:val="auto"/>
          <w:sz w:val="24"/>
          <w:highlight w:val="none"/>
        </w:rPr>
        <w:t>负责采取补救措施，按勘察收费的30%向发包人支付违约金外，还应按《中华人民共和国建筑法》、《建设工程质量管理条例》、《建设工程勘察设计管理条例》及有关法律法规规定承担相应法律责任。</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5.2.3在工程勘察前，提出勘察纲要或勘察组织设计，派人与发包人的人员一起验收发包人提供的材料。</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5.2.4勘察过程中，根据工程的岩土工程条件(或工作现场地形地貌、地质和水文地质条件)及技术规范要求，向发包人提出增减工作量或修改勘察工作的意见。并办理正式变更手续。</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5.2.5在现场工作的勘察人的人员应遵守发包人的安全保卫及其它有关的规章制度，承担其有关资料保密义务。</w:t>
      </w:r>
    </w:p>
    <w:p>
      <w:pPr>
        <w:widowControl/>
        <w:wordWrap w:val="0"/>
        <w:topLinePunct/>
        <w:adjustRightInd w:val="0"/>
        <w:snapToGrid w:val="0"/>
        <w:spacing w:line="480" w:lineRule="exact"/>
        <w:ind w:firstLine="482"/>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2</w:t>
      </w:r>
      <w:r>
        <w:rPr>
          <w:rFonts w:hint="eastAsia" w:ascii="宋体" w:hAnsi="宋体"/>
          <w:color w:val="auto"/>
          <w:sz w:val="24"/>
          <w:highlight w:val="none"/>
        </w:rPr>
        <w:t>.6在勘察工作范围内，没有资料、图纸的地区（段），勘察人应负责查清地下埋藏物，勘察单位未探明地下埋藏物即进行钻探的，发生人身伤害或造成经济损失时，由勘察人承担民事责任。</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5.2.7本合同有关条款规定中约定的勘察人应负的其它责任。</w:t>
      </w:r>
    </w:p>
    <w:p>
      <w:pPr>
        <w:widowControl/>
        <w:wordWrap w:val="0"/>
        <w:topLinePunct/>
        <w:adjustRightInd w:val="0"/>
        <w:snapToGrid w:val="0"/>
        <w:spacing w:line="480" w:lineRule="exact"/>
        <w:ind w:firstLine="480"/>
        <w:rPr>
          <w:rFonts w:ascii="宋体" w:hAnsi="宋体"/>
          <w:color w:val="auto"/>
          <w:sz w:val="24"/>
          <w:highlight w:val="none"/>
        </w:rPr>
      </w:pP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b/>
          <w:color w:val="auto"/>
          <w:sz w:val="24"/>
          <w:highlight w:val="none"/>
        </w:rPr>
        <w:t>第六条：</w:t>
      </w:r>
      <w:r>
        <w:rPr>
          <w:rFonts w:hint="eastAsia" w:ascii="宋体" w:hAnsi="宋体"/>
          <w:color w:val="auto"/>
          <w:sz w:val="24"/>
          <w:highlight w:val="none"/>
        </w:rPr>
        <w:t>违约责任</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6.1由于勘察人原因造成勘察成果资料质量不合格，不能满足技术要求时，勘察人应按发包人要求期限返工，其返工勘察费用由勘察人承担。</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6.2</w:t>
      </w:r>
      <w:r>
        <w:rPr>
          <w:rFonts w:ascii="宋体" w:hAnsi="宋体"/>
          <w:color w:val="auto"/>
          <w:sz w:val="24"/>
          <w:highlight w:val="none"/>
        </w:rPr>
        <w:t>合同履行期间，由于工程停建或其他发包人责任，发包人解除合同</w:t>
      </w:r>
      <w:r>
        <w:rPr>
          <w:rFonts w:hint="eastAsia" w:ascii="宋体" w:hAnsi="宋体"/>
          <w:color w:val="auto"/>
          <w:sz w:val="24"/>
          <w:highlight w:val="none"/>
        </w:rPr>
        <w:t>的</w:t>
      </w:r>
      <w:r>
        <w:rPr>
          <w:rFonts w:ascii="宋体" w:hAnsi="宋体"/>
          <w:color w:val="auto"/>
          <w:sz w:val="24"/>
          <w:highlight w:val="none"/>
        </w:rPr>
        <w:t>，勘察人已完成的工作量相应勘察费金额不超过定金的，不退还发包人已付定金；勘察人已完成的工作量相应勘察费金额超过定金的，按勘察人实际完成工作量结算及支付勘察费（定金抵扣勘察费）</w:t>
      </w:r>
      <w:r>
        <w:rPr>
          <w:rFonts w:hint="eastAsia" w:ascii="宋体" w:hAnsi="宋体"/>
          <w:color w:val="auto"/>
          <w:sz w:val="24"/>
          <w:highlight w:val="none"/>
        </w:rPr>
        <w:t>。</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6.3发包人未按合同约定时间（日期）拨付勘察费，每超过一日，应偿付应付未付勘察费的千分之一逾期违约金。</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6.4由于勘察人原因未按合同约定时间（日期）提交勘察成果资料，每超过一日，应减收勘察费千分之三，误期损害赔偿费的最高限额为最终勘察合同价格的30%。</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6.5本合同签订后，发包人不履行合同时，无权要求退还定金；勘察人不履行合同时，双倍返还定金。</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color w:val="auto"/>
          <w:sz w:val="24"/>
          <w:highlight w:val="none"/>
        </w:rPr>
        <w:t>6.6合同履行期间，因勘察人未按相关规范执行勘探施工或勘探成果失实或分析不准确，而造成基础、基坑、边坡、地下等工程提供的技术参数严重失实或在施工过程中的地质情况与勘察成果出现差异较大的，发包人将按相关规定上报主管部门，由主管部门对勘察人进行动态扣分、通报批评并以列入我区建设领域“黑名单”等方式进行处罚，追究相关单位的经济责任。</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b/>
          <w:color w:val="auto"/>
          <w:sz w:val="24"/>
          <w:highlight w:val="none"/>
        </w:rPr>
        <w:t>第七条：</w:t>
      </w:r>
      <w:r>
        <w:rPr>
          <w:rFonts w:hint="eastAsia" w:ascii="宋体" w:hAnsi="宋体"/>
          <w:color w:val="auto"/>
          <w:sz w:val="24"/>
          <w:highlight w:val="none"/>
        </w:rPr>
        <w:t>本合同未尽事宜，经发包人与勘察人协商一致，签订补充协议，补充协议与本合同具有同等效力。</w:t>
      </w:r>
    </w:p>
    <w:p>
      <w:pPr>
        <w:widowControl/>
        <w:wordWrap w:val="0"/>
        <w:topLinePunct/>
        <w:adjustRightInd w:val="0"/>
        <w:snapToGrid w:val="0"/>
        <w:spacing w:line="480" w:lineRule="exact"/>
        <w:ind w:firstLine="480"/>
        <w:rPr>
          <w:rFonts w:ascii="宋体" w:hAnsi="宋体"/>
          <w:color w:val="auto"/>
          <w:sz w:val="24"/>
          <w:highlight w:val="none"/>
        </w:rPr>
      </w:pPr>
      <w:r>
        <w:rPr>
          <w:rFonts w:hint="eastAsia" w:ascii="宋体" w:hAnsi="宋体"/>
          <w:b/>
          <w:color w:val="auto"/>
          <w:sz w:val="24"/>
          <w:highlight w:val="none"/>
        </w:rPr>
        <w:t>第八条：</w:t>
      </w:r>
      <w:r>
        <w:rPr>
          <w:rFonts w:hint="eastAsia" w:ascii="宋体" w:hAnsi="宋体"/>
          <w:color w:val="auto"/>
          <w:sz w:val="24"/>
          <w:highlight w:val="none"/>
        </w:rPr>
        <w:t>其它约定事项</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8.1 勘察人不得将本工程转包给他人。</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8.2 勘察人在勘察过程中发现地下不明物体及发生突发事故应及时报告发包人。</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8.3 发包人不提供施工及生活用水、用电，由勘察人自行解决。</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8.4发包人在初步设计阶段对勘察成果组织初验收。</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8.5如本工程实行代建制管理的，合同由代建单位与勘察人签订的，发票抬头为中新广州知识城财政投资建设项目管理中心（选择性条款）。</w:t>
      </w:r>
    </w:p>
    <w:p>
      <w:pPr>
        <w:widowControl/>
        <w:wordWrap w:val="0"/>
        <w:topLinePunct/>
        <w:adjustRightInd w:val="0"/>
        <w:snapToGrid w:val="0"/>
        <w:spacing w:line="480" w:lineRule="exact"/>
        <w:ind w:firstLine="480" w:firstLineChars="200"/>
        <w:rPr>
          <w:rFonts w:ascii="宋体" w:hAnsi="宋体"/>
          <w:color w:val="auto"/>
          <w:sz w:val="24"/>
          <w:highlight w:val="none"/>
        </w:rPr>
      </w:pP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b/>
          <w:color w:val="auto"/>
          <w:sz w:val="24"/>
          <w:highlight w:val="none"/>
        </w:rPr>
        <w:t>第九条：</w:t>
      </w:r>
      <w:r>
        <w:rPr>
          <w:rFonts w:hint="eastAsia" w:ascii="宋体" w:hAnsi="宋体"/>
          <w:color w:val="auto"/>
          <w:sz w:val="24"/>
          <w:highlight w:val="none"/>
        </w:rPr>
        <w:t xml:space="preserve"> 本合同在履行过程中发生的争议，由双方当事人协商解决，协商不成的按下列第</w:t>
      </w:r>
      <w:r>
        <w:rPr>
          <w:rFonts w:hint="eastAsia" w:ascii="宋体" w:hAnsi="宋体"/>
          <w:color w:val="auto"/>
          <w:sz w:val="24"/>
          <w:highlight w:val="none"/>
          <w:u w:val="single"/>
        </w:rPr>
        <w:t xml:space="preserve"> 二  </w:t>
      </w:r>
      <w:r>
        <w:rPr>
          <w:rFonts w:hint="eastAsia" w:ascii="宋体" w:hAnsi="宋体"/>
          <w:color w:val="auto"/>
          <w:sz w:val="24"/>
          <w:highlight w:val="none"/>
        </w:rPr>
        <w:t>种方式解决：</w:t>
      </w:r>
    </w:p>
    <w:p>
      <w:pPr>
        <w:widowControl/>
        <w:wordWrap w:val="0"/>
        <w:topLinePunct/>
        <w:adjustRightInd w:val="0"/>
        <w:snapToGrid w:val="0"/>
        <w:spacing w:line="48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（一）提交</w:t>
      </w:r>
      <w:r>
        <w:rPr>
          <w:rFonts w:hint="eastAsia" w:ascii="宋体" w:hAnsi="宋体"/>
          <w:color w:val="auto"/>
          <w:kern w:val="0"/>
          <w:sz w:val="24"/>
          <w:highlight w:val="none"/>
          <w:u w:val="single"/>
        </w:rPr>
        <w:t xml:space="preserve">  /  </w:t>
      </w:r>
      <w:r>
        <w:rPr>
          <w:rFonts w:hint="eastAsia" w:ascii="宋体" w:hAnsi="宋体"/>
          <w:color w:val="auto"/>
          <w:kern w:val="0"/>
          <w:sz w:val="24"/>
          <w:highlight w:val="none"/>
        </w:rPr>
        <w:t>仲裁；</w:t>
      </w:r>
    </w:p>
    <w:p>
      <w:pPr>
        <w:widowControl/>
        <w:wordWrap w:val="0"/>
        <w:topLinePunct/>
        <w:adjustRightInd w:val="0"/>
        <w:snapToGrid w:val="0"/>
        <w:spacing w:line="480" w:lineRule="exact"/>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（二）依法向工程所在地人民法院起诉。</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b/>
          <w:color w:val="auto"/>
          <w:sz w:val="24"/>
          <w:highlight w:val="none"/>
        </w:rPr>
        <w:t xml:space="preserve"> 第十条：</w:t>
      </w:r>
      <w:r>
        <w:rPr>
          <w:rFonts w:hint="eastAsia" w:ascii="宋体" w:hAnsi="宋体"/>
          <w:color w:val="auto"/>
          <w:sz w:val="24"/>
          <w:highlight w:val="none"/>
        </w:rPr>
        <w:t>本合同自发包人、勘察人签字盖章后生效；发包人、勘察人认为必要时，到项目所在地工商行政管理部门申请鉴证。发包人、勘察人履行完合同规定的义务后，本合同终止。</w:t>
      </w:r>
    </w:p>
    <w:p>
      <w:pPr>
        <w:widowControl/>
        <w:wordWrap w:val="0"/>
        <w:topLinePunct/>
        <w:adjustRightInd w:val="0"/>
        <w:snapToGrid w:val="0"/>
        <w:spacing w:line="480" w:lineRule="exact"/>
        <w:ind w:firstLine="420"/>
        <w:rPr>
          <w:rFonts w:ascii="宋体" w:hAnsi="宋体"/>
          <w:color w:val="auto"/>
          <w:sz w:val="24"/>
          <w:highlight w:val="none"/>
        </w:rPr>
      </w:pPr>
    </w:p>
    <w:p>
      <w:pPr>
        <w:widowControl/>
        <w:wordWrap w:val="0"/>
        <w:topLinePunct/>
        <w:adjustRightInd w:val="0"/>
        <w:snapToGrid w:val="0"/>
        <w:spacing w:line="480" w:lineRule="exact"/>
        <w:ind w:firstLine="420"/>
        <w:rPr>
          <w:rFonts w:hint="eastAsia"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rPr>
        <w:t>廉政责任书</w:t>
      </w:r>
    </w:p>
    <w:p>
      <w:pPr>
        <w:widowControl/>
        <w:wordWrap w:val="0"/>
        <w:topLinePunct/>
        <w:adjustRightInd w:val="0"/>
        <w:snapToGrid w:val="0"/>
        <w:spacing w:line="480" w:lineRule="exact"/>
        <w:ind w:firstLine="420"/>
        <w:rPr>
          <w:rFonts w:ascii="宋体" w:hAnsi="宋体"/>
          <w:color w:val="auto"/>
          <w:sz w:val="24"/>
          <w:highlight w:val="none"/>
        </w:rPr>
      </w:pPr>
      <w:r>
        <w:rPr>
          <w:rFonts w:hint="eastAsia" w:ascii="宋体" w:hAnsi="宋体"/>
          <w:color w:val="auto"/>
          <w:sz w:val="24"/>
          <w:highlight w:val="none"/>
          <w:lang w:val="en-US" w:eastAsia="zh-CN"/>
        </w:rPr>
        <w:t xml:space="preserve">      2.</w:t>
      </w:r>
      <w:r>
        <w:rPr>
          <w:rFonts w:ascii="宋体" w:hAnsi="宋体" w:eastAsia="宋体" w:cs="宋体"/>
          <w:color w:val="auto"/>
          <w:sz w:val="24"/>
          <w:szCs w:val="24"/>
          <w:highlight w:val="none"/>
        </w:rPr>
        <w:t>勘察单位投入人员架构表</w:t>
      </w:r>
      <w:r>
        <w:rPr>
          <w:rFonts w:ascii="宋体" w:hAnsi="宋体"/>
          <w:color w:val="auto"/>
          <w:sz w:val="24"/>
          <w:highlight w:val="none"/>
        </w:rPr>
        <w:br w:type="page"/>
      </w:r>
    </w:p>
    <w:tbl>
      <w:tblPr>
        <w:tblStyle w:val="38"/>
        <w:tblW w:w="0" w:type="auto"/>
        <w:tblInd w:w="0" w:type="dxa"/>
        <w:tblLayout w:type="fixed"/>
        <w:tblCellMar>
          <w:top w:w="0" w:type="dxa"/>
          <w:left w:w="108" w:type="dxa"/>
          <w:bottom w:w="0" w:type="dxa"/>
          <w:right w:w="108" w:type="dxa"/>
        </w:tblCellMar>
      </w:tblPr>
      <w:tblGrid>
        <w:gridCol w:w="1668"/>
        <w:gridCol w:w="2596"/>
        <w:gridCol w:w="1656"/>
        <w:gridCol w:w="2608"/>
      </w:tblGrid>
      <w:tr>
        <w:tblPrEx>
          <w:tblCellMar>
            <w:top w:w="0" w:type="dxa"/>
            <w:left w:w="108" w:type="dxa"/>
            <w:bottom w:w="0" w:type="dxa"/>
            <w:right w:w="108" w:type="dxa"/>
          </w:tblCellMar>
        </w:tblPrEx>
        <w:trPr>
          <w:trHeight w:val="1021" w:hRule="atLeast"/>
        </w:trPr>
        <w:tc>
          <w:tcPr>
            <w:tcW w:w="1668"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发包人：</w:t>
            </w:r>
          </w:p>
        </w:tc>
        <w:tc>
          <w:tcPr>
            <w:tcW w:w="2596" w:type="dxa"/>
            <w:vAlign w:val="center"/>
          </w:tcPr>
          <w:p>
            <w:pPr>
              <w:widowControl/>
              <w:wordWrap w:val="0"/>
              <w:topLinePunct/>
              <w:adjustRightInd w:val="0"/>
              <w:snapToGrid w:val="0"/>
              <w:spacing w:line="480" w:lineRule="exact"/>
              <w:rPr>
                <w:rFonts w:ascii="宋体" w:hAnsi="宋体"/>
                <w:color w:val="auto"/>
                <w:sz w:val="24"/>
                <w:highlight w:val="none"/>
              </w:rPr>
            </w:pPr>
            <w:r>
              <w:rPr>
                <w:rFonts w:hint="eastAsia" w:ascii="宋体" w:hAnsi="宋体"/>
                <w:color w:val="auto"/>
                <w:sz w:val="24"/>
                <w:highlight w:val="none"/>
              </w:rPr>
              <w:t>（公章）</w:t>
            </w: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勘察人：</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r>
              <w:rPr>
                <w:rFonts w:hint="eastAsia" w:ascii="宋体" w:hAnsi="宋体"/>
                <w:color w:val="auto"/>
                <w:sz w:val="24"/>
                <w:highlight w:val="none"/>
              </w:rPr>
              <w:t>（公章）</w:t>
            </w:r>
          </w:p>
        </w:tc>
      </w:tr>
      <w:tr>
        <w:tblPrEx>
          <w:tblCellMar>
            <w:top w:w="0" w:type="dxa"/>
            <w:left w:w="108" w:type="dxa"/>
            <w:bottom w:w="0" w:type="dxa"/>
            <w:right w:w="108" w:type="dxa"/>
          </w:tblCellMar>
        </w:tblPrEx>
        <w:trPr>
          <w:trHeight w:val="1021" w:hRule="atLeast"/>
        </w:trPr>
        <w:tc>
          <w:tcPr>
            <w:tcW w:w="1668"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住 所：</w:t>
            </w:r>
          </w:p>
        </w:tc>
        <w:tc>
          <w:tcPr>
            <w:tcW w:w="2596"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住 所：</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r>
        <w:tblPrEx>
          <w:tblCellMar>
            <w:top w:w="0" w:type="dxa"/>
            <w:left w:w="108" w:type="dxa"/>
            <w:bottom w:w="0" w:type="dxa"/>
            <w:right w:w="108" w:type="dxa"/>
          </w:tblCellMar>
        </w:tblPrEx>
        <w:trPr>
          <w:trHeight w:val="1021" w:hRule="atLeast"/>
        </w:trPr>
        <w:tc>
          <w:tcPr>
            <w:tcW w:w="1668"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法定代表人：</w:t>
            </w:r>
          </w:p>
        </w:tc>
        <w:tc>
          <w:tcPr>
            <w:tcW w:w="2596"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法定代表人：</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r>
        <w:tblPrEx>
          <w:tblCellMar>
            <w:top w:w="0" w:type="dxa"/>
            <w:left w:w="108" w:type="dxa"/>
            <w:bottom w:w="0" w:type="dxa"/>
            <w:right w:w="108" w:type="dxa"/>
          </w:tblCellMar>
        </w:tblPrEx>
        <w:trPr>
          <w:trHeight w:val="1021" w:hRule="atLeast"/>
        </w:trPr>
        <w:tc>
          <w:tcPr>
            <w:tcW w:w="1668"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委托代理人：</w:t>
            </w:r>
          </w:p>
        </w:tc>
        <w:tc>
          <w:tcPr>
            <w:tcW w:w="2596"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委托代理人：</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r>
        <w:tblPrEx>
          <w:tblCellMar>
            <w:top w:w="0" w:type="dxa"/>
            <w:left w:w="108" w:type="dxa"/>
            <w:bottom w:w="0" w:type="dxa"/>
            <w:right w:w="108" w:type="dxa"/>
          </w:tblCellMar>
        </w:tblPrEx>
        <w:trPr>
          <w:trHeight w:val="1021" w:hRule="atLeast"/>
        </w:trPr>
        <w:tc>
          <w:tcPr>
            <w:tcW w:w="1668"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电    话：</w:t>
            </w:r>
          </w:p>
        </w:tc>
        <w:tc>
          <w:tcPr>
            <w:tcW w:w="2596"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电    话：</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r>
        <w:tblPrEx>
          <w:tblCellMar>
            <w:top w:w="0" w:type="dxa"/>
            <w:left w:w="108" w:type="dxa"/>
            <w:bottom w:w="0" w:type="dxa"/>
            <w:right w:w="108" w:type="dxa"/>
          </w:tblCellMar>
        </w:tblPrEx>
        <w:trPr>
          <w:trHeight w:val="1021" w:hRule="atLeast"/>
        </w:trPr>
        <w:tc>
          <w:tcPr>
            <w:tcW w:w="1668"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传    真：</w:t>
            </w:r>
          </w:p>
        </w:tc>
        <w:tc>
          <w:tcPr>
            <w:tcW w:w="2596"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传    真：</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r>
        <w:tblPrEx>
          <w:tblCellMar>
            <w:top w:w="0" w:type="dxa"/>
            <w:left w:w="108" w:type="dxa"/>
            <w:bottom w:w="0" w:type="dxa"/>
            <w:right w:w="108" w:type="dxa"/>
          </w:tblCellMar>
        </w:tblPrEx>
        <w:trPr>
          <w:trHeight w:val="1021" w:hRule="atLeast"/>
        </w:trPr>
        <w:tc>
          <w:tcPr>
            <w:tcW w:w="1668"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开户银行：</w:t>
            </w:r>
          </w:p>
        </w:tc>
        <w:tc>
          <w:tcPr>
            <w:tcW w:w="2596"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开户银行：</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r>
        <w:tblPrEx>
          <w:tblCellMar>
            <w:top w:w="0" w:type="dxa"/>
            <w:left w:w="108" w:type="dxa"/>
            <w:bottom w:w="0" w:type="dxa"/>
            <w:right w:w="108" w:type="dxa"/>
          </w:tblCellMar>
        </w:tblPrEx>
        <w:trPr>
          <w:trHeight w:val="1021" w:hRule="atLeast"/>
        </w:trPr>
        <w:tc>
          <w:tcPr>
            <w:tcW w:w="1668"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账    号：</w:t>
            </w:r>
          </w:p>
        </w:tc>
        <w:tc>
          <w:tcPr>
            <w:tcW w:w="2596"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账    号：</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r>
        <w:tblPrEx>
          <w:tblCellMar>
            <w:top w:w="0" w:type="dxa"/>
            <w:left w:w="108" w:type="dxa"/>
            <w:bottom w:w="0" w:type="dxa"/>
            <w:right w:w="108" w:type="dxa"/>
          </w:tblCellMar>
        </w:tblPrEx>
        <w:trPr>
          <w:trHeight w:val="1021" w:hRule="atLeast"/>
        </w:trPr>
        <w:tc>
          <w:tcPr>
            <w:tcW w:w="1668"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邮政编码：</w:t>
            </w:r>
          </w:p>
        </w:tc>
        <w:tc>
          <w:tcPr>
            <w:tcW w:w="2596"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邮政编码：</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bl>
    <w:p>
      <w:pPr>
        <w:widowControl/>
        <w:wordWrap w:val="0"/>
        <w:topLinePunct/>
        <w:adjustRightInd w:val="0"/>
        <w:snapToGrid w:val="0"/>
        <w:spacing w:line="480" w:lineRule="exact"/>
        <w:rPr>
          <w:rFonts w:ascii="宋体" w:hAnsi="宋体"/>
          <w:color w:val="auto"/>
          <w:sz w:val="24"/>
          <w:highlight w:val="none"/>
        </w:rPr>
      </w:pPr>
    </w:p>
    <w:p>
      <w:pPr>
        <w:widowControl/>
        <w:wordWrap w:val="0"/>
        <w:topLinePunct/>
        <w:adjustRightInd w:val="0"/>
        <w:snapToGrid w:val="0"/>
        <w:spacing w:line="480" w:lineRule="exact"/>
        <w:ind w:left="5933" w:leftChars="997" w:hanging="3840" w:hangingChars="1600"/>
        <w:rPr>
          <w:rFonts w:ascii="宋体" w:hAnsi="宋体"/>
          <w:color w:val="auto"/>
          <w:sz w:val="24"/>
          <w:highlight w:val="none"/>
        </w:rPr>
      </w:pPr>
      <w:r>
        <w:rPr>
          <w:rFonts w:hint="eastAsia" w:ascii="宋体" w:hAnsi="宋体"/>
          <w:color w:val="auto"/>
          <w:sz w:val="24"/>
          <w:highlight w:val="none"/>
        </w:rPr>
        <w:t>订立时间：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widowControl/>
        <w:wordWrap w:val="0"/>
        <w:topLinePunct/>
        <w:adjustRightInd w:val="0"/>
        <w:snapToGrid w:val="0"/>
        <w:spacing w:line="480" w:lineRule="exact"/>
        <w:rPr>
          <w:rFonts w:ascii="宋体" w:hAnsi="宋体"/>
          <w:b/>
          <w:color w:val="auto"/>
          <w:sz w:val="24"/>
          <w:highlight w:val="none"/>
        </w:rPr>
      </w:pPr>
    </w:p>
    <w:p>
      <w:pPr>
        <w:widowControl/>
        <w:wordWrap w:val="0"/>
        <w:topLinePunct/>
        <w:adjustRightInd w:val="0"/>
        <w:snapToGrid w:val="0"/>
        <w:spacing w:line="480" w:lineRule="exact"/>
        <w:rPr>
          <w:rFonts w:ascii="宋体" w:hAnsi="宋体"/>
          <w:b/>
          <w:color w:val="auto"/>
          <w:sz w:val="24"/>
          <w:highlight w:val="none"/>
        </w:rPr>
      </w:pPr>
    </w:p>
    <w:p>
      <w:pPr>
        <w:widowControl/>
        <w:wordWrap w:val="0"/>
        <w:topLinePunct/>
        <w:adjustRightInd w:val="0"/>
        <w:snapToGrid w:val="0"/>
        <w:spacing w:line="480" w:lineRule="exact"/>
        <w:rPr>
          <w:rFonts w:ascii="宋体" w:hAnsi="宋体"/>
          <w:b/>
          <w:color w:val="auto"/>
          <w:sz w:val="24"/>
          <w:highlight w:val="none"/>
        </w:rPr>
      </w:pPr>
    </w:p>
    <w:p>
      <w:pPr>
        <w:widowControl/>
        <w:wordWrap w:val="0"/>
        <w:topLinePunct/>
        <w:adjustRightInd w:val="0"/>
        <w:snapToGrid w:val="0"/>
        <w:spacing w:line="480" w:lineRule="exact"/>
        <w:rPr>
          <w:rFonts w:ascii="宋体" w:hAnsi="宋体"/>
          <w:b/>
          <w:color w:val="auto"/>
          <w:sz w:val="24"/>
          <w:highlight w:val="none"/>
        </w:rPr>
      </w:pPr>
    </w:p>
    <w:p>
      <w:pPr>
        <w:widowControl/>
        <w:wordWrap w:val="0"/>
        <w:topLinePunct/>
        <w:adjustRightInd w:val="0"/>
        <w:snapToGrid w:val="0"/>
        <w:spacing w:line="480" w:lineRule="exact"/>
        <w:rPr>
          <w:rFonts w:ascii="宋体" w:hAnsi="宋体"/>
          <w:b/>
          <w:color w:val="auto"/>
          <w:sz w:val="24"/>
          <w:highlight w:val="none"/>
        </w:rPr>
      </w:pPr>
    </w:p>
    <w:p>
      <w:pPr>
        <w:widowControl/>
        <w:wordWrap w:val="0"/>
        <w:topLinePunct/>
        <w:adjustRightInd w:val="0"/>
        <w:snapToGrid w:val="0"/>
        <w:spacing w:line="480" w:lineRule="exact"/>
        <w:rPr>
          <w:rFonts w:ascii="宋体" w:hAnsi="宋体"/>
          <w:b/>
          <w:color w:val="auto"/>
          <w:sz w:val="24"/>
          <w:highlight w:val="none"/>
        </w:rPr>
      </w:pPr>
    </w:p>
    <w:p>
      <w:pPr>
        <w:widowControl/>
        <w:wordWrap w:val="0"/>
        <w:topLinePunct/>
        <w:adjustRightInd w:val="0"/>
        <w:snapToGrid w:val="0"/>
        <w:spacing w:line="480" w:lineRule="exact"/>
        <w:rPr>
          <w:rFonts w:ascii="宋体" w:hAnsi="宋体"/>
          <w:b/>
          <w:color w:val="auto"/>
          <w:sz w:val="24"/>
          <w:highlight w:val="none"/>
        </w:rPr>
      </w:pPr>
    </w:p>
    <w:p>
      <w:pPr>
        <w:widowControl/>
        <w:wordWrap w:val="0"/>
        <w:topLinePunct/>
        <w:adjustRightInd w:val="0"/>
        <w:snapToGrid w:val="0"/>
        <w:spacing w:line="480" w:lineRule="exact"/>
        <w:rPr>
          <w:rFonts w:hint="eastAsia" w:ascii="宋体" w:hAnsi="宋体"/>
          <w:color w:val="auto"/>
          <w:sz w:val="24"/>
          <w:highlight w:val="none"/>
        </w:rPr>
      </w:pPr>
    </w:p>
    <w:p>
      <w:pPr>
        <w:widowControl/>
        <w:wordWrap w:val="0"/>
        <w:topLinePunct/>
        <w:adjustRightInd w:val="0"/>
        <w:snapToGrid w:val="0"/>
        <w:spacing w:line="480" w:lineRule="exact"/>
        <w:rPr>
          <w:rFonts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1</w:t>
      </w:r>
      <w:r>
        <w:rPr>
          <w:rFonts w:hint="eastAsia" w:ascii="宋体" w:hAnsi="宋体"/>
          <w:color w:val="auto"/>
          <w:sz w:val="24"/>
          <w:highlight w:val="none"/>
        </w:rPr>
        <w:t>：廉政责任书</w:t>
      </w:r>
    </w:p>
    <w:p>
      <w:pPr>
        <w:widowControl/>
        <w:wordWrap w:val="0"/>
        <w:topLinePunct/>
        <w:adjustRightInd w:val="0"/>
        <w:snapToGrid w:val="0"/>
        <w:spacing w:line="480" w:lineRule="exact"/>
        <w:rPr>
          <w:rFonts w:ascii="宋体" w:hAnsi="宋体"/>
          <w:color w:val="auto"/>
          <w:sz w:val="24"/>
          <w:highlight w:val="none"/>
        </w:rPr>
      </w:pPr>
    </w:p>
    <w:p>
      <w:pPr>
        <w:snapToGrid w:val="0"/>
        <w:spacing w:line="360" w:lineRule="auto"/>
        <w:jc w:val="center"/>
        <w:rPr>
          <w:rFonts w:ascii="宋体" w:hAnsi="宋体"/>
          <w:b/>
          <w:color w:val="auto"/>
          <w:kern w:val="0"/>
          <w:sz w:val="24"/>
          <w:highlight w:val="none"/>
        </w:rPr>
      </w:pPr>
      <w:r>
        <w:rPr>
          <w:rFonts w:hint="eastAsia" w:ascii="宋体" w:hAnsi="宋体"/>
          <w:b/>
          <w:color w:val="auto"/>
          <w:kern w:val="0"/>
          <w:sz w:val="24"/>
          <w:highlight w:val="none"/>
        </w:rPr>
        <w:t>廉政责任书</w:t>
      </w:r>
    </w:p>
    <w:p>
      <w:pPr>
        <w:rPr>
          <w:rFonts w:ascii="宋体" w:hAnsi="宋体"/>
          <w:color w:val="auto"/>
          <w:highlight w:val="none"/>
        </w:rPr>
      </w:pPr>
      <w:r>
        <w:rPr>
          <w:rFonts w:hint="eastAsia" w:ascii="宋体" w:hAnsi="宋体"/>
          <w:color w:val="auto"/>
          <w:highlight w:val="none"/>
        </w:rPr>
        <w:t xml:space="preserve">项目名称： </w:t>
      </w:r>
    </w:p>
    <w:p>
      <w:pPr>
        <w:rPr>
          <w:rFonts w:ascii="宋体" w:hAnsi="宋体"/>
          <w:color w:val="auto"/>
          <w:highlight w:val="none"/>
        </w:rPr>
      </w:pPr>
      <w:r>
        <w:rPr>
          <w:rFonts w:hint="eastAsia" w:ascii="宋体" w:hAnsi="宋体"/>
          <w:color w:val="auto"/>
          <w:highlight w:val="none"/>
        </w:rPr>
        <w:t xml:space="preserve">项目地址： </w:t>
      </w:r>
    </w:p>
    <w:p>
      <w:pPr>
        <w:rPr>
          <w:rFonts w:ascii="宋体" w:hAnsi="宋体"/>
          <w:color w:val="auto"/>
          <w:highlight w:val="none"/>
        </w:rPr>
      </w:pPr>
      <w:r>
        <w:rPr>
          <w:rFonts w:hint="eastAsia" w:ascii="宋体" w:hAnsi="宋体"/>
          <w:color w:val="auto"/>
          <w:highlight w:val="none"/>
        </w:rPr>
        <w:t xml:space="preserve">建设单位（甲方）： </w:t>
      </w:r>
    </w:p>
    <w:p>
      <w:pPr>
        <w:rPr>
          <w:rFonts w:ascii="宋体" w:hAnsi="宋体"/>
          <w:color w:val="auto"/>
          <w:highlight w:val="none"/>
        </w:rPr>
      </w:pPr>
      <w:r>
        <w:rPr>
          <w:rFonts w:hint="eastAsia" w:ascii="宋体" w:hAnsi="宋体"/>
          <w:color w:val="auto"/>
          <w:highlight w:val="none"/>
        </w:rPr>
        <w:t xml:space="preserve">设计单位（乙方）： </w:t>
      </w:r>
    </w:p>
    <w:p>
      <w:pPr>
        <w:adjustRightInd w:val="0"/>
        <w:snapToGrid w:val="0"/>
        <w:spacing w:line="440" w:lineRule="exact"/>
        <w:ind w:firstLine="482"/>
        <w:rPr>
          <w:rFonts w:ascii="宋体" w:hAnsi="宋体"/>
          <w:snapToGrid w:val="0"/>
          <w:color w:val="auto"/>
          <w:kern w:val="0"/>
          <w:sz w:val="24"/>
          <w:highlight w:val="none"/>
        </w:rPr>
      </w:pPr>
      <w:r>
        <w:rPr>
          <w:rFonts w:hint="eastAsia" w:ascii="宋体" w:hAnsi="宋体"/>
          <w:snapToGrid w:val="0"/>
          <w:color w:val="auto"/>
          <w:kern w:val="0"/>
          <w:sz w:val="24"/>
          <w:highlight w:val="none"/>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pPr>
        <w:adjustRightInd w:val="0"/>
        <w:snapToGrid w:val="0"/>
        <w:spacing w:line="440" w:lineRule="exact"/>
        <w:ind w:firstLine="482"/>
        <w:rPr>
          <w:rFonts w:ascii="宋体" w:hAnsi="宋体"/>
          <w:b/>
          <w:snapToGrid w:val="0"/>
          <w:color w:val="auto"/>
          <w:kern w:val="0"/>
          <w:sz w:val="24"/>
          <w:highlight w:val="none"/>
        </w:rPr>
      </w:pPr>
      <w:r>
        <w:rPr>
          <w:rFonts w:hint="eastAsia" w:ascii="宋体" w:hAnsi="宋体"/>
          <w:b/>
          <w:snapToGrid w:val="0"/>
          <w:color w:val="auto"/>
          <w:kern w:val="0"/>
          <w:sz w:val="24"/>
          <w:highlight w:val="none"/>
        </w:rPr>
        <w:t>第一条</w:t>
      </w:r>
      <w:r>
        <w:rPr>
          <w:rFonts w:ascii="宋体" w:hAnsi="宋体"/>
          <w:b/>
          <w:snapToGrid w:val="0"/>
          <w:color w:val="auto"/>
          <w:kern w:val="0"/>
          <w:sz w:val="24"/>
          <w:highlight w:val="none"/>
        </w:rPr>
        <w:t xml:space="preserve"> </w:t>
      </w:r>
      <w:r>
        <w:rPr>
          <w:rFonts w:hint="eastAsia" w:ascii="宋体" w:hAnsi="宋体"/>
          <w:snapToGrid w:val="0"/>
          <w:color w:val="auto"/>
          <w:kern w:val="0"/>
          <w:sz w:val="24"/>
          <w:highlight w:val="none"/>
        </w:rPr>
        <w:t>甲、乙双方的责任</w:t>
      </w:r>
    </w:p>
    <w:p>
      <w:pPr>
        <w:adjustRightInd w:val="0"/>
        <w:snapToGrid w:val="0"/>
        <w:spacing w:line="440" w:lineRule="exact"/>
        <w:ind w:firstLine="482"/>
        <w:rPr>
          <w:rFonts w:ascii="宋体" w:hAnsi="宋体"/>
          <w:snapToGrid w:val="0"/>
          <w:color w:val="auto"/>
          <w:kern w:val="0"/>
          <w:sz w:val="24"/>
          <w:highlight w:val="none"/>
        </w:rPr>
      </w:pPr>
      <w:r>
        <w:rPr>
          <w:rFonts w:hint="eastAsia" w:ascii="宋体" w:hAnsi="宋体"/>
          <w:snapToGrid w:val="0"/>
          <w:color w:val="auto"/>
          <w:kern w:val="0"/>
          <w:sz w:val="24"/>
          <w:highlight w:val="none"/>
        </w:rPr>
        <w:t>（一）应严格遵守国家关于市场准入、项目招标投标、工程建设和市场活动等有关法律、法规、相关政策，以及廉政建设的各项规定。</w:t>
      </w:r>
    </w:p>
    <w:p>
      <w:pPr>
        <w:adjustRightInd w:val="0"/>
        <w:snapToGrid w:val="0"/>
        <w:spacing w:line="440" w:lineRule="exact"/>
        <w:ind w:firstLine="482"/>
        <w:rPr>
          <w:rFonts w:ascii="宋体" w:hAnsi="宋体"/>
          <w:snapToGrid w:val="0"/>
          <w:color w:val="auto"/>
          <w:kern w:val="0"/>
          <w:sz w:val="24"/>
          <w:highlight w:val="none"/>
        </w:rPr>
      </w:pPr>
      <w:r>
        <w:rPr>
          <w:rFonts w:hint="eastAsia" w:ascii="宋体" w:hAnsi="宋体"/>
          <w:snapToGrid w:val="0"/>
          <w:color w:val="auto"/>
          <w:kern w:val="0"/>
          <w:sz w:val="24"/>
          <w:highlight w:val="none"/>
        </w:rPr>
        <w:t>（二）严格执行建设工程项目承发包合同文件，自觉按合同办事。</w:t>
      </w:r>
    </w:p>
    <w:p>
      <w:pPr>
        <w:adjustRightInd w:val="0"/>
        <w:snapToGrid w:val="0"/>
        <w:spacing w:line="440" w:lineRule="exact"/>
        <w:ind w:firstLine="482"/>
        <w:rPr>
          <w:rFonts w:ascii="宋体" w:hAnsi="宋体"/>
          <w:snapToGrid w:val="0"/>
          <w:color w:val="auto"/>
          <w:kern w:val="0"/>
          <w:sz w:val="24"/>
          <w:highlight w:val="none"/>
        </w:rPr>
      </w:pPr>
      <w:r>
        <w:rPr>
          <w:rFonts w:hint="eastAsia" w:ascii="宋体" w:hAnsi="宋体"/>
          <w:snapToGrid w:val="0"/>
          <w:color w:val="auto"/>
          <w:kern w:val="0"/>
          <w:sz w:val="24"/>
          <w:highlight w:val="none"/>
        </w:rPr>
        <w:t>（三）业务活动必须坚持公开、公平、公正、诚信、透明的原则（除法律法规另有规定者外），不得为获取不正当的利益，损害国家、集体和对方利益，不得违反工程建设过程管理的规章制度。</w:t>
      </w:r>
    </w:p>
    <w:p>
      <w:pPr>
        <w:adjustRightInd w:val="0"/>
        <w:snapToGrid w:val="0"/>
        <w:spacing w:line="440" w:lineRule="exact"/>
        <w:ind w:firstLine="482"/>
        <w:rPr>
          <w:rFonts w:ascii="宋体" w:hAnsi="宋体"/>
          <w:snapToGrid w:val="0"/>
          <w:color w:val="auto"/>
          <w:kern w:val="0"/>
          <w:sz w:val="24"/>
          <w:highlight w:val="none"/>
        </w:rPr>
      </w:pPr>
      <w:r>
        <w:rPr>
          <w:rFonts w:hint="eastAsia" w:ascii="宋体" w:hAnsi="宋体"/>
          <w:snapToGrid w:val="0"/>
          <w:color w:val="auto"/>
          <w:kern w:val="0"/>
          <w:sz w:val="24"/>
          <w:highlight w:val="none"/>
        </w:rPr>
        <w:t>（四）发现对方在业务活动中有违规、违纪、违法行为的，应及时提醒对方，情节严重的，应向其上级主管部门或纪检监察、司法等有关机关举报。</w:t>
      </w:r>
    </w:p>
    <w:p>
      <w:pPr>
        <w:adjustRightInd w:val="0"/>
        <w:snapToGrid w:val="0"/>
        <w:spacing w:line="440" w:lineRule="exact"/>
        <w:ind w:firstLine="482"/>
        <w:rPr>
          <w:rFonts w:ascii="宋体" w:hAnsi="宋体"/>
          <w:snapToGrid w:val="0"/>
          <w:color w:val="auto"/>
          <w:kern w:val="0"/>
          <w:sz w:val="24"/>
          <w:highlight w:val="none"/>
        </w:rPr>
      </w:pPr>
      <w:r>
        <w:rPr>
          <w:rFonts w:hint="eastAsia" w:ascii="宋体" w:hAnsi="宋体"/>
          <w:b/>
          <w:snapToGrid w:val="0"/>
          <w:color w:val="auto"/>
          <w:kern w:val="0"/>
          <w:sz w:val="24"/>
          <w:highlight w:val="none"/>
        </w:rPr>
        <w:t>第二条</w:t>
      </w:r>
      <w:r>
        <w:rPr>
          <w:rFonts w:ascii="宋体" w:hAnsi="宋体"/>
          <w:b/>
          <w:snapToGrid w:val="0"/>
          <w:color w:val="auto"/>
          <w:kern w:val="0"/>
          <w:sz w:val="24"/>
          <w:highlight w:val="none"/>
        </w:rPr>
        <w:t xml:space="preserve"> </w:t>
      </w:r>
      <w:r>
        <w:rPr>
          <w:rFonts w:hint="eastAsia" w:ascii="宋体" w:hAnsi="宋体"/>
          <w:snapToGrid w:val="0"/>
          <w:color w:val="auto"/>
          <w:kern w:val="0"/>
          <w:sz w:val="24"/>
          <w:highlight w:val="none"/>
        </w:rPr>
        <w:t>甲方的责任</w:t>
      </w:r>
    </w:p>
    <w:p>
      <w:pPr>
        <w:adjustRightInd w:val="0"/>
        <w:snapToGrid w:val="0"/>
        <w:spacing w:line="440" w:lineRule="exact"/>
        <w:ind w:firstLine="482"/>
        <w:rPr>
          <w:rFonts w:ascii="宋体" w:hAnsi="宋体"/>
          <w:snapToGrid w:val="0"/>
          <w:color w:val="auto"/>
          <w:kern w:val="0"/>
          <w:sz w:val="24"/>
          <w:highlight w:val="none"/>
        </w:rPr>
      </w:pPr>
      <w:r>
        <w:rPr>
          <w:rFonts w:hint="eastAsia" w:ascii="宋体" w:hAnsi="宋体"/>
          <w:snapToGrid w:val="0"/>
          <w:color w:val="auto"/>
          <w:kern w:val="0"/>
          <w:sz w:val="24"/>
          <w:highlight w:val="none"/>
        </w:rPr>
        <w:t>甲方的领导和从事本建设工程项目的工作人员，在工程建设的事前、事中、事后应遵守以下规定：</w:t>
      </w:r>
    </w:p>
    <w:p>
      <w:pPr>
        <w:adjustRightInd w:val="0"/>
        <w:snapToGrid w:val="0"/>
        <w:spacing w:line="440" w:lineRule="exact"/>
        <w:ind w:firstLine="482"/>
        <w:rPr>
          <w:rFonts w:ascii="宋体" w:hAnsi="宋体"/>
          <w:snapToGrid w:val="0"/>
          <w:color w:val="auto"/>
          <w:kern w:val="0"/>
          <w:sz w:val="24"/>
          <w:highlight w:val="none"/>
        </w:rPr>
      </w:pPr>
      <w:r>
        <w:rPr>
          <w:rFonts w:hint="eastAsia" w:ascii="宋体" w:hAnsi="宋体"/>
          <w:snapToGrid w:val="0"/>
          <w:color w:val="auto"/>
          <w:kern w:val="0"/>
          <w:sz w:val="24"/>
          <w:highlight w:val="none"/>
        </w:rPr>
        <w:t>（一）不准向乙方和相关单位索要或接受回扣、礼金、有价证券、贵重物品和好处费、感谢费等。</w:t>
      </w:r>
    </w:p>
    <w:p>
      <w:pPr>
        <w:adjustRightInd w:val="0"/>
        <w:snapToGrid w:val="0"/>
        <w:spacing w:line="440" w:lineRule="exact"/>
        <w:ind w:firstLine="482"/>
        <w:rPr>
          <w:rFonts w:ascii="宋体" w:hAnsi="宋体"/>
          <w:snapToGrid w:val="0"/>
          <w:color w:val="auto"/>
          <w:kern w:val="0"/>
          <w:sz w:val="24"/>
          <w:highlight w:val="none"/>
        </w:rPr>
      </w:pPr>
      <w:r>
        <w:rPr>
          <w:rFonts w:hint="eastAsia" w:ascii="宋体" w:hAnsi="宋体"/>
          <w:snapToGrid w:val="0"/>
          <w:color w:val="auto"/>
          <w:kern w:val="0"/>
          <w:sz w:val="24"/>
          <w:highlight w:val="none"/>
        </w:rPr>
        <w:t>（二）不准在乙方和相关单位报销任何应由甲方或个人支付的费用。</w:t>
      </w:r>
    </w:p>
    <w:p>
      <w:pPr>
        <w:adjustRightInd w:val="0"/>
        <w:snapToGrid w:val="0"/>
        <w:spacing w:line="440" w:lineRule="exact"/>
        <w:ind w:firstLine="482"/>
        <w:rPr>
          <w:rFonts w:ascii="宋体" w:hAnsi="宋体"/>
          <w:snapToGrid w:val="0"/>
          <w:color w:val="auto"/>
          <w:kern w:val="0"/>
          <w:sz w:val="24"/>
          <w:highlight w:val="none"/>
        </w:rPr>
      </w:pPr>
      <w:r>
        <w:rPr>
          <w:rFonts w:hint="eastAsia" w:ascii="宋体" w:hAnsi="宋体"/>
          <w:snapToGrid w:val="0"/>
          <w:color w:val="auto"/>
          <w:kern w:val="0"/>
          <w:sz w:val="24"/>
          <w:highlight w:val="none"/>
        </w:rPr>
        <w:t>（三）不准要求、暗示或接受乙方和相关单位为个人装修住房、婚丧嫁娶、配偶子女的工作安排以及出国（境）、旅游等提供方便。</w:t>
      </w:r>
    </w:p>
    <w:p>
      <w:pPr>
        <w:adjustRightInd w:val="0"/>
        <w:snapToGrid w:val="0"/>
        <w:spacing w:line="440" w:lineRule="exact"/>
        <w:ind w:firstLine="482"/>
        <w:rPr>
          <w:rFonts w:ascii="宋体" w:hAnsi="宋体"/>
          <w:snapToGrid w:val="0"/>
          <w:color w:val="auto"/>
          <w:kern w:val="0"/>
          <w:sz w:val="24"/>
          <w:highlight w:val="none"/>
        </w:rPr>
      </w:pPr>
      <w:r>
        <w:rPr>
          <w:rFonts w:hint="eastAsia" w:ascii="宋体" w:hAnsi="宋体"/>
          <w:snapToGrid w:val="0"/>
          <w:color w:val="auto"/>
          <w:kern w:val="0"/>
          <w:sz w:val="24"/>
          <w:highlight w:val="none"/>
        </w:rPr>
        <w:t>（四）不准参加有可能影响公正执行公务的乙方及相关单位的宴请、健身、娱乐等活动。</w:t>
      </w:r>
    </w:p>
    <w:p>
      <w:pPr>
        <w:adjustRightInd w:val="0"/>
        <w:snapToGrid w:val="0"/>
        <w:spacing w:line="440" w:lineRule="exact"/>
        <w:ind w:firstLine="482"/>
        <w:rPr>
          <w:rFonts w:ascii="宋体" w:hAnsi="宋体"/>
          <w:snapToGrid w:val="0"/>
          <w:color w:val="auto"/>
          <w:kern w:val="0"/>
          <w:sz w:val="24"/>
          <w:highlight w:val="none"/>
        </w:rPr>
      </w:pPr>
      <w:r>
        <w:rPr>
          <w:rFonts w:hint="eastAsia" w:ascii="宋体" w:hAnsi="宋体"/>
          <w:snapToGrid w:val="0"/>
          <w:color w:val="auto"/>
          <w:kern w:val="0"/>
          <w:sz w:val="24"/>
          <w:highlight w:val="none"/>
        </w:rPr>
        <w:t>（五）不准向乙方介绍或为配偶、子女、亲属参与同甲方项目工程合同有关的设备、材料、工程分包、劳务等经济活动。不得以任何理由向乙方和相关单位推荐分包单位。</w:t>
      </w:r>
    </w:p>
    <w:p>
      <w:pPr>
        <w:adjustRightInd w:val="0"/>
        <w:snapToGrid w:val="0"/>
        <w:spacing w:line="440" w:lineRule="exact"/>
        <w:ind w:firstLine="482"/>
        <w:rPr>
          <w:rFonts w:ascii="宋体" w:hAnsi="宋体"/>
          <w:snapToGrid w:val="0"/>
          <w:color w:val="auto"/>
          <w:kern w:val="0"/>
          <w:sz w:val="24"/>
          <w:highlight w:val="none"/>
        </w:rPr>
      </w:pPr>
      <w:r>
        <w:rPr>
          <w:rFonts w:hint="eastAsia" w:ascii="宋体" w:hAnsi="宋体"/>
          <w:b/>
          <w:snapToGrid w:val="0"/>
          <w:color w:val="auto"/>
          <w:kern w:val="0"/>
          <w:sz w:val="24"/>
          <w:highlight w:val="none"/>
        </w:rPr>
        <w:t>第三条</w:t>
      </w:r>
      <w:r>
        <w:rPr>
          <w:rFonts w:ascii="宋体" w:hAnsi="宋体"/>
          <w:b/>
          <w:snapToGrid w:val="0"/>
          <w:color w:val="auto"/>
          <w:kern w:val="0"/>
          <w:sz w:val="24"/>
          <w:highlight w:val="none"/>
        </w:rPr>
        <w:t xml:space="preserve"> </w:t>
      </w:r>
      <w:r>
        <w:rPr>
          <w:rFonts w:hint="eastAsia" w:ascii="宋体" w:hAnsi="宋体"/>
          <w:snapToGrid w:val="0"/>
          <w:color w:val="auto"/>
          <w:kern w:val="0"/>
          <w:sz w:val="24"/>
          <w:highlight w:val="none"/>
        </w:rPr>
        <w:t>乙方的责任</w:t>
      </w:r>
    </w:p>
    <w:p>
      <w:pPr>
        <w:adjustRightInd w:val="0"/>
        <w:snapToGrid w:val="0"/>
        <w:spacing w:line="440" w:lineRule="exact"/>
        <w:ind w:firstLine="482"/>
        <w:rPr>
          <w:rFonts w:ascii="宋体" w:hAnsi="宋体"/>
          <w:snapToGrid w:val="0"/>
          <w:color w:val="auto"/>
          <w:kern w:val="0"/>
          <w:sz w:val="24"/>
          <w:highlight w:val="none"/>
        </w:rPr>
      </w:pPr>
      <w:r>
        <w:rPr>
          <w:rFonts w:hint="eastAsia" w:ascii="宋体" w:hAnsi="宋体"/>
          <w:snapToGrid w:val="0"/>
          <w:color w:val="auto"/>
          <w:kern w:val="0"/>
          <w:sz w:val="24"/>
          <w:highlight w:val="none"/>
        </w:rPr>
        <w:t>应与甲方保持正常的业务交往，按照有关法律法规和程序开展业务工作，严格执行工程建设过程管理的有关方针、政策，尤其是强制性标准和规范，并遵守以下规定：</w:t>
      </w:r>
    </w:p>
    <w:p>
      <w:pPr>
        <w:adjustRightInd w:val="0"/>
        <w:snapToGrid w:val="0"/>
        <w:spacing w:line="440" w:lineRule="exact"/>
        <w:ind w:firstLine="482"/>
        <w:rPr>
          <w:rFonts w:ascii="宋体" w:hAnsi="宋体"/>
          <w:snapToGrid w:val="0"/>
          <w:color w:val="auto"/>
          <w:kern w:val="0"/>
          <w:sz w:val="24"/>
          <w:highlight w:val="none"/>
        </w:rPr>
      </w:pPr>
      <w:r>
        <w:rPr>
          <w:rFonts w:hint="eastAsia" w:ascii="宋体" w:hAnsi="宋体"/>
          <w:snapToGrid w:val="0"/>
          <w:color w:val="auto"/>
          <w:kern w:val="0"/>
          <w:sz w:val="24"/>
          <w:highlight w:val="none"/>
        </w:rPr>
        <w:t>（一）不准以任何理由向甲方、相关单位及其工作人员索要、接受或赠送礼金、有价证券、贵重物品及回扣、好处费、感谢费等。</w:t>
      </w:r>
    </w:p>
    <w:p>
      <w:pPr>
        <w:adjustRightInd w:val="0"/>
        <w:snapToGrid w:val="0"/>
        <w:spacing w:line="440" w:lineRule="exact"/>
        <w:ind w:firstLine="482"/>
        <w:rPr>
          <w:rFonts w:ascii="宋体" w:hAnsi="宋体"/>
          <w:snapToGrid w:val="0"/>
          <w:color w:val="auto"/>
          <w:kern w:val="0"/>
          <w:sz w:val="24"/>
          <w:highlight w:val="none"/>
        </w:rPr>
      </w:pPr>
      <w:r>
        <w:rPr>
          <w:rFonts w:hint="eastAsia" w:ascii="宋体" w:hAnsi="宋体"/>
          <w:snapToGrid w:val="0"/>
          <w:color w:val="auto"/>
          <w:kern w:val="0"/>
          <w:sz w:val="24"/>
          <w:highlight w:val="none"/>
        </w:rPr>
        <w:t>（二）不准以任何理由为甲方和相关单位报销应由对方或个人支付的费用。</w:t>
      </w:r>
    </w:p>
    <w:p>
      <w:pPr>
        <w:adjustRightInd w:val="0"/>
        <w:snapToGrid w:val="0"/>
        <w:spacing w:line="440" w:lineRule="exact"/>
        <w:ind w:firstLine="482"/>
        <w:rPr>
          <w:rFonts w:ascii="宋体" w:hAnsi="宋体"/>
          <w:snapToGrid w:val="0"/>
          <w:color w:val="auto"/>
          <w:kern w:val="0"/>
          <w:sz w:val="24"/>
          <w:highlight w:val="none"/>
        </w:rPr>
      </w:pPr>
      <w:r>
        <w:rPr>
          <w:rFonts w:hint="eastAsia" w:ascii="宋体" w:hAnsi="宋体"/>
          <w:snapToGrid w:val="0"/>
          <w:color w:val="auto"/>
          <w:kern w:val="0"/>
          <w:sz w:val="24"/>
          <w:highlight w:val="none"/>
        </w:rPr>
        <w:t>（三）不准接受或暗示为甲方、相关单位或个人装修住房、婚丧嫁娶、配偶子女的工作安排以及出国（境）、旅游等提供方便。</w:t>
      </w:r>
    </w:p>
    <w:p>
      <w:pPr>
        <w:adjustRightInd w:val="0"/>
        <w:snapToGrid w:val="0"/>
        <w:spacing w:line="440" w:lineRule="exact"/>
        <w:ind w:firstLine="482"/>
        <w:rPr>
          <w:rFonts w:ascii="宋体" w:hAnsi="宋体"/>
          <w:snapToGrid w:val="0"/>
          <w:color w:val="auto"/>
          <w:kern w:val="0"/>
          <w:sz w:val="24"/>
          <w:highlight w:val="none"/>
        </w:rPr>
      </w:pPr>
      <w:r>
        <w:rPr>
          <w:rFonts w:hint="eastAsia" w:ascii="宋体" w:hAnsi="宋体"/>
          <w:snapToGrid w:val="0"/>
          <w:color w:val="auto"/>
          <w:kern w:val="0"/>
          <w:sz w:val="24"/>
          <w:highlight w:val="none"/>
        </w:rPr>
        <w:t>（四）不准以任何理由为甲方、相关单位或个人组织有可能影响公正执行公务的宴请、健身、娱乐等活动。</w:t>
      </w:r>
    </w:p>
    <w:p>
      <w:pPr>
        <w:adjustRightInd w:val="0"/>
        <w:snapToGrid w:val="0"/>
        <w:spacing w:line="440" w:lineRule="exact"/>
        <w:ind w:firstLine="482"/>
        <w:rPr>
          <w:rFonts w:ascii="宋体" w:hAnsi="宋体"/>
          <w:snapToGrid w:val="0"/>
          <w:color w:val="auto"/>
          <w:kern w:val="0"/>
          <w:sz w:val="24"/>
          <w:highlight w:val="none"/>
        </w:rPr>
      </w:pPr>
      <w:r>
        <w:rPr>
          <w:rFonts w:hint="eastAsia" w:ascii="宋体" w:hAnsi="宋体"/>
          <w:b/>
          <w:snapToGrid w:val="0"/>
          <w:color w:val="auto"/>
          <w:kern w:val="0"/>
          <w:sz w:val="24"/>
          <w:highlight w:val="none"/>
        </w:rPr>
        <w:t>第四条</w:t>
      </w:r>
      <w:r>
        <w:rPr>
          <w:rFonts w:ascii="宋体" w:hAnsi="宋体"/>
          <w:b/>
          <w:snapToGrid w:val="0"/>
          <w:color w:val="auto"/>
          <w:kern w:val="0"/>
          <w:sz w:val="24"/>
          <w:highlight w:val="none"/>
        </w:rPr>
        <w:t xml:space="preserve"> </w:t>
      </w:r>
      <w:r>
        <w:rPr>
          <w:rFonts w:hint="eastAsia" w:ascii="宋体" w:hAnsi="宋体"/>
          <w:snapToGrid w:val="0"/>
          <w:color w:val="auto"/>
          <w:kern w:val="0"/>
          <w:sz w:val="24"/>
          <w:highlight w:val="none"/>
        </w:rPr>
        <w:t>违约责任</w:t>
      </w:r>
    </w:p>
    <w:p>
      <w:pPr>
        <w:adjustRightInd w:val="0"/>
        <w:snapToGrid w:val="0"/>
        <w:spacing w:line="440" w:lineRule="exact"/>
        <w:ind w:firstLine="482"/>
        <w:rPr>
          <w:rFonts w:ascii="宋体" w:hAnsi="宋体"/>
          <w:snapToGrid w:val="0"/>
          <w:color w:val="auto"/>
          <w:kern w:val="0"/>
          <w:sz w:val="24"/>
          <w:highlight w:val="none"/>
        </w:rPr>
      </w:pPr>
      <w:r>
        <w:rPr>
          <w:rFonts w:hint="eastAsia" w:ascii="宋体" w:hAnsi="宋体"/>
          <w:snapToGrid w:val="0"/>
          <w:color w:val="auto"/>
          <w:kern w:val="0"/>
          <w:sz w:val="24"/>
          <w:highlight w:val="none"/>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pPr>
        <w:adjustRightInd w:val="0"/>
        <w:snapToGrid w:val="0"/>
        <w:spacing w:line="440" w:lineRule="exact"/>
        <w:ind w:firstLine="482"/>
        <w:rPr>
          <w:rFonts w:ascii="宋体" w:hAnsi="宋体"/>
          <w:snapToGrid w:val="0"/>
          <w:color w:val="auto"/>
          <w:kern w:val="0"/>
          <w:sz w:val="24"/>
          <w:highlight w:val="none"/>
        </w:rPr>
      </w:pPr>
      <w:r>
        <w:rPr>
          <w:rFonts w:hint="eastAsia" w:ascii="宋体" w:hAnsi="宋体"/>
          <w:snapToGrid w:val="0"/>
          <w:color w:val="auto"/>
          <w:kern w:val="0"/>
          <w:sz w:val="24"/>
          <w:highlight w:val="none"/>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pPr>
        <w:adjustRightInd w:val="0"/>
        <w:snapToGrid w:val="0"/>
        <w:spacing w:line="440" w:lineRule="exact"/>
        <w:ind w:firstLine="482"/>
        <w:rPr>
          <w:rFonts w:ascii="宋体" w:hAnsi="宋体"/>
          <w:b/>
          <w:snapToGrid w:val="0"/>
          <w:color w:val="auto"/>
          <w:kern w:val="0"/>
          <w:sz w:val="24"/>
          <w:highlight w:val="none"/>
        </w:rPr>
      </w:pPr>
      <w:r>
        <w:rPr>
          <w:rFonts w:hint="eastAsia" w:ascii="宋体" w:hAnsi="宋体"/>
          <w:b/>
          <w:snapToGrid w:val="0"/>
          <w:color w:val="auto"/>
          <w:kern w:val="0"/>
          <w:sz w:val="24"/>
          <w:highlight w:val="none"/>
        </w:rPr>
        <w:t>第五条</w:t>
      </w:r>
      <w:r>
        <w:rPr>
          <w:rFonts w:ascii="宋体" w:hAnsi="宋体"/>
          <w:b/>
          <w:snapToGrid w:val="0"/>
          <w:color w:val="auto"/>
          <w:kern w:val="0"/>
          <w:sz w:val="24"/>
          <w:highlight w:val="none"/>
        </w:rPr>
        <w:t xml:space="preserve"> </w:t>
      </w:r>
      <w:r>
        <w:rPr>
          <w:rFonts w:hint="eastAsia" w:ascii="宋体" w:hAnsi="宋体"/>
          <w:snapToGrid w:val="0"/>
          <w:color w:val="auto"/>
          <w:kern w:val="0"/>
          <w:sz w:val="24"/>
          <w:highlight w:val="none"/>
        </w:rPr>
        <w:t>本廉政责任书作为合同的附件，与合同具有同等法律效力。经双方签署后立即生效。</w:t>
      </w:r>
    </w:p>
    <w:p>
      <w:pPr>
        <w:adjustRightInd w:val="0"/>
        <w:snapToGrid w:val="0"/>
        <w:spacing w:line="440" w:lineRule="exact"/>
        <w:ind w:firstLine="482"/>
        <w:rPr>
          <w:rFonts w:ascii="宋体" w:hAnsi="宋体"/>
          <w:b/>
          <w:snapToGrid w:val="0"/>
          <w:color w:val="auto"/>
          <w:kern w:val="0"/>
          <w:sz w:val="24"/>
          <w:highlight w:val="none"/>
        </w:rPr>
      </w:pPr>
      <w:r>
        <w:rPr>
          <w:rFonts w:hint="eastAsia" w:ascii="宋体" w:hAnsi="宋体"/>
          <w:b/>
          <w:snapToGrid w:val="0"/>
          <w:color w:val="auto"/>
          <w:kern w:val="0"/>
          <w:sz w:val="24"/>
          <w:highlight w:val="none"/>
        </w:rPr>
        <w:t>第六条</w:t>
      </w:r>
      <w:r>
        <w:rPr>
          <w:rFonts w:ascii="宋体" w:hAnsi="宋体"/>
          <w:b/>
          <w:snapToGrid w:val="0"/>
          <w:color w:val="auto"/>
          <w:kern w:val="0"/>
          <w:sz w:val="24"/>
          <w:highlight w:val="none"/>
        </w:rPr>
        <w:t xml:space="preserve"> </w:t>
      </w:r>
      <w:r>
        <w:rPr>
          <w:rFonts w:hint="eastAsia" w:ascii="宋体" w:hAnsi="宋体"/>
          <w:snapToGrid w:val="0"/>
          <w:color w:val="auto"/>
          <w:kern w:val="0"/>
          <w:sz w:val="24"/>
          <w:highlight w:val="none"/>
        </w:rPr>
        <w:t>本廉政责任书的有效期与合同的有效期相同。</w:t>
      </w:r>
    </w:p>
    <w:p>
      <w:pPr>
        <w:adjustRightInd w:val="0"/>
        <w:snapToGrid w:val="0"/>
        <w:spacing w:line="440" w:lineRule="exact"/>
        <w:rPr>
          <w:rFonts w:ascii="宋体" w:hAnsi="宋体"/>
          <w:snapToGrid w:val="0"/>
          <w:color w:val="auto"/>
          <w:kern w:val="0"/>
          <w:sz w:val="24"/>
          <w:highlight w:val="none"/>
        </w:rPr>
      </w:pPr>
      <w:r>
        <w:rPr>
          <w:rFonts w:ascii="宋体" w:hAnsi="宋体"/>
          <w:snapToGrid w:val="0"/>
          <w:color w:val="auto"/>
          <w:kern w:val="0"/>
          <w:sz w:val="24"/>
          <w:highlight w:val="none"/>
        </w:rPr>
        <w:t xml:space="preserve">    </w:t>
      </w:r>
      <w:r>
        <w:rPr>
          <w:rFonts w:hint="eastAsia" w:ascii="宋体" w:hAnsi="宋体"/>
          <w:b/>
          <w:snapToGrid w:val="0"/>
          <w:color w:val="auto"/>
          <w:kern w:val="0"/>
          <w:sz w:val="24"/>
          <w:highlight w:val="none"/>
        </w:rPr>
        <w:t>第七条</w:t>
      </w:r>
      <w:r>
        <w:rPr>
          <w:rFonts w:ascii="宋体" w:hAnsi="宋体"/>
          <w:snapToGrid w:val="0"/>
          <w:color w:val="auto"/>
          <w:kern w:val="0"/>
          <w:sz w:val="24"/>
          <w:highlight w:val="none"/>
        </w:rPr>
        <w:t xml:space="preserve"> </w:t>
      </w:r>
      <w:r>
        <w:rPr>
          <w:rFonts w:hint="eastAsia" w:ascii="宋体" w:hAnsi="宋体"/>
          <w:snapToGrid w:val="0"/>
          <w:color w:val="auto"/>
          <w:kern w:val="0"/>
          <w:sz w:val="24"/>
          <w:highlight w:val="none"/>
        </w:rPr>
        <w:t>本廉政责任书一式十四份，</w:t>
      </w:r>
      <w:r>
        <w:rPr>
          <w:rFonts w:hint="eastAsia" w:ascii="宋体" w:hAnsi="宋体"/>
          <w:bCs/>
          <w:snapToGrid w:val="0"/>
          <w:color w:val="auto"/>
          <w:kern w:val="0"/>
          <w:sz w:val="24"/>
          <w:highlight w:val="none"/>
        </w:rPr>
        <w:t>甲方执十份，乙方执四份。</w:t>
      </w:r>
    </w:p>
    <w:p>
      <w:pPr>
        <w:rPr>
          <w:rFonts w:ascii="宋体" w:hAnsi="宋体"/>
          <w:color w:val="auto"/>
          <w:highlight w:val="none"/>
        </w:rPr>
      </w:pPr>
    </w:p>
    <w:p>
      <w:pPr>
        <w:spacing w:line="480" w:lineRule="auto"/>
        <w:ind w:firstLine="630" w:firstLineChars="300"/>
        <w:rPr>
          <w:rFonts w:ascii="宋体" w:hAnsi="宋体"/>
          <w:color w:val="auto"/>
          <w:highlight w:val="none"/>
        </w:rPr>
      </w:pPr>
      <w:r>
        <w:rPr>
          <w:rFonts w:hint="eastAsia" w:ascii="宋体" w:hAnsi="宋体"/>
          <w:color w:val="auto"/>
          <w:highlight w:val="none"/>
        </w:rPr>
        <w:t>甲方单位：（盖章）             乙方单位：（盖章）</w:t>
      </w:r>
    </w:p>
    <w:p>
      <w:pPr>
        <w:spacing w:line="480" w:lineRule="auto"/>
        <w:ind w:firstLine="630" w:firstLineChars="300"/>
        <w:rPr>
          <w:rFonts w:ascii="宋体" w:hAnsi="宋体"/>
          <w:color w:val="auto"/>
          <w:highlight w:val="none"/>
        </w:rPr>
      </w:pPr>
      <w:r>
        <w:rPr>
          <w:rFonts w:hint="eastAsia" w:ascii="宋体" w:hAnsi="宋体"/>
          <w:color w:val="auto"/>
          <w:highlight w:val="none"/>
        </w:rPr>
        <w:t>法定代表人：                 法定代表人：</w:t>
      </w:r>
    </w:p>
    <w:p>
      <w:pPr>
        <w:spacing w:line="480" w:lineRule="auto"/>
        <w:ind w:firstLine="630" w:firstLineChars="300"/>
        <w:rPr>
          <w:rFonts w:ascii="宋体" w:hAnsi="宋体"/>
          <w:color w:val="auto"/>
          <w:highlight w:val="none"/>
        </w:rPr>
      </w:pPr>
      <w:r>
        <w:rPr>
          <w:rFonts w:hint="eastAsia" w:ascii="宋体" w:hAnsi="宋体"/>
          <w:color w:val="auto"/>
          <w:highlight w:val="none"/>
        </w:rPr>
        <w:t>授权代表：                    授权代表：</w:t>
      </w:r>
    </w:p>
    <w:p>
      <w:pPr>
        <w:spacing w:line="480" w:lineRule="auto"/>
        <w:ind w:firstLine="630" w:firstLineChars="300"/>
        <w:rPr>
          <w:rFonts w:ascii="宋体" w:hAnsi="宋体"/>
          <w:color w:val="auto"/>
          <w:highlight w:val="none"/>
        </w:rPr>
      </w:pPr>
      <w:r>
        <w:rPr>
          <w:rFonts w:hint="eastAsia" w:ascii="宋体" w:hAnsi="宋体"/>
          <w:color w:val="auto"/>
          <w:highlight w:val="none"/>
        </w:rPr>
        <w:t>地址：                        地址：</w:t>
      </w:r>
    </w:p>
    <w:p>
      <w:pPr>
        <w:spacing w:line="480" w:lineRule="auto"/>
        <w:ind w:firstLine="630" w:firstLineChars="300"/>
        <w:rPr>
          <w:rFonts w:ascii="宋体" w:hAnsi="宋体"/>
          <w:color w:val="auto"/>
          <w:highlight w:val="none"/>
        </w:rPr>
      </w:pPr>
      <w:r>
        <w:rPr>
          <w:rFonts w:hint="eastAsia" w:ascii="宋体" w:hAnsi="宋体"/>
          <w:color w:val="auto"/>
          <w:highlight w:val="none"/>
        </w:rPr>
        <w:t>电话：                        电话：</w:t>
      </w:r>
    </w:p>
    <w:p>
      <w:pPr>
        <w:spacing w:line="480" w:lineRule="auto"/>
        <w:ind w:firstLine="1050" w:firstLineChars="500"/>
        <w:rPr>
          <w:rFonts w:ascii="宋体" w:hAnsi="宋体"/>
          <w:color w:val="auto"/>
          <w:highlight w:val="none"/>
        </w:rPr>
      </w:pPr>
      <w:r>
        <w:rPr>
          <w:rFonts w:hint="eastAsia" w:ascii="宋体" w:hAnsi="宋体"/>
          <w:color w:val="auto"/>
          <w:highlight w:val="none"/>
        </w:rPr>
        <w:t>年   月   日                  年   月   日</w:t>
      </w:r>
    </w:p>
    <w:p>
      <w:pPr>
        <w:widowControl/>
        <w:wordWrap w:val="0"/>
        <w:topLinePunct/>
        <w:adjustRightInd w:val="0"/>
        <w:snapToGrid w:val="0"/>
        <w:spacing w:line="480" w:lineRule="exact"/>
        <w:rPr>
          <w:rFonts w:hint="eastAsia" w:ascii="宋体" w:hAnsi="宋体"/>
          <w:b/>
          <w:color w:val="auto"/>
          <w:sz w:val="24"/>
          <w:highlight w:val="none"/>
        </w:rPr>
      </w:pPr>
    </w:p>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lang w:val="en-US" w:eastAsia="zh-CN"/>
        </w:rPr>
        <w:t>附件2：</w:t>
      </w:r>
      <w:r>
        <w:rPr>
          <w:rFonts w:ascii="宋体" w:hAnsi="宋体" w:eastAsia="宋体" w:cs="宋体"/>
          <w:color w:val="auto"/>
          <w:sz w:val="24"/>
          <w:szCs w:val="24"/>
          <w:highlight w:val="none"/>
        </w:rPr>
        <w:t>勘察单位投入人员架构表</w:t>
      </w:r>
    </w:p>
    <w:p>
      <w:pPr>
        <w:widowControl/>
        <w:wordWrap w:val="0"/>
        <w:topLinePunct/>
        <w:adjustRightInd w:val="0"/>
        <w:snapToGrid w:val="0"/>
        <w:spacing w:line="480" w:lineRule="exact"/>
        <w:jc w:val="center"/>
        <w:rPr>
          <w:rFonts w:ascii="宋体" w:hAnsi="宋体"/>
          <w:b/>
          <w:bCs/>
          <w:color w:val="auto"/>
          <w:sz w:val="36"/>
          <w:highlight w:val="none"/>
        </w:rPr>
      </w:pPr>
    </w:p>
    <w:p>
      <w:pPr>
        <w:widowControl/>
        <w:wordWrap w:val="0"/>
        <w:topLinePunct/>
        <w:adjustRightInd w:val="0"/>
        <w:snapToGrid w:val="0"/>
        <w:spacing w:line="480" w:lineRule="exact"/>
        <w:jc w:val="center"/>
        <w:rPr>
          <w:rFonts w:ascii="宋体" w:hAnsi="宋体"/>
          <w:b/>
          <w:bCs/>
          <w:color w:val="auto"/>
          <w:spacing w:val="110"/>
          <w:sz w:val="44"/>
          <w:szCs w:val="44"/>
          <w:highlight w:val="none"/>
        </w:rPr>
      </w:pPr>
      <w:r>
        <w:rPr>
          <w:rFonts w:hint="eastAsia" w:ascii="宋体" w:hAnsi="宋体"/>
          <w:b/>
          <w:bCs/>
          <w:color w:val="auto"/>
          <w:spacing w:val="110"/>
          <w:sz w:val="44"/>
          <w:szCs w:val="44"/>
          <w:highlight w:val="none"/>
        </w:rPr>
        <w:t>三、设计合同</w:t>
      </w:r>
    </w:p>
    <w:p>
      <w:pPr>
        <w:widowControl/>
        <w:wordWrap w:val="0"/>
        <w:topLinePunct/>
        <w:adjustRightInd w:val="0"/>
        <w:snapToGrid w:val="0"/>
        <w:spacing w:line="480" w:lineRule="exact"/>
        <w:jc w:val="center"/>
        <w:rPr>
          <w:rFonts w:ascii="宋体" w:hAnsi="宋体"/>
          <w:b/>
          <w:bCs/>
          <w:color w:val="auto"/>
          <w:spacing w:val="110"/>
          <w:sz w:val="72"/>
          <w:highlight w:val="none"/>
        </w:rPr>
      </w:pPr>
    </w:p>
    <w:p>
      <w:pPr>
        <w:widowControl/>
        <w:wordWrap w:val="0"/>
        <w:topLinePunct/>
        <w:adjustRightInd w:val="0"/>
        <w:snapToGrid w:val="0"/>
        <w:spacing w:line="480" w:lineRule="exact"/>
        <w:jc w:val="center"/>
        <w:rPr>
          <w:rFonts w:ascii="宋体" w:hAnsi="宋体"/>
          <w:color w:val="auto"/>
          <w:highlight w:val="none"/>
        </w:rPr>
      </w:pPr>
    </w:p>
    <w:p>
      <w:pPr>
        <w:widowControl/>
        <w:wordWrap w:val="0"/>
        <w:topLinePunct/>
        <w:adjustRightInd w:val="0"/>
        <w:snapToGrid w:val="0"/>
        <w:spacing w:line="480" w:lineRule="exact"/>
        <w:jc w:val="center"/>
        <w:rPr>
          <w:rFonts w:ascii="宋体" w:hAnsi="宋体"/>
          <w:color w:val="auto"/>
          <w:highlight w:val="none"/>
        </w:rPr>
      </w:pPr>
    </w:p>
    <w:p>
      <w:pPr>
        <w:widowControl/>
        <w:wordWrap w:val="0"/>
        <w:topLinePunct/>
        <w:adjustRightInd w:val="0"/>
        <w:snapToGrid w:val="0"/>
        <w:spacing w:line="480" w:lineRule="exact"/>
        <w:jc w:val="center"/>
        <w:rPr>
          <w:rFonts w:ascii="宋体" w:hAnsi="宋体"/>
          <w:color w:val="auto"/>
          <w:highlight w:val="none"/>
        </w:rPr>
      </w:pPr>
    </w:p>
    <w:p>
      <w:pPr>
        <w:widowControl/>
        <w:wordWrap w:val="0"/>
        <w:topLinePunct/>
        <w:adjustRightInd w:val="0"/>
        <w:snapToGrid w:val="0"/>
        <w:spacing w:line="480" w:lineRule="exact"/>
        <w:jc w:val="center"/>
        <w:rPr>
          <w:rFonts w:ascii="宋体" w:hAnsi="宋体"/>
          <w:color w:val="auto"/>
          <w:highlight w:val="none"/>
        </w:rPr>
      </w:pPr>
    </w:p>
    <w:p>
      <w:pPr>
        <w:widowControl/>
        <w:wordWrap w:val="0"/>
        <w:topLinePunct/>
        <w:adjustRightInd w:val="0"/>
        <w:snapToGrid w:val="0"/>
        <w:spacing w:line="480" w:lineRule="exact"/>
        <w:jc w:val="center"/>
        <w:rPr>
          <w:rFonts w:ascii="宋体" w:hAnsi="宋体"/>
          <w:color w:val="auto"/>
          <w:highlight w:val="none"/>
        </w:rPr>
      </w:pPr>
    </w:p>
    <w:tbl>
      <w:tblPr>
        <w:tblStyle w:val="38"/>
        <w:tblW w:w="0" w:type="auto"/>
        <w:jc w:val="center"/>
        <w:tblLayout w:type="fixed"/>
        <w:tblCellMar>
          <w:top w:w="0" w:type="dxa"/>
          <w:left w:w="108" w:type="dxa"/>
          <w:bottom w:w="0" w:type="dxa"/>
          <w:right w:w="108" w:type="dxa"/>
        </w:tblCellMar>
      </w:tblPr>
      <w:tblGrid>
        <w:gridCol w:w="2093"/>
        <w:gridCol w:w="4819"/>
      </w:tblGrid>
      <w:tr>
        <w:tblPrEx>
          <w:tblCellMar>
            <w:top w:w="0" w:type="dxa"/>
            <w:left w:w="108" w:type="dxa"/>
            <w:bottom w:w="0" w:type="dxa"/>
            <w:right w:w="108" w:type="dxa"/>
          </w:tblCellMar>
        </w:tblPrEx>
        <w:trPr>
          <w:trHeight w:val="1021" w:hRule="atLeast"/>
          <w:jc w:val="center"/>
        </w:trPr>
        <w:tc>
          <w:tcPr>
            <w:tcW w:w="2093" w:type="dxa"/>
            <w:vAlign w:val="center"/>
          </w:tcPr>
          <w:p>
            <w:pPr>
              <w:widowControl/>
              <w:topLinePunct/>
              <w:adjustRightInd w:val="0"/>
              <w:snapToGrid w:val="0"/>
              <w:spacing w:line="480" w:lineRule="exact"/>
              <w:rPr>
                <w:rFonts w:ascii="宋体" w:hAnsi="宋体"/>
                <w:color w:val="auto"/>
                <w:highlight w:val="none"/>
              </w:rPr>
            </w:pPr>
            <w:r>
              <w:rPr>
                <w:rFonts w:hint="eastAsia" w:ascii="宋体" w:hAnsi="宋体"/>
                <w:color w:val="auto"/>
                <w:sz w:val="28"/>
                <w:highlight w:val="none"/>
              </w:rPr>
              <w:t>工程名称：</w:t>
            </w:r>
          </w:p>
        </w:tc>
        <w:tc>
          <w:tcPr>
            <w:tcW w:w="4819" w:type="dxa"/>
            <w:vAlign w:val="center"/>
          </w:tcPr>
          <w:p>
            <w:pPr>
              <w:widowControl/>
              <w:wordWrap w:val="0"/>
              <w:topLinePunct/>
              <w:adjustRightInd w:val="0"/>
              <w:snapToGrid w:val="0"/>
              <w:spacing w:line="480" w:lineRule="exact"/>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w:t>
            </w:r>
          </w:p>
        </w:tc>
      </w:tr>
      <w:tr>
        <w:tblPrEx>
          <w:tblCellMar>
            <w:top w:w="0" w:type="dxa"/>
            <w:left w:w="108" w:type="dxa"/>
            <w:bottom w:w="0" w:type="dxa"/>
            <w:right w:w="108" w:type="dxa"/>
          </w:tblCellMar>
        </w:tblPrEx>
        <w:trPr>
          <w:trHeight w:val="1021" w:hRule="atLeast"/>
          <w:jc w:val="center"/>
        </w:trPr>
        <w:tc>
          <w:tcPr>
            <w:tcW w:w="2093" w:type="dxa"/>
            <w:vAlign w:val="center"/>
          </w:tcPr>
          <w:p>
            <w:pPr>
              <w:widowControl/>
              <w:wordWrap w:val="0"/>
              <w:topLinePunct/>
              <w:adjustRightInd w:val="0"/>
              <w:snapToGrid w:val="0"/>
              <w:spacing w:line="480" w:lineRule="exact"/>
              <w:rPr>
                <w:rFonts w:ascii="宋体" w:hAnsi="宋体"/>
                <w:color w:val="auto"/>
                <w:highlight w:val="none"/>
              </w:rPr>
            </w:pPr>
            <w:r>
              <w:rPr>
                <w:rFonts w:hint="eastAsia" w:ascii="宋体" w:hAnsi="宋体"/>
                <w:color w:val="auto"/>
                <w:sz w:val="28"/>
                <w:highlight w:val="none"/>
              </w:rPr>
              <w:t>工程地点:</w:t>
            </w:r>
          </w:p>
        </w:tc>
        <w:tc>
          <w:tcPr>
            <w:tcW w:w="4819" w:type="dxa"/>
            <w:vAlign w:val="center"/>
          </w:tcPr>
          <w:p>
            <w:pPr>
              <w:widowControl/>
              <w:wordWrap w:val="0"/>
              <w:topLinePunct/>
              <w:adjustRightInd w:val="0"/>
              <w:snapToGrid w:val="0"/>
              <w:spacing w:line="480" w:lineRule="exact"/>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w:t>
            </w:r>
          </w:p>
        </w:tc>
      </w:tr>
      <w:tr>
        <w:tblPrEx>
          <w:tblCellMar>
            <w:top w:w="0" w:type="dxa"/>
            <w:left w:w="108" w:type="dxa"/>
            <w:bottom w:w="0" w:type="dxa"/>
            <w:right w:w="108" w:type="dxa"/>
          </w:tblCellMar>
        </w:tblPrEx>
        <w:trPr>
          <w:trHeight w:val="1021" w:hRule="atLeast"/>
          <w:jc w:val="center"/>
        </w:trPr>
        <w:tc>
          <w:tcPr>
            <w:tcW w:w="2093" w:type="dxa"/>
            <w:vAlign w:val="center"/>
          </w:tcPr>
          <w:p>
            <w:pPr>
              <w:widowControl/>
              <w:wordWrap w:val="0"/>
              <w:topLinePunct/>
              <w:adjustRightInd w:val="0"/>
              <w:snapToGrid w:val="0"/>
              <w:spacing w:line="480" w:lineRule="exact"/>
              <w:rPr>
                <w:rFonts w:ascii="宋体" w:hAnsi="宋体"/>
                <w:color w:val="auto"/>
                <w:sz w:val="28"/>
                <w:highlight w:val="none"/>
              </w:rPr>
            </w:pPr>
            <w:r>
              <w:rPr>
                <w:rFonts w:hint="eastAsia" w:ascii="宋体" w:hAnsi="宋体"/>
                <w:color w:val="auto"/>
                <w:sz w:val="28"/>
                <w:highlight w:val="none"/>
              </w:rPr>
              <w:t>合同编号：</w:t>
            </w:r>
          </w:p>
          <w:p>
            <w:pPr>
              <w:widowControl/>
              <w:wordWrap w:val="0"/>
              <w:topLinePunct/>
              <w:adjustRightInd w:val="0"/>
              <w:snapToGrid w:val="0"/>
              <w:spacing w:line="480" w:lineRule="exact"/>
              <w:rPr>
                <w:rFonts w:ascii="宋体" w:hAnsi="宋体"/>
                <w:color w:val="auto"/>
                <w:sz w:val="18"/>
                <w:szCs w:val="18"/>
                <w:highlight w:val="none"/>
              </w:rPr>
            </w:pPr>
            <w:r>
              <w:rPr>
                <w:rFonts w:hint="eastAsia" w:ascii="宋体" w:hAnsi="宋体"/>
                <w:color w:val="auto"/>
                <w:sz w:val="18"/>
                <w:szCs w:val="18"/>
                <w:highlight w:val="none"/>
              </w:rPr>
              <w:t>（由设计人编填）</w:t>
            </w:r>
          </w:p>
        </w:tc>
        <w:tc>
          <w:tcPr>
            <w:tcW w:w="4819" w:type="dxa"/>
            <w:vAlign w:val="center"/>
          </w:tcPr>
          <w:p>
            <w:pPr>
              <w:widowControl/>
              <w:wordWrap w:val="0"/>
              <w:topLinePunct/>
              <w:adjustRightInd w:val="0"/>
              <w:snapToGrid w:val="0"/>
              <w:spacing w:line="480" w:lineRule="exact"/>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w:t>
            </w:r>
          </w:p>
        </w:tc>
      </w:tr>
      <w:tr>
        <w:tblPrEx>
          <w:tblCellMar>
            <w:top w:w="0" w:type="dxa"/>
            <w:left w:w="108" w:type="dxa"/>
            <w:bottom w:w="0" w:type="dxa"/>
            <w:right w:w="108" w:type="dxa"/>
          </w:tblCellMar>
        </w:tblPrEx>
        <w:trPr>
          <w:trHeight w:val="1021" w:hRule="atLeast"/>
          <w:jc w:val="center"/>
        </w:trPr>
        <w:tc>
          <w:tcPr>
            <w:tcW w:w="2093" w:type="dxa"/>
            <w:vAlign w:val="center"/>
          </w:tcPr>
          <w:p>
            <w:pPr>
              <w:widowControl/>
              <w:wordWrap w:val="0"/>
              <w:topLinePunct/>
              <w:adjustRightInd w:val="0"/>
              <w:snapToGrid w:val="0"/>
              <w:spacing w:line="480" w:lineRule="exact"/>
              <w:rPr>
                <w:rFonts w:ascii="宋体" w:hAnsi="宋体"/>
                <w:color w:val="auto"/>
                <w:highlight w:val="none"/>
              </w:rPr>
            </w:pPr>
            <w:r>
              <w:rPr>
                <w:rFonts w:hint="eastAsia" w:ascii="宋体" w:hAnsi="宋体"/>
                <w:color w:val="auto"/>
                <w:sz w:val="28"/>
                <w:highlight w:val="none"/>
              </w:rPr>
              <w:t>设计证书等级：</w:t>
            </w:r>
          </w:p>
        </w:tc>
        <w:tc>
          <w:tcPr>
            <w:tcW w:w="4819" w:type="dxa"/>
            <w:vAlign w:val="center"/>
          </w:tcPr>
          <w:p>
            <w:pPr>
              <w:widowControl/>
              <w:wordWrap w:val="0"/>
              <w:topLinePunct/>
              <w:adjustRightInd w:val="0"/>
              <w:snapToGrid w:val="0"/>
              <w:spacing w:line="480" w:lineRule="exact"/>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w:t>
            </w:r>
          </w:p>
        </w:tc>
      </w:tr>
      <w:tr>
        <w:tblPrEx>
          <w:tblCellMar>
            <w:top w:w="0" w:type="dxa"/>
            <w:left w:w="108" w:type="dxa"/>
            <w:bottom w:w="0" w:type="dxa"/>
            <w:right w:w="108" w:type="dxa"/>
          </w:tblCellMar>
        </w:tblPrEx>
        <w:trPr>
          <w:trHeight w:val="1021" w:hRule="atLeast"/>
          <w:jc w:val="center"/>
        </w:trPr>
        <w:tc>
          <w:tcPr>
            <w:tcW w:w="2093" w:type="dxa"/>
            <w:vAlign w:val="center"/>
          </w:tcPr>
          <w:p>
            <w:pPr>
              <w:widowControl/>
              <w:wordWrap w:val="0"/>
              <w:topLinePunct/>
              <w:adjustRightInd w:val="0"/>
              <w:snapToGrid w:val="0"/>
              <w:spacing w:line="480" w:lineRule="exact"/>
              <w:rPr>
                <w:rFonts w:ascii="宋体" w:hAnsi="宋体"/>
                <w:color w:val="auto"/>
                <w:highlight w:val="none"/>
              </w:rPr>
            </w:pPr>
            <w:r>
              <w:rPr>
                <w:rFonts w:hint="eastAsia" w:ascii="宋体" w:hAnsi="宋体"/>
                <w:color w:val="auto"/>
                <w:sz w:val="28"/>
                <w:highlight w:val="none"/>
              </w:rPr>
              <w:t>发包人：</w:t>
            </w:r>
          </w:p>
        </w:tc>
        <w:tc>
          <w:tcPr>
            <w:tcW w:w="4819" w:type="dxa"/>
            <w:vAlign w:val="center"/>
          </w:tcPr>
          <w:p>
            <w:pPr>
              <w:widowControl/>
              <w:wordWrap w:val="0"/>
              <w:topLinePunct/>
              <w:adjustRightInd w:val="0"/>
              <w:snapToGrid w:val="0"/>
              <w:spacing w:line="480" w:lineRule="exact"/>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w:t>
            </w:r>
          </w:p>
        </w:tc>
      </w:tr>
      <w:tr>
        <w:tblPrEx>
          <w:tblCellMar>
            <w:top w:w="0" w:type="dxa"/>
            <w:left w:w="108" w:type="dxa"/>
            <w:bottom w:w="0" w:type="dxa"/>
            <w:right w:w="108" w:type="dxa"/>
          </w:tblCellMar>
        </w:tblPrEx>
        <w:trPr>
          <w:trHeight w:val="1021" w:hRule="atLeast"/>
          <w:jc w:val="center"/>
        </w:trPr>
        <w:tc>
          <w:tcPr>
            <w:tcW w:w="2093" w:type="dxa"/>
            <w:vAlign w:val="center"/>
          </w:tcPr>
          <w:p>
            <w:pPr>
              <w:widowControl/>
              <w:wordWrap w:val="0"/>
              <w:topLinePunct/>
              <w:adjustRightInd w:val="0"/>
              <w:snapToGrid w:val="0"/>
              <w:spacing w:line="480" w:lineRule="exact"/>
              <w:rPr>
                <w:rFonts w:ascii="宋体" w:hAnsi="宋体"/>
                <w:color w:val="auto"/>
                <w:highlight w:val="none"/>
              </w:rPr>
            </w:pPr>
            <w:r>
              <w:rPr>
                <w:rFonts w:hint="eastAsia" w:ascii="宋体" w:hAnsi="宋体"/>
                <w:color w:val="auto"/>
                <w:sz w:val="28"/>
                <w:highlight w:val="none"/>
              </w:rPr>
              <w:t>设计人：</w:t>
            </w:r>
          </w:p>
        </w:tc>
        <w:tc>
          <w:tcPr>
            <w:tcW w:w="4819" w:type="dxa"/>
            <w:vAlign w:val="center"/>
          </w:tcPr>
          <w:p>
            <w:pPr>
              <w:widowControl/>
              <w:wordWrap w:val="0"/>
              <w:topLinePunct/>
              <w:adjustRightInd w:val="0"/>
              <w:snapToGrid w:val="0"/>
              <w:spacing w:line="480" w:lineRule="exact"/>
              <w:rPr>
                <w:rFonts w:ascii="宋体" w:hAnsi="宋体"/>
                <w:color w:val="auto"/>
                <w:highlight w:val="none"/>
              </w:rPr>
            </w:pPr>
            <w:r>
              <w:rPr>
                <w:rFonts w:hint="eastAsia" w:ascii="宋体" w:hAnsi="宋体"/>
                <w:color w:val="auto"/>
                <w:highlight w:val="none"/>
                <w:u w:val="single"/>
              </w:rPr>
              <w:t xml:space="preserve">                                       </w:t>
            </w:r>
            <w:r>
              <w:rPr>
                <w:rFonts w:hint="eastAsia" w:ascii="宋体" w:hAnsi="宋体"/>
                <w:color w:val="auto"/>
                <w:highlight w:val="none"/>
              </w:rPr>
              <w:t>。</w:t>
            </w:r>
          </w:p>
        </w:tc>
      </w:tr>
    </w:tbl>
    <w:p>
      <w:pPr>
        <w:widowControl/>
        <w:wordWrap w:val="0"/>
        <w:topLinePunct/>
        <w:adjustRightInd w:val="0"/>
        <w:snapToGrid w:val="0"/>
        <w:spacing w:line="480" w:lineRule="exact"/>
        <w:rPr>
          <w:rFonts w:ascii="宋体" w:hAnsi="宋体"/>
          <w:b/>
          <w:bCs/>
          <w:color w:val="auto"/>
          <w:spacing w:val="110"/>
          <w:sz w:val="72"/>
          <w:highlight w:val="none"/>
        </w:rPr>
      </w:pPr>
    </w:p>
    <w:p>
      <w:pPr>
        <w:widowControl/>
        <w:wordWrap w:val="0"/>
        <w:topLinePunct/>
        <w:adjustRightInd w:val="0"/>
        <w:snapToGrid w:val="0"/>
        <w:spacing w:line="480" w:lineRule="exact"/>
        <w:rPr>
          <w:rFonts w:ascii="宋体" w:hAnsi="宋体"/>
          <w:color w:val="auto"/>
          <w:sz w:val="24"/>
          <w:highlight w:val="none"/>
          <w:u w:val="single"/>
        </w:rPr>
      </w:pPr>
      <w:r>
        <w:rPr>
          <w:rFonts w:ascii="宋体" w:hAnsi="宋体"/>
          <w:color w:val="auto"/>
          <w:sz w:val="24"/>
          <w:highlight w:val="none"/>
        </w:rPr>
        <w:br w:type="page"/>
      </w:r>
      <w:r>
        <w:rPr>
          <w:rFonts w:hint="eastAsia" w:ascii="宋体" w:hAnsi="宋体"/>
          <w:b/>
          <w:color w:val="auto"/>
          <w:sz w:val="24"/>
          <w:highlight w:val="none"/>
        </w:rPr>
        <w:t>发包人：</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widowControl/>
        <w:wordWrap w:val="0"/>
        <w:topLinePunct/>
        <w:adjustRightInd w:val="0"/>
        <w:snapToGrid w:val="0"/>
        <w:spacing w:line="480" w:lineRule="exact"/>
        <w:rPr>
          <w:rFonts w:ascii="宋体" w:hAnsi="宋体"/>
          <w:color w:val="auto"/>
          <w:sz w:val="24"/>
          <w:highlight w:val="none"/>
        </w:rPr>
      </w:pPr>
      <w:r>
        <w:rPr>
          <w:rFonts w:hint="eastAsia" w:ascii="宋体" w:hAnsi="宋体"/>
          <w:b/>
          <w:color w:val="auto"/>
          <w:sz w:val="24"/>
          <w:highlight w:val="none"/>
        </w:rPr>
        <w:t>设计人：</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发包人委托设计人承担</w:t>
      </w:r>
      <w:r>
        <w:rPr>
          <w:rFonts w:hint="eastAsia" w:ascii="宋体" w:hAnsi="宋体"/>
          <w:color w:val="auto"/>
          <w:sz w:val="24"/>
          <w:highlight w:val="none"/>
          <w:u w:val="single"/>
        </w:rPr>
        <w:t xml:space="preserve">     </w:t>
      </w:r>
      <w:r>
        <w:rPr>
          <w:rFonts w:hint="eastAsia" w:ascii="宋体" w:hAnsi="宋体"/>
          <w:color w:val="auto"/>
          <w:sz w:val="24"/>
          <w:highlight w:val="none"/>
        </w:rPr>
        <w:t>设计工作。依照《中华人民共和国民法典》、《中华人民共和国建筑法》及其他有关法律、行政法规，遵循平等、自愿、公平和诚实信用的原则，经双方协商一致，订立本合同。</w:t>
      </w:r>
    </w:p>
    <w:p>
      <w:pPr>
        <w:widowControl/>
        <w:wordWrap w:val="0"/>
        <w:topLinePunct/>
        <w:adjustRightInd w:val="0"/>
        <w:snapToGrid w:val="0"/>
        <w:spacing w:line="480" w:lineRule="exact"/>
        <w:ind w:firstLine="307" w:firstLineChars="128"/>
        <w:outlineLvl w:val="4"/>
        <w:rPr>
          <w:rFonts w:ascii="宋体" w:hAnsi="宋体"/>
          <w:b/>
          <w:bCs/>
          <w:color w:val="auto"/>
          <w:sz w:val="24"/>
          <w:highlight w:val="none"/>
        </w:rPr>
      </w:pPr>
      <w:r>
        <w:rPr>
          <w:rFonts w:hint="eastAsia" w:ascii="宋体" w:hAnsi="宋体"/>
          <w:b/>
          <w:bCs/>
          <w:color w:val="auto"/>
          <w:sz w:val="24"/>
          <w:highlight w:val="none"/>
        </w:rPr>
        <w:t>第一条 本合同签订依据</w:t>
      </w:r>
    </w:p>
    <w:p>
      <w:pPr>
        <w:widowControl/>
        <w:tabs>
          <w:tab w:val="left" w:pos="-3060"/>
        </w:tabs>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1.1中华人民共和国的法律、法规、司法解释、部门规章、地方性法规、广东省、广州市、广州开发区、广州市黄埔区现行有关法律、法规和相关的工程设计技术规范、规定及标准；</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1.2发包人提供的设计任务书；</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1.3本项目的立项批复文件；</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1.4发包人提供的规划建设主管部门对本项目的规划设计要点；</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1.5发包人提供的本项目基础资料；</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1.6合同双方签署的本合同及一切附件和补充文件；</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1.7设计和建设过程中的政府审批意见，政府或发包人委托或组织的评分机构（会议）提出的及发包人发出的阶段性书面意见，双方来往的各类书面文件、会议纪要等；</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1.8设计中标通知书；</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1.9招标文件；</w:t>
      </w:r>
    </w:p>
    <w:p>
      <w:pPr>
        <w:widowControl/>
        <w:wordWrap w:val="0"/>
        <w:topLinePunct/>
        <w:adjustRightInd w:val="0"/>
        <w:snapToGrid w:val="0"/>
        <w:spacing w:line="480" w:lineRule="exact"/>
        <w:ind w:firstLine="480" w:firstLineChars="200"/>
        <w:rPr>
          <w:rFonts w:ascii="宋体" w:hAnsi="宋体"/>
          <w:b/>
          <w:color w:val="auto"/>
          <w:sz w:val="24"/>
          <w:highlight w:val="none"/>
          <w:shd w:val="pct10" w:color="auto" w:fill="FFFFFF"/>
        </w:rPr>
      </w:pPr>
      <w:r>
        <w:rPr>
          <w:rFonts w:hint="eastAsia" w:ascii="宋体" w:hAnsi="宋体"/>
          <w:color w:val="auto"/>
          <w:sz w:val="24"/>
          <w:highlight w:val="none"/>
        </w:rPr>
        <w:t>1.10设计人参加投标的方案，以及评标委员会的意见、发包人提出的修改意见，使用权属于发包人的其他投标方案。</w:t>
      </w:r>
    </w:p>
    <w:p>
      <w:pPr>
        <w:widowControl/>
        <w:wordWrap w:val="0"/>
        <w:topLinePunct/>
        <w:adjustRightInd w:val="0"/>
        <w:snapToGrid w:val="0"/>
        <w:spacing w:line="480" w:lineRule="exact"/>
        <w:ind w:firstLine="307" w:firstLineChars="128"/>
        <w:outlineLvl w:val="4"/>
        <w:rPr>
          <w:rFonts w:ascii="宋体" w:hAnsi="宋体"/>
          <w:b/>
          <w:bCs/>
          <w:color w:val="auto"/>
          <w:sz w:val="24"/>
          <w:highlight w:val="none"/>
        </w:rPr>
      </w:pPr>
      <w:r>
        <w:rPr>
          <w:rFonts w:hint="eastAsia" w:ascii="宋体" w:hAnsi="宋体"/>
          <w:b/>
          <w:bCs/>
          <w:color w:val="auto"/>
          <w:sz w:val="24"/>
          <w:highlight w:val="none"/>
        </w:rPr>
        <w:t>第二条 合同文件的优先次序</w:t>
      </w:r>
    </w:p>
    <w:p>
      <w:pPr>
        <w:widowControl/>
        <w:wordWrap w:val="0"/>
        <w:topLinePunct/>
        <w:adjustRightInd w:val="0"/>
        <w:snapToGrid w:val="0"/>
        <w:spacing w:line="480" w:lineRule="exact"/>
        <w:ind w:firstLine="482"/>
        <w:rPr>
          <w:rFonts w:ascii="宋体" w:hAnsi="宋体"/>
          <w:color w:val="auto"/>
          <w:sz w:val="24"/>
          <w:highlight w:val="none"/>
        </w:rPr>
      </w:pPr>
      <w:r>
        <w:rPr>
          <w:rFonts w:hint="eastAsia" w:ascii="宋体" w:hAnsi="宋体"/>
          <w:color w:val="auto"/>
          <w:sz w:val="24"/>
          <w:highlight w:val="none"/>
        </w:rPr>
        <w:t>下列文件应被认为是组成本合同的一部分，并互为补充和解释，如上述部分存在冲突之处，以如下先后排列次序为优先：</w:t>
      </w:r>
    </w:p>
    <w:p>
      <w:pPr>
        <w:widowControl/>
        <w:wordWrap w:val="0"/>
        <w:topLinePunct/>
        <w:adjustRightInd w:val="0"/>
        <w:snapToGrid w:val="0"/>
        <w:spacing w:line="480" w:lineRule="exact"/>
        <w:ind w:firstLine="482"/>
        <w:rPr>
          <w:rFonts w:ascii="宋体" w:hAnsi="宋体"/>
          <w:color w:val="auto"/>
          <w:sz w:val="24"/>
          <w:highlight w:val="none"/>
        </w:rPr>
      </w:pPr>
      <w:r>
        <w:rPr>
          <w:rFonts w:hint="eastAsia" w:ascii="宋体" w:hAnsi="宋体"/>
          <w:color w:val="auto"/>
          <w:sz w:val="24"/>
          <w:highlight w:val="none"/>
        </w:rPr>
        <w:t>2.1广东省、广州市人民政府及广州开发区管委会（或黄埔区人民政府）关于本项目的有关文件；</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2.2合同实施期间双方签订的合同补充或修正文件；</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2.3合同条款；</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2.4中标通知书；</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2.5招标文件的问题澄清；</w:t>
      </w:r>
    </w:p>
    <w:p>
      <w:pPr>
        <w:widowControl/>
        <w:wordWrap w:val="0"/>
        <w:topLinePunct/>
        <w:adjustRightInd w:val="0"/>
        <w:snapToGrid w:val="0"/>
        <w:spacing w:line="480" w:lineRule="exact"/>
        <w:ind w:firstLine="482"/>
        <w:rPr>
          <w:rFonts w:ascii="宋体" w:hAnsi="宋体"/>
          <w:color w:val="auto"/>
          <w:sz w:val="24"/>
          <w:highlight w:val="none"/>
        </w:rPr>
      </w:pPr>
      <w:r>
        <w:rPr>
          <w:rFonts w:hint="eastAsia" w:ascii="宋体" w:hAnsi="宋体"/>
          <w:color w:val="auto"/>
          <w:sz w:val="24"/>
          <w:highlight w:val="none"/>
        </w:rPr>
        <w:t>2.6投标文件的问题澄清；</w:t>
      </w:r>
    </w:p>
    <w:p>
      <w:pPr>
        <w:widowControl/>
        <w:wordWrap w:val="0"/>
        <w:topLinePunct/>
        <w:adjustRightInd w:val="0"/>
        <w:snapToGrid w:val="0"/>
        <w:spacing w:line="480" w:lineRule="exact"/>
        <w:ind w:firstLine="482"/>
        <w:rPr>
          <w:rFonts w:ascii="宋体" w:hAnsi="宋体"/>
          <w:color w:val="auto"/>
          <w:sz w:val="24"/>
          <w:highlight w:val="none"/>
        </w:rPr>
      </w:pPr>
      <w:r>
        <w:rPr>
          <w:rFonts w:hint="eastAsia" w:ascii="宋体" w:hAnsi="宋体"/>
          <w:color w:val="auto"/>
          <w:sz w:val="24"/>
          <w:highlight w:val="none"/>
        </w:rPr>
        <w:t>2.7招标文件；</w:t>
      </w:r>
    </w:p>
    <w:p>
      <w:pPr>
        <w:widowControl/>
        <w:wordWrap w:val="0"/>
        <w:topLinePunct/>
        <w:adjustRightInd w:val="0"/>
        <w:snapToGrid w:val="0"/>
        <w:spacing w:line="480" w:lineRule="exact"/>
        <w:ind w:firstLine="482"/>
        <w:rPr>
          <w:rFonts w:ascii="宋体" w:hAnsi="宋体"/>
          <w:color w:val="auto"/>
          <w:sz w:val="24"/>
          <w:highlight w:val="none"/>
        </w:rPr>
      </w:pPr>
      <w:r>
        <w:rPr>
          <w:rFonts w:hint="eastAsia" w:ascii="宋体" w:hAnsi="宋体"/>
          <w:color w:val="auto"/>
          <w:sz w:val="24"/>
          <w:highlight w:val="none"/>
        </w:rPr>
        <w:t>2.8投标文件；</w:t>
      </w:r>
    </w:p>
    <w:p>
      <w:pPr>
        <w:widowControl/>
        <w:wordWrap w:val="0"/>
        <w:topLinePunct/>
        <w:adjustRightInd w:val="0"/>
        <w:snapToGrid w:val="0"/>
        <w:spacing w:line="480" w:lineRule="exact"/>
        <w:ind w:firstLine="482"/>
        <w:rPr>
          <w:rFonts w:ascii="宋体" w:hAnsi="宋体"/>
          <w:b/>
          <w:color w:val="auto"/>
          <w:sz w:val="24"/>
          <w:highlight w:val="none"/>
          <w:shd w:val="pct10" w:color="auto" w:fill="FFFFFF"/>
        </w:rPr>
      </w:pPr>
      <w:r>
        <w:rPr>
          <w:rFonts w:hint="eastAsia" w:ascii="宋体" w:hAnsi="宋体"/>
          <w:color w:val="auto"/>
          <w:sz w:val="24"/>
          <w:highlight w:val="none"/>
        </w:rPr>
        <w:t>2.9组成合同的其他文件。</w:t>
      </w:r>
    </w:p>
    <w:p>
      <w:pPr>
        <w:widowControl/>
        <w:wordWrap w:val="0"/>
        <w:topLinePunct/>
        <w:adjustRightInd w:val="0"/>
        <w:snapToGrid w:val="0"/>
        <w:spacing w:line="480" w:lineRule="exact"/>
        <w:ind w:firstLine="307" w:firstLineChars="128"/>
        <w:outlineLvl w:val="4"/>
        <w:rPr>
          <w:rFonts w:ascii="宋体" w:hAnsi="宋体"/>
          <w:b/>
          <w:bCs/>
          <w:color w:val="auto"/>
          <w:sz w:val="24"/>
          <w:highlight w:val="none"/>
        </w:rPr>
      </w:pPr>
      <w:r>
        <w:rPr>
          <w:rFonts w:hint="eastAsia" w:ascii="宋体" w:hAnsi="宋体"/>
          <w:b/>
          <w:bCs/>
          <w:color w:val="auto"/>
          <w:sz w:val="24"/>
          <w:highlight w:val="none"/>
        </w:rPr>
        <w:t>第三条 本合同设计项目的名称、规模、阶段、设计内容及设计估算投资：</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3.1工程名称：</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3.2规模：</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460" w:lineRule="exact"/>
        <w:ind w:firstLine="540" w:firstLineChars="225"/>
        <w:rPr>
          <w:rFonts w:ascii="宋体" w:hAnsi="宋体"/>
          <w:color w:val="auto"/>
          <w:sz w:val="24"/>
          <w:highlight w:val="none"/>
        </w:rPr>
      </w:pPr>
      <w:r>
        <w:rPr>
          <w:rFonts w:hint="eastAsia" w:ascii="宋体" w:hAnsi="宋体"/>
          <w:color w:val="auto"/>
          <w:sz w:val="24"/>
          <w:highlight w:val="none"/>
        </w:rPr>
        <w:t>3.3阶段：</w:t>
      </w:r>
      <w:r>
        <w:rPr>
          <w:rFonts w:hint="eastAsia" w:ascii="宋体" w:hAnsi="宋体"/>
          <w:color w:val="auto"/>
          <w:sz w:val="24"/>
          <w:highlight w:val="none"/>
          <w:u w:val="single"/>
        </w:rPr>
        <w:t>方案设计、</w:t>
      </w:r>
      <w:r>
        <w:rPr>
          <w:rFonts w:hint="eastAsia" w:ascii="宋体" w:hAnsi="宋体" w:cs="宋体"/>
          <w:color w:val="auto"/>
          <w:sz w:val="24"/>
          <w:szCs w:val="22"/>
          <w:highlight w:val="none"/>
          <w:u w:val="single"/>
        </w:rPr>
        <w:t>协助业主办理工程前期的报建及报批工作</w:t>
      </w:r>
      <w:r>
        <w:rPr>
          <w:rFonts w:hint="eastAsia" w:ascii="宋体" w:hAnsi="宋体"/>
          <w:color w:val="auto"/>
          <w:sz w:val="24"/>
          <w:highlight w:val="none"/>
          <w:u w:val="single"/>
        </w:rPr>
        <w:t>、初步设计及概算、施工图设计、现场服务、施工过程中的方案优化及设计变更、施工及验收过程的配合、竣工图审核及盖章等。</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3.4项目设计内容：</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3.5设计估算投资：</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widowControl/>
        <w:wordWrap w:val="0"/>
        <w:topLinePunct/>
        <w:adjustRightInd w:val="0"/>
        <w:snapToGrid w:val="0"/>
        <w:spacing w:line="480" w:lineRule="exact"/>
        <w:ind w:firstLine="480" w:firstLineChars="200"/>
        <w:rPr>
          <w:rFonts w:ascii="宋体" w:hAnsi="宋体"/>
          <w:color w:val="auto"/>
          <w:sz w:val="24"/>
          <w:highlight w:val="none"/>
        </w:rPr>
      </w:pPr>
    </w:p>
    <w:p>
      <w:pPr>
        <w:widowControl/>
        <w:wordWrap w:val="0"/>
        <w:topLinePunct/>
        <w:adjustRightInd w:val="0"/>
        <w:snapToGrid w:val="0"/>
        <w:spacing w:line="480" w:lineRule="exact"/>
        <w:ind w:firstLine="480" w:firstLineChars="200"/>
        <w:outlineLvl w:val="4"/>
        <w:rPr>
          <w:rFonts w:ascii="宋体" w:hAnsi="宋体"/>
          <w:b/>
          <w:bCs/>
          <w:color w:val="auto"/>
          <w:sz w:val="24"/>
          <w:highlight w:val="none"/>
        </w:rPr>
      </w:pPr>
      <w:r>
        <w:rPr>
          <w:rFonts w:hint="eastAsia" w:ascii="宋体" w:hAnsi="宋体"/>
          <w:b/>
          <w:bCs/>
          <w:color w:val="auto"/>
          <w:sz w:val="24"/>
          <w:highlight w:val="none"/>
        </w:rPr>
        <w:t xml:space="preserve">第四条 发包人应向设计人提交的有关资料及文件： </w:t>
      </w:r>
    </w:p>
    <w:tbl>
      <w:tblPr>
        <w:tblStyle w:val="3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2769"/>
        <w:gridCol w:w="851"/>
        <w:gridCol w:w="1559"/>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5" w:hRule="exact"/>
          <w:jc w:val="center"/>
        </w:trPr>
        <w:tc>
          <w:tcPr>
            <w:tcW w:w="748" w:type="dxa"/>
            <w:tcBorders>
              <w:top w:val="single" w:color="auto" w:sz="6" w:space="0"/>
              <w:left w:val="single" w:color="auto" w:sz="6" w:space="0"/>
              <w:bottom w:val="single" w:color="auto" w:sz="6" w:space="0"/>
              <w:right w:val="single" w:color="auto" w:sz="6" w:space="0"/>
            </w:tcBorders>
            <w:vAlign w:val="center"/>
          </w:tcPr>
          <w:p>
            <w:pPr>
              <w:widowControl/>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序号</w:t>
            </w:r>
          </w:p>
        </w:tc>
        <w:tc>
          <w:tcPr>
            <w:tcW w:w="2769" w:type="dxa"/>
            <w:tcBorders>
              <w:top w:val="single" w:color="auto" w:sz="6" w:space="0"/>
              <w:left w:val="single" w:color="auto" w:sz="6" w:space="0"/>
              <w:bottom w:val="single" w:color="auto" w:sz="6" w:space="0"/>
              <w:right w:val="single" w:color="auto" w:sz="6" w:space="0"/>
            </w:tcBorders>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资料及文件名称</w:t>
            </w:r>
          </w:p>
        </w:tc>
        <w:tc>
          <w:tcPr>
            <w:tcW w:w="851" w:type="dxa"/>
            <w:tcBorders>
              <w:top w:val="single" w:color="auto" w:sz="6" w:space="0"/>
              <w:left w:val="single" w:color="auto" w:sz="6" w:space="0"/>
              <w:bottom w:val="single" w:color="auto" w:sz="6" w:space="0"/>
              <w:right w:val="single" w:color="auto" w:sz="6" w:space="0"/>
            </w:tcBorders>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份数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提交日期</w:t>
            </w:r>
          </w:p>
        </w:tc>
        <w:tc>
          <w:tcPr>
            <w:tcW w:w="1276" w:type="dxa"/>
            <w:tcBorders>
              <w:top w:val="single" w:color="auto" w:sz="6" w:space="0"/>
              <w:left w:val="single" w:color="auto" w:sz="4" w:space="0"/>
              <w:bottom w:val="single" w:color="auto" w:sz="6" w:space="0"/>
              <w:right w:val="single" w:color="auto" w:sz="6" w:space="0"/>
            </w:tcBorders>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有关事宜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748" w:type="dxa"/>
            <w:tcBorders>
              <w:top w:val="single" w:color="auto" w:sz="6" w:space="0"/>
              <w:left w:val="single" w:color="auto" w:sz="6" w:space="0"/>
              <w:bottom w:val="single" w:color="auto" w:sz="6" w:space="0"/>
              <w:right w:val="single" w:color="auto" w:sz="6" w:space="0"/>
            </w:tcBorders>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1</w:t>
            </w:r>
          </w:p>
        </w:tc>
        <w:tc>
          <w:tcPr>
            <w:tcW w:w="2769" w:type="dxa"/>
            <w:tcBorders>
              <w:top w:val="single" w:color="auto" w:sz="6" w:space="0"/>
              <w:left w:val="single" w:color="auto" w:sz="6" w:space="0"/>
              <w:bottom w:val="single" w:color="auto" w:sz="6" w:space="0"/>
              <w:right w:val="single" w:color="auto" w:sz="6" w:space="0"/>
            </w:tcBorders>
            <w:vAlign w:val="center"/>
          </w:tcPr>
          <w:p>
            <w:pPr>
              <w:widowControl/>
              <w:wordWrap w:val="0"/>
              <w:topLinePunct/>
              <w:adjustRightInd w:val="0"/>
              <w:snapToGrid w:val="0"/>
              <w:spacing w:line="480" w:lineRule="exact"/>
              <w:rPr>
                <w:rFonts w:ascii="宋体" w:hAnsi="宋体"/>
                <w:bCs/>
                <w:color w:val="auto"/>
                <w:spacing w:val="20"/>
                <w:sz w:val="24"/>
                <w:highlight w:val="none"/>
              </w:rPr>
            </w:pPr>
            <w:r>
              <w:rPr>
                <w:rFonts w:hint="eastAsia" w:ascii="宋体" w:hAnsi="宋体"/>
                <w:bCs/>
                <w:color w:val="auto"/>
                <w:spacing w:val="20"/>
                <w:sz w:val="24"/>
                <w:highlight w:val="none"/>
              </w:rPr>
              <w:t>设计任务书</w:t>
            </w:r>
          </w:p>
        </w:tc>
        <w:tc>
          <w:tcPr>
            <w:tcW w:w="851" w:type="dxa"/>
            <w:tcBorders>
              <w:top w:val="single" w:color="auto" w:sz="6" w:space="0"/>
              <w:left w:val="single" w:color="auto" w:sz="6" w:space="0"/>
              <w:bottom w:val="single" w:color="auto" w:sz="6" w:space="0"/>
              <w:right w:val="single" w:color="auto" w:sz="6" w:space="0"/>
            </w:tcBorders>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1</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合同签订前</w:t>
            </w:r>
          </w:p>
        </w:tc>
        <w:tc>
          <w:tcPr>
            <w:tcW w:w="1276" w:type="dxa"/>
            <w:tcBorders>
              <w:top w:val="single" w:color="auto" w:sz="6" w:space="0"/>
              <w:left w:val="single" w:color="auto" w:sz="4" w:space="0"/>
              <w:bottom w:val="single" w:color="auto" w:sz="6" w:space="0"/>
              <w:right w:val="single" w:color="auto" w:sz="6" w:space="0"/>
            </w:tcBorders>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748" w:type="dxa"/>
            <w:tcBorders>
              <w:top w:val="single" w:color="auto" w:sz="6" w:space="0"/>
              <w:left w:val="single" w:color="auto" w:sz="6" w:space="0"/>
              <w:bottom w:val="single" w:color="auto" w:sz="6" w:space="0"/>
              <w:right w:val="single" w:color="auto" w:sz="6" w:space="0"/>
            </w:tcBorders>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2</w:t>
            </w:r>
          </w:p>
        </w:tc>
        <w:tc>
          <w:tcPr>
            <w:tcW w:w="2769" w:type="dxa"/>
            <w:tcBorders>
              <w:top w:val="single" w:color="auto" w:sz="6" w:space="0"/>
              <w:left w:val="single" w:color="auto" w:sz="6" w:space="0"/>
              <w:bottom w:val="single" w:color="auto" w:sz="6" w:space="0"/>
              <w:right w:val="single" w:color="auto" w:sz="6" w:space="0"/>
            </w:tcBorders>
            <w:vAlign w:val="center"/>
          </w:tcPr>
          <w:p>
            <w:pPr>
              <w:widowControl/>
              <w:wordWrap w:val="0"/>
              <w:topLinePunct/>
              <w:adjustRightInd w:val="0"/>
              <w:snapToGrid w:val="0"/>
              <w:spacing w:line="480" w:lineRule="exact"/>
              <w:rPr>
                <w:rFonts w:ascii="宋体" w:hAnsi="宋体"/>
                <w:bCs/>
                <w:color w:val="auto"/>
                <w:spacing w:val="20"/>
                <w:sz w:val="24"/>
                <w:highlight w:val="none"/>
              </w:rPr>
            </w:pPr>
            <w:r>
              <w:rPr>
                <w:rFonts w:hint="eastAsia" w:ascii="宋体" w:hAnsi="宋体"/>
                <w:bCs/>
                <w:color w:val="auto"/>
                <w:spacing w:val="20"/>
                <w:sz w:val="24"/>
                <w:highlight w:val="none"/>
              </w:rPr>
              <w:t>设计基础资料</w:t>
            </w:r>
          </w:p>
        </w:tc>
        <w:tc>
          <w:tcPr>
            <w:tcW w:w="851" w:type="dxa"/>
            <w:tcBorders>
              <w:top w:val="single" w:color="auto" w:sz="6" w:space="0"/>
              <w:left w:val="single" w:color="auto" w:sz="6" w:space="0"/>
              <w:bottom w:val="single" w:color="auto" w:sz="6" w:space="0"/>
              <w:right w:val="single" w:color="auto" w:sz="6" w:space="0"/>
            </w:tcBorders>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1</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合同签订前</w:t>
            </w:r>
          </w:p>
        </w:tc>
        <w:tc>
          <w:tcPr>
            <w:tcW w:w="1276" w:type="dxa"/>
            <w:tcBorders>
              <w:top w:val="single" w:color="auto" w:sz="6" w:space="0"/>
              <w:left w:val="single" w:color="auto" w:sz="4" w:space="0"/>
              <w:bottom w:val="single" w:color="auto" w:sz="6" w:space="0"/>
              <w:right w:val="single" w:color="auto" w:sz="6" w:space="0"/>
            </w:tcBorders>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748" w:type="dxa"/>
            <w:tcBorders>
              <w:top w:val="single" w:color="auto" w:sz="6" w:space="0"/>
              <w:left w:val="single" w:color="auto" w:sz="6" w:space="0"/>
              <w:bottom w:val="single" w:color="auto" w:sz="6" w:space="0"/>
              <w:right w:val="single" w:color="auto" w:sz="6" w:space="0"/>
            </w:tcBorders>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3</w:t>
            </w:r>
          </w:p>
        </w:tc>
        <w:tc>
          <w:tcPr>
            <w:tcW w:w="2769" w:type="dxa"/>
            <w:tcBorders>
              <w:top w:val="single" w:color="auto" w:sz="6" w:space="0"/>
              <w:left w:val="single" w:color="auto" w:sz="6" w:space="0"/>
              <w:bottom w:val="single" w:color="auto" w:sz="6" w:space="0"/>
              <w:right w:val="single" w:color="auto" w:sz="6" w:space="0"/>
            </w:tcBorders>
            <w:vAlign w:val="center"/>
          </w:tcPr>
          <w:p>
            <w:pPr>
              <w:widowControl/>
              <w:wordWrap w:val="0"/>
              <w:topLinePunct/>
              <w:adjustRightInd w:val="0"/>
              <w:snapToGrid w:val="0"/>
              <w:spacing w:line="480" w:lineRule="exact"/>
              <w:rPr>
                <w:rFonts w:ascii="宋体" w:hAnsi="宋体"/>
                <w:bCs/>
                <w:color w:val="auto"/>
                <w:spacing w:val="20"/>
                <w:sz w:val="24"/>
                <w:highlight w:val="none"/>
              </w:rPr>
            </w:pPr>
            <w:r>
              <w:rPr>
                <w:rFonts w:hint="eastAsia" w:ascii="宋体" w:hAnsi="宋体"/>
                <w:bCs/>
                <w:color w:val="auto"/>
                <w:spacing w:val="20"/>
                <w:sz w:val="24"/>
                <w:highlight w:val="none"/>
              </w:rPr>
              <w:t>政府有关批文及各阶段批复文件</w:t>
            </w:r>
          </w:p>
        </w:tc>
        <w:tc>
          <w:tcPr>
            <w:tcW w:w="851" w:type="dxa"/>
            <w:tcBorders>
              <w:top w:val="single" w:color="auto" w:sz="6" w:space="0"/>
              <w:left w:val="single" w:color="auto" w:sz="6" w:space="0"/>
              <w:bottom w:val="single" w:color="auto" w:sz="6" w:space="0"/>
              <w:right w:val="single" w:color="auto" w:sz="6" w:space="0"/>
            </w:tcBorders>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1</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合同签订前</w:t>
            </w:r>
          </w:p>
        </w:tc>
        <w:tc>
          <w:tcPr>
            <w:tcW w:w="1276" w:type="dxa"/>
            <w:tcBorders>
              <w:top w:val="single" w:color="auto" w:sz="6" w:space="0"/>
              <w:left w:val="single" w:color="auto" w:sz="4" w:space="0"/>
              <w:bottom w:val="single" w:color="auto" w:sz="6" w:space="0"/>
              <w:right w:val="single" w:color="auto" w:sz="6" w:space="0"/>
            </w:tcBorders>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p>
        </w:tc>
      </w:tr>
    </w:tbl>
    <w:p>
      <w:pPr>
        <w:widowControl/>
        <w:wordWrap w:val="0"/>
        <w:topLinePunct/>
        <w:adjustRightInd w:val="0"/>
        <w:snapToGrid w:val="0"/>
        <w:spacing w:line="480" w:lineRule="exact"/>
        <w:ind w:firstLine="480" w:firstLineChars="200"/>
        <w:outlineLvl w:val="4"/>
        <w:rPr>
          <w:rFonts w:ascii="宋体" w:hAnsi="宋体"/>
          <w:b/>
          <w:bCs/>
          <w:color w:val="auto"/>
          <w:sz w:val="24"/>
          <w:highlight w:val="none"/>
        </w:rPr>
      </w:pPr>
      <w:r>
        <w:rPr>
          <w:rFonts w:hint="eastAsia" w:ascii="宋体" w:hAnsi="宋体"/>
          <w:b/>
          <w:bCs/>
          <w:color w:val="auto"/>
          <w:sz w:val="24"/>
          <w:highlight w:val="none"/>
        </w:rPr>
        <w:t>第五条 设计人应向发包人交付的设计资料及文件：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27"/>
        <w:gridCol w:w="813"/>
        <w:gridCol w:w="224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widowControl/>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序号</w:t>
            </w:r>
          </w:p>
        </w:tc>
        <w:tc>
          <w:tcPr>
            <w:tcW w:w="2427" w:type="dxa"/>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资料及文件名称</w:t>
            </w:r>
          </w:p>
        </w:tc>
        <w:tc>
          <w:tcPr>
            <w:tcW w:w="813" w:type="dxa"/>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份数</w:t>
            </w:r>
          </w:p>
        </w:tc>
        <w:tc>
          <w:tcPr>
            <w:tcW w:w="2249" w:type="dxa"/>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提交日期</w:t>
            </w:r>
          </w:p>
        </w:tc>
        <w:tc>
          <w:tcPr>
            <w:tcW w:w="1701" w:type="dxa"/>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8" w:type="dxa"/>
            <w:gridSpan w:val="5"/>
            <w:vAlign w:val="center"/>
          </w:tcPr>
          <w:p>
            <w:pPr>
              <w:widowControl/>
              <w:wordWrap w:val="0"/>
              <w:topLinePunct/>
              <w:adjustRightInd w:val="0"/>
              <w:snapToGrid w:val="0"/>
              <w:spacing w:line="480" w:lineRule="exact"/>
              <w:rPr>
                <w:rFonts w:ascii="宋体" w:hAnsi="宋体"/>
                <w:bCs/>
                <w:color w:val="auto"/>
                <w:spacing w:val="20"/>
                <w:sz w:val="24"/>
                <w:highlight w:val="none"/>
              </w:rPr>
            </w:pPr>
            <w:r>
              <w:rPr>
                <w:rFonts w:hint="eastAsia" w:ascii="宋体" w:hAnsi="宋体"/>
                <w:bCs/>
                <w:color w:val="auto"/>
                <w:spacing w:val="20"/>
                <w:sz w:val="24"/>
                <w:highlight w:val="none"/>
              </w:rPr>
              <w:t>方案设计阶段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1</w:t>
            </w:r>
          </w:p>
        </w:tc>
        <w:tc>
          <w:tcPr>
            <w:tcW w:w="2427" w:type="dxa"/>
            <w:vAlign w:val="center"/>
          </w:tcPr>
          <w:p>
            <w:pPr>
              <w:widowControl/>
              <w:wordWrap w:val="0"/>
              <w:topLinePunct/>
              <w:adjustRightInd w:val="0"/>
              <w:snapToGrid w:val="0"/>
              <w:spacing w:line="480" w:lineRule="exact"/>
              <w:rPr>
                <w:rFonts w:ascii="宋体" w:hAnsi="宋体"/>
                <w:bCs/>
                <w:color w:val="auto"/>
                <w:spacing w:val="20"/>
                <w:sz w:val="24"/>
                <w:highlight w:val="none"/>
              </w:rPr>
            </w:pPr>
            <w:r>
              <w:rPr>
                <w:rFonts w:hint="eastAsia" w:ascii="宋体" w:hAnsi="宋体"/>
                <w:bCs/>
                <w:color w:val="auto"/>
                <w:spacing w:val="20"/>
                <w:sz w:val="24"/>
                <w:highlight w:val="none"/>
              </w:rPr>
              <w:t>修改方案设计图</w:t>
            </w:r>
          </w:p>
        </w:tc>
        <w:tc>
          <w:tcPr>
            <w:tcW w:w="813" w:type="dxa"/>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15</w:t>
            </w:r>
          </w:p>
        </w:tc>
        <w:tc>
          <w:tcPr>
            <w:tcW w:w="2249" w:type="dxa"/>
            <w:vAlign w:val="center"/>
          </w:tcPr>
          <w:p>
            <w:pPr>
              <w:widowControl/>
              <w:wordWrap w:val="0"/>
              <w:topLinePunct/>
              <w:adjustRightInd w:val="0"/>
              <w:snapToGrid w:val="0"/>
              <w:spacing w:line="480" w:lineRule="exact"/>
              <w:rPr>
                <w:rFonts w:ascii="宋体" w:hAnsi="宋体"/>
                <w:bCs/>
                <w:color w:val="auto"/>
                <w:spacing w:val="20"/>
                <w:sz w:val="24"/>
                <w:highlight w:val="none"/>
              </w:rPr>
            </w:pPr>
            <w:r>
              <w:rPr>
                <w:rFonts w:hint="eastAsia" w:ascii="宋体" w:hAnsi="宋体"/>
                <w:bCs/>
                <w:color w:val="auto"/>
                <w:spacing w:val="20"/>
                <w:sz w:val="24"/>
                <w:highlight w:val="none"/>
              </w:rPr>
              <w:t>收到方案修改意见后</w:t>
            </w:r>
            <w:r>
              <w:rPr>
                <w:rFonts w:hint="eastAsia" w:ascii="宋体" w:hAnsi="宋体"/>
                <w:bCs/>
                <w:color w:val="auto"/>
                <w:spacing w:val="20"/>
                <w:sz w:val="24"/>
                <w:highlight w:val="none"/>
                <w:u w:val="single"/>
              </w:rPr>
              <w:t xml:space="preserve">   </w:t>
            </w:r>
            <w:r>
              <w:rPr>
                <w:rFonts w:hint="eastAsia" w:ascii="宋体" w:hAnsi="宋体"/>
                <w:bCs/>
                <w:color w:val="auto"/>
                <w:spacing w:val="20"/>
                <w:sz w:val="24"/>
                <w:highlight w:val="none"/>
              </w:rPr>
              <w:t>天</w:t>
            </w:r>
          </w:p>
        </w:tc>
        <w:tc>
          <w:tcPr>
            <w:tcW w:w="1701" w:type="dxa"/>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8" w:type="dxa"/>
            <w:gridSpan w:val="5"/>
            <w:vAlign w:val="center"/>
          </w:tcPr>
          <w:p>
            <w:pPr>
              <w:widowControl/>
              <w:wordWrap w:val="0"/>
              <w:topLinePunct/>
              <w:adjustRightInd w:val="0"/>
              <w:snapToGrid w:val="0"/>
              <w:spacing w:line="480" w:lineRule="exact"/>
              <w:rPr>
                <w:rFonts w:ascii="宋体" w:hAnsi="宋体"/>
                <w:bCs/>
                <w:color w:val="auto"/>
                <w:spacing w:val="20"/>
                <w:sz w:val="24"/>
                <w:highlight w:val="none"/>
              </w:rPr>
            </w:pPr>
            <w:r>
              <w:rPr>
                <w:rFonts w:hint="eastAsia" w:ascii="宋体" w:hAnsi="宋体"/>
                <w:bCs/>
                <w:color w:val="auto"/>
                <w:spacing w:val="20"/>
                <w:sz w:val="24"/>
                <w:highlight w:val="none"/>
              </w:rPr>
              <w:t>初步设计阶段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28" w:type="dxa"/>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2</w:t>
            </w:r>
          </w:p>
        </w:tc>
        <w:tc>
          <w:tcPr>
            <w:tcW w:w="2427" w:type="dxa"/>
            <w:vAlign w:val="center"/>
          </w:tcPr>
          <w:p>
            <w:pPr>
              <w:widowControl/>
              <w:wordWrap w:val="0"/>
              <w:topLinePunct/>
              <w:adjustRightInd w:val="0"/>
              <w:snapToGrid w:val="0"/>
              <w:spacing w:line="480" w:lineRule="exact"/>
              <w:rPr>
                <w:rFonts w:ascii="宋体" w:hAnsi="宋体"/>
                <w:bCs/>
                <w:color w:val="auto"/>
                <w:spacing w:val="20"/>
                <w:sz w:val="24"/>
                <w:highlight w:val="none"/>
              </w:rPr>
            </w:pPr>
            <w:r>
              <w:rPr>
                <w:rFonts w:hint="eastAsia" w:ascii="宋体" w:hAnsi="宋体"/>
                <w:bCs/>
                <w:color w:val="auto"/>
                <w:spacing w:val="20"/>
                <w:sz w:val="24"/>
                <w:highlight w:val="none"/>
              </w:rPr>
              <w:t>初步设计图</w:t>
            </w:r>
          </w:p>
        </w:tc>
        <w:tc>
          <w:tcPr>
            <w:tcW w:w="813" w:type="dxa"/>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15</w:t>
            </w:r>
          </w:p>
        </w:tc>
        <w:tc>
          <w:tcPr>
            <w:tcW w:w="2249" w:type="dxa"/>
            <w:vAlign w:val="center"/>
          </w:tcPr>
          <w:p>
            <w:pPr>
              <w:widowControl/>
              <w:wordWrap w:val="0"/>
              <w:topLinePunct/>
              <w:adjustRightInd w:val="0"/>
              <w:snapToGrid w:val="0"/>
              <w:spacing w:line="480" w:lineRule="exact"/>
              <w:rPr>
                <w:rFonts w:ascii="宋体" w:hAnsi="宋体"/>
                <w:bCs/>
                <w:color w:val="auto"/>
                <w:spacing w:val="20"/>
                <w:sz w:val="24"/>
                <w:highlight w:val="none"/>
              </w:rPr>
            </w:pPr>
            <w:r>
              <w:rPr>
                <w:rFonts w:hint="eastAsia" w:ascii="宋体" w:hAnsi="宋体"/>
                <w:bCs/>
                <w:color w:val="auto"/>
                <w:spacing w:val="20"/>
                <w:sz w:val="24"/>
                <w:highlight w:val="none"/>
              </w:rPr>
              <w:t>方案批复后  天</w:t>
            </w:r>
          </w:p>
        </w:tc>
        <w:tc>
          <w:tcPr>
            <w:tcW w:w="1701" w:type="dxa"/>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28" w:type="dxa"/>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3</w:t>
            </w:r>
          </w:p>
        </w:tc>
        <w:tc>
          <w:tcPr>
            <w:tcW w:w="2427" w:type="dxa"/>
            <w:vAlign w:val="center"/>
          </w:tcPr>
          <w:p>
            <w:pPr>
              <w:widowControl/>
              <w:wordWrap w:val="0"/>
              <w:topLinePunct/>
              <w:adjustRightInd w:val="0"/>
              <w:snapToGrid w:val="0"/>
              <w:spacing w:line="480" w:lineRule="exact"/>
              <w:rPr>
                <w:rFonts w:ascii="宋体" w:hAnsi="宋体"/>
                <w:bCs/>
                <w:color w:val="auto"/>
                <w:spacing w:val="20"/>
                <w:sz w:val="24"/>
                <w:highlight w:val="none"/>
              </w:rPr>
            </w:pPr>
            <w:r>
              <w:rPr>
                <w:rFonts w:hint="eastAsia" w:ascii="宋体" w:hAnsi="宋体"/>
                <w:bCs/>
                <w:color w:val="auto"/>
                <w:spacing w:val="20"/>
                <w:sz w:val="24"/>
                <w:highlight w:val="none"/>
              </w:rPr>
              <w:t>设计概算</w:t>
            </w:r>
          </w:p>
        </w:tc>
        <w:tc>
          <w:tcPr>
            <w:tcW w:w="813" w:type="dxa"/>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8</w:t>
            </w:r>
          </w:p>
        </w:tc>
        <w:tc>
          <w:tcPr>
            <w:tcW w:w="2249" w:type="dxa"/>
            <w:vAlign w:val="center"/>
          </w:tcPr>
          <w:p>
            <w:pPr>
              <w:widowControl/>
              <w:wordWrap w:val="0"/>
              <w:topLinePunct/>
              <w:adjustRightInd w:val="0"/>
              <w:snapToGrid w:val="0"/>
              <w:spacing w:line="480" w:lineRule="exact"/>
              <w:rPr>
                <w:rFonts w:ascii="宋体" w:hAnsi="宋体"/>
                <w:bCs/>
                <w:color w:val="auto"/>
                <w:spacing w:val="20"/>
                <w:sz w:val="24"/>
                <w:highlight w:val="none"/>
              </w:rPr>
            </w:pPr>
            <w:r>
              <w:rPr>
                <w:rFonts w:hint="eastAsia" w:ascii="宋体" w:hAnsi="宋体"/>
                <w:bCs/>
                <w:color w:val="auto"/>
                <w:spacing w:val="20"/>
                <w:sz w:val="24"/>
                <w:highlight w:val="none"/>
              </w:rPr>
              <w:t>方案批复后  天</w:t>
            </w:r>
          </w:p>
        </w:tc>
        <w:tc>
          <w:tcPr>
            <w:tcW w:w="1701" w:type="dxa"/>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8" w:type="dxa"/>
            <w:gridSpan w:val="5"/>
            <w:vAlign w:val="center"/>
          </w:tcPr>
          <w:p>
            <w:pPr>
              <w:widowControl/>
              <w:wordWrap w:val="0"/>
              <w:topLinePunct/>
              <w:adjustRightInd w:val="0"/>
              <w:snapToGrid w:val="0"/>
              <w:spacing w:line="480" w:lineRule="exact"/>
              <w:rPr>
                <w:rFonts w:ascii="宋体" w:hAnsi="宋体"/>
                <w:bCs/>
                <w:color w:val="auto"/>
                <w:spacing w:val="20"/>
                <w:sz w:val="24"/>
                <w:highlight w:val="none"/>
              </w:rPr>
            </w:pPr>
            <w:r>
              <w:rPr>
                <w:rFonts w:hint="eastAsia" w:ascii="宋体" w:hAnsi="宋体"/>
                <w:bCs/>
                <w:color w:val="auto"/>
                <w:spacing w:val="20"/>
                <w:sz w:val="24"/>
                <w:highlight w:val="none"/>
              </w:rPr>
              <w:t>施工图设计阶段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4</w:t>
            </w:r>
          </w:p>
        </w:tc>
        <w:tc>
          <w:tcPr>
            <w:tcW w:w="2427" w:type="dxa"/>
            <w:vAlign w:val="center"/>
          </w:tcPr>
          <w:p>
            <w:pPr>
              <w:widowControl/>
              <w:wordWrap w:val="0"/>
              <w:topLinePunct/>
              <w:adjustRightInd w:val="0"/>
              <w:snapToGrid w:val="0"/>
              <w:spacing w:line="480" w:lineRule="exact"/>
              <w:rPr>
                <w:rFonts w:ascii="宋体" w:hAnsi="宋体"/>
                <w:bCs/>
                <w:color w:val="auto"/>
                <w:spacing w:val="20"/>
                <w:sz w:val="24"/>
                <w:highlight w:val="none"/>
              </w:rPr>
            </w:pPr>
            <w:r>
              <w:rPr>
                <w:rFonts w:hint="eastAsia" w:ascii="宋体" w:hAnsi="宋体"/>
                <w:bCs/>
                <w:color w:val="auto"/>
                <w:spacing w:val="20"/>
                <w:sz w:val="24"/>
                <w:highlight w:val="none"/>
              </w:rPr>
              <w:t>施工设计图</w:t>
            </w:r>
          </w:p>
        </w:tc>
        <w:tc>
          <w:tcPr>
            <w:tcW w:w="813" w:type="dxa"/>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20</w:t>
            </w:r>
          </w:p>
        </w:tc>
        <w:tc>
          <w:tcPr>
            <w:tcW w:w="2249" w:type="dxa"/>
            <w:vAlign w:val="center"/>
          </w:tcPr>
          <w:p>
            <w:pPr>
              <w:widowControl/>
              <w:wordWrap w:val="0"/>
              <w:topLinePunct/>
              <w:adjustRightInd w:val="0"/>
              <w:snapToGrid w:val="0"/>
              <w:spacing w:line="480" w:lineRule="exact"/>
              <w:rPr>
                <w:rFonts w:ascii="宋体" w:hAnsi="宋体"/>
                <w:bCs/>
                <w:color w:val="auto"/>
                <w:spacing w:val="20"/>
                <w:sz w:val="24"/>
                <w:highlight w:val="none"/>
              </w:rPr>
            </w:pPr>
            <w:r>
              <w:rPr>
                <w:rFonts w:hint="eastAsia" w:ascii="宋体" w:hAnsi="宋体"/>
                <w:bCs/>
                <w:color w:val="auto"/>
                <w:spacing w:val="20"/>
                <w:sz w:val="24"/>
                <w:highlight w:val="none"/>
              </w:rPr>
              <w:t>初步设计批复后  天</w:t>
            </w:r>
          </w:p>
        </w:tc>
        <w:tc>
          <w:tcPr>
            <w:tcW w:w="1701" w:type="dxa"/>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5</w:t>
            </w:r>
          </w:p>
        </w:tc>
        <w:tc>
          <w:tcPr>
            <w:tcW w:w="2427" w:type="dxa"/>
            <w:vAlign w:val="center"/>
          </w:tcPr>
          <w:p>
            <w:pPr>
              <w:widowControl/>
              <w:wordWrap w:val="0"/>
              <w:topLinePunct/>
              <w:adjustRightInd w:val="0"/>
              <w:snapToGrid w:val="0"/>
              <w:spacing w:line="480" w:lineRule="exact"/>
              <w:rPr>
                <w:rFonts w:ascii="宋体" w:hAnsi="宋体"/>
                <w:bCs/>
                <w:color w:val="auto"/>
                <w:spacing w:val="20"/>
                <w:sz w:val="24"/>
                <w:highlight w:val="none"/>
              </w:rPr>
            </w:pPr>
            <w:r>
              <w:rPr>
                <w:rFonts w:hint="eastAsia" w:ascii="宋体" w:hAnsi="宋体"/>
                <w:bCs/>
                <w:color w:val="auto"/>
                <w:spacing w:val="20"/>
                <w:sz w:val="24"/>
                <w:highlight w:val="none"/>
              </w:rPr>
              <w:t>设计计算书</w:t>
            </w:r>
          </w:p>
        </w:tc>
        <w:tc>
          <w:tcPr>
            <w:tcW w:w="813" w:type="dxa"/>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r>
              <w:rPr>
                <w:rFonts w:hint="eastAsia" w:ascii="宋体" w:hAnsi="宋体"/>
                <w:bCs/>
                <w:color w:val="auto"/>
                <w:spacing w:val="20"/>
                <w:sz w:val="24"/>
                <w:highlight w:val="none"/>
              </w:rPr>
              <w:t>5</w:t>
            </w:r>
          </w:p>
        </w:tc>
        <w:tc>
          <w:tcPr>
            <w:tcW w:w="2249" w:type="dxa"/>
            <w:vAlign w:val="center"/>
          </w:tcPr>
          <w:p>
            <w:pPr>
              <w:widowControl/>
              <w:wordWrap w:val="0"/>
              <w:topLinePunct/>
              <w:adjustRightInd w:val="0"/>
              <w:snapToGrid w:val="0"/>
              <w:spacing w:line="480" w:lineRule="exact"/>
              <w:rPr>
                <w:rFonts w:ascii="宋体" w:hAnsi="宋体"/>
                <w:bCs/>
                <w:color w:val="auto"/>
                <w:spacing w:val="20"/>
                <w:sz w:val="24"/>
                <w:highlight w:val="none"/>
              </w:rPr>
            </w:pPr>
            <w:r>
              <w:rPr>
                <w:rFonts w:hint="eastAsia" w:ascii="宋体" w:hAnsi="宋体"/>
                <w:bCs/>
                <w:color w:val="auto"/>
                <w:spacing w:val="20"/>
                <w:sz w:val="24"/>
                <w:highlight w:val="none"/>
              </w:rPr>
              <w:t>初步设计批复后  天</w:t>
            </w:r>
          </w:p>
        </w:tc>
        <w:tc>
          <w:tcPr>
            <w:tcW w:w="1701" w:type="dxa"/>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p>
        </w:tc>
        <w:tc>
          <w:tcPr>
            <w:tcW w:w="2427" w:type="dxa"/>
            <w:vAlign w:val="center"/>
          </w:tcPr>
          <w:p>
            <w:pPr>
              <w:widowControl/>
              <w:wordWrap w:val="0"/>
              <w:topLinePunct/>
              <w:adjustRightInd w:val="0"/>
              <w:snapToGrid w:val="0"/>
              <w:spacing w:line="480" w:lineRule="exact"/>
              <w:rPr>
                <w:rFonts w:ascii="宋体" w:hAnsi="宋体"/>
                <w:bCs/>
                <w:color w:val="auto"/>
                <w:spacing w:val="20"/>
                <w:sz w:val="24"/>
                <w:highlight w:val="none"/>
              </w:rPr>
            </w:pPr>
            <w:r>
              <w:rPr>
                <w:rFonts w:hint="eastAsia" w:ascii="宋体" w:hAnsi="宋体"/>
                <w:bCs/>
                <w:color w:val="auto"/>
                <w:spacing w:val="20"/>
                <w:sz w:val="24"/>
                <w:highlight w:val="none"/>
              </w:rPr>
              <w:t>电子文件</w:t>
            </w:r>
          </w:p>
        </w:tc>
        <w:tc>
          <w:tcPr>
            <w:tcW w:w="813" w:type="dxa"/>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p>
        </w:tc>
        <w:tc>
          <w:tcPr>
            <w:tcW w:w="2249" w:type="dxa"/>
            <w:vAlign w:val="center"/>
          </w:tcPr>
          <w:p>
            <w:pPr>
              <w:widowControl/>
              <w:wordWrap w:val="0"/>
              <w:topLinePunct/>
              <w:adjustRightInd w:val="0"/>
              <w:snapToGrid w:val="0"/>
              <w:spacing w:line="480" w:lineRule="exact"/>
              <w:rPr>
                <w:rFonts w:ascii="宋体" w:hAnsi="宋体"/>
                <w:bCs/>
                <w:color w:val="auto"/>
                <w:spacing w:val="20"/>
                <w:sz w:val="24"/>
                <w:highlight w:val="none"/>
              </w:rPr>
            </w:pPr>
            <w:r>
              <w:rPr>
                <w:rFonts w:hint="eastAsia" w:ascii="宋体" w:hAnsi="宋体"/>
                <w:bCs/>
                <w:color w:val="auto"/>
                <w:spacing w:val="20"/>
                <w:sz w:val="24"/>
                <w:highlight w:val="none"/>
              </w:rPr>
              <w:t>与上述文件同时提交</w:t>
            </w:r>
          </w:p>
        </w:tc>
        <w:tc>
          <w:tcPr>
            <w:tcW w:w="1701" w:type="dxa"/>
            <w:vAlign w:val="center"/>
          </w:tcPr>
          <w:p>
            <w:pPr>
              <w:widowControl/>
              <w:wordWrap w:val="0"/>
              <w:topLinePunct/>
              <w:adjustRightInd w:val="0"/>
              <w:snapToGrid w:val="0"/>
              <w:spacing w:line="480" w:lineRule="exact"/>
              <w:jc w:val="center"/>
              <w:rPr>
                <w:rFonts w:ascii="宋体" w:hAnsi="宋体"/>
                <w:bCs/>
                <w:color w:val="auto"/>
                <w:spacing w:val="20"/>
                <w:sz w:val="24"/>
                <w:highlight w:val="none"/>
              </w:rPr>
            </w:pPr>
          </w:p>
        </w:tc>
      </w:tr>
    </w:tbl>
    <w:p>
      <w:pPr>
        <w:widowControl/>
        <w:wordWrap w:val="0"/>
        <w:topLinePunct/>
        <w:adjustRightInd w:val="0"/>
        <w:snapToGrid w:val="0"/>
        <w:spacing w:line="480" w:lineRule="exact"/>
        <w:ind w:firstLine="457" w:firstLineChars="218"/>
        <w:rPr>
          <w:rFonts w:ascii="宋体" w:hAnsi="宋体"/>
          <w:color w:val="auto"/>
          <w:highlight w:val="none"/>
        </w:rPr>
      </w:pPr>
      <w:r>
        <w:rPr>
          <w:rFonts w:hint="eastAsia" w:ascii="宋体" w:hAnsi="宋体"/>
          <w:color w:val="auto"/>
          <w:highlight w:val="none"/>
        </w:rPr>
        <w:t>注：</w:t>
      </w:r>
      <w:r>
        <w:rPr>
          <w:rFonts w:ascii="宋体" w:hAnsi="宋体"/>
          <w:color w:val="auto"/>
          <w:highlight w:val="none"/>
        </w:rPr>
        <w:t>设计人向发包人提交的电子版本的设计文件应适用如下标准：</w:t>
      </w:r>
      <w:r>
        <w:rPr>
          <w:rFonts w:ascii="宋体" w:hAnsi="宋体"/>
          <w:color w:val="auto"/>
          <w:highlight w:val="none"/>
        </w:rPr>
        <w:br w:type="textWrapping"/>
      </w:r>
      <w:r>
        <w:rPr>
          <w:rFonts w:hint="eastAsia" w:ascii="宋体" w:hAnsi="宋体"/>
          <w:color w:val="auto"/>
          <w:highlight w:val="none"/>
        </w:rPr>
        <w:t xml:space="preserve">   （ </w:t>
      </w:r>
      <w:r>
        <w:rPr>
          <w:rFonts w:ascii="宋体" w:hAnsi="宋体"/>
          <w:color w:val="auto"/>
          <w:highlight w:val="none"/>
        </w:rPr>
        <w:t>1）文字资料应当使用Microsoft Word 及Excel软件。</w:t>
      </w:r>
      <w:r>
        <w:rPr>
          <w:rFonts w:ascii="宋体" w:hAnsi="宋体"/>
          <w:color w:val="auto"/>
          <w:highlight w:val="none"/>
        </w:rPr>
        <w:br w:type="textWrapping"/>
      </w:r>
      <w:r>
        <w:rPr>
          <w:rFonts w:hint="eastAsia" w:ascii="宋体" w:hAnsi="宋体"/>
          <w:color w:val="auto"/>
          <w:highlight w:val="none"/>
        </w:rPr>
        <w:t xml:space="preserve">    （</w:t>
      </w:r>
      <w:r>
        <w:rPr>
          <w:rFonts w:ascii="宋体" w:hAnsi="宋体"/>
          <w:color w:val="auto"/>
          <w:highlight w:val="none"/>
        </w:rPr>
        <w:t>2</w:t>
      </w:r>
      <w:r>
        <w:rPr>
          <w:rFonts w:hint="eastAsia" w:ascii="宋体" w:hAnsi="宋体"/>
          <w:color w:val="auto"/>
          <w:highlight w:val="none"/>
        </w:rPr>
        <w:t>）</w:t>
      </w:r>
      <w:r>
        <w:rPr>
          <w:rFonts w:ascii="宋体" w:hAnsi="宋体"/>
          <w:color w:val="auto"/>
          <w:highlight w:val="none"/>
        </w:rPr>
        <w:t>图纸资料应当使用AutoCAD及pdf文件，其中AutoCAD文件格式使用dwg格式</w:t>
      </w:r>
      <w:r>
        <w:rPr>
          <w:rFonts w:hint="eastAsia" w:ascii="宋体" w:hAnsi="宋体"/>
          <w:color w:val="auto"/>
          <w:highlight w:val="none"/>
        </w:rPr>
        <w:t xml:space="preserve">。    </w:t>
      </w:r>
    </w:p>
    <w:p>
      <w:pPr>
        <w:widowControl/>
        <w:wordWrap w:val="0"/>
        <w:topLinePunct/>
        <w:adjustRightInd w:val="0"/>
        <w:snapToGrid w:val="0"/>
        <w:spacing w:line="480" w:lineRule="exact"/>
        <w:ind w:firstLine="457" w:firstLineChars="218"/>
        <w:rPr>
          <w:rFonts w:ascii="宋体" w:hAnsi="宋体"/>
          <w:color w:val="auto"/>
          <w:highlight w:val="none"/>
        </w:rPr>
      </w:pPr>
      <w:r>
        <w:rPr>
          <w:rFonts w:hint="eastAsia" w:ascii="宋体" w:hAnsi="宋体"/>
          <w:color w:val="auto"/>
          <w:highlight w:val="none"/>
        </w:rPr>
        <w:t>（3）</w:t>
      </w:r>
      <w:r>
        <w:rPr>
          <w:rFonts w:ascii="宋体" w:hAnsi="宋体"/>
          <w:color w:val="auto"/>
          <w:highlight w:val="none"/>
        </w:rPr>
        <w:t>提供CAD图纸的同时应提供所有图纸中所使用的字体文件。如有外部引用，必须包含所有外部引用的全部文件及字体，文件名必须与图名相对应，每个文件对应一张图并注明版本号。</w:t>
      </w:r>
      <w:r>
        <w:rPr>
          <w:rFonts w:ascii="宋体" w:hAnsi="宋体"/>
          <w:color w:val="auto"/>
          <w:highlight w:val="none"/>
        </w:rPr>
        <w:br w:type="textWrapping"/>
      </w:r>
      <w:r>
        <w:rPr>
          <w:rFonts w:hint="eastAsia" w:ascii="宋体" w:hAnsi="宋体"/>
          <w:color w:val="auto"/>
          <w:highlight w:val="none"/>
        </w:rPr>
        <w:t xml:space="preserve">    (</w:t>
      </w:r>
      <w:r>
        <w:rPr>
          <w:rFonts w:ascii="宋体" w:hAnsi="宋体"/>
          <w:color w:val="auto"/>
          <w:highlight w:val="none"/>
        </w:rPr>
        <w:t>4</w:t>
      </w:r>
      <w:r>
        <w:rPr>
          <w:rFonts w:hint="eastAsia" w:ascii="宋体" w:hAnsi="宋体"/>
          <w:color w:val="auto"/>
          <w:highlight w:val="none"/>
        </w:rPr>
        <w:t>)</w:t>
      </w:r>
      <w:r>
        <w:rPr>
          <w:rFonts w:ascii="宋体" w:hAnsi="宋体"/>
          <w:color w:val="auto"/>
          <w:highlight w:val="none"/>
        </w:rPr>
        <w:t>效果图资料使用jpg格式的文件。</w:t>
      </w:r>
      <w:r>
        <w:rPr>
          <w:rFonts w:ascii="宋体" w:hAnsi="宋体"/>
          <w:color w:val="auto"/>
          <w:highlight w:val="none"/>
        </w:rPr>
        <w:br w:type="textWrapping"/>
      </w:r>
      <w:r>
        <w:rPr>
          <w:rFonts w:hint="eastAsia" w:ascii="宋体" w:hAnsi="宋体"/>
          <w:color w:val="auto"/>
          <w:highlight w:val="none"/>
        </w:rPr>
        <w:t xml:space="preserve">    (</w:t>
      </w:r>
      <w:r>
        <w:rPr>
          <w:rFonts w:ascii="宋体" w:hAnsi="宋体"/>
          <w:color w:val="auto"/>
          <w:highlight w:val="none"/>
        </w:rPr>
        <w:t>5</w:t>
      </w:r>
      <w:r>
        <w:rPr>
          <w:rFonts w:hint="eastAsia" w:ascii="宋体" w:hAnsi="宋体"/>
          <w:color w:val="auto"/>
          <w:highlight w:val="none"/>
        </w:rPr>
        <w:t>)</w:t>
      </w:r>
      <w:r>
        <w:rPr>
          <w:rFonts w:ascii="宋体" w:hAnsi="宋体"/>
          <w:color w:val="auto"/>
          <w:highlight w:val="none"/>
        </w:rPr>
        <w:t>项目电子图纸、图片及文字资料所有权归发包人，设计人不得对所提交电子文件设置加密锁、只读格式、附带专项软件启动条件，以及发包人认为不合理的限制格式。</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5.1设计文件包括设计资料、设计文件、设计图纸及其电子版本。</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5.2设计图纸含总体规划方案设计图、总设计说明以及必要的设计资料和设计计算书等附件。</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5.3设计人应按发包人制定的项目编码方式进行文件、图纸的编码，并遵守发包人制定的设计文件、图纸、资料的发放、回收和验收制度。</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5.4设计人须向发包人提交初步设计、扩大初步设计说明书及附图15份，原图15份、初步设计概算 8份、相应的电子设计文件及文档 2份（刻制成光盘）；提交设计施工图纸20份（视招标情况定，并且根据招标要求分册）、设计计算书5份、相应的电子设计文件及文档2份（刻制成光盘）。</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5.5在提交初步设计（部分）及施工设计文件的同时或发包人要求的其他时间，设计人提供进行招标工作所需的工程概况及招标技术规范，各一式15份。</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5.6合同双方取得设计文件或资料后应办理签收手续。</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5.7设计人自行承担办理运输或邮寄或电传设计文件、资料所需的费用。</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5.8设计人将设计文件交至发包人日常办公所在地或发包人临时指定的地点。设计文件的收发、传送管理按发包人有关规定办理。</w:t>
      </w:r>
    </w:p>
    <w:p>
      <w:pPr>
        <w:widowControl/>
        <w:wordWrap w:val="0"/>
        <w:topLinePunct/>
        <w:adjustRightInd w:val="0"/>
        <w:snapToGrid w:val="0"/>
        <w:spacing w:line="480" w:lineRule="exact"/>
        <w:ind w:firstLine="523" w:firstLineChars="218"/>
        <w:rPr>
          <w:rFonts w:ascii="宋体" w:hAnsi="宋体"/>
          <w:color w:val="auto"/>
          <w:sz w:val="24"/>
          <w:highlight w:val="none"/>
        </w:rPr>
      </w:pPr>
      <w:r>
        <w:rPr>
          <w:rFonts w:hint="eastAsia" w:ascii="宋体" w:hAnsi="宋体"/>
          <w:color w:val="auto"/>
          <w:sz w:val="24"/>
          <w:highlight w:val="none"/>
        </w:rPr>
        <w:t>5.9设计总说明必须于提交各阶段成果时同期交付。</w:t>
      </w:r>
    </w:p>
    <w:p>
      <w:pPr>
        <w:widowControl/>
        <w:wordWrap w:val="0"/>
        <w:topLinePunct/>
        <w:adjustRightInd w:val="0"/>
        <w:snapToGrid w:val="0"/>
        <w:spacing w:line="480" w:lineRule="exact"/>
        <w:ind w:firstLine="523" w:firstLineChars="218"/>
        <w:rPr>
          <w:rFonts w:ascii="宋体" w:hAnsi="宋体"/>
          <w:color w:val="auto"/>
          <w:sz w:val="24"/>
          <w:highlight w:val="none"/>
        </w:rPr>
      </w:pPr>
      <w:r>
        <w:rPr>
          <w:rFonts w:hint="eastAsia" w:ascii="宋体" w:hAnsi="宋体"/>
          <w:color w:val="auto"/>
          <w:sz w:val="24"/>
          <w:highlight w:val="none"/>
        </w:rPr>
        <w:t>5.10分包设计费已含分包单位（主设计单位）晒图费用，设计分包单位晒图不再另行支付费用。</w:t>
      </w:r>
    </w:p>
    <w:p>
      <w:pPr>
        <w:widowControl/>
        <w:wordWrap w:val="0"/>
        <w:topLinePunct/>
        <w:adjustRightInd w:val="0"/>
        <w:snapToGrid w:val="0"/>
        <w:spacing w:line="480" w:lineRule="exact"/>
        <w:ind w:firstLine="523" w:firstLineChars="218"/>
        <w:rPr>
          <w:rFonts w:ascii="宋体" w:hAnsi="宋体"/>
          <w:color w:val="auto"/>
          <w:sz w:val="24"/>
          <w:highlight w:val="none"/>
        </w:rPr>
      </w:pPr>
      <w:r>
        <w:rPr>
          <w:rFonts w:hint="eastAsia" w:ascii="宋体" w:hAnsi="宋体"/>
          <w:color w:val="auto"/>
          <w:sz w:val="24"/>
          <w:highlight w:val="none"/>
        </w:rPr>
        <w:t>5.11本合同生效之日起至竣工验收合格后满</w:t>
      </w:r>
      <w:r>
        <w:rPr>
          <w:rFonts w:hint="eastAsia" w:ascii="宋体" w:hAnsi="宋体"/>
          <w:color w:val="auto"/>
          <w:sz w:val="24"/>
          <w:highlight w:val="none"/>
          <w:u w:val="single"/>
        </w:rPr>
        <w:t xml:space="preserve"> 2 </w:t>
      </w:r>
      <w:r>
        <w:rPr>
          <w:rFonts w:hint="eastAsia" w:ascii="宋体" w:hAnsi="宋体"/>
          <w:color w:val="auto"/>
          <w:sz w:val="24"/>
          <w:highlight w:val="none"/>
        </w:rPr>
        <w:t>年为止为服务期限。在服务期内，若发现工程设计未能满足本合同的要求，设计人须继续提供服务，直至满足要求为止，对此发包方不额外支付费用。</w:t>
      </w:r>
    </w:p>
    <w:p>
      <w:pPr>
        <w:widowControl/>
        <w:wordWrap w:val="0"/>
        <w:topLinePunct/>
        <w:adjustRightInd w:val="0"/>
        <w:snapToGrid w:val="0"/>
        <w:spacing w:line="480" w:lineRule="exact"/>
        <w:ind w:firstLine="470" w:firstLineChars="196"/>
        <w:outlineLvl w:val="4"/>
        <w:rPr>
          <w:rFonts w:ascii="宋体" w:hAnsi="宋体"/>
          <w:b/>
          <w:bCs/>
          <w:color w:val="auto"/>
          <w:sz w:val="24"/>
          <w:highlight w:val="none"/>
        </w:rPr>
      </w:pPr>
      <w:r>
        <w:rPr>
          <w:rFonts w:hint="eastAsia" w:ascii="宋体" w:hAnsi="宋体"/>
          <w:b/>
          <w:bCs/>
          <w:color w:val="auto"/>
          <w:sz w:val="24"/>
          <w:highlight w:val="none"/>
        </w:rPr>
        <w:t>第六条 设计费总额金额及支付方式</w:t>
      </w:r>
    </w:p>
    <w:p>
      <w:pPr>
        <w:widowControl/>
        <w:wordWrap w:val="0"/>
        <w:topLinePunct/>
        <w:adjustRightInd w:val="0"/>
        <w:snapToGrid w:val="0"/>
        <w:spacing w:line="480" w:lineRule="exact"/>
        <w:ind w:firstLine="470" w:firstLineChars="196"/>
        <w:rPr>
          <w:rFonts w:ascii="宋体" w:hAnsi="宋体"/>
          <w:b/>
          <w:color w:val="auto"/>
          <w:sz w:val="24"/>
          <w:highlight w:val="none"/>
          <w:shd w:val="pct10" w:color="auto" w:fill="FFFFFF"/>
        </w:rPr>
      </w:pPr>
      <w:r>
        <w:rPr>
          <w:rFonts w:hint="eastAsia" w:ascii="宋体" w:hAnsi="宋体"/>
          <w:color w:val="auto"/>
          <w:sz w:val="24"/>
          <w:highlight w:val="none"/>
        </w:rPr>
        <w:t>6.1设</w:t>
      </w:r>
      <w:r>
        <w:rPr>
          <w:rFonts w:hint="eastAsia" w:ascii="宋体" w:hAnsi="宋体"/>
          <w:b/>
          <w:bCs/>
          <w:color w:val="auto"/>
          <w:sz w:val="24"/>
          <w:highlight w:val="none"/>
        </w:rPr>
        <w:t>计费总额金额及计费标准</w:t>
      </w:r>
    </w:p>
    <w:p>
      <w:pPr>
        <w:widowControl/>
        <w:wordWrap w:val="0"/>
        <w:topLinePunct/>
        <w:adjustRightInd w:val="0"/>
        <w:snapToGrid w:val="0"/>
        <w:spacing w:line="480" w:lineRule="exact"/>
        <w:ind w:firstLine="470" w:firstLineChars="196"/>
        <w:rPr>
          <w:rFonts w:ascii="宋体" w:hAnsi="宋体"/>
          <w:color w:val="auto"/>
          <w:sz w:val="24"/>
          <w:highlight w:val="none"/>
        </w:rPr>
      </w:pPr>
      <w:r>
        <w:rPr>
          <w:rFonts w:hint="eastAsia" w:ascii="宋体" w:hAnsi="宋体"/>
          <w:color w:val="auto"/>
          <w:sz w:val="24"/>
          <w:highlight w:val="none"/>
        </w:rPr>
        <w:t>6.1.</w:t>
      </w:r>
      <w:r>
        <w:rPr>
          <w:rFonts w:hint="eastAsia" w:ascii="宋体" w:hAnsi="宋体"/>
          <w:color w:val="auto"/>
          <w:sz w:val="24"/>
          <w:highlight w:val="none"/>
          <w:u w:val="single"/>
        </w:rPr>
        <w:t>1本工程设计费总额为    万元。</w:t>
      </w:r>
      <w:r>
        <w:rPr>
          <w:rFonts w:hint="eastAsia" w:ascii="宋体" w:hAnsi="宋体"/>
          <w:color w:val="auto"/>
          <w:sz w:val="24"/>
          <w:highlight w:val="none"/>
        </w:rPr>
        <w:t>设计费总额包含本项目未中标单位方案补偿费、本合同项目的全部设计费用、设计文件修改费用、招标配合费用、驻场服务费用、设计调研费、配合发包人进行报建、报审、验收工作、设计人委托有工程造价咨询资质单位编制初步设计概算的费用等设计人为完成本项目设计工作所发生的所有费用及税金。</w:t>
      </w:r>
    </w:p>
    <w:p>
      <w:pPr>
        <w:widowControl/>
        <w:wordWrap w:val="0"/>
        <w:topLinePunct/>
        <w:adjustRightInd w:val="0"/>
        <w:snapToGrid w:val="0"/>
        <w:spacing w:line="480" w:lineRule="exact"/>
        <w:ind w:firstLine="470" w:firstLineChars="196"/>
        <w:rPr>
          <w:rFonts w:ascii="宋体" w:hAnsi="宋体"/>
          <w:color w:val="auto"/>
          <w:sz w:val="24"/>
          <w:highlight w:val="none"/>
        </w:rPr>
      </w:pPr>
      <w:r>
        <w:rPr>
          <w:rFonts w:hint="eastAsia" w:ascii="宋体" w:hAnsi="宋体"/>
          <w:color w:val="auto"/>
          <w:sz w:val="24"/>
          <w:highlight w:val="none"/>
        </w:rPr>
        <w:t>6.1.2设计费按国家计委、建设部颁发的《工程勘察设计收费标准》（计价格[2002]10号）、《关于印发广州市黄埔区 广州开发区政府投资建设项目资金管理办法的通知》（穗埔财〔2020〕373 号）、《广州开发区财政投资建设项目管理中心咨询服务类合同结算编审指引（2021年修订版）》（穗开建管〔2021〕33号）及广州开发区财政局相关规定下浮    计取。本项目设计费总额暂以工程费</w:t>
      </w:r>
      <w:r>
        <w:rPr>
          <w:rFonts w:hint="eastAsia" w:ascii="宋体" w:hAnsi="宋体"/>
          <w:color w:val="auto"/>
          <w:sz w:val="24"/>
          <w:highlight w:val="none"/>
          <w:u w:val="single"/>
        </w:rPr>
        <w:t xml:space="preserve">    </w:t>
      </w:r>
      <w:r>
        <w:rPr>
          <w:rFonts w:hint="eastAsia" w:ascii="宋体" w:hAnsi="宋体"/>
          <w:color w:val="auto"/>
          <w:sz w:val="24"/>
          <w:highlight w:val="none"/>
        </w:rPr>
        <w:t>万元计算，暂定为</w:t>
      </w:r>
      <w:r>
        <w:rPr>
          <w:rFonts w:hint="eastAsia" w:ascii="宋体" w:hAnsi="宋体"/>
          <w:color w:val="auto"/>
          <w:sz w:val="24"/>
          <w:highlight w:val="none"/>
          <w:u w:val="single"/>
        </w:rPr>
        <w:t xml:space="preserve">     </w:t>
      </w:r>
      <w:r>
        <w:rPr>
          <w:rFonts w:hint="eastAsia" w:ascii="宋体" w:hAnsi="宋体"/>
          <w:color w:val="auto"/>
          <w:sz w:val="24"/>
          <w:highlight w:val="none"/>
        </w:rPr>
        <w:t>万元人民币。设计收费结算以区行业主管部门审定的建设项目投资概算中的建安费</w:t>
      </w:r>
      <w:r>
        <w:rPr>
          <w:rFonts w:hint="eastAsia" w:ascii="宋体" w:hAnsi="宋体"/>
          <w:color w:val="auto"/>
          <w:spacing w:val="10"/>
          <w:sz w:val="24"/>
          <w:highlight w:val="none"/>
        </w:rPr>
        <w:t>、设备与工器具购置费和联合试运转费之和（不含施工便道、暂定金等与设备图纸无关项目的费用）为计费额</w:t>
      </w:r>
      <w:r>
        <w:rPr>
          <w:rFonts w:hint="eastAsia" w:ascii="宋体" w:hAnsi="宋体"/>
          <w:color w:val="auto"/>
          <w:sz w:val="24"/>
          <w:highlight w:val="none"/>
        </w:rPr>
        <w:t>，并调整设计费支付。</w:t>
      </w:r>
    </w:p>
    <w:p>
      <w:pPr>
        <w:widowControl/>
        <w:wordWrap w:val="0"/>
        <w:topLinePunct/>
        <w:adjustRightInd w:val="0"/>
        <w:snapToGrid w:val="0"/>
        <w:spacing w:line="480" w:lineRule="exact"/>
        <w:ind w:firstLine="470" w:firstLineChars="196"/>
        <w:rPr>
          <w:rFonts w:ascii="宋体" w:hAnsi="宋体"/>
          <w:color w:val="auto"/>
          <w:sz w:val="24"/>
          <w:highlight w:val="none"/>
        </w:rPr>
      </w:pPr>
      <w:r>
        <w:rPr>
          <w:rFonts w:hint="eastAsia" w:ascii="宋体" w:hAnsi="宋体"/>
          <w:color w:val="auto"/>
          <w:sz w:val="24"/>
          <w:highlight w:val="none"/>
        </w:rPr>
        <w:t>设计费用计算表：（根据工程实际附表）</w:t>
      </w:r>
    </w:p>
    <w:p>
      <w:pPr>
        <w:widowControl/>
        <w:wordWrap w:val="0"/>
        <w:topLinePunct/>
        <w:adjustRightInd w:val="0"/>
        <w:snapToGrid w:val="0"/>
        <w:spacing w:line="480" w:lineRule="exact"/>
        <w:ind w:firstLine="470" w:firstLineChars="196"/>
        <w:rPr>
          <w:rFonts w:ascii="宋体" w:hAnsi="宋体"/>
          <w:b/>
          <w:color w:val="auto"/>
          <w:sz w:val="24"/>
          <w:highlight w:val="none"/>
          <w:shd w:val="pct10" w:color="auto" w:fill="FFFFFF"/>
        </w:rPr>
      </w:pPr>
    </w:p>
    <w:p>
      <w:pPr>
        <w:widowControl/>
        <w:wordWrap w:val="0"/>
        <w:topLinePunct/>
        <w:adjustRightInd w:val="0"/>
        <w:snapToGrid w:val="0"/>
        <w:spacing w:line="480" w:lineRule="exact"/>
        <w:ind w:firstLine="470" w:firstLineChars="196"/>
        <w:rPr>
          <w:rFonts w:ascii="宋体" w:hAnsi="宋体"/>
          <w:color w:val="auto"/>
          <w:sz w:val="24"/>
          <w:highlight w:val="none"/>
        </w:rPr>
      </w:pPr>
    </w:p>
    <w:p>
      <w:pPr>
        <w:widowControl/>
        <w:wordWrap w:val="0"/>
        <w:topLinePunct/>
        <w:adjustRightInd w:val="0"/>
        <w:snapToGrid w:val="0"/>
        <w:spacing w:line="480" w:lineRule="exact"/>
        <w:ind w:firstLine="470" w:firstLineChars="196"/>
        <w:rPr>
          <w:rFonts w:ascii="宋体" w:hAnsi="宋体"/>
          <w:color w:val="auto"/>
          <w:sz w:val="24"/>
          <w:highlight w:val="none"/>
        </w:rPr>
      </w:pPr>
      <w:r>
        <w:rPr>
          <w:rFonts w:hint="eastAsia" w:ascii="宋体" w:hAnsi="宋体"/>
          <w:color w:val="auto"/>
          <w:sz w:val="24"/>
          <w:highlight w:val="none"/>
        </w:rPr>
        <w:t>若本项目实施情况符合《区财政投资基本建设项目非设计单位责任引起建设项目设计工作终止及工程变更的设计费计取管理办法（暂行）》（下称《计取管理办法》）相关规定的，按《计取管理办法》规定计取设计费结算价。</w:t>
      </w:r>
    </w:p>
    <w:p>
      <w:pPr>
        <w:ind w:firstLine="480" w:firstLineChars="200"/>
        <w:rPr>
          <w:rFonts w:ascii="宋体" w:hAnsi="宋体" w:cs="宋体"/>
          <w:color w:val="auto"/>
          <w:kern w:val="0"/>
          <w:sz w:val="24"/>
          <w:highlight w:val="none"/>
        </w:rPr>
      </w:pPr>
    </w:p>
    <w:p>
      <w:pPr>
        <w:widowControl/>
        <w:wordWrap w:val="0"/>
        <w:topLinePunct/>
        <w:adjustRightInd w:val="0"/>
        <w:snapToGrid w:val="0"/>
        <w:spacing w:line="480" w:lineRule="exact"/>
        <w:ind w:firstLine="470" w:firstLineChars="196"/>
        <w:rPr>
          <w:rFonts w:ascii="宋体" w:hAnsi="宋体"/>
          <w:color w:val="auto"/>
          <w:sz w:val="24"/>
          <w:highlight w:val="none"/>
        </w:rPr>
      </w:pPr>
      <w:r>
        <w:rPr>
          <w:rFonts w:hint="eastAsia" w:ascii="宋体" w:hAnsi="宋体"/>
          <w:color w:val="auto"/>
          <w:sz w:val="24"/>
          <w:highlight w:val="none"/>
        </w:rPr>
        <w:t>6.2设计费最终结算价以广州开发区财政局或其授权委托单位审定的结算价为准。如遇审计部门审计发现本合同结算价款存在超付的情形，甲方有权据实要求乙方返还该部分款项。</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b/>
          <w:color w:val="auto"/>
          <w:sz w:val="24"/>
          <w:highlight w:val="none"/>
        </w:rPr>
        <w:t>6.3</w:t>
      </w:r>
      <w:r>
        <w:rPr>
          <w:rFonts w:hint="eastAsia" w:ascii="宋体" w:hAnsi="宋体"/>
          <w:color w:val="auto"/>
          <w:sz w:val="24"/>
          <w:highlight w:val="none"/>
        </w:rPr>
        <w:t>在签订合同或结算阶段，如发包人发现设计人的投标报价不符合招标文件规定的，可进行修正，设计人不得有异议。</w:t>
      </w:r>
    </w:p>
    <w:p>
      <w:pPr>
        <w:widowControl/>
        <w:wordWrap w:val="0"/>
        <w:topLinePunct/>
        <w:adjustRightInd w:val="0"/>
        <w:snapToGrid w:val="0"/>
        <w:spacing w:line="480" w:lineRule="exact"/>
        <w:ind w:firstLine="475" w:firstLineChars="198"/>
        <w:rPr>
          <w:rFonts w:ascii="宋体" w:hAnsi="宋体"/>
          <w:color w:val="auto"/>
          <w:sz w:val="24"/>
          <w:highlight w:val="none"/>
        </w:rPr>
      </w:pPr>
      <w:r>
        <w:rPr>
          <w:rFonts w:hint="eastAsia" w:ascii="宋体" w:hAnsi="宋体"/>
          <w:color w:val="auto"/>
          <w:sz w:val="24"/>
          <w:highlight w:val="none"/>
        </w:rPr>
        <w:t>6.4设计费的支付：</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6.4.1本合同签订,且发包人申请财政拨款到位后15天内，发包人支付设计费暂定价的15%作为定金，计</w:t>
      </w:r>
      <w:r>
        <w:rPr>
          <w:rFonts w:hint="eastAsia" w:ascii="宋体" w:hAnsi="宋体"/>
          <w:color w:val="auto"/>
          <w:sz w:val="24"/>
          <w:highlight w:val="none"/>
          <w:u w:val="single"/>
        </w:rPr>
        <w:t xml:space="preserve">    </w:t>
      </w:r>
      <w:r>
        <w:rPr>
          <w:rFonts w:hint="eastAsia" w:ascii="宋体" w:hAnsi="宋体"/>
          <w:color w:val="auto"/>
          <w:sz w:val="24"/>
          <w:highlight w:val="none"/>
        </w:rPr>
        <w:t>万元（合同履行后，定金抵作设计费）。</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6.4.2设计人交付本项目的全部初步设计文件并通过技术审查，以及设计人提交已按招标文件规定支付投标经济补偿给相应投标人的凭证（如发票、相应投标人的书面确认函等），且发包人申请财政拨款到位后15天内，发包人支付设计费累计至设计费暂定价的30%。</w:t>
      </w:r>
    </w:p>
    <w:p>
      <w:pPr>
        <w:widowControl/>
        <w:wordWrap w:val="0"/>
        <w:topLinePunct/>
        <w:adjustRightInd w:val="0"/>
        <w:snapToGrid w:val="0"/>
        <w:spacing w:line="480" w:lineRule="exact"/>
        <w:ind w:firstLine="480" w:firstLineChars="200"/>
        <w:rPr>
          <w:rFonts w:ascii="宋体" w:hAnsi="宋体"/>
          <w:b/>
          <w:color w:val="auto"/>
          <w:sz w:val="24"/>
          <w:highlight w:val="none"/>
        </w:rPr>
      </w:pPr>
      <w:r>
        <w:rPr>
          <w:rFonts w:hint="eastAsia" w:ascii="宋体" w:hAnsi="宋体"/>
          <w:color w:val="auto"/>
          <w:sz w:val="24"/>
          <w:highlight w:val="none"/>
        </w:rPr>
        <w:t>6.4.3设计人交付全部施工图设计文件并通过审查，且发包人申请财政拨款到位后15天内，发包人按区行业主管部门审定的工程概算调整设计费的支付，累计支付至调整后设计费的</w:t>
      </w:r>
      <w:r>
        <w:rPr>
          <w:rFonts w:hint="eastAsia" w:ascii="宋体" w:hAnsi="宋体"/>
          <w:color w:val="auto"/>
          <w:sz w:val="24"/>
          <w:highlight w:val="none"/>
          <w:u w:val="single"/>
        </w:rPr>
        <w:t xml:space="preserve"> 75 %</w:t>
      </w:r>
      <w:r>
        <w:rPr>
          <w:rFonts w:hint="eastAsia" w:ascii="宋体" w:hAnsi="宋体"/>
          <w:b/>
          <w:color w:val="auto"/>
          <w:sz w:val="24"/>
          <w:highlight w:val="none"/>
        </w:rPr>
        <w:t>。</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6.4.4工程完工初验，工程实施过程中未发生因设计原因引起的超概算及重大设计变更等及设计费结算根据《广州开发区财政投资建设项目管理中心咨询服务类合同结算编审指引（2021年修订版）》办理完毕，且财政拨款到位后15天内，甲方向乙方支付设计费至结算价的90%。</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6.4.5工程完成竣工验收，且发包人申请财政拨款到位后15天内，累计支付至设计费结算价的95%。</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6.4.6工程竣工验收合格满2年后，无发现工程设计质量问题，一次性结清剩余费用(不计利息)。所有设计费支付均需广州开发区财政局拨款到位后且无超付的情况下支付。</w:t>
      </w:r>
    </w:p>
    <w:p>
      <w:pPr>
        <w:widowControl/>
        <w:wordWrap w:val="0"/>
        <w:topLinePunct/>
        <w:adjustRightInd w:val="0"/>
        <w:snapToGrid w:val="0"/>
        <w:spacing w:line="480" w:lineRule="exact"/>
        <w:ind w:firstLine="472" w:firstLineChars="197"/>
        <w:rPr>
          <w:rFonts w:ascii="宋体" w:hAnsi="宋体"/>
          <w:color w:val="auto"/>
          <w:sz w:val="24"/>
          <w:highlight w:val="none"/>
        </w:rPr>
      </w:pPr>
      <w:r>
        <w:rPr>
          <w:rFonts w:hint="eastAsia" w:ascii="宋体" w:hAnsi="宋体"/>
          <w:color w:val="auto"/>
          <w:sz w:val="24"/>
          <w:highlight w:val="none"/>
        </w:rPr>
        <w:t>6.4.7发包人支付的设计费中包含了设计人履行合同所需的所有支出，设计人收款时同时开据发票，税金由设计人自理。</w:t>
      </w:r>
    </w:p>
    <w:p>
      <w:pPr>
        <w:widowControl/>
        <w:wordWrap w:val="0"/>
        <w:topLinePunct/>
        <w:adjustRightInd w:val="0"/>
        <w:snapToGrid w:val="0"/>
        <w:spacing w:line="480" w:lineRule="exact"/>
        <w:ind w:firstLine="472" w:firstLineChars="197"/>
        <w:rPr>
          <w:rFonts w:ascii="宋体" w:hAnsi="宋体"/>
          <w:color w:val="auto"/>
          <w:sz w:val="24"/>
          <w:highlight w:val="none"/>
        </w:rPr>
      </w:pPr>
      <w:r>
        <w:rPr>
          <w:rFonts w:hint="eastAsia" w:ascii="宋体" w:hAnsi="宋体"/>
          <w:color w:val="auto"/>
          <w:sz w:val="24"/>
          <w:highlight w:val="none"/>
        </w:rPr>
        <w:t>6.4.8发包人支付的设计费中包括了对其他投标人的经济补偿费，该费用由设计人按本项目招标文件</w:t>
      </w:r>
      <w:r>
        <w:rPr>
          <w:rFonts w:ascii="宋体" w:hAnsi="宋体"/>
          <w:color w:val="auto"/>
          <w:sz w:val="24"/>
          <w:highlight w:val="none"/>
        </w:rPr>
        <w:t>要求在收到第一笔设计费后</w:t>
      </w:r>
      <w:r>
        <w:rPr>
          <w:rFonts w:hint="eastAsia" w:ascii="宋体" w:hAnsi="宋体"/>
          <w:color w:val="auto"/>
          <w:sz w:val="24"/>
          <w:highlight w:val="none"/>
        </w:rPr>
        <w:t>一个月内应</w:t>
      </w:r>
      <w:r>
        <w:rPr>
          <w:rFonts w:ascii="宋体" w:hAnsi="宋体"/>
          <w:color w:val="auto"/>
          <w:sz w:val="24"/>
          <w:highlight w:val="none"/>
        </w:rPr>
        <w:t>分别</w:t>
      </w:r>
      <w:r>
        <w:rPr>
          <w:rFonts w:hint="eastAsia" w:ascii="宋体" w:hAnsi="宋体"/>
          <w:color w:val="auto"/>
          <w:sz w:val="24"/>
          <w:highlight w:val="none"/>
        </w:rPr>
        <w:t>支付</w:t>
      </w:r>
      <w:r>
        <w:rPr>
          <w:rFonts w:ascii="宋体" w:hAnsi="宋体"/>
          <w:color w:val="auto"/>
          <w:sz w:val="24"/>
          <w:highlight w:val="none"/>
        </w:rPr>
        <w:t>给未中标单位</w:t>
      </w:r>
      <w:r>
        <w:rPr>
          <w:rFonts w:hint="eastAsia" w:ascii="宋体" w:hAnsi="宋体"/>
          <w:color w:val="auto"/>
          <w:sz w:val="24"/>
          <w:highlight w:val="none"/>
        </w:rPr>
        <w:t>，</w:t>
      </w:r>
      <w:r>
        <w:rPr>
          <w:rFonts w:ascii="宋体" w:hAnsi="宋体"/>
          <w:color w:val="auto"/>
          <w:sz w:val="24"/>
          <w:highlight w:val="none"/>
        </w:rPr>
        <w:t>并提交已按招标文件规定支付投标经济补偿给相应投标人的凭证（如发票、相应投标人的书面确认函等），</w:t>
      </w:r>
      <w:r>
        <w:rPr>
          <w:rFonts w:hint="eastAsia" w:ascii="宋体" w:hAnsi="宋体"/>
          <w:color w:val="auto"/>
          <w:sz w:val="24"/>
          <w:highlight w:val="none"/>
        </w:rPr>
        <w:t>否则，发包人有权</w:t>
      </w:r>
      <w:r>
        <w:rPr>
          <w:rFonts w:ascii="宋体" w:hAnsi="宋体"/>
          <w:color w:val="auto"/>
          <w:sz w:val="24"/>
          <w:highlight w:val="none"/>
        </w:rPr>
        <w:t>暂停支付第二笔设计费，</w:t>
      </w:r>
      <w:r>
        <w:rPr>
          <w:rFonts w:hint="eastAsia" w:ascii="宋体" w:hAnsi="宋体"/>
          <w:color w:val="auto"/>
          <w:sz w:val="24"/>
          <w:highlight w:val="none"/>
        </w:rPr>
        <w:t>直接从设计费中扣减应支付给其他投标人的经济补偿费。</w:t>
      </w:r>
    </w:p>
    <w:p>
      <w:pPr>
        <w:widowControl/>
        <w:wordWrap w:val="0"/>
        <w:topLinePunct/>
        <w:adjustRightInd w:val="0"/>
        <w:snapToGrid w:val="0"/>
        <w:spacing w:line="480" w:lineRule="exact"/>
        <w:ind w:firstLine="472" w:firstLineChars="197"/>
        <w:rPr>
          <w:rFonts w:ascii="宋体" w:hAnsi="宋体"/>
          <w:color w:val="auto"/>
          <w:sz w:val="24"/>
          <w:highlight w:val="none"/>
        </w:rPr>
      </w:pPr>
      <w:r>
        <w:rPr>
          <w:rFonts w:hint="eastAsia" w:ascii="宋体" w:hAnsi="宋体"/>
          <w:color w:val="auto"/>
          <w:sz w:val="24"/>
          <w:highlight w:val="none"/>
          <w:u w:val="wave"/>
        </w:rPr>
        <w:t>如因规划建设原因取消本项目实施，设计人未开展实际性工作，上述投标经济补偿由发包人承担，即该种情形下设计合同结算价为上述投标经济补偿总额，设计人收取合同价款后及时支付投标补偿费给各投标人。其它情形的投标补偿费均包含在设计费中。</w:t>
      </w:r>
    </w:p>
    <w:p>
      <w:pPr>
        <w:widowControl/>
        <w:wordWrap w:val="0"/>
        <w:topLinePunct/>
        <w:adjustRightInd w:val="0"/>
        <w:snapToGrid w:val="0"/>
        <w:spacing w:line="480" w:lineRule="exact"/>
        <w:ind w:firstLine="472" w:firstLineChars="197"/>
        <w:rPr>
          <w:rFonts w:ascii="宋体" w:hAnsi="宋体"/>
          <w:color w:val="auto"/>
          <w:sz w:val="24"/>
          <w:highlight w:val="none"/>
        </w:rPr>
      </w:pPr>
      <w:r>
        <w:rPr>
          <w:rFonts w:hint="eastAsia" w:ascii="宋体" w:hAnsi="宋体"/>
          <w:color w:val="auto"/>
          <w:sz w:val="24"/>
          <w:highlight w:val="none"/>
        </w:rPr>
        <w:t>6.4.9 发包人付给设计人的款项为设计人与本项目有关的唯一报酬，设计人在与本项目有关的活动中，或在履行合同义务时，不应为私利而接受佣金、回扣或类似费用，一经发现该部分款项从发包人支付给设计人的费用中扣减。</w:t>
      </w:r>
    </w:p>
    <w:p>
      <w:pPr>
        <w:widowControl/>
        <w:wordWrap w:val="0"/>
        <w:topLinePunct/>
        <w:adjustRightInd w:val="0"/>
        <w:snapToGrid w:val="0"/>
        <w:spacing w:line="480" w:lineRule="exact"/>
        <w:ind w:firstLine="472" w:firstLineChars="197"/>
        <w:rPr>
          <w:rFonts w:ascii="宋体" w:hAnsi="宋体"/>
          <w:color w:val="auto"/>
          <w:sz w:val="24"/>
          <w:highlight w:val="none"/>
        </w:rPr>
      </w:pPr>
      <w:r>
        <w:rPr>
          <w:rFonts w:hint="eastAsia" w:ascii="宋体" w:hAnsi="宋体"/>
          <w:color w:val="auto"/>
          <w:sz w:val="24"/>
          <w:highlight w:val="none"/>
        </w:rPr>
        <w:t>6.4.10 必要性的专项设计单位由设计人推荐，报发包人批准后承担设计任务，相应费用由设计人支付。</w:t>
      </w:r>
    </w:p>
    <w:p>
      <w:pPr>
        <w:widowControl/>
        <w:wordWrap w:val="0"/>
        <w:topLinePunct/>
        <w:adjustRightInd w:val="0"/>
        <w:snapToGrid w:val="0"/>
        <w:spacing w:line="480" w:lineRule="exact"/>
        <w:ind w:firstLine="472" w:firstLineChars="197"/>
        <w:rPr>
          <w:rFonts w:ascii="宋体" w:hAnsi="宋体"/>
          <w:color w:val="auto"/>
          <w:sz w:val="24"/>
          <w:highlight w:val="none"/>
        </w:rPr>
      </w:pPr>
      <w:r>
        <w:rPr>
          <w:rFonts w:hint="eastAsia" w:ascii="宋体" w:hAnsi="宋体"/>
          <w:color w:val="auto"/>
          <w:sz w:val="24"/>
          <w:highlight w:val="none"/>
        </w:rPr>
        <w:t>6.4.11 设计人为联合体的，设计费的分配由其自行决定，与发包人无关。</w:t>
      </w:r>
    </w:p>
    <w:p>
      <w:pPr>
        <w:widowControl/>
        <w:wordWrap w:val="0"/>
        <w:topLinePunct/>
        <w:adjustRightInd w:val="0"/>
        <w:snapToGrid w:val="0"/>
        <w:spacing w:line="480" w:lineRule="exact"/>
        <w:ind w:firstLine="307" w:firstLineChars="128"/>
        <w:outlineLvl w:val="4"/>
        <w:rPr>
          <w:rFonts w:ascii="宋体" w:hAnsi="宋体"/>
          <w:b/>
          <w:bCs/>
          <w:color w:val="auto"/>
          <w:sz w:val="24"/>
          <w:highlight w:val="none"/>
        </w:rPr>
      </w:pPr>
      <w:r>
        <w:rPr>
          <w:rFonts w:hint="eastAsia" w:ascii="宋体" w:hAnsi="宋体"/>
          <w:b/>
          <w:bCs/>
          <w:color w:val="auto"/>
          <w:sz w:val="24"/>
          <w:highlight w:val="none"/>
        </w:rPr>
        <w:t>第七条  双方的权利与义务</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7.1发包人义务</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7.1.1发包人按本合同第四条规定的内容，在约定的时间内向设计人提交资料及文件，并对其完整性、正确性及时限负责，发包人不得要求设计人违反国家有关标准进行设计。</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7.1.2发包人所提供的设计依据仅为参考，最终以政府规划部门批复的相关文件为准，如政府批复的规划设计依据与发包人提供的设计依据不符，由此产生的设计修改费用已包含在设计费总额内，发包人不再另行支付，项目立项投资调整引起的设计修改除外。</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7.1.3发包人要求设计人比合同约定时间提前支付设计资料及文件时，如果设计人能够做到，发包人应根据设计人提前投入的工作量，向设计人支付赶工费。</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7.1.4发包人应保护设计人的投标书、设计方案、文件、资料图纸、数据、计算软件和专利技术。未经设计人同意，发包人对设计人交付的设计资料及文件不得擅自修改或向第三人转让或用于本合同外的项目，如发生以上情况，发包人应负法律责任，设计人有权向发包人提出索赔。</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7.2设计人义务</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7.2.1设计人应按国家技术规范、标准、规定及发包人提出的设计要求，进行工程设计，按合同规定的进度要求提交质量合格的设计资料，并对其负责。</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7.2.2设计采用的主要技术标准：现行国家有关技术标准 。</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7.2.3设计合理使用年限按国家规定。</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7.2.4设计人按本合同第三条和第五条约定的内容、进度及份数向发包人交付资料及文件。</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7.2.5设计人交付设计资料及文件后，按规定参加有关的设计审查，并根据审查结论负责对设计的内容做必要调整、补充及修改。设计人按合同约定时限交付设计资料及文件，并负责向发包人及施工单位进行设计交底、处理有关设计问题和参加竣工验收。</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7.2.6设计人应保护发包人的知识产权，不得向第三人泄露、转让发包人提交的产品图纸等技术经济资料。如发生以上情况并给发包人造成经济损失，发包人有权向设计人索赔。</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7.2.7对涉及安全或对投资影响重大的有关计算，在发包人提出特别要求时，设计人必须提供设计输入条件、基础数据、计算原理和方法以及计算成果，方便发包人在必要时使用其他计算程序进行验算。设计人有解释的义务，不得以专利和知识产权为借口拒绝配合。</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7.2.8设计人应承担现场工作必要的费用，包括交通、伙食、差旅、办公费等。</w:t>
      </w:r>
    </w:p>
    <w:p>
      <w:pPr>
        <w:widowControl/>
        <w:wordWrap w:val="0"/>
        <w:topLinePunct/>
        <w:adjustRightInd w:val="0"/>
        <w:snapToGrid w:val="0"/>
        <w:spacing w:line="480" w:lineRule="exact"/>
        <w:ind w:firstLine="480" w:firstLineChars="200"/>
        <w:rPr>
          <w:rFonts w:ascii="宋体" w:hAnsi="宋体"/>
          <w:strike/>
          <w:color w:val="auto"/>
          <w:sz w:val="24"/>
          <w:highlight w:val="none"/>
        </w:rPr>
      </w:pPr>
      <w:r>
        <w:rPr>
          <w:rFonts w:hint="eastAsia" w:ascii="宋体" w:hAnsi="宋体"/>
          <w:color w:val="auto"/>
          <w:sz w:val="24"/>
          <w:highlight w:val="none"/>
        </w:rPr>
        <w:t>7.2.9设计人须承担确保设计协调和设计服务工作质量所必需的各种设计方案评审会议及专家费用等。</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7.2.10在项目实施过程中，如非因设计人原因所引起的设计变更，需重新进行方案初步设计报审或施工图报建的，若设计变更后的方案初步设计经建设部门审批或施工图报建经规划部门批准的，则设计变更部分按设计单位投入的人员、材料成本给予补偿（但设计收费及成本补偿总额不得超过招标的规模标准，否则须按有关规定另行招标）；若设计变更后的初步设计或施工图报建未经建设或规划部门批准的，则设计变更部分不另行计取设计费，费用已包含在原设计费总额内。</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7.2.11若设计人编制的初步设计概算超出发包人审定的初步设计概算，设计人须保证根据评审专家和发包人的意见，进行方案修改，并承诺该修改不改变有关设计和规划的原则、内容与要求，不改变原方案设计的构思，不降低使用功能与设计质量标准，不增加设计费用，并承担一切的责任和损失。如果施工图预算超出经确认的初步设计概算，设计人必须保证在初步设计的基础上对施工图进行修改，项目立项投资调整而引起的设计概算修改除外。</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7.2.12如本项目包含外电等配套工程内容，且设计人根据相关规定分包给有资质的单位负责实施的，设计人与分包单位向发包人承担连带责任。</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7.3发包人权利</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7.3.1 享有设计人设计文件的版权、所有权和全部使用权。</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7.3.2 设计人在设计投资控制、设计进度控制、设计质量控制、设计组织及人员管理、设计配合、设计服务、设计分包管理等方面履行义务不符合合同规定时，发包人有追究违约责任、要求赔偿损失等权利；同时，发包人还有权将设计人存在的上述违约事实公诸于众和向有关部门反映情况。</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7.3.3 发包人有权聘请设计咨询单位作为本合同约定项目的设计咨询和设计监理，设计人应接受该设计咨询单位按照相关设计咨询法规和发包人赋予的权利所进行的咨询和监理工作。此外，发包人还有权聘请国内具备相应资质的监理公司作为本合同的设计监理，设计人应接受专业监理公司提出的合理意见。</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7.3.4 设计变更的审批权、设计进度的监督权。</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7.3.5 其他依据合同和法律规定属于发包人的权利。</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7.4设计人的权利</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7.4.1按时收取设计费。</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7.4.2 拥有设计成果的署名权。</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7.4.3 在设计方案、图纸未审批之前和不影响工期的情况下，有权提出修改方案、图纸的建议。</w:t>
      </w:r>
    </w:p>
    <w:p>
      <w:pPr>
        <w:widowControl/>
        <w:wordWrap w:val="0"/>
        <w:topLinePunct/>
        <w:adjustRightInd w:val="0"/>
        <w:snapToGrid w:val="0"/>
        <w:spacing w:line="480" w:lineRule="exact"/>
        <w:ind w:firstLine="307" w:firstLineChars="128"/>
        <w:outlineLvl w:val="4"/>
        <w:rPr>
          <w:rFonts w:ascii="宋体" w:hAnsi="宋体"/>
          <w:b/>
          <w:bCs/>
          <w:color w:val="auto"/>
          <w:sz w:val="24"/>
          <w:highlight w:val="none"/>
        </w:rPr>
      </w:pPr>
      <w:r>
        <w:rPr>
          <w:rFonts w:hint="eastAsia" w:ascii="宋体" w:hAnsi="宋体"/>
          <w:b/>
          <w:bCs/>
          <w:color w:val="auto"/>
          <w:sz w:val="24"/>
          <w:highlight w:val="none"/>
        </w:rPr>
        <w:t>第八条 违约责任：</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8.1发包人应按本合同第六条约定的金额和时间向设计人支付设计费，每逾期支付一天，应承担该阶段应支付金额的千分之二的逾期违约金。逾期超过30天以上时，设计人有权暂停履行下阶段工作并书面通知发包人。</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8.2设计人未按约定时间提交设计成果的，每超过一日，应减收设计费的千分之三。</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8.3设计人对设计资料及文件出现的遗漏或错误负责修改或补充。由于设计错误造成工程质量事故损失，设计人除负责采取补救措施，按设计收费的30%向发包人支付违约金外，还应按《中华人民共和国建筑法》、《建设工程质量管理条例》、《建设工程勘察设计管理条例》及有关法律法规规定承担相应法律责任。</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8.4合同生效后，设计人要求终止或解除合同，设计人应双倍返还定金。</w:t>
      </w:r>
    </w:p>
    <w:p>
      <w:pPr>
        <w:widowControl/>
        <w:wordWrap w:val="0"/>
        <w:topLinePunct/>
        <w:adjustRightInd w:val="0"/>
        <w:snapToGrid w:val="0"/>
        <w:spacing w:line="480" w:lineRule="exact"/>
        <w:ind w:firstLine="470" w:firstLineChars="196"/>
        <w:outlineLvl w:val="4"/>
        <w:rPr>
          <w:rFonts w:ascii="宋体" w:hAnsi="宋体"/>
          <w:b/>
          <w:bCs/>
          <w:color w:val="auto"/>
          <w:sz w:val="24"/>
          <w:highlight w:val="none"/>
        </w:rPr>
      </w:pPr>
      <w:r>
        <w:rPr>
          <w:rFonts w:hint="eastAsia" w:ascii="宋体" w:hAnsi="宋体"/>
          <w:b/>
          <w:bCs/>
          <w:color w:val="auto"/>
          <w:sz w:val="24"/>
          <w:highlight w:val="none"/>
        </w:rPr>
        <w:t>第九条 设计投资控制</w:t>
      </w:r>
    </w:p>
    <w:p>
      <w:pPr>
        <w:widowControl/>
        <w:wordWrap w:val="0"/>
        <w:topLinePunct/>
        <w:adjustRightInd w:val="0"/>
        <w:snapToGrid w:val="0"/>
        <w:spacing w:line="480" w:lineRule="exact"/>
        <w:ind w:firstLine="470" w:firstLineChars="196"/>
        <w:rPr>
          <w:rFonts w:ascii="宋体" w:hAnsi="宋体"/>
          <w:color w:val="auto"/>
          <w:sz w:val="24"/>
          <w:highlight w:val="none"/>
        </w:rPr>
      </w:pPr>
      <w:r>
        <w:rPr>
          <w:rFonts w:hint="eastAsia" w:ascii="宋体" w:hAnsi="宋体"/>
          <w:color w:val="auto"/>
          <w:sz w:val="24"/>
          <w:highlight w:val="none"/>
        </w:rPr>
        <w:t>9.1限额设计</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9.1.1本工程设计投资限额为经批准的项目可行性研究报告投资额（按规定不需要编制项目可行性研究报告的项目，则为项目立项投资额）。发包人据此制定投资分解目标，实行限额设计。在保证设计质量的前提下，设计人应按投资限额进行设计，严格控制设计变更，确保工程概、预算不突破限额目标。</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9.1.2设计人遵循功能适用、标准合理、经济合理的原则开展设计，在投资限额目标的基础上结合项目设计内容进一步分解投资，明确投资控制主要指标，在编制设计概、预算时逐步细化落实。</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9.1.3设计人在限额设计范围内应充分运用性价比分析、多方案（不少于2个）技术经济比较等技术手段，对设计方案进行优化。在所有方案比较的过程中，必须进行相应深度的投资估算比较，确保方案的可比性，并提供相应的工程数量表、主要材料表、主要设备清单等，在确保工程质量的前提下，降低工程投资。</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9.1.4设计人有关设计的任何修改、变动或由于修改设计所引起的工艺、技术材料、设备的变更如引起投资限额的突破均须经过发包人审批同意。</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9.1.5设计人未经发包人同意突破工程投资限额设计、视为违约，应承担相应责任，并从总设计费中扣除超出限额部分的设计费的两倍作为处罚。</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9.2设计优化和技术经济分析论证</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9.2.1设计方案必须进行技术经济分析。通过对设计方案、工艺、设备等进行全面的评价，在满足功能要求的前提下采用技术经济优化，可以有效控制工程投资的方案。</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9.2.2在保证方案的可实施和可操作性前提下，设计中凡能进行定量分析的设计内容，应通过计算，用数据说明其技术经济的合理性。同时向发包人提供技术经济分析资料，以力求设计成果能充分体现设计优化的原则。</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9.2.3设计人必须对设计方案进行多方案比较和优化，比较方案应具有可比性。方案比较必须通过技术经济分析，完成单位或单项工程的估算编制，确保设计深度能够满足编制工程概算的需要。对于超投资限额的，应在保证设计质量的前提下自行修改，如确实需要增加的，必须报发包人审查，取得发包人书面同意后方可修正。</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9.2.4为确保设计优化和投资控制，设计人必须对整体设计方案、主要基础形式、主体结构选型、截面方案、大宗建材（单项总投资额200万以上）使用、主要设备（单价投资额50万元以上或总投资额100万元以上）选型等对建成使用和建设投资有重大影响的因素进行经济技术多方案比选和性价比分析，并提交正式的书面报告报发包人确认。</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9.2.5设计人进行经济指标分析时，应提出所采用经济分析的单项指标、综合指标及相应的依据、理由，对主要设备、材料的选用，应经过充分的询价、分析、积累技术经济资料，推荐选用的设备、材料，应注明规格、型号、性能、技术指标等，并提出质量、功能方面的要求，确保投资概算的合理与稳定。对特殊情况需追加投资的，应遵循合理、经济、科学、有效的原则，严格控制。无确切、合理理由的，并未经发包人审批，不得随意突破限额。</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9.3概算</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9.3.1设计人必须在方案设计审查、扩大初步设计审查和施工图审查时提交相应深度的投资估算、概算，对投资限额目标作进一步的细化，并按设计深度提供相应的主要材料工程数量表、设备清单、数量及询价资料，概算计算书、编制说明书。</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9.3.2设计概算的计算指标分析应提供依据，计算数据应经有关部门或人员确认，确认后不得随意修改。没有定额的指标必须进行指标分析，针对本工程的特点合理确定，杜绝机械性地套用广州其它类似工程指标的做法。</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9.3.3设计人应对概算的准确性负责，认真分析可能影响造价的各种因素（如自然条件、生产工艺和施工条件等），准确选用定额、费用和价格等各项编制依据，使概算能够完整地反映设计内容，合理地反映施工条件，准确地确定工程造价。</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9.3.4设计概算应结合工程招投标的需要编制，单位、单项工程，分部、分项工程的划分原则必须统一，编码必须一致，便于投资分析和验工计价时的检索。编制单元及章节划分应符合投资控制的需要，方便发包人根据工程招标的标段灵活组合。</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9.3.6发包人有权聘请有资质的单位审查设计人造价文件的客观性、准确性。如果工程概算超出限定的工程造价，设计人必须对初步设计进行修改，并承诺修改不改变有关设计和规划的原则、内容与要求，不改变原方案设计的构思，不降低使用功能与设计质量标准。发包人对此修改不支付附加设计费用。</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9.4设计变更</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9.4.1工程建设过程中因各种原因所发生的设计变更，按广州开发区、黄埔区及发包人相关规定执行。设计人在办理设计变更手续时，应明确设计变更的原因、种类、责任认定等。</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9.4.2设计人应承诺能够根据工程需要修改设计，对所承担项目设计的完整性负责，且修改设计完成时限应满足工程建设需要并符合本合同要求。</w:t>
      </w:r>
    </w:p>
    <w:p>
      <w:pPr>
        <w:widowControl/>
        <w:wordWrap w:val="0"/>
        <w:topLinePunct/>
        <w:adjustRightInd w:val="0"/>
        <w:snapToGrid w:val="0"/>
        <w:spacing w:line="480" w:lineRule="exact"/>
        <w:ind w:firstLine="307" w:firstLineChars="128"/>
        <w:outlineLvl w:val="4"/>
        <w:rPr>
          <w:rFonts w:ascii="宋体" w:hAnsi="宋体"/>
          <w:b/>
          <w:bCs/>
          <w:color w:val="auto"/>
          <w:sz w:val="24"/>
          <w:highlight w:val="none"/>
        </w:rPr>
      </w:pPr>
      <w:r>
        <w:rPr>
          <w:rFonts w:hint="eastAsia" w:ascii="宋体" w:hAnsi="宋体"/>
          <w:b/>
          <w:bCs/>
          <w:color w:val="auto"/>
          <w:sz w:val="24"/>
          <w:highlight w:val="none"/>
        </w:rPr>
        <w:t>第十条 设计质量的组织保证与人员管理制度</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10.1设计人应根据设计任务建立项目组，从组织上保证投入的人力、物力能满足设计开展的需要，保证不同设计时段、阶段设计工作的连续性和外部接口衔接的连贯性。</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10.2在设计高峰或发包人认为有必要时，设计人必须集中设计人员确保设计进度，凡因人员不到位而影响设计工作的，发包人有权根据实际情况扣减设计费直至解除合同等。</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10.3本合同有效期内，设计人员明确分工各负责的基础上，设计人承诺为本项目指定的设计总负责人为</w:t>
      </w:r>
      <w:r>
        <w:rPr>
          <w:rFonts w:hint="eastAsia" w:ascii="宋体" w:hAnsi="宋体"/>
          <w:color w:val="auto"/>
          <w:sz w:val="24"/>
          <w:highlight w:val="none"/>
          <w:u w:val="single"/>
        </w:rPr>
        <w:t xml:space="preserve">    </w:t>
      </w:r>
      <w:r>
        <w:rPr>
          <w:rFonts w:hint="eastAsia" w:ascii="宋体" w:hAnsi="宋体"/>
          <w:color w:val="auto"/>
          <w:sz w:val="24"/>
          <w:highlight w:val="none"/>
        </w:rPr>
        <w:t>以上职务，高级职称，其设计经历</w:t>
      </w:r>
      <w:r>
        <w:rPr>
          <w:rFonts w:hint="eastAsia" w:ascii="宋体" w:hAnsi="宋体"/>
          <w:color w:val="auto"/>
          <w:sz w:val="24"/>
          <w:highlight w:val="none"/>
          <w:u w:val="single"/>
        </w:rPr>
        <w:t xml:space="preserve">   </w:t>
      </w:r>
      <w:r>
        <w:rPr>
          <w:rFonts w:hint="eastAsia" w:ascii="宋体" w:hAnsi="宋体"/>
          <w:color w:val="auto"/>
          <w:sz w:val="24"/>
          <w:highlight w:val="none"/>
        </w:rPr>
        <w:t>年以上，且担任过</w:t>
      </w:r>
      <w:r>
        <w:rPr>
          <w:rFonts w:hint="eastAsia" w:ascii="宋体" w:hAnsi="宋体"/>
          <w:color w:val="auto"/>
          <w:sz w:val="24"/>
          <w:highlight w:val="none"/>
          <w:u w:val="single"/>
        </w:rPr>
        <w:t xml:space="preserve">    专业（含相近专业）</w:t>
      </w:r>
      <w:r>
        <w:rPr>
          <w:rFonts w:hint="eastAsia" w:ascii="宋体" w:hAnsi="宋体"/>
          <w:color w:val="auto"/>
          <w:sz w:val="24"/>
          <w:highlight w:val="none"/>
        </w:rPr>
        <w:t>工程的设计总负责人。</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10.4设计人承诺为本项目指定的各专业设计负责人为</w:t>
      </w:r>
      <w:r>
        <w:rPr>
          <w:rFonts w:hint="eastAsia" w:ascii="宋体" w:hAnsi="宋体"/>
          <w:color w:val="auto"/>
          <w:sz w:val="24"/>
          <w:highlight w:val="none"/>
          <w:u w:val="single"/>
        </w:rPr>
        <w:t xml:space="preserve">   及</w:t>
      </w:r>
      <w:r>
        <w:rPr>
          <w:rFonts w:hint="eastAsia" w:ascii="宋体" w:hAnsi="宋体"/>
          <w:color w:val="auto"/>
          <w:sz w:val="24"/>
          <w:highlight w:val="none"/>
        </w:rPr>
        <w:t>以上职称，设计经历在</w:t>
      </w:r>
      <w:r>
        <w:rPr>
          <w:rFonts w:hint="eastAsia" w:ascii="宋体" w:hAnsi="宋体"/>
          <w:color w:val="auto"/>
          <w:sz w:val="24"/>
          <w:highlight w:val="none"/>
          <w:u w:val="single"/>
        </w:rPr>
        <w:t xml:space="preserve">   </w:t>
      </w:r>
      <w:r>
        <w:rPr>
          <w:rFonts w:hint="eastAsia" w:ascii="宋体" w:hAnsi="宋体"/>
          <w:color w:val="auto"/>
          <w:sz w:val="24"/>
          <w:highlight w:val="none"/>
        </w:rPr>
        <w:t>年以上，每个专业至少配备</w:t>
      </w:r>
      <w:r>
        <w:rPr>
          <w:rFonts w:hint="eastAsia" w:ascii="宋体" w:hAnsi="宋体"/>
          <w:color w:val="auto"/>
          <w:sz w:val="24"/>
          <w:highlight w:val="none"/>
          <w:u w:val="single"/>
        </w:rPr>
        <w:t xml:space="preserve">   </w:t>
      </w:r>
      <w:r>
        <w:rPr>
          <w:rFonts w:hint="eastAsia" w:ascii="宋体" w:hAnsi="宋体"/>
          <w:color w:val="auto"/>
          <w:sz w:val="24"/>
          <w:highlight w:val="none"/>
        </w:rPr>
        <w:t>名高级工程师。</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10.5设计人承诺为本项目指定的驻场设计代表总负责人为本项目设计负责人之一，</w:t>
      </w:r>
      <w:r>
        <w:rPr>
          <w:rFonts w:hint="eastAsia" w:ascii="宋体" w:hAnsi="宋体"/>
          <w:color w:val="auto"/>
          <w:sz w:val="24"/>
          <w:highlight w:val="none"/>
          <w:u w:val="single"/>
        </w:rPr>
        <w:t xml:space="preserve">   </w:t>
      </w:r>
      <w:r>
        <w:rPr>
          <w:rFonts w:hint="eastAsia" w:ascii="宋体" w:hAnsi="宋体"/>
          <w:color w:val="auto"/>
          <w:sz w:val="24"/>
          <w:highlight w:val="none"/>
        </w:rPr>
        <w:t>职称，其设计经历在</w:t>
      </w:r>
      <w:r>
        <w:rPr>
          <w:rFonts w:hint="eastAsia" w:ascii="宋体" w:hAnsi="宋体"/>
          <w:color w:val="auto"/>
          <w:sz w:val="24"/>
          <w:highlight w:val="none"/>
          <w:u w:val="single"/>
        </w:rPr>
        <w:t xml:space="preserve">   </w:t>
      </w:r>
      <w:r>
        <w:rPr>
          <w:rFonts w:hint="eastAsia" w:ascii="宋体" w:hAnsi="宋体"/>
          <w:color w:val="auto"/>
          <w:sz w:val="24"/>
          <w:highlight w:val="none"/>
        </w:rPr>
        <w:t>年以上，担任过</w:t>
      </w:r>
      <w:r>
        <w:rPr>
          <w:rFonts w:hint="eastAsia" w:ascii="宋体" w:hAnsi="宋体"/>
          <w:color w:val="auto"/>
          <w:sz w:val="24"/>
          <w:highlight w:val="none"/>
          <w:u w:val="single"/>
        </w:rPr>
        <w:t xml:space="preserve">   专业（含相近专业）</w:t>
      </w:r>
      <w:r>
        <w:rPr>
          <w:rFonts w:hint="eastAsia" w:ascii="宋体" w:hAnsi="宋体"/>
          <w:color w:val="auto"/>
          <w:sz w:val="24"/>
          <w:highlight w:val="none"/>
        </w:rPr>
        <w:t>工程的设计总负责人。设计人保证驻场设计代表总负责人能够全权代表设计人，并向发包人出具相应的授权文件。</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10.6设计人承诺项目主要专业</w:t>
      </w:r>
      <w:r>
        <w:rPr>
          <w:rFonts w:hint="eastAsia" w:ascii="宋体" w:hAnsi="宋体"/>
          <w:color w:val="auto"/>
          <w:sz w:val="24"/>
          <w:highlight w:val="none"/>
          <w:u w:val="single"/>
        </w:rPr>
        <w:t xml:space="preserve">   专业</w:t>
      </w:r>
      <w:r>
        <w:rPr>
          <w:rFonts w:hint="eastAsia" w:ascii="宋体" w:hAnsi="宋体"/>
          <w:color w:val="auto"/>
          <w:sz w:val="24"/>
          <w:highlight w:val="none"/>
        </w:rPr>
        <w:t>的设计负责人作为设计代表常驻现场，服务于项目建设的始终。</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10.7设计人承诺应发包人要求，委派承担本项目设计的其它专业的设计负责人作为设计代表驻现场，提供专业齐全的配套服务。</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10.8设计人承诺随项目的推进，除10.3、10.4、10.5条所指定人员外另委派各专业设计代表常驻现场，每专业至少1人。</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10.9项目设计总负责人，各专业设计负责人，驻场设计代表总负责人，驻场设计代表的经验、能力和健康状况应能够胜任所承担任务的设计、组织、计划、协调工作。</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10.10设计人须报送项目设计总负责人，各专业设计负责人、其它参与设计工作的人员姓名、年龄、学历、专业、职称、职务、相关经历和主要技术成果以及在本项目中负责的设计任务等资料。</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10.11设计人须报送驻场设计代表负责人，驻场设计代表人员的姓名、年龄、学历、专业、职称、职务、相关经历和主要技术成果以及驻场授权工作范围、驻场时间安排等资料。</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10.12设计人必须保证参与本项目设计人员的稳定性，设计人如需更换项目设计总负责人、各专业设计负责人、驻场设计代表总负责人和驻场设计代表，应提前7天以书面形式通知发包人并征得发包人同意后方可撤换。同时发包人认为项目设计总负责人、各专业设计负责人、驻场设计代表总负责人和驻场设计代表不称职时，设计人应当在收到发包人的书面通知后5天内更换，更换人员的资历不得低于本合同相应条款对各类设计人员资历规定的要求，且更换人员须先经过发包人确认。若设计人对发包人要求更换人员有异议时，可进行申诉，若申诉后发包人仍然要求更换，则设计人应无条件进行更换，否则视设计人该人员从发包人发出更换通知的时间开始擅自离岗。</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10.13设计人必须加强设计人员职业操守的教育，本项目设计人员需共同遵守设计人员职业道德守则，并严格遵守以下规定：</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10.13.1严防重产值、轻质量倾向，确保公众人身及财产安全。</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10.13.2禁止向发包人及施工单位推销材料、设备，或以倾向性、排他性设计变相推销。</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10.13.3禁止与材料、设备供应商串通，设计中选用价高质次的材料、设备。</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10.13.4禁止与材料、设备供应商串通，在材料、设备的监造或调试过程中对不合格材料、设备产品进行包庇或以次充好，提高产品验收级别。</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10.13.5禁止与施工单位串通，对不合格材料、设备、产品、工程进行包庇及验收。</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10.13.6禁止与施工单位串通，对材料用量、工程量进行虚假签认。</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10.13.7禁止与施工单位串通，不合理提高施工难度及增加材料用量，以增大施工费用，获取不正当收益。</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10.14凡违背以上规定者，一经查实，发包人有权向有关部门反映情况，追究设计人及有关责任人相关责任，要求赔偿相关损失，并将上述违反职业道德的行为通过新闻媒体公诸于众，情节严重者移交司法机关追究法律责任。</w:t>
      </w:r>
    </w:p>
    <w:p>
      <w:pPr>
        <w:widowControl/>
        <w:wordWrap w:val="0"/>
        <w:topLinePunct/>
        <w:adjustRightInd w:val="0"/>
        <w:snapToGrid w:val="0"/>
        <w:spacing w:line="480" w:lineRule="exact"/>
        <w:ind w:firstLine="542" w:firstLineChars="226"/>
        <w:outlineLvl w:val="4"/>
        <w:rPr>
          <w:rFonts w:ascii="宋体" w:hAnsi="宋体"/>
          <w:b/>
          <w:bCs/>
          <w:color w:val="auto"/>
          <w:sz w:val="24"/>
          <w:highlight w:val="none"/>
        </w:rPr>
      </w:pPr>
      <w:r>
        <w:rPr>
          <w:rFonts w:hint="eastAsia" w:ascii="宋体" w:hAnsi="宋体"/>
          <w:b/>
          <w:bCs/>
          <w:color w:val="auto"/>
          <w:sz w:val="24"/>
          <w:highlight w:val="none"/>
        </w:rPr>
        <w:t>第十一条 设计质量控制</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11.1发包人要求设计人在设计过程中考虑工程实施时的可操作性，对方案的实施工序提出相应的技术要求，特别是关键工序，应明确提出工艺要求、质量控制要求。超越目前国内施工单位平均技术水平的设计方案、施工方法，设计人应提出合理理由和可行的实施方案，报发包人同意后方可采用，否则，发包人有权要求设计人修改设计。</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11.2设备国产化应当做到选型设计而不是科研开发设计，原则上要求所采用的设备和系统技术是成熟的，对于新技术、新成果的运用设计人必须有把握，并有相应的工程实践和实际应用经验供参考。</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11.3设计人应加强设计标准化工作，组织采用统一的模数、参数和标准构配件，推广标准设计的运用，针对本工程的特点提出标准化设计建议，如标准平面、标准断面、标准设备选用等，将设计人积累的经验加以总结，提高设计水平和工作效率。</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11.4如果设计人交付的文件或图纸不符合本合同及附件的约定和要求，发包人有权拒收，设计人应在收到发包人通知后5天内免费将所有符合规定的设计文件交付给发包人，且文件交付时间仍应符合本合同要求，否则承担相关违约责任。</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11.5发包人重视处理好投资、设计费和设计质量之间的关系，充分重视发挥设计人员积极性在保证项目质量、投资控制方面的作用，使设计费与设计工作量匹配，尽量避免各系统、工点项目在设计取费上的不均衡。</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11.6对设计创优完成情况发包人满意的，取得一定实际绩效，并表现突出的，发包人给予设计方通报表扬。</w:t>
      </w:r>
    </w:p>
    <w:p>
      <w:pPr>
        <w:widowControl/>
        <w:wordWrap w:val="0"/>
        <w:topLinePunct/>
        <w:adjustRightInd w:val="0"/>
        <w:snapToGrid w:val="0"/>
        <w:spacing w:line="480" w:lineRule="exact"/>
        <w:ind w:firstLine="460" w:firstLineChars="192"/>
        <w:outlineLvl w:val="4"/>
        <w:rPr>
          <w:rFonts w:ascii="宋体" w:hAnsi="宋体"/>
          <w:b/>
          <w:bCs/>
          <w:color w:val="auto"/>
          <w:sz w:val="24"/>
          <w:highlight w:val="none"/>
        </w:rPr>
      </w:pPr>
      <w:r>
        <w:rPr>
          <w:rFonts w:hint="eastAsia" w:ascii="宋体" w:hAnsi="宋体"/>
          <w:b/>
          <w:bCs/>
          <w:color w:val="auto"/>
          <w:sz w:val="24"/>
          <w:highlight w:val="none"/>
        </w:rPr>
        <w:t>第十二条 建筑材料和设备的选用</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12.1设计所选用的建筑材料及设备（包括各专业选用的材料、设备），在进行性能价格比的分析后，原则上优先选用国内的产品。但对一些关系到建筑物的形象、功能档次的建筑材料、设备，国内没有的或国内材料、设备性能（功能）不能达到设计要求或价格高时，应选用进口材料、设备。设计中选用的材料、设备均须按中国、广东省、广州市有关法律和行政法规、规章的要求，提供明确的技术资料（包括性能指标、规格、型号等方面的资料）。</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12.2对于由发包人推荐的候选建筑材料和设备，设计人须帮助发包人鉴别其优劣并提供相关咨询意见，发包人不需为此额外支付任何费用。</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12.3 从国外进口的建筑材料、设备等，设计人原则上须向发包人推荐三家以上可供货的国外厂商名称、产品质量标准、价格资料等，并提出评估意见（必要时还须提供推荐的供应厂商以往业绩）。推荐材料不能含有任何倾向性和排他性，设计人不得推荐或选用具有唯一知识产权特征的独家产品，如确有必要，设计人应提前取得发包人或设计咨询方的认可。</w:t>
      </w:r>
    </w:p>
    <w:p>
      <w:pPr>
        <w:widowControl/>
        <w:wordWrap w:val="0"/>
        <w:topLinePunct/>
        <w:adjustRightInd w:val="0"/>
        <w:snapToGrid w:val="0"/>
        <w:spacing w:line="480" w:lineRule="exact"/>
        <w:ind w:firstLine="470" w:firstLineChars="196"/>
        <w:outlineLvl w:val="4"/>
        <w:rPr>
          <w:rFonts w:ascii="宋体" w:hAnsi="宋体"/>
          <w:b/>
          <w:bCs/>
          <w:color w:val="auto"/>
          <w:sz w:val="24"/>
          <w:highlight w:val="none"/>
        </w:rPr>
      </w:pPr>
      <w:r>
        <w:rPr>
          <w:rFonts w:hint="eastAsia" w:ascii="宋体" w:hAnsi="宋体"/>
          <w:b/>
          <w:bCs/>
          <w:color w:val="auto"/>
          <w:sz w:val="24"/>
          <w:highlight w:val="none"/>
        </w:rPr>
        <w:t>第十三条  进度计划</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13.1设计人必须在合同约定的时间和期限内按发包人要求分初步设计和施工图二阶段开始和完成设计，但根据合同约定的延期除外。</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13.2设计人根据合同约定及工期总体策划的要求编制各阶段设计进度计划和各专业的出图计划，各阶段中间检查内容、时间、次数和提交的设计文件、图纸，经设计咨询单位审核和发包人审查、平衡后执行。设计人根据设计进展编制短期设计计划，以使设计进度在受控状态下进行，同时便于发包人及时与设计人协调。</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13.3设计进度计划应体现事前、事中、事后进度控制，应有工作流程、进度控制措施、组织措施、及时措施等内容，必须考虑工程招标、设备采购、材料准备等因素，提供满足上述工作所需要的有关设计文件。</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13.4设计人编制的设计进度除合同附件要求的内容外，应确定项目总进度目标与详细的分进度目标。严格按照合同规定时间提交相应的设计成果。</w:t>
      </w:r>
    </w:p>
    <w:p>
      <w:pPr>
        <w:widowControl/>
        <w:wordWrap w:val="0"/>
        <w:topLinePunct/>
        <w:adjustRightInd w:val="0"/>
        <w:snapToGrid w:val="0"/>
        <w:spacing w:line="480" w:lineRule="exact"/>
        <w:ind w:firstLine="307" w:firstLineChars="128"/>
        <w:outlineLvl w:val="4"/>
        <w:rPr>
          <w:rFonts w:ascii="宋体" w:hAnsi="宋体"/>
          <w:b/>
          <w:bCs/>
          <w:color w:val="auto"/>
          <w:sz w:val="24"/>
          <w:highlight w:val="none"/>
        </w:rPr>
      </w:pPr>
      <w:r>
        <w:rPr>
          <w:rFonts w:hint="eastAsia" w:ascii="宋体" w:hAnsi="宋体"/>
          <w:b/>
          <w:bCs/>
          <w:color w:val="auto"/>
          <w:sz w:val="24"/>
          <w:highlight w:val="none"/>
        </w:rPr>
        <w:t>第十四条  进度控制的要求和办法</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14.1发包人按进度计划检查设计完成情况，检查内容包括设计进展、设计质量、限额设计落实情况、设计成果提交情况等，发现问题，有权督促设计人采取组织、经济及技术措施予以纠正。</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14.2设计人严格按照进度计划开展和组织设计工作，接受发包人根据合同和进度计划进行的各种设计跟踪、工作检查和协调要求。</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14.3设计人根据设计开展情况编制月工作汇报和下月进度计划，提供有关设计信息，协调发包人掌握设计工作的整体进展情况。设计人每周按要求向发包人报告进展情况。发包人有权要求修改、调整进度计划并要求设计人执行。</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14.4对于设计人书面反映的重大技术问题和重大原则问题，发包人应在10日内予以确认或反馈意见，需要发包人协调的，由发包人组织协调。</w:t>
      </w:r>
    </w:p>
    <w:p>
      <w:pPr>
        <w:widowControl/>
        <w:wordWrap w:val="0"/>
        <w:topLinePunct/>
        <w:adjustRightInd w:val="0"/>
        <w:snapToGrid w:val="0"/>
        <w:spacing w:line="480" w:lineRule="exact"/>
        <w:ind w:firstLine="307" w:firstLineChars="128"/>
        <w:outlineLvl w:val="4"/>
        <w:rPr>
          <w:rFonts w:ascii="宋体" w:hAnsi="宋体"/>
          <w:b/>
          <w:bCs/>
          <w:color w:val="auto"/>
          <w:sz w:val="24"/>
          <w:highlight w:val="none"/>
        </w:rPr>
      </w:pPr>
      <w:r>
        <w:rPr>
          <w:rFonts w:hint="eastAsia" w:ascii="宋体" w:hAnsi="宋体"/>
          <w:b/>
          <w:bCs/>
          <w:color w:val="auto"/>
          <w:sz w:val="24"/>
          <w:highlight w:val="none"/>
        </w:rPr>
        <w:t>第十五条  关键点控制</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15.1发包人对关键点的设计工作重点检查，根据设计进展的实际情况提出相应的意见、要求，发现偏离，及时要求设计人调整人员、调整计划和调整工作部署。</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15.2发包人对关键点的关注而提出的要求、措施或决策，不因此承担设计人应负的责任，如由此而影响设计工作的正常进行，设计人应提出解决问题的方法，属发包人决策不合理的，设计人有责任告知发包人，发生合同外费用的，需事前提交发包人确认。</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15.3设计人应当根据设计行为指定设计工作整体的季度网络图，确定其中的关键点，加强过程控制确保关键点设计按进度计划完成，使整个设计工作处于受控的状态。</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15.4设计人应根据发包人要求的进度指定工作计划、组织保证措施，确保投入的人力、物力能满足设计工作的需要，确保关键点的设计工作按时完成。</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15.5无论何种原因影响关键点设计进度的，发包人关于消除影响、保证进度的措施、指令，设计人必须采取相应的组织措施、技术措施予以执行，并接受发包人的检查。</w:t>
      </w:r>
    </w:p>
    <w:p>
      <w:pPr>
        <w:widowControl/>
        <w:wordWrap w:val="0"/>
        <w:topLinePunct/>
        <w:adjustRightInd w:val="0"/>
        <w:snapToGrid w:val="0"/>
        <w:spacing w:line="480" w:lineRule="exact"/>
        <w:ind w:firstLine="424" w:firstLineChars="177"/>
        <w:outlineLvl w:val="4"/>
        <w:rPr>
          <w:rFonts w:ascii="宋体" w:hAnsi="宋体"/>
          <w:b/>
          <w:bCs/>
          <w:color w:val="auto"/>
          <w:sz w:val="24"/>
          <w:highlight w:val="none"/>
        </w:rPr>
      </w:pPr>
      <w:r>
        <w:rPr>
          <w:rFonts w:hint="eastAsia" w:ascii="宋体" w:hAnsi="宋体"/>
          <w:b/>
          <w:bCs/>
          <w:color w:val="auto"/>
          <w:sz w:val="24"/>
          <w:highlight w:val="none"/>
        </w:rPr>
        <w:t>第十六条  设计为用户服务，为工程服务</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16.1除发包人已批准的设计文件组成清单内容外，发包人有权要求设计人补充完成增加工程实际所需要的相关的设计图纸。</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16.2设计要考虑工程实施的需要，在计划、工期上要根据工程总体策划考虑工程招投标、设备采购、施工组织所需要的时间，提前交付设计文件。</w:t>
      </w:r>
    </w:p>
    <w:p>
      <w:pPr>
        <w:widowControl/>
        <w:wordWrap w:val="0"/>
        <w:topLinePunct/>
        <w:adjustRightInd w:val="0"/>
        <w:snapToGrid w:val="0"/>
        <w:spacing w:line="480" w:lineRule="exact"/>
        <w:ind w:firstLine="424" w:firstLineChars="177"/>
        <w:outlineLvl w:val="4"/>
        <w:rPr>
          <w:rFonts w:ascii="宋体" w:hAnsi="宋体"/>
          <w:b/>
          <w:bCs/>
          <w:color w:val="auto"/>
          <w:sz w:val="24"/>
          <w:highlight w:val="none"/>
        </w:rPr>
      </w:pPr>
      <w:r>
        <w:rPr>
          <w:rFonts w:hint="eastAsia" w:ascii="宋体" w:hAnsi="宋体"/>
          <w:b/>
          <w:bCs/>
          <w:color w:val="auto"/>
          <w:sz w:val="24"/>
          <w:highlight w:val="none"/>
        </w:rPr>
        <w:t>第十七条 设计服务</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17.1设计人的主要工作如下：</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17.1.1参与设计的技术协调会，做好设计交底工作。</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17.1.2各施工阶段开始前，按设计人员的设计分工，参与图纸会审，解答有关设计问题。</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17.1.3现场服务：指派设计人员常驻施工现场，按设计人分工责任分别组织进行，配合发包人进行现场巡查，直至工程竣工验收合格止。当建设过程中对设计文件有疑问，设计人在接到通知后，应及时派出专业工程师解决。属于一般设计问题，若无特殊情况，应在1天内解决。属于重大设计问题，可在5天内书面提出解决意见。对设计图纸与现场不符之处，应及时提出解决办法。</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17.1.4配合发包人进行施工招标和设备、材料采购招标工作，其招标文件技术部分由设计人负责编写，并配合发包人进行合同技术条款的谈判工作。</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17.1.5提供设备、材料订货清单，同时原则上须向发包人公正推荐三家以上供应商及提供相关资料，所提供的供应商和相关资料不能有倾向性和排它性。</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17.1.6对设备、材料订货有关性能、参数、规格的技术确认，以及协助参与对已定设备、材料的验收工作。</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17.1.7协助指定设备系统的调试计划和参与设备试车调试。</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17.1.8参与工程竣工验收，参与编写工程总结。</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17.1.9项目负责人应参加发包人召开的协调会、调度会。</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17.2根据工程进展情况和需要，对一些特殊工程，设计人应向发包人提供施工组织设计的书面建议，编写工程施工技术标准（施工作业指导书），对设计各部分所应满足的规范、标准进行总说明，对各条文进行摘录汇编。若对超规范（标准）之处，应初拟技术标准，以供专家论证后执行。</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b/>
          <w:color w:val="auto"/>
          <w:sz w:val="24"/>
          <w:highlight w:val="none"/>
        </w:rPr>
        <w:t>17.3</w:t>
      </w:r>
      <w:r>
        <w:rPr>
          <w:rFonts w:hint="eastAsia" w:ascii="宋体" w:hAnsi="宋体"/>
          <w:color w:val="auto"/>
          <w:sz w:val="24"/>
          <w:highlight w:val="none"/>
        </w:rPr>
        <w:t>如按广州市工程档案资料备案相关规定，需设计人在工程竣工图纸上盖章的，设计人应按规定盖章，不另行向发包人计取费用。</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17.4本合同生效之日起至工程竣工验收合格后满</w:t>
      </w:r>
      <w:r>
        <w:rPr>
          <w:rFonts w:hint="eastAsia" w:ascii="宋体" w:hAnsi="宋体"/>
          <w:color w:val="auto"/>
          <w:sz w:val="24"/>
          <w:highlight w:val="none"/>
          <w:u w:val="single"/>
        </w:rPr>
        <w:t xml:space="preserve">  二 </w:t>
      </w:r>
      <w:r>
        <w:rPr>
          <w:rFonts w:hint="eastAsia" w:ascii="宋体" w:hAnsi="宋体"/>
          <w:color w:val="auto"/>
          <w:sz w:val="24"/>
          <w:highlight w:val="none"/>
        </w:rPr>
        <w:t>年止为服务期限。工程投入使用后，若发现工程设计未能满足本合同的要求，设计人必须继续提供服务，直至满足要求为止。上述延期服务，发包人不额外支付费用。</w:t>
      </w:r>
    </w:p>
    <w:p>
      <w:pPr>
        <w:widowControl/>
        <w:wordWrap w:val="0"/>
        <w:topLinePunct/>
        <w:adjustRightInd w:val="0"/>
        <w:snapToGrid w:val="0"/>
        <w:spacing w:line="480" w:lineRule="exact"/>
        <w:ind w:firstLine="456" w:firstLineChars="190"/>
        <w:outlineLvl w:val="4"/>
        <w:rPr>
          <w:rFonts w:ascii="宋体" w:hAnsi="宋体"/>
          <w:b/>
          <w:bCs/>
          <w:color w:val="auto"/>
          <w:sz w:val="24"/>
          <w:highlight w:val="none"/>
        </w:rPr>
      </w:pPr>
      <w:r>
        <w:rPr>
          <w:rFonts w:hint="eastAsia" w:ascii="宋体" w:hAnsi="宋体"/>
          <w:b/>
          <w:bCs/>
          <w:color w:val="auto"/>
          <w:sz w:val="24"/>
          <w:highlight w:val="none"/>
        </w:rPr>
        <w:t>第十八条 知识产权</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18.1本项目设计的署名权归设计人所有，其它著作权和使用权归发包人所有；发包人、设计人双方均不得将此项目的设计文件（资料）用于其它工程项目，否则视为侵权；对署名权或其他版权产生侵害的一方承担由此引起的一切法律责任。</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18.2设计人保证本项目设计文件未侵犯其他方的知识产权，否则必须承担由此而引起的全部法律责任，并保证发包人可无障碍的使用相关设计文件，如发包人不同意使用侵权设计文件的，设计人应负责按相同设计质量及标准予以重新设计并不增加设计费用。</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18.3发包人拥有设计人为本项目设计且按本合同要求所提交的全部设计文件的所有权及完全使用权。</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18.4设计人承诺自本合同签订之日起，为本项目所做的全部设计文件，不再用于其他任何项目的设计，否则，视为设计人严重违约，设计人应返还本合同所有已付费用，发包人有权追究设计人因此引起的其他法律责任。</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18.5任何一方不得泄露对方的技术资料和商业秘密。</w:t>
      </w:r>
    </w:p>
    <w:p>
      <w:pPr>
        <w:widowControl/>
        <w:wordWrap w:val="0"/>
        <w:topLinePunct/>
        <w:adjustRightInd w:val="0"/>
        <w:snapToGrid w:val="0"/>
        <w:spacing w:line="480" w:lineRule="exact"/>
        <w:ind w:firstLine="456" w:firstLineChars="190"/>
        <w:outlineLvl w:val="4"/>
        <w:rPr>
          <w:rFonts w:ascii="宋体" w:hAnsi="宋体"/>
          <w:b/>
          <w:bCs/>
          <w:color w:val="auto"/>
          <w:sz w:val="24"/>
          <w:highlight w:val="none"/>
        </w:rPr>
      </w:pPr>
      <w:r>
        <w:rPr>
          <w:rFonts w:hint="eastAsia" w:ascii="宋体" w:hAnsi="宋体"/>
          <w:b/>
          <w:bCs/>
          <w:color w:val="auto"/>
          <w:sz w:val="24"/>
          <w:highlight w:val="none"/>
        </w:rPr>
        <w:t>第十九条 法律适用及争议解决</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19.1本合同的订立、效力、解释、履行和争议均受中华人民共和国法律管辖。</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19.2凡因履行本合同而引起的一切争议或与本合同有关的争议，应由甲、乙双方通过友好协商解决。协商不成时，双方均同意向工程所在地人民法院起诉。</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19.3在诉讼过程中，除接受诉讼的部分之外，其他合同条款甲、乙双方均须继续履行。对发包人按约定解除合同的，双方应协商解决争议；无法协商而通过诉讼方式解决争议的，乙方除应及时移交材料和退场外，不得防碍甲方另行委托他人实施本建设项目的工作。</w:t>
      </w:r>
    </w:p>
    <w:p>
      <w:pPr>
        <w:widowControl/>
        <w:wordWrap w:val="0"/>
        <w:topLinePunct/>
        <w:adjustRightInd w:val="0"/>
        <w:snapToGrid w:val="0"/>
        <w:spacing w:line="480" w:lineRule="exact"/>
        <w:ind w:firstLine="456" w:firstLineChars="190"/>
        <w:outlineLvl w:val="4"/>
        <w:rPr>
          <w:rFonts w:ascii="宋体" w:hAnsi="宋体"/>
          <w:b/>
          <w:bCs/>
          <w:color w:val="auto"/>
          <w:sz w:val="24"/>
          <w:highlight w:val="none"/>
        </w:rPr>
      </w:pPr>
      <w:r>
        <w:rPr>
          <w:rFonts w:hint="eastAsia" w:ascii="宋体" w:hAnsi="宋体"/>
          <w:b/>
          <w:bCs/>
          <w:color w:val="auto"/>
          <w:sz w:val="24"/>
          <w:highlight w:val="none"/>
        </w:rPr>
        <w:t>第二十条 不可抗力</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20.1因不可抗力不能履行合同的，根据不可抗力的影响，部分或全部免除责任，但法律另有规定除外。当事人迟延履行后发生不可抗力的，不能免除责任。</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20.2当事人一方因不可抗力不能履行合同的，应在不可抗力发生后3日内书面通知对方，以减轻可能给对方造成的损失，并应当在不可抗力发生后7日内提供证明。由于不可抗力因素致使合同无法履行时，双方应及时协商解决。</w:t>
      </w:r>
    </w:p>
    <w:p>
      <w:pPr>
        <w:widowControl/>
        <w:wordWrap w:val="0"/>
        <w:topLinePunct/>
        <w:adjustRightInd w:val="0"/>
        <w:snapToGrid w:val="0"/>
        <w:spacing w:line="480" w:lineRule="exact"/>
        <w:ind w:firstLine="456" w:firstLineChars="190"/>
        <w:outlineLvl w:val="4"/>
        <w:rPr>
          <w:rFonts w:ascii="宋体" w:hAnsi="宋体"/>
          <w:b/>
          <w:bCs/>
          <w:color w:val="auto"/>
          <w:sz w:val="24"/>
          <w:highlight w:val="none"/>
        </w:rPr>
      </w:pPr>
      <w:r>
        <w:rPr>
          <w:rFonts w:hint="eastAsia" w:ascii="宋体" w:hAnsi="宋体"/>
          <w:b/>
          <w:bCs/>
          <w:color w:val="auto"/>
          <w:sz w:val="24"/>
          <w:highlight w:val="none"/>
        </w:rPr>
        <w:t>第二十一条 合同终止</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本合同的权利义务终止后，当事人应当遵循诚实信用原则，根据交易习惯履行通知、协助、保密义务。</w:t>
      </w:r>
    </w:p>
    <w:p>
      <w:pPr>
        <w:widowControl/>
        <w:wordWrap w:val="0"/>
        <w:topLinePunct/>
        <w:adjustRightInd w:val="0"/>
        <w:snapToGrid w:val="0"/>
        <w:spacing w:line="480" w:lineRule="exact"/>
        <w:ind w:firstLine="456" w:firstLineChars="190"/>
        <w:outlineLvl w:val="4"/>
        <w:rPr>
          <w:rFonts w:ascii="宋体" w:hAnsi="宋体"/>
          <w:b/>
          <w:bCs/>
          <w:color w:val="auto"/>
          <w:sz w:val="24"/>
          <w:highlight w:val="none"/>
        </w:rPr>
      </w:pPr>
      <w:r>
        <w:rPr>
          <w:rFonts w:hint="eastAsia" w:ascii="宋体" w:hAnsi="宋体"/>
          <w:b/>
          <w:bCs/>
          <w:color w:val="auto"/>
          <w:sz w:val="24"/>
          <w:highlight w:val="none"/>
        </w:rPr>
        <w:t>第二十二条 保密责任</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发包人、设计人双方均应保护在合同履行过程中知悉的对方的经济、技术保密信息，未经对方同意，不得泄露，否则，责任方应承担赔偿责任。</w:t>
      </w:r>
    </w:p>
    <w:p>
      <w:pPr>
        <w:widowControl/>
        <w:wordWrap w:val="0"/>
        <w:topLinePunct/>
        <w:adjustRightInd w:val="0"/>
        <w:snapToGrid w:val="0"/>
        <w:spacing w:line="480" w:lineRule="exact"/>
        <w:ind w:firstLine="456" w:firstLineChars="190"/>
        <w:outlineLvl w:val="4"/>
        <w:rPr>
          <w:rFonts w:ascii="宋体" w:hAnsi="宋体"/>
          <w:b/>
          <w:bCs/>
          <w:color w:val="auto"/>
          <w:sz w:val="24"/>
          <w:highlight w:val="none"/>
        </w:rPr>
      </w:pPr>
      <w:r>
        <w:rPr>
          <w:rFonts w:hint="eastAsia" w:ascii="宋体" w:hAnsi="宋体"/>
          <w:b/>
          <w:bCs/>
          <w:color w:val="auto"/>
          <w:sz w:val="24"/>
          <w:highlight w:val="none"/>
        </w:rPr>
        <w:t>第二十三条 其他</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23.1《广州开发区财政投资建设项目管理中心设计质量管理办法（2021修订版）》（下称《质量管理办法》）、《区财政投资基本建设项目非设计单位责任引起建设项目设计工作终止及工程变更的设计费计取管理办法（暂行）》（下称《计取管理办法》）为本合同的组成部分，设计人在签订本合同时已清楚该《质量管理办法》、《计取管理办法》规定。设计人违反合同约定及《质量管理办法》规定，本合同其他条款未约定相关责任的，设计人应按《质量管理办法》规定承担违约责任。</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23.2发包人要求设计人派专人留驻施工现场进行配合与解决有关问题时，设计人应无条件服从。</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23.3设计人为本合同项目所采用的国家或地方标准图，由设计人自费向有关出版部门购买。</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23.4本工程设计资料及文件中，建筑材料、建筑构配件和设备，应当注明其规格、型号、性能等技术指标，设计人不得指定生产厂、供应商。发包人需要设计人的设计人员配合加工定货时，所需差旅费由发包人承担。</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23.5发包人委托设计配合引进项目的设计任务，从询价、对外谈判、国内外技术考察直至建成投产的各个阶段，应吸收承担有关设计任务的设计人参加。出国费用，除制装费外，差旅费用由发包人支付。</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23.6本合同经双方签字盖章后生效。</w:t>
      </w:r>
    </w:p>
    <w:p>
      <w:pPr>
        <w:widowControl/>
        <w:wordWrap w:val="0"/>
        <w:topLinePunct/>
        <w:adjustRightInd w:val="0"/>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23.7本合同未尽事宜，双方可签订补充协议，有关协议及双方认可的来往电报、传真、会议纪要等，均为本合同组成部分，与本合同具有同等法律效力。</w:t>
      </w:r>
    </w:p>
    <w:p>
      <w:pPr>
        <w:rPr>
          <w:rFonts w:ascii="宋体" w:hAnsi="宋体"/>
          <w:b/>
          <w:color w:val="auto"/>
          <w:highlight w:val="none"/>
        </w:rPr>
      </w:pPr>
      <w:r>
        <w:rPr>
          <w:rFonts w:hint="eastAsia" w:ascii="宋体" w:hAnsi="宋体"/>
          <w:color w:val="auto"/>
          <w:highlight w:val="none"/>
        </w:rPr>
        <w:br w:type="page"/>
      </w:r>
      <w:r>
        <w:rPr>
          <w:rFonts w:hint="eastAsia" w:ascii="宋体" w:hAnsi="宋体"/>
          <w:b/>
          <w:color w:val="auto"/>
          <w:highlight w:val="none"/>
        </w:rPr>
        <w:t>附件1：《广州开发区财政投资建设项目管理中心设计质量管理办法（2021修订版）》（另册）；</w:t>
      </w:r>
    </w:p>
    <w:p>
      <w:pPr>
        <w:rPr>
          <w:rFonts w:ascii="宋体" w:hAnsi="宋体"/>
          <w:b/>
          <w:color w:val="auto"/>
          <w:highlight w:val="none"/>
        </w:rPr>
      </w:pPr>
      <w:r>
        <w:rPr>
          <w:rFonts w:hint="eastAsia" w:ascii="宋体" w:hAnsi="宋体"/>
          <w:b/>
          <w:color w:val="auto"/>
          <w:highlight w:val="none"/>
        </w:rPr>
        <w:t>附件2：《区财政投资基本建设项目非设计单位责任引起建设项目设计工作终止及工程变更的设计费计取管理办法（暂行）》（另册）；</w:t>
      </w:r>
    </w:p>
    <w:p>
      <w:pPr>
        <w:rPr>
          <w:rFonts w:ascii="宋体" w:hAnsi="宋体"/>
          <w:b/>
          <w:color w:val="auto"/>
          <w:highlight w:val="none"/>
        </w:rPr>
      </w:pPr>
      <w:r>
        <w:rPr>
          <w:rFonts w:hint="eastAsia" w:ascii="宋体" w:hAnsi="宋体"/>
          <w:b/>
          <w:color w:val="auto"/>
          <w:highlight w:val="none"/>
        </w:rPr>
        <w:t>附件3：设计单位投入人员架构表；</w:t>
      </w:r>
    </w:p>
    <w:p>
      <w:pPr>
        <w:rPr>
          <w:rFonts w:ascii="宋体" w:hAnsi="宋体"/>
          <w:b/>
          <w:color w:val="auto"/>
          <w:highlight w:val="none"/>
        </w:rPr>
      </w:pPr>
      <w:r>
        <w:rPr>
          <w:rFonts w:hint="eastAsia" w:ascii="宋体" w:hAnsi="宋体"/>
          <w:b/>
          <w:color w:val="auto"/>
          <w:highlight w:val="none"/>
        </w:rPr>
        <w:t>附件4:</w:t>
      </w:r>
      <w:r>
        <w:rPr>
          <w:rFonts w:ascii="宋体" w:hAnsi="宋体"/>
          <w:b/>
          <w:color w:val="auto"/>
          <w:highlight w:val="none"/>
        </w:rPr>
        <w:t xml:space="preserve"> </w:t>
      </w:r>
      <w:r>
        <w:rPr>
          <w:rFonts w:hint="eastAsia" w:ascii="宋体" w:hAnsi="宋体"/>
          <w:b/>
          <w:color w:val="auto"/>
          <w:highlight w:val="none"/>
        </w:rPr>
        <w:t>廉政责任书。</w:t>
      </w:r>
    </w:p>
    <w:tbl>
      <w:tblPr>
        <w:tblStyle w:val="38"/>
        <w:tblW w:w="0" w:type="auto"/>
        <w:tblInd w:w="0" w:type="dxa"/>
        <w:tblLayout w:type="fixed"/>
        <w:tblCellMar>
          <w:top w:w="0" w:type="dxa"/>
          <w:left w:w="108" w:type="dxa"/>
          <w:bottom w:w="0" w:type="dxa"/>
          <w:right w:w="108" w:type="dxa"/>
        </w:tblCellMar>
      </w:tblPr>
      <w:tblGrid>
        <w:gridCol w:w="1526"/>
        <w:gridCol w:w="2738"/>
        <w:gridCol w:w="1656"/>
        <w:gridCol w:w="2608"/>
      </w:tblGrid>
      <w:tr>
        <w:tblPrEx>
          <w:tblCellMar>
            <w:top w:w="0" w:type="dxa"/>
            <w:left w:w="108" w:type="dxa"/>
            <w:bottom w:w="0" w:type="dxa"/>
            <w:right w:w="108" w:type="dxa"/>
          </w:tblCellMar>
        </w:tblPrEx>
        <w:trPr>
          <w:trHeight w:val="1021" w:hRule="atLeast"/>
        </w:trPr>
        <w:tc>
          <w:tcPr>
            <w:tcW w:w="152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发包人：</w:t>
            </w:r>
          </w:p>
        </w:tc>
        <w:tc>
          <w:tcPr>
            <w:tcW w:w="2738" w:type="dxa"/>
            <w:vAlign w:val="center"/>
          </w:tcPr>
          <w:p>
            <w:pPr>
              <w:widowControl/>
              <w:wordWrap w:val="0"/>
              <w:topLinePunct/>
              <w:adjustRightInd w:val="0"/>
              <w:snapToGrid w:val="0"/>
              <w:spacing w:line="480" w:lineRule="exact"/>
              <w:rPr>
                <w:rFonts w:ascii="宋体" w:hAnsi="宋体"/>
                <w:color w:val="auto"/>
                <w:sz w:val="24"/>
                <w:highlight w:val="none"/>
              </w:rPr>
            </w:pPr>
            <w:r>
              <w:rPr>
                <w:rFonts w:hint="eastAsia" w:ascii="宋体" w:hAnsi="宋体"/>
                <w:color w:val="auto"/>
                <w:sz w:val="24"/>
                <w:highlight w:val="none"/>
              </w:rPr>
              <w:t>（公章）</w:t>
            </w: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设计人：</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r>
              <w:rPr>
                <w:rFonts w:hint="eastAsia" w:ascii="宋体" w:hAnsi="宋体"/>
                <w:color w:val="auto"/>
                <w:sz w:val="24"/>
                <w:highlight w:val="none"/>
              </w:rPr>
              <w:t>（公章）</w:t>
            </w:r>
          </w:p>
        </w:tc>
      </w:tr>
      <w:tr>
        <w:tblPrEx>
          <w:tblCellMar>
            <w:top w:w="0" w:type="dxa"/>
            <w:left w:w="108" w:type="dxa"/>
            <w:bottom w:w="0" w:type="dxa"/>
            <w:right w:w="108" w:type="dxa"/>
          </w:tblCellMar>
        </w:tblPrEx>
        <w:trPr>
          <w:trHeight w:val="1021" w:hRule="atLeast"/>
        </w:trPr>
        <w:tc>
          <w:tcPr>
            <w:tcW w:w="152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住 所：</w:t>
            </w:r>
          </w:p>
        </w:tc>
        <w:tc>
          <w:tcPr>
            <w:tcW w:w="2738"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住 所：</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r>
        <w:tblPrEx>
          <w:tblCellMar>
            <w:top w:w="0" w:type="dxa"/>
            <w:left w:w="108" w:type="dxa"/>
            <w:bottom w:w="0" w:type="dxa"/>
            <w:right w:w="108" w:type="dxa"/>
          </w:tblCellMar>
        </w:tblPrEx>
        <w:trPr>
          <w:trHeight w:val="1021" w:hRule="atLeast"/>
        </w:trPr>
        <w:tc>
          <w:tcPr>
            <w:tcW w:w="152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法定代表人：</w:t>
            </w:r>
          </w:p>
        </w:tc>
        <w:tc>
          <w:tcPr>
            <w:tcW w:w="2738"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法定代表人：</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r>
        <w:tblPrEx>
          <w:tblCellMar>
            <w:top w:w="0" w:type="dxa"/>
            <w:left w:w="108" w:type="dxa"/>
            <w:bottom w:w="0" w:type="dxa"/>
            <w:right w:w="108" w:type="dxa"/>
          </w:tblCellMar>
        </w:tblPrEx>
        <w:trPr>
          <w:trHeight w:val="1021" w:hRule="atLeast"/>
        </w:trPr>
        <w:tc>
          <w:tcPr>
            <w:tcW w:w="152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委托代理人：</w:t>
            </w:r>
          </w:p>
        </w:tc>
        <w:tc>
          <w:tcPr>
            <w:tcW w:w="2738"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委托代理人：</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r>
        <w:tblPrEx>
          <w:tblCellMar>
            <w:top w:w="0" w:type="dxa"/>
            <w:left w:w="108" w:type="dxa"/>
            <w:bottom w:w="0" w:type="dxa"/>
            <w:right w:w="108" w:type="dxa"/>
          </w:tblCellMar>
        </w:tblPrEx>
        <w:trPr>
          <w:trHeight w:val="1021" w:hRule="atLeast"/>
        </w:trPr>
        <w:tc>
          <w:tcPr>
            <w:tcW w:w="152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电    话：</w:t>
            </w:r>
          </w:p>
        </w:tc>
        <w:tc>
          <w:tcPr>
            <w:tcW w:w="2738"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电    话：</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r>
        <w:tblPrEx>
          <w:tblCellMar>
            <w:top w:w="0" w:type="dxa"/>
            <w:left w:w="108" w:type="dxa"/>
            <w:bottom w:w="0" w:type="dxa"/>
            <w:right w:w="108" w:type="dxa"/>
          </w:tblCellMar>
        </w:tblPrEx>
        <w:trPr>
          <w:trHeight w:val="1021" w:hRule="atLeast"/>
        </w:trPr>
        <w:tc>
          <w:tcPr>
            <w:tcW w:w="152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传    真：</w:t>
            </w:r>
          </w:p>
          <w:p>
            <w:pPr>
              <w:rPr>
                <w:rFonts w:ascii="宋体" w:hAnsi="宋体"/>
                <w:color w:val="auto"/>
                <w:sz w:val="24"/>
                <w:highlight w:val="none"/>
              </w:rPr>
            </w:pPr>
          </w:p>
        </w:tc>
        <w:tc>
          <w:tcPr>
            <w:tcW w:w="2738"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传    真：</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r>
        <w:tblPrEx>
          <w:tblCellMar>
            <w:top w:w="0" w:type="dxa"/>
            <w:left w:w="108" w:type="dxa"/>
            <w:bottom w:w="0" w:type="dxa"/>
            <w:right w:w="108" w:type="dxa"/>
          </w:tblCellMar>
        </w:tblPrEx>
        <w:trPr>
          <w:trHeight w:val="1021" w:hRule="atLeast"/>
        </w:trPr>
        <w:tc>
          <w:tcPr>
            <w:tcW w:w="152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开户银行：</w:t>
            </w:r>
          </w:p>
        </w:tc>
        <w:tc>
          <w:tcPr>
            <w:tcW w:w="2738"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开户银行：</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r>
        <w:tblPrEx>
          <w:tblCellMar>
            <w:top w:w="0" w:type="dxa"/>
            <w:left w:w="108" w:type="dxa"/>
            <w:bottom w:w="0" w:type="dxa"/>
            <w:right w:w="108" w:type="dxa"/>
          </w:tblCellMar>
        </w:tblPrEx>
        <w:trPr>
          <w:trHeight w:val="1021" w:hRule="atLeast"/>
        </w:trPr>
        <w:tc>
          <w:tcPr>
            <w:tcW w:w="152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账    号：</w:t>
            </w:r>
          </w:p>
        </w:tc>
        <w:tc>
          <w:tcPr>
            <w:tcW w:w="2738"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账    号：</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r>
        <w:tblPrEx>
          <w:tblCellMar>
            <w:top w:w="0" w:type="dxa"/>
            <w:left w:w="108" w:type="dxa"/>
            <w:bottom w:w="0" w:type="dxa"/>
            <w:right w:w="108" w:type="dxa"/>
          </w:tblCellMar>
        </w:tblPrEx>
        <w:trPr>
          <w:trHeight w:val="1021" w:hRule="atLeast"/>
        </w:trPr>
        <w:tc>
          <w:tcPr>
            <w:tcW w:w="152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邮政编码：</w:t>
            </w:r>
          </w:p>
        </w:tc>
        <w:tc>
          <w:tcPr>
            <w:tcW w:w="2738" w:type="dxa"/>
            <w:vAlign w:val="center"/>
          </w:tcPr>
          <w:p>
            <w:pPr>
              <w:widowControl/>
              <w:wordWrap w:val="0"/>
              <w:topLinePunct/>
              <w:adjustRightInd w:val="0"/>
              <w:snapToGrid w:val="0"/>
              <w:spacing w:line="480" w:lineRule="exact"/>
              <w:rPr>
                <w:rFonts w:ascii="宋体" w:hAnsi="宋体"/>
                <w:color w:val="auto"/>
                <w:sz w:val="24"/>
                <w:highlight w:val="none"/>
              </w:rPr>
            </w:pPr>
          </w:p>
        </w:tc>
        <w:tc>
          <w:tcPr>
            <w:tcW w:w="1656" w:type="dxa"/>
            <w:vAlign w:val="center"/>
          </w:tcPr>
          <w:p>
            <w:pPr>
              <w:widowControl/>
              <w:wordWrap w:val="0"/>
              <w:topLinePunct/>
              <w:adjustRightInd w:val="0"/>
              <w:snapToGrid w:val="0"/>
              <w:spacing w:line="480" w:lineRule="exact"/>
              <w:rPr>
                <w:rFonts w:ascii="宋体" w:hAnsi="宋体"/>
                <w:b/>
                <w:color w:val="auto"/>
                <w:sz w:val="24"/>
                <w:highlight w:val="none"/>
              </w:rPr>
            </w:pPr>
            <w:r>
              <w:rPr>
                <w:rFonts w:hint="eastAsia" w:ascii="宋体" w:hAnsi="宋体"/>
                <w:b/>
                <w:color w:val="auto"/>
                <w:sz w:val="24"/>
                <w:highlight w:val="none"/>
              </w:rPr>
              <w:t>邮政编码：</w:t>
            </w:r>
          </w:p>
        </w:tc>
        <w:tc>
          <w:tcPr>
            <w:tcW w:w="2608" w:type="dxa"/>
            <w:vAlign w:val="center"/>
          </w:tcPr>
          <w:p>
            <w:pPr>
              <w:widowControl/>
              <w:wordWrap w:val="0"/>
              <w:topLinePunct/>
              <w:adjustRightInd w:val="0"/>
              <w:snapToGrid w:val="0"/>
              <w:spacing w:line="480" w:lineRule="exact"/>
              <w:rPr>
                <w:rFonts w:ascii="宋体" w:hAnsi="宋体"/>
                <w:color w:val="auto"/>
                <w:sz w:val="24"/>
                <w:highlight w:val="none"/>
              </w:rPr>
            </w:pPr>
          </w:p>
        </w:tc>
      </w:tr>
    </w:tbl>
    <w:p>
      <w:pPr>
        <w:widowControl/>
        <w:wordWrap w:val="0"/>
        <w:topLinePunct/>
        <w:adjustRightInd w:val="0"/>
        <w:snapToGrid w:val="0"/>
        <w:spacing w:line="480" w:lineRule="exact"/>
        <w:ind w:left="5933" w:leftChars="997" w:hanging="3840" w:hangingChars="1600"/>
        <w:rPr>
          <w:rFonts w:ascii="宋体" w:hAnsi="宋体"/>
          <w:color w:val="auto"/>
          <w:sz w:val="24"/>
          <w:highlight w:val="none"/>
        </w:rPr>
      </w:pPr>
      <w:r>
        <w:rPr>
          <w:rFonts w:hint="eastAsia" w:ascii="宋体" w:hAnsi="宋体"/>
          <w:color w:val="auto"/>
          <w:sz w:val="24"/>
          <w:highlight w:val="none"/>
        </w:rPr>
        <w:t>订立时间：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widowControl/>
        <w:wordWrap w:val="0"/>
        <w:topLinePunct/>
        <w:adjustRightInd w:val="0"/>
        <w:snapToGrid w:val="0"/>
        <w:spacing w:line="480" w:lineRule="exact"/>
        <w:rPr>
          <w:rFonts w:ascii="宋体" w:hAnsi="宋体"/>
          <w:color w:val="auto"/>
          <w:highlight w:val="none"/>
        </w:rPr>
      </w:pPr>
    </w:p>
    <w:p>
      <w:pPr>
        <w:spacing w:line="380" w:lineRule="exact"/>
        <w:ind w:firstLine="5040"/>
        <w:rPr>
          <w:rFonts w:ascii="宋体" w:hAnsi="宋体"/>
          <w:b/>
          <w:bCs/>
          <w:color w:val="auto"/>
          <w:sz w:val="32"/>
          <w:szCs w:val="32"/>
          <w:highlight w:val="none"/>
        </w:rPr>
      </w:pPr>
    </w:p>
    <w:p>
      <w:pPr>
        <w:snapToGrid w:val="0"/>
        <w:spacing w:line="360" w:lineRule="auto"/>
        <w:rPr>
          <w:rFonts w:ascii="宋体" w:hAnsi="宋体"/>
          <w:color w:val="auto"/>
          <w:highlight w:val="none"/>
        </w:rPr>
      </w:pPr>
    </w:p>
    <w:p>
      <w:pPr>
        <w:widowControl/>
        <w:jc w:val="left"/>
        <w:rPr>
          <w:rFonts w:ascii="宋体" w:hAnsi="宋体"/>
          <w:color w:val="auto"/>
          <w:highlight w:val="none"/>
        </w:rPr>
      </w:pPr>
      <w:r>
        <w:rPr>
          <w:rFonts w:ascii="宋体" w:hAnsi="宋体"/>
          <w:color w:val="auto"/>
          <w:highlight w:val="none"/>
        </w:rPr>
        <w:br w:type="page"/>
      </w:r>
    </w:p>
    <w:p>
      <w:pPr>
        <w:snapToGrid w:val="0"/>
        <w:spacing w:line="360" w:lineRule="auto"/>
        <w:rPr>
          <w:rFonts w:ascii="宋体" w:hAnsi="宋体"/>
          <w:b/>
          <w:color w:val="auto"/>
          <w:sz w:val="44"/>
          <w:highlight w:val="none"/>
        </w:rPr>
      </w:pPr>
      <w:r>
        <w:rPr>
          <w:rFonts w:hint="eastAsia" w:ascii="宋体" w:hAnsi="宋体"/>
          <w:b/>
          <w:color w:val="auto"/>
          <w:sz w:val="28"/>
          <w:highlight w:val="none"/>
        </w:rPr>
        <w:t>附件4:</w:t>
      </w:r>
      <w:r>
        <w:rPr>
          <w:rFonts w:ascii="宋体" w:hAnsi="宋体"/>
          <w:b/>
          <w:color w:val="auto"/>
          <w:sz w:val="44"/>
          <w:highlight w:val="none"/>
        </w:rPr>
        <w:t xml:space="preserve"> </w:t>
      </w:r>
    </w:p>
    <w:p>
      <w:pPr>
        <w:snapToGrid w:val="0"/>
        <w:spacing w:line="360" w:lineRule="auto"/>
        <w:jc w:val="center"/>
        <w:rPr>
          <w:rFonts w:ascii="宋体" w:hAnsi="宋体"/>
          <w:b/>
          <w:color w:val="auto"/>
          <w:kern w:val="0"/>
          <w:sz w:val="24"/>
          <w:highlight w:val="none"/>
        </w:rPr>
      </w:pPr>
      <w:r>
        <w:rPr>
          <w:rFonts w:hint="eastAsia" w:ascii="宋体" w:hAnsi="宋体"/>
          <w:b/>
          <w:color w:val="auto"/>
          <w:kern w:val="0"/>
          <w:sz w:val="24"/>
          <w:highlight w:val="none"/>
        </w:rPr>
        <w:t>廉政责任书</w:t>
      </w:r>
    </w:p>
    <w:p>
      <w:pPr>
        <w:rPr>
          <w:rFonts w:ascii="宋体" w:hAnsi="宋体"/>
          <w:color w:val="auto"/>
          <w:highlight w:val="none"/>
        </w:rPr>
      </w:pPr>
      <w:r>
        <w:rPr>
          <w:rFonts w:hint="eastAsia" w:ascii="宋体" w:hAnsi="宋体"/>
          <w:color w:val="auto"/>
          <w:highlight w:val="none"/>
        </w:rPr>
        <w:t xml:space="preserve">项目名称： </w:t>
      </w:r>
    </w:p>
    <w:p>
      <w:pPr>
        <w:rPr>
          <w:rFonts w:ascii="宋体" w:hAnsi="宋体"/>
          <w:color w:val="auto"/>
          <w:highlight w:val="none"/>
        </w:rPr>
      </w:pPr>
      <w:r>
        <w:rPr>
          <w:rFonts w:hint="eastAsia" w:ascii="宋体" w:hAnsi="宋体"/>
          <w:color w:val="auto"/>
          <w:highlight w:val="none"/>
        </w:rPr>
        <w:t xml:space="preserve">项目地址： </w:t>
      </w:r>
    </w:p>
    <w:p>
      <w:pPr>
        <w:rPr>
          <w:rFonts w:ascii="宋体" w:hAnsi="宋体"/>
          <w:color w:val="auto"/>
          <w:highlight w:val="none"/>
        </w:rPr>
      </w:pPr>
      <w:r>
        <w:rPr>
          <w:rFonts w:hint="eastAsia" w:ascii="宋体" w:hAnsi="宋体"/>
          <w:color w:val="auto"/>
          <w:highlight w:val="none"/>
        </w:rPr>
        <w:t xml:space="preserve">建设单位（甲方）： </w:t>
      </w:r>
    </w:p>
    <w:p>
      <w:pPr>
        <w:rPr>
          <w:rFonts w:ascii="宋体" w:hAnsi="宋体"/>
          <w:color w:val="auto"/>
          <w:highlight w:val="none"/>
        </w:rPr>
      </w:pPr>
      <w:r>
        <w:rPr>
          <w:rFonts w:hint="eastAsia" w:ascii="宋体" w:hAnsi="宋体"/>
          <w:color w:val="auto"/>
          <w:highlight w:val="none"/>
        </w:rPr>
        <w:t xml:space="preserve">设计单位（乙方）： </w:t>
      </w:r>
    </w:p>
    <w:p>
      <w:pPr>
        <w:ind w:firstLine="480"/>
        <w:rPr>
          <w:rFonts w:ascii="宋体" w:hAnsi="宋体"/>
          <w:color w:val="auto"/>
          <w:highlight w:val="none"/>
        </w:rPr>
      </w:pPr>
      <w:r>
        <w:rPr>
          <w:rFonts w:hint="eastAsia" w:ascii="宋体" w:hAnsi="宋体"/>
          <w:color w:val="auto"/>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ind w:left="720"/>
        <w:rPr>
          <w:rFonts w:ascii="宋体" w:hAnsi="宋体"/>
          <w:b/>
          <w:bCs/>
          <w:color w:val="auto"/>
          <w:highlight w:val="none"/>
        </w:rPr>
      </w:pPr>
      <w:r>
        <w:rPr>
          <w:rFonts w:hint="eastAsia" w:ascii="宋体" w:hAnsi="宋体"/>
          <w:b/>
          <w:bCs/>
          <w:color w:val="auto"/>
          <w:highlight w:val="none"/>
        </w:rPr>
        <w:t>第一条  甲乙双方的责任</w:t>
      </w:r>
    </w:p>
    <w:p>
      <w:pPr>
        <w:tabs>
          <w:tab w:val="left" w:pos="1995"/>
          <w:tab w:val="left" w:pos="2460"/>
        </w:tabs>
        <w:ind w:left="720"/>
        <w:rPr>
          <w:rFonts w:ascii="宋体" w:hAnsi="宋体"/>
          <w:color w:val="auto"/>
          <w:highlight w:val="none"/>
        </w:rPr>
      </w:pPr>
      <w:r>
        <w:rPr>
          <w:rFonts w:hint="eastAsia" w:ascii="宋体" w:hAnsi="宋体"/>
          <w:color w:val="auto"/>
          <w:highlight w:val="none"/>
        </w:rPr>
        <w:t>（一）应严格遵守国家关于市场准入、项目招标投标、工程建设和市场活动等有关法律、法规、相关政策，以及廉政建设的各项规定。</w:t>
      </w:r>
    </w:p>
    <w:p>
      <w:pPr>
        <w:tabs>
          <w:tab w:val="left" w:pos="1995"/>
          <w:tab w:val="left" w:pos="2460"/>
        </w:tabs>
        <w:ind w:firstLine="732" w:firstLineChars="349"/>
        <w:rPr>
          <w:rFonts w:ascii="宋体" w:hAnsi="宋体"/>
          <w:color w:val="auto"/>
          <w:highlight w:val="none"/>
        </w:rPr>
      </w:pPr>
      <w:r>
        <w:rPr>
          <w:rFonts w:hint="eastAsia" w:ascii="宋体" w:hAnsi="宋体"/>
          <w:b/>
          <w:vanish/>
          <w:color w:val="auto"/>
          <w:highlight w:val="none"/>
        </w:rPr>
        <w:t>在出现空缺之日起五日内予以补充，但无须向业主支付违约金。负责赔偿</w:t>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b/>
          <w:vanish/>
          <w:color w:val="auto"/>
          <w:highlight w:val="none"/>
        </w:rPr>
        <w:pgNum/>
      </w:r>
      <w:r>
        <w:rPr>
          <w:rFonts w:hint="eastAsia" w:ascii="宋体" w:hAnsi="宋体"/>
          <w:color w:val="auto"/>
          <w:highlight w:val="none"/>
        </w:rPr>
        <w:t>（二）严格执行建设工程项目承发包合同文件，自觉按合同办事。</w:t>
      </w:r>
    </w:p>
    <w:p>
      <w:pPr>
        <w:tabs>
          <w:tab w:val="left" w:pos="1995"/>
          <w:tab w:val="left" w:pos="2460"/>
        </w:tabs>
        <w:ind w:left="720"/>
        <w:rPr>
          <w:rFonts w:ascii="宋体" w:hAnsi="宋体"/>
          <w:color w:val="auto"/>
          <w:highlight w:val="none"/>
        </w:rPr>
      </w:pPr>
      <w:r>
        <w:rPr>
          <w:rFonts w:hint="eastAsia" w:ascii="宋体" w:hAnsi="宋体"/>
          <w:color w:val="auto"/>
          <w:highlight w:val="none"/>
        </w:rPr>
        <w:t>（三）业务活动必须坚持公开、公平、公正、诚信、透明的原则（除法律法规另有规定者外），不得为获取不正当的利益，损害国家、集体和对方利益，不得违反工程建设管理的规章制度。</w:t>
      </w:r>
    </w:p>
    <w:p>
      <w:pPr>
        <w:tabs>
          <w:tab w:val="left" w:pos="1995"/>
          <w:tab w:val="left" w:pos="2460"/>
        </w:tabs>
        <w:ind w:left="720"/>
        <w:rPr>
          <w:rFonts w:ascii="宋体" w:hAnsi="宋体"/>
          <w:color w:val="auto"/>
          <w:highlight w:val="none"/>
        </w:rPr>
      </w:pPr>
      <w:r>
        <w:rPr>
          <w:rFonts w:hint="eastAsia" w:ascii="宋体" w:hAnsi="宋体"/>
          <w:color w:val="auto"/>
          <w:highlight w:val="none"/>
        </w:rPr>
        <w:t>（四）发现对方在业务活动中违规、违纪、违法行为的，应及时提醒对方，情节严重的，应向其上级主管部门或纪检监察、司法等有关机关举报。</w:t>
      </w:r>
    </w:p>
    <w:p>
      <w:pPr>
        <w:ind w:left="720"/>
        <w:rPr>
          <w:rFonts w:ascii="宋体" w:hAnsi="宋体"/>
          <w:b/>
          <w:bCs/>
          <w:color w:val="auto"/>
          <w:highlight w:val="none"/>
        </w:rPr>
      </w:pPr>
      <w:r>
        <w:rPr>
          <w:rFonts w:hint="eastAsia" w:ascii="宋体" w:hAnsi="宋体"/>
          <w:b/>
          <w:bCs/>
          <w:color w:val="auto"/>
          <w:highlight w:val="none"/>
        </w:rPr>
        <w:t>第二条  甲方的责任</w:t>
      </w:r>
    </w:p>
    <w:p>
      <w:pPr>
        <w:ind w:firstLine="480"/>
        <w:rPr>
          <w:rFonts w:ascii="宋体" w:hAnsi="宋体"/>
          <w:color w:val="auto"/>
          <w:highlight w:val="none"/>
        </w:rPr>
      </w:pPr>
      <w:r>
        <w:rPr>
          <w:rFonts w:hint="eastAsia" w:ascii="宋体" w:hAnsi="宋体"/>
          <w:color w:val="auto"/>
          <w:highlight w:val="none"/>
        </w:rPr>
        <w:t>甲方的领导和从事该建设工程项目的工作人员，在工程建设的事前、事中、事后应遵守以下规定：</w:t>
      </w:r>
    </w:p>
    <w:p>
      <w:pPr>
        <w:tabs>
          <w:tab w:val="left" w:pos="1995"/>
          <w:tab w:val="left" w:pos="2460"/>
        </w:tabs>
        <w:ind w:left="720"/>
        <w:rPr>
          <w:rFonts w:ascii="宋体" w:hAnsi="宋体"/>
          <w:color w:val="auto"/>
          <w:highlight w:val="none"/>
        </w:rPr>
      </w:pPr>
      <w:r>
        <w:rPr>
          <w:rFonts w:hint="eastAsia" w:ascii="宋体" w:hAnsi="宋体"/>
          <w:color w:val="auto"/>
          <w:highlight w:val="none"/>
        </w:rPr>
        <w:t>（一）不准向乙方和相关单位索要或接受回扣、礼金、有价证券、贵重物品和好处费、感谢费等。</w:t>
      </w:r>
    </w:p>
    <w:p>
      <w:pPr>
        <w:tabs>
          <w:tab w:val="left" w:pos="1995"/>
          <w:tab w:val="left" w:pos="2460"/>
        </w:tabs>
        <w:ind w:left="720"/>
        <w:rPr>
          <w:rFonts w:ascii="宋体" w:hAnsi="宋体"/>
          <w:color w:val="auto"/>
          <w:highlight w:val="none"/>
        </w:rPr>
      </w:pPr>
      <w:r>
        <w:rPr>
          <w:rFonts w:hint="eastAsia" w:ascii="宋体" w:hAnsi="宋体"/>
          <w:color w:val="auto"/>
          <w:highlight w:val="none"/>
        </w:rPr>
        <w:t>（二）不准在乙方和相关单位报销任何应由甲方或个人支付的费用。</w:t>
      </w:r>
    </w:p>
    <w:p>
      <w:pPr>
        <w:tabs>
          <w:tab w:val="left" w:pos="1995"/>
          <w:tab w:val="left" w:pos="2460"/>
        </w:tabs>
        <w:ind w:left="720"/>
        <w:rPr>
          <w:rFonts w:ascii="宋体" w:hAnsi="宋体"/>
          <w:color w:val="auto"/>
          <w:highlight w:val="none"/>
        </w:rPr>
      </w:pPr>
      <w:r>
        <w:rPr>
          <w:rFonts w:hint="eastAsia" w:ascii="宋体" w:hAnsi="宋体"/>
          <w:color w:val="auto"/>
          <w:highlight w:val="none"/>
        </w:rPr>
        <w:t>（三）不准要求、暗示或接受乙方和相关单位为个人装修住房、婚丧嫁娶、配偶子女的工作安排以及出国（境）、旅游等提供方便。</w:t>
      </w:r>
    </w:p>
    <w:p>
      <w:pPr>
        <w:tabs>
          <w:tab w:val="left" w:pos="1995"/>
          <w:tab w:val="left" w:pos="2460"/>
        </w:tabs>
        <w:ind w:left="720"/>
        <w:rPr>
          <w:rFonts w:ascii="宋体" w:hAnsi="宋体"/>
          <w:color w:val="auto"/>
          <w:highlight w:val="none"/>
        </w:rPr>
      </w:pPr>
      <w:r>
        <w:rPr>
          <w:rFonts w:hint="eastAsia" w:ascii="宋体" w:hAnsi="宋体"/>
          <w:color w:val="auto"/>
          <w:highlight w:val="none"/>
        </w:rPr>
        <w:t>（四）不准参加有可能影响公正执行公务的乙方和相关单位的宴请、健身、娱乐等活动。</w:t>
      </w:r>
    </w:p>
    <w:p>
      <w:pPr>
        <w:tabs>
          <w:tab w:val="left" w:pos="1995"/>
          <w:tab w:val="left" w:pos="2460"/>
        </w:tabs>
        <w:ind w:left="720"/>
        <w:rPr>
          <w:rFonts w:ascii="宋体" w:hAnsi="宋体"/>
          <w:color w:val="auto"/>
          <w:highlight w:val="none"/>
        </w:rPr>
      </w:pPr>
      <w:r>
        <w:rPr>
          <w:rFonts w:hint="eastAsia" w:ascii="宋体" w:hAnsi="宋体"/>
          <w:color w:val="auto"/>
          <w:highlight w:val="none"/>
        </w:rPr>
        <w:t>（五）不准向乙方介绍或为配偶、子女、亲属参与同甲方项目工程有关的经济活动。</w:t>
      </w:r>
    </w:p>
    <w:p>
      <w:pPr>
        <w:ind w:left="720"/>
        <w:rPr>
          <w:rFonts w:ascii="宋体" w:hAnsi="宋体"/>
          <w:b/>
          <w:bCs/>
          <w:color w:val="auto"/>
          <w:highlight w:val="none"/>
        </w:rPr>
      </w:pPr>
      <w:r>
        <w:rPr>
          <w:rFonts w:hint="eastAsia" w:ascii="宋体" w:hAnsi="宋体"/>
          <w:b/>
          <w:bCs/>
          <w:color w:val="auto"/>
          <w:highlight w:val="none"/>
        </w:rPr>
        <w:t>第三条  乙方的责任</w:t>
      </w:r>
    </w:p>
    <w:p>
      <w:pPr>
        <w:ind w:firstLine="480"/>
        <w:rPr>
          <w:rFonts w:ascii="宋体" w:hAnsi="宋体"/>
          <w:color w:val="auto"/>
          <w:highlight w:val="none"/>
        </w:rPr>
      </w:pPr>
      <w:r>
        <w:rPr>
          <w:rFonts w:hint="eastAsia" w:ascii="宋体" w:hAnsi="宋体"/>
          <w:color w:val="auto"/>
          <w:highlight w:val="none"/>
        </w:rPr>
        <w:t>应与甲方保持正常的业务交往，按照有关法律法规和程序开展业务工作，严格执行工程建设的有关方针、政策，并遵守以下规定：</w:t>
      </w:r>
    </w:p>
    <w:p>
      <w:pPr>
        <w:tabs>
          <w:tab w:val="left" w:pos="1995"/>
          <w:tab w:val="left" w:pos="2460"/>
        </w:tabs>
        <w:ind w:left="720"/>
        <w:rPr>
          <w:rFonts w:ascii="宋体" w:hAnsi="宋体"/>
          <w:color w:val="auto"/>
          <w:highlight w:val="none"/>
        </w:rPr>
      </w:pPr>
      <w:r>
        <w:rPr>
          <w:rFonts w:hint="eastAsia" w:ascii="宋体" w:hAnsi="宋体"/>
          <w:color w:val="auto"/>
          <w:highlight w:val="none"/>
        </w:rPr>
        <w:t>（一）不准以任何理由向甲方，相关单位及其工作人员索要、接受或赠送礼金、有价证券、贵重物品及回扣、好处费、感谢费等。</w:t>
      </w:r>
    </w:p>
    <w:p>
      <w:pPr>
        <w:tabs>
          <w:tab w:val="left" w:pos="1995"/>
          <w:tab w:val="left" w:pos="2460"/>
        </w:tabs>
        <w:ind w:left="720"/>
        <w:rPr>
          <w:rFonts w:ascii="宋体" w:hAnsi="宋体"/>
          <w:color w:val="auto"/>
          <w:highlight w:val="none"/>
        </w:rPr>
      </w:pPr>
      <w:r>
        <w:rPr>
          <w:rFonts w:hint="eastAsia" w:ascii="宋体" w:hAnsi="宋体"/>
          <w:color w:val="auto"/>
          <w:highlight w:val="none"/>
        </w:rPr>
        <w:t>（二）不准以任何理由为甲方和相关单位报销应由对方或个人支付的费用。</w:t>
      </w:r>
    </w:p>
    <w:p>
      <w:pPr>
        <w:tabs>
          <w:tab w:val="left" w:pos="1995"/>
          <w:tab w:val="left" w:pos="2460"/>
        </w:tabs>
        <w:ind w:left="720"/>
        <w:rPr>
          <w:rFonts w:ascii="宋体" w:hAnsi="宋体"/>
          <w:color w:val="auto"/>
          <w:highlight w:val="none"/>
        </w:rPr>
      </w:pPr>
      <w:r>
        <w:rPr>
          <w:rFonts w:hint="eastAsia" w:ascii="宋体" w:hAnsi="宋体"/>
          <w:color w:val="auto"/>
          <w:highlight w:val="none"/>
        </w:rPr>
        <w:t>（三）不准接受或暗示为甲方、相关单位或个人装修住房、婚丧嫁娶、配偶子女的工作安排以及出国（境）、旅游等提供方便。</w:t>
      </w:r>
    </w:p>
    <w:p>
      <w:pPr>
        <w:tabs>
          <w:tab w:val="left" w:pos="1995"/>
          <w:tab w:val="left" w:pos="2460"/>
        </w:tabs>
        <w:ind w:left="720"/>
        <w:rPr>
          <w:rFonts w:ascii="宋体" w:hAnsi="宋体"/>
          <w:color w:val="auto"/>
          <w:highlight w:val="none"/>
        </w:rPr>
      </w:pPr>
      <w:r>
        <w:rPr>
          <w:rFonts w:hint="eastAsia" w:ascii="宋体" w:hAnsi="宋体"/>
          <w:color w:val="auto"/>
          <w:highlight w:val="none"/>
        </w:rPr>
        <w:t>（四）不准以任何理由为甲方、相关单位或个人组织有可能影响公正执行公务的宴请、健身、娱乐等活动。</w:t>
      </w:r>
    </w:p>
    <w:p>
      <w:pPr>
        <w:ind w:left="720"/>
        <w:rPr>
          <w:rFonts w:ascii="宋体" w:hAnsi="宋体"/>
          <w:b/>
          <w:bCs/>
          <w:color w:val="auto"/>
          <w:highlight w:val="none"/>
        </w:rPr>
      </w:pPr>
      <w:r>
        <w:rPr>
          <w:rFonts w:hint="eastAsia" w:ascii="宋体" w:hAnsi="宋体"/>
          <w:b/>
          <w:bCs/>
          <w:color w:val="auto"/>
          <w:highlight w:val="none"/>
        </w:rPr>
        <w:t>第四条  违约责任</w:t>
      </w:r>
    </w:p>
    <w:p>
      <w:pPr>
        <w:tabs>
          <w:tab w:val="left" w:pos="1995"/>
          <w:tab w:val="left" w:pos="2460"/>
        </w:tabs>
        <w:ind w:left="720"/>
        <w:rPr>
          <w:rFonts w:ascii="宋体" w:hAnsi="宋体"/>
          <w:color w:val="auto"/>
          <w:highlight w:val="none"/>
        </w:rPr>
      </w:pPr>
      <w:r>
        <w:rPr>
          <w:rFonts w:hint="eastAsia" w:ascii="宋体" w:hAnsi="宋体"/>
          <w:color w:val="auto"/>
          <w:highlight w:val="none"/>
        </w:rPr>
        <w:t>（一）甲方工作人员有违反本责任书第一、第二条责任行为的，按照管理权限，依据有关法律法规和规定给予党纪、政纪处分或组织处理；涉嫌犯罪的，移交司法机关追究刑事责任；给乙方单位造成经济损失的，应予以赔偿。</w:t>
      </w:r>
    </w:p>
    <w:p>
      <w:pPr>
        <w:tabs>
          <w:tab w:val="left" w:pos="1995"/>
          <w:tab w:val="left" w:pos="2460"/>
        </w:tabs>
        <w:ind w:left="720"/>
        <w:rPr>
          <w:rFonts w:ascii="宋体" w:hAnsi="宋体"/>
          <w:color w:val="auto"/>
          <w:highlight w:val="none"/>
        </w:rPr>
      </w:pPr>
      <w:r>
        <w:rPr>
          <w:rFonts w:hint="eastAsia" w:ascii="宋体" w:hAnsi="宋体"/>
          <w:color w:val="auto"/>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ind w:left="480"/>
        <w:rPr>
          <w:rFonts w:ascii="宋体" w:hAnsi="宋体"/>
          <w:b/>
          <w:bCs/>
          <w:color w:val="auto"/>
          <w:highlight w:val="none"/>
        </w:rPr>
      </w:pPr>
      <w:r>
        <w:rPr>
          <w:rFonts w:hint="eastAsia" w:ascii="宋体" w:hAnsi="宋体"/>
          <w:b/>
          <w:bCs/>
          <w:color w:val="auto"/>
          <w:highlight w:val="none"/>
        </w:rPr>
        <w:t xml:space="preserve">  第五条  </w:t>
      </w:r>
      <w:r>
        <w:rPr>
          <w:rFonts w:hint="eastAsia" w:ascii="宋体" w:hAnsi="宋体"/>
          <w:color w:val="auto"/>
          <w:highlight w:val="none"/>
        </w:rPr>
        <w:t>本责任书作为设计合同的附件，与合同具有同等法律效力。经双方签署后立即生效。</w:t>
      </w:r>
    </w:p>
    <w:p>
      <w:pPr>
        <w:ind w:left="480" w:leftChars="229" w:firstLine="210" w:firstLineChars="100"/>
        <w:rPr>
          <w:rFonts w:ascii="宋体" w:hAnsi="宋体"/>
          <w:color w:val="auto"/>
          <w:highlight w:val="none"/>
        </w:rPr>
      </w:pPr>
      <w:r>
        <w:rPr>
          <w:rFonts w:hint="eastAsia" w:ascii="宋体" w:hAnsi="宋体"/>
          <w:b/>
          <w:bCs/>
          <w:color w:val="auto"/>
          <w:highlight w:val="none"/>
        </w:rPr>
        <w:t xml:space="preserve">第六条  </w:t>
      </w:r>
      <w:r>
        <w:rPr>
          <w:rFonts w:hint="eastAsia" w:ascii="宋体" w:hAnsi="宋体"/>
          <w:color w:val="auto"/>
          <w:highlight w:val="none"/>
        </w:rPr>
        <w:t>本责任书的有效期为双方签署之日起至设计合同失效止。</w:t>
      </w:r>
    </w:p>
    <w:p>
      <w:pPr>
        <w:ind w:left="480" w:leftChars="229" w:firstLine="210" w:firstLineChars="100"/>
        <w:rPr>
          <w:rFonts w:ascii="宋体" w:hAnsi="宋体"/>
          <w:b/>
          <w:bCs/>
          <w:color w:val="auto"/>
          <w:highlight w:val="none"/>
        </w:rPr>
      </w:pPr>
      <w:r>
        <w:rPr>
          <w:rFonts w:hint="eastAsia" w:ascii="宋体" w:hAnsi="宋体"/>
          <w:b/>
          <w:bCs/>
          <w:color w:val="auto"/>
          <w:highlight w:val="none"/>
        </w:rPr>
        <w:t xml:space="preserve">第七条  </w:t>
      </w:r>
      <w:r>
        <w:rPr>
          <w:rFonts w:hint="eastAsia" w:ascii="宋体" w:hAnsi="宋体"/>
          <w:color w:val="auto"/>
          <w:highlight w:val="none"/>
        </w:rPr>
        <w:t>本责任书一式十份，由甲乙双方各执四份，送交甲乙双方的监督单位各一份。</w:t>
      </w:r>
    </w:p>
    <w:p>
      <w:pPr>
        <w:ind w:left="420"/>
        <w:rPr>
          <w:rFonts w:ascii="宋体" w:hAnsi="宋体"/>
          <w:color w:val="auto"/>
          <w:highlight w:val="none"/>
        </w:rPr>
      </w:pPr>
    </w:p>
    <w:p>
      <w:pPr>
        <w:spacing w:line="600" w:lineRule="auto"/>
        <w:ind w:firstLine="630" w:firstLineChars="300"/>
        <w:rPr>
          <w:rFonts w:ascii="宋体" w:hAnsi="宋体"/>
          <w:color w:val="auto"/>
          <w:highlight w:val="none"/>
        </w:rPr>
      </w:pPr>
      <w:r>
        <w:rPr>
          <w:rFonts w:hint="eastAsia" w:ascii="宋体" w:hAnsi="宋体"/>
          <w:color w:val="auto"/>
          <w:highlight w:val="none"/>
        </w:rPr>
        <w:t>甲方单位：（盖章）             乙方单位：（盖章）</w:t>
      </w:r>
    </w:p>
    <w:p>
      <w:pPr>
        <w:spacing w:line="600" w:lineRule="auto"/>
        <w:ind w:firstLine="630" w:firstLineChars="300"/>
        <w:rPr>
          <w:rFonts w:ascii="宋体" w:hAnsi="宋体"/>
          <w:color w:val="auto"/>
          <w:highlight w:val="none"/>
        </w:rPr>
      </w:pPr>
      <w:r>
        <w:rPr>
          <w:rFonts w:hint="eastAsia" w:ascii="宋体" w:hAnsi="宋体"/>
          <w:color w:val="auto"/>
          <w:highlight w:val="none"/>
        </w:rPr>
        <w:t>法定代表人：                 法定代表人：</w:t>
      </w:r>
    </w:p>
    <w:p>
      <w:pPr>
        <w:spacing w:line="600" w:lineRule="auto"/>
        <w:ind w:firstLine="630" w:firstLineChars="300"/>
        <w:rPr>
          <w:rFonts w:ascii="宋体" w:hAnsi="宋体"/>
          <w:color w:val="auto"/>
          <w:highlight w:val="none"/>
        </w:rPr>
      </w:pPr>
      <w:r>
        <w:rPr>
          <w:rFonts w:hint="eastAsia" w:ascii="宋体" w:hAnsi="宋体"/>
          <w:color w:val="auto"/>
          <w:highlight w:val="none"/>
        </w:rPr>
        <w:t>授权代表：                    授权代表：</w:t>
      </w:r>
    </w:p>
    <w:p>
      <w:pPr>
        <w:spacing w:line="600" w:lineRule="auto"/>
        <w:ind w:firstLine="630" w:firstLineChars="300"/>
        <w:rPr>
          <w:rFonts w:ascii="宋体" w:hAnsi="宋体"/>
          <w:color w:val="auto"/>
          <w:highlight w:val="none"/>
        </w:rPr>
      </w:pPr>
      <w:r>
        <w:rPr>
          <w:rFonts w:hint="eastAsia" w:ascii="宋体" w:hAnsi="宋体"/>
          <w:color w:val="auto"/>
          <w:highlight w:val="none"/>
        </w:rPr>
        <w:t>地址：                        地址：</w:t>
      </w:r>
    </w:p>
    <w:p>
      <w:pPr>
        <w:spacing w:line="600" w:lineRule="auto"/>
        <w:ind w:firstLine="630" w:firstLineChars="300"/>
        <w:rPr>
          <w:rFonts w:ascii="宋体" w:hAnsi="宋体"/>
          <w:color w:val="auto"/>
          <w:highlight w:val="none"/>
        </w:rPr>
      </w:pPr>
      <w:r>
        <w:rPr>
          <w:rFonts w:hint="eastAsia" w:ascii="宋体" w:hAnsi="宋体"/>
          <w:color w:val="auto"/>
          <w:highlight w:val="none"/>
        </w:rPr>
        <w:t>电话：                        电话：</w:t>
      </w:r>
    </w:p>
    <w:p>
      <w:pPr>
        <w:spacing w:line="600" w:lineRule="auto"/>
        <w:ind w:firstLine="1050" w:firstLineChars="500"/>
        <w:rPr>
          <w:rFonts w:ascii="宋体" w:hAnsi="宋体"/>
          <w:color w:val="auto"/>
          <w:highlight w:val="none"/>
        </w:rPr>
      </w:pPr>
      <w:r>
        <w:rPr>
          <w:rFonts w:hint="eastAsia" w:ascii="宋体" w:hAnsi="宋体"/>
          <w:color w:val="auto"/>
          <w:highlight w:val="none"/>
        </w:rPr>
        <w:t>年   月   日                  年   月   日</w:t>
      </w:r>
    </w:p>
    <w:p>
      <w:pPr>
        <w:spacing w:line="380" w:lineRule="exact"/>
        <w:ind w:firstLine="5040"/>
        <w:rPr>
          <w:rFonts w:ascii="宋体" w:hAnsi="宋体"/>
          <w:b/>
          <w:bCs/>
          <w:color w:val="auto"/>
          <w:kern w:val="0"/>
          <w:sz w:val="32"/>
          <w:szCs w:val="32"/>
          <w:highlight w:val="none"/>
        </w:rPr>
      </w:pPr>
    </w:p>
    <w:p>
      <w:pPr>
        <w:tabs>
          <w:tab w:val="left" w:pos="1470"/>
        </w:tabs>
        <w:spacing w:line="480" w:lineRule="auto"/>
        <w:rPr>
          <w:rFonts w:ascii="宋体" w:hAnsi="宋体"/>
          <w:color w:val="auto"/>
          <w:highlight w:val="none"/>
        </w:rPr>
        <w:sectPr>
          <w:footerReference r:id="rId6"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4"/>
        <w:rPr>
          <w:color w:val="auto"/>
          <w:highlight w:val="none"/>
        </w:rPr>
      </w:pPr>
      <w:bookmarkStart w:id="21" w:name="_Toc99463985"/>
      <w:bookmarkStart w:id="22" w:name="_Toc30822"/>
      <w:bookmarkStart w:id="23" w:name="_Toc29628"/>
      <w:r>
        <w:rPr>
          <w:rFonts w:hint="eastAsia"/>
          <w:color w:val="auto"/>
          <w:highlight w:val="none"/>
        </w:rPr>
        <w:t>附录1：投标申请表（申请人、资质、机构简介）</w:t>
      </w:r>
      <w:bookmarkEnd w:id="21"/>
      <w:bookmarkEnd w:id="22"/>
      <w:bookmarkEnd w:id="23"/>
    </w:p>
    <w:p>
      <w:pPr>
        <w:jc w:val="center"/>
        <w:rPr>
          <w:rFonts w:ascii="宋体" w:hAnsi="宋体"/>
          <w:b/>
          <w:color w:val="auto"/>
          <w:sz w:val="36"/>
          <w:szCs w:val="36"/>
          <w:highlight w:val="none"/>
        </w:rPr>
      </w:pPr>
      <w:r>
        <w:rPr>
          <w:rFonts w:hint="eastAsia" w:ascii="宋体" w:hAnsi="宋体"/>
          <w:b/>
          <w:color w:val="auto"/>
          <w:sz w:val="36"/>
          <w:szCs w:val="36"/>
          <w:highlight w:val="none"/>
        </w:rPr>
        <w:t>投标申请表（申请人、资质、机构简介）</w:t>
      </w:r>
    </w:p>
    <w:tbl>
      <w:tblPr>
        <w:tblStyle w:val="3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4051"/>
        <w:gridCol w:w="576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val="0"/>
              <w:topLinePunct/>
              <w:jc w:val="center"/>
              <w:rPr>
                <w:rFonts w:ascii="宋体" w:hAnsi="宋体"/>
                <w:color w:val="auto"/>
                <w:szCs w:val="21"/>
                <w:highlight w:val="none"/>
              </w:rPr>
            </w:pPr>
            <w:r>
              <w:rPr>
                <w:rFonts w:hint="eastAsia" w:ascii="宋体" w:hAnsi="宋体"/>
                <w:color w:val="auto"/>
                <w:szCs w:val="21"/>
                <w:highlight w:val="none"/>
              </w:rPr>
              <w:t>序号</w:t>
            </w:r>
          </w:p>
        </w:tc>
        <w:tc>
          <w:tcPr>
            <w:tcW w:w="4051" w:type="dxa"/>
            <w:vAlign w:val="center"/>
          </w:tcPr>
          <w:p>
            <w:pPr>
              <w:wordWrap w:val="0"/>
              <w:topLinePunct/>
              <w:jc w:val="center"/>
              <w:rPr>
                <w:rFonts w:ascii="宋体" w:hAnsi="宋体"/>
                <w:color w:val="auto"/>
                <w:szCs w:val="21"/>
                <w:highlight w:val="none"/>
              </w:rPr>
            </w:pPr>
            <w:r>
              <w:rPr>
                <w:rFonts w:hint="eastAsia" w:ascii="宋体" w:hAnsi="宋体"/>
                <w:color w:val="auto"/>
                <w:szCs w:val="21"/>
                <w:highlight w:val="none"/>
              </w:rPr>
              <w:t>内容</w:t>
            </w:r>
          </w:p>
        </w:tc>
        <w:tc>
          <w:tcPr>
            <w:tcW w:w="5769" w:type="dxa"/>
            <w:vAlign w:val="center"/>
          </w:tcPr>
          <w:p>
            <w:pPr>
              <w:wordWrap w:val="0"/>
              <w:topLinePunct/>
              <w:jc w:val="center"/>
              <w:rPr>
                <w:rFonts w:ascii="宋体" w:hAnsi="宋体"/>
                <w:color w:val="auto"/>
                <w:szCs w:val="21"/>
                <w:highlight w:val="none"/>
              </w:rPr>
            </w:pPr>
            <w:r>
              <w:rPr>
                <w:rFonts w:hint="eastAsia" w:ascii="宋体" w:hAnsi="宋体"/>
                <w:color w:val="auto"/>
                <w:highlight w:val="none"/>
              </w:rPr>
              <w:t>申请人（牵头人）</w:t>
            </w:r>
          </w:p>
        </w:tc>
        <w:tc>
          <w:tcPr>
            <w:tcW w:w="3544" w:type="dxa"/>
            <w:vAlign w:val="center"/>
          </w:tcPr>
          <w:p>
            <w:pPr>
              <w:wordWrap w:val="0"/>
              <w:topLinePunct/>
              <w:jc w:val="center"/>
              <w:rPr>
                <w:rFonts w:ascii="宋体" w:hAnsi="宋体"/>
                <w:color w:val="auto"/>
                <w:szCs w:val="21"/>
                <w:highlight w:val="none"/>
              </w:rPr>
            </w:pPr>
            <w:r>
              <w:rPr>
                <w:rFonts w:hint="eastAsia" w:ascii="宋体" w:hAnsi="宋体"/>
                <w:color w:val="auto"/>
                <w:highlight w:val="none"/>
              </w:rPr>
              <w:t>联合体成员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val="0"/>
              <w:topLinePunct/>
              <w:jc w:val="center"/>
              <w:rPr>
                <w:rFonts w:ascii="宋体" w:hAnsi="宋体"/>
                <w:color w:val="auto"/>
                <w:szCs w:val="21"/>
                <w:highlight w:val="none"/>
              </w:rPr>
            </w:pPr>
            <w:r>
              <w:rPr>
                <w:rFonts w:hint="eastAsia" w:ascii="宋体" w:hAnsi="宋体"/>
                <w:color w:val="auto"/>
                <w:szCs w:val="21"/>
                <w:highlight w:val="none"/>
              </w:rPr>
              <w:t>1</w:t>
            </w:r>
          </w:p>
        </w:tc>
        <w:tc>
          <w:tcPr>
            <w:tcW w:w="4051" w:type="dxa"/>
          </w:tcPr>
          <w:p>
            <w:pPr>
              <w:wordWrap w:val="0"/>
              <w:topLinePunct/>
              <w:rPr>
                <w:rFonts w:ascii="宋体" w:hAnsi="宋体"/>
                <w:color w:val="auto"/>
                <w:szCs w:val="21"/>
                <w:highlight w:val="none"/>
              </w:rPr>
            </w:pPr>
            <w:r>
              <w:rPr>
                <w:rFonts w:hint="eastAsia" w:ascii="宋体" w:hAnsi="宋体"/>
                <w:color w:val="auto"/>
                <w:highlight w:val="none"/>
              </w:rPr>
              <w:t>名称（盖章）</w:t>
            </w:r>
          </w:p>
        </w:tc>
        <w:tc>
          <w:tcPr>
            <w:tcW w:w="5769" w:type="dxa"/>
          </w:tcPr>
          <w:p>
            <w:pPr>
              <w:wordWrap w:val="0"/>
              <w:topLinePunct/>
              <w:rPr>
                <w:rFonts w:ascii="宋体" w:hAnsi="宋体"/>
                <w:color w:val="auto"/>
                <w:szCs w:val="21"/>
                <w:highlight w:val="none"/>
              </w:rPr>
            </w:pPr>
          </w:p>
        </w:tc>
        <w:tc>
          <w:tcPr>
            <w:tcW w:w="3544" w:type="dxa"/>
          </w:tcPr>
          <w:p>
            <w:pPr>
              <w:wordWrap w:val="0"/>
              <w:topLinePun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val="0"/>
              <w:topLinePunct/>
              <w:jc w:val="center"/>
              <w:rPr>
                <w:rFonts w:ascii="宋体" w:hAnsi="宋体"/>
                <w:color w:val="auto"/>
                <w:szCs w:val="21"/>
                <w:highlight w:val="none"/>
              </w:rPr>
            </w:pPr>
            <w:r>
              <w:rPr>
                <w:rFonts w:hint="eastAsia" w:ascii="宋体" w:hAnsi="宋体"/>
                <w:color w:val="auto"/>
                <w:szCs w:val="21"/>
                <w:highlight w:val="none"/>
              </w:rPr>
              <w:t>2</w:t>
            </w:r>
          </w:p>
        </w:tc>
        <w:tc>
          <w:tcPr>
            <w:tcW w:w="4051" w:type="dxa"/>
          </w:tcPr>
          <w:p>
            <w:pPr>
              <w:wordWrap w:val="0"/>
              <w:topLinePunct/>
              <w:rPr>
                <w:rFonts w:ascii="宋体" w:hAnsi="宋体"/>
                <w:color w:val="auto"/>
                <w:szCs w:val="21"/>
                <w:highlight w:val="none"/>
              </w:rPr>
            </w:pPr>
            <w:r>
              <w:rPr>
                <w:rFonts w:hint="eastAsia" w:ascii="宋体" w:hAnsi="宋体"/>
                <w:color w:val="auto"/>
                <w:highlight w:val="none"/>
              </w:rPr>
              <w:t>法定代表人</w:t>
            </w:r>
          </w:p>
        </w:tc>
        <w:tc>
          <w:tcPr>
            <w:tcW w:w="5769" w:type="dxa"/>
          </w:tcPr>
          <w:p>
            <w:pPr>
              <w:topLinePunct/>
              <w:jc w:val="center"/>
              <w:rPr>
                <w:rFonts w:ascii="宋体" w:hAnsi="宋体"/>
                <w:color w:val="auto"/>
                <w:szCs w:val="21"/>
                <w:highlight w:val="none"/>
              </w:rPr>
            </w:pPr>
          </w:p>
        </w:tc>
        <w:tc>
          <w:tcPr>
            <w:tcW w:w="3544" w:type="dxa"/>
          </w:tcPr>
          <w:p>
            <w:pPr>
              <w:wordWrap w:val="0"/>
              <w:topLinePun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val="0"/>
              <w:topLinePunct/>
              <w:jc w:val="center"/>
              <w:rPr>
                <w:rFonts w:ascii="宋体" w:hAnsi="宋体"/>
                <w:color w:val="auto"/>
                <w:szCs w:val="21"/>
                <w:highlight w:val="none"/>
              </w:rPr>
            </w:pPr>
            <w:r>
              <w:rPr>
                <w:rFonts w:hint="eastAsia" w:ascii="宋体" w:hAnsi="宋体"/>
                <w:color w:val="auto"/>
                <w:szCs w:val="21"/>
                <w:highlight w:val="none"/>
              </w:rPr>
              <w:t>3</w:t>
            </w:r>
          </w:p>
        </w:tc>
        <w:tc>
          <w:tcPr>
            <w:tcW w:w="4051" w:type="dxa"/>
          </w:tcPr>
          <w:p>
            <w:pPr>
              <w:wordWrap w:val="0"/>
              <w:topLinePunct/>
              <w:rPr>
                <w:rFonts w:ascii="宋体" w:hAnsi="宋体"/>
                <w:color w:val="auto"/>
                <w:szCs w:val="21"/>
                <w:highlight w:val="none"/>
              </w:rPr>
            </w:pPr>
            <w:r>
              <w:rPr>
                <w:rFonts w:hint="eastAsia" w:ascii="宋体" w:hAnsi="宋体"/>
                <w:color w:val="auto"/>
                <w:highlight w:val="none"/>
              </w:rPr>
              <w:t>总部邮政编码、注册地址</w:t>
            </w:r>
          </w:p>
        </w:tc>
        <w:tc>
          <w:tcPr>
            <w:tcW w:w="5769" w:type="dxa"/>
          </w:tcPr>
          <w:p>
            <w:pPr>
              <w:wordWrap w:val="0"/>
              <w:topLinePunct/>
              <w:rPr>
                <w:rFonts w:ascii="宋体" w:hAnsi="宋体"/>
                <w:color w:val="auto"/>
                <w:szCs w:val="21"/>
                <w:highlight w:val="none"/>
              </w:rPr>
            </w:pPr>
          </w:p>
        </w:tc>
        <w:tc>
          <w:tcPr>
            <w:tcW w:w="3544" w:type="dxa"/>
          </w:tcPr>
          <w:p>
            <w:pPr>
              <w:wordWrap w:val="0"/>
              <w:topLinePun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val="0"/>
              <w:topLinePunct/>
              <w:jc w:val="center"/>
              <w:rPr>
                <w:rFonts w:ascii="宋体" w:hAnsi="宋体"/>
                <w:color w:val="auto"/>
                <w:szCs w:val="21"/>
                <w:highlight w:val="none"/>
              </w:rPr>
            </w:pPr>
            <w:r>
              <w:rPr>
                <w:rFonts w:hint="eastAsia" w:ascii="宋体" w:hAnsi="宋体"/>
                <w:color w:val="auto"/>
                <w:szCs w:val="21"/>
                <w:highlight w:val="none"/>
              </w:rPr>
              <w:t>4</w:t>
            </w:r>
          </w:p>
        </w:tc>
        <w:tc>
          <w:tcPr>
            <w:tcW w:w="4051" w:type="dxa"/>
          </w:tcPr>
          <w:p>
            <w:pPr>
              <w:wordWrap w:val="0"/>
              <w:topLinePunct/>
              <w:rPr>
                <w:rFonts w:ascii="宋体" w:hAnsi="宋体"/>
                <w:color w:val="auto"/>
                <w:szCs w:val="21"/>
                <w:highlight w:val="none"/>
              </w:rPr>
            </w:pPr>
            <w:r>
              <w:rPr>
                <w:rFonts w:hint="eastAsia" w:ascii="宋体" w:hAnsi="宋体"/>
                <w:color w:val="auto"/>
                <w:highlight w:val="none"/>
              </w:rPr>
              <w:t>总部电话号码</w:t>
            </w:r>
          </w:p>
        </w:tc>
        <w:tc>
          <w:tcPr>
            <w:tcW w:w="5769" w:type="dxa"/>
          </w:tcPr>
          <w:p>
            <w:pPr>
              <w:wordWrap w:val="0"/>
              <w:topLinePunct/>
              <w:rPr>
                <w:rFonts w:ascii="宋体" w:hAnsi="宋体"/>
                <w:color w:val="auto"/>
                <w:szCs w:val="21"/>
                <w:highlight w:val="none"/>
              </w:rPr>
            </w:pPr>
          </w:p>
        </w:tc>
        <w:tc>
          <w:tcPr>
            <w:tcW w:w="3544" w:type="dxa"/>
          </w:tcPr>
          <w:p>
            <w:pPr>
              <w:wordWrap w:val="0"/>
              <w:topLinePun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val="0"/>
              <w:topLinePunct/>
              <w:jc w:val="center"/>
              <w:rPr>
                <w:rFonts w:ascii="宋体" w:hAnsi="宋体"/>
                <w:color w:val="auto"/>
                <w:szCs w:val="21"/>
                <w:highlight w:val="none"/>
              </w:rPr>
            </w:pPr>
            <w:r>
              <w:rPr>
                <w:rFonts w:hint="eastAsia" w:ascii="宋体" w:hAnsi="宋体"/>
                <w:color w:val="auto"/>
                <w:szCs w:val="21"/>
                <w:highlight w:val="none"/>
              </w:rPr>
              <w:t>5</w:t>
            </w:r>
          </w:p>
        </w:tc>
        <w:tc>
          <w:tcPr>
            <w:tcW w:w="4051" w:type="dxa"/>
          </w:tcPr>
          <w:p>
            <w:pPr>
              <w:wordWrap w:val="0"/>
              <w:topLinePunct/>
              <w:rPr>
                <w:rFonts w:ascii="宋体" w:hAnsi="宋体"/>
                <w:color w:val="auto"/>
                <w:highlight w:val="none"/>
              </w:rPr>
            </w:pPr>
            <w:r>
              <w:rPr>
                <w:rFonts w:hint="eastAsia" w:ascii="宋体" w:hAnsi="宋体"/>
                <w:color w:val="auto"/>
                <w:highlight w:val="none"/>
              </w:rPr>
              <w:t>总部传真号码</w:t>
            </w:r>
          </w:p>
        </w:tc>
        <w:tc>
          <w:tcPr>
            <w:tcW w:w="5769" w:type="dxa"/>
          </w:tcPr>
          <w:p>
            <w:pPr>
              <w:wordWrap w:val="0"/>
              <w:topLinePunct/>
              <w:rPr>
                <w:rFonts w:ascii="宋体" w:hAnsi="宋体"/>
                <w:color w:val="auto"/>
                <w:szCs w:val="21"/>
                <w:highlight w:val="none"/>
              </w:rPr>
            </w:pPr>
          </w:p>
        </w:tc>
        <w:tc>
          <w:tcPr>
            <w:tcW w:w="3544" w:type="dxa"/>
          </w:tcPr>
          <w:p>
            <w:pPr>
              <w:wordWrap w:val="0"/>
              <w:topLinePun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val="0"/>
              <w:topLinePunct/>
              <w:jc w:val="center"/>
              <w:rPr>
                <w:rFonts w:ascii="宋体" w:hAnsi="宋体"/>
                <w:color w:val="auto"/>
                <w:szCs w:val="21"/>
                <w:highlight w:val="none"/>
              </w:rPr>
            </w:pPr>
            <w:r>
              <w:rPr>
                <w:rFonts w:hint="eastAsia" w:ascii="宋体" w:hAnsi="宋体"/>
                <w:color w:val="auto"/>
                <w:szCs w:val="21"/>
                <w:highlight w:val="none"/>
              </w:rPr>
              <w:t>6</w:t>
            </w:r>
          </w:p>
        </w:tc>
        <w:tc>
          <w:tcPr>
            <w:tcW w:w="4051" w:type="dxa"/>
          </w:tcPr>
          <w:p>
            <w:pPr>
              <w:wordWrap w:val="0"/>
              <w:topLinePunct/>
              <w:rPr>
                <w:rFonts w:ascii="宋体" w:hAnsi="宋体"/>
                <w:color w:val="auto"/>
                <w:highlight w:val="none"/>
              </w:rPr>
            </w:pPr>
            <w:r>
              <w:rPr>
                <w:rFonts w:hint="eastAsia" w:ascii="宋体" w:hAnsi="宋体"/>
                <w:color w:val="auto"/>
                <w:highlight w:val="none"/>
              </w:rPr>
              <w:t>总部联络人、手机号码</w:t>
            </w:r>
          </w:p>
        </w:tc>
        <w:tc>
          <w:tcPr>
            <w:tcW w:w="5769" w:type="dxa"/>
          </w:tcPr>
          <w:p>
            <w:pPr>
              <w:wordWrap w:val="0"/>
              <w:topLinePunct/>
              <w:rPr>
                <w:rFonts w:ascii="宋体" w:hAnsi="宋体"/>
                <w:color w:val="auto"/>
                <w:szCs w:val="21"/>
                <w:highlight w:val="none"/>
              </w:rPr>
            </w:pPr>
          </w:p>
        </w:tc>
        <w:tc>
          <w:tcPr>
            <w:tcW w:w="3544" w:type="dxa"/>
          </w:tcPr>
          <w:p>
            <w:pPr>
              <w:wordWrap w:val="0"/>
              <w:topLinePun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val="0"/>
              <w:topLinePunct/>
              <w:jc w:val="center"/>
              <w:rPr>
                <w:rFonts w:ascii="宋体" w:hAnsi="宋体"/>
                <w:color w:val="auto"/>
                <w:szCs w:val="21"/>
                <w:highlight w:val="none"/>
              </w:rPr>
            </w:pPr>
            <w:r>
              <w:rPr>
                <w:rFonts w:hint="eastAsia" w:ascii="宋体" w:hAnsi="宋体"/>
                <w:color w:val="auto"/>
                <w:szCs w:val="21"/>
                <w:highlight w:val="none"/>
              </w:rPr>
              <w:t>7</w:t>
            </w:r>
          </w:p>
        </w:tc>
        <w:tc>
          <w:tcPr>
            <w:tcW w:w="4051" w:type="dxa"/>
          </w:tcPr>
          <w:p>
            <w:pPr>
              <w:wordWrap w:val="0"/>
              <w:topLinePunct/>
              <w:rPr>
                <w:rFonts w:ascii="宋体" w:hAnsi="宋体"/>
                <w:color w:val="auto"/>
                <w:highlight w:val="none"/>
              </w:rPr>
            </w:pPr>
            <w:r>
              <w:rPr>
                <w:rFonts w:hint="eastAsia" w:ascii="宋体" w:hAnsi="宋体"/>
                <w:color w:val="auto"/>
                <w:highlight w:val="none"/>
              </w:rPr>
              <w:t>本地邮政编码、注册地址</w:t>
            </w:r>
          </w:p>
        </w:tc>
        <w:tc>
          <w:tcPr>
            <w:tcW w:w="5769" w:type="dxa"/>
          </w:tcPr>
          <w:p>
            <w:pPr>
              <w:wordWrap w:val="0"/>
              <w:topLinePunct/>
              <w:rPr>
                <w:rFonts w:ascii="宋体" w:hAnsi="宋体"/>
                <w:color w:val="auto"/>
                <w:szCs w:val="21"/>
                <w:highlight w:val="none"/>
              </w:rPr>
            </w:pPr>
          </w:p>
        </w:tc>
        <w:tc>
          <w:tcPr>
            <w:tcW w:w="3544" w:type="dxa"/>
          </w:tcPr>
          <w:p>
            <w:pPr>
              <w:wordWrap w:val="0"/>
              <w:topLinePun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val="0"/>
              <w:topLinePunct/>
              <w:jc w:val="center"/>
              <w:rPr>
                <w:rFonts w:ascii="宋体" w:hAnsi="宋体"/>
                <w:color w:val="auto"/>
                <w:szCs w:val="21"/>
                <w:highlight w:val="none"/>
              </w:rPr>
            </w:pPr>
            <w:r>
              <w:rPr>
                <w:rFonts w:hint="eastAsia" w:ascii="宋体" w:hAnsi="宋体"/>
                <w:color w:val="auto"/>
                <w:szCs w:val="21"/>
                <w:highlight w:val="none"/>
              </w:rPr>
              <w:t>8</w:t>
            </w:r>
          </w:p>
        </w:tc>
        <w:tc>
          <w:tcPr>
            <w:tcW w:w="4051" w:type="dxa"/>
          </w:tcPr>
          <w:p>
            <w:pPr>
              <w:wordWrap w:val="0"/>
              <w:topLinePunct/>
              <w:rPr>
                <w:rFonts w:ascii="宋体" w:hAnsi="宋体"/>
                <w:color w:val="auto"/>
                <w:szCs w:val="21"/>
                <w:highlight w:val="none"/>
              </w:rPr>
            </w:pPr>
            <w:r>
              <w:rPr>
                <w:rFonts w:hint="eastAsia" w:ascii="宋体" w:hAnsi="宋体"/>
                <w:color w:val="auto"/>
                <w:highlight w:val="none"/>
              </w:rPr>
              <w:t>本地电话号码</w:t>
            </w:r>
          </w:p>
        </w:tc>
        <w:tc>
          <w:tcPr>
            <w:tcW w:w="5769" w:type="dxa"/>
          </w:tcPr>
          <w:p>
            <w:pPr>
              <w:wordWrap w:val="0"/>
              <w:topLinePunct/>
              <w:rPr>
                <w:rFonts w:ascii="宋体" w:hAnsi="宋体"/>
                <w:color w:val="auto"/>
                <w:szCs w:val="21"/>
                <w:highlight w:val="none"/>
              </w:rPr>
            </w:pPr>
          </w:p>
        </w:tc>
        <w:tc>
          <w:tcPr>
            <w:tcW w:w="3544" w:type="dxa"/>
          </w:tcPr>
          <w:p>
            <w:pPr>
              <w:wordWrap w:val="0"/>
              <w:topLinePun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val="0"/>
              <w:topLinePunct/>
              <w:jc w:val="center"/>
              <w:rPr>
                <w:rFonts w:ascii="宋体" w:hAnsi="宋体"/>
                <w:color w:val="auto"/>
                <w:szCs w:val="21"/>
                <w:highlight w:val="none"/>
              </w:rPr>
            </w:pPr>
            <w:r>
              <w:rPr>
                <w:rFonts w:hint="eastAsia" w:ascii="宋体" w:hAnsi="宋体"/>
                <w:color w:val="auto"/>
                <w:szCs w:val="21"/>
                <w:highlight w:val="none"/>
              </w:rPr>
              <w:t>9</w:t>
            </w:r>
          </w:p>
        </w:tc>
        <w:tc>
          <w:tcPr>
            <w:tcW w:w="4051" w:type="dxa"/>
          </w:tcPr>
          <w:p>
            <w:pPr>
              <w:wordWrap w:val="0"/>
              <w:topLinePunct/>
              <w:rPr>
                <w:rFonts w:ascii="宋体" w:hAnsi="宋体"/>
                <w:color w:val="auto"/>
                <w:highlight w:val="none"/>
              </w:rPr>
            </w:pPr>
            <w:r>
              <w:rPr>
                <w:rFonts w:hint="eastAsia" w:ascii="宋体" w:hAnsi="宋体"/>
                <w:color w:val="auto"/>
                <w:highlight w:val="none"/>
              </w:rPr>
              <w:t>本地传真号码</w:t>
            </w:r>
          </w:p>
        </w:tc>
        <w:tc>
          <w:tcPr>
            <w:tcW w:w="5769" w:type="dxa"/>
          </w:tcPr>
          <w:p>
            <w:pPr>
              <w:wordWrap w:val="0"/>
              <w:topLinePunct/>
              <w:rPr>
                <w:rFonts w:ascii="宋体" w:hAnsi="宋体"/>
                <w:color w:val="auto"/>
                <w:szCs w:val="21"/>
                <w:highlight w:val="none"/>
              </w:rPr>
            </w:pPr>
          </w:p>
        </w:tc>
        <w:tc>
          <w:tcPr>
            <w:tcW w:w="3544" w:type="dxa"/>
          </w:tcPr>
          <w:p>
            <w:pPr>
              <w:wordWrap w:val="0"/>
              <w:topLinePun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val="0"/>
              <w:topLinePunct/>
              <w:jc w:val="center"/>
              <w:rPr>
                <w:rFonts w:ascii="宋体" w:hAnsi="宋体"/>
                <w:color w:val="auto"/>
                <w:szCs w:val="21"/>
                <w:highlight w:val="none"/>
              </w:rPr>
            </w:pPr>
            <w:r>
              <w:rPr>
                <w:rFonts w:hint="eastAsia" w:ascii="宋体" w:hAnsi="宋体"/>
                <w:color w:val="auto"/>
                <w:szCs w:val="21"/>
                <w:highlight w:val="none"/>
              </w:rPr>
              <w:t>10</w:t>
            </w:r>
          </w:p>
        </w:tc>
        <w:tc>
          <w:tcPr>
            <w:tcW w:w="4051" w:type="dxa"/>
          </w:tcPr>
          <w:p>
            <w:pPr>
              <w:wordWrap w:val="0"/>
              <w:topLinePunct/>
              <w:rPr>
                <w:rFonts w:ascii="宋体" w:hAnsi="宋体"/>
                <w:color w:val="auto"/>
                <w:highlight w:val="none"/>
              </w:rPr>
            </w:pPr>
            <w:r>
              <w:rPr>
                <w:rFonts w:hint="eastAsia" w:ascii="宋体" w:hAnsi="宋体"/>
                <w:color w:val="auto"/>
                <w:highlight w:val="none"/>
              </w:rPr>
              <w:t>本地联络人、手机号码</w:t>
            </w:r>
          </w:p>
        </w:tc>
        <w:tc>
          <w:tcPr>
            <w:tcW w:w="5769" w:type="dxa"/>
          </w:tcPr>
          <w:p>
            <w:pPr>
              <w:wordWrap w:val="0"/>
              <w:topLinePunct/>
              <w:rPr>
                <w:rFonts w:ascii="宋体" w:hAnsi="宋体"/>
                <w:color w:val="auto"/>
                <w:szCs w:val="21"/>
                <w:highlight w:val="none"/>
              </w:rPr>
            </w:pPr>
          </w:p>
        </w:tc>
        <w:tc>
          <w:tcPr>
            <w:tcW w:w="3544" w:type="dxa"/>
          </w:tcPr>
          <w:p>
            <w:pPr>
              <w:wordWrap w:val="0"/>
              <w:topLinePun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val="0"/>
              <w:topLinePunct/>
              <w:jc w:val="center"/>
              <w:rPr>
                <w:rFonts w:ascii="宋体" w:hAnsi="宋体"/>
                <w:color w:val="auto"/>
                <w:szCs w:val="21"/>
                <w:highlight w:val="none"/>
              </w:rPr>
            </w:pPr>
            <w:r>
              <w:rPr>
                <w:rFonts w:hint="eastAsia" w:ascii="宋体" w:hAnsi="宋体"/>
                <w:color w:val="auto"/>
                <w:szCs w:val="21"/>
                <w:highlight w:val="none"/>
              </w:rPr>
              <w:t>11</w:t>
            </w:r>
          </w:p>
        </w:tc>
        <w:tc>
          <w:tcPr>
            <w:tcW w:w="4051" w:type="dxa"/>
          </w:tcPr>
          <w:p>
            <w:pPr>
              <w:wordWrap w:val="0"/>
              <w:topLinePunct/>
              <w:rPr>
                <w:rFonts w:ascii="宋体" w:hAnsi="宋体"/>
                <w:color w:val="auto"/>
                <w:highlight w:val="none"/>
              </w:rPr>
            </w:pPr>
            <w:r>
              <w:rPr>
                <w:rFonts w:hint="eastAsia" w:ascii="宋体" w:hAnsi="宋体"/>
                <w:color w:val="auto"/>
                <w:highlight w:val="none"/>
              </w:rPr>
              <w:t>电子邮箱</w:t>
            </w:r>
          </w:p>
        </w:tc>
        <w:tc>
          <w:tcPr>
            <w:tcW w:w="5769" w:type="dxa"/>
          </w:tcPr>
          <w:p>
            <w:pPr>
              <w:wordWrap w:val="0"/>
              <w:topLinePunct/>
              <w:rPr>
                <w:rFonts w:ascii="宋体" w:hAnsi="宋体"/>
                <w:color w:val="auto"/>
                <w:szCs w:val="21"/>
                <w:highlight w:val="none"/>
              </w:rPr>
            </w:pPr>
          </w:p>
        </w:tc>
        <w:tc>
          <w:tcPr>
            <w:tcW w:w="3544" w:type="dxa"/>
          </w:tcPr>
          <w:p>
            <w:pPr>
              <w:wordWrap w:val="0"/>
              <w:topLinePun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val="0"/>
              <w:topLinePunct/>
              <w:jc w:val="center"/>
              <w:rPr>
                <w:rFonts w:ascii="宋体" w:hAnsi="宋体"/>
                <w:color w:val="auto"/>
                <w:szCs w:val="21"/>
                <w:highlight w:val="none"/>
              </w:rPr>
            </w:pPr>
            <w:r>
              <w:rPr>
                <w:rFonts w:hint="eastAsia" w:ascii="宋体" w:hAnsi="宋体"/>
                <w:color w:val="auto"/>
                <w:szCs w:val="21"/>
                <w:highlight w:val="none"/>
              </w:rPr>
              <w:t>12</w:t>
            </w:r>
          </w:p>
        </w:tc>
        <w:tc>
          <w:tcPr>
            <w:tcW w:w="4051" w:type="dxa"/>
          </w:tcPr>
          <w:p>
            <w:pPr>
              <w:wordWrap w:val="0"/>
              <w:topLinePunct/>
              <w:rPr>
                <w:rFonts w:ascii="宋体" w:hAnsi="宋体"/>
                <w:color w:val="auto"/>
                <w:highlight w:val="none"/>
              </w:rPr>
            </w:pPr>
            <w:r>
              <w:rPr>
                <w:rFonts w:hint="eastAsia" w:ascii="宋体" w:hAnsi="宋体"/>
                <w:color w:val="auto"/>
                <w:highlight w:val="none"/>
              </w:rPr>
              <w:t>法人营业执照号、营业范围</w:t>
            </w:r>
          </w:p>
        </w:tc>
        <w:tc>
          <w:tcPr>
            <w:tcW w:w="5769" w:type="dxa"/>
          </w:tcPr>
          <w:p>
            <w:pPr>
              <w:wordWrap w:val="0"/>
              <w:topLinePunct/>
              <w:rPr>
                <w:rFonts w:ascii="宋体" w:hAnsi="宋体"/>
                <w:color w:val="auto"/>
                <w:szCs w:val="21"/>
                <w:highlight w:val="none"/>
              </w:rPr>
            </w:pPr>
          </w:p>
        </w:tc>
        <w:tc>
          <w:tcPr>
            <w:tcW w:w="3544" w:type="dxa"/>
          </w:tcPr>
          <w:p>
            <w:pPr>
              <w:wordWrap w:val="0"/>
              <w:topLinePun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val="0"/>
              <w:topLinePunct/>
              <w:jc w:val="center"/>
              <w:rPr>
                <w:rFonts w:ascii="宋体" w:hAnsi="宋体"/>
                <w:color w:val="auto"/>
                <w:szCs w:val="21"/>
                <w:highlight w:val="none"/>
              </w:rPr>
            </w:pPr>
            <w:r>
              <w:rPr>
                <w:rFonts w:hint="eastAsia" w:ascii="宋体" w:hAnsi="宋体"/>
                <w:color w:val="auto"/>
                <w:szCs w:val="21"/>
                <w:highlight w:val="none"/>
              </w:rPr>
              <w:t>13</w:t>
            </w:r>
          </w:p>
        </w:tc>
        <w:tc>
          <w:tcPr>
            <w:tcW w:w="4051" w:type="dxa"/>
          </w:tcPr>
          <w:p>
            <w:pPr>
              <w:wordWrap w:val="0"/>
              <w:topLinePunct/>
              <w:rPr>
                <w:rFonts w:hAnsi="宋体"/>
                <w:color w:val="auto"/>
                <w:highlight w:val="none"/>
              </w:rPr>
            </w:pPr>
            <w:r>
              <w:rPr>
                <w:rFonts w:hint="eastAsia" w:hAnsi="宋体"/>
                <w:color w:val="auto"/>
                <w:highlight w:val="none"/>
              </w:rPr>
              <w:t>工程设计资质证号、范围和等级</w:t>
            </w:r>
          </w:p>
        </w:tc>
        <w:tc>
          <w:tcPr>
            <w:tcW w:w="5769" w:type="dxa"/>
          </w:tcPr>
          <w:p>
            <w:pPr>
              <w:wordWrap w:val="0"/>
              <w:topLinePunct/>
              <w:rPr>
                <w:rFonts w:ascii="宋体" w:hAnsi="宋体"/>
                <w:color w:val="auto"/>
                <w:szCs w:val="21"/>
                <w:highlight w:val="none"/>
              </w:rPr>
            </w:pPr>
          </w:p>
        </w:tc>
        <w:tc>
          <w:tcPr>
            <w:tcW w:w="3544" w:type="dxa"/>
          </w:tcPr>
          <w:p>
            <w:pPr>
              <w:wordWrap w:val="0"/>
              <w:topLinePun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val="0"/>
              <w:topLinePunct/>
              <w:jc w:val="center"/>
              <w:rPr>
                <w:rFonts w:ascii="宋体" w:hAnsi="宋体"/>
                <w:color w:val="auto"/>
                <w:szCs w:val="21"/>
                <w:highlight w:val="none"/>
              </w:rPr>
            </w:pPr>
            <w:r>
              <w:rPr>
                <w:rFonts w:hint="eastAsia" w:ascii="宋体" w:hAnsi="宋体"/>
                <w:color w:val="auto"/>
                <w:szCs w:val="21"/>
                <w:highlight w:val="none"/>
              </w:rPr>
              <w:t>14</w:t>
            </w:r>
          </w:p>
        </w:tc>
        <w:tc>
          <w:tcPr>
            <w:tcW w:w="4051" w:type="dxa"/>
          </w:tcPr>
          <w:p>
            <w:pPr>
              <w:wordWrap w:val="0"/>
              <w:topLinePunct/>
              <w:rPr>
                <w:rFonts w:ascii="宋体" w:hAnsi="宋体"/>
                <w:color w:val="auto"/>
                <w:highlight w:val="none"/>
              </w:rPr>
            </w:pPr>
            <w:r>
              <w:rPr>
                <w:rFonts w:hint="eastAsia" w:hAnsi="宋体"/>
                <w:color w:val="auto"/>
                <w:highlight w:val="none"/>
              </w:rPr>
              <w:t>工程勘察资质证号、范围和等级</w:t>
            </w:r>
          </w:p>
        </w:tc>
        <w:tc>
          <w:tcPr>
            <w:tcW w:w="5769" w:type="dxa"/>
          </w:tcPr>
          <w:p>
            <w:pPr>
              <w:wordWrap w:val="0"/>
              <w:topLinePunct/>
              <w:rPr>
                <w:rFonts w:ascii="宋体" w:hAnsi="宋体"/>
                <w:color w:val="auto"/>
                <w:szCs w:val="21"/>
                <w:highlight w:val="none"/>
              </w:rPr>
            </w:pPr>
          </w:p>
        </w:tc>
        <w:tc>
          <w:tcPr>
            <w:tcW w:w="3544" w:type="dxa"/>
          </w:tcPr>
          <w:p>
            <w:pPr>
              <w:wordWrap w:val="0"/>
              <w:topLinePun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val="0"/>
              <w:topLinePunct/>
              <w:jc w:val="center"/>
              <w:rPr>
                <w:rFonts w:ascii="宋体" w:hAnsi="宋体"/>
                <w:color w:val="auto"/>
                <w:szCs w:val="21"/>
                <w:highlight w:val="none"/>
              </w:rPr>
            </w:pPr>
            <w:r>
              <w:rPr>
                <w:rFonts w:hint="eastAsia" w:ascii="宋体" w:hAnsi="宋体"/>
                <w:color w:val="auto"/>
                <w:szCs w:val="21"/>
                <w:highlight w:val="none"/>
              </w:rPr>
              <w:t>15</w:t>
            </w:r>
          </w:p>
        </w:tc>
        <w:tc>
          <w:tcPr>
            <w:tcW w:w="4051" w:type="dxa"/>
          </w:tcPr>
          <w:p>
            <w:pPr>
              <w:wordWrap w:val="0"/>
              <w:topLinePunct/>
              <w:rPr>
                <w:rFonts w:ascii="宋体" w:hAnsi="宋体"/>
                <w:color w:val="auto"/>
                <w:highlight w:val="none"/>
              </w:rPr>
            </w:pPr>
            <w:r>
              <w:rPr>
                <w:rFonts w:hint="eastAsia" w:hAnsi="宋体"/>
                <w:color w:val="auto"/>
                <w:highlight w:val="none"/>
              </w:rPr>
              <w:t>ISO9000认证号、范围</w:t>
            </w:r>
          </w:p>
        </w:tc>
        <w:tc>
          <w:tcPr>
            <w:tcW w:w="5769" w:type="dxa"/>
          </w:tcPr>
          <w:p>
            <w:pPr>
              <w:wordWrap w:val="0"/>
              <w:topLinePunct/>
              <w:rPr>
                <w:rFonts w:ascii="宋体" w:hAnsi="宋体"/>
                <w:color w:val="auto"/>
                <w:szCs w:val="21"/>
                <w:highlight w:val="none"/>
              </w:rPr>
            </w:pPr>
          </w:p>
        </w:tc>
        <w:tc>
          <w:tcPr>
            <w:tcW w:w="3544" w:type="dxa"/>
          </w:tcPr>
          <w:p>
            <w:pPr>
              <w:wordWrap w:val="0"/>
              <w:topLinePun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10" w:type="dxa"/>
            <w:vAlign w:val="center"/>
          </w:tcPr>
          <w:p>
            <w:pPr>
              <w:wordWrap w:val="0"/>
              <w:topLinePunct/>
              <w:jc w:val="center"/>
              <w:rPr>
                <w:rFonts w:ascii="宋体" w:hAnsi="宋体"/>
                <w:color w:val="auto"/>
                <w:szCs w:val="21"/>
                <w:highlight w:val="none"/>
              </w:rPr>
            </w:pPr>
            <w:r>
              <w:rPr>
                <w:rFonts w:hint="eastAsia" w:ascii="宋体" w:hAnsi="宋体"/>
                <w:color w:val="auto"/>
                <w:szCs w:val="21"/>
                <w:highlight w:val="none"/>
              </w:rPr>
              <w:t>16</w:t>
            </w:r>
          </w:p>
        </w:tc>
        <w:tc>
          <w:tcPr>
            <w:tcW w:w="4051" w:type="dxa"/>
          </w:tcPr>
          <w:p>
            <w:pPr>
              <w:wordWrap w:val="0"/>
              <w:topLinePunct/>
              <w:rPr>
                <w:rFonts w:ascii="宋体" w:hAnsi="宋体"/>
                <w:color w:val="auto"/>
                <w:highlight w:val="none"/>
              </w:rPr>
            </w:pPr>
            <w:r>
              <w:rPr>
                <w:rFonts w:hint="eastAsia" w:ascii="宋体" w:hAnsi="宋体"/>
                <w:color w:val="auto"/>
                <w:highlight w:val="none"/>
              </w:rPr>
              <w:t>简介（宜300字以内）</w:t>
            </w:r>
          </w:p>
        </w:tc>
        <w:tc>
          <w:tcPr>
            <w:tcW w:w="5769" w:type="dxa"/>
          </w:tcPr>
          <w:p>
            <w:pPr>
              <w:wordWrap w:val="0"/>
              <w:topLinePunct/>
              <w:rPr>
                <w:rFonts w:ascii="宋体" w:hAnsi="宋体"/>
                <w:color w:val="auto"/>
                <w:szCs w:val="21"/>
                <w:highlight w:val="none"/>
              </w:rPr>
            </w:pPr>
          </w:p>
        </w:tc>
        <w:tc>
          <w:tcPr>
            <w:tcW w:w="3544" w:type="dxa"/>
          </w:tcPr>
          <w:p>
            <w:pPr>
              <w:wordWrap w:val="0"/>
              <w:topLinePun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0" w:type="dxa"/>
            <w:vAlign w:val="center"/>
          </w:tcPr>
          <w:p>
            <w:pPr>
              <w:wordWrap w:val="0"/>
              <w:topLinePunct/>
              <w:jc w:val="center"/>
              <w:rPr>
                <w:rFonts w:ascii="宋体" w:hAnsi="宋体"/>
                <w:color w:val="auto"/>
                <w:szCs w:val="21"/>
                <w:highlight w:val="none"/>
              </w:rPr>
            </w:pPr>
            <w:r>
              <w:rPr>
                <w:rFonts w:hint="eastAsia" w:ascii="宋体" w:hAnsi="宋体"/>
                <w:color w:val="auto"/>
                <w:szCs w:val="21"/>
                <w:highlight w:val="none"/>
              </w:rPr>
              <w:t>17</w:t>
            </w:r>
          </w:p>
        </w:tc>
        <w:tc>
          <w:tcPr>
            <w:tcW w:w="4051" w:type="dxa"/>
          </w:tcPr>
          <w:p>
            <w:pPr>
              <w:wordWrap w:val="0"/>
              <w:topLinePunct/>
              <w:rPr>
                <w:rFonts w:ascii="宋体" w:hAnsi="宋体"/>
                <w:color w:val="auto"/>
                <w:highlight w:val="none"/>
              </w:rPr>
            </w:pPr>
            <w:r>
              <w:rPr>
                <w:rFonts w:ascii="宋体" w:hAnsi="宋体"/>
                <w:color w:val="auto"/>
                <w:highlight w:val="none"/>
              </w:rPr>
              <w:t>完成</w:t>
            </w:r>
            <w:r>
              <w:rPr>
                <w:rFonts w:hint="eastAsia" w:ascii="宋体" w:hAnsi="宋体"/>
                <w:color w:val="auto"/>
                <w:highlight w:val="none"/>
              </w:rPr>
              <w:t>本项目</w:t>
            </w:r>
            <w:r>
              <w:rPr>
                <w:rFonts w:ascii="宋体" w:hAnsi="宋体"/>
                <w:color w:val="auto"/>
                <w:highlight w:val="none"/>
              </w:rPr>
              <w:t>所独有的有利条件</w:t>
            </w:r>
          </w:p>
          <w:p>
            <w:pPr>
              <w:wordWrap w:val="0"/>
              <w:topLinePunct/>
              <w:rPr>
                <w:rFonts w:ascii="宋体" w:hAnsi="宋体"/>
                <w:color w:val="auto"/>
                <w:highlight w:val="none"/>
              </w:rPr>
            </w:pPr>
            <w:r>
              <w:rPr>
                <w:rFonts w:hint="eastAsia" w:ascii="宋体" w:hAnsi="宋体"/>
                <w:color w:val="auto"/>
                <w:highlight w:val="none"/>
              </w:rPr>
              <w:t>（宜200字以内）</w:t>
            </w:r>
          </w:p>
        </w:tc>
        <w:tc>
          <w:tcPr>
            <w:tcW w:w="5769" w:type="dxa"/>
          </w:tcPr>
          <w:p>
            <w:pPr>
              <w:wordWrap w:val="0"/>
              <w:topLinePunct/>
              <w:rPr>
                <w:rFonts w:ascii="宋体" w:hAnsi="宋体"/>
                <w:color w:val="auto"/>
                <w:szCs w:val="21"/>
                <w:highlight w:val="none"/>
              </w:rPr>
            </w:pPr>
          </w:p>
        </w:tc>
        <w:tc>
          <w:tcPr>
            <w:tcW w:w="3544" w:type="dxa"/>
          </w:tcPr>
          <w:p>
            <w:pPr>
              <w:wordWrap w:val="0"/>
              <w:topLinePunc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ordWrap w:val="0"/>
              <w:topLinePunct/>
              <w:jc w:val="center"/>
              <w:rPr>
                <w:rFonts w:ascii="宋体" w:hAnsi="宋体"/>
                <w:color w:val="auto"/>
                <w:szCs w:val="21"/>
                <w:highlight w:val="none"/>
              </w:rPr>
            </w:pPr>
            <w:r>
              <w:rPr>
                <w:rFonts w:hint="eastAsia" w:ascii="宋体" w:hAnsi="宋体"/>
                <w:color w:val="auto"/>
                <w:szCs w:val="21"/>
                <w:highlight w:val="none"/>
              </w:rPr>
              <w:t>18</w:t>
            </w:r>
          </w:p>
        </w:tc>
        <w:tc>
          <w:tcPr>
            <w:tcW w:w="4051" w:type="dxa"/>
          </w:tcPr>
          <w:p>
            <w:pPr>
              <w:wordWrap w:val="0"/>
              <w:topLinePunct/>
              <w:rPr>
                <w:rFonts w:ascii="宋体" w:hAnsi="宋体"/>
                <w:color w:val="auto"/>
                <w:highlight w:val="none"/>
              </w:rPr>
            </w:pPr>
          </w:p>
        </w:tc>
        <w:tc>
          <w:tcPr>
            <w:tcW w:w="5769" w:type="dxa"/>
          </w:tcPr>
          <w:p>
            <w:pPr>
              <w:wordWrap w:val="0"/>
              <w:topLinePunct/>
              <w:rPr>
                <w:rFonts w:ascii="宋体" w:hAnsi="宋体"/>
                <w:color w:val="auto"/>
                <w:szCs w:val="21"/>
                <w:highlight w:val="none"/>
              </w:rPr>
            </w:pPr>
          </w:p>
        </w:tc>
        <w:tc>
          <w:tcPr>
            <w:tcW w:w="3544" w:type="dxa"/>
          </w:tcPr>
          <w:p>
            <w:pPr>
              <w:wordWrap w:val="0"/>
              <w:topLinePunct/>
              <w:rPr>
                <w:rFonts w:ascii="宋体" w:hAnsi="宋体"/>
                <w:color w:val="auto"/>
                <w:szCs w:val="21"/>
                <w:highlight w:val="none"/>
              </w:rPr>
            </w:pPr>
          </w:p>
        </w:tc>
      </w:tr>
    </w:tbl>
    <w:p>
      <w:pPr>
        <w:jc w:val="center"/>
        <w:rPr>
          <w:rFonts w:ascii="宋体" w:hAnsi="宋体"/>
          <w:b/>
          <w:color w:val="auto"/>
          <w:sz w:val="36"/>
          <w:szCs w:val="36"/>
          <w:highlight w:val="none"/>
        </w:rPr>
      </w:pPr>
    </w:p>
    <w:p>
      <w:pPr>
        <w:rPr>
          <w:rFonts w:ascii="宋体" w:hAnsi="宋体"/>
          <w:color w:val="auto"/>
          <w:highlight w:val="none"/>
        </w:rPr>
        <w:sectPr>
          <w:footerReference r:id="rId7" w:type="default"/>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type="lines" w:linePitch="312" w:charSpace="0"/>
        </w:sectPr>
      </w:pPr>
    </w:p>
    <w:p>
      <w:pPr>
        <w:pStyle w:val="4"/>
        <w:rPr>
          <w:color w:val="auto"/>
          <w:highlight w:val="none"/>
        </w:rPr>
      </w:pPr>
      <w:bookmarkStart w:id="24" w:name="_Toc13567"/>
      <w:bookmarkStart w:id="25" w:name="_Toc2216"/>
      <w:bookmarkStart w:id="26" w:name="_Toc99463986"/>
      <w:r>
        <w:rPr>
          <w:rFonts w:hint="eastAsia"/>
          <w:color w:val="auto"/>
          <w:highlight w:val="none"/>
        </w:rPr>
        <w:t>附录2：设计投标文件编制要求</w:t>
      </w:r>
      <w:bookmarkEnd w:id="24"/>
      <w:bookmarkEnd w:id="25"/>
      <w:bookmarkEnd w:id="26"/>
    </w:p>
    <w:p>
      <w:pPr>
        <w:jc w:val="center"/>
        <w:rPr>
          <w:rFonts w:ascii="宋体" w:hAnsi="宋体"/>
          <w:b/>
          <w:bCs/>
          <w:color w:val="auto"/>
          <w:sz w:val="32"/>
          <w:highlight w:val="none"/>
        </w:rPr>
      </w:pPr>
      <w:r>
        <w:rPr>
          <w:rFonts w:hint="eastAsia" w:ascii="宋体" w:hAnsi="宋体"/>
          <w:b/>
          <w:color w:val="auto"/>
          <w:sz w:val="32"/>
          <w:highlight w:val="none"/>
        </w:rPr>
        <w:t>设计</w:t>
      </w:r>
      <w:r>
        <w:rPr>
          <w:rFonts w:hint="eastAsia" w:ascii="宋体" w:hAnsi="宋体"/>
          <w:b/>
          <w:bCs/>
          <w:color w:val="auto"/>
          <w:sz w:val="32"/>
          <w:highlight w:val="none"/>
        </w:rPr>
        <w:t>投标文件编制要求</w:t>
      </w:r>
    </w:p>
    <w:p>
      <w:pPr>
        <w:spacing w:line="360" w:lineRule="auto"/>
        <w:jc w:val="center"/>
        <w:rPr>
          <w:rFonts w:ascii="宋体" w:hAnsi="宋体"/>
          <w:color w:val="auto"/>
          <w:sz w:val="24"/>
          <w:highlight w:val="none"/>
        </w:rPr>
      </w:pPr>
      <w:r>
        <w:rPr>
          <w:rFonts w:hint="eastAsia" w:ascii="宋体" w:hAnsi="宋体"/>
          <w:color w:val="auto"/>
          <w:sz w:val="24"/>
          <w:highlight w:val="none"/>
        </w:rPr>
        <w:t>（适用于设计和勘察设计投标）</w:t>
      </w:r>
    </w:p>
    <w:p>
      <w:pPr>
        <w:spacing w:line="360" w:lineRule="auto"/>
        <w:rPr>
          <w:rFonts w:ascii="宋体" w:hAnsi="宋体"/>
          <w:color w:val="auto"/>
          <w:sz w:val="24"/>
          <w:highlight w:val="none"/>
        </w:rPr>
      </w:pPr>
      <w:r>
        <w:rPr>
          <w:rFonts w:hint="eastAsia" w:ascii="宋体" w:hAnsi="宋体"/>
          <w:b/>
          <w:bCs/>
          <w:color w:val="auto"/>
          <w:sz w:val="24"/>
          <w:highlight w:val="none"/>
        </w:rPr>
        <w:t>1   投标文件</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1.1 投标文件由下列资料组成。</w:t>
      </w:r>
    </w:p>
    <w:p>
      <w:pPr>
        <w:spacing w:line="360" w:lineRule="auto"/>
        <w:jc w:val="left"/>
        <w:rPr>
          <w:rFonts w:ascii="宋体" w:hAnsi="宋体"/>
          <w:color w:val="auto"/>
          <w:sz w:val="24"/>
          <w:highlight w:val="none"/>
        </w:rPr>
      </w:pPr>
      <w:r>
        <w:rPr>
          <w:rFonts w:hint="eastAsia" w:ascii="宋体" w:hAnsi="宋体"/>
          <w:color w:val="auto"/>
          <w:sz w:val="24"/>
          <w:highlight w:val="none"/>
        </w:rPr>
        <w:t xml:space="preserve">   (a) 开标一览表（注：投标人按照交易平台电子投标管理软件要求编制）。</w:t>
      </w:r>
    </w:p>
    <w:p>
      <w:pPr>
        <w:spacing w:line="360" w:lineRule="auto"/>
        <w:jc w:val="left"/>
        <w:rPr>
          <w:rFonts w:ascii="宋体" w:hAnsi="宋体"/>
          <w:color w:val="auto"/>
          <w:sz w:val="24"/>
          <w:highlight w:val="none"/>
        </w:rPr>
      </w:pPr>
      <w:r>
        <w:rPr>
          <w:rFonts w:hint="eastAsia" w:ascii="宋体" w:hAnsi="宋体"/>
          <w:color w:val="auto"/>
          <w:sz w:val="24"/>
          <w:highlight w:val="none"/>
        </w:rPr>
        <w:t xml:space="preserve">   (b) 资格审查文件。</w:t>
      </w:r>
    </w:p>
    <w:p>
      <w:pPr>
        <w:spacing w:line="360" w:lineRule="auto"/>
        <w:jc w:val="left"/>
        <w:rPr>
          <w:rFonts w:ascii="宋体" w:hAnsi="宋体"/>
          <w:color w:val="auto"/>
          <w:sz w:val="24"/>
          <w:highlight w:val="none"/>
        </w:rPr>
      </w:pPr>
      <w:r>
        <w:rPr>
          <w:rFonts w:hint="eastAsia" w:ascii="宋体" w:hAnsi="宋体"/>
          <w:color w:val="auto"/>
          <w:sz w:val="24"/>
          <w:highlight w:val="none"/>
        </w:rPr>
        <w:t xml:space="preserve">   (c) 商务文件。</w:t>
      </w:r>
    </w:p>
    <w:p>
      <w:pPr>
        <w:spacing w:line="360" w:lineRule="auto"/>
        <w:jc w:val="left"/>
        <w:rPr>
          <w:rFonts w:ascii="宋体" w:hAnsi="宋体"/>
          <w:color w:val="auto"/>
          <w:sz w:val="24"/>
          <w:highlight w:val="none"/>
        </w:rPr>
      </w:pPr>
      <w:r>
        <w:rPr>
          <w:rFonts w:hint="eastAsia" w:ascii="宋体" w:hAnsi="宋体"/>
          <w:color w:val="auto"/>
          <w:sz w:val="24"/>
          <w:highlight w:val="none"/>
        </w:rPr>
        <w:t xml:space="preserve">   (d) 勘察设计技术方案（技术文件）。</w:t>
      </w:r>
    </w:p>
    <w:p>
      <w:pPr>
        <w:spacing w:line="360" w:lineRule="auto"/>
        <w:jc w:val="left"/>
        <w:rPr>
          <w:rFonts w:ascii="宋体" w:hAnsi="宋体"/>
          <w:color w:val="auto"/>
          <w:sz w:val="24"/>
          <w:highlight w:val="none"/>
          <w:u w:val="single"/>
        </w:rPr>
      </w:pPr>
      <w:r>
        <w:rPr>
          <w:rFonts w:hint="eastAsia" w:ascii="宋体" w:hAnsi="宋体"/>
          <w:color w:val="auto"/>
          <w:sz w:val="24"/>
          <w:highlight w:val="none"/>
        </w:rPr>
        <w:t xml:space="preserve">   (e) 投标文件光盘（备用）（注：投标人可不递交）。</w:t>
      </w:r>
    </w:p>
    <w:p>
      <w:pPr>
        <w:spacing w:line="360" w:lineRule="auto"/>
        <w:jc w:val="left"/>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b/>
          <w:bCs/>
          <w:color w:val="auto"/>
          <w:sz w:val="24"/>
          <w:highlight w:val="none"/>
        </w:rPr>
        <w:t>2   保密要求</w:t>
      </w:r>
    </w:p>
    <w:p>
      <w:pPr>
        <w:spacing w:line="360" w:lineRule="auto"/>
        <w:ind w:left="566" w:hanging="566" w:hangingChars="236"/>
        <w:jc w:val="left"/>
        <w:rPr>
          <w:rFonts w:ascii="宋体" w:hAnsi="宋体"/>
          <w:color w:val="auto"/>
          <w:sz w:val="24"/>
          <w:highlight w:val="none"/>
        </w:rPr>
      </w:pPr>
      <w:r>
        <w:rPr>
          <w:rFonts w:hint="eastAsia" w:ascii="宋体" w:hAnsi="宋体"/>
          <w:color w:val="auto"/>
          <w:sz w:val="24"/>
          <w:highlight w:val="none"/>
        </w:rPr>
        <w:t>2.1  勘察设计技术方案（技术文件）必须隐匿投标人及专业技术人员的名称及投标报价信息，投标人不得在勘察设计技术方案（技术文件）上标注或做任何可以辨认投标人及专业技术人员身份的名称、印章、商标、图形等记认符号，也不得显示投标报价信息。</w:t>
      </w:r>
    </w:p>
    <w:p>
      <w:pPr>
        <w:spacing w:line="360" w:lineRule="auto"/>
        <w:jc w:val="left"/>
        <w:rPr>
          <w:rFonts w:ascii="宋体" w:hAnsi="宋体"/>
          <w:b/>
          <w:bCs/>
          <w:color w:val="auto"/>
          <w:sz w:val="32"/>
          <w:szCs w:val="32"/>
          <w:highlight w:val="none"/>
        </w:rPr>
      </w:pPr>
    </w:p>
    <w:p>
      <w:pPr>
        <w:spacing w:line="360" w:lineRule="auto"/>
        <w:jc w:val="left"/>
        <w:rPr>
          <w:rFonts w:ascii="宋体" w:hAnsi="宋体"/>
          <w:color w:val="auto"/>
          <w:sz w:val="24"/>
          <w:highlight w:val="none"/>
        </w:rPr>
      </w:pPr>
      <w:r>
        <w:rPr>
          <w:rFonts w:hint="eastAsia" w:ascii="宋体" w:hAnsi="宋体"/>
          <w:b/>
          <w:bCs/>
          <w:color w:val="auto"/>
          <w:sz w:val="24"/>
          <w:highlight w:val="none"/>
        </w:rPr>
        <w:t>3   开标信封</w:t>
      </w:r>
    </w:p>
    <w:p>
      <w:pPr>
        <w:spacing w:line="360" w:lineRule="auto"/>
        <w:ind w:left="821" w:hanging="820" w:hangingChars="342"/>
        <w:rPr>
          <w:rFonts w:ascii="宋体" w:hAnsi="宋体"/>
          <w:color w:val="auto"/>
          <w:highlight w:val="none"/>
        </w:rPr>
      </w:pPr>
      <w:r>
        <w:rPr>
          <w:rFonts w:hint="eastAsia" w:ascii="宋体" w:hAnsi="宋体"/>
          <w:color w:val="auto"/>
          <w:sz w:val="24"/>
          <w:highlight w:val="none"/>
        </w:rPr>
        <w:t>3.1  本项目投标文件不需要编制开标信封。</w:t>
      </w:r>
    </w:p>
    <w:p>
      <w:pPr>
        <w:ind w:firstLine="420" w:firstLineChars="200"/>
        <w:rPr>
          <w:rFonts w:ascii="宋体" w:hAnsi="宋体"/>
          <w:color w:val="auto"/>
          <w:highlight w:val="none"/>
        </w:rPr>
      </w:pPr>
    </w:p>
    <w:p>
      <w:pPr>
        <w:spacing w:line="360" w:lineRule="auto"/>
        <w:rPr>
          <w:rFonts w:ascii="宋体" w:hAnsi="宋体"/>
          <w:b/>
          <w:color w:val="auto"/>
          <w:sz w:val="24"/>
          <w:highlight w:val="none"/>
        </w:rPr>
      </w:pPr>
      <w:r>
        <w:rPr>
          <w:rFonts w:hint="eastAsia" w:ascii="宋体" w:hAnsi="宋体"/>
          <w:b/>
          <w:color w:val="auto"/>
          <w:sz w:val="24"/>
          <w:highlight w:val="none"/>
        </w:rPr>
        <w:t>4   勘察设计技术方案（技术文件）</w:t>
      </w:r>
      <w:r>
        <w:rPr>
          <w:rFonts w:hint="eastAsia" w:ascii="宋体" w:hAnsi="宋体"/>
          <w:color w:val="auto"/>
          <w:sz w:val="24"/>
          <w:highlight w:val="none"/>
        </w:rPr>
        <w:t>（文件页数不超过200页）</w:t>
      </w:r>
    </w:p>
    <w:p>
      <w:pPr>
        <w:spacing w:line="360" w:lineRule="auto"/>
        <w:rPr>
          <w:rFonts w:ascii="宋体" w:hAnsi="宋体"/>
          <w:color w:val="auto"/>
          <w:sz w:val="24"/>
          <w:highlight w:val="none"/>
        </w:rPr>
      </w:pPr>
      <w:r>
        <w:rPr>
          <w:rFonts w:hint="eastAsia" w:ascii="宋体" w:hAnsi="宋体"/>
          <w:color w:val="auto"/>
          <w:sz w:val="24"/>
          <w:highlight w:val="none"/>
        </w:rPr>
        <w:t>4.1 设计方案内容：</w:t>
      </w:r>
    </w:p>
    <w:p>
      <w:pPr>
        <w:spacing w:line="360" w:lineRule="auto"/>
        <w:ind w:left="420" w:leftChars="200"/>
        <w:jc w:val="left"/>
        <w:rPr>
          <w:rFonts w:ascii="宋体" w:hAnsi="宋体"/>
          <w:color w:val="auto"/>
          <w:sz w:val="24"/>
          <w:highlight w:val="none"/>
        </w:rPr>
      </w:pPr>
      <w:r>
        <w:rPr>
          <w:rFonts w:hint="eastAsia" w:ascii="宋体" w:hAnsi="宋体"/>
          <w:color w:val="auto"/>
          <w:sz w:val="24"/>
          <w:highlight w:val="none"/>
        </w:rPr>
        <w:t xml:space="preserve">(a) 首页：写明项目名称、设计作品主题（不宜超过20个字）、编制年月； </w:t>
      </w:r>
    </w:p>
    <w:p>
      <w:pPr>
        <w:spacing w:line="360" w:lineRule="auto"/>
        <w:ind w:left="420" w:leftChars="200"/>
        <w:jc w:val="left"/>
        <w:rPr>
          <w:rFonts w:ascii="宋体" w:hAnsi="宋体"/>
          <w:color w:val="auto"/>
          <w:sz w:val="24"/>
          <w:highlight w:val="none"/>
        </w:rPr>
      </w:pPr>
      <w:r>
        <w:rPr>
          <w:rFonts w:hint="eastAsia" w:ascii="宋体" w:hAnsi="宋体"/>
          <w:color w:val="auto"/>
          <w:sz w:val="24"/>
          <w:highlight w:val="none"/>
        </w:rPr>
        <w:t>(b) 目录。</w:t>
      </w:r>
    </w:p>
    <w:p>
      <w:pPr>
        <w:spacing w:line="360" w:lineRule="auto"/>
        <w:ind w:left="420" w:leftChars="200"/>
        <w:jc w:val="left"/>
        <w:rPr>
          <w:rFonts w:ascii="宋体" w:hAnsi="宋体"/>
          <w:color w:val="auto"/>
          <w:sz w:val="24"/>
          <w:highlight w:val="none"/>
        </w:rPr>
      </w:pPr>
      <w:r>
        <w:rPr>
          <w:rFonts w:hint="eastAsia" w:ascii="宋体" w:hAnsi="宋体"/>
          <w:color w:val="auto"/>
          <w:sz w:val="24"/>
          <w:highlight w:val="none"/>
        </w:rPr>
        <w:t>(c) 设计说明书（含本项目的难点、建议和工程创新）。</w:t>
      </w:r>
    </w:p>
    <w:p>
      <w:pPr>
        <w:spacing w:line="360" w:lineRule="auto"/>
        <w:ind w:left="420" w:leftChars="200"/>
        <w:jc w:val="left"/>
        <w:rPr>
          <w:rFonts w:ascii="宋体" w:hAnsi="宋体"/>
          <w:color w:val="auto"/>
          <w:sz w:val="24"/>
          <w:highlight w:val="none"/>
        </w:rPr>
      </w:pPr>
      <w:r>
        <w:rPr>
          <w:rFonts w:hint="eastAsia" w:ascii="宋体" w:hAnsi="宋体"/>
          <w:color w:val="auto"/>
          <w:sz w:val="24"/>
          <w:highlight w:val="none"/>
        </w:rPr>
        <w:t>(d) 设计图纸。</w:t>
      </w:r>
    </w:p>
    <w:p>
      <w:pPr>
        <w:spacing w:line="360" w:lineRule="auto"/>
        <w:ind w:left="420" w:leftChars="200"/>
        <w:jc w:val="left"/>
        <w:rPr>
          <w:rFonts w:ascii="宋体" w:hAnsi="宋体"/>
          <w:color w:val="auto"/>
          <w:sz w:val="24"/>
          <w:highlight w:val="none"/>
        </w:rPr>
      </w:pPr>
      <w:r>
        <w:rPr>
          <w:rFonts w:hint="eastAsia" w:ascii="宋体" w:hAnsi="宋体"/>
          <w:color w:val="auto"/>
          <w:sz w:val="24"/>
          <w:highlight w:val="none"/>
        </w:rPr>
        <w:t>(e) 《工期计划表》（方案修改、初步设计、施工图设计的工期）。</w:t>
      </w:r>
    </w:p>
    <w:p>
      <w:pPr>
        <w:spacing w:line="360" w:lineRule="auto"/>
        <w:ind w:left="420" w:leftChars="200"/>
        <w:jc w:val="left"/>
        <w:rPr>
          <w:rFonts w:ascii="宋体" w:hAnsi="宋体"/>
          <w:color w:val="auto"/>
          <w:sz w:val="24"/>
          <w:highlight w:val="none"/>
        </w:rPr>
      </w:pPr>
      <w:r>
        <w:rPr>
          <w:rFonts w:hint="eastAsia" w:ascii="宋体" w:hAnsi="宋体"/>
          <w:color w:val="auto"/>
          <w:sz w:val="24"/>
          <w:highlight w:val="none"/>
        </w:rPr>
        <w:t>(f) 投标人认为有必要提供的其他资料。</w:t>
      </w:r>
    </w:p>
    <w:p>
      <w:pPr>
        <w:spacing w:line="360" w:lineRule="auto"/>
        <w:rPr>
          <w:rFonts w:ascii="宋体" w:hAnsi="宋体"/>
          <w:b/>
          <w:bCs/>
          <w:color w:val="auto"/>
          <w:sz w:val="32"/>
          <w:szCs w:val="32"/>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4.2 勘察方案内容：</w:t>
      </w:r>
    </w:p>
    <w:p>
      <w:pPr>
        <w:spacing w:line="360" w:lineRule="auto"/>
        <w:ind w:left="420" w:leftChars="200"/>
        <w:jc w:val="left"/>
        <w:rPr>
          <w:rFonts w:ascii="宋体" w:hAnsi="宋体"/>
          <w:color w:val="auto"/>
          <w:sz w:val="24"/>
          <w:highlight w:val="none"/>
        </w:rPr>
      </w:pPr>
      <w:r>
        <w:rPr>
          <w:rFonts w:hint="eastAsia" w:ascii="宋体" w:hAnsi="宋体"/>
          <w:color w:val="auto"/>
          <w:sz w:val="24"/>
          <w:highlight w:val="none"/>
        </w:rPr>
        <w:t>(a) 针对项目场地及工程性质采用的勘察方案及建议，本次勘察的重点、难点及建议。</w:t>
      </w:r>
    </w:p>
    <w:p>
      <w:pPr>
        <w:spacing w:line="360" w:lineRule="auto"/>
        <w:ind w:left="420" w:leftChars="200"/>
        <w:jc w:val="left"/>
        <w:rPr>
          <w:rFonts w:ascii="宋体" w:hAnsi="宋体"/>
          <w:color w:val="auto"/>
          <w:sz w:val="24"/>
          <w:highlight w:val="none"/>
        </w:rPr>
      </w:pPr>
      <w:r>
        <w:rPr>
          <w:rFonts w:hint="eastAsia" w:ascii="宋体" w:hAnsi="宋体"/>
          <w:color w:val="auto"/>
          <w:sz w:val="24"/>
          <w:highlight w:val="none"/>
        </w:rPr>
        <w:t>(b) 勘察工作流程和相应的工期进度计划。</w:t>
      </w:r>
    </w:p>
    <w:p>
      <w:pPr>
        <w:spacing w:line="360" w:lineRule="auto"/>
        <w:ind w:left="420" w:leftChars="200"/>
        <w:jc w:val="left"/>
        <w:rPr>
          <w:rFonts w:ascii="宋体" w:hAnsi="宋体"/>
          <w:color w:val="auto"/>
          <w:sz w:val="24"/>
          <w:highlight w:val="none"/>
        </w:rPr>
      </w:pPr>
      <w:r>
        <w:rPr>
          <w:rFonts w:hint="eastAsia" w:ascii="宋体" w:hAnsi="宋体"/>
          <w:color w:val="auto"/>
          <w:sz w:val="24"/>
          <w:highlight w:val="none"/>
        </w:rPr>
        <w:t>(c) 勘察报告综合评价深度，勘察成果文件内容目录。</w:t>
      </w:r>
    </w:p>
    <w:p>
      <w:pPr>
        <w:spacing w:line="360" w:lineRule="auto"/>
        <w:ind w:left="420" w:leftChars="200"/>
        <w:jc w:val="left"/>
        <w:rPr>
          <w:rFonts w:ascii="宋体" w:hAnsi="宋体"/>
          <w:color w:val="auto"/>
          <w:sz w:val="24"/>
          <w:highlight w:val="none"/>
        </w:rPr>
      </w:pPr>
      <w:r>
        <w:rPr>
          <w:rFonts w:hint="eastAsia" w:ascii="宋体" w:hAnsi="宋体"/>
          <w:color w:val="auto"/>
          <w:sz w:val="24"/>
          <w:highlight w:val="none"/>
        </w:rPr>
        <w:t>(d) 投标人掌握的勘察工作有关的法律法规、标准、规范一览表。</w:t>
      </w:r>
    </w:p>
    <w:p>
      <w:pPr>
        <w:spacing w:line="360" w:lineRule="auto"/>
        <w:ind w:left="420" w:leftChars="200"/>
        <w:jc w:val="left"/>
        <w:rPr>
          <w:rFonts w:ascii="宋体" w:hAnsi="宋体"/>
          <w:color w:val="auto"/>
          <w:sz w:val="24"/>
          <w:highlight w:val="none"/>
        </w:rPr>
      </w:pPr>
      <w:r>
        <w:rPr>
          <w:rFonts w:hint="eastAsia" w:ascii="宋体" w:hAnsi="宋体"/>
          <w:color w:val="auto"/>
          <w:sz w:val="24"/>
          <w:highlight w:val="none"/>
        </w:rPr>
        <w:t>(e) 需要建设单位配合的事项。</w:t>
      </w:r>
    </w:p>
    <w:p>
      <w:pPr>
        <w:spacing w:line="360" w:lineRule="auto"/>
        <w:rPr>
          <w:rFonts w:ascii="宋体" w:hAnsi="宋体"/>
          <w:b/>
          <w:color w:val="auto"/>
          <w:sz w:val="24"/>
          <w:highlight w:val="none"/>
        </w:rPr>
      </w:pPr>
    </w:p>
    <w:p>
      <w:pPr>
        <w:spacing w:line="360" w:lineRule="auto"/>
        <w:rPr>
          <w:rFonts w:ascii="宋体" w:hAnsi="宋体"/>
          <w:b/>
          <w:color w:val="auto"/>
          <w:sz w:val="24"/>
          <w:highlight w:val="none"/>
        </w:rPr>
      </w:pPr>
      <w:r>
        <w:rPr>
          <w:rFonts w:hint="eastAsia" w:ascii="宋体" w:hAnsi="宋体"/>
          <w:b/>
          <w:color w:val="auto"/>
          <w:sz w:val="24"/>
          <w:highlight w:val="none"/>
        </w:rPr>
        <w:t xml:space="preserve">5   </w:t>
      </w:r>
      <w:r>
        <w:rPr>
          <w:rFonts w:hint="eastAsia" w:ascii="宋体" w:hAnsi="宋体"/>
          <w:b/>
          <w:bCs/>
          <w:color w:val="auto"/>
          <w:sz w:val="24"/>
          <w:highlight w:val="none"/>
        </w:rPr>
        <w:t>深度要求</w:t>
      </w:r>
    </w:p>
    <w:p>
      <w:pPr>
        <w:spacing w:line="360" w:lineRule="auto"/>
        <w:ind w:left="821" w:hanging="820" w:hangingChars="342"/>
        <w:jc w:val="left"/>
        <w:rPr>
          <w:rFonts w:ascii="宋体" w:hAnsi="宋体"/>
          <w:color w:val="auto"/>
          <w:sz w:val="24"/>
          <w:highlight w:val="none"/>
        </w:rPr>
      </w:pPr>
      <w:r>
        <w:rPr>
          <w:rFonts w:hint="eastAsia" w:ascii="宋体" w:hAnsi="宋体"/>
          <w:color w:val="auto"/>
          <w:sz w:val="24"/>
          <w:highlight w:val="none"/>
        </w:rPr>
        <w:t>5.1 投标深度要求：</w:t>
      </w:r>
    </w:p>
    <w:p>
      <w:pPr>
        <w:spacing w:line="360" w:lineRule="auto"/>
        <w:ind w:left="959" w:leftChars="228" w:hanging="480" w:hangingChars="200"/>
        <w:rPr>
          <w:rFonts w:ascii="宋体" w:hAnsi="宋体"/>
          <w:color w:val="auto"/>
          <w:sz w:val="24"/>
          <w:highlight w:val="none"/>
        </w:rPr>
      </w:pPr>
      <w:r>
        <w:rPr>
          <w:rFonts w:hint="eastAsia" w:ascii="宋体" w:hAnsi="宋体"/>
          <w:color w:val="auto"/>
          <w:sz w:val="24"/>
          <w:highlight w:val="none"/>
        </w:rPr>
        <w:t>(a) 市政工程勘察设计投标文件应达到建设部《市政公用工程设计文件编制深度规定》相应设计阶段的要求。</w:t>
      </w:r>
    </w:p>
    <w:p>
      <w:pPr>
        <w:spacing w:line="360" w:lineRule="auto"/>
        <w:ind w:left="959" w:leftChars="228" w:hanging="480" w:hangingChars="200"/>
        <w:rPr>
          <w:rFonts w:hint="eastAsia" w:ascii="宋体" w:hAnsi="宋体" w:eastAsia="宋体" w:cs="Times New Roman"/>
          <w:strike/>
          <w:dstrike w:val="0"/>
          <w:color w:val="auto"/>
          <w:sz w:val="24"/>
          <w:highlight w:val="none"/>
        </w:rPr>
      </w:pPr>
      <w:r>
        <w:rPr>
          <w:rFonts w:hint="eastAsia" w:ascii="宋体" w:hAnsi="宋体" w:eastAsia="宋体" w:cs="Times New Roman"/>
          <w:strike/>
          <w:dstrike w:val="0"/>
          <w:color w:val="auto"/>
          <w:sz w:val="24"/>
          <w:highlight w:val="none"/>
        </w:rPr>
        <w:t>(b) 各种改造形式的改造方案平面图设计，应该提供平图示意图。</w:t>
      </w:r>
    </w:p>
    <w:p>
      <w:pPr>
        <w:spacing w:line="360" w:lineRule="auto"/>
        <w:jc w:val="left"/>
        <w:rPr>
          <w:rFonts w:ascii="宋体" w:hAnsi="宋体"/>
          <w:b/>
          <w:bCs/>
          <w:color w:val="auto"/>
          <w:sz w:val="24"/>
          <w:highlight w:val="none"/>
        </w:rPr>
      </w:pPr>
      <w:r>
        <w:rPr>
          <w:rFonts w:hint="eastAsia" w:ascii="宋体" w:hAnsi="宋体"/>
          <w:b/>
          <w:bCs/>
          <w:color w:val="auto"/>
          <w:sz w:val="24"/>
          <w:highlight w:val="none"/>
        </w:rPr>
        <w:t>6   资格审查文件</w:t>
      </w:r>
    </w:p>
    <w:p>
      <w:pPr>
        <w:spacing w:line="360" w:lineRule="auto"/>
        <w:rPr>
          <w:rFonts w:ascii="宋体" w:hAnsi="宋体"/>
          <w:color w:val="auto"/>
          <w:sz w:val="24"/>
          <w:highlight w:val="none"/>
        </w:rPr>
      </w:pPr>
      <w:r>
        <w:rPr>
          <w:rFonts w:hint="eastAsia" w:ascii="宋体" w:hAnsi="宋体"/>
          <w:color w:val="auto"/>
          <w:sz w:val="24"/>
          <w:highlight w:val="none"/>
        </w:rPr>
        <w:t>6.1 资格审查文件内容：</w:t>
      </w:r>
    </w:p>
    <w:p>
      <w:pPr>
        <w:spacing w:line="360" w:lineRule="auto"/>
        <w:rPr>
          <w:rFonts w:ascii="宋体" w:hAnsi="宋体"/>
          <w:color w:val="auto"/>
          <w:sz w:val="24"/>
          <w:highlight w:val="none"/>
        </w:rPr>
      </w:pPr>
      <w:r>
        <w:rPr>
          <w:rFonts w:hint="eastAsia" w:ascii="宋体" w:hAnsi="宋体"/>
          <w:color w:val="auto"/>
          <w:sz w:val="24"/>
          <w:highlight w:val="none"/>
        </w:rPr>
        <w:t xml:space="preserve">   (a) 目录；</w:t>
      </w:r>
    </w:p>
    <w:p>
      <w:pPr>
        <w:spacing w:line="360" w:lineRule="auto"/>
        <w:ind w:left="839" w:leftChars="171" w:hanging="480" w:hangingChars="200"/>
        <w:rPr>
          <w:rFonts w:ascii="宋体" w:hAnsi="宋体"/>
          <w:color w:val="auto"/>
          <w:sz w:val="24"/>
          <w:highlight w:val="none"/>
        </w:rPr>
      </w:pPr>
      <w:r>
        <w:rPr>
          <w:rFonts w:hint="eastAsia" w:ascii="宋体" w:hAnsi="宋体"/>
          <w:color w:val="auto"/>
          <w:sz w:val="24"/>
          <w:highlight w:val="none"/>
        </w:rPr>
        <w:t>(b) 填妥并签字盖章的《投标人声明》（格式见附录8）（联合体投标时，需联合体各方均按要求独自填妥并签字盖章提供）；</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 xml:space="preserve">   (c) 填妥并签字盖章的《合作设计协议》（外国或香港、澳门、台湾的设计企业提供）（格式自定）（如有）；</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 xml:space="preserve">   (d) 投标人营业执照；</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 xml:space="preserve">   (e) 投标人资质证书或作为香港企业符合本项目投标条件的证明材料；</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 xml:space="preserve">   (f) 申请人已在广州公共资源交易中心企业库办理企业信息登记，拟委派的项目负责人须是本企业信息登记中的在册人员；</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 xml:space="preserve">   (g) 《投标申请表》（格式见附录1）；</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 xml:space="preserve">   (h) 拟派项目负责人职称证书或作为香港专业人士符合本项目投标资格条件的证明材料；</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 xml:space="preserve">   (i) 填妥并签字盖章的《联合体共同投标协议》（格式见附录7）（联合体投标时提供，填妥并由联合体各方共同签字盖章）；</w:t>
      </w:r>
    </w:p>
    <w:p>
      <w:pPr>
        <w:spacing w:line="360" w:lineRule="auto"/>
        <w:ind w:left="821" w:hanging="820" w:hangingChars="342"/>
        <w:rPr>
          <w:rFonts w:ascii="宋体" w:hAnsi="宋体"/>
          <w:color w:val="auto"/>
          <w:sz w:val="24"/>
          <w:highlight w:val="none"/>
        </w:rPr>
      </w:pPr>
      <w:r>
        <w:rPr>
          <w:rFonts w:hint="eastAsia" w:ascii="宋体" w:hAnsi="宋体"/>
          <w:color w:val="auto"/>
          <w:sz w:val="24"/>
          <w:highlight w:val="none"/>
        </w:rPr>
        <w:t xml:space="preserve">   (j) 满足招标公告第1.4条（投标资格）评审要求的其他资料。</w:t>
      </w:r>
    </w:p>
    <w:p>
      <w:pPr>
        <w:spacing w:line="360" w:lineRule="auto"/>
        <w:ind w:left="480" w:hanging="480" w:hangingChars="200"/>
        <w:jc w:val="left"/>
        <w:rPr>
          <w:rFonts w:ascii="宋体" w:hAnsi="宋体"/>
          <w:color w:val="auto"/>
          <w:sz w:val="24"/>
          <w:highlight w:val="none"/>
          <w:u w:val="single"/>
        </w:rPr>
      </w:pPr>
      <w:r>
        <w:rPr>
          <w:rFonts w:hint="eastAsia" w:ascii="宋体" w:hAnsi="宋体"/>
          <w:color w:val="auto"/>
          <w:sz w:val="24"/>
          <w:highlight w:val="none"/>
          <w:u w:val="single"/>
        </w:rPr>
        <w:t>6.2 资格审查文件的签署要求：对于联合体投标人，除《投标人声明》《合作设计协议》《联合体共同投标协议》外，资格审查文件其他内容落款中的“投标人”应填写联合体各方的单位全称【格式为：（主）XXXX公司（成）XXXXX公司】；资格审查文件其他需要盖章或签字的部分可仅由联合体牵头人盖章或签字，视作符合要求。</w:t>
      </w:r>
    </w:p>
    <w:p>
      <w:pPr>
        <w:spacing w:line="360" w:lineRule="auto"/>
        <w:jc w:val="left"/>
        <w:rPr>
          <w:rFonts w:ascii="宋体" w:hAnsi="宋体"/>
          <w:color w:val="auto"/>
          <w:sz w:val="24"/>
          <w:highlight w:val="none"/>
        </w:rPr>
      </w:pPr>
    </w:p>
    <w:p>
      <w:pPr>
        <w:spacing w:line="360" w:lineRule="auto"/>
        <w:jc w:val="left"/>
        <w:rPr>
          <w:rFonts w:ascii="宋体" w:hAnsi="宋体"/>
          <w:b/>
          <w:bCs/>
          <w:color w:val="auto"/>
          <w:sz w:val="24"/>
          <w:highlight w:val="none"/>
        </w:rPr>
      </w:pPr>
      <w:r>
        <w:rPr>
          <w:rFonts w:hint="eastAsia" w:ascii="宋体" w:hAnsi="宋体"/>
          <w:b/>
          <w:bCs/>
          <w:color w:val="auto"/>
          <w:sz w:val="24"/>
          <w:highlight w:val="none"/>
        </w:rPr>
        <w:t>7    商务文件</w:t>
      </w:r>
    </w:p>
    <w:p>
      <w:pPr>
        <w:spacing w:line="360" w:lineRule="auto"/>
        <w:rPr>
          <w:rFonts w:ascii="宋体" w:hAnsi="宋体"/>
          <w:color w:val="auto"/>
          <w:sz w:val="24"/>
          <w:highlight w:val="none"/>
        </w:rPr>
      </w:pPr>
      <w:r>
        <w:rPr>
          <w:rFonts w:hint="eastAsia" w:ascii="宋体" w:hAnsi="宋体"/>
          <w:color w:val="auto"/>
          <w:sz w:val="24"/>
          <w:highlight w:val="none"/>
        </w:rPr>
        <w:t>7.1   商务文件内容：</w:t>
      </w:r>
    </w:p>
    <w:p>
      <w:pPr>
        <w:spacing w:line="360" w:lineRule="auto"/>
        <w:rPr>
          <w:rFonts w:ascii="宋体" w:hAnsi="宋体"/>
          <w:color w:val="auto"/>
          <w:sz w:val="24"/>
          <w:highlight w:val="none"/>
        </w:rPr>
      </w:pPr>
      <w:r>
        <w:rPr>
          <w:rFonts w:hint="eastAsia" w:ascii="宋体" w:hAnsi="宋体"/>
          <w:color w:val="auto"/>
          <w:sz w:val="24"/>
          <w:highlight w:val="none"/>
        </w:rPr>
        <w:t xml:space="preserve">   (a) 目录；</w:t>
      </w:r>
    </w:p>
    <w:p>
      <w:pPr>
        <w:spacing w:line="360" w:lineRule="auto"/>
        <w:rPr>
          <w:rFonts w:ascii="宋体" w:hAnsi="宋体"/>
          <w:color w:val="auto"/>
          <w:sz w:val="24"/>
          <w:highlight w:val="none"/>
        </w:rPr>
      </w:pPr>
      <w:r>
        <w:rPr>
          <w:rFonts w:hint="eastAsia" w:ascii="宋体" w:hAnsi="宋体"/>
          <w:color w:val="auto"/>
          <w:sz w:val="24"/>
          <w:highlight w:val="none"/>
        </w:rPr>
        <w:t xml:space="preserve">   (b) 填妥并签字盖章的《投标书》（格式见附录6）；</w:t>
      </w:r>
    </w:p>
    <w:p>
      <w:pPr>
        <w:wordWrap w:val="0"/>
        <w:topLinePunct/>
        <w:spacing w:line="360" w:lineRule="auto"/>
        <w:ind w:left="898" w:leftChars="85" w:hanging="720" w:hangingChars="300"/>
        <w:jc w:val="left"/>
        <w:rPr>
          <w:rFonts w:ascii="宋体" w:hAnsi="宋体"/>
          <w:color w:val="auto"/>
          <w:sz w:val="24"/>
          <w:highlight w:val="none"/>
        </w:rPr>
      </w:pPr>
      <w:r>
        <w:rPr>
          <w:rFonts w:hint="eastAsia" w:ascii="宋体" w:hAnsi="宋体"/>
          <w:color w:val="auto"/>
          <w:sz w:val="24"/>
          <w:highlight w:val="none"/>
        </w:rPr>
        <w:t xml:space="preserve">  (c)</w:t>
      </w:r>
      <w:r>
        <w:rPr>
          <w:rFonts w:hint="eastAsia" w:ascii="宋体" w:hAnsi="宋体"/>
          <w:color w:val="auto"/>
          <w:sz w:val="24"/>
          <w:highlight w:val="none"/>
          <w:u w:val="single"/>
        </w:rPr>
        <w:t xml:space="preserve"> 《市政综合工程设计费用计算表》（格式见附录3）、《勘探费报价及计算依据表》（格式见附录3-1）、《测量费报价及计算依据表》（格式见附录3-2）、《投标报价汇总表》（格式见附录3-3）</w:t>
      </w:r>
      <w:r>
        <w:rPr>
          <w:rFonts w:hint="eastAsia" w:ascii="宋体" w:hAnsi="宋体"/>
          <w:color w:val="auto"/>
          <w:sz w:val="24"/>
          <w:highlight w:val="none"/>
        </w:rPr>
        <w:t>；</w:t>
      </w:r>
    </w:p>
    <w:p>
      <w:pPr>
        <w:spacing w:line="360" w:lineRule="auto"/>
        <w:ind w:left="960" w:hanging="960" w:hangingChars="400"/>
        <w:rPr>
          <w:rFonts w:ascii="宋体" w:hAnsi="宋体"/>
          <w:color w:val="auto"/>
          <w:sz w:val="24"/>
          <w:highlight w:val="none"/>
        </w:rPr>
      </w:pPr>
      <w:r>
        <w:rPr>
          <w:rFonts w:hint="eastAsia" w:ascii="宋体" w:hAnsi="宋体"/>
          <w:color w:val="auto"/>
          <w:sz w:val="24"/>
          <w:highlight w:val="none"/>
        </w:rPr>
        <w:t xml:space="preserve">   (d) 企业类似工程业绩证明材料：包括《投标人已完成项目情况》（格式见附录5）（如有），并按照《商务文件综合评分表》相关评审要求提供证明材料；</w:t>
      </w:r>
    </w:p>
    <w:p>
      <w:pPr>
        <w:spacing w:line="360" w:lineRule="auto"/>
        <w:ind w:left="960" w:hanging="960" w:hangingChars="400"/>
        <w:rPr>
          <w:rFonts w:ascii="宋体" w:hAnsi="宋体"/>
          <w:color w:val="auto"/>
          <w:sz w:val="24"/>
          <w:highlight w:val="none"/>
        </w:rPr>
      </w:pPr>
      <w:r>
        <w:rPr>
          <w:rFonts w:hint="eastAsia" w:ascii="宋体" w:hAnsi="宋体"/>
          <w:color w:val="auto"/>
          <w:sz w:val="24"/>
          <w:highlight w:val="none"/>
        </w:rPr>
        <w:t xml:space="preserve">   (e) 企业业绩获奖证明材料（如有）：按照《商务文件综合评分表》相关评审要求提供证明材料；</w:t>
      </w:r>
    </w:p>
    <w:p>
      <w:pPr>
        <w:spacing w:line="360" w:lineRule="auto"/>
        <w:ind w:left="840" w:hanging="840" w:hangingChars="350"/>
        <w:rPr>
          <w:rFonts w:ascii="宋体" w:hAnsi="宋体"/>
          <w:color w:val="auto"/>
          <w:sz w:val="24"/>
          <w:highlight w:val="none"/>
        </w:rPr>
      </w:pPr>
      <w:r>
        <w:rPr>
          <w:rFonts w:hint="eastAsia" w:ascii="宋体" w:hAnsi="宋体"/>
          <w:color w:val="auto"/>
          <w:sz w:val="24"/>
          <w:highlight w:val="none"/>
        </w:rPr>
        <w:t xml:space="preserve">   (f) 人员配备及技术水平证明材料：包括《本项目拟投入的人员基本情况表》（格式见附录4）、《项目负责人资历表》（格式见附录4-1）、《专业人员资历表》（格式见附录4-2），并按照《商务文件综合评分表》相关评审要求提供项目负责人和各专业人员的资格证书、经历（获奖）和业务能力（个人类似业绩）等证明材料（如有）；</w:t>
      </w:r>
    </w:p>
    <w:p>
      <w:pPr>
        <w:spacing w:line="360" w:lineRule="auto"/>
        <w:rPr>
          <w:rFonts w:ascii="宋体" w:hAnsi="宋体"/>
          <w:color w:val="auto"/>
          <w:sz w:val="24"/>
          <w:highlight w:val="none"/>
        </w:rPr>
      </w:pPr>
      <w:r>
        <w:rPr>
          <w:rFonts w:hint="eastAsia" w:ascii="宋体" w:hAnsi="宋体"/>
          <w:color w:val="auto"/>
          <w:sz w:val="24"/>
          <w:highlight w:val="none"/>
        </w:rPr>
        <w:t xml:space="preserve">   (g) 服务及措施（如有，按照《商务文件综合评分表》相关评审要求编制）；</w:t>
      </w:r>
    </w:p>
    <w:p>
      <w:pPr>
        <w:spacing w:line="360" w:lineRule="auto"/>
        <w:ind w:left="960" w:hanging="960" w:hangingChars="400"/>
        <w:rPr>
          <w:rFonts w:ascii="宋体" w:hAnsi="宋体"/>
          <w:color w:val="auto"/>
          <w:sz w:val="24"/>
          <w:highlight w:val="none"/>
        </w:rPr>
      </w:pPr>
      <w:r>
        <w:rPr>
          <w:rFonts w:hint="eastAsia" w:ascii="宋体" w:hAnsi="宋体"/>
          <w:color w:val="auto"/>
          <w:sz w:val="24"/>
          <w:highlight w:val="none"/>
        </w:rPr>
        <w:t xml:space="preserve">   (h) 企业信誉证明材料（如有）：按照《商务文件综合评分表》相关评审要求提供证明材料；</w:t>
      </w:r>
    </w:p>
    <w:p>
      <w:pPr>
        <w:spacing w:line="360" w:lineRule="auto"/>
        <w:rPr>
          <w:rFonts w:ascii="宋体" w:hAnsi="宋体"/>
          <w:color w:val="auto"/>
          <w:sz w:val="24"/>
          <w:highlight w:val="none"/>
        </w:rPr>
      </w:pPr>
      <w:r>
        <w:rPr>
          <w:rFonts w:hint="eastAsia" w:ascii="宋体" w:hAnsi="宋体"/>
          <w:color w:val="auto"/>
          <w:sz w:val="24"/>
          <w:highlight w:val="none"/>
        </w:rPr>
        <w:t xml:space="preserve">   (i) 满足《商务文件综合评分表》评审要求的其他资料。</w:t>
      </w:r>
    </w:p>
    <w:p>
      <w:pPr>
        <w:spacing w:line="360" w:lineRule="auto"/>
        <w:ind w:left="566" w:hanging="566" w:hangingChars="236"/>
        <w:jc w:val="left"/>
        <w:rPr>
          <w:rFonts w:ascii="宋体" w:hAnsi="宋体"/>
          <w:b/>
          <w:bCs/>
          <w:color w:val="auto"/>
          <w:sz w:val="24"/>
          <w:highlight w:val="none"/>
        </w:rPr>
      </w:pPr>
      <w:r>
        <w:rPr>
          <w:rFonts w:hint="eastAsia" w:ascii="宋体" w:hAnsi="宋体"/>
          <w:color w:val="auto"/>
          <w:sz w:val="24"/>
          <w:highlight w:val="none"/>
          <w:u w:val="single"/>
        </w:rPr>
        <w:t>7.2  商务文件的签署要求：对于联合体投标人，文件落款中的“投标人”应填写联合体各方的单位全称【格式为：（主）XXXX公司（成）XXXXX公司】；商务文件需要盖章或签字的部分可仅由联合体牵头人盖章或签字，视作符合要求。</w:t>
      </w:r>
    </w:p>
    <w:p>
      <w:pPr>
        <w:spacing w:line="360" w:lineRule="auto"/>
        <w:jc w:val="left"/>
        <w:rPr>
          <w:rFonts w:ascii="宋体" w:hAnsi="宋体"/>
          <w:b/>
          <w:bCs/>
          <w:color w:val="auto"/>
          <w:sz w:val="24"/>
          <w:highlight w:val="none"/>
        </w:rPr>
      </w:pPr>
    </w:p>
    <w:p>
      <w:pPr>
        <w:spacing w:line="360" w:lineRule="auto"/>
        <w:jc w:val="left"/>
        <w:rPr>
          <w:rFonts w:ascii="宋体" w:hAnsi="宋体"/>
          <w:b/>
          <w:bCs/>
          <w:color w:val="auto"/>
          <w:sz w:val="24"/>
          <w:highlight w:val="none"/>
        </w:rPr>
      </w:pPr>
      <w:r>
        <w:rPr>
          <w:rFonts w:hint="eastAsia" w:ascii="宋体" w:hAnsi="宋体"/>
          <w:b/>
          <w:bCs/>
          <w:color w:val="auto"/>
          <w:sz w:val="24"/>
          <w:highlight w:val="none"/>
        </w:rPr>
        <w:t>8    投标文件光盘（备用）</w:t>
      </w:r>
    </w:p>
    <w:p>
      <w:pPr>
        <w:spacing w:line="360" w:lineRule="auto"/>
        <w:rPr>
          <w:rFonts w:ascii="宋体" w:hAnsi="宋体"/>
          <w:color w:val="auto"/>
          <w:sz w:val="24"/>
          <w:highlight w:val="none"/>
        </w:rPr>
      </w:pPr>
      <w:r>
        <w:rPr>
          <w:rFonts w:hint="eastAsia" w:ascii="宋体" w:hAnsi="宋体"/>
          <w:color w:val="auto"/>
          <w:sz w:val="24"/>
          <w:highlight w:val="none"/>
        </w:rPr>
        <w:t>8.1   投标文件光盘（备用）内容：</w:t>
      </w:r>
    </w:p>
    <w:p>
      <w:pPr>
        <w:spacing w:line="360" w:lineRule="auto"/>
        <w:rPr>
          <w:rFonts w:ascii="宋体" w:hAnsi="宋体"/>
          <w:color w:val="auto"/>
          <w:sz w:val="24"/>
          <w:highlight w:val="none"/>
        </w:rPr>
      </w:pPr>
      <w:r>
        <w:rPr>
          <w:rFonts w:hint="eastAsia" w:ascii="宋体" w:hAnsi="宋体"/>
          <w:color w:val="auto"/>
          <w:sz w:val="24"/>
          <w:highlight w:val="none"/>
        </w:rPr>
        <w:t>8.1.1 投标人可不递交投标文件光盘（备用）。</w:t>
      </w:r>
    </w:p>
    <w:p>
      <w:pPr>
        <w:spacing w:line="360" w:lineRule="auto"/>
        <w:ind w:left="720" w:hanging="720" w:hangingChars="300"/>
        <w:rPr>
          <w:rFonts w:ascii="宋体" w:hAnsi="宋体"/>
          <w:color w:val="auto"/>
          <w:sz w:val="24"/>
          <w:highlight w:val="none"/>
        </w:rPr>
      </w:pPr>
      <w:r>
        <w:rPr>
          <w:rFonts w:hint="eastAsia" w:ascii="宋体" w:hAnsi="宋体"/>
          <w:color w:val="auto"/>
          <w:sz w:val="24"/>
          <w:highlight w:val="none"/>
        </w:rPr>
        <w:t>8.1.2 投标文件光盘（备用）1份包括“资格审查文件和商务文件光盘”1个、“勘察设计技术方案（技术文件）光盘”1个、“保密文件光盘”1个。</w:t>
      </w:r>
    </w:p>
    <w:p>
      <w:pPr>
        <w:spacing w:line="360" w:lineRule="auto"/>
        <w:rPr>
          <w:rFonts w:ascii="宋体" w:hAnsi="宋体"/>
          <w:color w:val="auto"/>
          <w:sz w:val="24"/>
          <w:highlight w:val="none"/>
        </w:rPr>
      </w:pPr>
      <w:r>
        <w:rPr>
          <w:rFonts w:hint="eastAsia" w:ascii="宋体" w:hAnsi="宋体"/>
          <w:color w:val="auto"/>
          <w:sz w:val="24"/>
          <w:highlight w:val="none"/>
        </w:rPr>
        <w:t>8.1.3 “资格审查文件和商务文件光盘”内容：</w:t>
      </w:r>
    </w:p>
    <w:p>
      <w:pPr>
        <w:spacing w:line="360" w:lineRule="auto"/>
        <w:rPr>
          <w:rFonts w:ascii="宋体" w:hAnsi="宋体"/>
          <w:color w:val="auto"/>
          <w:sz w:val="24"/>
          <w:highlight w:val="none"/>
        </w:rPr>
      </w:pPr>
      <w:r>
        <w:rPr>
          <w:rFonts w:hint="eastAsia" w:ascii="宋体" w:hAnsi="宋体"/>
          <w:color w:val="auto"/>
          <w:sz w:val="24"/>
          <w:highlight w:val="none"/>
        </w:rPr>
        <w:t xml:space="preserve">     (a) 一套PDF格式制作的资格审查文件和商务文件各1份；</w:t>
      </w:r>
    </w:p>
    <w:p>
      <w:pPr>
        <w:spacing w:line="360" w:lineRule="auto"/>
        <w:rPr>
          <w:rFonts w:ascii="宋体" w:hAnsi="宋体"/>
          <w:color w:val="auto"/>
          <w:sz w:val="24"/>
          <w:highlight w:val="none"/>
        </w:rPr>
      </w:pPr>
      <w:r>
        <w:rPr>
          <w:rFonts w:hint="eastAsia" w:ascii="宋体" w:hAnsi="宋体"/>
          <w:color w:val="auto"/>
          <w:sz w:val="24"/>
          <w:highlight w:val="none"/>
        </w:rPr>
        <w:t xml:space="preserve">     (b) 一套WORD格式的资格审查文件和商务文件各1份。</w:t>
      </w:r>
    </w:p>
    <w:p>
      <w:pPr>
        <w:spacing w:line="360" w:lineRule="auto"/>
        <w:rPr>
          <w:rFonts w:ascii="宋体" w:hAnsi="宋体"/>
          <w:color w:val="auto"/>
          <w:sz w:val="24"/>
          <w:highlight w:val="none"/>
        </w:rPr>
      </w:pPr>
      <w:r>
        <w:rPr>
          <w:rFonts w:hint="eastAsia" w:ascii="宋体" w:hAnsi="宋体"/>
          <w:color w:val="auto"/>
          <w:sz w:val="24"/>
          <w:highlight w:val="none"/>
        </w:rPr>
        <w:t>8.1.4 “勘察设计技术方案（技术文件）光盘”内容：</w:t>
      </w:r>
    </w:p>
    <w:p>
      <w:pPr>
        <w:spacing w:line="360" w:lineRule="auto"/>
        <w:rPr>
          <w:rFonts w:ascii="宋体" w:hAnsi="宋体"/>
          <w:color w:val="auto"/>
          <w:sz w:val="24"/>
          <w:highlight w:val="none"/>
        </w:rPr>
      </w:pPr>
      <w:r>
        <w:rPr>
          <w:rFonts w:hint="eastAsia" w:ascii="宋体" w:hAnsi="宋体"/>
          <w:color w:val="auto"/>
          <w:sz w:val="24"/>
          <w:highlight w:val="none"/>
        </w:rPr>
        <w:t xml:space="preserve">     (a) 一套PDF格式制作的勘察设计技术方案（技术文件）；</w:t>
      </w:r>
    </w:p>
    <w:p>
      <w:pPr>
        <w:spacing w:line="360" w:lineRule="auto"/>
        <w:ind w:left="1133" w:hanging="1132" w:hangingChars="472"/>
        <w:rPr>
          <w:rFonts w:ascii="宋体" w:hAnsi="宋体"/>
          <w:color w:val="auto"/>
          <w:sz w:val="24"/>
          <w:highlight w:val="none"/>
        </w:rPr>
      </w:pPr>
      <w:r>
        <w:rPr>
          <w:rFonts w:hint="eastAsia" w:ascii="宋体" w:hAnsi="宋体"/>
          <w:color w:val="auto"/>
          <w:sz w:val="24"/>
          <w:highlight w:val="none"/>
        </w:rPr>
        <w:t xml:space="preserve">     (b) 一套WORD或PPT格式的勘察设计技术方案（技术文件）（不须包含设计图形部分内容）；</w:t>
      </w:r>
    </w:p>
    <w:p>
      <w:pPr>
        <w:spacing w:line="360" w:lineRule="auto"/>
        <w:rPr>
          <w:rFonts w:ascii="宋体" w:hAnsi="宋体"/>
          <w:color w:val="auto"/>
          <w:sz w:val="24"/>
          <w:highlight w:val="none"/>
        </w:rPr>
      </w:pPr>
      <w:r>
        <w:rPr>
          <w:rFonts w:hint="eastAsia" w:ascii="宋体" w:hAnsi="宋体"/>
          <w:color w:val="auto"/>
          <w:sz w:val="24"/>
          <w:highlight w:val="none"/>
        </w:rPr>
        <w:t xml:space="preserve">     (c) 一套AutoCAD格式的设计图形文件。</w:t>
      </w:r>
    </w:p>
    <w:p>
      <w:pPr>
        <w:spacing w:line="360" w:lineRule="auto"/>
        <w:rPr>
          <w:rFonts w:ascii="宋体" w:hAnsi="宋体"/>
          <w:color w:val="auto"/>
          <w:sz w:val="24"/>
          <w:highlight w:val="none"/>
        </w:rPr>
      </w:pPr>
      <w:r>
        <w:rPr>
          <w:rFonts w:hint="eastAsia" w:ascii="宋体" w:hAnsi="宋体"/>
          <w:color w:val="auto"/>
          <w:sz w:val="24"/>
          <w:highlight w:val="none"/>
        </w:rPr>
        <w:t>8.1.5 保密光盘包括内容：</w:t>
      </w:r>
    </w:p>
    <w:p>
      <w:pPr>
        <w:spacing w:line="360" w:lineRule="auto"/>
        <w:ind w:left="1133" w:hanging="1132" w:hangingChars="472"/>
        <w:rPr>
          <w:rFonts w:ascii="宋体" w:hAnsi="宋体"/>
          <w:color w:val="auto"/>
          <w:sz w:val="24"/>
          <w:highlight w:val="none"/>
        </w:rPr>
      </w:pPr>
      <w:r>
        <w:rPr>
          <w:rFonts w:hint="eastAsia" w:ascii="宋体" w:hAnsi="宋体"/>
          <w:color w:val="auto"/>
          <w:sz w:val="24"/>
          <w:highlight w:val="none"/>
        </w:rPr>
        <w:t xml:space="preserve">     (a) 一张JPG格式内容为设计图纸的图形文件，加盖投标人公章，项目负责人署名。设计图纸内容应与设计方案一致（并注明设计图纸在设计方案中的页码或图号），用于分辨勘察设计技术方案（技术文件）对应的投标人身份。</w:t>
      </w:r>
    </w:p>
    <w:p>
      <w:pPr>
        <w:spacing w:line="360" w:lineRule="auto"/>
        <w:rPr>
          <w:rFonts w:ascii="宋体" w:hAnsi="宋体"/>
          <w:b/>
          <w:bCs/>
          <w:color w:val="auto"/>
          <w:highlight w:val="none"/>
        </w:rPr>
      </w:pPr>
    </w:p>
    <w:p>
      <w:pPr>
        <w:pStyle w:val="4"/>
        <w:rPr>
          <w:color w:val="auto"/>
          <w:highlight w:val="none"/>
        </w:rPr>
      </w:pPr>
      <w:r>
        <w:rPr>
          <w:color w:val="auto"/>
          <w:highlight w:val="none"/>
        </w:rPr>
        <w:br w:type="page"/>
      </w:r>
      <w:bookmarkStart w:id="27" w:name="_Toc5895"/>
      <w:bookmarkStart w:id="28" w:name="_Toc99463987"/>
      <w:bookmarkStart w:id="29" w:name="_Toc23970"/>
      <w:r>
        <w:rPr>
          <w:rFonts w:hint="eastAsia"/>
          <w:color w:val="auto"/>
          <w:highlight w:val="none"/>
        </w:rPr>
        <w:t>附录3：市政综合工程设计费用计算表</w:t>
      </w:r>
      <w:bookmarkEnd w:id="27"/>
      <w:bookmarkEnd w:id="28"/>
      <w:bookmarkEnd w:id="29"/>
    </w:p>
    <w:p>
      <w:pPr>
        <w:jc w:val="left"/>
        <w:rPr>
          <w:rFonts w:ascii="宋体" w:hAnsi="宋体"/>
          <w:color w:val="auto"/>
          <w:sz w:val="24"/>
          <w:highlight w:val="none"/>
        </w:rPr>
      </w:pPr>
    </w:p>
    <w:p>
      <w:pPr>
        <w:wordWrap w:val="0"/>
        <w:topLinePunct/>
        <w:ind w:left="178" w:leftChars="85"/>
        <w:jc w:val="center"/>
        <w:rPr>
          <w:rFonts w:ascii="宋体" w:hAnsi="宋体"/>
          <w:b/>
          <w:bCs/>
          <w:color w:val="auto"/>
          <w:sz w:val="32"/>
          <w:szCs w:val="32"/>
          <w:highlight w:val="none"/>
          <w:u w:val="wave"/>
        </w:rPr>
      </w:pPr>
      <w:r>
        <w:rPr>
          <w:rFonts w:hint="eastAsia" w:ascii="宋体" w:hAnsi="宋体"/>
          <w:b/>
          <w:color w:val="auto"/>
          <w:sz w:val="32"/>
          <w:highlight w:val="none"/>
        </w:rPr>
        <w:t>市政综合工程设计费用计算表</w:t>
      </w:r>
    </w:p>
    <w:tbl>
      <w:tblPr>
        <w:tblStyle w:val="38"/>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97"/>
        <w:gridCol w:w="1125"/>
        <w:gridCol w:w="1545"/>
        <w:gridCol w:w="1479"/>
        <w:gridCol w:w="144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Align w:val="center"/>
          </w:tcPr>
          <w:p>
            <w:pPr>
              <w:wordWrap w:val="0"/>
              <w:topLinePunct/>
              <w:jc w:val="center"/>
              <w:rPr>
                <w:rFonts w:ascii="宋体" w:hAnsi="宋体"/>
                <w:color w:val="auto"/>
                <w:szCs w:val="21"/>
                <w:highlight w:val="none"/>
              </w:rPr>
            </w:pPr>
            <w:r>
              <w:rPr>
                <w:rFonts w:hint="eastAsia" w:ascii="宋体" w:hAnsi="宋体"/>
                <w:color w:val="auto"/>
                <w:highlight w:val="none"/>
              </w:rPr>
              <w:t>序号</w:t>
            </w:r>
          </w:p>
        </w:tc>
        <w:tc>
          <w:tcPr>
            <w:tcW w:w="1597" w:type="dxa"/>
            <w:vAlign w:val="center"/>
          </w:tcPr>
          <w:p>
            <w:pPr>
              <w:wordWrap w:val="0"/>
              <w:topLinePunct/>
              <w:jc w:val="center"/>
              <w:rPr>
                <w:rFonts w:ascii="宋体" w:hAnsi="宋体"/>
                <w:color w:val="auto"/>
                <w:highlight w:val="none"/>
              </w:rPr>
            </w:pPr>
            <w:r>
              <w:rPr>
                <w:rFonts w:hint="eastAsia" w:ascii="宋体" w:hAnsi="宋体"/>
                <w:color w:val="auto"/>
                <w:highlight w:val="none"/>
              </w:rPr>
              <w:t>项目名称</w:t>
            </w:r>
          </w:p>
        </w:tc>
        <w:tc>
          <w:tcPr>
            <w:tcW w:w="1125" w:type="dxa"/>
            <w:vAlign w:val="center"/>
          </w:tcPr>
          <w:p>
            <w:pPr>
              <w:wordWrap w:val="0"/>
              <w:topLinePunct/>
              <w:jc w:val="center"/>
              <w:rPr>
                <w:rFonts w:ascii="宋体" w:hAnsi="宋体"/>
                <w:color w:val="auto"/>
                <w:highlight w:val="none"/>
              </w:rPr>
            </w:pPr>
            <w:r>
              <w:rPr>
                <w:rFonts w:hint="eastAsia" w:ascii="宋体" w:hAnsi="宋体" w:cs="宋体"/>
                <w:color w:val="auto"/>
                <w:kern w:val="0"/>
                <w:szCs w:val="21"/>
                <w:highlight w:val="none"/>
              </w:rPr>
              <w:t>建筑安装工程费</w:t>
            </w:r>
            <w:r>
              <w:rPr>
                <w:rFonts w:hint="eastAsia" w:ascii="宋体" w:hAnsi="宋体"/>
                <w:color w:val="auto"/>
                <w:highlight w:val="none"/>
              </w:rPr>
              <w:t>(万元）</w:t>
            </w:r>
          </w:p>
        </w:tc>
        <w:tc>
          <w:tcPr>
            <w:tcW w:w="1545" w:type="dxa"/>
            <w:vAlign w:val="center"/>
          </w:tcPr>
          <w:p>
            <w:pPr>
              <w:wordWrap w:val="0"/>
              <w:topLinePunct/>
              <w:jc w:val="center"/>
              <w:rPr>
                <w:rFonts w:ascii="宋体" w:hAnsi="宋体"/>
                <w:color w:val="auto"/>
                <w:highlight w:val="none"/>
              </w:rPr>
            </w:pPr>
            <w:r>
              <w:rPr>
                <w:rFonts w:hint="eastAsia" w:ascii="宋体" w:hAnsi="宋体"/>
                <w:color w:val="auto"/>
                <w:highlight w:val="none"/>
              </w:rPr>
              <w:t>工程设计收费基价（万元）</w:t>
            </w:r>
          </w:p>
        </w:tc>
        <w:tc>
          <w:tcPr>
            <w:tcW w:w="1479" w:type="dxa"/>
            <w:vAlign w:val="center"/>
          </w:tcPr>
          <w:p>
            <w:pPr>
              <w:wordWrap w:val="0"/>
              <w:topLinePunct/>
              <w:jc w:val="center"/>
              <w:rPr>
                <w:rFonts w:ascii="宋体" w:hAnsi="宋体"/>
                <w:color w:val="auto"/>
                <w:highlight w:val="none"/>
              </w:rPr>
            </w:pPr>
            <w:r>
              <w:rPr>
                <w:rFonts w:hint="eastAsia" w:ascii="宋体" w:hAnsi="宋体"/>
                <w:color w:val="auto"/>
                <w:highlight w:val="none"/>
              </w:rPr>
              <w:t>调整系数</w:t>
            </w:r>
          </w:p>
        </w:tc>
        <w:tc>
          <w:tcPr>
            <w:tcW w:w="1440" w:type="dxa"/>
            <w:vAlign w:val="center"/>
          </w:tcPr>
          <w:p>
            <w:pPr>
              <w:wordWrap w:val="0"/>
              <w:topLinePunct/>
              <w:jc w:val="center"/>
              <w:rPr>
                <w:rFonts w:ascii="宋体" w:hAnsi="宋体"/>
                <w:color w:val="auto"/>
                <w:highlight w:val="none"/>
              </w:rPr>
            </w:pPr>
            <w:r>
              <w:rPr>
                <w:rFonts w:hint="eastAsia" w:ascii="宋体" w:hAnsi="宋体"/>
                <w:color w:val="auto"/>
                <w:highlight w:val="none"/>
              </w:rPr>
              <w:t>基本设计费（万元）</w:t>
            </w:r>
          </w:p>
        </w:tc>
        <w:tc>
          <w:tcPr>
            <w:tcW w:w="1098" w:type="dxa"/>
            <w:vAlign w:val="center"/>
          </w:tcPr>
          <w:p>
            <w:pPr>
              <w:wordWrap w:val="0"/>
              <w:topLinePunct/>
              <w:jc w:val="center"/>
              <w:rPr>
                <w:rFonts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54" w:type="dxa"/>
            <w:vAlign w:val="center"/>
          </w:tcPr>
          <w:p>
            <w:pPr>
              <w:wordWrap w:val="0"/>
              <w:topLinePunct/>
              <w:jc w:val="center"/>
              <w:rPr>
                <w:rFonts w:ascii="宋体" w:hAnsi="宋体"/>
                <w:color w:val="auto"/>
                <w:highlight w:val="none"/>
              </w:rPr>
            </w:pPr>
            <w:r>
              <w:rPr>
                <w:rFonts w:hint="eastAsia" w:ascii="宋体" w:hAnsi="宋体"/>
                <w:color w:val="auto"/>
                <w:highlight w:val="none"/>
              </w:rPr>
              <w:t>一</w:t>
            </w:r>
          </w:p>
        </w:tc>
        <w:tc>
          <w:tcPr>
            <w:tcW w:w="1597" w:type="dxa"/>
            <w:vAlign w:val="center"/>
          </w:tcPr>
          <w:p>
            <w:pPr>
              <w:wordWrap w:val="0"/>
              <w:topLinePunct/>
              <w:jc w:val="center"/>
              <w:rPr>
                <w:rFonts w:ascii="宋体" w:hAnsi="宋体"/>
                <w:color w:val="auto"/>
                <w:highlight w:val="none"/>
              </w:rPr>
            </w:pPr>
            <w:r>
              <w:rPr>
                <w:rFonts w:hint="eastAsia" w:ascii="宋体" w:hAnsi="宋体"/>
                <w:color w:val="auto"/>
                <w:highlight w:val="none"/>
              </w:rPr>
              <w:t>项目总投资</w:t>
            </w:r>
          </w:p>
        </w:tc>
        <w:tc>
          <w:tcPr>
            <w:tcW w:w="1125" w:type="dxa"/>
            <w:vAlign w:val="center"/>
          </w:tcPr>
          <w:p>
            <w:pPr>
              <w:wordWrap w:val="0"/>
              <w:topLinePunct/>
              <w:jc w:val="center"/>
              <w:rPr>
                <w:rFonts w:ascii="宋体" w:hAnsi="宋体"/>
                <w:color w:val="auto"/>
                <w:highlight w:val="none"/>
              </w:rPr>
            </w:pPr>
            <w:r>
              <w:rPr>
                <w:rFonts w:hint="eastAsia" w:ascii="宋体" w:hAnsi="宋体"/>
                <w:color w:val="auto"/>
                <w:highlight w:val="none"/>
              </w:rPr>
              <w:t>A=</w:t>
            </w:r>
          </w:p>
        </w:tc>
        <w:tc>
          <w:tcPr>
            <w:tcW w:w="1545" w:type="dxa"/>
            <w:vAlign w:val="center"/>
          </w:tcPr>
          <w:p>
            <w:pPr>
              <w:wordWrap w:val="0"/>
              <w:topLinePunct/>
              <w:jc w:val="center"/>
              <w:rPr>
                <w:rFonts w:ascii="宋体" w:hAnsi="宋体"/>
                <w:color w:val="auto"/>
                <w:highlight w:val="none"/>
              </w:rPr>
            </w:pPr>
            <w:r>
              <w:rPr>
                <w:rFonts w:hint="eastAsia" w:ascii="宋体" w:hAnsi="宋体"/>
                <w:color w:val="auto"/>
                <w:highlight w:val="none"/>
              </w:rPr>
              <w:t>L=</w:t>
            </w:r>
          </w:p>
        </w:tc>
        <w:tc>
          <w:tcPr>
            <w:tcW w:w="1479" w:type="dxa"/>
            <w:vAlign w:val="center"/>
          </w:tcPr>
          <w:p>
            <w:pPr>
              <w:wordWrap w:val="0"/>
              <w:topLinePunct/>
              <w:jc w:val="center"/>
              <w:rPr>
                <w:rFonts w:ascii="宋体" w:hAnsi="宋体"/>
                <w:color w:val="auto"/>
                <w:highlight w:val="none"/>
              </w:rPr>
            </w:pPr>
            <w:r>
              <w:rPr>
                <w:rFonts w:hint="eastAsia" w:ascii="宋体" w:hAnsi="宋体"/>
                <w:color w:val="auto"/>
                <w:highlight w:val="none"/>
              </w:rPr>
              <w:t>1.0*1.0*1.0</w:t>
            </w:r>
          </w:p>
        </w:tc>
        <w:tc>
          <w:tcPr>
            <w:tcW w:w="1440" w:type="dxa"/>
            <w:vAlign w:val="center"/>
          </w:tcPr>
          <w:p>
            <w:pPr>
              <w:wordWrap w:val="0"/>
              <w:topLinePunct/>
              <w:jc w:val="center"/>
              <w:rPr>
                <w:rFonts w:ascii="宋体" w:hAnsi="宋体"/>
                <w:color w:val="auto"/>
                <w:highlight w:val="none"/>
              </w:rPr>
            </w:pPr>
            <w:r>
              <w:rPr>
                <w:rFonts w:hint="eastAsia" w:ascii="宋体" w:hAnsi="宋体"/>
                <w:color w:val="auto"/>
                <w:highlight w:val="none"/>
              </w:rPr>
              <w:t>B=</w:t>
            </w:r>
          </w:p>
        </w:tc>
        <w:tc>
          <w:tcPr>
            <w:tcW w:w="1098" w:type="dxa"/>
            <w:vAlign w:val="center"/>
          </w:tcPr>
          <w:p>
            <w:pPr>
              <w:wordWrap w:val="0"/>
              <w:topLinePun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4" w:type="dxa"/>
            <w:vAlign w:val="center"/>
          </w:tcPr>
          <w:p>
            <w:pPr>
              <w:wordWrap w:val="0"/>
              <w:topLinePunct/>
              <w:jc w:val="center"/>
              <w:rPr>
                <w:rFonts w:ascii="宋体" w:hAnsi="宋体"/>
                <w:color w:val="auto"/>
                <w:highlight w:val="none"/>
              </w:rPr>
            </w:pPr>
            <w:r>
              <w:rPr>
                <w:rFonts w:hint="eastAsia" w:ascii="宋体" w:hAnsi="宋体"/>
                <w:color w:val="auto"/>
                <w:highlight w:val="none"/>
              </w:rPr>
              <w:t>1</w:t>
            </w:r>
          </w:p>
        </w:tc>
        <w:tc>
          <w:tcPr>
            <w:tcW w:w="1597" w:type="dxa"/>
            <w:vAlign w:val="center"/>
          </w:tcPr>
          <w:p>
            <w:pPr>
              <w:wordWrap w:val="0"/>
              <w:topLinePunct/>
              <w:jc w:val="center"/>
              <w:rPr>
                <w:rFonts w:ascii="宋体" w:hAnsi="宋体"/>
                <w:color w:val="auto"/>
                <w:highlight w:val="none"/>
              </w:rPr>
            </w:pPr>
            <w:r>
              <w:rPr>
                <w:rFonts w:hint="eastAsia" w:ascii="宋体" w:hAnsi="宋体"/>
                <w:color w:val="auto"/>
                <w:highlight w:val="none"/>
              </w:rPr>
              <w:t>道路工程</w:t>
            </w:r>
          </w:p>
        </w:tc>
        <w:tc>
          <w:tcPr>
            <w:tcW w:w="1125" w:type="dxa"/>
            <w:vAlign w:val="center"/>
          </w:tcPr>
          <w:p>
            <w:pPr>
              <w:wordWrap w:val="0"/>
              <w:topLinePunct/>
              <w:jc w:val="center"/>
              <w:rPr>
                <w:rFonts w:ascii="宋体" w:hAnsi="宋体"/>
                <w:color w:val="auto"/>
                <w:highlight w:val="none"/>
              </w:rPr>
            </w:pPr>
            <w:r>
              <w:rPr>
                <w:rFonts w:hint="eastAsia" w:ascii="宋体" w:hAnsi="宋体"/>
                <w:color w:val="auto"/>
                <w:highlight w:val="none"/>
              </w:rPr>
              <w:t>C1=</w:t>
            </w:r>
          </w:p>
        </w:tc>
        <w:tc>
          <w:tcPr>
            <w:tcW w:w="1545" w:type="dxa"/>
            <w:vAlign w:val="center"/>
          </w:tcPr>
          <w:p>
            <w:pPr>
              <w:topLinePunct/>
              <w:jc w:val="center"/>
              <w:rPr>
                <w:rFonts w:ascii="宋体" w:hAnsi="宋体"/>
                <w:color w:val="auto"/>
                <w:highlight w:val="none"/>
              </w:rPr>
            </w:pPr>
            <w:r>
              <w:rPr>
                <w:rFonts w:hint="eastAsia" w:ascii="宋体" w:hAnsi="宋体"/>
                <w:color w:val="auto"/>
                <w:highlight w:val="none"/>
              </w:rPr>
              <w:t>C1/A*B=</w:t>
            </w:r>
          </w:p>
        </w:tc>
        <w:tc>
          <w:tcPr>
            <w:tcW w:w="1479" w:type="dxa"/>
            <w:vAlign w:val="center"/>
          </w:tcPr>
          <w:p>
            <w:pPr>
              <w:wordWrap w:val="0"/>
              <w:topLinePunct/>
              <w:jc w:val="center"/>
              <w:rPr>
                <w:rFonts w:ascii="宋体" w:hAnsi="宋体"/>
                <w:color w:val="auto"/>
                <w:highlight w:val="none"/>
              </w:rPr>
            </w:pPr>
          </w:p>
        </w:tc>
        <w:tc>
          <w:tcPr>
            <w:tcW w:w="1440" w:type="dxa"/>
            <w:vAlign w:val="center"/>
          </w:tcPr>
          <w:p>
            <w:pPr>
              <w:wordWrap w:val="0"/>
              <w:topLinePunct/>
              <w:jc w:val="center"/>
              <w:rPr>
                <w:rFonts w:ascii="宋体" w:hAnsi="宋体"/>
                <w:color w:val="auto"/>
                <w:highlight w:val="none"/>
              </w:rPr>
            </w:pPr>
            <w:r>
              <w:rPr>
                <w:rFonts w:hint="eastAsia" w:ascii="宋体" w:hAnsi="宋体"/>
                <w:color w:val="auto"/>
                <w:highlight w:val="none"/>
              </w:rPr>
              <w:t>D1=</w:t>
            </w:r>
          </w:p>
        </w:tc>
        <w:tc>
          <w:tcPr>
            <w:tcW w:w="1098" w:type="dxa"/>
            <w:vAlign w:val="center"/>
          </w:tcPr>
          <w:p>
            <w:pPr>
              <w:wordWrap w:val="0"/>
              <w:topLinePun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4" w:type="dxa"/>
            <w:vAlign w:val="center"/>
          </w:tcPr>
          <w:p>
            <w:pPr>
              <w:wordWrap w:val="0"/>
              <w:topLinePunct/>
              <w:jc w:val="center"/>
              <w:rPr>
                <w:rFonts w:ascii="宋体" w:hAnsi="宋体"/>
                <w:color w:val="auto"/>
                <w:highlight w:val="none"/>
              </w:rPr>
            </w:pPr>
            <w:r>
              <w:rPr>
                <w:rFonts w:hint="eastAsia" w:ascii="宋体" w:hAnsi="宋体"/>
                <w:color w:val="auto"/>
                <w:highlight w:val="none"/>
              </w:rPr>
              <w:t>2</w:t>
            </w:r>
          </w:p>
        </w:tc>
        <w:tc>
          <w:tcPr>
            <w:tcW w:w="1597" w:type="dxa"/>
            <w:vAlign w:val="center"/>
          </w:tcPr>
          <w:p>
            <w:pPr>
              <w:wordWrap w:val="0"/>
              <w:topLinePunct/>
              <w:jc w:val="center"/>
              <w:rPr>
                <w:rFonts w:ascii="宋体" w:hAnsi="宋体"/>
                <w:color w:val="auto"/>
                <w:highlight w:val="none"/>
              </w:rPr>
            </w:pPr>
            <w:r>
              <w:rPr>
                <w:rFonts w:hint="eastAsia" w:ascii="宋体" w:hAnsi="宋体"/>
                <w:color w:val="auto"/>
                <w:highlight w:val="none"/>
              </w:rPr>
              <w:t>交通工程</w:t>
            </w:r>
          </w:p>
        </w:tc>
        <w:tc>
          <w:tcPr>
            <w:tcW w:w="1125" w:type="dxa"/>
            <w:vAlign w:val="center"/>
          </w:tcPr>
          <w:p>
            <w:pPr>
              <w:wordWrap w:val="0"/>
              <w:topLinePunct/>
              <w:jc w:val="center"/>
              <w:rPr>
                <w:rFonts w:ascii="宋体" w:hAnsi="宋体"/>
                <w:color w:val="auto"/>
                <w:highlight w:val="none"/>
              </w:rPr>
            </w:pPr>
            <w:r>
              <w:rPr>
                <w:rFonts w:hint="eastAsia" w:ascii="宋体" w:hAnsi="宋体"/>
                <w:color w:val="auto"/>
                <w:highlight w:val="none"/>
              </w:rPr>
              <w:t>C2=</w:t>
            </w:r>
          </w:p>
        </w:tc>
        <w:tc>
          <w:tcPr>
            <w:tcW w:w="1545" w:type="dxa"/>
            <w:vAlign w:val="center"/>
          </w:tcPr>
          <w:p>
            <w:pPr>
              <w:wordWrap w:val="0"/>
              <w:topLinePunct/>
              <w:jc w:val="center"/>
              <w:rPr>
                <w:rFonts w:ascii="宋体" w:hAnsi="宋体"/>
                <w:color w:val="auto"/>
                <w:highlight w:val="none"/>
              </w:rPr>
            </w:pPr>
            <w:r>
              <w:rPr>
                <w:rFonts w:hint="eastAsia" w:ascii="宋体" w:hAnsi="宋体"/>
                <w:color w:val="auto"/>
                <w:highlight w:val="none"/>
              </w:rPr>
              <w:t>C2/A*B=</w:t>
            </w:r>
          </w:p>
        </w:tc>
        <w:tc>
          <w:tcPr>
            <w:tcW w:w="1479" w:type="dxa"/>
            <w:vAlign w:val="center"/>
          </w:tcPr>
          <w:p>
            <w:pPr>
              <w:wordWrap w:val="0"/>
              <w:topLinePunct/>
              <w:jc w:val="center"/>
              <w:rPr>
                <w:rFonts w:ascii="宋体" w:hAnsi="宋体"/>
                <w:color w:val="auto"/>
                <w:highlight w:val="none"/>
              </w:rPr>
            </w:pPr>
          </w:p>
        </w:tc>
        <w:tc>
          <w:tcPr>
            <w:tcW w:w="1440" w:type="dxa"/>
            <w:vAlign w:val="center"/>
          </w:tcPr>
          <w:p>
            <w:pPr>
              <w:wordWrap w:val="0"/>
              <w:topLinePunct/>
              <w:jc w:val="center"/>
              <w:rPr>
                <w:rFonts w:ascii="宋体" w:hAnsi="宋体"/>
                <w:color w:val="auto"/>
                <w:highlight w:val="none"/>
              </w:rPr>
            </w:pPr>
            <w:r>
              <w:rPr>
                <w:rFonts w:hint="eastAsia" w:ascii="宋体" w:hAnsi="宋体"/>
                <w:color w:val="auto"/>
                <w:highlight w:val="none"/>
              </w:rPr>
              <w:t>D2=</w:t>
            </w:r>
          </w:p>
        </w:tc>
        <w:tc>
          <w:tcPr>
            <w:tcW w:w="1098" w:type="dxa"/>
            <w:vAlign w:val="center"/>
          </w:tcPr>
          <w:p>
            <w:pPr>
              <w:wordWrap w:val="0"/>
              <w:topLinePun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4" w:type="dxa"/>
            <w:vAlign w:val="center"/>
          </w:tcPr>
          <w:p>
            <w:pPr>
              <w:wordWrap w:val="0"/>
              <w:topLinePunct/>
              <w:jc w:val="center"/>
              <w:rPr>
                <w:rFonts w:ascii="宋体" w:hAnsi="宋体"/>
                <w:color w:val="auto"/>
                <w:highlight w:val="none"/>
              </w:rPr>
            </w:pPr>
            <w:r>
              <w:rPr>
                <w:rFonts w:hint="eastAsia" w:ascii="宋体" w:hAnsi="宋体"/>
                <w:color w:val="auto"/>
                <w:highlight w:val="none"/>
              </w:rPr>
              <w:t>3</w:t>
            </w:r>
          </w:p>
        </w:tc>
        <w:tc>
          <w:tcPr>
            <w:tcW w:w="1597" w:type="dxa"/>
            <w:vAlign w:val="center"/>
          </w:tcPr>
          <w:p>
            <w:pPr>
              <w:wordWrap w:val="0"/>
              <w:topLinePunct/>
              <w:jc w:val="center"/>
              <w:rPr>
                <w:rFonts w:ascii="宋体" w:hAnsi="宋体"/>
                <w:color w:val="auto"/>
                <w:highlight w:val="none"/>
              </w:rPr>
            </w:pPr>
            <w:r>
              <w:rPr>
                <w:rFonts w:hint="eastAsia" w:ascii="宋体" w:hAnsi="宋体"/>
                <w:color w:val="auto"/>
                <w:highlight w:val="none"/>
              </w:rPr>
              <w:t>给排水工程</w:t>
            </w:r>
          </w:p>
        </w:tc>
        <w:tc>
          <w:tcPr>
            <w:tcW w:w="1125" w:type="dxa"/>
            <w:vAlign w:val="center"/>
          </w:tcPr>
          <w:p>
            <w:pPr>
              <w:wordWrap w:val="0"/>
              <w:topLinePunct/>
              <w:jc w:val="center"/>
              <w:rPr>
                <w:rFonts w:ascii="宋体" w:hAnsi="宋体"/>
                <w:color w:val="auto"/>
                <w:highlight w:val="none"/>
              </w:rPr>
            </w:pPr>
            <w:r>
              <w:rPr>
                <w:rFonts w:hint="eastAsia" w:ascii="宋体" w:hAnsi="宋体"/>
                <w:color w:val="auto"/>
                <w:highlight w:val="none"/>
              </w:rPr>
              <w:t>C3=</w:t>
            </w:r>
          </w:p>
        </w:tc>
        <w:tc>
          <w:tcPr>
            <w:tcW w:w="1545" w:type="dxa"/>
            <w:vAlign w:val="center"/>
          </w:tcPr>
          <w:p>
            <w:pPr>
              <w:wordWrap w:val="0"/>
              <w:topLinePunct/>
              <w:jc w:val="center"/>
              <w:rPr>
                <w:rFonts w:ascii="宋体" w:hAnsi="宋体"/>
                <w:color w:val="auto"/>
                <w:highlight w:val="none"/>
              </w:rPr>
            </w:pPr>
            <w:r>
              <w:rPr>
                <w:rFonts w:hint="eastAsia" w:ascii="宋体" w:hAnsi="宋体"/>
                <w:color w:val="auto"/>
                <w:highlight w:val="none"/>
              </w:rPr>
              <w:t>C</w:t>
            </w:r>
            <w:r>
              <w:rPr>
                <w:rFonts w:ascii="宋体" w:hAnsi="宋体"/>
                <w:color w:val="auto"/>
                <w:highlight w:val="none"/>
              </w:rPr>
              <w:t>3</w:t>
            </w:r>
            <w:r>
              <w:rPr>
                <w:rFonts w:hint="eastAsia" w:ascii="宋体" w:hAnsi="宋体"/>
                <w:color w:val="auto"/>
                <w:highlight w:val="none"/>
              </w:rPr>
              <w:t>/A*B=</w:t>
            </w:r>
          </w:p>
        </w:tc>
        <w:tc>
          <w:tcPr>
            <w:tcW w:w="1479" w:type="dxa"/>
            <w:vAlign w:val="center"/>
          </w:tcPr>
          <w:p>
            <w:pPr>
              <w:wordWrap w:val="0"/>
              <w:topLinePunct/>
              <w:jc w:val="center"/>
              <w:rPr>
                <w:rFonts w:ascii="宋体" w:hAnsi="宋体"/>
                <w:color w:val="auto"/>
                <w:highlight w:val="none"/>
              </w:rPr>
            </w:pPr>
          </w:p>
        </w:tc>
        <w:tc>
          <w:tcPr>
            <w:tcW w:w="1440" w:type="dxa"/>
            <w:vAlign w:val="center"/>
          </w:tcPr>
          <w:p>
            <w:pPr>
              <w:wordWrap w:val="0"/>
              <w:topLinePunct/>
              <w:jc w:val="center"/>
              <w:rPr>
                <w:rFonts w:ascii="宋体" w:hAnsi="宋体"/>
                <w:color w:val="auto"/>
                <w:highlight w:val="none"/>
              </w:rPr>
            </w:pPr>
            <w:r>
              <w:rPr>
                <w:rFonts w:hint="eastAsia" w:ascii="宋体" w:hAnsi="宋体"/>
                <w:color w:val="auto"/>
                <w:highlight w:val="none"/>
              </w:rPr>
              <w:t>D3=</w:t>
            </w:r>
          </w:p>
        </w:tc>
        <w:tc>
          <w:tcPr>
            <w:tcW w:w="1098" w:type="dxa"/>
            <w:vAlign w:val="center"/>
          </w:tcPr>
          <w:p>
            <w:pPr>
              <w:wordWrap w:val="0"/>
              <w:topLinePun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4" w:type="dxa"/>
            <w:vAlign w:val="center"/>
          </w:tcPr>
          <w:p>
            <w:pPr>
              <w:wordWrap w:val="0"/>
              <w:topLinePunct/>
              <w:jc w:val="center"/>
              <w:rPr>
                <w:rFonts w:ascii="宋体" w:hAnsi="宋体"/>
                <w:color w:val="auto"/>
                <w:highlight w:val="none"/>
              </w:rPr>
            </w:pPr>
            <w:r>
              <w:rPr>
                <w:rFonts w:hint="eastAsia" w:ascii="宋体" w:hAnsi="宋体"/>
                <w:color w:val="auto"/>
                <w:highlight w:val="none"/>
              </w:rPr>
              <w:t>4</w:t>
            </w:r>
          </w:p>
        </w:tc>
        <w:tc>
          <w:tcPr>
            <w:tcW w:w="1597" w:type="dxa"/>
            <w:vAlign w:val="center"/>
          </w:tcPr>
          <w:p>
            <w:pPr>
              <w:wordWrap w:val="0"/>
              <w:topLinePunct/>
              <w:jc w:val="center"/>
              <w:rPr>
                <w:rFonts w:ascii="宋体" w:hAnsi="宋体"/>
                <w:color w:val="auto"/>
                <w:highlight w:val="none"/>
              </w:rPr>
            </w:pPr>
            <w:r>
              <w:rPr>
                <w:rFonts w:hint="eastAsia" w:ascii="宋体" w:hAnsi="宋体"/>
                <w:color w:val="auto"/>
                <w:highlight w:val="none"/>
              </w:rPr>
              <w:t>照明工程</w:t>
            </w:r>
          </w:p>
        </w:tc>
        <w:tc>
          <w:tcPr>
            <w:tcW w:w="1125" w:type="dxa"/>
            <w:vAlign w:val="center"/>
          </w:tcPr>
          <w:p>
            <w:pPr>
              <w:wordWrap w:val="0"/>
              <w:topLinePunct/>
              <w:jc w:val="center"/>
              <w:rPr>
                <w:rFonts w:ascii="宋体" w:hAnsi="宋体"/>
                <w:color w:val="auto"/>
                <w:highlight w:val="none"/>
              </w:rPr>
            </w:pPr>
            <w:r>
              <w:rPr>
                <w:rFonts w:hint="eastAsia" w:ascii="宋体" w:hAnsi="宋体"/>
                <w:color w:val="auto"/>
                <w:highlight w:val="none"/>
              </w:rPr>
              <w:t>C4=</w:t>
            </w:r>
          </w:p>
        </w:tc>
        <w:tc>
          <w:tcPr>
            <w:tcW w:w="1545" w:type="dxa"/>
            <w:vAlign w:val="center"/>
          </w:tcPr>
          <w:p>
            <w:pPr>
              <w:wordWrap w:val="0"/>
              <w:topLinePunct/>
              <w:jc w:val="center"/>
              <w:rPr>
                <w:rFonts w:ascii="宋体" w:hAnsi="宋体"/>
                <w:color w:val="auto"/>
                <w:highlight w:val="none"/>
              </w:rPr>
            </w:pPr>
            <w:r>
              <w:rPr>
                <w:rFonts w:hint="eastAsia" w:ascii="宋体" w:hAnsi="宋体"/>
                <w:color w:val="auto"/>
                <w:highlight w:val="none"/>
              </w:rPr>
              <w:t>C</w:t>
            </w:r>
            <w:r>
              <w:rPr>
                <w:rFonts w:ascii="宋体" w:hAnsi="宋体"/>
                <w:color w:val="auto"/>
                <w:highlight w:val="none"/>
              </w:rPr>
              <w:t>4</w:t>
            </w:r>
            <w:r>
              <w:rPr>
                <w:rFonts w:hint="eastAsia" w:ascii="宋体" w:hAnsi="宋体"/>
                <w:color w:val="auto"/>
                <w:highlight w:val="none"/>
              </w:rPr>
              <w:t>/A*B=</w:t>
            </w:r>
          </w:p>
        </w:tc>
        <w:tc>
          <w:tcPr>
            <w:tcW w:w="1479" w:type="dxa"/>
            <w:vAlign w:val="center"/>
          </w:tcPr>
          <w:p>
            <w:pPr>
              <w:wordWrap w:val="0"/>
              <w:topLinePunct/>
              <w:jc w:val="center"/>
              <w:rPr>
                <w:rFonts w:ascii="宋体" w:hAnsi="宋体"/>
                <w:color w:val="auto"/>
                <w:highlight w:val="none"/>
              </w:rPr>
            </w:pPr>
          </w:p>
        </w:tc>
        <w:tc>
          <w:tcPr>
            <w:tcW w:w="1440" w:type="dxa"/>
            <w:vAlign w:val="center"/>
          </w:tcPr>
          <w:p>
            <w:pPr>
              <w:wordWrap w:val="0"/>
              <w:topLinePunct/>
              <w:jc w:val="center"/>
              <w:rPr>
                <w:rFonts w:ascii="宋体" w:hAnsi="宋体"/>
                <w:color w:val="auto"/>
                <w:highlight w:val="none"/>
              </w:rPr>
            </w:pPr>
            <w:r>
              <w:rPr>
                <w:rFonts w:hint="eastAsia" w:ascii="宋体" w:hAnsi="宋体"/>
                <w:color w:val="auto"/>
                <w:highlight w:val="none"/>
              </w:rPr>
              <w:t>D4=</w:t>
            </w:r>
          </w:p>
        </w:tc>
        <w:tc>
          <w:tcPr>
            <w:tcW w:w="1098" w:type="dxa"/>
            <w:vAlign w:val="center"/>
          </w:tcPr>
          <w:p>
            <w:pPr>
              <w:wordWrap w:val="0"/>
              <w:topLinePun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4" w:type="dxa"/>
            <w:vAlign w:val="center"/>
          </w:tcPr>
          <w:p>
            <w:pPr>
              <w:wordWrap w:val="0"/>
              <w:topLinePunct/>
              <w:jc w:val="center"/>
              <w:rPr>
                <w:rFonts w:ascii="宋体" w:hAnsi="宋体"/>
                <w:color w:val="auto"/>
                <w:highlight w:val="none"/>
              </w:rPr>
            </w:pPr>
            <w:r>
              <w:rPr>
                <w:rFonts w:hint="eastAsia" w:ascii="宋体" w:hAnsi="宋体"/>
                <w:color w:val="auto"/>
                <w:highlight w:val="none"/>
              </w:rPr>
              <w:t>5</w:t>
            </w:r>
          </w:p>
        </w:tc>
        <w:tc>
          <w:tcPr>
            <w:tcW w:w="1597" w:type="dxa"/>
            <w:vAlign w:val="center"/>
          </w:tcPr>
          <w:p>
            <w:pPr>
              <w:wordWrap w:val="0"/>
              <w:topLinePunct/>
              <w:jc w:val="center"/>
              <w:rPr>
                <w:rFonts w:ascii="宋体" w:hAnsi="宋体"/>
                <w:color w:val="auto"/>
                <w:highlight w:val="none"/>
              </w:rPr>
            </w:pPr>
            <w:r>
              <w:rPr>
                <w:rFonts w:hint="eastAsia" w:ascii="宋体" w:hAnsi="宋体"/>
                <w:color w:val="auto"/>
                <w:highlight w:val="none"/>
              </w:rPr>
              <w:t>电力管沟工程</w:t>
            </w:r>
          </w:p>
        </w:tc>
        <w:tc>
          <w:tcPr>
            <w:tcW w:w="1125" w:type="dxa"/>
            <w:vAlign w:val="center"/>
          </w:tcPr>
          <w:p>
            <w:pPr>
              <w:wordWrap w:val="0"/>
              <w:topLinePunct/>
              <w:jc w:val="center"/>
              <w:rPr>
                <w:rFonts w:ascii="宋体" w:hAnsi="宋体"/>
                <w:color w:val="auto"/>
                <w:highlight w:val="none"/>
              </w:rPr>
            </w:pPr>
            <w:r>
              <w:rPr>
                <w:rFonts w:hint="eastAsia" w:ascii="宋体" w:hAnsi="宋体"/>
                <w:color w:val="auto"/>
                <w:highlight w:val="none"/>
              </w:rPr>
              <w:t>C5=</w:t>
            </w:r>
          </w:p>
        </w:tc>
        <w:tc>
          <w:tcPr>
            <w:tcW w:w="1545" w:type="dxa"/>
            <w:vAlign w:val="center"/>
          </w:tcPr>
          <w:p>
            <w:pPr>
              <w:wordWrap w:val="0"/>
              <w:topLinePunct/>
              <w:jc w:val="center"/>
              <w:rPr>
                <w:rFonts w:ascii="宋体" w:hAnsi="宋体"/>
                <w:color w:val="auto"/>
                <w:highlight w:val="none"/>
              </w:rPr>
            </w:pPr>
            <w:r>
              <w:rPr>
                <w:rFonts w:hint="eastAsia" w:ascii="宋体" w:hAnsi="宋体"/>
                <w:color w:val="auto"/>
                <w:highlight w:val="none"/>
              </w:rPr>
              <w:t>C</w:t>
            </w:r>
            <w:r>
              <w:rPr>
                <w:rFonts w:ascii="宋体" w:hAnsi="宋体"/>
                <w:color w:val="auto"/>
                <w:highlight w:val="none"/>
              </w:rPr>
              <w:t>5</w:t>
            </w:r>
            <w:r>
              <w:rPr>
                <w:rFonts w:hint="eastAsia" w:ascii="宋体" w:hAnsi="宋体"/>
                <w:color w:val="auto"/>
                <w:highlight w:val="none"/>
              </w:rPr>
              <w:t>/A*B=</w:t>
            </w:r>
          </w:p>
        </w:tc>
        <w:tc>
          <w:tcPr>
            <w:tcW w:w="1479" w:type="dxa"/>
            <w:vAlign w:val="center"/>
          </w:tcPr>
          <w:p>
            <w:pPr>
              <w:wordWrap w:val="0"/>
              <w:topLinePunct/>
              <w:jc w:val="center"/>
              <w:rPr>
                <w:rFonts w:ascii="宋体" w:hAnsi="宋体"/>
                <w:color w:val="auto"/>
                <w:highlight w:val="none"/>
              </w:rPr>
            </w:pPr>
          </w:p>
        </w:tc>
        <w:tc>
          <w:tcPr>
            <w:tcW w:w="1440" w:type="dxa"/>
            <w:vAlign w:val="center"/>
          </w:tcPr>
          <w:p>
            <w:pPr>
              <w:wordWrap w:val="0"/>
              <w:topLinePunct/>
              <w:jc w:val="center"/>
              <w:rPr>
                <w:rFonts w:ascii="宋体" w:hAnsi="宋体"/>
                <w:color w:val="auto"/>
                <w:highlight w:val="none"/>
              </w:rPr>
            </w:pPr>
            <w:r>
              <w:rPr>
                <w:rFonts w:hint="eastAsia" w:ascii="宋体" w:hAnsi="宋体"/>
                <w:color w:val="auto"/>
                <w:highlight w:val="none"/>
              </w:rPr>
              <w:t>D5=</w:t>
            </w:r>
          </w:p>
        </w:tc>
        <w:tc>
          <w:tcPr>
            <w:tcW w:w="1098" w:type="dxa"/>
            <w:vAlign w:val="center"/>
          </w:tcPr>
          <w:p>
            <w:pPr>
              <w:wordWrap w:val="0"/>
              <w:topLinePun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4" w:type="dxa"/>
            <w:vAlign w:val="center"/>
          </w:tcPr>
          <w:p>
            <w:pPr>
              <w:wordWrap w:val="0"/>
              <w:topLinePunct/>
              <w:jc w:val="center"/>
              <w:rPr>
                <w:rFonts w:ascii="宋体" w:hAnsi="宋体"/>
                <w:color w:val="auto"/>
                <w:highlight w:val="none"/>
              </w:rPr>
            </w:pPr>
            <w:r>
              <w:rPr>
                <w:rFonts w:hint="eastAsia" w:ascii="宋体" w:hAnsi="宋体"/>
                <w:color w:val="auto"/>
                <w:highlight w:val="none"/>
              </w:rPr>
              <w:t>6</w:t>
            </w:r>
          </w:p>
        </w:tc>
        <w:tc>
          <w:tcPr>
            <w:tcW w:w="1597" w:type="dxa"/>
            <w:vAlign w:val="center"/>
          </w:tcPr>
          <w:p>
            <w:pPr>
              <w:wordWrap w:val="0"/>
              <w:topLinePunct/>
              <w:jc w:val="center"/>
              <w:rPr>
                <w:rFonts w:ascii="宋体" w:hAnsi="宋体"/>
                <w:color w:val="auto"/>
                <w:highlight w:val="none"/>
              </w:rPr>
            </w:pPr>
            <w:r>
              <w:rPr>
                <w:rFonts w:hint="eastAsia" w:ascii="宋体" w:hAnsi="宋体"/>
                <w:color w:val="auto"/>
                <w:highlight w:val="none"/>
              </w:rPr>
              <w:t>绿化工程</w:t>
            </w:r>
          </w:p>
        </w:tc>
        <w:tc>
          <w:tcPr>
            <w:tcW w:w="1125" w:type="dxa"/>
            <w:vAlign w:val="center"/>
          </w:tcPr>
          <w:p>
            <w:pPr>
              <w:wordWrap w:val="0"/>
              <w:topLinePunct/>
              <w:jc w:val="center"/>
              <w:rPr>
                <w:rFonts w:ascii="宋体" w:hAnsi="宋体"/>
                <w:color w:val="auto"/>
                <w:highlight w:val="none"/>
              </w:rPr>
            </w:pPr>
            <w:r>
              <w:rPr>
                <w:rFonts w:hint="eastAsia" w:ascii="宋体" w:hAnsi="宋体"/>
                <w:color w:val="auto"/>
                <w:highlight w:val="none"/>
              </w:rPr>
              <w:t>C6=</w:t>
            </w:r>
          </w:p>
        </w:tc>
        <w:tc>
          <w:tcPr>
            <w:tcW w:w="1545" w:type="dxa"/>
            <w:vAlign w:val="center"/>
          </w:tcPr>
          <w:p>
            <w:pPr>
              <w:wordWrap w:val="0"/>
              <w:topLinePunct/>
              <w:jc w:val="center"/>
              <w:rPr>
                <w:rFonts w:ascii="宋体" w:hAnsi="宋体"/>
                <w:color w:val="auto"/>
                <w:highlight w:val="none"/>
              </w:rPr>
            </w:pPr>
            <w:r>
              <w:rPr>
                <w:rFonts w:hint="eastAsia" w:ascii="宋体" w:hAnsi="宋体"/>
                <w:color w:val="auto"/>
                <w:highlight w:val="none"/>
              </w:rPr>
              <w:t>C</w:t>
            </w:r>
            <w:r>
              <w:rPr>
                <w:rFonts w:ascii="宋体" w:hAnsi="宋体"/>
                <w:color w:val="auto"/>
                <w:highlight w:val="none"/>
              </w:rPr>
              <w:t>6</w:t>
            </w:r>
            <w:r>
              <w:rPr>
                <w:rFonts w:hint="eastAsia" w:ascii="宋体" w:hAnsi="宋体"/>
                <w:color w:val="auto"/>
                <w:highlight w:val="none"/>
              </w:rPr>
              <w:t>/A*B=</w:t>
            </w:r>
          </w:p>
        </w:tc>
        <w:tc>
          <w:tcPr>
            <w:tcW w:w="1479" w:type="dxa"/>
            <w:vAlign w:val="center"/>
          </w:tcPr>
          <w:p>
            <w:pPr>
              <w:wordWrap w:val="0"/>
              <w:topLinePunct/>
              <w:jc w:val="center"/>
              <w:rPr>
                <w:rFonts w:ascii="宋体" w:hAnsi="宋体"/>
                <w:color w:val="auto"/>
                <w:highlight w:val="none"/>
              </w:rPr>
            </w:pPr>
          </w:p>
        </w:tc>
        <w:tc>
          <w:tcPr>
            <w:tcW w:w="1440" w:type="dxa"/>
            <w:vAlign w:val="center"/>
          </w:tcPr>
          <w:p>
            <w:pPr>
              <w:wordWrap w:val="0"/>
              <w:topLinePunct/>
              <w:jc w:val="center"/>
              <w:rPr>
                <w:rFonts w:ascii="宋体" w:hAnsi="宋体"/>
                <w:color w:val="auto"/>
                <w:highlight w:val="none"/>
              </w:rPr>
            </w:pPr>
            <w:r>
              <w:rPr>
                <w:rFonts w:hint="eastAsia" w:ascii="宋体" w:hAnsi="宋体"/>
                <w:color w:val="auto"/>
                <w:highlight w:val="none"/>
              </w:rPr>
              <w:t>D6=</w:t>
            </w:r>
          </w:p>
        </w:tc>
        <w:tc>
          <w:tcPr>
            <w:tcW w:w="1098" w:type="dxa"/>
            <w:vAlign w:val="center"/>
          </w:tcPr>
          <w:p>
            <w:pPr>
              <w:wordWrap w:val="0"/>
              <w:topLinePun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4" w:type="dxa"/>
            <w:vAlign w:val="center"/>
          </w:tcPr>
          <w:p>
            <w:pPr>
              <w:wordWrap w:val="0"/>
              <w:topLinePunct/>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7</w:t>
            </w:r>
          </w:p>
        </w:tc>
        <w:tc>
          <w:tcPr>
            <w:tcW w:w="1597" w:type="dxa"/>
            <w:vAlign w:val="center"/>
          </w:tcPr>
          <w:p>
            <w:pPr>
              <w:wordWrap w:val="0"/>
              <w:topLinePunct/>
              <w:jc w:val="center"/>
              <w:rPr>
                <w:rFonts w:hint="eastAsia" w:ascii="宋体" w:hAnsi="宋体"/>
                <w:color w:val="auto"/>
                <w:highlight w:val="none"/>
              </w:rPr>
            </w:pPr>
            <w:r>
              <w:rPr>
                <w:rFonts w:hint="eastAsia" w:ascii="宋体" w:hAnsi="宋体"/>
                <w:color w:val="auto"/>
                <w:highlight w:val="none"/>
              </w:rPr>
              <w:t>海绵城市</w:t>
            </w:r>
          </w:p>
        </w:tc>
        <w:tc>
          <w:tcPr>
            <w:tcW w:w="1125" w:type="dxa"/>
            <w:vAlign w:val="center"/>
          </w:tcPr>
          <w:p>
            <w:pPr>
              <w:wordWrap w:val="0"/>
              <w:topLinePunct/>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color w:val="auto"/>
                <w:highlight w:val="none"/>
              </w:rPr>
              <w:t>C</w:t>
            </w:r>
            <w:r>
              <w:rPr>
                <w:rFonts w:hint="eastAsia" w:ascii="宋体" w:hAnsi="宋体"/>
                <w:color w:val="auto"/>
                <w:highlight w:val="none"/>
                <w:lang w:val="en-US" w:eastAsia="zh-CN"/>
              </w:rPr>
              <w:t>7</w:t>
            </w:r>
            <w:r>
              <w:rPr>
                <w:rFonts w:hint="eastAsia" w:ascii="宋体" w:hAnsi="宋体"/>
                <w:color w:val="auto"/>
                <w:highlight w:val="none"/>
              </w:rPr>
              <w:t>=</w:t>
            </w:r>
          </w:p>
        </w:tc>
        <w:tc>
          <w:tcPr>
            <w:tcW w:w="1545" w:type="dxa"/>
            <w:vAlign w:val="center"/>
          </w:tcPr>
          <w:p>
            <w:pPr>
              <w:wordWrap w:val="0"/>
              <w:topLinePunct/>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color w:val="auto"/>
                <w:highlight w:val="none"/>
              </w:rPr>
              <w:t>C</w:t>
            </w:r>
            <w:r>
              <w:rPr>
                <w:rFonts w:hint="eastAsia" w:ascii="宋体" w:hAnsi="宋体"/>
                <w:color w:val="auto"/>
                <w:highlight w:val="none"/>
                <w:lang w:val="en-US" w:eastAsia="zh-CN"/>
              </w:rPr>
              <w:t>7</w:t>
            </w:r>
            <w:r>
              <w:rPr>
                <w:rFonts w:hint="eastAsia" w:ascii="宋体" w:hAnsi="宋体"/>
                <w:color w:val="auto"/>
                <w:highlight w:val="none"/>
              </w:rPr>
              <w:t>/A*B=</w:t>
            </w:r>
          </w:p>
        </w:tc>
        <w:tc>
          <w:tcPr>
            <w:tcW w:w="1479" w:type="dxa"/>
            <w:vAlign w:val="center"/>
          </w:tcPr>
          <w:p>
            <w:pPr>
              <w:wordWrap w:val="0"/>
              <w:topLinePunct/>
              <w:jc w:val="center"/>
              <w:rPr>
                <w:rFonts w:ascii="宋体" w:hAnsi="宋体" w:eastAsia="宋体" w:cs="Times New Roman"/>
                <w:color w:val="auto"/>
                <w:kern w:val="2"/>
                <w:sz w:val="21"/>
                <w:szCs w:val="24"/>
                <w:highlight w:val="none"/>
                <w:lang w:val="en-US" w:eastAsia="zh-CN" w:bidi="ar-SA"/>
              </w:rPr>
            </w:pPr>
          </w:p>
        </w:tc>
        <w:tc>
          <w:tcPr>
            <w:tcW w:w="1440" w:type="dxa"/>
            <w:vAlign w:val="center"/>
          </w:tcPr>
          <w:p>
            <w:pPr>
              <w:wordWrap w:val="0"/>
              <w:topLinePunct/>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color w:val="auto"/>
                <w:highlight w:val="none"/>
              </w:rPr>
              <w:t>D</w:t>
            </w:r>
            <w:r>
              <w:rPr>
                <w:rFonts w:hint="eastAsia" w:ascii="宋体" w:hAnsi="宋体"/>
                <w:color w:val="auto"/>
                <w:highlight w:val="none"/>
                <w:lang w:val="en-US" w:eastAsia="zh-CN"/>
              </w:rPr>
              <w:t>7</w:t>
            </w:r>
            <w:r>
              <w:rPr>
                <w:rFonts w:hint="eastAsia" w:ascii="宋体" w:hAnsi="宋体"/>
                <w:color w:val="auto"/>
                <w:highlight w:val="none"/>
              </w:rPr>
              <w:t>=</w:t>
            </w:r>
          </w:p>
        </w:tc>
        <w:tc>
          <w:tcPr>
            <w:tcW w:w="1098" w:type="dxa"/>
            <w:vAlign w:val="center"/>
          </w:tcPr>
          <w:p>
            <w:pPr>
              <w:wordWrap w:val="0"/>
              <w:topLinePun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54" w:type="dxa"/>
            <w:vAlign w:val="center"/>
          </w:tcPr>
          <w:p>
            <w:pPr>
              <w:wordWrap w:val="0"/>
              <w:topLinePunct/>
              <w:jc w:val="center"/>
              <w:rPr>
                <w:rFonts w:ascii="宋体" w:hAnsi="宋体"/>
                <w:color w:val="auto"/>
                <w:highlight w:val="none"/>
              </w:rPr>
            </w:pPr>
            <w:r>
              <w:rPr>
                <w:rFonts w:hint="eastAsia" w:ascii="宋体" w:hAnsi="宋体"/>
                <w:color w:val="auto"/>
                <w:highlight w:val="none"/>
              </w:rPr>
              <w:t>二</w:t>
            </w:r>
          </w:p>
        </w:tc>
        <w:tc>
          <w:tcPr>
            <w:tcW w:w="1597" w:type="dxa"/>
            <w:vAlign w:val="center"/>
          </w:tcPr>
          <w:p>
            <w:pPr>
              <w:wordWrap w:val="0"/>
              <w:topLinePunct/>
              <w:jc w:val="center"/>
              <w:rPr>
                <w:rFonts w:ascii="宋体" w:hAnsi="宋体"/>
                <w:color w:val="auto"/>
                <w:highlight w:val="none"/>
              </w:rPr>
            </w:pPr>
            <w:r>
              <w:rPr>
                <w:rFonts w:hint="eastAsia" w:ascii="宋体" w:hAnsi="宋体"/>
                <w:color w:val="auto"/>
                <w:highlight w:val="none"/>
              </w:rPr>
              <w:t>设计总收费</w:t>
            </w:r>
          </w:p>
        </w:tc>
        <w:tc>
          <w:tcPr>
            <w:tcW w:w="5589" w:type="dxa"/>
            <w:gridSpan w:val="4"/>
            <w:vAlign w:val="center"/>
          </w:tcPr>
          <w:p>
            <w:pPr>
              <w:wordWrap w:val="0"/>
              <w:topLinePunct/>
              <w:jc w:val="center"/>
              <w:rPr>
                <w:rFonts w:ascii="宋体" w:hAnsi="宋体"/>
                <w:color w:val="auto"/>
                <w:highlight w:val="none"/>
              </w:rPr>
            </w:pPr>
            <w:r>
              <w:rPr>
                <w:rFonts w:hint="eastAsia" w:ascii="宋体" w:hAnsi="宋体"/>
                <w:color w:val="auto"/>
                <w:highlight w:val="none"/>
              </w:rPr>
              <w:t>（D1+D2+…+D</w:t>
            </w:r>
            <w:r>
              <w:rPr>
                <w:rFonts w:hint="eastAsia" w:ascii="宋体" w:hAnsi="宋体"/>
                <w:color w:val="auto"/>
                <w:highlight w:val="none"/>
                <w:lang w:val="en-US" w:eastAsia="zh-CN"/>
              </w:rPr>
              <w:t>7</w:t>
            </w:r>
            <w:r>
              <w:rPr>
                <w:rFonts w:hint="eastAsia" w:ascii="宋体" w:hAnsi="宋体"/>
                <w:color w:val="auto"/>
                <w:highlight w:val="none"/>
              </w:rPr>
              <w:t>）*80%=</w:t>
            </w:r>
          </w:p>
        </w:tc>
        <w:tc>
          <w:tcPr>
            <w:tcW w:w="1098" w:type="dxa"/>
            <w:vAlign w:val="center"/>
          </w:tcPr>
          <w:p>
            <w:pPr>
              <w:wordWrap w:val="0"/>
              <w:topLinePunct/>
              <w:jc w:val="center"/>
              <w:rPr>
                <w:rFonts w:ascii="宋体" w:hAnsi="宋体"/>
                <w:color w:val="auto"/>
                <w:highlight w:val="none"/>
              </w:rPr>
            </w:pPr>
          </w:p>
        </w:tc>
      </w:tr>
    </w:tbl>
    <w:p>
      <w:pPr>
        <w:wordWrap w:val="0"/>
        <w:topLinePunct/>
        <w:ind w:firstLine="420" w:firstLineChars="200"/>
        <w:rPr>
          <w:rFonts w:ascii="宋体" w:hAnsi="宋体"/>
          <w:color w:val="auto"/>
          <w:highlight w:val="none"/>
        </w:rPr>
      </w:pPr>
      <w:r>
        <w:rPr>
          <w:rFonts w:hint="eastAsia" w:ascii="宋体" w:hAnsi="宋体"/>
          <w:color w:val="auto"/>
          <w:highlight w:val="none"/>
        </w:rPr>
        <w:t>本表格根据国家发展计划委员会、建设部2002年颁布的《勘察设计费收费标准》编制。本表格不包括岩土工程设计收费、工程勘察收费。调整系数包含专业调整系数、工程复杂程度调整系数、附加调整系数。基本设计收费＝工程设计收费基价×专业调整系数×工程复杂程度调整系数×附加调整系数。本工程专业调整系数分别定为：道路、交通工程：0.9；其他工程：1.0；复杂程度系数分别定为：绿化工程：0.85；其他工程：1.0；附加调整系数定为：1.0。</w:t>
      </w:r>
    </w:p>
    <w:p>
      <w:pPr>
        <w:wordWrap w:val="0"/>
        <w:topLinePunct/>
        <w:ind w:firstLine="411" w:firstLineChars="196"/>
        <w:rPr>
          <w:rFonts w:ascii="宋体" w:hAnsi="宋体" w:cs="宋体"/>
          <w:color w:val="auto"/>
          <w:kern w:val="0"/>
          <w:szCs w:val="21"/>
          <w:highlight w:val="none"/>
        </w:rPr>
      </w:pPr>
      <w:r>
        <w:rPr>
          <w:rFonts w:hint="eastAsia" w:ascii="宋体" w:hAnsi="宋体"/>
          <w:color w:val="auto"/>
          <w:szCs w:val="21"/>
          <w:highlight w:val="none"/>
        </w:rPr>
        <w:t>本工程设计费计取方式：</w:t>
      </w:r>
      <w:r>
        <w:rPr>
          <w:rFonts w:hint="eastAsia" w:ascii="宋体" w:hAnsi="宋体" w:cs="宋体"/>
          <w:color w:val="auto"/>
          <w:kern w:val="0"/>
          <w:szCs w:val="21"/>
          <w:highlight w:val="none"/>
        </w:rPr>
        <w:t>先以整个建设项目的建筑安装工程费（A）为计费基数,三个系数均按照1.0，计算一个总的设计费（B）；再根据各单项工程（或专业）对应的概算批复建筑安装工程费（</w:t>
      </w:r>
      <w:r>
        <w:rPr>
          <w:rFonts w:ascii="宋体" w:hAnsi="宋体" w:cs="宋体"/>
          <w:color w:val="auto"/>
          <w:kern w:val="0"/>
          <w:szCs w:val="21"/>
          <w:highlight w:val="none"/>
        </w:rPr>
        <w:t>C</w:t>
      </w:r>
      <w:r>
        <w:rPr>
          <w:rFonts w:hint="eastAsia" w:ascii="宋体" w:hAnsi="宋体" w:cs="宋体"/>
          <w:color w:val="auto"/>
          <w:kern w:val="0"/>
          <w:szCs w:val="21"/>
          <w:highlight w:val="none"/>
        </w:rPr>
        <w:t>i）及对应需要调整的系数，计算相应单项工程（或专业）的设计费：</w:t>
      </w:r>
      <w:r>
        <w:rPr>
          <w:rFonts w:ascii="宋体" w:hAnsi="宋体" w:cs="宋体"/>
          <w:color w:val="auto"/>
          <w:kern w:val="0"/>
          <w:szCs w:val="21"/>
          <w:highlight w:val="none"/>
        </w:rPr>
        <w:t>D</w:t>
      </w:r>
      <w:r>
        <w:rPr>
          <w:rFonts w:hint="eastAsia" w:ascii="宋体" w:hAnsi="宋体" w:cs="宋体"/>
          <w:color w:val="auto"/>
          <w:kern w:val="0"/>
          <w:szCs w:val="21"/>
          <w:highlight w:val="none"/>
        </w:rPr>
        <w:t>i=</w:t>
      </w:r>
      <w:r>
        <w:rPr>
          <w:rFonts w:ascii="宋体" w:hAnsi="宋体" w:cs="宋体"/>
          <w:color w:val="auto"/>
          <w:kern w:val="0"/>
          <w:szCs w:val="21"/>
          <w:highlight w:val="none"/>
        </w:rPr>
        <w:t xml:space="preserve"> C</w:t>
      </w:r>
      <w:r>
        <w:rPr>
          <w:rFonts w:hint="eastAsia" w:ascii="宋体" w:hAnsi="宋体" w:cs="宋体"/>
          <w:color w:val="auto"/>
          <w:kern w:val="0"/>
          <w:szCs w:val="21"/>
          <w:highlight w:val="none"/>
        </w:rPr>
        <w:t>i/A×B×相应调整的系数，最后汇总各单项工程（或专业）的设计费即为建设项目最终应计取的设计费E=∑Di ×(1-下浮系数)。</w:t>
      </w:r>
    </w:p>
    <w:p>
      <w:pPr>
        <w:ind w:firstLine="315" w:firstLineChars="150"/>
        <w:jc w:val="left"/>
        <w:rPr>
          <w:rFonts w:ascii="宋体" w:hAnsi="宋体"/>
          <w:color w:val="auto"/>
          <w:sz w:val="22"/>
          <w:highlight w:val="none"/>
        </w:rPr>
      </w:pPr>
      <w:r>
        <w:rPr>
          <w:rFonts w:ascii="宋体" w:hAnsi="宋体"/>
          <w:color w:val="auto"/>
          <w:szCs w:val="21"/>
          <w:highlight w:val="none"/>
          <w:u w:val="single"/>
        </w:rPr>
        <w:t>注：投标人需严格按分项目名称报价，不得增减项目，</w:t>
      </w:r>
      <w:r>
        <w:rPr>
          <w:rFonts w:hint="eastAsia" w:ascii="宋体" w:hAnsi="宋体"/>
          <w:color w:val="auto"/>
          <w:szCs w:val="21"/>
          <w:highlight w:val="none"/>
          <w:u w:val="single"/>
        </w:rPr>
        <w:t>建筑安装工程费（A）不得超出12651.60万元。</w:t>
      </w:r>
      <w:r>
        <w:rPr>
          <w:rFonts w:ascii="宋体" w:hAnsi="宋体"/>
          <w:color w:val="auto"/>
          <w:szCs w:val="21"/>
          <w:highlight w:val="none"/>
          <w:u w:val="single"/>
        </w:rPr>
        <w:t>否则属于投标报价不符合招标文件规定。如投标人认为分项目名称中的某一项不需计费，投标报价应为“0”。</w:t>
      </w:r>
    </w:p>
    <w:p>
      <w:pPr>
        <w:rPr>
          <w:rFonts w:ascii="宋体" w:hAnsi="宋体"/>
          <w:b/>
          <w:bCs/>
          <w:color w:val="auto"/>
          <w:sz w:val="24"/>
          <w:highlight w:val="none"/>
        </w:rPr>
      </w:pPr>
    </w:p>
    <w:p>
      <w:pPr>
        <w:wordWrap w:val="0"/>
        <w:topLinePunct/>
        <w:rPr>
          <w:rFonts w:ascii="宋体" w:hAnsi="宋体"/>
          <w:b/>
          <w:bCs/>
          <w:color w:val="auto"/>
          <w:sz w:val="24"/>
          <w:highlight w:val="none"/>
        </w:rPr>
      </w:pPr>
    </w:p>
    <w:p>
      <w:pPr>
        <w:wordWrap w:val="0"/>
        <w:topLinePunct/>
        <w:rPr>
          <w:rFonts w:ascii="宋体" w:hAnsi="宋体"/>
          <w:b/>
          <w:bCs/>
          <w:color w:val="auto"/>
          <w:sz w:val="24"/>
          <w:highlight w:val="none"/>
        </w:rPr>
      </w:pPr>
    </w:p>
    <w:p>
      <w:pPr>
        <w:pStyle w:val="4"/>
        <w:rPr>
          <w:color w:val="auto"/>
          <w:highlight w:val="none"/>
        </w:rPr>
      </w:pPr>
      <w:r>
        <w:rPr>
          <w:bCs/>
          <w:color w:val="auto"/>
          <w:highlight w:val="none"/>
        </w:rPr>
        <w:br w:type="page"/>
      </w:r>
      <w:bookmarkStart w:id="30" w:name="_Toc99463988"/>
      <w:bookmarkStart w:id="31" w:name="_Toc31402"/>
      <w:bookmarkStart w:id="32" w:name="_Toc4065"/>
      <w:r>
        <w:rPr>
          <w:rFonts w:hint="eastAsia"/>
          <w:color w:val="auto"/>
          <w:highlight w:val="none"/>
        </w:rPr>
        <w:t>附录3-1：勘探费报价及计算依据表</w:t>
      </w:r>
      <w:bookmarkEnd w:id="30"/>
      <w:bookmarkEnd w:id="31"/>
      <w:bookmarkEnd w:id="32"/>
    </w:p>
    <w:p>
      <w:pPr>
        <w:wordWrap w:val="0"/>
        <w:topLinePunct/>
        <w:ind w:left="178" w:leftChars="85"/>
        <w:jc w:val="center"/>
        <w:rPr>
          <w:rFonts w:ascii="宋体" w:hAnsi="宋体"/>
          <w:b/>
          <w:bCs/>
          <w:color w:val="auto"/>
          <w:sz w:val="32"/>
          <w:highlight w:val="none"/>
          <w:u w:val="wave"/>
        </w:rPr>
      </w:pPr>
      <w:r>
        <w:rPr>
          <w:rFonts w:hint="eastAsia" w:ascii="宋体" w:hAnsi="宋体"/>
          <w:b/>
          <w:color w:val="auto"/>
          <w:sz w:val="32"/>
          <w:highlight w:val="none"/>
        </w:rPr>
        <w:t>勘探费报价及计算依据表</w:t>
      </w:r>
    </w:p>
    <w:tbl>
      <w:tblPr>
        <w:tblStyle w:val="3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2520"/>
        <w:gridCol w:w="19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hint="eastAsia" w:ascii="宋体" w:hAnsi="宋体"/>
                <w:color w:val="auto"/>
                <w:highlight w:val="none"/>
              </w:rPr>
              <w:t>序号</w:t>
            </w:r>
          </w:p>
        </w:tc>
        <w:tc>
          <w:tcPr>
            <w:tcW w:w="3780" w:type="dxa"/>
            <w:gridSpan w:val="2"/>
            <w:vAlign w:val="center"/>
          </w:tcPr>
          <w:p>
            <w:pPr>
              <w:jc w:val="center"/>
              <w:rPr>
                <w:rFonts w:ascii="宋体" w:hAnsi="宋体"/>
                <w:color w:val="auto"/>
                <w:highlight w:val="none"/>
              </w:rPr>
            </w:pPr>
            <w:r>
              <w:rPr>
                <w:rFonts w:hint="eastAsia" w:ascii="宋体" w:hAnsi="宋体"/>
                <w:color w:val="auto"/>
                <w:highlight w:val="none"/>
              </w:rPr>
              <w:t>勘探费</w:t>
            </w:r>
          </w:p>
        </w:tc>
        <w:tc>
          <w:tcPr>
            <w:tcW w:w="1980" w:type="dxa"/>
            <w:vAlign w:val="center"/>
          </w:tcPr>
          <w:p>
            <w:pPr>
              <w:jc w:val="center"/>
              <w:rPr>
                <w:rFonts w:ascii="宋体" w:hAnsi="宋体"/>
                <w:color w:val="auto"/>
                <w:highlight w:val="none"/>
              </w:rPr>
            </w:pPr>
            <w:r>
              <w:rPr>
                <w:rFonts w:hint="eastAsia" w:ascii="宋体" w:hAnsi="宋体"/>
                <w:color w:val="auto"/>
                <w:highlight w:val="none"/>
              </w:rPr>
              <w:t>投标值</w:t>
            </w:r>
          </w:p>
        </w:tc>
        <w:tc>
          <w:tcPr>
            <w:tcW w:w="2520" w:type="dxa"/>
            <w:vAlign w:val="center"/>
          </w:tcPr>
          <w:p>
            <w:pPr>
              <w:jc w:val="center"/>
              <w:rPr>
                <w:rFonts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ascii="宋体" w:hAnsi="宋体"/>
                <w:color w:val="auto"/>
                <w:highlight w:val="none"/>
              </w:rPr>
              <w:t>1</w:t>
            </w:r>
          </w:p>
        </w:tc>
        <w:tc>
          <w:tcPr>
            <w:tcW w:w="1260" w:type="dxa"/>
            <w:vMerge w:val="restart"/>
            <w:vAlign w:val="center"/>
          </w:tcPr>
          <w:p>
            <w:pPr>
              <w:jc w:val="center"/>
              <w:rPr>
                <w:rFonts w:ascii="宋体" w:hAnsi="宋体"/>
                <w:color w:val="auto"/>
                <w:highlight w:val="none"/>
              </w:rPr>
            </w:pPr>
            <w:r>
              <w:rPr>
                <w:rFonts w:hint="eastAsia" w:ascii="宋体" w:hAnsi="宋体"/>
                <w:color w:val="auto"/>
                <w:highlight w:val="none"/>
              </w:rPr>
              <w:t>一般场地道路工程、房建工程</w:t>
            </w:r>
          </w:p>
        </w:tc>
        <w:tc>
          <w:tcPr>
            <w:tcW w:w="2520" w:type="dxa"/>
            <w:vAlign w:val="center"/>
          </w:tcPr>
          <w:p>
            <w:pPr>
              <w:jc w:val="center"/>
              <w:rPr>
                <w:rFonts w:ascii="宋体" w:hAnsi="宋体"/>
                <w:color w:val="auto"/>
                <w:highlight w:val="none"/>
              </w:rPr>
            </w:pPr>
            <w:r>
              <w:rPr>
                <w:rFonts w:hint="eastAsia" w:ascii="宋体" w:hAnsi="宋体"/>
                <w:color w:val="auto"/>
                <w:highlight w:val="none"/>
              </w:rPr>
              <w:t>每米综合包干单价（元）</w:t>
            </w:r>
          </w:p>
        </w:tc>
        <w:tc>
          <w:tcPr>
            <w:tcW w:w="1980" w:type="dxa"/>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ascii="宋体" w:hAnsi="宋体"/>
                <w:color w:val="auto"/>
                <w:highlight w:val="none"/>
              </w:rPr>
              <w:t>2</w:t>
            </w:r>
          </w:p>
        </w:tc>
        <w:tc>
          <w:tcPr>
            <w:tcW w:w="1260" w:type="dxa"/>
            <w:vMerge w:val="continue"/>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r>
              <w:rPr>
                <w:rFonts w:hint="eastAsia" w:ascii="宋体" w:hAnsi="宋体"/>
                <w:color w:val="auto"/>
                <w:highlight w:val="none"/>
              </w:rPr>
              <w:t>暂定工程量（米）</w:t>
            </w:r>
          </w:p>
        </w:tc>
        <w:tc>
          <w:tcPr>
            <w:tcW w:w="1980" w:type="dxa"/>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ascii="宋体" w:hAnsi="宋体"/>
                <w:color w:val="auto"/>
                <w:highlight w:val="none"/>
              </w:rPr>
              <w:t>3</w:t>
            </w:r>
          </w:p>
        </w:tc>
        <w:tc>
          <w:tcPr>
            <w:tcW w:w="1260" w:type="dxa"/>
            <w:vMerge w:val="continue"/>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r>
              <w:rPr>
                <w:rFonts w:hint="eastAsia" w:ascii="宋体" w:hAnsi="宋体"/>
                <w:color w:val="auto"/>
                <w:highlight w:val="none"/>
              </w:rPr>
              <w:t>暂定勘探费（元）</w:t>
            </w:r>
          </w:p>
        </w:tc>
        <w:tc>
          <w:tcPr>
            <w:tcW w:w="1980" w:type="dxa"/>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r>
              <w:rPr>
                <w:rFonts w:ascii="宋体" w:hAnsi="宋体"/>
                <w:color w:val="auto"/>
                <w:highlight w:val="none"/>
              </w:rPr>
              <w:t>3=1</w:t>
            </w:r>
            <w:r>
              <w:rPr>
                <w:rFonts w:hint="eastAsia" w:ascii="宋体" w:hAnsi="宋体"/>
                <w:color w:val="auto"/>
                <w:highlight w:val="none"/>
              </w:rPr>
              <w:t>×</w:t>
            </w:r>
            <w:r>
              <w:rPr>
                <w:rFonts w:ascii="宋体" w:hAnsi="宋体"/>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ascii="宋体" w:hAnsi="宋体"/>
                <w:color w:val="auto"/>
                <w:highlight w:val="none"/>
              </w:rPr>
              <w:t>4</w:t>
            </w:r>
          </w:p>
        </w:tc>
        <w:tc>
          <w:tcPr>
            <w:tcW w:w="1260" w:type="dxa"/>
            <w:vMerge w:val="restart"/>
            <w:vAlign w:val="center"/>
          </w:tcPr>
          <w:p>
            <w:pPr>
              <w:jc w:val="center"/>
              <w:rPr>
                <w:rFonts w:ascii="宋体" w:hAnsi="宋体"/>
                <w:color w:val="auto"/>
                <w:highlight w:val="none"/>
              </w:rPr>
            </w:pPr>
            <w:r>
              <w:rPr>
                <w:rFonts w:hint="eastAsia" w:ascii="宋体" w:hAnsi="宋体"/>
                <w:color w:val="auto"/>
                <w:highlight w:val="none"/>
              </w:rPr>
              <w:t>山上道路工程、房建工程</w:t>
            </w:r>
          </w:p>
        </w:tc>
        <w:tc>
          <w:tcPr>
            <w:tcW w:w="2520" w:type="dxa"/>
            <w:vAlign w:val="center"/>
          </w:tcPr>
          <w:p>
            <w:pPr>
              <w:jc w:val="center"/>
              <w:rPr>
                <w:rFonts w:ascii="宋体" w:hAnsi="宋体"/>
                <w:color w:val="auto"/>
                <w:highlight w:val="none"/>
              </w:rPr>
            </w:pPr>
            <w:r>
              <w:rPr>
                <w:rFonts w:hint="eastAsia" w:ascii="宋体" w:hAnsi="宋体"/>
                <w:color w:val="auto"/>
                <w:highlight w:val="none"/>
              </w:rPr>
              <w:t>每米综合包干单价（元）</w:t>
            </w:r>
          </w:p>
        </w:tc>
        <w:tc>
          <w:tcPr>
            <w:tcW w:w="1980" w:type="dxa"/>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ascii="宋体" w:hAnsi="宋体"/>
                <w:color w:val="auto"/>
                <w:highlight w:val="none"/>
              </w:rPr>
              <w:t>5</w:t>
            </w:r>
          </w:p>
        </w:tc>
        <w:tc>
          <w:tcPr>
            <w:tcW w:w="1260" w:type="dxa"/>
            <w:vMerge w:val="continue"/>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r>
              <w:rPr>
                <w:rFonts w:hint="eastAsia" w:ascii="宋体" w:hAnsi="宋体"/>
                <w:color w:val="auto"/>
                <w:highlight w:val="none"/>
              </w:rPr>
              <w:t>暂定工程量（米）</w:t>
            </w:r>
          </w:p>
        </w:tc>
        <w:tc>
          <w:tcPr>
            <w:tcW w:w="1980" w:type="dxa"/>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ascii="宋体" w:hAnsi="宋体"/>
                <w:color w:val="auto"/>
                <w:highlight w:val="none"/>
              </w:rPr>
              <w:t>6</w:t>
            </w:r>
          </w:p>
        </w:tc>
        <w:tc>
          <w:tcPr>
            <w:tcW w:w="1260" w:type="dxa"/>
            <w:vMerge w:val="continue"/>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r>
              <w:rPr>
                <w:rFonts w:hint="eastAsia" w:ascii="宋体" w:hAnsi="宋体"/>
                <w:color w:val="auto"/>
                <w:highlight w:val="none"/>
              </w:rPr>
              <w:t>暂定勘探费（元）</w:t>
            </w:r>
          </w:p>
        </w:tc>
        <w:tc>
          <w:tcPr>
            <w:tcW w:w="1980" w:type="dxa"/>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r>
              <w:rPr>
                <w:rFonts w:ascii="宋体" w:hAnsi="宋体"/>
                <w:color w:val="auto"/>
                <w:highlight w:val="none"/>
              </w:rPr>
              <w:t>6=4</w:t>
            </w:r>
            <w:r>
              <w:rPr>
                <w:rFonts w:hint="eastAsia" w:ascii="宋体" w:hAnsi="宋体"/>
                <w:color w:val="auto"/>
                <w:highlight w:val="none"/>
              </w:rPr>
              <w:t>×</w:t>
            </w:r>
            <w:r>
              <w:rPr>
                <w:rFonts w:ascii="宋体" w:hAnsi="宋体"/>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ascii="宋体" w:hAnsi="宋体"/>
                <w:color w:val="auto"/>
                <w:highlight w:val="none"/>
              </w:rPr>
              <w:t>7</w:t>
            </w:r>
          </w:p>
        </w:tc>
        <w:tc>
          <w:tcPr>
            <w:tcW w:w="1260" w:type="dxa"/>
            <w:vMerge w:val="restart"/>
            <w:vAlign w:val="center"/>
          </w:tcPr>
          <w:p>
            <w:pPr>
              <w:jc w:val="center"/>
              <w:rPr>
                <w:rFonts w:ascii="宋体" w:hAnsi="宋体"/>
                <w:color w:val="auto"/>
                <w:highlight w:val="none"/>
              </w:rPr>
            </w:pPr>
            <w:r>
              <w:rPr>
                <w:rFonts w:hint="eastAsia" w:ascii="宋体" w:hAnsi="宋体"/>
                <w:color w:val="auto"/>
                <w:highlight w:val="none"/>
              </w:rPr>
              <w:t>水上道路工程</w:t>
            </w:r>
          </w:p>
        </w:tc>
        <w:tc>
          <w:tcPr>
            <w:tcW w:w="2520" w:type="dxa"/>
            <w:vAlign w:val="center"/>
          </w:tcPr>
          <w:p>
            <w:pPr>
              <w:jc w:val="center"/>
              <w:rPr>
                <w:rFonts w:ascii="宋体" w:hAnsi="宋体"/>
                <w:color w:val="auto"/>
                <w:highlight w:val="none"/>
              </w:rPr>
            </w:pPr>
            <w:r>
              <w:rPr>
                <w:rFonts w:hint="eastAsia" w:ascii="宋体" w:hAnsi="宋体"/>
                <w:color w:val="auto"/>
                <w:highlight w:val="none"/>
              </w:rPr>
              <w:t>每米综合包干单价（元）</w:t>
            </w:r>
          </w:p>
        </w:tc>
        <w:tc>
          <w:tcPr>
            <w:tcW w:w="1980" w:type="dxa"/>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ascii="宋体" w:hAnsi="宋体"/>
                <w:color w:val="auto"/>
                <w:highlight w:val="none"/>
              </w:rPr>
              <w:t>8</w:t>
            </w:r>
          </w:p>
        </w:tc>
        <w:tc>
          <w:tcPr>
            <w:tcW w:w="1260" w:type="dxa"/>
            <w:vMerge w:val="continue"/>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r>
              <w:rPr>
                <w:rFonts w:hint="eastAsia" w:ascii="宋体" w:hAnsi="宋体"/>
                <w:color w:val="auto"/>
                <w:highlight w:val="none"/>
              </w:rPr>
              <w:t>暂定工程量（米）</w:t>
            </w:r>
          </w:p>
        </w:tc>
        <w:tc>
          <w:tcPr>
            <w:tcW w:w="1980" w:type="dxa"/>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ascii="宋体" w:hAnsi="宋体"/>
                <w:color w:val="auto"/>
                <w:highlight w:val="none"/>
              </w:rPr>
              <w:t>9</w:t>
            </w:r>
          </w:p>
        </w:tc>
        <w:tc>
          <w:tcPr>
            <w:tcW w:w="1260" w:type="dxa"/>
            <w:vMerge w:val="continue"/>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r>
              <w:rPr>
                <w:rFonts w:hint="eastAsia" w:ascii="宋体" w:hAnsi="宋体"/>
                <w:color w:val="auto"/>
                <w:highlight w:val="none"/>
              </w:rPr>
              <w:t>暂定勘探费（元）</w:t>
            </w:r>
          </w:p>
        </w:tc>
        <w:tc>
          <w:tcPr>
            <w:tcW w:w="1980" w:type="dxa"/>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r>
              <w:rPr>
                <w:rFonts w:ascii="宋体" w:hAnsi="宋体"/>
                <w:color w:val="auto"/>
                <w:highlight w:val="none"/>
              </w:rPr>
              <w:t>9=7</w:t>
            </w:r>
            <w:r>
              <w:rPr>
                <w:rFonts w:hint="eastAsia" w:ascii="宋体" w:hAnsi="宋体"/>
                <w:color w:val="auto"/>
                <w:highlight w:val="none"/>
              </w:rPr>
              <w:t>×</w:t>
            </w:r>
            <w:r>
              <w:rPr>
                <w:rFonts w:ascii="宋体" w:hAnsi="宋体"/>
                <w:color w:val="auto"/>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ascii="宋体" w:hAnsi="宋体"/>
                <w:color w:val="auto"/>
                <w:highlight w:val="none"/>
              </w:rPr>
              <w:t>10</w:t>
            </w:r>
          </w:p>
        </w:tc>
        <w:tc>
          <w:tcPr>
            <w:tcW w:w="1260" w:type="dxa"/>
            <w:vMerge w:val="restart"/>
            <w:vAlign w:val="center"/>
          </w:tcPr>
          <w:p>
            <w:pPr>
              <w:jc w:val="center"/>
              <w:rPr>
                <w:rFonts w:ascii="宋体" w:hAnsi="宋体"/>
                <w:color w:val="auto"/>
                <w:highlight w:val="none"/>
              </w:rPr>
            </w:pPr>
            <w:r>
              <w:rPr>
                <w:rFonts w:hint="eastAsia" w:ascii="宋体" w:hAnsi="宋体"/>
                <w:color w:val="auto"/>
                <w:highlight w:val="none"/>
              </w:rPr>
              <w:t>一般场地桥梁工程</w:t>
            </w:r>
          </w:p>
        </w:tc>
        <w:tc>
          <w:tcPr>
            <w:tcW w:w="2520" w:type="dxa"/>
            <w:vAlign w:val="center"/>
          </w:tcPr>
          <w:p>
            <w:pPr>
              <w:jc w:val="center"/>
              <w:rPr>
                <w:rFonts w:ascii="宋体" w:hAnsi="宋体"/>
                <w:color w:val="auto"/>
                <w:highlight w:val="none"/>
              </w:rPr>
            </w:pPr>
            <w:r>
              <w:rPr>
                <w:rFonts w:hint="eastAsia" w:ascii="宋体" w:hAnsi="宋体"/>
                <w:color w:val="auto"/>
                <w:highlight w:val="none"/>
              </w:rPr>
              <w:t>每米综合包干单价（元）</w:t>
            </w:r>
          </w:p>
        </w:tc>
        <w:tc>
          <w:tcPr>
            <w:tcW w:w="1980" w:type="dxa"/>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ascii="宋体" w:hAnsi="宋体"/>
                <w:color w:val="auto"/>
                <w:highlight w:val="none"/>
              </w:rPr>
              <w:t>11</w:t>
            </w:r>
          </w:p>
        </w:tc>
        <w:tc>
          <w:tcPr>
            <w:tcW w:w="1260" w:type="dxa"/>
            <w:vMerge w:val="continue"/>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r>
              <w:rPr>
                <w:rFonts w:hint="eastAsia" w:ascii="宋体" w:hAnsi="宋体"/>
                <w:color w:val="auto"/>
                <w:highlight w:val="none"/>
              </w:rPr>
              <w:t>暂定工程量（米）</w:t>
            </w:r>
          </w:p>
        </w:tc>
        <w:tc>
          <w:tcPr>
            <w:tcW w:w="1980" w:type="dxa"/>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ascii="宋体" w:hAnsi="宋体"/>
                <w:color w:val="auto"/>
                <w:highlight w:val="none"/>
              </w:rPr>
              <w:t>12</w:t>
            </w:r>
          </w:p>
        </w:tc>
        <w:tc>
          <w:tcPr>
            <w:tcW w:w="1260" w:type="dxa"/>
            <w:vMerge w:val="continue"/>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r>
              <w:rPr>
                <w:rFonts w:hint="eastAsia" w:ascii="宋体" w:hAnsi="宋体"/>
                <w:color w:val="auto"/>
                <w:highlight w:val="none"/>
              </w:rPr>
              <w:t>暂定勘探费（元）</w:t>
            </w:r>
          </w:p>
        </w:tc>
        <w:tc>
          <w:tcPr>
            <w:tcW w:w="1980" w:type="dxa"/>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r>
              <w:rPr>
                <w:rFonts w:ascii="宋体" w:hAnsi="宋体"/>
                <w:color w:val="auto"/>
                <w:highlight w:val="none"/>
              </w:rPr>
              <w:t>12=10</w:t>
            </w:r>
            <w:r>
              <w:rPr>
                <w:rFonts w:hint="eastAsia" w:ascii="宋体" w:hAnsi="宋体"/>
                <w:color w:val="auto"/>
                <w:highlight w:val="none"/>
              </w:rPr>
              <w:t>×</w:t>
            </w:r>
            <w:r>
              <w:rPr>
                <w:rFonts w:ascii="宋体" w:hAnsi="宋体"/>
                <w:color w:val="auto"/>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ascii="宋体" w:hAnsi="宋体"/>
                <w:color w:val="auto"/>
                <w:highlight w:val="none"/>
              </w:rPr>
              <w:t>13</w:t>
            </w:r>
          </w:p>
        </w:tc>
        <w:tc>
          <w:tcPr>
            <w:tcW w:w="1260" w:type="dxa"/>
            <w:vMerge w:val="restart"/>
            <w:vAlign w:val="center"/>
          </w:tcPr>
          <w:p>
            <w:pPr>
              <w:jc w:val="center"/>
              <w:rPr>
                <w:rFonts w:ascii="宋体" w:hAnsi="宋体"/>
                <w:color w:val="auto"/>
                <w:highlight w:val="none"/>
              </w:rPr>
            </w:pPr>
            <w:r>
              <w:rPr>
                <w:rFonts w:hint="eastAsia" w:ascii="宋体" w:hAnsi="宋体"/>
                <w:color w:val="auto"/>
                <w:highlight w:val="none"/>
              </w:rPr>
              <w:t>山上水上桥梁工程</w:t>
            </w:r>
          </w:p>
        </w:tc>
        <w:tc>
          <w:tcPr>
            <w:tcW w:w="2520" w:type="dxa"/>
            <w:vAlign w:val="center"/>
          </w:tcPr>
          <w:p>
            <w:pPr>
              <w:jc w:val="center"/>
              <w:rPr>
                <w:rFonts w:ascii="宋体" w:hAnsi="宋体"/>
                <w:color w:val="auto"/>
                <w:highlight w:val="none"/>
              </w:rPr>
            </w:pPr>
            <w:r>
              <w:rPr>
                <w:rFonts w:hint="eastAsia" w:ascii="宋体" w:hAnsi="宋体"/>
                <w:color w:val="auto"/>
                <w:highlight w:val="none"/>
              </w:rPr>
              <w:t>每米综合包干单价（元）</w:t>
            </w:r>
          </w:p>
        </w:tc>
        <w:tc>
          <w:tcPr>
            <w:tcW w:w="1980" w:type="dxa"/>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ascii="宋体" w:hAnsi="宋体"/>
                <w:color w:val="auto"/>
                <w:highlight w:val="none"/>
              </w:rPr>
              <w:t>14</w:t>
            </w:r>
          </w:p>
        </w:tc>
        <w:tc>
          <w:tcPr>
            <w:tcW w:w="1260" w:type="dxa"/>
            <w:vMerge w:val="continue"/>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r>
              <w:rPr>
                <w:rFonts w:hint="eastAsia" w:ascii="宋体" w:hAnsi="宋体"/>
                <w:color w:val="auto"/>
                <w:highlight w:val="none"/>
              </w:rPr>
              <w:t>暂定工程量（米）</w:t>
            </w:r>
          </w:p>
        </w:tc>
        <w:tc>
          <w:tcPr>
            <w:tcW w:w="1980" w:type="dxa"/>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ascii="宋体" w:hAnsi="宋体"/>
                <w:color w:val="auto"/>
                <w:highlight w:val="none"/>
              </w:rPr>
              <w:t>15</w:t>
            </w:r>
          </w:p>
        </w:tc>
        <w:tc>
          <w:tcPr>
            <w:tcW w:w="1260" w:type="dxa"/>
            <w:vMerge w:val="continue"/>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r>
              <w:rPr>
                <w:rFonts w:hint="eastAsia" w:ascii="宋体" w:hAnsi="宋体"/>
                <w:color w:val="auto"/>
                <w:highlight w:val="none"/>
              </w:rPr>
              <w:t>暂定勘探费（元）</w:t>
            </w:r>
          </w:p>
        </w:tc>
        <w:tc>
          <w:tcPr>
            <w:tcW w:w="1980" w:type="dxa"/>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r>
              <w:rPr>
                <w:rFonts w:ascii="宋体" w:hAnsi="宋体"/>
                <w:color w:val="auto"/>
                <w:highlight w:val="none"/>
              </w:rPr>
              <w:t>15=13</w:t>
            </w:r>
            <w:r>
              <w:rPr>
                <w:rFonts w:hint="eastAsia" w:ascii="宋体" w:hAnsi="宋体"/>
                <w:color w:val="auto"/>
                <w:highlight w:val="none"/>
              </w:rPr>
              <w:t>×</w:t>
            </w:r>
            <w:r>
              <w:rPr>
                <w:rFonts w:ascii="宋体" w:hAnsi="宋体"/>
                <w:color w:val="auto"/>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ascii="宋体" w:hAnsi="宋体"/>
                <w:color w:val="auto"/>
                <w:highlight w:val="none"/>
              </w:rPr>
              <w:t>16</w:t>
            </w:r>
          </w:p>
        </w:tc>
        <w:tc>
          <w:tcPr>
            <w:tcW w:w="1260" w:type="dxa"/>
            <w:vMerge w:val="restart"/>
            <w:vAlign w:val="center"/>
          </w:tcPr>
          <w:p>
            <w:pPr>
              <w:jc w:val="center"/>
              <w:rPr>
                <w:rFonts w:ascii="宋体" w:hAnsi="宋体"/>
                <w:color w:val="auto"/>
                <w:highlight w:val="none"/>
              </w:rPr>
            </w:pPr>
            <w:r>
              <w:rPr>
                <w:rFonts w:hint="eastAsia" w:ascii="宋体" w:hAnsi="宋体"/>
                <w:color w:val="auto"/>
                <w:highlight w:val="none"/>
              </w:rPr>
              <w:t>跨江、河</w:t>
            </w:r>
          </w:p>
          <w:p>
            <w:pPr>
              <w:jc w:val="center"/>
              <w:rPr>
                <w:rFonts w:ascii="宋体" w:hAnsi="宋体"/>
                <w:color w:val="auto"/>
                <w:highlight w:val="none"/>
              </w:rPr>
            </w:pPr>
            <w:r>
              <w:rPr>
                <w:rFonts w:hint="eastAsia" w:ascii="宋体" w:hAnsi="宋体"/>
                <w:color w:val="auto"/>
                <w:highlight w:val="none"/>
              </w:rPr>
              <w:t>桥梁工程</w:t>
            </w:r>
          </w:p>
        </w:tc>
        <w:tc>
          <w:tcPr>
            <w:tcW w:w="2520" w:type="dxa"/>
            <w:vAlign w:val="center"/>
          </w:tcPr>
          <w:p>
            <w:pPr>
              <w:jc w:val="center"/>
              <w:rPr>
                <w:rFonts w:ascii="宋体" w:hAnsi="宋体"/>
                <w:color w:val="auto"/>
                <w:highlight w:val="none"/>
              </w:rPr>
            </w:pPr>
            <w:r>
              <w:rPr>
                <w:rFonts w:hint="eastAsia" w:ascii="宋体" w:hAnsi="宋体"/>
                <w:color w:val="auto"/>
                <w:highlight w:val="none"/>
              </w:rPr>
              <w:t>每米综合包干单价（元）</w:t>
            </w:r>
          </w:p>
        </w:tc>
        <w:tc>
          <w:tcPr>
            <w:tcW w:w="1980" w:type="dxa"/>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ascii="宋体" w:hAnsi="宋体"/>
                <w:color w:val="auto"/>
                <w:highlight w:val="none"/>
              </w:rPr>
              <w:t>17</w:t>
            </w:r>
          </w:p>
        </w:tc>
        <w:tc>
          <w:tcPr>
            <w:tcW w:w="1260" w:type="dxa"/>
            <w:vMerge w:val="continue"/>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r>
              <w:rPr>
                <w:rFonts w:hint="eastAsia" w:ascii="宋体" w:hAnsi="宋体"/>
                <w:color w:val="auto"/>
                <w:highlight w:val="none"/>
              </w:rPr>
              <w:t>暂定工程量（米）</w:t>
            </w:r>
          </w:p>
        </w:tc>
        <w:tc>
          <w:tcPr>
            <w:tcW w:w="1980" w:type="dxa"/>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ascii="宋体" w:hAnsi="宋体"/>
                <w:color w:val="auto"/>
                <w:highlight w:val="none"/>
              </w:rPr>
              <w:t>18</w:t>
            </w:r>
          </w:p>
        </w:tc>
        <w:tc>
          <w:tcPr>
            <w:tcW w:w="1260" w:type="dxa"/>
            <w:vMerge w:val="continue"/>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r>
              <w:rPr>
                <w:rFonts w:hint="eastAsia" w:ascii="宋体" w:hAnsi="宋体"/>
                <w:color w:val="auto"/>
                <w:highlight w:val="none"/>
              </w:rPr>
              <w:t>暂定勘探费（元）</w:t>
            </w:r>
          </w:p>
        </w:tc>
        <w:tc>
          <w:tcPr>
            <w:tcW w:w="1980" w:type="dxa"/>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r>
              <w:rPr>
                <w:rFonts w:ascii="宋体" w:hAnsi="宋体"/>
                <w:color w:val="auto"/>
                <w:highlight w:val="none"/>
              </w:rPr>
              <w:t>18=16</w:t>
            </w:r>
            <w:r>
              <w:rPr>
                <w:rFonts w:hint="eastAsia" w:ascii="宋体" w:hAnsi="宋体"/>
                <w:color w:val="auto"/>
                <w:highlight w:val="none"/>
              </w:rPr>
              <w:t>×</w:t>
            </w:r>
            <w:r>
              <w:rPr>
                <w:rFonts w:ascii="宋体" w:hAnsi="宋体"/>
                <w:color w:val="auto"/>
                <w:highlight w:val="non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ascii="宋体" w:hAnsi="宋体"/>
                <w:color w:val="auto"/>
                <w:highlight w:val="none"/>
              </w:rPr>
              <w:t>19</w:t>
            </w:r>
          </w:p>
        </w:tc>
        <w:tc>
          <w:tcPr>
            <w:tcW w:w="1260" w:type="dxa"/>
            <w:vMerge w:val="restart"/>
            <w:vAlign w:val="center"/>
          </w:tcPr>
          <w:p>
            <w:pPr>
              <w:jc w:val="center"/>
              <w:rPr>
                <w:rFonts w:ascii="宋体" w:hAnsi="宋体"/>
                <w:color w:val="auto"/>
                <w:highlight w:val="none"/>
              </w:rPr>
            </w:pPr>
            <w:r>
              <w:rPr>
                <w:rFonts w:hint="eastAsia" w:ascii="宋体" w:hAnsi="宋体"/>
                <w:color w:val="auto"/>
                <w:highlight w:val="none"/>
              </w:rPr>
              <w:t>过山隧道工程</w:t>
            </w:r>
          </w:p>
        </w:tc>
        <w:tc>
          <w:tcPr>
            <w:tcW w:w="2520" w:type="dxa"/>
            <w:vAlign w:val="center"/>
          </w:tcPr>
          <w:p>
            <w:pPr>
              <w:jc w:val="center"/>
              <w:rPr>
                <w:rFonts w:ascii="宋体" w:hAnsi="宋体"/>
                <w:color w:val="auto"/>
                <w:highlight w:val="none"/>
              </w:rPr>
            </w:pPr>
            <w:r>
              <w:rPr>
                <w:rFonts w:hint="eastAsia" w:ascii="宋体" w:hAnsi="宋体"/>
                <w:color w:val="auto"/>
                <w:highlight w:val="none"/>
              </w:rPr>
              <w:t>每米综合包干单价（元）</w:t>
            </w:r>
          </w:p>
        </w:tc>
        <w:tc>
          <w:tcPr>
            <w:tcW w:w="1980" w:type="dxa"/>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ascii="宋体" w:hAnsi="宋体"/>
                <w:color w:val="auto"/>
                <w:highlight w:val="none"/>
              </w:rPr>
              <w:t>20</w:t>
            </w:r>
          </w:p>
        </w:tc>
        <w:tc>
          <w:tcPr>
            <w:tcW w:w="1260" w:type="dxa"/>
            <w:vMerge w:val="continue"/>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r>
              <w:rPr>
                <w:rFonts w:hint="eastAsia" w:ascii="宋体" w:hAnsi="宋体"/>
                <w:color w:val="auto"/>
                <w:highlight w:val="none"/>
              </w:rPr>
              <w:t>暂定工程量（米）</w:t>
            </w:r>
          </w:p>
        </w:tc>
        <w:tc>
          <w:tcPr>
            <w:tcW w:w="1980" w:type="dxa"/>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ascii="宋体" w:hAnsi="宋体"/>
                <w:color w:val="auto"/>
                <w:highlight w:val="none"/>
              </w:rPr>
              <w:t>21</w:t>
            </w:r>
          </w:p>
        </w:tc>
        <w:tc>
          <w:tcPr>
            <w:tcW w:w="1260" w:type="dxa"/>
            <w:vMerge w:val="continue"/>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r>
              <w:rPr>
                <w:rFonts w:hint="eastAsia" w:ascii="宋体" w:hAnsi="宋体"/>
                <w:color w:val="auto"/>
                <w:highlight w:val="none"/>
              </w:rPr>
              <w:t>暂定勘探费（元）</w:t>
            </w:r>
          </w:p>
        </w:tc>
        <w:tc>
          <w:tcPr>
            <w:tcW w:w="1980" w:type="dxa"/>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r>
              <w:rPr>
                <w:rFonts w:ascii="宋体" w:hAnsi="宋体"/>
                <w:color w:val="auto"/>
                <w:highlight w:val="none"/>
              </w:rPr>
              <w:t>21=19</w:t>
            </w:r>
            <w:r>
              <w:rPr>
                <w:rFonts w:hint="eastAsia" w:ascii="宋体" w:hAnsi="宋体"/>
                <w:color w:val="auto"/>
                <w:highlight w:val="none"/>
              </w:rPr>
              <w:t>×</w:t>
            </w:r>
            <w:r>
              <w:rPr>
                <w:rFonts w:ascii="宋体" w:hAnsi="宋体"/>
                <w:color w:val="auto"/>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48" w:type="dxa"/>
            <w:vAlign w:val="center"/>
          </w:tcPr>
          <w:p>
            <w:pPr>
              <w:jc w:val="center"/>
              <w:rPr>
                <w:rFonts w:ascii="宋体" w:hAnsi="宋体"/>
                <w:color w:val="auto"/>
                <w:highlight w:val="none"/>
              </w:rPr>
            </w:pPr>
            <w:r>
              <w:rPr>
                <w:rFonts w:ascii="宋体" w:hAnsi="宋体"/>
                <w:color w:val="auto"/>
                <w:highlight w:val="none"/>
              </w:rPr>
              <w:t>22</w:t>
            </w:r>
          </w:p>
        </w:tc>
        <w:tc>
          <w:tcPr>
            <w:tcW w:w="3780" w:type="dxa"/>
            <w:gridSpan w:val="2"/>
            <w:vAlign w:val="center"/>
          </w:tcPr>
          <w:p>
            <w:pPr>
              <w:jc w:val="center"/>
              <w:rPr>
                <w:rFonts w:ascii="宋体" w:hAnsi="宋体"/>
                <w:color w:val="auto"/>
                <w:highlight w:val="none"/>
              </w:rPr>
            </w:pPr>
            <w:r>
              <w:rPr>
                <w:rFonts w:hint="eastAsia" w:ascii="宋体" w:hAnsi="宋体"/>
                <w:color w:val="auto"/>
                <w:highlight w:val="none"/>
              </w:rPr>
              <w:t>合计</w:t>
            </w:r>
          </w:p>
        </w:tc>
        <w:tc>
          <w:tcPr>
            <w:tcW w:w="1980" w:type="dxa"/>
            <w:vAlign w:val="center"/>
          </w:tcPr>
          <w:p>
            <w:pPr>
              <w:jc w:val="center"/>
              <w:rPr>
                <w:rFonts w:ascii="宋体" w:hAnsi="宋体"/>
                <w:color w:val="auto"/>
                <w:highlight w:val="none"/>
              </w:rPr>
            </w:pPr>
          </w:p>
        </w:tc>
        <w:tc>
          <w:tcPr>
            <w:tcW w:w="2520" w:type="dxa"/>
            <w:vAlign w:val="center"/>
          </w:tcPr>
          <w:p>
            <w:pPr>
              <w:jc w:val="center"/>
              <w:rPr>
                <w:rFonts w:ascii="宋体" w:hAnsi="宋体"/>
                <w:color w:val="auto"/>
                <w:highlight w:val="none"/>
              </w:rPr>
            </w:pPr>
            <w:r>
              <w:rPr>
                <w:rFonts w:ascii="宋体" w:hAnsi="宋体"/>
                <w:color w:val="auto"/>
                <w:highlight w:val="none"/>
              </w:rPr>
              <w:t>22=3+6+9+12+15+18+21</w:t>
            </w:r>
          </w:p>
        </w:tc>
      </w:tr>
    </w:tbl>
    <w:p>
      <w:pPr>
        <w:wordWrap w:val="0"/>
        <w:topLinePunct/>
        <w:ind w:firstLine="420" w:firstLineChars="200"/>
        <w:jc w:val="left"/>
        <w:rPr>
          <w:rFonts w:ascii="宋体" w:hAnsi="宋体"/>
          <w:color w:val="auto"/>
          <w:highlight w:val="none"/>
        </w:rPr>
      </w:pPr>
      <w:r>
        <w:rPr>
          <w:rFonts w:hint="eastAsia" w:ascii="宋体" w:hAnsi="宋体"/>
          <w:color w:val="auto"/>
          <w:highlight w:val="none"/>
        </w:rPr>
        <w:t>注：岩土工程勘探费综合单价包干按国家发展计划委员会、建设部2002年颁布的《工程勘察设计收费标准》、《关于印发广州市黄埔区 广州开发区政府投资建设项目资金管理办法的通知》（穗埔财〔2020〕373 号）、《广州开发区财政投资建设项目管理中心咨询服务类合同结算编审指引（2021年修订版）》（穗开建管〔2021〕33号）、广州开发区财政局《关于调整我区岩土工程勘察费取费标准的复函》（穗开财函〔2013〕615号）及《关于印发&lt;广州开发区、萝岗区政府投资建设项目岩土工程勘探综合费取费标准&gt;的通知》（穗开建管〔2014〕1号）文计取。</w:t>
      </w:r>
    </w:p>
    <w:p>
      <w:pPr>
        <w:wordWrap w:val="0"/>
        <w:topLinePunct/>
        <w:ind w:firstLine="420" w:firstLineChars="200"/>
        <w:jc w:val="left"/>
        <w:rPr>
          <w:rFonts w:ascii="宋体" w:hAnsi="宋体"/>
          <w:color w:val="auto"/>
          <w:highlight w:val="none"/>
        </w:rPr>
      </w:pPr>
      <w:r>
        <w:rPr>
          <w:rFonts w:hint="eastAsia" w:ascii="宋体" w:hAnsi="宋体"/>
          <w:color w:val="auto"/>
          <w:highlight w:val="none"/>
        </w:rPr>
        <w:t>投标人需严格按表中勘察费计算依据所列项目报价，不得增减分项目，否则属于投标报价不符合招标文件规定。如投标人认为计算依据所列项目中的某一项不需计算，投标报价应为“0”。</w:t>
      </w:r>
    </w:p>
    <w:p>
      <w:pPr>
        <w:spacing w:line="320" w:lineRule="exact"/>
        <w:ind w:firstLine="420"/>
        <w:rPr>
          <w:rFonts w:ascii="宋体" w:hAnsi="宋体"/>
          <w:color w:val="auto"/>
          <w:highlight w:val="none"/>
        </w:rPr>
      </w:pPr>
      <w:r>
        <w:rPr>
          <w:rFonts w:hint="eastAsia" w:ascii="宋体" w:hAnsi="宋体"/>
          <w:color w:val="auto"/>
          <w:highlight w:val="none"/>
        </w:rPr>
        <w:t>最终勘探内容和工作量以招标人根据现场实际情况确认为准。</w:t>
      </w:r>
    </w:p>
    <w:p>
      <w:pPr>
        <w:pStyle w:val="4"/>
        <w:rPr>
          <w:color w:val="auto"/>
          <w:highlight w:val="none"/>
        </w:rPr>
      </w:pPr>
      <w:r>
        <w:rPr>
          <w:bCs/>
          <w:color w:val="auto"/>
          <w:highlight w:val="none"/>
        </w:rPr>
        <w:br w:type="page"/>
      </w:r>
      <w:bookmarkStart w:id="33" w:name="_Toc99463989"/>
      <w:bookmarkStart w:id="34" w:name="_Toc24670"/>
      <w:bookmarkStart w:id="35" w:name="_Toc32497"/>
      <w:r>
        <w:rPr>
          <w:rFonts w:hint="eastAsia"/>
          <w:color w:val="auto"/>
          <w:highlight w:val="none"/>
        </w:rPr>
        <w:t>附录3-2：测量费报价及计算依据表</w:t>
      </w:r>
      <w:bookmarkEnd w:id="33"/>
      <w:bookmarkEnd w:id="34"/>
      <w:bookmarkEnd w:id="35"/>
    </w:p>
    <w:p>
      <w:pPr>
        <w:wordWrap w:val="0"/>
        <w:topLinePunct/>
        <w:ind w:left="178" w:leftChars="85"/>
        <w:jc w:val="center"/>
        <w:rPr>
          <w:rFonts w:ascii="宋体" w:hAnsi="宋体"/>
          <w:b/>
          <w:color w:val="auto"/>
          <w:sz w:val="28"/>
          <w:szCs w:val="28"/>
          <w:highlight w:val="none"/>
          <w:u w:val="wave"/>
        </w:rPr>
      </w:pPr>
      <w:r>
        <w:rPr>
          <w:rFonts w:hint="eastAsia" w:ascii="宋体" w:hAnsi="宋体"/>
          <w:b/>
          <w:color w:val="auto"/>
          <w:sz w:val="32"/>
          <w:highlight w:val="none"/>
        </w:rPr>
        <w:t>测量费报价及计算依据表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00"/>
        <w:gridCol w:w="720"/>
        <w:gridCol w:w="720"/>
        <w:gridCol w:w="720"/>
        <w:gridCol w:w="900"/>
        <w:gridCol w:w="14"/>
        <w:gridCol w:w="1246"/>
        <w:gridCol w:w="1094"/>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序号</w:t>
            </w:r>
          </w:p>
        </w:tc>
        <w:tc>
          <w:tcPr>
            <w:tcW w:w="2700" w:type="dxa"/>
            <w:tcBorders>
              <w:top w:val="single" w:color="auto" w:sz="4" w:space="0"/>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工作项目</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复杂程度</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系数</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数量</w:t>
            </w:r>
          </w:p>
        </w:tc>
        <w:tc>
          <w:tcPr>
            <w:tcW w:w="914" w:type="dxa"/>
            <w:gridSpan w:val="2"/>
            <w:tcBorders>
              <w:top w:val="single" w:color="auto" w:sz="4" w:space="0"/>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单位</w:t>
            </w:r>
          </w:p>
        </w:tc>
        <w:tc>
          <w:tcPr>
            <w:tcW w:w="1246" w:type="dxa"/>
            <w:tcBorders>
              <w:top w:val="single" w:color="auto" w:sz="4" w:space="0"/>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单价（元）</w:t>
            </w:r>
          </w:p>
        </w:tc>
        <w:tc>
          <w:tcPr>
            <w:tcW w:w="1094" w:type="dxa"/>
            <w:tcBorders>
              <w:top w:val="single" w:color="auto" w:sz="4" w:space="0"/>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金额（元）</w:t>
            </w:r>
          </w:p>
        </w:tc>
        <w:tc>
          <w:tcPr>
            <w:tcW w:w="721" w:type="dxa"/>
            <w:tcBorders>
              <w:top w:val="single" w:color="auto" w:sz="4" w:space="0"/>
              <w:left w:val="nil"/>
              <w:bottom w:val="single" w:color="auto" w:sz="4" w:space="0"/>
              <w:right w:val="single" w:color="auto" w:sz="4" w:space="0"/>
            </w:tcBorders>
            <w:vAlign w:val="center"/>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b/>
                <w:color w:val="auto"/>
                <w:sz w:val="20"/>
                <w:szCs w:val="18"/>
                <w:highlight w:val="none"/>
              </w:rPr>
            </w:pPr>
            <w:r>
              <w:rPr>
                <w:rFonts w:hint="eastAsia" w:ascii="宋体" w:hAnsi="宋体" w:cs="宋体"/>
                <w:b/>
                <w:color w:val="auto"/>
                <w:sz w:val="20"/>
                <w:szCs w:val="18"/>
                <w:highlight w:val="none"/>
              </w:rPr>
              <w:t>一</w:t>
            </w:r>
          </w:p>
        </w:tc>
        <w:tc>
          <w:tcPr>
            <w:tcW w:w="2700" w:type="dxa"/>
            <w:tcBorders>
              <w:top w:val="single" w:color="auto" w:sz="4" w:space="0"/>
              <w:left w:val="nil"/>
              <w:bottom w:val="single" w:color="auto" w:sz="4" w:space="0"/>
              <w:right w:val="single" w:color="auto" w:sz="4" w:space="0"/>
            </w:tcBorders>
          </w:tcPr>
          <w:p>
            <w:pPr>
              <w:wordWrap w:val="0"/>
              <w:topLinePunct/>
              <w:ind w:firstLine="402" w:firstLineChars="200"/>
              <w:rPr>
                <w:rFonts w:ascii="宋体" w:hAnsi="宋体" w:cs="宋体"/>
                <w:b/>
                <w:color w:val="auto"/>
                <w:sz w:val="20"/>
                <w:szCs w:val="18"/>
                <w:highlight w:val="none"/>
              </w:rPr>
            </w:pPr>
            <w:r>
              <w:rPr>
                <w:rFonts w:hint="eastAsia" w:ascii="宋体" w:hAnsi="宋体" w:cs="宋体"/>
                <w:b/>
                <w:color w:val="auto"/>
                <w:sz w:val="20"/>
                <w:szCs w:val="18"/>
                <w:highlight w:val="none"/>
              </w:rPr>
              <w:t>测量费计算</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914" w:type="dxa"/>
            <w:gridSpan w:val="2"/>
            <w:tcBorders>
              <w:top w:val="single" w:color="auto" w:sz="4" w:space="0"/>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1246" w:type="dxa"/>
            <w:tcBorders>
              <w:top w:val="single" w:color="auto" w:sz="4" w:space="0"/>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1094" w:type="dxa"/>
            <w:tcBorders>
              <w:top w:val="single" w:color="auto" w:sz="4" w:space="0"/>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1" w:type="dxa"/>
            <w:vMerge w:val="restart"/>
            <w:tcBorders>
              <w:top w:val="single" w:color="auto" w:sz="4" w:space="0"/>
              <w:left w:val="nil"/>
              <w:right w:val="single" w:color="auto" w:sz="4" w:space="0"/>
            </w:tcBorders>
            <w:vAlign w:val="center"/>
          </w:tcPr>
          <w:p>
            <w:pPr>
              <w:wordWrap w:val="0"/>
              <w:topLinePunct/>
              <w:jc w:val="center"/>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ascii="宋体" w:hAnsi="宋体" w:cs="宋体"/>
                <w:color w:val="auto"/>
                <w:sz w:val="20"/>
                <w:szCs w:val="18"/>
                <w:highlight w:val="none"/>
              </w:rPr>
              <w:t>1</w:t>
            </w:r>
          </w:p>
        </w:tc>
        <w:tc>
          <w:tcPr>
            <w:tcW w:w="2700" w:type="dxa"/>
            <w:tcBorders>
              <w:top w:val="nil"/>
              <w:left w:val="nil"/>
              <w:bottom w:val="single" w:color="auto" w:sz="4" w:space="0"/>
              <w:right w:val="single" w:color="auto" w:sz="4" w:space="0"/>
            </w:tcBorders>
          </w:tcPr>
          <w:p>
            <w:pPr>
              <w:wordWrap w:val="0"/>
              <w:topLinePunct/>
              <w:rPr>
                <w:rFonts w:ascii="宋体" w:hAnsi="宋体"/>
                <w:color w:val="auto"/>
                <w:sz w:val="20"/>
                <w:szCs w:val="18"/>
                <w:highlight w:val="none"/>
              </w:rPr>
            </w:pPr>
            <w:r>
              <w:rPr>
                <w:rFonts w:ascii="宋体" w:hAnsi="宋体"/>
                <w:color w:val="auto"/>
                <w:sz w:val="20"/>
                <w:szCs w:val="18"/>
                <w:highlight w:val="none"/>
              </w:rPr>
              <w:t>E</w:t>
            </w:r>
            <w:r>
              <w:rPr>
                <w:rFonts w:hint="eastAsia" w:ascii="宋体" w:hAnsi="宋体"/>
                <w:color w:val="auto"/>
                <w:sz w:val="20"/>
                <w:szCs w:val="18"/>
                <w:highlight w:val="none"/>
              </w:rPr>
              <w:t>级</w:t>
            </w:r>
            <w:r>
              <w:rPr>
                <w:rFonts w:ascii="宋体" w:hAnsi="宋体"/>
                <w:color w:val="auto"/>
                <w:sz w:val="20"/>
                <w:szCs w:val="18"/>
                <w:highlight w:val="none"/>
              </w:rPr>
              <w:t>GPS</w:t>
            </w:r>
            <w:r>
              <w:rPr>
                <w:rFonts w:hint="eastAsia" w:ascii="宋体" w:hAnsi="宋体"/>
                <w:color w:val="auto"/>
                <w:sz w:val="20"/>
                <w:szCs w:val="18"/>
                <w:highlight w:val="none"/>
              </w:rPr>
              <w:t>测量</w:t>
            </w: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914" w:type="dxa"/>
            <w:gridSpan w:val="2"/>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1246"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1094"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2</w:t>
            </w:r>
          </w:p>
        </w:tc>
        <w:tc>
          <w:tcPr>
            <w:tcW w:w="2700" w:type="dxa"/>
            <w:tcBorders>
              <w:top w:val="nil"/>
              <w:left w:val="nil"/>
              <w:bottom w:val="single" w:color="auto" w:sz="4" w:space="0"/>
              <w:right w:val="single" w:color="auto" w:sz="4" w:space="0"/>
            </w:tcBorders>
          </w:tcPr>
          <w:p>
            <w:pPr>
              <w:wordWrap w:val="0"/>
              <w:topLinePunct/>
              <w:rPr>
                <w:rFonts w:ascii="宋体" w:hAnsi="宋体"/>
                <w:color w:val="auto"/>
                <w:sz w:val="20"/>
                <w:szCs w:val="18"/>
                <w:highlight w:val="none"/>
              </w:rPr>
            </w:pPr>
            <w:r>
              <w:rPr>
                <w:rFonts w:hint="eastAsia" w:ascii="宋体" w:hAnsi="宋体"/>
                <w:color w:val="auto"/>
                <w:sz w:val="20"/>
                <w:szCs w:val="18"/>
                <w:highlight w:val="none"/>
              </w:rPr>
              <w:t>E级GPS RTK观测</w:t>
            </w: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914" w:type="dxa"/>
            <w:gridSpan w:val="2"/>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1246"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1094"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b/>
                <w:bCs/>
                <w:color w:val="auto"/>
                <w:sz w:val="20"/>
                <w:szCs w:val="18"/>
                <w:highlight w:val="none"/>
              </w:rPr>
              <w:t>3</w:t>
            </w:r>
          </w:p>
        </w:tc>
        <w:tc>
          <w:tcPr>
            <w:tcW w:w="2700" w:type="dxa"/>
            <w:tcBorders>
              <w:top w:val="nil"/>
              <w:left w:val="nil"/>
              <w:bottom w:val="single" w:color="auto" w:sz="4" w:space="0"/>
              <w:right w:val="single" w:color="auto" w:sz="4" w:space="0"/>
            </w:tcBorders>
          </w:tcPr>
          <w:p>
            <w:pPr>
              <w:wordWrap w:val="0"/>
              <w:topLinePunct/>
              <w:rPr>
                <w:rFonts w:ascii="宋体" w:hAnsi="宋体"/>
                <w:color w:val="auto"/>
                <w:sz w:val="20"/>
                <w:szCs w:val="18"/>
                <w:highlight w:val="none"/>
              </w:rPr>
            </w:pPr>
            <w:r>
              <w:rPr>
                <w:rFonts w:hint="eastAsia" w:ascii="宋体" w:hAnsi="宋体"/>
                <w:color w:val="auto"/>
                <w:sz w:val="20"/>
                <w:szCs w:val="18"/>
                <w:highlight w:val="none"/>
              </w:rPr>
              <w:t>二级点（三角边）测量</w:t>
            </w: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914" w:type="dxa"/>
            <w:gridSpan w:val="2"/>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1246"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1094"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4</w:t>
            </w:r>
          </w:p>
        </w:tc>
        <w:tc>
          <w:tcPr>
            <w:tcW w:w="2700" w:type="dxa"/>
            <w:tcBorders>
              <w:top w:val="nil"/>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图根控制点</w:t>
            </w: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914" w:type="dxa"/>
            <w:gridSpan w:val="2"/>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1246"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1094"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5</w:t>
            </w:r>
          </w:p>
        </w:tc>
        <w:tc>
          <w:tcPr>
            <w:tcW w:w="2700" w:type="dxa"/>
            <w:tcBorders>
              <w:top w:val="nil"/>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Ⅳ等水准测量</w:t>
            </w: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914" w:type="dxa"/>
            <w:gridSpan w:val="2"/>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246"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1094"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6</w:t>
            </w:r>
          </w:p>
        </w:tc>
        <w:tc>
          <w:tcPr>
            <w:tcW w:w="2700" w:type="dxa"/>
            <w:tcBorders>
              <w:top w:val="nil"/>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图根水准测量</w:t>
            </w: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914" w:type="dxa"/>
            <w:gridSpan w:val="2"/>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246"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1094"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7</w:t>
            </w:r>
          </w:p>
        </w:tc>
        <w:tc>
          <w:tcPr>
            <w:tcW w:w="2700" w:type="dxa"/>
            <w:tcBorders>
              <w:top w:val="nil"/>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ascii="宋体" w:hAnsi="宋体" w:cs="宋体"/>
                <w:color w:val="auto"/>
                <w:sz w:val="20"/>
                <w:szCs w:val="18"/>
                <w:highlight w:val="none"/>
              </w:rPr>
              <w:t>1</w:t>
            </w:r>
            <w:r>
              <w:rPr>
                <w:rFonts w:hint="eastAsia" w:ascii="宋体" w:hAnsi="宋体" w:cs="宋体"/>
                <w:color w:val="auto"/>
                <w:sz w:val="20"/>
                <w:szCs w:val="18"/>
                <w:highlight w:val="none"/>
              </w:rPr>
              <w:t>：</w:t>
            </w:r>
            <w:r>
              <w:rPr>
                <w:rFonts w:ascii="宋体" w:hAnsi="宋体" w:cs="宋体"/>
                <w:color w:val="auto"/>
                <w:sz w:val="20"/>
                <w:szCs w:val="18"/>
                <w:highlight w:val="none"/>
              </w:rPr>
              <w:t>500</w:t>
            </w:r>
            <w:r>
              <w:rPr>
                <w:rFonts w:hint="eastAsia" w:ascii="宋体" w:hAnsi="宋体" w:cs="宋体"/>
                <w:color w:val="auto"/>
                <w:sz w:val="20"/>
                <w:szCs w:val="18"/>
                <w:highlight w:val="none"/>
              </w:rPr>
              <w:t>数字化地形图（一般区）</w:t>
            </w: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914" w:type="dxa"/>
            <w:gridSpan w:val="2"/>
            <w:tcBorders>
              <w:top w:val="nil"/>
              <w:left w:val="nil"/>
              <w:bottom w:val="single" w:color="auto" w:sz="4" w:space="0"/>
              <w:right w:val="single" w:color="auto" w:sz="4" w:space="0"/>
            </w:tcBorders>
            <w:vAlign w:val="center"/>
          </w:tcPr>
          <w:p>
            <w:pPr>
              <w:wordWrap w:val="0"/>
              <w:topLinePunct/>
              <w:jc w:val="center"/>
              <w:rPr>
                <w:rFonts w:ascii="宋体" w:hAnsi="宋体"/>
                <w:color w:val="auto"/>
                <w:sz w:val="20"/>
                <w:szCs w:val="18"/>
                <w:highlight w:val="none"/>
              </w:rPr>
            </w:pPr>
          </w:p>
        </w:tc>
        <w:tc>
          <w:tcPr>
            <w:tcW w:w="1246"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1094"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8</w:t>
            </w:r>
          </w:p>
        </w:tc>
        <w:tc>
          <w:tcPr>
            <w:tcW w:w="2700" w:type="dxa"/>
            <w:tcBorders>
              <w:top w:val="nil"/>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1：500数字化地形图（建筑区）</w:t>
            </w: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914" w:type="dxa"/>
            <w:gridSpan w:val="2"/>
            <w:tcBorders>
              <w:top w:val="nil"/>
              <w:left w:val="nil"/>
              <w:bottom w:val="single" w:color="auto" w:sz="4" w:space="0"/>
              <w:right w:val="single" w:color="auto" w:sz="4" w:space="0"/>
            </w:tcBorders>
            <w:vAlign w:val="center"/>
          </w:tcPr>
          <w:p>
            <w:pPr>
              <w:wordWrap w:val="0"/>
              <w:topLinePunct/>
              <w:jc w:val="center"/>
              <w:rPr>
                <w:rFonts w:ascii="宋体" w:hAnsi="宋体"/>
                <w:color w:val="auto"/>
                <w:sz w:val="20"/>
                <w:szCs w:val="18"/>
                <w:highlight w:val="none"/>
              </w:rPr>
            </w:pPr>
          </w:p>
        </w:tc>
        <w:tc>
          <w:tcPr>
            <w:tcW w:w="1246"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1094"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9</w:t>
            </w:r>
          </w:p>
        </w:tc>
        <w:tc>
          <w:tcPr>
            <w:tcW w:w="2700" w:type="dxa"/>
            <w:tcBorders>
              <w:top w:val="nil"/>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1：500数字化地形图修测（建筑区）</w:t>
            </w: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914" w:type="dxa"/>
            <w:gridSpan w:val="2"/>
            <w:tcBorders>
              <w:top w:val="nil"/>
              <w:left w:val="nil"/>
              <w:bottom w:val="single" w:color="auto" w:sz="4" w:space="0"/>
              <w:right w:val="single" w:color="auto" w:sz="4" w:space="0"/>
            </w:tcBorders>
            <w:vAlign w:val="center"/>
          </w:tcPr>
          <w:p>
            <w:pPr>
              <w:wordWrap w:val="0"/>
              <w:topLinePunct/>
              <w:jc w:val="center"/>
              <w:rPr>
                <w:rFonts w:ascii="宋体" w:hAnsi="宋体"/>
                <w:color w:val="auto"/>
                <w:sz w:val="20"/>
                <w:szCs w:val="18"/>
                <w:highlight w:val="none"/>
              </w:rPr>
            </w:pPr>
          </w:p>
        </w:tc>
        <w:tc>
          <w:tcPr>
            <w:tcW w:w="1246"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1094"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10</w:t>
            </w:r>
          </w:p>
        </w:tc>
        <w:tc>
          <w:tcPr>
            <w:tcW w:w="2700" w:type="dxa"/>
            <w:tcBorders>
              <w:top w:val="nil"/>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1：500数字化地形图修测（一般地区）</w:t>
            </w: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914" w:type="dxa"/>
            <w:gridSpan w:val="2"/>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246"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1094"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1" w:type="dxa"/>
            <w:vMerge w:val="continue"/>
            <w:tcBorders>
              <w:left w:val="nil"/>
              <w:right w:val="single" w:color="auto" w:sz="4" w:space="0"/>
            </w:tcBorders>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11</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1:500水域测量</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914" w:type="dxa"/>
            <w:gridSpan w:val="2"/>
            <w:tcBorders>
              <w:top w:val="single" w:color="auto" w:sz="4" w:space="0"/>
              <w:left w:val="nil"/>
              <w:bottom w:val="single" w:color="auto" w:sz="4" w:space="0"/>
              <w:right w:val="single" w:color="auto" w:sz="4" w:space="0"/>
            </w:tcBorders>
            <w:vAlign w:val="center"/>
          </w:tcPr>
          <w:p>
            <w:pPr>
              <w:wordWrap w:val="0"/>
              <w:topLinePunct/>
              <w:jc w:val="center"/>
              <w:rPr>
                <w:rFonts w:ascii="宋体" w:hAnsi="宋体"/>
                <w:color w:val="auto"/>
                <w:sz w:val="20"/>
                <w:szCs w:val="18"/>
                <w:highlight w:val="none"/>
              </w:rPr>
            </w:pPr>
          </w:p>
        </w:tc>
        <w:tc>
          <w:tcPr>
            <w:tcW w:w="1246" w:type="dxa"/>
            <w:tcBorders>
              <w:top w:val="single" w:color="auto" w:sz="4" w:space="0"/>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1094" w:type="dxa"/>
            <w:tcBorders>
              <w:top w:val="single" w:color="auto" w:sz="4" w:space="0"/>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1" w:type="dxa"/>
            <w:vMerge w:val="continue"/>
            <w:tcBorders>
              <w:left w:val="nil"/>
              <w:right w:val="single" w:color="auto" w:sz="4" w:space="0"/>
            </w:tcBorders>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olor w:val="auto"/>
                <w:sz w:val="20"/>
                <w:szCs w:val="18"/>
                <w:highlight w:val="none"/>
              </w:rPr>
              <w:t>12</w:t>
            </w:r>
          </w:p>
        </w:tc>
        <w:tc>
          <w:tcPr>
            <w:tcW w:w="2700" w:type="dxa"/>
            <w:tcBorders>
              <w:top w:val="nil"/>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olor w:val="auto"/>
                <w:sz w:val="20"/>
                <w:szCs w:val="18"/>
                <w:highlight w:val="none"/>
              </w:rPr>
              <w:t>定测中桩施放</w:t>
            </w: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914" w:type="dxa"/>
            <w:gridSpan w:val="2"/>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1246"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094"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olor w:val="auto"/>
                <w:sz w:val="20"/>
                <w:szCs w:val="18"/>
                <w:highlight w:val="none"/>
              </w:rPr>
              <w:t>13</w:t>
            </w:r>
          </w:p>
        </w:tc>
        <w:tc>
          <w:tcPr>
            <w:tcW w:w="2700" w:type="dxa"/>
            <w:tcBorders>
              <w:top w:val="nil"/>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olor w:val="auto"/>
                <w:sz w:val="20"/>
                <w:szCs w:val="18"/>
                <w:highlight w:val="none"/>
              </w:rPr>
              <w:t>定测纵断面测量</w:t>
            </w: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914" w:type="dxa"/>
            <w:gridSpan w:val="2"/>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246"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094"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olor w:val="auto"/>
                <w:sz w:val="20"/>
                <w:szCs w:val="18"/>
                <w:highlight w:val="none"/>
              </w:rPr>
              <w:t>14</w:t>
            </w:r>
          </w:p>
        </w:tc>
        <w:tc>
          <w:tcPr>
            <w:tcW w:w="2700" w:type="dxa"/>
            <w:tcBorders>
              <w:top w:val="nil"/>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olor w:val="auto"/>
                <w:sz w:val="20"/>
                <w:szCs w:val="18"/>
                <w:highlight w:val="none"/>
              </w:rPr>
              <w:t>横断面测量</w:t>
            </w: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914" w:type="dxa"/>
            <w:gridSpan w:val="2"/>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246"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094"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olor w:val="auto"/>
                <w:sz w:val="20"/>
                <w:szCs w:val="18"/>
                <w:highlight w:val="none"/>
              </w:rPr>
            </w:pPr>
            <w:r>
              <w:rPr>
                <w:rFonts w:hint="eastAsia" w:ascii="宋体" w:hAnsi="宋体"/>
                <w:color w:val="auto"/>
                <w:sz w:val="20"/>
                <w:szCs w:val="18"/>
                <w:highlight w:val="none"/>
              </w:rPr>
              <w:t>15</w:t>
            </w:r>
          </w:p>
        </w:tc>
        <w:tc>
          <w:tcPr>
            <w:tcW w:w="2700" w:type="dxa"/>
            <w:tcBorders>
              <w:top w:val="nil"/>
              <w:left w:val="nil"/>
              <w:bottom w:val="single" w:color="auto" w:sz="4" w:space="0"/>
              <w:right w:val="single" w:color="auto" w:sz="4" w:space="0"/>
            </w:tcBorders>
          </w:tcPr>
          <w:p>
            <w:pPr>
              <w:wordWrap w:val="0"/>
              <w:topLinePunct/>
              <w:rPr>
                <w:rFonts w:ascii="宋体" w:hAnsi="宋体"/>
                <w:color w:val="auto"/>
                <w:sz w:val="20"/>
                <w:szCs w:val="18"/>
                <w:highlight w:val="none"/>
              </w:rPr>
            </w:pPr>
            <w:r>
              <w:rPr>
                <w:rFonts w:hint="eastAsia" w:ascii="宋体" w:hAnsi="宋体"/>
                <w:color w:val="auto"/>
                <w:sz w:val="20"/>
                <w:szCs w:val="18"/>
                <w:highlight w:val="none"/>
              </w:rPr>
              <w:t>市政、交通部件调查</w:t>
            </w: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914" w:type="dxa"/>
            <w:gridSpan w:val="2"/>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246"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094"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olor w:val="auto"/>
                <w:sz w:val="20"/>
                <w:szCs w:val="18"/>
                <w:highlight w:val="none"/>
              </w:rPr>
            </w:pPr>
            <w:r>
              <w:rPr>
                <w:rFonts w:hint="eastAsia" w:ascii="宋体" w:hAnsi="宋体"/>
                <w:color w:val="auto"/>
                <w:sz w:val="20"/>
                <w:szCs w:val="18"/>
                <w:highlight w:val="none"/>
              </w:rPr>
              <w:t>16</w:t>
            </w:r>
          </w:p>
        </w:tc>
        <w:tc>
          <w:tcPr>
            <w:tcW w:w="2700" w:type="dxa"/>
            <w:tcBorders>
              <w:top w:val="nil"/>
              <w:left w:val="nil"/>
              <w:bottom w:val="single" w:color="auto" w:sz="4" w:space="0"/>
              <w:right w:val="single" w:color="auto" w:sz="4" w:space="0"/>
            </w:tcBorders>
          </w:tcPr>
          <w:p>
            <w:pPr>
              <w:wordWrap w:val="0"/>
              <w:topLinePunct/>
              <w:rPr>
                <w:rFonts w:ascii="宋体" w:hAnsi="宋体"/>
                <w:color w:val="auto"/>
                <w:sz w:val="20"/>
                <w:szCs w:val="18"/>
                <w:highlight w:val="none"/>
              </w:rPr>
            </w:pPr>
            <w:r>
              <w:rPr>
                <w:rFonts w:hint="eastAsia" w:ascii="宋体" w:hAnsi="宋体"/>
                <w:color w:val="auto"/>
                <w:sz w:val="20"/>
                <w:szCs w:val="18"/>
                <w:highlight w:val="none"/>
              </w:rPr>
              <w:t>桥涵现况测量</w:t>
            </w: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914" w:type="dxa"/>
            <w:gridSpan w:val="2"/>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246"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094"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olor w:val="auto"/>
                <w:sz w:val="20"/>
                <w:szCs w:val="18"/>
                <w:highlight w:val="none"/>
              </w:rPr>
            </w:pPr>
            <w:r>
              <w:rPr>
                <w:rFonts w:hint="eastAsia" w:ascii="宋体" w:hAnsi="宋体"/>
                <w:color w:val="auto"/>
                <w:sz w:val="20"/>
                <w:szCs w:val="18"/>
                <w:highlight w:val="none"/>
              </w:rPr>
              <w:t>17</w:t>
            </w:r>
          </w:p>
        </w:tc>
        <w:tc>
          <w:tcPr>
            <w:tcW w:w="2700" w:type="dxa"/>
            <w:tcBorders>
              <w:top w:val="nil"/>
              <w:left w:val="nil"/>
              <w:bottom w:val="single" w:color="auto" w:sz="4" w:space="0"/>
              <w:right w:val="single" w:color="auto" w:sz="4" w:space="0"/>
            </w:tcBorders>
          </w:tcPr>
          <w:p>
            <w:pPr>
              <w:wordWrap w:val="0"/>
              <w:topLinePunct/>
              <w:rPr>
                <w:rFonts w:ascii="宋体" w:hAnsi="宋体"/>
                <w:color w:val="auto"/>
                <w:sz w:val="20"/>
                <w:szCs w:val="18"/>
                <w:highlight w:val="none"/>
              </w:rPr>
            </w:pPr>
            <w:r>
              <w:rPr>
                <w:rFonts w:hint="eastAsia" w:ascii="宋体" w:hAnsi="宋体"/>
                <w:color w:val="auto"/>
                <w:sz w:val="20"/>
                <w:szCs w:val="18"/>
                <w:highlight w:val="none"/>
              </w:rPr>
              <w:t>线高、悬高测量</w:t>
            </w: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914" w:type="dxa"/>
            <w:gridSpan w:val="2"/>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246"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094"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olor w:val="auto"/>
                <w:sz w:val="20"/>
                <w:szCs w:val="18"/>
                <w:highlight w:val="none"/>
              </w:rPr>
            </w:pPr>
            <w:r>
              <w:rPr>
                <w:rFonts w:hint="eastAsia" w:ascii="宋体" w:hAnsi="宋体"/>
                <w:color w:val="auto"/>
                <w:sz w:val="20"/>
                <w:szCs w:val="18"/>
                <w:highlight w:val="none"/>
              </w:rPr>
              <w:t>18</w:t>
            </w:r>
          </w:p>
        </w:tc>
        <w:tc>
          <w:tcPr>
            <w:tcW w:w="2700" w:type="dxa"/>
            <w:tcBorders>
              <w:top w:val="nil"/>
              <w:left w:val="nil"/>
              <w:bottom w:val="single" w:color="auto" w:sz="4" w:space="0"/>
              <w:right w:val="single" w:color="auto" w:sz="4" w:space="0"/>
            </w:tcBorders>
          </w:tcPr>
          <w:p>
            <w:pPr>
              <w:wordWrap w:val="0"/>
              <w:topLinePunct/>
              <w:rPr>
                <w:rFonts w:ascii="宋体" w:hAnsi="宋体"/>
                <w:color w:val="auto"/>
                <w:sz w:val="20"/>
                <w:szCs w:val="18"/>
                <w:highlight w:val="none"/>
              </w:rPr>
            </w:pPr>
            <w:r>
              <w:rPr>
                <w:rFonts w:hint="eastAsia" w:ascii="宋体" w:hAnsi="宋体"/>
                <w:color w:val="auto"/>
                <w:sz w:val="20"/>
                <w:szCs w:val="18"/>
                <w:highlight w:val="none"/>
              </w:rPr>
              <w:t>出水口调查</w:t>
            </w: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914" w:type="dxa"/>
            <w:gridSpan w:val="2"/>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246"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094"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olor w:val="auto"/>
                <w:sz w:val="20"/>
                <w:szCs w:val="18"/>
                <w:highlight w:val="none"/>
              </w:rPr>
            </w:pPr>
            <w:r>
              <w:rPr>
                <w:rFonts w:hint="eastAsia" w:ascii="宋体" w:hAnsi="宋体"/>
                <w:color w:val="auto"/>
                <w:sz w:val="20"/>
                <w:szCs w:val="18"/>
                <w:highlight w:val="none"/>
              </w:rPr>
              <w:t>19</w:t>
            </w:r>
          </w:p>
        </w:tc>
        <w:tc>
          <w:tcPr>
            <w:tcW w:w="2700" w:type="dxa"/>
            <w:tcBorders>
              <w:top w:val="nil"/>
              <w:left w:val="nil"/>
              <w:bottom w:val="single" w:color="auto" w:sz="4" w:space="0"/>
              <w:right w:val="single" w:color="auto" w:sz="4" w:space="0"/>
            </w:tcBorders>
          </w:tcPr>
          <w:p>
            <w:pPr>
              <w:wordWrap w:val="0"/>
              <w:topLinePunct/>
              <w:rPr>
                <w:rFonts w:ascii="宋体" w:hAnsi="宋体"/>
                <w:color w:val="auto"/>
                <w:sz w:val="20"/>
                <w:szCs w:val="18"/>
                <w:highlight w:val="none"/>
              </w:rPr>
            </w:pPr>
            <w:r>
              <w:rPr>
                <w:rFonts w:hint="eastAsia" w:ascii="宋体" w:hAnsi="宋体"/>
                <w:color w:val="auto"/>
                <w:sz w:val="20"/>
                <w:szCs w:val="18"/>
                <w:highlight w:val="none"/>
              </w:rPr>
              <w:t>路口标高加密测量</w:t>
            </w: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914" w:type="dxa"/>
            <w:gridSpan w:val="2"/>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246"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094"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olor w:val="auto"/>
                <w:sz w:val="20"/>
                <w:szCs w:val="18"/>
                <w:highlight w:val="none"/>
              </w:rPr>
              <w:t>20</w:t>
            </w:r>
          </w:p>
        </w:tc>
        <w:tc>
          <w:tcPr>
            <w:tcW w:w="2700" w:type="dxa"/>
            <w:tcBorders>
              <w:top w:val="nil"/>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olor w:val="auto"/>
                <w:sz w:val="20"/>
                <w:szCs w:val="18"/>
                <w:highlight w:val="none"/>
              </w:rPr>
              <w:t>其他小型工程测量</w:t>
            </w: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914" w:type="dxa"/>
            <w:gridSpan w:val="2"/>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1246"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094"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21</w:t>
            </w:r>
          </w:p>
        </w:tc>
        <w:tc>
          <w:tcPr>
            <w:tcW w:w="2700" w:type="dxa"/>
            <w:tcBorders>
              <w:top w:val="nil"/>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小计</w:t>
            </w: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914" w:type="dxa"/>
            <w:gridSpan w:val="2"/>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1246"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094" w:type="dxa"/>
            <w:tcBorders>
              <w:top w:val="nil"/>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22</w:t>
            </w:r>
          </w:p>
        </w:tc>
        <w:tc>
          <w:tcPr>
            <w:tcW w:w="2700" w:type="dxa"/>
            <w:tcBorders>
              <w:top w:val="nil"/>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技术工作费</w:t>
            </w:r>
          </w:p>
        </w:tc>
        <w:tc>
          <w:tcPr>
            <w:tcW w:w="4320" w:type="dxa"/>
            <w:gridSpan w:val="6"/>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094" w:type="dxa"/>
            <w:tcBorders>
              <w:top w:val="single" w:color="auto" w:sz="4" w:space="0"/>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23</w:t>
            </w:r>
          </w:p>
        </w:tc>
        <w:tc>
          <w:tcPr>
            <w:tcW w:w="2700" w:type="dxa"/>
            <w:tcBorders>
              <w:top w:val="nil"/>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高温附加费</w:t>
            </w:r>
          </w:p>
        </w:tc>
        <w:tc>
          <w:tcPr>
            <w:tcW w:w="4320" w:type="dxa"/>
            <w:gridSpan w:val="6"/>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094" w:type="dxa"/>
            <w:tcBorders>
              <w:top w:val="single" w:color="auto" w:sz="4" w:space="0"/>
              <w:left w:val="nil"/>
              <w:bottom w:val="single" w:color="auto" w:sz="4" w:space="0"/>
              <w:right w:val="single" w:color="auto" w:sz="4" w:space="0"/>
            </w:tcBorders>
          </w:tcPr>
          <w:p>
            <w:pPr>
              <w:wordWrap w:val="0"/>
              <w:topLinePunct/>
              <w:jc w:val="center"/>
              <w:rPr>
                <w:rFonts w:ascii="宋体" w:hAnsi="宋体" w:cs="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24</w:t>
            </w:r>
          </w:p>
        </w:tc>
        <w:tc>
          <w:tcPr>
            <w:tcW w:w="2700" w:type="dxa"/>
            <w:tcBorders>
              <w:top w:val="nil"/>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合计</w:t>
            </w: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0"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914" w:type="dxa"/>
            <w:gridSpan w:val="2"/>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246" w:type="dxa"/>
            <w:tcBorders>
              <w:top w:val="nil"/>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094" w:type="dxa"/>
            <w:tcBorders>
              <w:top w:val="single" w:color="auto" w:sz="4" w:space="0"/>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b/>
                <w:color w:val="auto"/>
                <w:sz w:val="20"/>
                <w:szCs w:val="18"/>
                <w:highlight w:val="none"/>
              </w:rPr>
            </w:pPr>
            <w:r>
              <w:rPr>
                <w:rFonts w:hint="eastAsia" w:ascii="宋体" w:hAnsi="宋体" w:cs="宋体"/>
                <w:b/>
                <w:color w:val="auto"/>
                <w:sz w:val="20"/>
                <w:szCs w:val="18"/>
                <w:highlight w:val="none"/>
              </w:rPr>
              <w:t>二</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b/>
                <w:color w:val="auto"/>
                <w:sz w:val="20"/>
                <w:szCs w:val="18"/>
                <w:highlight w:val="none"/>
              </w:rPr>
            </w:pPr>
            <w:r>
              <w:rPr>
                <w:rFonts w:hint="eastAsia" w:ascii="宋体" w:hAnsi="宋体" w:cs="宋体"/>
                <w:b/>
                <w:color w:val="auto"/>
                <w:sz w:val="20"/>
                <w:szCs w:val="18"/>
                <w:highlight w:val="none"/>
              </w:rPr>
              <w:t>管线探测费计算</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90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260" w:type="dxa"/>
            <w:gridSpan w:val="2"/>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b/>
                <w:strike/>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ascii="宋体" w:hAnsi="宋体" w:cs="宋体"/>
                <w:color w:val="auto"/>
                <w:sz w:val="20"/>
                <w:szCs w:val="18"/>
                <w:highlight w:val="none"/>
              </w:rPr>
              <w:t>1</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物探费计算</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90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260" w:type="dxa"/>
            <w:gridSpan w:val="2"/>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b/>
                <w:strike/>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ascii="宋体" w:hAnsi="宋体" w:cs="宋体"/>
                <w:color w:val="auto"/>
                <w:sz w:val="20"/>
                <w:szCs w:val="18"/>
                <w:highlight w:val="none"/>
              </w:rPr>
              <w:t>1.1</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雨水管物探</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90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260" w:type="dxa"/>
            <w:gridSpan w:val="2"/>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ascii="宋体" w:hAnsi="宋体" w:cs="宋体"/>
                <w:color w:val="auto"/>
                <w:sz w:val="20"/>
                <w:szCs w:val="18"/>
                <w:highlight w:val="none"/>
              </w:rPr>
              <w:t>1.2</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污水管物探</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90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260" w:type="dxa"/>
            <w:gridSpan w:val="2"/>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ascii="宋体" w:hAnsi="宋体" w:cs="宋体"/>
                <w:color w:val="auto"/>
                <w:sz w:val="20"/>
                <w:szCs w:val="18"/>
                <w:highlight w:val="none"/>
              </w:rPr>
              <w:t>1.3</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给水管物探</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90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260" w:type="dxa"/>
            <w:gridSpan w:val="2"/>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ascii="宋体" w:hAnsi="宋体" w:cs="宋体"/>
                <w:color w:val="auto"/>
                <w:sz w:val="20"/>
                <w:szCs w:val="18"/>
                <w:highlight w:val="none"/>
              </w:rPr>
              <w:t>1.4</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电力管线物探</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90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260" w:type="dxa"/>
            <w:gridSpan w:val="2"/>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ascii="宋体" w:hAnsi="宋体" w:cs="宋体"/>
                <w:color w:val="auto"/>
                <w:sz w:val="20"/>
                <w:szCs w:val="18"/>
                <w:highlight w:val="none"/>
              </w:rPr>
              <w:t>1.5</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电信管线物探</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90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260" w:type="dxa"/>
            <w:gridSpan w:val="2"/>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1.6</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燃气管物探</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90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260" w:type="dxa"/>
            <w:gridSpan w:val="2"/>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1.7</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其他工业管线物探</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90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260" w:type="dxa"/>
            <w:gridSpan w:val="2"/>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ascii="宋体" w:hAnsi="宋体" w:cs="宋体"/>
                <w:color w:val="auto"/>
                <w:sz w:val="20"/>
                <w:szCs w:val="18"/>
                <w:highlight w:val="none"/>
              </w:rPr>
              <w:t>1.</w:t>
            </w:r>
            <w:r>
              <w:rPr>
                <w:rFonts w:hint="eastAsia" w:ascii="宋体" w:hAnsi="宋体" w:cs="宋体"/>
                <w:color w:val="auto"/>
                <w:sz w:val="20"/>
                <w:szCs w:val="18"/>
                <w:highlight w:val="none"/>
              </w:rPr>
              <w:t>8</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小计</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90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260" w:type="dxa"/>
            <w:gridSpan w:val="2"/>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1" w:type="dxa"/>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ascii="宋体" w:hAnsi="宋体" w:cs="宋体"/>
                <w:color w:val="auto"/>
                <w:sz w:val="20"/>
                <w:szCs w:val="18"/>
                <w:highlight w:val="none"/>
              </w:rPr>
              <w:t>2</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管线测量</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90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260" w:type="dxa"/>
            <w:gridSpan w:val="2"/>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b/>
                <w:strike/>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ascii="宋体" w:hAnsi="宋体" w:cs="宋体"/>
                <w:color w:val="auto"/>
                <w:sz w:val="20"/>
                <w:szCs w:val="18"/>
                <w:highlight w:val="none"/>
              </w:rPr>
              <w:t>2.1</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雨水管测量</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90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260" w:type="dxa"/>
            <w:gridSpan w:val="2"/>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ascii="宋体" w:hAnsi="宋体" w:cs="宋体"/>
                <w:color w:val="auto"/>
                <w:sz w:val="20"/>
                <w:szCs w:val="18"/>
                <w:highlight w:val="none"/>
              </w:rPr>
              <w:t>2.2</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污水管测量</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90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260" w:type="dxa"/>
            <w:gridSpan w:val="2"/>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ascii="宋体" w:hAnsi="宋体" w:cs="宋体"/>
                <w:color w:val="auto"/>
                <w:sz w:val="20"/>
                <w:szCs w:val="18"/>
                <w:highlight w:val="none"/>
              </w:rPr>
              <w:t>2.3</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给水管测量</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90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260" w:type="dxa"/>
            <w:gridSpan w:val="2"/>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ascii="宋体" w:hAnsi="宋体" w:cs="宋体"/>
                <w:color w:val="auto"/>
                <w:sz w:val="20"/>
                <w:szCs w:val="18"/>
                <w:highlight w:val="none"/>
              </w:rPr>
              <w:t>2.4</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电力管线测量</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90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260" w:type="dxa"/>
            <w:gridSpan w:val="2"/>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ascii="宋体" w:hAnsi="宋体" w:cs="宋体"/>
                <w:color w:val="auto"/>
                <w:sz w:val="20"/>
                <w:szCs w:val="18"/>
                <w:highlight w:val="none"/>
              </w:rPr>
              <w:t>2.5</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电信管线测量</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90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260" w:type="dxa"/>
            <w:gridSpan w:val="2"/>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2.6</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燃气管测量</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90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260" w:type="dxa"/>
            <w:gridSpan w:val="2"/>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2.7</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其他工业管线测量</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90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260" w:type="dxa"/>
            <w:gridSpan w:val="2"/>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ascii="宋体" w:hAnsi="宋体" w:cs="宋体"/>
                <w:color w:val="auto"/>
                <w:sz w:val="20"/>
                <w:szCs w:val="18"/>
                <w:highlight w:val="none"/>
              </w:rPr>
              <w:t>2.</w:t>
            </w:r>
            <w:r>
              <w:rPr>
                <w:rFonts w:hint="eastAsia" w:ascii="宋体" w:hAnsi="宋体" w:cs="宋体"/>
                <w:color w:val="auto"/>
                <w:sz w:val="20"/>
                <w:szCs w:val="18"/>
                <w:highlight w:val="none"/>
              </w:rPr>
              <w:t>8</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标高测点</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90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260" w:type="dxa"/>
            <w:gridSpan w:val="2"/>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ascii="宋体" w:hAnsi="宋体" w:cs="宋体"/>
                <w:color w:val="auto"/>
                <w:sz w:val="20"/>
                <w:szCs w:val="18"/>
                <w:highlight w:val="none"/>
              </w:rPr>
              <w:t>2.</w:t>
            </w:r>
            <w:r>
              <w:rPr>
                <w:rFonts w:hint="eastAsia" w:ascii="宋体" w:hAnsi="宋体" w:cs="宋体"/>
                <w:color w:val="auto"/>
                <w:sz w:val="20"/>
                <w:szCs w:val="18"/>
                <w:highlight w:val="none"/>
              </w:rPr>
              <w:t>9</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小计</w:t>
            </w: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900" w:type="dxa"/>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260" w:type="dxa"/>
            <w:gridSpan w:val="2"/>
            <w:tcBorders>
              <w:top w:val="single" w:color="auto" w:sz="4" w:space="0"/>
              <w:left w:val="nil"/>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strike/>
                <w:color w:val="auto"/>
                <w:sz w:val="20"/>
                <w:szCs w:val="18"/>
                <w:highlight w:val="none"/>
              </w:rPr>
            </w:pPr>
          </w:p>
        </w:tc>
        <w:tc>
          <w:tcPr>
            <w:tcW w:w="721" w:type="dxa"/>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ascii="宋体" w:hAnsi="宋体" w:cs="宋体"/>
                <w:color w:val="auto"/>
                <w:sz w:val="20"/>
                <w:szCs w:val="18"/>
                <w:highlight w:val="none"/>
              </w:rPr>
              <w:t>3</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技术工作费</w:t>
            </w:r>
          </w:p>
        </w:tc>
        <w:tc>
          <w:tcPr>
            <w:tcW w:w="4320" w:type="dxa"/>
            <w:gridSpan w:val="6"/>
            <w:tcBorders>
              <w:top w:val="single" w:color="auto" w:sz="4" w:space="0"/>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4</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合计</w:t>
            </w:r>
          </w:p>
        </w:tc>
        <w:tc>
          <w:tcPr>
            <w:tcW w:w="4320" w:type="dxa"/>
            <w:gridSpan w:val="6"/>
            <w:tcBorders>
              <w:top w:val="single" w:color="auto" w:sz="4" w:space="0"/>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cs="宋体"/>
                <w:color w:val="auto"/>
                <w:sz w:val="20"/>
                <w:szCs w:val="18"/>
                <w:highlight w:val="none"/>
              </w:rPr>
            </w:pPr>
            <w:r>
              <w:rPr>
                <w:rFonts w:hint="eastAsia" w:ascii="宋体" w:hAnsi="宋体" w:cs="宋体"/>
                <w:color w:val="auto"/>
                <w:sz w:val="20"/>
                <w:szCs w:val="18"/>
                <w:highlight w:val="none"/>
              </w:rPr>
              <w:t>三</w:t>
            </w:r>
          </w:p>
        </w:tc>
        <w:tc>
          <w:tcPr>
            <w:tcW w:w="2700" w:type="dxa"/>
            <w:tcBorders>
              <w:top w:val="single" w:color="auto" w:sz="4" w:space="0"/>
              <w:left w:val="nil"/>
              <w:bottom w:val="single" w:color="auto" w:sz="4" w:space="0"/>
              <w:right w:val="single" w:color="auto" w:sz="4" w:space="0"/>
            </w:tcBorders>
          </w:tcPr>
          <w:p>
            <w:pPr>
              <w:wordWrap w:val="0"/>
              <w:topLinePunct/>
              <w:rPr>
                <w:rFonts w:ascii="宋体" w:hAnsi="宋体" w:cs="宋体"/>
                <w:color w:val="auto"/>
                <w:sz w:val="20"/>
                <w:szCs w:val="18"/>
                <w:highlight w:val="none"/>
              </w:rPr>
            </w:pPr>
            <w:r>
              <w:rPr>
                <w:rFonts w:hint="eastAsia" w:ascii="宋体" w:hAnsi="宋体" w:cs="宋体"/>
                <w:color w:val="auto"/>
                <w:sz w:val="20"/>
                <w:szCs w:val="18"/>
                <w:highlight w:val="none"/>
              </w:rPr>
              <w:t>实际应收费</w:t>
            </w:r>
          </w:p>
        </w:tc>
        <w:tc>
          <w:tcPr>
            <w:tcW w:w="4320" w:type="dxa"/>
            <w:gridSpan w:val="6"/>
            <w:tcBorders>
              <w:top w:val="single" w:color="auto" w:sz="4" w:space="0"/>
              <w:left w:val="nil"/>
              <w:bottom w:val="single" w:color="auto" w:sz="4" w:space="0"/>
              <w:right w:val="single" w:color="auto" w:sz="4" w:space="0"/>
            </w:tcBorders>
          </w:tcPr>
          <w:p>
            <w:pPr>
              <w:wordWrap w:val="0"/>
              <w:topLinePunct/>
              <w:jc w:val="center"/>
              <w:rPr>
                <w:rFonts w:ascii="宋体" w:hAnsi="宋体"/>
                <w:color w:val="auto"/>
                <w:sz w:val="20"/>
                <w:szCs w:val="18"/>
                <w:highlight w:val="none"/>
              </w:rPr>
            </w:pPr>
          </w:p>
        </w:tc>
        <w:tc>
          <w:tcPr>
            <w:tcW w:w="1094" w:type="dxa"/>
            <w:tcBorders>
              <w:top w:val="single" w:color="auto" w:sz="4" w:space="0"/>
              <w:left w:val="single" w:color="auto" w:sz="4" w:space="0"/>
              <w:bottom w:val="single" w:color="auto" w:sz="4" w:space="0"/>
              <w:right w:val="single" w:color="auto" w:sz="4" w:space="0"/>
            </w:tcBorders>
          </w:tcPr>
          <w:p>
            <w:pPr>
              <w:wordWrap w:val="0"/>
              <w:topLinePunct/>
              <w:jc w:val="center"/>
              <w:rPr>
                <w:rFonts w:ascii="宋体" w:hAnsi="宋体"/>
                <w:b/>
                <w:color w:val="auto"/>
                <w:sz w:val="20"/>
                <w:szCs w:val="18"/>
                <w:highlight w:val="none"/>
              </w:rPr>
            </w:pPr>
          </w:p>
        </w:tc>
        <w:tc>
          <w:tcPr>
            <w:tcW w:w="721" w:type="dxa"/>
            <w:vMerge w:val="continue"/>
            <w:tcBorders>
              <w:left w:val="nil"/>
              <w:right w:val="single" w:color="auto" w:sz="4" w:space="0"/>
            </w:tcBorders>
            <w:vAlign w:val="center"/>
          </w:tcPr>
          <w:p>
            <w:pPr>
              <w:wordWrap w:val="0"/>
              <w:topLinePunct/>
              <w:rPr>
                <w:rFonts w:ascii="宋体" w:hAnsi="宋体" w:cs="宋体"/>
                <w:color w:val="auto"/>
                <w:sz w:val="20"/>
                <w:szCs w:val="18"/>
                <w:highlight w:val="none"/>
              </w:rPr>
            </w:pPr>
          </w:p>
        </w:tc>
      </w:tr>
    </w:tbl>
    <w:p>
      <w:pPr>
        <w:ind w:firstLine="424" w:firstLineChars="202"/>
        <w:rPr>
          <w:rFonts w:ascii="宋体" w:hAnsi="宋体"/>
          <w:color w:val="auto"/>
          <w:highlight w:val="none"/>
        </w:rPr>
      </w:pPr>
      <w:r>
        <w:rPr>
          <w:rFonts w:hint="eastAsia" w:ascii="宋体" w:hAnsi="宋体"/>
          <w:color w:val="auto"/>
          <w:highlight w:val="none"/>
        </w:rPr>
        <w:t>注：工程测量费、工程物探费，按国家发展计划委员会、建设部2002年颁布的《工程勘察设计收费标准》、《关于印发广州市黄埔区 广州开发区政府投资建设项目资金管理办法的通知》（穗埔财〔2020〕373 号）及《广州开发区财政投资建设项目管理中心咨询服务类合同结算编审指引（2021年修订版）》（穗开建管〔2021〕33号）计算，浮动幅度为下浮30%。用于办理规划报建用地预审、规划国土等手续的1:500地形测量收费标准按国家测绘局颁发的国家测绘产品价格收费标准计取并下浮30%。按国测财字[2002]3号文计取单价的项目，不予计取技术工作费。</w:t>
      </w:r>
    </w:p>
    <w:p>
      <w:pPr>
        <w:ind w:firstLine="424" w:firstLineChars="202"/>
        <w:rPr>
          <w:rFonts w:ascii="宋体" w:hAnsi="宋体"/>
          <w:color w:val="auto"/>
          <w:highlight w:val="none"/>
        </w:rPr>
      </w:pPr>
      <w:r>
        <w:rPr>
          <w:rFonts w:hint="eastAsia" w:ascii="宋体" w:hAnsi="宋体"/>
          <w:color w:val="auto"/>
          <w:highlight w:val="none"/>
        </w:rPr>
        <w:t>投标人需严格按表中测量费计算依据所列项目报价，不得增减分项目，否则属于投标报价不符合招标文件规定。如投标人认为计算依据所列项目中的某一项不需计算，投标报价应为“0”。</w:t>
      </w:r>
    </w:p>
    <w:p>
      <w:pPr>
        <w:ind w:firstLine="424" w:firstLineChars="202"/>
        <w:rPr>
          <w:rFonts w:ascii="宋体" w:hAnsi="宋体"/>
          <w:color w:val="auto"/>
          <w:sz w:val="22"/>
          <w:highlight w:val="none"/>
        </w:rPr>
      </w:pPr>
      <w:r>
        <w:rPr>
          <w:rFonts w:hint="eastAsia" w:ascii="宋体" w:hAnsi="宋体"/>
          <w:color w:val="auto"/>
          <w:highlight w:val="none"/>
        </w:rPr>
        <w:t>最终测量内容和工作量以招标人根据现场实际情况确认为准。</w:t>
      </w:r>
    </w:p>
    <w:p>
      <w:pPr>
        <w:ind w:firstLine="444" w:firstLineChars="202"/>
        <w:rPr>
          <w:rFonts w:ascii="宋体" w:hAnsi="宋体"/>
          <w:color w:val="auto"/>
          <w:sz w:val="22"/>
          <w:highlight w:val="none"/>
        </w:rPr>
      </w:pPr>
    </w:p>
    <w:p>
      <w:pPr>
        <w:wordWrap w:val="0"/>
        <w:topLinePunct/>
        <w:snapToGrid w:val="0"/>
        <w:spacing w:line="240" w:lineRule="atLeast"/>
        <w:ind w:right="-687" w:rightChars="-327"/>
        <w:rPr>
          <w:rFonts w:ascii="宋体" w:hAnsi="宋体"/>
          <w:bCs/>
          <w:color w:val="auto"/>
          <w:sz w:val="24"/>
          <w:highlight w:val="none"/>
        </w:rPr>
      </w:pPr>
    </w:p>
    <w:p>
      <w:pPr>
        <w:spacing w:line="320" w:lineRule="exact"/>
        <w:rPr>
          <w:rFonts w:ascii="宋体" w:hAnsi="宋体"/>
          <w:color w:val="auto"/>
          <w:szCs w:val="21"/>
          <w:highlight w:val="none"/>
        </w:rPr>
      </w:pPr>
    </w:p>
    <w:p>
      <w:pPr>
        <w:pStyle w:val="4"/>
        <w:rPr>
          <w:color w:val="auto"/>
          <w:highlight w:val="none"/>
        </w:rPr>
      </w:pPr>
      <w:r>
        <w:rPr>
          <w:color w:val="auto"/>
          <w:highlight w:val="none"/>
        </w:rPr>
        <w:br w:type="page"/>
      </w:r>
      <w:bookmarkStart w:id="36" w:name="_Toc4668"/>
      <w:bookmarkStart w:id="37" w:name="_Toc99463990"/>
      <w:bookmarkStart w:id="38" w:name="_Toc13864"/>
      <w:r>
        <w:rPr>
          <w:rFonts w:hint="eastAsia"/>
          <w:color w:val="auto"/>
          <w:highlight w:val="none"/>
        </w:rPr>
        <w:t>附录3-3：投标报价汇总表</w:t>
      </w:r>
      <w:bookmarkEnd w:id="36"/>
      <w:bookmarkEnd w:id="37"/>
      <w:bookmarkEnd w:id="38"/>
    </w:p>
    <w:p>
      <w:pPr>
        <w:jc w:val="center"/>
        <w:rPr>
          <w:rFonts w:ascii="宋体" w:hAnsi="宋体"/>
          <w:b/>
          <w:color w:val="auto"/>
          <w:sz w:val="32"/>
          <w:highlight w:val="none"/>
        </w:rPr>
      </w:pPr>
      <w:r>
        <w:rPr>
          <w:rFonts w:hint="eastAsia" w:ascii="宋体" w:hAnsi="宋体"/>
          <w:b/>
          <w:color w:val="auto"/>
          <w:sz w:val="32"/>
          <w:highlight w:val="none"/>
        </w:rPr>
        <w:t>投标报价汇总表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4603"/>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214" w:type="dxa"/>
            <w:vAlign w:val="center"/>
          </w:tcPr>
          <w:p>
            <w:pPr>
              <w:topLinePunct/>
              <w:snapToGrid w:val="0"/>
              <w:spacing w:line="240" w:lineRule="atLeast"/>
              <w:ind w:right="-130" w:rightChars="-62"/>
              <w:jc w:val="center"/>
              <w:outlineLvl w:val="1"/>
              <w:rPr>
                <w:rFonts w:ascii="宋体" w:hAnsi="宋体"/>
                <w:b/>
                <w:bCs/>
                <w:color w:val="auto"/>
                <w:sz w:val="24"/>
                <w:highlight w:val="none"/>
              </w:rPr>
            </w:pPr>
            <w:bookmarkStart w:id="39" w:name="_Toc12007"/>
            <w:bookmarkStart w:id="40" w:name="_Toc99463788"/>
            <w:bookmarkStart w:id="41" w:name="_Toc10297"/>
            <w:bookmarkStart w:id="42" w:name="_Toc99463991"/>
            <w:r>
              <w:rPr>
                <w:rFonts w:hint="eastAsia" w:ascii="宋体" w:hAnsi="宋体"/>
                <w:b/>
                <w:bCs/>
                <w:color w:val="auto"/>
                <w:sz w:val="24"/>
                <w:highlight w:val="none"/>
              </w:rPr>
              <w:t>序号</w:t>
            </w:r>
            <w:bookmarkEnd w:id="39"/>
            <w:bookmarkEnd w:id="40"/>
            <w:bookmarkEnd w:id="41"/>
            <w:bookmarkEnd w:id="42"/>
          </w:p>
        </w:tc>
        <w:tc>
          <w:tcPr>
            <w:tcW w:w="4603" w:type="dxa"/>
            <w:vAlign w:val="center"/>
          </w:tcPr>
          <w:p>
            <w:pPr>
              <w:wordWrap w:val="0"/>
              <w:topLinePunct/>
              <w:snapToGrid w:val="0"/>
              <w:spacing w:line="240" w:lineRule="atLeast"/>
              <w:ind w:right="-63" w:rightChars="-30"/>
              <w:jc w:val="center"/>
              <w:outlineLvl w:val="1"/>
              <w:rPr>
                <w:rFonts w:ascii="宋体" w:hAnsi="宋体"/>
                <w:b/>
                <w:bCs/>
                <w:color w:val="auto"/>
                <w:sz w:val="24"/>
                <w:highlight w:val="none"/>
              </w:rPr>
            </w:pPr>
            <w:bookmarkStart w:id="43" w:name="_Toc99463789"/>
            <w:bookmarkStart w:id="44" w:name="_Toc28783"/>
            <w:bookmarkStart w:id="45" w:name="_Toc23596"/>
            <w:bookmarkStart w:id="46" w:name="_Toc99463992"/>
            <w:r>
              <w:rPr>
                <w:rFonts w:hint="eastAsia" w:ascii="宋体" w:hAnsi="宋体"/>
                <w:b/>
                <w:bCs/>
                <w:color w:val="auto"/>
                <w:sz w:val="24"/>
                <w:highlight w:val="none"/>
              </w:rPr>
              <w:t>项目</w:t>
            </w:r>
            <w:bookmarkEnd w:id="43"/>
            <w:bookmarkEnd w:id="44"/>
            <w:bookmarkEnd w:id="45"/>
            <w:bookmarkEnd w:id="46"/>
          </w:p>
        </w:tc>
        <w:tc>
          <w:tcPr>
            <w:tcW w:w="2982" w:type="dxa"/>
            <w:vAlign w:val="center"/>
          </w:tcPr>
          <w:p>
            <w:pPr>
              <w:topLinePunct/>
              <w:snapToGrid w:val="0"/>
              <w:spacing w:line="240" w:lineRule="atLeast"/>
              <w:ind w:right="-59" w:rightChars="-28"/>
              <w:jc w:val="center"/>
              <w:outlineLvl w:val="1"/>
              <w:rPr>
                <w:rFonts w:ascii="宋体" w:hAnsi="宋体"/>
                <w:b/>
                <w:bCs/>
                <w:color w:val="auto"/>
                <w:sz w:val="24"/>
                <w:highlight w:val="none"/>
              </w:rPr>
            </w:pPr>
            <w:bookmarkStart w:id="47" w:name="_Toc99463790"/>
            <w:bookmarkStart w:id="48" w:name="_Toc99463993"/>
            <w:bookmarkStart w:id="49" w:name="_Toc13459"/>
            <w:bookmarkStart w:id="50" w:name="_Toc21422"/>
            <w:r>
              <w:rPr>
                <w:rFonts w:hint="eastAsia" w:ascii="宋体" w:hAnsi="宋体"/>
                <w:b/>
                <w:bCs/>
                <w:color w:val="auto"/>
                <w:sz w:val="24"/>
                <w:highlight w:val="none"/>
              </w:rPr>
              <w:t>金额（元）</w:t>
            </w:r>
            <w:bookmarkEnd w:id="47"/>
            <w:bookmarkEnd w:id="48"/>
            <w:bookmarkEnd w:id="49"/>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214" w:type="dxa"/>
            <w:vAlign w:val="center"/>
          </w:tcPr>
          <w:p>
            <w:pPr>
              <w:topLinePunct/>
              <w:snapToGrid w:val="0"/>
              <w:spacing w:line="240" w:lineRule="atLeast"/>
              <w:ind w:right="-130" w:rightChars="-62"/>
              <w:jc w:val="center"/>
              <w:outlineLvl w:val="1"/>
              <w:rPr>
                <w:rFonts w:ascii="宋体" w:hAnsi="宋体"/>
                <w:b/>
                <w:bCs/>
                <w:color w:val="auto"/>
                <w:sz w:val="24"/>
                <w:highlight w:val="none"/>
              </w:rPr>
            </w:pPr>
            <w:bookmarkStart w:id="51" w:name="_Toc99463791"/>
            <w:bookmarkStart w:id="52" w:name="_Toc22153"/>
            <w:bookmarkStart w:id="53" w:name="_Toc10015"/>
            <w:bookmarkStart w:id="54" w:name="_Toc99463994"/>
            <w:r>
              <w:rPr>
                <w:rFonts w:hint="eastAsia" w:ascii="宋体" w:hAnsi="宋体"/>
                <w:b/>
                <w:bCs/>
                <w:color w:val="auto"/>
                <w:sz w:val="24"/>
                <w:highlight w:val="none"/>
              </w:rPr>
              <w:t>1</w:t>
            </w:r>
            <w:bookmarkEnd w:id="51"/>
            <w:bookmarkEnd w:id="52"/>
            <w:bookmarkEnd w:id="53"/>
            <w:bookmarkEnd w:id="54"/>
          </w:p>
        </w:tc>
        <w:tc>
          <w:tcPr>
            <w:tcW w:w="4603" w:type="dxa"/>
            <w:vAlign w:val="center"/>
          </w:tcPr>
          <w:p>
            <w:pPr>
              <w:topLinePunct/>
              <w:snapToGrid w:val="0"/>
              <w:spacing w:line="240" w:lineRule="atLeast"/>
              <w:ind w:right="-63" w:rightChars="-30"/>
              <w:jc w:val="center"/>
              <w:outlineLvl w:val="1"/>
              <w:rPr>
                <w:rFonts w:ascii="宋体" w:hAnsi="宋体"/>
                <w:b/>
                <w:bCs/>
                <w:color w:val="auto"/>
                <w:sz w:val="24"/>
                <w:highlight w:val="none"/>
              </w:rPr>
            </w:pPr>
            <w:bookmarkStart w:id="55" w:name="_Toc5970"/>
            <w:bookmarkStart w:id="56" w:name="_Toc99463995"/>
            <w:bookmarkStart w:id="57" w:name="_Toc99463792"/>
            <w:bookmarkStart w:id="58" w:name="_Toc5934"/>
            <w:r>
              <w:rPr>
                <w:rFonts w:hint="eastAsia" w:ascii="宋体" w:hAnsi="宋体"/>
                <w:b/>
                <w:bCs/>
                <w:color w:val="auto"/>
                <w:sz w:val="24"/>
                <w:highlight w:val="none"/>
              </w:rPr>
              <w:t>设计费报价</w:t>
            </w:r>
            <w:bookmarkEnd w:id="55"/>
            <w:bookmarkEnd w:id="56"/>
            <w:bookmarkEnd w:id="57"/>
            <w:bookmarkEnd w:id="58"/>
          </w:p>
        </w:tc>
        <w:tc>
          <w:tcPr>
            <w:tcW w:w="2982" w:type="dxa"/>
            <w:vAlign w:val="center"/>
          </w:tcPr>
          <w:p>
            <w:pPr>
              <w:wordWrap w:val="0"/>
              <w:topLinePunct/>
              <w:snapToGrid w:val="0"/>
              <w:spacing w:line="240" w:lineRule="atLeast"/>
              <w:ind w:right="-199" w:rightChars="-95"/>
              <w:jc w:val="center"/>
              <w:outlineLvl w:val="1"/>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14" w:type="dxa"/>
            <w:vAlign w:val="center"/>
          </w:tcPr>
          <w:p>
            <w:pPr>
              <w:wordWrap w:val="0"/>
              <w:topLinePunct/>
              <w:snapToGrid w:val="0"/>
              <w:spacing w:line="240" w:lineRule="atLeast"/>
              <w:ind w:right="-130" w:rightChars="-62"/>
              <w:jc w:val="center"/>
              <w:outlineLvl w:val="1"/>
              <w:rPr>
                <w:rFonts w:ascii="宋体" w:hAnsi="宋体"/>
                <w:b/>
                <w:bCs/>
                <w:color w:val="auto"/>
                <w:sz w:val="24"/>
                <w:highlight w:val="none"/>
              </w:rPr>
            </w:pPr>
            <w:bookmarkStart w:id="59" w:name="_Toc99463793"/>
            <w:bookmarkStart w:id="60" w:name="_Toc8719"/>
            <w:bookmarkStart w:id="61" w:name="_Toc99463996"/>
            <w:bookmarkStart w:id="62" w:name="_Toc10342"/>
            <w:r>
              <w:rPr>
                <w:rFonts w:hint="eastAsia" w:ascii="宋体" w:hAnsi="宋体"/>
                <w:b/>
                <w:bCs/>
                <w:color w:val="auto"/>
                <w:sz w:val="24"/>
                <w:highlight w:val="none"/>
              </w:rPr>
              <w:t>2</w:t>
            </w:r>
            <w:bookmarkEnd w:id="59"/>
            <w:bookmarkEnd w:id="60"/>
            <w:bookmarkEnd w:id="61"/>
            <w:bookmarkEnd w:id="62"/>
          </w:p>
        </w:tc>
        <w:tc>
          <w:tcPr>
            <w:tcW w:w="4603" w:type="dxa"/>
            <w:vAlign w:val="center"/>
          </w:tcPr>
          <w:p>
            <w:pPr>
              <w:wordWrap w:val="0"/>
              <w:topLinePunct/>
              <w:snapToGrid w:val="0"/>
              <w:spacing w:line="240" w:lineRule="atLeast"/>
              <w:ind w:right="-63" w:rightChars="-30"/>
              <w:jc w:val="center"/>
              <w:outlineLvl w:val="1"/>
              <w:rPr>
                <w:rFonts w:ascii="宋体" w:hAnsi="宋体"/>
                <w:b/>
                <w:bCs/>
                <w:color w:val="auto"/>
                <w:sz w:val="24"/>
                <w:highlight w:val="none"/>
              </w:rPr>
            </w:pPr>
            <w:bookmarkStart w:id="63" w:name="_Toc99463794"/>
            <w:bookmarkStart w:id="64" w:name="_Toc25011"/>
            <w:bookmarkStart w:id="65" w:name="_Toc25742"/>
            <w:bookmarkStart w:id="66" w:name="_Toc99463997"/>
            <w:r>
              <w:rPr>
                <w:rFonts w:hint="eastAsia" w:ascii="宋体" w:hAnsi="宋体"/>
                <w:b/>
                <w:bCs/>
                <w:color w:val="auto"/>
                <w:sz w:val="24"/>
                <w:highlight w:val="none"/>
              </w:rPr>
              <w:t>勘察费报价</w:t>
            </w:r>
            <w:bookmarkEnd w:id="63"/>
            <w:bookmarkEnd w:id="64"/>
            <w:bookmarkEnd w:id="65"/>
            <w:bookmarkEnd w:id="66"/>
          </w:p>
        </w:tc>
        <w:tc>
          <w:tcPr>
            <w:tcW w:w="2982" w:type="dxa"/>
            <w:vAlign w:val="center"/>
          </w:tcPr>
          <w:p>
            <w:pPr>
              <w:wordWrap w:val="0"/>
              <w:topLinePunct/>
              <w:snapToGrid w:val="0"/>
              <w:spacing w:line="240" w:lineRule="atLeast"/>
              <w:ind w:right="-199" w:rightChars="-95"/>
              <w:jc w:val="center"/>
              <w:outlineLvl w:val="1"/>
              <w:rPr>
                <w:rFonts w:ascii="宋体" w:hAnsi="宋体"/>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14" w:type="dxa"/>
            <w:vAlign w:val="center"/>
          </w:tcPr>
          <w:p>
            <w:pPr>
              <w:wordWrap w:val="0"/>
              <w:topLinePunct/>
              <w:snapToGrid w:val="0"/>
              <w:spacing w:line="240" w:lineRule="atLeast"/>
              <w:ind w:right="-130" w:rightChars="-62"/>
              <w:jc w:val="center"/>
              <w:outlineLvl w:val="1"/>
              <w:rPr>
                <w:rFonts w:ascii="宋体" w:hAnsi="宋体"/>
                <w:b/>
                <w:bCs/>
                <w:color w:val="auto"/>
                <w:sz w:val="24"/>
                <w:highlight w:val="none"/>
              </w:rPr>
            </w:pPr>
            <w:bookmarkStart w:id="67" w:name="_Toc28066"/>
            <w:bookmarkStart w:id="68" w:name="_Toc99463795"/>
            <w:bookmarkStart w:id="69" w:name="_Toc99463998"/>
            <w:bookmarkStart w:id="70" w:name="_Toc25820"/>
            <w:r>
              <w:rPr>
                <w:rFonts w:hint="eastAsia" w:ascii="宋体" w:hAnsi="宋体"/>
                <w:b/>
                <w:bCs/>
                <w:color w:val="auto"/>
                <w:sz w:val="24"/>
                <w:highlight w:val="none"/>
              </w:rPr>
              <w:t>3</w:t>
            </w:r>
            <w:bookmarkEnd w:id="67"/>
            <w:bookmarkEnd w:id="68"/>
            <w:bookmarkEnd w:id="69"/>
            <w:bookmarkEnd w:id="70"/>
          </w:p>
        </w:tc>
        <w:tc>
          <w:tcPr>
            <w:tcW w:w="4603" w:type="dxa"/>
            <w:vAlign w:val="center"/>
          </w:tcPr>
          <w:p>
            <w:pPr>
              <w:wordWrap w:val="0"/>
              <w:topLinePunct/>
              <w:snapToGrid w:val="0"/>
              <w:spacing w:line="240" w:lineRule="atLeast"/>
              <w:ind w:right="-63" w:rightChars="-30"/>
              <w:jc w:val="center"/>
              <w:outlineLvl w:val="1"/>
              <w:rPr>
                <w:rFonts w:ascii="宋体" w:hAnsi="宋体"/>
                <w:b/>
                <w:bCs/>
                <w:color w:val="auto"/>
                <w:sz w:val="24"/>
                <w:highlight w:val="none"/>
              </w:rPr>
            </w:pPr>
            <w:bookmarkStart w:id="71" w:name="_Toc99463999"/>
            <w:bookmarkStart w:id="72" w:name="_Toc99463796"/>
            <w:bookmarkStart w:id="73" w:name="_Toc26164"/>
            <w:bookmarkStart w:id="74" w:name="_Toc31958"/>
            <w:r>
              <w:rPr>
                <w:rFonts w:hint="eastAsia" w:ascii="宋体" w:hAnsi="宋体"/>
                <w:b/>
                <w:bCs/>
                <w:color w:val="auto"/>
                <w:sz w:val="24"/>
                <w:highlight w:val="none"/>
              </w:rPr>
              <w:t>投标总报价</w:t>
            </w:r>
            <w:bookmarkEnd w:id="71"/>
            <w:bookmarkEnd w:id="72"/>
            <w:bookmarkEnd w:id="73"/>
            <w:bookmarkEnd w:id="74"/>
          </w:p>
        </w:tc>
        <w:tc>
          <w:tcPr>
            <w:tcW w:w="2982" w:type="dxa"/>
            <w:vAlign w:val="center"/>
          </w:tcPr>
          <w:p>
            <w:pPr>
              <w:wordWrap w:val="0"/>
              <w:topLinePunct/>
              <w:snapToGrid w:val="0"/>
              <w:spacing w:line="240" w:lineRule="atLeast"/>
              <w:ind w:right="-199" w:rightChars="-95"/>
              <w:jc w:val="center"/>
              <w:outlineLvl w:val="1"/>
              <w:rPr>
                <w:rFonts w:ascii="宋体" w:hAnsi="宋体"/>
                <w:b/>
                <w:bCs/>
                <w:color w:val="auto"/>
                <w:sz w:val="24"/>
                <w:highlight w:val="none"/>
              </w:rPr>
            </w:pPr>
          </w:p>
        </w:tc>
      </w:tr>
    </w:tbl>
    <w:p>
      <w:pPr>
        <w:wordWrap w:val="0"/>
        <w:topLinePunct/>
        <w:snapToGrid w:val="0"/>
        <w:spacing w:line="240" w:lineRule="atLeast"/>
        <w:ind w:left="-359" w:right="-687"/>
        <w:rPr>
          <w:rFonts w:ascii="宋体" w:hAnsi="宋体"/>
          <w:color w:val="auto"/>
          <w:szCs w:val="21"/>
          <w:highlight w:val="none"/>
        </w:rPr>
      </w:pPr>
    </w:p>
    <w:p>
      <w:pPr>
        <w:widowControl/>
        <w:shd w:val="clear" w:color="auto" w:fill="FFFFFF"/>
        <w:wordWrap w:val="0"/>
        <w:spacing w:line="360" w:lineRule="auto"/>
        <w:rPr>
          <w:rFonts w:ascii="宋体" w:hAnsi="宋体" w:cs="宋体"/>
          <w:bCs/>
          <w:color w:val="auto"/>
          <w:kern w:val="0"/>
          <w:szCs w:val="21"/>
          <w:highlight w:val="none"/>
        </w:rPr>
      </w:pPr>
      <w:r>
        <w:rPr>
          <w:rFonts w:ascii="宋体" w:hAnsi="宋体" w:cs="宋体"/>
          <w:bCs/>
          <w:color w:val="auto"/>
          <w:kern w:val="0"/>
          <w:szCs w:val="21"/>
          <w:highlight w:val="none"/>
        </w:rPr>
        <w:t>注：1、设计费报价为市政综合工程设计费用计算表的总额。</w:t>
      </w:r>
    </w:p>
    <w:p>
      <w:pPr>
        <w:widowControl/>
        <w:shd w:val="clear" w:color="auto" w:fill="FFFFFF"/>
        <w:wordWrap w:val="0"/>
        <w:spacing w:line="360" w:lineRule="auto"/>
        <w:ind w:firstLine="420" w:firstLineChars="200"/>
        <w:rPr>
          <w:rFonts w:ascii="宋体" w:hAnsi="宋体"/>
          <w:color w:val="auto"/>
          <w:sz w:val="24"/>
          <w:highlight w:val="none"/>
        </w:rPr>
      </w:pPr>
      <w:r>
        <w:rPr>
          <w:rFonts w:hint="eastAsia" w:ascii="宋体" w:hAnsi="宋体" w:cs="宋体"/>
          <w:bCs/>
          <w:color w:val="auto"/>
          <w:kern w:val="0"/>
          <w:szCs w:val="21"/>
          <w:highlight w:val="none"/>
        </w:rPr>
        <w:t>2、勘察费报价为勘探费报价及计算依据表、测量费报价及计算依据表的总额。</w:t>
      </w:r>
    </w:p>
    <w:p>
      <w:pPr>
        <w:spacing w:line="360" w:lineRule="auto"/>
        <w:ind w:right="960"/>
        <w:rPr>
          <w:rFonts w:ascii="宋体" w:hAnsi="宋体"/>
          <w:color w:val="auto"/>
          <w:sz w:val="24"/>
          <w:highlight w:val="none"/>
        </w:rPr>
      </w:pPr>
    </w:p>
    <w:p>
      <w:pPr>
        <w:pStyle w:val="4"/>
        <w:rPr>
          <w:color w:val="auto"/>
          <w:highlight w:val="none"/>
        </w:rPr>
      </w:pPr>
      <w:r>
        <w:rPr>
          <w:color w:val="auto"/>
          <w:highlight w:val="none"/>
        </w:rPr>
        <w:br w:type="page"/>
      </w:r>
      <w:bookmarkStart w:id="75" w:name="_Toc28813"/>
      <w:bookmarkStart w:id="76" w:name="_Toc1195"/>
      <w:bookmarkStart w:id="77" w:name="_Toc99464000"/>
      <w:bookmarkStart w:id="78" w:name="_Toc32827941"/>
      <w:r>
        <w:rPr>
          <w:color w:val="auto"/>
          <w:highlight w:val="none"/>
        </w:rPr>
        <w:t>附录</w:t>
      </w:r>
      <w:r>
        <w:rPr>
          <w:rFonts w:hint="eastAsia"/>
          <w:color w:val="auto"/>
          <w:highlight w:val="none"/>
        </w:rPr>
        <w:t>4：本项目拟投入的人员基本情况表</w:t>
      </w:r>
      <w:bookmarkEnd w:id="75"/>
      <w:bookmarkEnd w:id="76"/>
      <w:bookmarkEnd w:id="77"/>
    </w:p>
    <w:p>
      <w:pPr>
        <w:wordWrap w:val="0"/>
        <w:topLinePunct/>
        <w:jc w:val="center"/>
        <w:rPr>
          <w:rFonts w:ascii="宋体" w:hAnsi="宋体"/>
          <w:b/>
          <w:color w:val="auto"/>
          <w:sz w:val="32"/>
          <w:szCs w:val="32"/>
          <w:highlight w:val="none"/>
        </w:rPr>
      </w:pPr>
      <w:r>
        <w:rPr>
          <w:rFonts w:hint="eastAsia" w:ascii="宋体" w:hAnsi="宋体"/>
          <w:b/>
          <w:color w:val="auto"/>
          <w:sz w:val="32"/>
          <w:szCs w:val="32"/>
          <w:highlight w:val="none"/>
        </w:rPr>
        <w:t>本项目拟投入的人员基本情况表</w:t>
      </w:r>
    </w:p>
    <w:tbl>
      <w:tblPr>
        <w:tblStyle w:val="3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549"/>
        <w:gridCol w:w="605"/>
        <w:gridCol w:w="605"/>
        <w:gridCol w:w="962"/>
        <w:gridCol w:w="962"/>
        <w:gridCol w:w="1136"/>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207" w:type="dxa"/>
            <w:vAlign w:val="center"/>
          </w:tcPr>
          <w:p>
            <w:pPr>
              <w:wordWrap w:val="0"/>
              <w:topLinePunct/>
              <w:jc w:val="center"/>
              <w:rPr>
                <w:rFonts w:ascii="宋体" w:hAnsi="宋体"/>
                <w:color w:val="auto"/>
                <w:highlight w:val="none"/>
              </w:rPr>
            </w:pPr>
            <w:r>
              <w:rPr>
                <w:rFonts w:hint="eastAsia" w:ascii="宋体" w:hAnsi="宋体"/>
                <w:color w:val="auto"/>
                <w:highlight w:val="none"/>
              </w:rPr>
              <w:t>人员安排</w:t>
            </w:r>
          </w:p>
        </w:tc>
        <w:tc>
          <w:tcPr>
            <w:tcW w:w="549" w:type="dxa"/>
            <w:vAlign w:val="center"/>
          </w:tcPr>
          <w:p>
            <w:pPr>
              <w:wordWrap w:val="0"/>
              <w:topLinePunct/>
              <w:jc w:val="center"/>
              <w:rPr>
                <w:rFonts w:ascii="宋体" w:hAnsi="宋体"/>
                <w:color w:val="auto"/>
                <w:highlight w:val="none"/>
              </w:rPr>
            </w:pPr>
            <w:r>
              <w:rPr>
                <w:rFonts w:hint="eastAsia" w:ascii="宋体" w:hAnsi="宋体"/>
                <w:color w:val="auto"/>
                <w:highlight w:val="none"/>
              </w:rPr>
              <w:t>姓名</w:t>
            </w:r>
          </w:p>
        </w:tc>
        <w:tc>
          <w:tcPr>
            <w:tcW w:w="605" w:type="dxa"/>
            <w:vAlign w:val="center"/>
          </w:tcPr>
          <w:p>
            <w:pPr>
              <w:wordWrap w:val="0"/>
              <w:topLinePunct/>
              <w:jc w:val="center"/>
              <w:rPr>
                <w:rFonts w:ascii="宋体" w:hAnsi="宋体"/>
                <w:color w:val="auto"/>
                <w:highlight w:val="none"/>
              </w:rPr>
            </w:pPr>
            <w:r>
              <w:rPr>
                <w:rFonts w:hint="eastAsia" w:ascii="宋体" w:hAnsi="宋体"/>
                <w:color w:val="auto"/>
                <w:highlight w:val="none"/>
              </w:rPr>
              <w:t>年龄</w:t>
            </w:r>
          </w:p>
        </w:tc>
        <w:tc>
          <w:tcPr>
            <w:tcW w:w="605" w:type="dxa"/>
            <w:vAlign w:val="center"/>
          </w:tcPr>
          <w:p>
            <w:pPr>
              <w:wordWrap w:val="0"/>
              <w:topLinePunct/>
              <w:jc w:val="center"/>
              <w:rPr>
                <w:rFonts w:ascii="宋体" w:hAnsi="宋体"/>
                <w:color w:val="auto"/>
                <w:highlight w:val="none"/>
              </w:rPr>
            </w:pPr>
            <w:r>
              <w:rPr>
                <w:rFonts w:hint="eastAsia" w:ascii="宋体" w:hAnsi="宋体"/>
                <w:color w:val="auto"/>
                <w:highlight w:val="none"/>
              </w:rPr>
              <w:t>专业</w:t>
            </w:r>
          </w:p>
        </w:tc>
        <w:tc>
          <w:tcPr>
            <w:tcW w:w="962" w:type="dxa"/>
            <w:vAlign w:val="center"/>
          </w:tcPr>
          <w:p>
            <w:pPr>
              <w:wordWrap w:val="0"/>
              <w:topLinePunct/>
              <w:jc w:val="center"/>
              <w:rPr>
                <w:rFonts w:ascii="宋体" w:hAnsi="宋体"/>
                <w:color w:val="auto"/>
                <w:highlight w:val="none"/>
              </w:rPr>
            </w:pPr>
            <w:r>
              <w:rPr>
                <w:rFonts w:hint="eastAsia" w:ascii="宋体" w:hAnsi="宋体"/>
                <w:color w:val="auto"/>
                <w:highlight w:val="none"/>
              </w:rPr>
              <w:t>资格</w:t>
            </w:r>
          </w:p>
          <w:p>
            <w:pPr>
              <w:wordWrap w:val="0"/>
              <w:topLinePunct/>
              <w:jc w:val="center"/>
              <w:rPr>
                <w:rFonts w:ascii="宋体" w:hAnsi="宋体"/>
                <w:color w:val="auto"/>
                <w:highlight w:val="none"/>
              </w:rPr>
            </w:pPr>
            <w:r>
              <w:rPr>
                <w:rFonts w:hint="eastAsia" w:ascii="宋体" w:hAnsi="宋体"/>
                <w:color w:val="auto"/>
                <w:highlight w:val="none"/>
              </w:rPr>
              <w:t>条件</w:t>
            </w:r>
          </w:p>
        </w:tc>
        <w:tc>
          <w:tcPr>
            <w:tcW w:w="962" w:type="dxa"/>
            <w:vAlign w:val="center"/>
          </w:tcPr>
          <w:p>
            <w:pPr>
              <w:wordWrap w:val="0"/>
              <w:topLinePunct/>
              <w:jc w:val="center"/>
              <w:rPr>
                <w:rFonts w:ascii="宋体" w:hAnsi="宋体"/>
                <w:color w:val="auto"/>
                <w:highlight w:val="none"/>
              </w:rPr>
            </w:pPr>
            <w:r>
              <w:rPr>
                <w:rFonts w:hint="eastAsia" w:ascii="宋体" w:hAnsi="宋体"/>
                <w:color w:val="auto"/>
                <w:highlight w:val="none"/>
              </w:rPr>
              <w:t>从业</w:t>
            </w:r>
          </w:p>
          <w:p>
            <w:pPr>
              <w:wordWrap w:val="0"/>
              <w:topLinePunct/>
              <w:jc w:val="center"/>
              <w:rPr>
                <w:rFonts w:ascii="宋体" w:hAnsi="宋体"/>
                <w:color w:val="auto"/>
                <w:highlight w:val="none"/>
              </w:rPr>
            </w:pPr>
            <w:r>
              <w:rPr>
                <w:rFonts w:hint="eastAsia" w:ascii="宋体" w:hAnsi="宋体"/>
                <w:color w:val="auto"/>
                <w:highlight w:val="none"/>
              </w:rPr>
              <w:t>年限</w:t>
            </w:r>
          </w:p>
        </w:tc>
        <w:tc>
          <w:tcPr>
            <w:tcW w:w="1136" w:type="dxa"/>
            <w:vAlign w:val="center"/>
          </w:tcPr>
          <w:p>
            <w:pPr>
              <w:wordWrap w:val="0"/>
              <w:topLinePunct/>
              <w:jc w:val="center"/>
              <w:rPr>
                <w:rFonts w:ascii="宋体" w:hAnsi="宋体"/>
                <w:color w:val="auto"/>
                <w:highlight w:val="none"/>
              </w:rPr>
            </w:pPr>
            <w:r>
              <w:rPr>
                <w:rFonts w:hint="eastAsia" w:ascii="宋体" w:hAnsi="宋体"/>
                <w:color w:val="auto"/>
                <w:highlight w:val="none"/>
              </w:rPr>
              <w:t>获奖情况</w:t>
            </w:r>
          </w:p>
        </w:tc>
        <w:tc>
          <w:tcPr>
            <w:tcW w:w="1729" w:type="dxa"/>
            <w:vAlign w:val="center"/>
          </w:tcPr>
          <w:p>
            <w:pPr>
              <w:wordWrap w:val="0"/>
              <w:topLinePunct/>
              <w:jc w:val="center"/>
              <w:rPr>
                <w:rFonts w:ascii="宋体" w:hAnsi="宋体"/>
                <w:color w:val="auto"/>
                <w:highlight w:val="none"/>
              </w:rPr>
            </w:pPr>
            <w:r>
              <w:rPr>
                <w:rFonts w:hint="eastAsia" w:ascii="宋体" w:hAnsi="宋体"/>
                <w:color w:val="auto"/>
                <w:highlight w:val="none"/>
              </w:rPr>
              <w:t>已完成类似的</w:t>
            </w:r>
          </w:p>
          <w:p>
            <w:pPr>
              <w:wordWrap w:val="0"/>
              <w:topLinePunct/>
              <w:jc w:val="center"/>
              <w:rPr>
                <w:rFonts w:ascii="宋体" w:hAnsi="宋体"/>
                <w:color w:val="auto"/>
                <w:highlight w:val="none"/>
              </w:rPr>
            </w:pPr>
            <w:r>
              <w:rPr>
                <w:rFonts w:hint="eastAsia" w:ascii="宋体" w:hAnsi="宋体"/>
                <w:color w:val="auto"/>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07" w:type="dxa"/>
            <w:vAlign w:val="center"/>
          </w:tcPr>
          <w:p>
            <w:pPr>
              <w:wordWrap w:val="0"/>
              <w:topLinePunct/>
              <w:rPr>
                <w:rFonts w:ascii="宋体" w:hAnsi="宋体"/>
                <w:color w:val="auto"/>
                <w:highlight w:val="none"/>
              </w:rPr>
            </w:pPr>
            <w:r>
              <w:rPr>
                <w:rFonts w:hint="eastAsia" w:ascii="宋体" w:hAnsi="宋体"/>
                <w:b/>
                <w:color w:val="auto"/>
                <w:highlight w:val="none"/>
              </w:rPr>
              <w:t>项目负责人</w:t>
            </w:r>
          </w:p>
        </w:tc>
        <w:tc>
          <w:tcPr>
            <w:tcW w:w="549" w:type="dxa"/>
            <w:vAlign w:val="center"/>
          </w:tcPr>
          <w:p>
            <w:pPr>
              <w:wordWrap w:val="0"/>
              <w:topLinePunct/>
              <w:rPr>
                <w:rFonts w:ascii="宋体" w:hAnsi="宋体"/>
                <w:color w:val="auto"/>
                <w:highlight w:val="none"/>
              </w:rPr>
            </w:pPr>
          </w:p>
        </w:tc>
        <w:tc>
          <w:tcPr>
            <w:tcW w:w="605" w:type="dxa"/>
          </w:tcPr>
          <w:p>
            <w:pPr>
              <w:wordWrap w:val="0"/>
              <w:topLinePunct/>
              <w:rPr>
                <w:rFonts w:ascii="宋体" w:hAnsi="宋体"/>
                <w:color w:val="auto"/>
                <w:highlight w:val="none"/>
              </w:rPr>
            </w:pPr>
          </w:p>
        </w:tc>
        <w:tc>
          <w:tcPr>
            <w:tcW w:w="605"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1136" w:type="dxa"/>
            <w:vAlign w:val="center"/>
          </w:tcPr>
          <w:p>
            <w:pPr>
              <w:wordWrap w:val="0"/>
              <w:topLinePunct/>
              <w:rPr>
                <w:rFonts w:ascii="宋体" w:hAnsi="宋体"/>
                <w:color w:val="auto"/>
                <w:highlight w:val="none"/>
              </w:rPr>
            </w:pPr>
          </w:p>
        </w:tc>
        <w:tc>
          <w:tcPr>
            <w:tcW w:w="1729" w:type="dxa"/>
            <w:vAlign w:val="center"/>
          </w:tcPr>
          <w:p>
            <w:pPr>
              <w:wordWrap w:val="0"/>
              <w:topLinePun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07" w:type="dxa"/>
            <w:vAlign w:val="center"/>
          </w:tcPr>
          <w:p>
            <w:pPr>
              <w:jc w:val="left"/>
              <w:rPr>
                <w:rFonts w:ascii="宋体" w:hAnsi="宋体"/>
                <w:color w:val="auto"/>
                <w:highlight w:val="none"/>
              </w:rPr>
            </w:pPr>
            <w:r>
              <w:rPr>
                <w:rFonts w:hint="eastAsia" w:ascii="宋体" w:hAnsi="宋体"/>
                <w:b/>
                <w:bCs/>
                <w:color w:val="auto"/>
                <w:highlight w:val="none"/>
              </w:rPr>
              <w:t>道路专业负责人</w:t>
            </w:r>
          </w:p>
        </w:tc>
        <w:tc>
          <w:tcPr>
            <w:tcW w:w="549" w:type="dxa"/>
            <w:vAlign w:val="center"/>
          </w:tcPr>
          <w:p>
            <w:pPr>
              <w:wordWrap w:val="0"/>
              <w:topLinePunct/>
              <w:rPr>
                <w:rFonts w:ascii="宋体" w:hAnsi="宋体"/>
                <w:color w:val="auto"/>
                <w:highlight w:val="none"/>
              </w:rPr>
            </w:pPr>
          </w:p>
        </w:tc>
        <w:tc>
          <w:tcPr>
            <w:tcW w:w="605" w:type="dxa"/>
          </w:tcPr>
          <w:p>
            <w:pPr>
              <w:wordWrap w:val="0"/>
              <w:topLinePunct/>
              <w:rPr>
                <w:rFonts w:ascii="宋体" w:hAnsi="宋体"/>
                <w:color w:val="auto"/>
                <w:highlight w:val="none"/>
              </w:rPr>
            </w:pPr>
          </w:p>
        </w:tc>
        <w:tc>
          <w:tcPr>
            <w:tcW w:w="605"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1136" w:type="dxa"/>
            <w:vAlign w:val="center"/>
          </w:tcPr>
          <w:p>
            <w:pPr>
              <w:wordWrap w:val="0"/>
              <w:topLinePunct/>
              <w:rPr>
                <w:rFonts w:ascii="宋体" w:hAnsi="宋体"/>
                <w:color w:val="auto"/>
                <w:highlight w:val="none"/>
              </w:rPr>
            </w:pPr>
          </w:p>
        </w:tc>
        <w:tc>
          <w:tcPr>
            <w:tcW w:w="1729" w:type="dxa"/>
            <w:vAlign w:val="center"/>
          </w:tcPr>
          <w:p>
            <w:pPr>
              <w:wordWrap w:val="0"/>
              <w:topLinePun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07" w:type="dxa"/>
            <w:vAlign w:val="center"/>
          </w:tcPr>
          <w:p>
            <w:pPr>
              <w:jc w:val="left"/>
              <w:rPr>
                <w:rFonts w:ascii="宋体" w:hAnsi="宋体"/>
                <w:color w:val="auto"/>
                <w:highlight w:val="none"/>
              </w:rPr>
            </w:pPr>
            <w:r>
              <w:rPr>
                <w:rFonts w:hint="eastAsia" w:ascii="宋体" w:hAnsi="宋体"/>
                <w:color w:val="auto"/>
                <w:highlight w:val="none"/>
              </w:rPr>
              <w:t>道路专业设计人</w:t>
            </w:r>
          </w:p>
        </w:tc>
        <w:tc>
          <w:tcPr>
            <w:tcW w:w="549" w:type="dxa"/>
            <w:vAlign w:val="center"/>
          </w:tcPr>
          <w:p>
            <w:pPr>
              <w:wordWrap w:val="0"/>
              <w:topLinePunct/>
              <w:rPr>
                <w:rFonts w:ascii="宋体" w:hAnsi="宋体"/>
                <w:color w:val="auto"/>
                <w:highlight w:val="none"/>
              </w:rPr>
            </w:pPr>
          </w:p>
        </w:tc>
        <w:tc>
          <w:tcPr>
            <w:tcW w:w="605" w:type="dxa"/>
          </w:tcPr>
          <w:p>
            <w:pPr>
              <w:wordWrap w:val="0"/>
              <w:topLinePunct/>
              <w:rPr>
                <w:rFonts w:ascii="宋体" w:hAnsi="宋体"/>
                <w:color w:val="auto"/>
                <w:highlight w:val="none"/>
              </w:rPr>
            </w:pPr>
          </w:p>
        </w:tc>
        <w:tc>
          <w:tcPr>
            <w:tcW w:w="605"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1136" w:type="dxa"/>
            <w:vAlign w:val="center"/>
          </w:tcPr>
          <w:p>
            <w:pPr>
              <w:wordWrap w:val="0"/>
              <w:topLinePunct/>
              <w:rPr>
                <w:rFonts w:ascii="宋体" w:hAnsi="宋体"/>
                <w:color w:val="auto"/>
                <w:highlight w:val="none"/>
              </w:rPr>
            </w:pPr>
          </w:p>
        </w:tc>
        <w:tc>
          <w:tcPr>
            <w:tcW w:w="1729" w:type="dxa"/>
            <w:vAlign w:val="center"/>
          </w:tcPr>
          <w:p>
            <w:pPr>
              <w:wordWrap w:val="0"/>
              <w:topLinePun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07" w:type="dxa"/>
            <w:vAlign w:val="center"/>
          </w:tcPr>
          <w:p>
            <w:pPr>
              <w:jc w:val="left"/>
              <w:rPr>
                <w:rFonts w:ascii="宋体" w:hAnsi="宋体"/>
                <w:color w:val="auto"/>
                <w:highlight w:val="none"/>
              </w:rPr>
            </w:pPr>
            <w:r>
              <w:rPr>
                <w:rFonts w:hint="eastAsia" w:ascii="宋体" w:hAnsi="宋体"/>
                <w:b/>
                <w:bCs/>
                <w:color w:val="auto"/>
                <w:highlight w:val="none"/>
              </w:rPr>
              <w:t>交通专业负责人</w:t>
            </w:r>
          </w:p>
        </w:tc>
        <w:tc>
          <w:tcPr>
            <w:tcW w:w="549" w:type="dxa"/>
            <w:vAlign w:val="center"/>
          </w:tcPr>
          <w:p>
            <w:pPr>
              <w:wordWrap w:val="0"/>
              <w:topLinePunct/>
              <w:rPr>
                <w:rFonts w:ascii="宋体" w:hAnsi="宋体"/>
                <w:color w:val="auto"/>
                <w:highlight w:val="none"/>
              </w:rPr>
            </w:pPr>
          </w:p>
        </w:tc>
        <w:tc>
          <w:tcPr>
            <w:tcW w:w="605" w:type="dxa"/>
          </w:tcPr>
          <w:p>
            <w:pPr>
              <w:wordWrap w:val="0"/>
              <w:topLinePunct/>
              <w:rPr>
                <w:rFonts w:ascii="宋体" w:hAnsi="宋体"/>
                <w:color w:val="auto"/>
                <w:highlight w:val="none"/>
              </w:rPr>
            </w:pPr>
          </w:p>
        </w:tc>
        <w:tc>
          <w:tcPr>
            <w:tcW w:w="605"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1136" w:type="dxa"/>
            <w:vAlign w:val="center"/>
          </w:tcPr>
          <w:p>
            <w:pPr>
              <w:wordWrap w:val="0"/>
              <w:topLinePunct/>
              <w:rPr>
                <w:rFonts w:ascii="宋体" w:hAnsi="宋体"/>
                <w:color w:val="auto"/>
                <w:highlight w:val="none"/>
              </w:rPr>
            </w:pPr>
          </w:p>
        </w:tc>
        <w:tc>
          <w:tcPr>
            <w:tcW w:w="1729" w:type="dxa"/>
            <w:vAlign w:val="center"/>
          </w:tcPr>
          <w:p>
            <w:pPr>
              <w:wordWrap w:val="0"/>
              <w:topLinePun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07" w:type="dxa"/>
            <w:vAlign w:val="center"/>
          </w:tcPr>
          <w:p>
            <w:pPr>
              <w:jc w:val="left"/>
              <w:rPr>
                <w:rFonts w:ascii="宋体" w:hAnsi="宋体"/>
                <w:color w:val="auto"/>
                <w:highlight w:val="none"/>
              </w:rPr>
            </w:pPr>
            <w:r>
              <w:rPr>
                <w:rFonts w:hint="eastAsia" w:ascii="宋体" w:hAnsi="宋体"/>
                <w:color w:val="auto"/>
                <w:highlight w:val="none"/>
              </w:rPr>
              <w:t>交通专业设计人</w:t>
            </w:r>
          </w:p>
        </w:tc>
        <w:tc>
          <w:tcPr>
            <w:tcW w:w="549" w:type="dxa"/>
            <w:vAlign w:val="center"/>
          </w:tcPr>
          <w:p>
            <w:pPr>
              <w:wordWrap w:val="0"/>
              <w:topLinePunct/>
              <w:rPr>
                <w:rFonts w:ascii="宋体" w:hAnsi="宋体"/>
                <w:color w:val="auto"/>
                <w:highlight w:val="none"/>
              </w:rPr>
            </w:pPr>
          </w:p>
        </w:tc>
        <w:tc>
          <w:tcPr>
            <w:tcW w:w="605" w:type="dxa"/>
          </w:tcPr>
          <w:p>
            <w:pPr>
              <w:wordWrap w:val="0"/>
              <w:topLinePunct/>
              <w:rPr>
                <w:rFonts w:ascii="宋体" w:hAnsi="宋体"/>
                <w:color w:val="auto"/>
                <w:highlight w:val="none"/>
              </w:rPr>
            </w:pPr>
          </w:p>
        </w:tc>
        <w:tc>
          <w:tcPr>
            <w:tcW w:w="605"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1136" w:type="dxa"/>
            <w:vAlign w:val="center"/>
          </w:tcPr>
          <w:p>
            <w:pPr>
              <w:wordWrap w:val="0"/>
              <w:topLinePunct/>
              <w:rPr>
                <w:rFonts w:ascii="宋体" w:hAnsi="宋体"/>
                <w:color w:val="auto"/>
                <w:highlight w:val="none"/>
              </w:rPr>
            </w:pPr>
          </w:p>
        </w:tc>
        <w:tc>
          <w:tcPr>
            <w:tcW w:w="1729" w:type="dxa"/>
            <w:vAlign w:val="center"/>
          </w:tcPr>
          <w:p>
            <w:pPr>
              <w:wordWrap w:val="0"/>
              <w:topLinePun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07" w:type="dxa"/>
            <w:vAlign w:val="center"/>
          </w:tcPr>
          <w:p>
            <w:pPr>
              <w:jc w:val="left"/>
              <w:rPr>
                <w:rFonts w:ascii="宋体" w:hAnsi="宋体"/>
                <w:color w:val="auto"/>
                <w:highlight w:val="none"/>
              </w:rPr>
            </w:pPr>
            <w:r>
              <w:rPr>
                <w:rFonts w:hint="eastAsia" w:ascii="宋体" w:hAnsi="宋体"/>
                <w:b/>
                <w:bCs/>
                <w:color w:val="auto"/>
                <w:highlight w:val="none"/>
              </w:rPr>
              <w:t>给排水专业负责人</w:t>
            </w:r>
          </w:p>
        </w:tc>
        <w:tc>
          <w:tcPr>
            <w:tcW w:w="549" w:type="dxa"/>
            <w:vAlign w:val="center"/>
          </w:tcPr>
          <w:p>
            <w:pPr>
              <w:wordWrap w:val="0"/>
              <w:topLinePunct/>
              <w:rPr>
                <w:rFonts w:ascii="宋体" w:hAnsi="宋体"/>
                <w:color w:val="auto"/>
                <w:highlight w:val="none"/>
              </w:rPr>
            </w:pPr>
          </w:p>
        </w:tc>
        <w:tc>
          <w:tcPr>
            <w:tcW w:w="605" w:type="dxa"/>
          </w:tcPr>
          <w:p>
            <w:pPr>
              <w:wordWrap w:val="0"/>
              <w:topLinePunct/>
              <w:rPr>
                <w:rFonts w:ascii="宋体" w:hAnsi="宋体"/>
                <w:color w:val="auto"/>
                <w:highlight w:val="none"/>
              </w:rPr>
            </w:pPr>
          </w:p>
        </w:tc>
        <w:tc>
          <w:tcPr>
            <w:tcW w:w="605"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1136" w:type="dxa"/>
            <w:vAlign w:val="center"/>
          </w:tcPr>
          <w:p>
            <w:pPr>
              <w:wordWrap w:val="0"/>
              <w:topLinePunct/>
              <w:rPr>
                <w:rFonts w:ascii="宋体" w:hAnsi="宋体"/>
                <w:color w:val="auto"/>
                <w:highlight w:val="none"/>
              </w:rPr>
            </w:pPr>
          </w:p>
        </w:tc>
        <w:tc>
          <w:tcPr>
            <w:tcW w:w="1729" w:type="dxa"/>
            <w:vAlign w:val="center"/>
          </w:tcPr>
          <w:p>
            <w:pPr>
              <w:wordWrap w:val="0"/>
              <w:topLinePun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07" w:type="dxa"/>
            <w:vAlign w:val="center"/>
          </w:tcPr>
          <w:p>
            <w:pPr>
              <w:jc w:val="left"/>
              <w:rPr>
                <w:rFonts w:ascii="宋体" w:hAnsi="宋体"/>
                <w:color w:val="auto"/>
                <w:highlight w:val="none"/>
              </w:rPr>
            </w:pPr>
            <w:r>
              <w:rPr>
                <w:rFonts w:hint="eastAsia" w:ascii="宋体" w:hAnsi="宋体"/>
                <w:color w:val="auto"/>
                <w:highlight w:val="none"/>
              </w:rPr>
              <w:t>给排水专业设计人</w:t>
            </w:r>
          </w:p>
        </w:tc>
        <w:tc>
          <w:tcPr>
            <w:tcW w:w="549" w:type="dxa"/>
            <w:vAlign w:val="center"/>
          </w:tcPr>
          <w:p>
            <w:pPr>
              <w:wordWrap w:val="0"/>
              <w:topLinePunct/>
              <w:rPr>
                <w:rFonts w:ascii="宋体" w:hAnsi="宋体"/>
                <w:color w:val="auto"/>
                <w:highlight w:val="none"/>
              </w:rPr>
            </w:pPr>
          </w:p>
        </w:tc>
        <w:tc>
          <w:tcPr>
            <w:tcW w:w="605" w:type="dxa"/>
          </w:tcPr>
          <w:p>
            <w:pPr>
              <w:wordWrap w:val="0"/>
              <w:topLinePunct/>
              <w:rPr>
                <w:rFonts w:ascii="宋体" w:hAnsi="宋体"/>
                <w:color w:val="auto"/>
                <w:highlight w:val="none"/>
              </w:rPr>
            </w:pPr>
          </w:p>
        </w:tc>
        <w:tc>
          <w:tcPr>
            <w:tcW w:w="605"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1136" w:type="dxa"/>
            <w:vAlign w:val="center"/>
          </w:tcPr>
          <w:p>
            <w:pPr>
              <w:wordWrap w:val="0"/>
              <w:topLinePunct/>
              <w:rPr>
                <w:rFonts w:ascii="宋体" w:hAnsi="宋体"/>
                <w:color w:val="auto"/>
                <w:highlight w:val="none"/>
              </w:rPr>
            </w:pPr>
          </w:p>
        </w:tc>
        <w:tc>
          <w:tcPr>
            <w:tcW w:w="1729" w:type="dxa"/>
            <w:vAlign w:val="center"/>
          </w:tcPr>
          <w:p>
            <w:pPr>
              <w:wordWrap w:val="0"/>
              <w:topLinePun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07" w:type="dxa"/>
            <w:vAlign w:val="center"/>
          </w:tcPr>
          <w:p>
            <w:pPr>
              <w:jc w:val="left"/>
              <w:rPr>
                <w:rFonts w:ascii="宋体" w:hAnsi="宋体"/>
                <w:color w:val="auto"/>
                <w:highlight w:val="none"/>
              </w:rPr>
            </w:pPr>
            <w:r>
              <w:rPr>
                <w:rFonts w:hint="eastAsia" w:ascii="宋体" w:hAnsi="宋体"/>
                <w:b/>
                <w:bCs/>
                <w:color w:val="auto"/>
                <w:highlight w:val="none"/>
              </w:rPr>
              <w:t>照明专业负责人</w:t>
            </w:r>
          </w:p>
        </w:tc>
        <w:tc>
          <w:tcPr>
            <w:tcW w:w="549" w:type="dxa"/>
            <w:vAlign w:val="center"/>
          </w:tcPr>
          <w:p>
            <w:pPr>
              <w:wordWrap w:val="0"/>
              <w:topLinePunct/>
              <w:rPr>
                <w:rFonts w:ascii="宋体" w:hAnsi="宋体"/>
                <w:color w:val="auto"/>
                <w:highlight w:val="none"/>
              </w:rPr>
            </w:pPr>
          </w:p>
        </w:tc>
        <w:tc>
          <w:tcPr>
            <w:tcW w:w="605" w:type="dxa"/>
          </w:tcPr>
          <w:p>
            <w:pPr>
              <w:wordWrap w:val="0"/>
              <w:topLinePunct/>
              <w:rPr>
                <w:rFonts w:ascii="宋体" w:hAnsi="宋体"/>
                <w:color w:val="auto"/>
                <w:highlight w:val="none"/>
              </w:rPr>
            </w:pPr>
          </w:p>
        </w:tc>
        <w:tc>
          <w:tcPr>
            <w:tcW w:w="605"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1136" w:type="dxa"/>
            <w:vAlign w:val="center"/>
          </w:tcPr>
          <w:p>
            <w:pPr>
              <w:wordWrap w:val="0"/>
              <w:topLinePunct/>
              <w:rPr>
                <w:rFonts w:ascii="宋体" w:hAnsi="宋体"/>
                <w:color w:val="auto"/>
                <w:highlight w:val="none"/>
              </w:rPr>
            </w:pPr>
          </w:p>
        </w:tc>
        <w:tc>
          <w:tcPr>
            <w:tcW w:w="1729" w:type="dxa"/>
            <w:vAlign w:val="center"/>
          </w:tcPr>
          <w:p>
            <w:pPr>
              <w:wordWrap w:val="0"/>
              <w:topLinePun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07" w:type="dxa"/>
            <w:vAlign w:val="center"/>
          </w:tcPr>
          <w:p>
            <w:pPr>
              <w:jc w:val="left"/>
              <w:rPr>
                <w:rFonts w:ascii="宋体" w:hAnsi="宋体"/>
                <w:color w:val="auto"/>
                <w:highlight w:val="none"/>
              </w:rPr>
            </w:pPr>
            <w:r>
              <w:rPr>
                <w:rFonts w:hint="eastAsia" w:ascii="宋体" w:hAnsi="宋体"/>
                <w:color w:val="auto"/>
                <w:highlight w:val="none"/>
              </w:rPr>
              <w:t>照明专业设计人</w:t>
            </w:r>
          </w:p>
        </w:tc>
        <w:tc>
          <w:tcPr>
            <w:tcW w:w="549" w:type="dxa"/>
            <w:vAlign w:val="center"/>
          </w:tcPr>
          <w:p>
            <w:pPr>
              <w:wordWrap w:val="0"/>
              <w:topLinePunct/>
              <w:rPr>
                <w:rFonts w:ascii="宋体" w:hAnsi="宋体"/>
                <w:color w:val="auto"/>
                <w:highlight w:val="none"/>
              </w:rPr>
            </w:pPr>
          </w:p>
        </w:tc>
        <w:tc>
          <w:tcPr>
            <w:tcW w:w="605" w:type="dxa"/>
          </w:tcPr>
          <w:p>
            <w:pPr>
              <w:wordWrap w:val="0"/>
              <w:topLinePunct/>
              <w:rPr>
                <w:rFonts w:ascii="宋体" w:hAnsi="宋体"/>
                <w:color w:val="auto"/>
                <w:highlight w:val="none"/>
              </w:rPr>
            </w:pPr>
          </w:p>
        </w:tc>
        <w:tc>
          <w:tcPr>
            <w:tcW w:w="605"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1136" w:type="dxa"/>
            <w:vAlign w:val="center"/>
          </w:tcPr>
          <w:p>
            <w:pPr>
              <w:wordWrap w:val="0"/>
              <w:topLinePunct/>
              <w:rPr>
                <w:rFonts w:ascii="宋体" w:hAnsi="宋体"/>
                <w:color w:val="auto"/>
                <w:highlight w:val="none"/>
              </w:rPr>
            </w:pPr>
          </w:p>
        </w:tc>
        <w:tc>
          <w:tcPr>
            <w:tcW w:w="1729" w:type="dxa"/>
            <w:vAlign w:val="center"/>
          </w:tcPr>
          <w:p>
            <w:pPr>
              <w:wordWrap w:val="0"/>
              <w:topLinePun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07" w:type="dxa"/>
            <w:vAlign w:val="center"/>
          </w:tcPr>
          <w:p>
            <w:pPr>
              <w:jc w:val="left"/>
              <w:rPr>
                <w:rFonts w:ascii="宋体" w:hAnsi="宋体"/>
                <w:color w:val="auto"/>
                <w:highlight w:val="none"/>
              </w:rPr>
            </w:pPr>
            <w:r>
              <w:rPr>
                <w:rFonts w:hint="eastAsia" w:ascii="宋体" w:hAnsi="宋体"/>
                <w:b/>
                <w:bCs/>
                <w:color w:val="auto"/>
                <w:highlight w:val="none"/>
              </w:rPr>
              <w:t>电力管沟专业负责人</w:t>
            </w:r>
          </w:p>
        </w:tc>
        <w:tc>
          <w:tcPr>
            <w:tcW w:w="549" w:type="dxa"/>
            <w:vAlign w:val="center"/>
          </w:tcPr>
          <w:p>
            <w:pPr>
              <w:wordWrap w:val="0"/>
              <w:topLinePunct/>
              <w:rPr>
                <w:rFonts w:ascii="宋体" w:hAnsi="宋体"/>
                <w:color w:val="auto"/>
                <w:highlight w:val="none"/>
              </w:rPr>
            </w:pPr>
          </w:p>
        </w:tc>
        <w:tc>
          <w:tcPr>
            <w:tcW w:w="605" w:type="dxa"/>
          </w:tcPr>
          <w:p>
            <w:pPr>
              <w:wordWrap w:val="0"/>
              <w:topLinePunct/>
              <w:rPr>
                <w:rFonts w:ascii="宋体" w:hAnsi="宋体"/>
                <w:color w:val="auto"/>
                <w:highlight w:val="none"/>
              </w:rPr>
            </w:pPr>
          </w:p>
        </w:tc>
        <w:tc>
          <w:tcPr>
            <w:tcW w:w="605"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1136" w:type="dxa"/>
            <w:vAlign w:val="center"/>
          </w:tcPr>
          <w:p>
            <w:pPr>
              <w:wordWrap w:val="0"/>
              <w:topLinePunct/>
              <w:rPr>
                <w:rFonts w:ascii="宋体" w:hAnsi="宋体"/>
                <w:color w:val="auto"/>
                <w:highlight w:val="none"/>
              </w:rPr>
            </w:pPr>
          </w:p>
        </w:tc>
        <w:tc>
          <w:tcPr>
            <w:tcW w:w="1729" w:type="dxa"/>
            <w:vAlign w:val="center"/>
          </w:tcPr>
          <w:p>
            <w:pPr>
              <w:wordWrap w:val="0"/>
              <w:topLinePun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07" w:type="dxa"/>
            <w:vAlign w:val="center"/>
          </w:tcPr>
          <w:p>
            <w:pPr>
              <w:jc w:val="left"/>
              <w:rPr>
                <w:rFonts w:ascii="宋体" w:hAnsi="宋体"/>
                <w:color w:val="auto"/>
                <w:highlight w:val="none"/>
              </w:rPr>
            </w:pPr>
            <w:r>
              <w:rPr>
                <w:rFonts w:hint="eastAsia" w:ascii="宋体" w:hAnsi="宋体"/>
                <w:color w:val="auto"/>
                <w:highlight w:val="none"/>
              </w:rPr>
              <w:t>电力管沟专业设计人</w:t>
            </w:r>
          </w:p>
        </w:tc>
        <w:tc>
          <w:tcPr>
            <w:tcW w:w="549" w:type="dxa"/>
            <w:vAlign w:val="center"/>
          </w:tcPr>
          <w:p>
            <w:pPr>
              <w:wordWrap w:val="0"/>
              <w:topLinePunct/>
              <w:rPr>
                <w:rFonts w:ascii="宋体" w:hAnsi="宋体"/>
                <w:color w:val="auto"/>
                <w:highlight w:val="none"/>
              </w:rPr>
            </w:pPr>
          </w:p>
        </w:tc>
        <w:tc>
          <w:tcPr>
            <w:tcW w:w="605" w:type="dxa"/>
          </w:tcPr>
          <w:p>
            <w:pPr>
              <w:wordWrap w:val="0"/>
              <w:topLinePunct/>
              <w:rPr>
                <w:rFonts w:ascii="宋体" w:hAnsi="宋体"/>
                <w:color w:val="auto"/>
                <w:highlight w:val="none"/>
              </w:rPr>
            </w:pPr>
          </w:p>
        </w:tc>
        <w:tc>
          <w:tcPr>
            <w:tcW w:w="605"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1136" w:type="dxa"/>
            <w:vAlign w:val="center"/>
          </w:tcPr>
          <w:p>
            <w:pPr>
              <w:wordWrap w:val="0"/>
              <w:topLinePunct/>
              <w:rPr>
                <w:rFonts w:ascii="宋体" w:hAnsi="宋体"/>
                <w:color w:val="auto"/>
                <w:highlight w:val="none"/>
              </w:rPr>
            </w:pPr>
          </w:p>
        </w:tc>
        <w:tc>
          <w:tcPr>
            <w:tcW w:w="1729" w:type="dxa"/>
            <w:vAlign w:val="center"/>
          </w:tcPr>
          <w:p>
            <w:pPr>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07" w:type="dxa"/>
            <w:vAlign w:val="center"/>
          </w:tcPr>
          <w:p>
            <w:pPr>
              <w:jc w:val="left"/>
              <w:rPr>
                <w:rFonts w:ascii="宋体" w:hAnsi="宋体"/>
                <w:color w:val="auto"/>
                <w:highlight w:val="none"/>
              </w:rPr>
            </w:pPr>
            <w:r>
              <w:rPr>
                <w:rFonts w:hint="eastAsia" w:ascii="宋体" w:hAnsi="宋体"/>
                <w:b/>
                <w:bCs/>
                <w:color w:val="auto"/>
                <w:highlight w:val="none"/>
              </w:rPr>
              <w:t>绿化专业负责人</w:t>
            </w:r>
          </w:p>
        </w:tc>
        <w:tc>
          <w:tcPr>
            <w:tcW w:w="549" w:type="dxa"/>
            <w:vAlign w:val="center"/>
          </w:tcPr>
          <w:p>
            <w:pPr>
              <w:wordWrap w:val="0"/>
              <w:topLinePunct/>
              <w:rPr>
                <w:rFonts w:ascii="宋体" w:hAnsi="宋体"/>
                <w:color w:val="auto"/>
                <w:highlight w:val="none"/>
              </w:rPr>
            </w:pPr>
          </w:p>
        </w:tc>
        <w:tc>
          <w:tcPr>
            <w:tcW w:w="605" w:type="dxa"/>
          </w:tcPr>
          <w:p>
            <w:pPr>
              <w:wordWrap w:val="0"/>
              <w:topLinePunct/>
              <w:rPr>
                <w:rFonts w:ascii="宋体" w:hAnsi="宋体"/>
                <w:color w:val="auto"/>
                <w:highlight w:val="none"/>
              </w:rPr>
            </w:pPr>
          </w:p>
        </w:tc>
        <w:tc>
          <w:tcPr>
            <w:tcW w:w="605"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1136" w:type="dxa"/>
            <w:vAlign w:val="center"/>
          </w:tcPr>
          <w:p>
            <w:pPr>
              <w:wordWrap w:val="0"/>
              <w:topLinePunct/>
              <w:rPr>
                <w:rFonts w:ascii="宋体" w:hAnsi="宋体"/>
                <w:color w:val="auto"/>
                <w:highlight w:val="none"/>
              </w:rPr>
            </w:pPr>
          </w:p>
        </w:tc>
        <w:tc>
          <w:tcPr>
            <w:tcW w:w="1729" w:type="dxa"/>
            <w:vAlign w:val="center"/>
          </w:tcPr>
          <w:p>
            <w:pPr>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07" w:type="dxa"/>
            <w:vAlign w:val="center"/>
          </w:tcPr>
          <w:p>
            <w:pPr>
              <w:jc w:val="left"/>
              <w:rPr>
                <w:rFonts w:ascii="宋体" w:hAnsi="宋体"/>
                <w:color w:val="auto"/>
                <w:highlight w:val="none"/>
              </w:rPr>
            </w:pPr>
            <w:r>
              <w:rPr>
                <w:rFonts w:hint="eastAsia" w:ascii="宋体" w:hAnsi="宋体"/>
                <w:color w:val="auto"/>
                <w:highlight w:val="none"/>
              </w:rPr>
              <w:t>绿化专业设计人</w:t>
            </w:r>
          </w:p>
        </w:tc>
        <w:tc>
          <w:tcPr>
            <w:tcW w:w="549" w:type="dxa"/>
            <w:vAlign w:val="center"/>
          </w:tcPr>
          <w:p>
            <w:pPr>
              <w:wordWrap w:val="0"/>
              <w:topLinePunct/>
              <w:rPr>
                <w:rFonts w:ascii="宋体" w:hAnsi="宋体"/>
                <w:color w:val="auto"/>
                <w:highlight w:val="none"/>
              </w:rPr>
            </w:pPr>
          </w:p>
        </w:tc>
        <w:tc>
          <w:tcPr>
            <w:tcW w:w="605" w:type="dxa"/>
          </w:tcPr>
          <w:p>
            <w:pPr>
              <w:wordWrap w:val="0"/>
              <w:topLinePunct/>
              <w:rPr>
                <w:rFonts w:ascii="宋体" w:hAnsi="宋体"/>
                <w:color w:val="auto"/>
                <w:highlight w:val="none"/>
              </w:rPr>
            </w:pPr>
          </w:p>
        </w:tc>
        <w:tc>
          <w:tcPr>
            <w:tcW w:w="605"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1136" w:type="dxa"/>
            <w:vAlign w:val="center"/>
          </w:tcPr>
          <w:p>
            <w:pPr>
              <w:wordWrap w:val="0"/>
              <w:topLinePunct/>
              <w:rPr>
                <w:rFonts w:ascii="宋体" w:hAnsi="宋体"/>
                <w:color w:val="auto"/>
                <w:highlight w:val="none"/>
              </w:rPr>
            </w:pPr>
          </w:p>
        </w:tc>
        <w:tc>
          <w:tcPr>
            <w:tcW w:w="1729" w:type="dxa"/>
            <w:vAlign w:val="center"/>
          </w:tcPr>
          <w:p>
            <w:pPr>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07" w:type="dxa"/>
            <w:vAlign w:val="center"/>
          </w:tcPr>
          <w:p>
            <w:pPr>
              <w:jc w:val="left"/>
              <w:rPr>
                <w:rFonts w:ascii="宋体" w:hAnsi="宋体"/>
                <w:color w:val="auto"/>
                <w:highlight w:val="none"/>
              </w:rPr>
            </w:pPr>
            <w:r>
              <w:rPr>
                <w:rFonts w:hint="eastAsia" w:ascii="宋体" w:hAnsi="宋体"/>
                <w:b/>
                <w:bCs/>
                <w:color w:val="auto"/>
                <w:highlight w:val="none"/>
              </w:rPr>
              <w:t>海锦城市专业负责人</w:t>
            </w:r>
          </w:p>
        </w:tc>
        <w:tc>
          <w:tcPr>
            <w:tcW w:w="549" w:type="dxa"/>
            <w:vAlign w:val="center"/>
          </w:tcPr>
          <w:p>
            <w:pPr>
              <w:wordWrap w:val="0"/>
              <w:topLinePunct/>
              <w:rPr>
                <w:rFonts w:ascii="宋体" w:hAnsi="宋体"/>
                <w:color w:val="auto"/>
                <w:highlight w:val="none"/>
              </w:rPr>
            </w:pPr>
          </w:p>
        </w:tc>
        <w:tc>
          <w:tcPr>
            <w:tcW w:w="605" w:type="dxa"/>
          </w:tcPr>
          <w:p>
            <w:pPr>
              <w:wordWrap w:val="0"/>
              <w:topLinePunct/>
              <w:rPr>
                <w:rFonts w:ascii="宋体" w:hAnsi="宋体"/>
                <w:color w:val="auto"/>
                <w:highlight w:val="none"/>
              </w:rPr>
            </w:pPr>
          </w:p>
        </w:tc>
        <w:tc>
          <w:tcPr>
            <w:tcW w:w="605"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1136" w:type="dxa"/>
            <w:vAlign w:val="center"/>
          </w:tcPr>
          <w:p>
            <w:pPr>
              <w:wordWrap w:val="0"/>
              <w:topLinePunct/>
              <w:rPr>
                <w:rFonts w:ascii="宋体" w:hAnsi="宋体"/>
                <w:color w:val="auto"/>
                <w:highlight w:val="none"/>
              </w:rPr>
            </w:pPr>
          </w:p>
        </w:tc>
        <w:tc>
          <w:tcPr>
            <w:tcW w:w="1729" w:type="dxa"/>
            <w:vAlign w:val="center"/>
          </w:tcPr>
          <w:p>
            <w:pPr>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07" w:type="dxa"/>
            <w:vAlign w:val="center"/>
          </w:tcPr>
          <w:p>
            <w:pPr>
              <w:jc w:val="left"/>
              <w:rPr>
                <w:rFonts w:ascii="宋体" w:hAnsi="宋体"/>
                <w:color w:val="auto"/>
                <w:highlight w:val="none"/>
              </w:rPr>
            </w:pPr>
            <w:r>
              <w:rPr>
                <w:rFonts w:hint="eastAsia" w:ascii="宋体" w:hAnsi="宋体"/>
                <w:color w:val="auto"/>
                <w:highlight w:val="none"/>
              </w:rPr>
              <w:t>海锦城市专业设计人</w:t>
            </w:r>
          </w:p>
        </w:tc>
        <w:tc>
          <w:tcPr>
            <w:tcW w:w="549" w:type="dxa"/>
            <w:vAlign w:val="center"/>
          </w:tcPr>
          <w:p>
            <w:pPr>
              <w:wordWrap w:val="0"/>
              <w:topLinePunct/>
              <w:rPr>
                <w:rFonts w:ascii="宋体" w:hAnsi="宋体"/>
                <w:color w:val="auto"/>
                <w:highlight w:val="none"/>
              </w:rPr>
            </w:pPr>
          </w:p>
        </w:tc>
        <w:tc>
          <w:tcPr>
            <w:tcW w:w="605" w:type="dxa"/>
          </w:tcPr>
          <w:p>
            <w:pPr>
              <w:wordWrap w:val="0"/>
              <w:topLinePunct/>
              <w:rPr>
                <w:rFonts w:ascii="宋体" w:hAnsi="宋体"/>
                <w:color w:val="auto"/>
                <w:highlight w:val="none"/>
              </w:rPr>
            </w:pPr>
          </w:p>
        </w:tc>
        <w:tc>
          <w:tcPr>
            <w:tcW w:w="605"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1136" w:type="dxa"/>
            <w:vAlign w:val="center"/>
          </w:tcPr>
          <w:p>
            <w:pPr>
              <w:wordWrap w:val="0"/>
              <w:topLinePunct/>
              <w:rPr>
                <w:rFonts w:ascii="宋体" w:hAnsi="宋体"/>
                <w:color w:val="auto"/>
                <w:highlight w:val="none"/>
              </w:rPr>
            </w:pPr>
          </w:p>
        </w:tc>
        <w:tc>
          <w:tcPr>
            <w:tcW w:w="1729" w:type="dxa"/>
            <w:vAlign w:val="center"/>
          </w:tcPr>
          <w:p>
            <w:pPr>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07" w:type="dxa"/>
            <w:vAlign w:val="center"/>
          </w:tcPr>
          <w:p>
            <w:pPr>
              <w:jc w:val="left"/>
              <w:rPr>
                <w:rFonts w:ascii="宋体" w:hAnsi="宋体"/>
                <w:color w:val="auto"/>
                <w:highlight w:val="none"/>
              </w:rPr>
            </w:pPr>
            <w:r>
              <w:rPr>
                <w:rFonts w:hint="eastAsia" w:ascii="宋体" w:hAnsi="宋体"/>
                <w:b/>
                <w:bCs/>
                <w:color w:val="auto"/>
                <w:highlight w:val="none"/>
              </w:rPr>
              <w:t>工程造价专业负责人</w:t>
            </w:r>
          </w:p>
        </w:tc>
        <w:tc>
          <w:tcPr>
            <w:tcW w:w="549" w:type="dxa"/>
            <w:vAlign w:val="center"/>
          </w:tcPr>
          <w:p>
            <w:pPr>
              <w:wordWrap w:val="0"/>
              <w:topLinePunct/>
              <w:rPr>
                <w:rFonts w:ascii="宋体" w:hAnsi="宋体"/>
                <w:color w:val="auto"/>
                <w:highlight w:val="none"/>
              </w:rPr>
            </w:pPr>
          </w:p>
        </w:tc>
        <w:tc>
          <w:tcPr>
            <w:tcW w:w="605" w:type="dxa"/>
          </w:tcPr>
          <w:p>
            <w:pPr>
              <w:wordWrap w:val="0"/>
              <w:topLinePunct/>
              <w:rPr>
                <w:rFonts w:ascii="宋体" w:hAnsi="宋体"/>
                <w:color w:val="auto"/>
                <w:highlight w:val="none"/>
              </w:rPr>
            </w:pPr>
          </w:p>
        </w:tc>
        <w:tc>
          <w:tcPr>
            <w:tcW w:w="605"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1136" w:type="dxa"/>
            <w:vAlign w:val="center"/>
          </w:tcPr>
          <w:p>
            <w:pPr>
              <w:wordWrap w:val="0"/>
              <w:topLinePunct/>
              <w:rPr>
                <w:rFonts w:ascii="宋体" w:hAnsi="宋体"/>
                <w:color w:val="auto"/>
                <w:highlight w:val="none"/>
              </w:rPr>
            </w:pPr>
          </w:p>
        </w:tc>
        <w:tc>
          <w:tcPr>
            <w:tcW w:w="1729" w:type="dxa"/>
            <w:vAlign w:val="center"/>
          </w:tcPr>
          <w:p>
            <w:pPr>
              <w:jc w:val="lef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07" w:type="dxa"/>
            <w:vAlign w:val="center"/>
          </w:tcPr>
          <w:p>
            <w:pPr>
              <w:jc w:val="left"/>
              <w:rPr>
                <w:rFonts w:ascii="宋体" w:hAnsi="宋体"/>
                <w:color w:val="auto"/>
                <w:highlight w:val="none"/>
              </w:rPr>
            </w:pPr>
            <w:r>
              <w:rPr>
                <w:rFonts w:hint="eastAsia" w:ascii="宋体" w:hAnsi="宋体"/>
                <w:color w:val="auto"/>
                <w:highlight w:val="none"/>
              </w:rPr>
              <w:t>工程造价专业编制人</w:t>
            </w:r>
          </w:p>
        </w:tc>
        <w:tc>
          <w:tcPr>
            <w:tcW w:w="549" w:type="dxa"/>
            <w:vAlign w:val="center"/>
          </w:tcPr>
          <w:p>
            <w:pPr>
              <w:wordWrap w:val="0"/>
              <w:topLinePunct/>
              <w:rPr>
                <w:rFonts w:ascii="宋体" w:hAnsi="宋体"/>
                <w:color w:val="auto"/>
                <w:highlight w:val="none"/>
              </w:rPr>
            </w:pPr>
          </w:p>
        </w:tc>
        <w:tc>
          <w:tcPr>
            <w:tcW w:w="605" w:type="dxa"/>
          </w:tcPr>
          <w:p>
            <w:pPr>
              <w:wordWrap w:val="0"/>
              <w:topLinePunct/>
              <w:rPr>
                <w:rFonts w:ascii="宋体" w:hAnsi="宋体"/>
                <w:color w:val="auto"/>
                <w:highlight w:val="none"/>
              </w:rPr>
            </w:pPr>
          </w:p>
        </w:tc>
        <w:tc>
          <w:tcPr>
            <w:tcW w:w="605"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1136" w:type="dxa"/>
            <w:vAlign w:val="center"/>
          </w:tcPr>
          <w:p>
            <w:pPr>
              <w:wordWrap w:val="0"/>
              <w:topLinePunct/>
              <w:rPr>
                <w:rFonts w:ascii="宋体" w:hAnsi="宋体"/>
                <w:color w:val="auto"/>
                <w:highlight w:val="none"/>
              </w:rPr>
            </w:pPr>
          </w:p>
        </w:tc>
        <w:tc>
          <w:tcPr>
            <w:tcW w:w="1729" w:type="dxa"/>
            <w:vAlign w:val="center"/>
          </w:tcPr>
          <w:p>
            <w:pPr>
              <w:wordWrap w:val="0"/>
              <w:topLinePun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07" w:type="dxa"/>
            <w:vAlign w:val="center"/>
          </w:tcPr>
          <w:p>
            <w:pPr>
              <w:jc w:val="left"/>
              <w:rPr>
                <w:rFonts w:ascii="宋体" w:hAnsi="宋体"/>
                <w:color w:val="auto"/>
                <w:highlight w:val="none"/>
              </w:rPr>
            </w:pPr>
            <w:r>
              <w:rPr>
                <w:rFonts w:hint="eastAsia" w:ascii="宋体" w:hAnsi="宋体"/>
                <w:b/>
                <w:bCs/>
                <w:color w:val="auto"/>
                <w:highlight w:val="none"/>
              </w:rPr>
              <w:t>勘察专业负责人</w:t>
            </w:r>
          </w:p>
        </w:tc>
        <w:tc>
          <w:tcPr>
            <w:tcW w:w="549" w:type="dxa"/>
            <w:vAlign w:val="center"/>
          </w:tcPr>
          <w:p>
            <w:pPr>
              <w:wordWrap w:val="0"/>
              <w:topLinePunct/>
              <w:rPr>
                <w:rFonts w:ascii="宋体" w:hAnsi="宋体"/>
                <w:color w:val="auto"/>
                <w:highlight w:val="none"/>
              </w:rPr>
            </w:pPr>
          </w:p>
        </w:tc>
        <w:tc>
          <w:tcPr>
            <w:tcW w:w="605" w:type="dxa"/>
          </w:tcPr>
          <w:p>
            <w:pPr>
              <w:wordWrap w:val="0"/>
              <w:topLinePunct/>
              <w:rPr>
                <w:rFonts w:ascii="宋体" w:hAnsi="宋体"/>
                <w:color w:val="auto"/>
                <w:highlight w:val="none"/>
              </w:rPr>
            </w:pPr>
          </w:p>
        </w:tc>
        <w:tc>
          <w:tcPr>
            <w:tcW w:w="605"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1136" w:type="dxa"/>
            <w:vAlign w:val="center"/>
          </w:tcPr>
          <w:p>
            <w:pPr>
              <w:wordWrap w:val="0"/>
              <w:topLinePunct/>
              <w:rPr>
                <w:rFonts w:ascii="宋体" w:hAnsi="宋体"/>
                <w:color w:val="auto"/>
                <w:highlight w:val="none"/>
              </w:rPr>
            </w:pPr>
          </w:p>
        </w:tc>
        <w:tc>
          <w:tcPr>
            <w:tcW w:w="1729" w:type="dxa"/>
            <w:vAlign w:val="center"/>
          </w:tcPr>
          <w:p>
            <w:pPr>
              <w:wordWrap w:val="0"/>
              <w:topLinePun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07" w:type="dxa"/>
            <w:vAlign w:val="center"/>
          </w:tcPr>
          <w:p>
            <w:pPr>
              <w:jc w:val="left"/>
              <w:rPr>
                <w:rFonts w:ascii="宋体" w:hAnsi="宋体"/>
                <w:color w:val="auto"/>
                <w:highlight w:val="none"/>
              </w:rPr>
            </w:pPr>
            <w:r>
              <w:rPr>
                <w:rFonts w:hint="eastAsia" w:ascii="宋体" w:hAnsi="宋体"/>
                <w:color w:val="auto"/>
                <w:highlight w:val="none"/>
              </w:rPr>
              <w:t>勘察专业技术人员</w:t>
            </w:r>
          </w:p>
        </w:tc>
        <w:tc>
          <w:tcPr>
            <w:tcW w:w="549" w:type="dxa"/>
            <w:vAlign w:val="center"/>
          </w:tcPr>
          <w:p>
            <w:pPr>
              <w:wordWrap w:val="0"/>
              <w:topLinePunct/>
              <w:rPr>
                <w:rFonts w:ascii="宋体" w:hAnsi="宋体"/>
                <w:color w:val="auto"/>
                <w:highlight w:val="none"/>
              </w:rPr>
            </w:pPr>
          </w:p>
        </w:tc>
        <w:tc>
          <w:tcPr>
            <w:tcW w:w="605" w:type="dxa"/>
          </w:tcPr>
          <w:p>
            <w:pPr>
              <w:wordWrap w:val="0"/>
              <w:topLinePunct/>
              <w:rPr>
                <w:rFonts w:ascii="宋体" w:hAnsi="宋体"/>
                <w:color w:val="auto"/>
                <w:highlight w:val="none"/>
              </w:rPr>
            </w:pPr>
          </w:p>
        </w:tc>
        <w:tc>
          <w:tcPr>
            <w:tcW w:w="605"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1136" w:type="dxa"/>
            <w:vAlign w:val="center"/>
          </w:tcPr>
          <w:p>
            <w:pPr>
              <w:wordWrap w:val="0"/>
              <w:topLinePunct/>
              <w:rPr>
                <w:rFonts w:ascii="宋体" w:hAnsi="宋体"/>
                <w:color w:val="auto"/>
                <w:highlight w:val="none"/>
              </w:rPr>
            </w:pPr>
          </w:p>
        </w:tc>
        <w:tc>
          <w:tcPr>
            <w:tcW w:w="1729" w:type="dxa"/>
            <w:vAlign w:val="center"/>
          </w:tcPr>
          <w:p>
            <w:pPr>
              <w:wordWrap w:val="0"/>
              <w:topLinePun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207" w:type="dxa"/>
            <w:vAlign w:val="center"/>
          </w:tcPr>
          <w:p>
            <w:pPr>
              <w:jc w:val="left"/>
              <w:rPr>
                <w:rFonts w:ascii="宋体" w:hAnsi="宋体"/>
                <w:color w:val="auto"/>
                <w:highlight w:val="none"/>
              </w:rPr>
            </w:pPr>
            <w:r>
              <w:rPr>
                <w:rFonts w:ascii="宋体" w:hAnsi="宋体"/>
                <w:color w:val="auto"/>
                <w:highlight w:val="none"/>
              </w:rPr>
              <w:t>……</w:t>
            </w:r>
          </w:p>
        </w:tc>
        <w:tc>
          <w:tcPr>
            <w:tcW w:w="549" w:type="dxa"/>
            <w:vAlign w:val="center"/>
          </w:tcPr>
          <w:p>
            <w:pPr>
              <w:wordWrap w:val="0"/>
              <w:topLinePunct/>
              <w:rPr>
                <w:rFonts w:ascii="宋体" w:hAnsi="宋体"/>
                <w:color w:val="auto"/>
                <w:highlight w:val="none"/>
              </w:rPr>
            </w:pPr>
          </w:p>
        </w:tc>
        <w:tc>
          <w:tcPr>
            <w:tcW w:w="605" w:type="dxa"/>
          </w:tcPr>
          <w:p>
            <w:pPr>
              <w:wordWrap w:val="0"/>
              <w:topLinePunct/>
              <w:rPr>
                <w:rFonts w:ascii="宋体" w:hAnsi="宋体"/>
                <w:color w:val="auto"/>
                <w:highlight w:val="none"/>
              </w:rPr>
            </w:pPr>
          </w:p>
        </w:tc>
        <w:tc>
          <w:tcPr>
            <w:tcW w:w="605"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962" w:type="dxa"/>
            <w:vAlign w:val="center"/>
          </w:tcPr>
          <w:p>
            <w:pPr>
              <w:wordWrap w:val="0"/>
              <w:topLinePunct/>
              <w:rPr>
                <w:rFonts w:ascii="宋体" w:hAnsi="宋体"/>
                <w:color w:val="auto"/>
                <w:highlight w:val="none"/>
              </w:rPr>
            </w:pPr>
          </w:p>
        </w:tc>
        <w:tc>
          <w:tcPr>
            <w:tcW w:w="1136" w:type="dxa"/>
            <w:vAlign w:val="center"/>
          </w:tcPr>
          <w:p>
            <w:pPr>
              <w:wordWrap w:val="0"/>
              <w:topLinePunct/>
              <w:rPr>
                <w:rFonts w:ascii="宋体" w:hAnsi="宋体"/>
                <w:color w:val="auto"/>
                <w:highlight w:val="none"/>
              </w:rPr>
            </w:pPr>
          </w:p>
        </w:tc>
        <w:tc>
          <w:tcPr>
            <w:tcW w:w="1729" w:type="dxa"/>
            <w:vAlign w:val="center"/>
          </w:tcPr>
          <w:p>
            <w:pPr>
              <w:wordWrap w:val="0"/>
              <w:topLinePunct/>
              <w:rPr>
                <w:rFonts w:ascii="宋体" w:hAnsi="宋体"/>
                <w:color w:val="auto"/>
                <w:highlight w:val="none"/>
              </w:rPr>
            </w:pPr>
          </w:p>
        </w:tc>
      </w:tr>
    </w:tbl>
    <w:p>
      <w:pPr>
        <w:wordWrap w:val="0"/>
        <w:topLinePunct/>
        <w:spacing w:line="360" w:lineRule="auto"/>
        <w:jc w:val="left"/>
        <w:rPr>
          <w:rFonts w:ascii="宋体" w:hAnsi="宋体"/>
          <w:color w:val="auto"/>
          <w:szCs w:val="21"/>
          <w:highlight w:val="none"/>
        </w:rPr>
      </w:pPr>
      <w:r>
        <w:rPr>
          <w:rFonts w:hint="eastAsia" w:ascii="宋体" w:hAnsi="宋体"/>
          <w:color w:val="auto"/>
          <w:szCs w:val="21"/>
          <w:highlight w:val="none"/>
        </w:rPr>
        <w:t>注：①投标人应根据招标文件要求和招标项目的实际需要，列出项目负责人及各专业负责人。</w:t>
      </w:r>
    </w:p>
    <w:p>
      <w:pPr>
        <w:wordWrap w:val="0"/>
        <w:topLinePunct/>
        <w:spacing w:line="360" w:lineRule="auto"/>
        <w:jc w:val="left"/>
        <w:rPr>
          <w:rFonts w:ascii="宋体" w:hAnsi="宋体"/>
          <w:color w:val="auto"/>
          <w:szCs w:val="21"/>
          <w:highlight w:val="none"/>
        </w:rPr>
      </w:pPr>
      <w:r>
        <w:rPr>
          <w:rFonts w:hint="eastAsia" w:ascii="宋体" w:hAnsi="宋体"/>
          <w:color w:val="auto"/>
          <w:szCs w:val="21"/>
          <w:highlight w:val="none"/>
        </w:rPr>
        <w:t>②投标人应按本表所列的项目负责人和各专业负责人填写资历表。</w:t>
      </w:r>
    </w:p>
    <w:p>
      <w:pPr>
        <w:wordWrap w:val="0"/>
        <w:topLinePunct/>
        <w:spacing w:line="360" w:lineRule="auto"/>
        <w:jc w:val="left"/>
        <w:rPr>
          <w:rFonts w:ascii="宋体" w:hAnsi="宋体"/>
          <w:color w:val="auto"/>
          <w:szCs w:val="21"/>
          <w:highlight w:val="none"/>
        </w:rPr>
      </w:pPr>
      <w:r>
        <w:rPr>
          <w:rFonts w:hint="eastAsia" w:ascii="宋体" w:hAnsi="宋体"/>
          <w:color w:val="auto"/>
          <w:szCs w:val="21"/>
          <w:highlight w:val="none"/>
        </w:rPr>
        <w:t>③投标人拟投入的人员应为本单位人员（若为联合体投标的，上述人员需根据联合体共同投标协议约定的分工内容，由相应单位委派），并提供本表所列人员近一个月</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2022年8月</w:t>
      </w:r>
      <w:r>
        <w:rPr>
          <w:rFonts w:hint="eastAsia" w:ascii="宋体" w:hAnsi="宋体"/>
          <w:color w:val="auto"/>
          <w:szCs w:val="21"/>
          <w:highlight w:val="none"/>
          <w:u w:val="single"/>
        </w:rPr>
        <w:t>）</w:t>
      </w:r>
      <w:r>
        <w:rPr>
          <w:rFonts w:hint="eastAsia" w:ascii="宋体" w:hAnsi="宋体"/>
          <w:color w:val="auto"/>
          <w:szCs w:val="21"/>
          <w:highlight w:val="none"/>
        </w:rPr>
        <w:t>的</w:t>
      </w:r>
      <w:r>
        <w:rPr>
          <w:rFonts w:hint="eastAsia" w:ascii="宋体" w:hAnsi="宋体"/>
          <w:color w:val="auto"/>
          <w:szCs w:val="21"/>
          <w:highlight w:val="none"/>
          <w:lang w:val="zh-CN"/>
        </w:rPr>
        <w:t>参保</w:t>
      </w:r>
      <w:r>
        <w:rPr>
          <w:rFonts w:hint="eastAsia" w:ascii="宋体" w:hAnsi="宋体"/>
          <w:color w:val="auto"/>
          <w:szCs w:val="21"/>
          <w:highlight w:val="none"/>
        </w:rPr>
        <w:t>社保证明（含分公司或分支机构社保缴纳记录)，</w:t>
      </w:r>
      <w:r>
        <w:rPr>
          <w:rFonts w:hint="eastAsia" w:ascii="宋体" w:hAnsi="宋体"/>
          <w:color w:val="auto"/>
          <w:szCs w:val="21"/>
          <w:highlight w:val="none"/>
          <w:u w:val="single"/>
        </w:rPr>
        <w:t>如退休返聘人员，只提供单位返聘及退休证明文件</w:t>
      </w:r>
      <w:r>
        <w:rPr>
          <w:rFonts w:hint="eastAsia" w:ascii="宋体" w:hAnsi="宋体"/>
          <w:color w:val="auto"/>
          <w:szCs w:val="21"/>
          <w:highlight w:val="none"/>
        </w:rPr>
        <w:t>。若当地政府部门允许企业在疫情期间缓缴社会保险费且投标人未缴纳的，投标人可提供当地政府部门允许缓缴社保的相关文件作为缴纳社保的证明。确定中标人后，招标人将核实后续中标人项目组成人员的社保补缴情况。</w:t>
      </w:r>
    </w:p>
    <w:p>
      <w:pPr>
        <w:spacing w:line="360" w:lineRule="auto"/>
        <w:rPr>
          <w:rFonts w:ascii="宋体" w:hAnsi="宋体"/>
          <w:color w:val="auto"/>
          <w:highlight w:val="none"/>
        </w:rPr>
      </w:pPr>
      <w:r>
        <w:rPr>
          <w:rFonts w:hint="eastAsia" w:ascii="宋体" w:hAnsi="宋体"/>
          <w:color w:val="auto"/>
          <w:highlight w:val="none"/>
        </w:rPr>
        <w:t>④资格条件含职称、注册资格。</w:t>
      </w:r>
    </w:p>
    <w:p>
      <w:pPr>
        <w:pStyle w:val="97"/>
        <w:wordWrap w:val="0"/>
        <w:topLinePunct/>
        <w:spacing w:line="360" w:lineRule="auto"/>
        <w:jc w:val="left"/>
        <w:rPr>
          <w:rFonts w:ascii="宋体" w:hAnsi="宋体"/>
          <w:color w:val="auto"/>
          <w:szCs w:val="21"/>
          <w:highlight w:val="none"/>
        </w:rPr>
      </w:pPr>
      <w:r>
        <w:rPr>
          <w:rFonts w:hint="eastAsia" w:ascii="宋体" w:hAnsi="宋体"/>
          <w:color w:val="auto"/>
          <w:highlight w:val="none"/>
        </w:rPr>
        <w:t>⑤</w:t>
      </w:r>
      <w:r>
        <w:rPr>
          <w:rFonts w:hint="eastAsia" w:ascii="宋体" w:hAnsi="宋体" w:eastAsia="宋体" w:cs="Times New Roman"/>
          <w:color w:val="auto"/>
          <w:szCs w:val="21"/>
          <w:highlight w:val="none"/>
        </w:rPr>
        <w:t>获奖奖项是指与本次招标专业内容相对应的由</w:t>
      </w:r>
      <w:r>
        <w:rPr>
          <w:rFonts w:hint="eastAsia" w:ascii="宋体" w:hAnsi="宋体" w:eastAsia="宋体" w:cs="Times New Roman"/>
          <w:strike/>
          <w:color w:val="auto"/>
          <w:szCs w:val="21"/>
          <w:highlight w:val="none"/>
        </w:rPr>
        <w:t>住建部颁发的全国优秀工程勘察设计奖、</w:t>
      </w:r>
      <w:r>
        <w:rPr>
          <w:rFonts w:hint="eastAsia" w:ascii="宋体" w:hAnsi="宋体" w:eastAsia="宋体" w:cs="Times New Roman"/>
          <w:color w:val="auto"/>
          <w:szCs w:val="21"/>
          <w:highlight w:val="none"/>
        </w:rPr>
        <w:t>中国勘察设计协会颁发的全国优秀工程勘察设计行业奖、省（部）级（含副省级）工程勘察设计行业协会颁发的省（部）级（含副省级）优秀勘察设计奖；由国务院颁发的国家科学技术奖、住建部的华夏建设科学技术奖励委员会颁发的华夏建设科学技术奖、省（部）级（含副省级）人民政府颁发的省（部）（含副省级）科学技术奖。</w:t>
      </w:r>
      <w:r>
        <w:rPr>
          <w:rFonts w:hint="eastAsia" w:ascii="宋体" w:hAnsi="宋体" w:eastAsia="宋体" w:cs="Times New Roman"/>
          <w:strike w:val="0"/>
          <w:color w:val="auto"/>
          <w:szCs w:val="21"/>
          <w:highlight w:val="none"/>
        </w:rPr>
        <w:t>国家级（国家科学技术奖</w:t>
      </w:r>
      <w:r>
        <w:rPr>
          <w:rFonts w:hint="eastAsia" w:ascii="宋体" w:hAnsi="宋体" w:eastAsia="宋体" w:cs="Times New Roman"/>
          <w:strike/>
          <w:color w:val="auto"/>
          <w:szCs w:val="21"/>
          <w:highlight w:val="none"/>
        </w:rPr>
        <w:t>、全国优秀工程勘察设计奖</w:t>
      </w:r>
      <w:r>
        <w:rPr>
          <w:rFonts w:hint="eastAsia" w:ascii="宋体" w:hAnsi="宋体" w:eastAsia="宋体" w:cs="Times New Roman"/>
          <w:strike w:val="0"/>
          <w:color w:val="auto"/>
          <w:szCs w:val="21"/>
          <w:highlight w:val="none"/>
        </w:rPr>
        <w:t>）分值＞行业级（华夏建设科学技术奖、全国优秀工程勘察设计行业奖）分值＞省（部）级（省（部）级科学技术奖、省（部）级优秀工程勘察设计奖）分值&gt;副省级（市科学技术奖、市工程勘察设计奖）分值，各级奖项的一等（金）奖、二等（银）奖、三等（铜）奖具体分值不再细分。</w:t>
      </w:r>
    </w:p>
    <w:p>
      <w:pPr>
        <w:pStyle w:val="4"/>
        <w:rPr>
          <w:color w:val="auto"/>
          <w:sz w:val="32"/>
          <w:szCs w:val="32"/>
          <w:highlight w:val="none"/>
        </w:rPr>
      </w:pPr>
      <w:r>
        <w:rPr>
          <w:color w:val="auto"/>
          <w:sz w:val="32"/>
          <w:szCs w:val="32"/>
          <w:highlight w:val="none"/>
        </w:rPr>
        <w:br w:type="page"/>
      </w:r>
      <w:bookmarkStart w:id="79" w:name="_Toc22982"/>
      <w:bookmarkStart w:id="80" w:name="_Toc28302"/>
      <w:bookmarkStart w:id="81" w:name="_Toc99464001"/>
      <w:r>
        <w:rPr>
          <w:color w:val="auto"/>
          <w:highlight w:val="none"/>
        </w:rPr>
        <w:t>附录</w:t>
      </w:r>
      <w:r>
        <w:rPr>
          <w:rFonts w:hint="eastAsia"/>
          <w:color w:val="auto"/>
          <w:highlight w:val="none"/>
        </w:rPr>
        <w:t>4-1：项目负责人资历表</w:t>
      </w:r>
      <w:bookmarkEnd w:id="79"/>
      <w:bookmarkEnd w:id="80"/>
      <w:bookmarkEnd w:id="81"/>
    </w:p>
    <w:p>
      <w:pPr>
        <w:spacing w:line="360" w:lineRule="auto"/>
        <w:jc w:val="center"/>
        <w:rPr>
          <w:rFonts w:ascii="宋体" w:hAnsi="宋体"/>
          <w:b/>
          <w:color w:val="auto"/>
          <w:sz w:val="28"/>
          <w:szCs w:val="28"/>
          <w:highlight w:val="none"/>
        </w:rPr>
      </w:pPr>
      <w:r>
        <w:rPr>
          <w:rFonts w:hint="eastAsia" w:ascii="宋体" w:hAnsi="宋体"/>
          <w:b/>
          <w:color w:val="auto"/>
          <w:sz w:val="32"/>
          <w:szCs w:val="32"/>
          <w:highlight w:val="none"/>
        </w:rPr>
        <w:t>项目负责人资历表</w:t>
      </w:r>
    </w:p>
    <w:tbl>
      <w:tblPr>
        <w:tblStyle w:val="38"/>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0" w:type="dxa"/>
          <w:left w:w="60" w:type="dxa"/>
          <w:bottom w:w="60" w:type="dxa"/>
          <w:right w:w="60" w:type="dxa"/>
        </w:tblCellMar>
      </w:tblPr>
      <w:tblGrid>
        <w:gridCol w:w="1007"/>
        <w:gridCol w:w="1105"/>
        <w:gridCol w:w="755"/>
        <w:gridCol w:w="759"/>
        <w:gridCol w:w="598"/>
        <w:gridCol w:w="162"/>
        <w:gridCol w:w="171"/>
        <w:gridCol w:w="1181"/>
        <w:gridCol w:w="598"/>
        <w:gridCol w:w="333"/>
        <w:gridCol w:w="1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20" w:hRule="atLeast"/>
          <w:tblCellSpacing w:w="0" w:type="dxa"/>
          <w:jc w:val="center"/>
        </w:trPr>
        <w:tc>
          <w:tcPr>
            <w:tcW w:w="1007" w:type="dxa"/>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r>
              <w:rPr>
                <w:rFonts w:ascii="宋体" w:hAnsi="宋体"/>
                <w:color w:val="auto"/>
                <w:kern w:val="0"/>
                <w:sz w:val="22"/>
                <w:szCs w:val="22"/>
                <w:highlight w:val="none"/>
              </w:rPr>
              <w:t>姓名</w:t>
            </w:r>
          </w:p>
        </w:tc>
        <w:tc>
          <w:tcPr>
            <w:tcW w:w="1860" w:type="dxa"/>
            <w:gridSpan w:val="2"/>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p>
        </w:tc>
        <w:tc>
          <w:tcPr>
            <w:tcW w:w="759" w:type="dxa"/>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r>
              <w:rPr>
                <w:rFonts w:ascii="宋体" w:hAnsi="宋体"/>
                <w:color w:val="auto"/>
                <w:kern w:val="0"/>
                <w:sz w:val="22"/>
                <w:szCs w:val="22"/>
                <w:highlight w:val="none"/>
              </w:rPr>
              <w:t>性别</w:t>
            </w:r>
          </w:p>
        </w:tc>
        <w:tc>
          <w:tcPr>
            <w:tcW w:w="2112" w:type="dxa"/>
            <w:gridSpan w:val="4"/>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p>
        </w:tc>
        <w:tc>
          <w:tcPr>
            <w:tcW w:w="931" w:type="dxa"/>
            <w:gridSpan w:val="2"/>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r>
              <w:rPr>
                <w:rFonts w:ascii="宋体" w:hAnsi="宋体"/>
                <w:color w:val="auto"/>
                <w:kern w:val="0"/>
                <w:sz w:val="22"/>
                <w:szCs w:val="22"/>
                <w:highlight w:val="none"/>
              </w:rPr>
              <w:t>年龄</w:t>
            </w:r>
          </w:p>
        </w:tc>
        <w:tc>
          <w:tcPr>
            <w:tcW w:w="1780" w:type="dxa"/>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007" w:type="dxa"/>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r>
              <w:rPr>
                <w:rFonts w:ascii="宋体" w:hAnsi="宋体"/>
                <w:color w:val="auto"/>
                <w:kern w:val="0"/>
                <w:sz w:val="22"/>
                <w:szCs w:val="22"/>
                <w:highlight w:val="none"/>
              </w:rPr>
              <w:t>职务</w:t>
            </w:r>
          </w:p>
        </w:tc>
        <w:tc>
          <w:tcPr>
            <w:tcW w:w="1860" w:type="dxa"/>
            <w:gridSpan w:val="2"/>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p>
        </w:tc>
        <w:tc>
          <w:tcPr>
            <w:tcW w:w="759" w:type="dxa"/>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r>
              <w:rPr>
                <w:rFonts w:ascii="宋体" w:hAnsi="宋体"/>
                <w:color w:val="auto"/>
                <w:kern w:val="0"/>
                <w:sz w:val="22"/>
                <w:szCs w:val="22"/>
                <w:highlight w:val="none"/>
              </w:rPr>
              <w:t>职称</w:t>
            </w:r>
          </w:p>
        </w:tc>
        <w:tc>
          <w:tcPr>
            <w:tcW w:w="2112" w:type="dxa"/>
            <w:gridSpan w:val="4"/>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p>
        </w:tc>
        <w:tc>
          <w:tcPr>
            <w:tcW w:w="931" w:type="dxa"/>
            <w:gridSpan w:val="2"/>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r>
              <w:rPr>
                <w:rFonts w:ascii="宋体" w:hAnsi="宋体"/>
                <w:color w:val="auto"/>
                <w:kern w:val="0"/>
                <w:sz w:val="22"/>
                <w:szCs w:val="22"/>
                <w:highlight w:val="none"/>
              </w:rPr>
              <w:t>学历</w:t>
            </w:r>
          </w:p>
        </w:tc>
        <w:tc>
          <w:tcPr>
            <w:tcW w:w="1780" w:type="dxa"/>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2867" w:type="dxa"/>
            <w:gridSpan w:val="3"/>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r>
              <w:rPr>
                <w:rFonts w:ascii="宋体" w:hAnsi="宋体"/>
                <w:color w:val="auto"/>
                <w:kern w:val="0"/>
                <w:sz w:val="22"/>
                <w:szCs w:val="22"/>
                <w:highlight w:val="none"/>
              </w:rPr>
              <w:t>参加工作时间</w:t>
            </w:r>
          </w:p>
        </w:tc>
        <w:tc>
          <w:tcPr>
            <w:tcW w:w="1690" w:type="dxa"/>
            <w:gridSpan w:val="4"/>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p>
        </w:tc>
        <w:tc>
          <w:tcPr>
            <w:tcW w:w="2112" w:type="dxa"/>
            <w:gridSpan w:val="3"/>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r>
              <w:rPr>
                <w:rFonts w:ascii="宋体" w:hAnsi="宋体"/>
                <w:color w:val="auto"/>
                <w:kern w:val="0"/>
                <w:sz w:val="22"/>
                <w:szCs w:val="22"/>
                <w:highlight w:val="none"/>
              </w:rPr>
              <w:t>担任相应职务年限</w:t>
            </w:r>
          </w:p>
        </w:tc>
        <w:tc>
          <w:tcPr>
            <w:tcW w:w="1780" w:type="dxa"/>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2867" w:type="dxa"/>
            <w:gridSpan w:val="3"/>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注册执业</w:t>
            </w:r>
            <w:r>
              <w:rPr>
                <w:rFonts w:ascii="宋体" w:hAnsi="宋体"/>
                <w:color w:val="auto"/>
                <w:kern w:val="0"/>
                <w:sz w:val="22"/>
                <w:szCs w:val="22"/>
                <w:highlight w:val="none"/>
              </w:rPr>
              <w:t>资格证书号</w:t>
            </w:r>
          </w:p>
        </w:tc>
        <w:tc>
          <w:tcPr>
            <w:tcW w:w="5582" w:type="dxa"/>
            <w:gridSpan w:val="8"/>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8449" w:type="dxa"/>
            <w:gridSpan w:val="11"/>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业绩简介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2112" w:type="dxa"/>
            <w:gridSpan w:val="2"/>
            <w:tcBorders>
              <w:tl2br w:val="nil"/>
              <w:tr2bl w:val="nil"/>
            </w:tcBorders>
            <w:noWrap w:val="0"/>
            <w:vAlign w:val="center"/>
          </w:tcPr>
          <w:p>
            <w:pPr>
              <w:widowControl/>
              <w:spacing w:beforeLines="50" w:afterLines="50" w:line="360" w:lineRule="auto"/>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建设单位</w:t>
            </w:r>
          </w:p>
        </w:tc>
        <w:tc>
          <w:tcPr>
            <w:tcW w:w="2112" w:type="dxa"/>
            <w:gridSpan w:val="3"/>
            <w:tcBorders>
              <w:tl2br w:val="nil"/>
              <w:tr2bl w:val="nil"/>
            </w:tcBorders>
            <w:noWrap w:val="0"/>
            <w:vAlign w:val="center"/>
          </w:tcPr>
          <w:p>
            <w:pPr>
              <w:widowControl/>
              <w:spacing w:beforeLines="50" w:afterLines="50" w:line="360" w:lineRule="auto"/>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项目名称</w:t>
            </w:r>
          </w:p>
        </w:tc>
        <w:tc>
          <w:tcPr>
            <w:tcW w:w="2112" w:type="dxa"/>
            <w:gridSpan w:val="4"/>
            <w:tcBorders>
              <w:tl2br w:val="nil"/>
              <w:tr2bl w:val="nil"/>
            </w:tcBorders>
            <w:noWrap w:val="0"/>
            <w:vAlign w:val="center"/>
          </w:tcPr>
          <w:p>
            <w:pPr>
              <w:widowControl/>
              <w:spacing w:beforeLines="50" w:afterLines="50" w:line="360" w:lineRule="auto"/>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建设规模</w:t>
            </w:r>
          </w:p>
        </w:tc>
        <w:tc>
          <w:tcPr>
            <w:tcW w:w="2113" w:type="dxa"/>
            <w:gridSpan w:val="2"/>
            <w:tcBorders>
              <w:tl2br w:val="nil"/>
              <w:tr2bl w:val="nil"/>
            </w:tcBorders>
            <w:noWrap w:val="0"/>
            <w:vAlign w:val="center"/>
          </w:tcPr>
          <w:p>
            <w:pPr>
              <w:widowControl/>
              <w:spacing w:beforeLines="50" w:afterLines="50" w:line="360" w:lineRule="auto"/>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在该项目担任职务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2112" w:type="dxa"/>
            <w:gridSpan w:val="2"/>
            <w:tcBorders>
              <w:tl2br w:val="nil"/>
              <w:tr2bl w:val="nil"/>
            </w:tcBorders>
            <w:noWrap w:val="0"/>
            <w:vAlign w:val="center"/>
          </w:tcPr>
          <w:p>
            <w:pPr>
              <w:widowControl/>
              <w:spacing w:beforeLines="50" w:afterLines="50" w:line="360" w:lineRule="auto"/>
              <w:jc w:val="center"/>
              <w:rPr>
                <w:rFonts w:hint="eastAsia" w:ascii="宋体" w:hAnsi="宋体"/>
                <w:color w:val="auto"/>
                <w:kern w:val="0"/>
                <w:sz w:val="22"/>
                <w:szCs w:val="22"/>
                <w:highlight w:val="none"/>
              </w:rPr>
            </w:pPr>
          </w:p>
        </w:tc>
        <w:tc>
          <w:tcPr>
            <w:tcW w:w="2112" w:type="dxa"/>
            <w:gridSpan w:val="3"/>
            <w:tcBorders>
              <w:tl2br w:val="nil"/>
              <w:tr2bl w:val="nil"/>
            </w:tcBorders>
            <w:noWrap w:val="0"/>
            <w:vAlign w:val="center"/>
          </w:tcPr>
          <w:p>
            <w:pPr>
              <w:widowControl/>
              <w:spacing w:beforeLines="50" w:afterLines="50" w:line="360" w:lineRule="auto"/>
              <w:jc w:val="center"/>
              <w:rPr>
                <w:rFonts w:hint="eastAsia" w:ascii="宋体" w:hAnsi="宋体"/>
                <w:color w:val="auto"/>
                <w:kern w:val="0"/>
                <w:sz w:val="22"/>
                <w:szCs w:val="22"/>
                <w:highlight w:val="none"/>
              </w:rPr>
            </w:pPr>
          </w:p>
        </w:tc>
        <w:tc>
          <w:tcPr>
            <w:tcW w:w="2112" w:type="dxa"/>
            <w:gridSpan w:val="4"/>
            <w:tcBorders>
              <w:tl2br w:val="nil"/>
              <w:tr2bl w:val="nil"/>
            </w:tcBorders>
            <w:noWrap w:val="0"/>
            <w:vAlign w:val="center"/>
          </w:tcPr>
          <w:p>
            <w:pPr>
              <w:widowControl/>
              <w:spacing w:beforeLines="50" w:afterLines="50" w:line="360" w:lineRule="auto"/>
              <w:jc w:val="center"/>
              <w:rPr>
                <w:rFonts w:hint="eastAsia" w:ascii="宋体" w:hAnsi="宋体"/>
                <w:color w:val="auto"/>
                <w:kern w:val="0"/>
                <w:sz w:val="22"/>
                <w:szCs w:val="22"/>
                <w:highlight w:val="none"/>
              </w:rPr>
            </w:pPr>
          </w:p>
        </w:tc>
        <w:tc>
          <w:tcPr>
            <w:tcW w:w="2113" w:type="dxa"/>
            <w:gridSpan w:val="2"/>
            <w:tcBorders>
              <w:tl2br w:val="nil"/>
              <w:tr2bl w:val="nil"/>
            </w:tcBorders>
            <w:noWrap w:val="0"/>
            <w:vAlign w:val="center"/>
          </w:tcPr>
          <w:p>
            <w:pPr>
              <w:widowControl/>
              <w:spacing w:beforeLines="50" w:afterLines="50" w:line="360" w:lineRule="auto"/>
              <w:jc w:val="center"/>
              <w:rPr>
                <w:rFonts w:hint="eastAsia" w:ascii="宋体" w:hAnsi="宋体"/>
                <w:color w:val="auto"/>
                <w:kern w:val="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8449" w:type="dxa"/>
            <w:gridSpan w:val="11"/>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获奖</w:t>
            </w:r>
            <w:r>
              <w:rPr>
                <w:rFonts w:ascii="宋体" w:hAnsi="宋体"/>
                <w:color w:val="auto"/>
                <w:kern w:val="0"/>
                <w:sz w:val="22"/>
                <w:szCs w:val="22"/>
                <w:highlight w:val="none"/>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735" w:hRule="atLeast"/>
          <w:tblCellSpacing w:w="0" w:type="dxa"/>
          <w:jc w:val="center"/>
        </w:trPr>
        <w:tc>
          <w:tcPr>
            <w:tcW w:w="1007" w:type="dxa"/>
            <w:tcBorders>
              <w:tl2br w:val="nil"/>
              <w:tr2bl w:val="nil"/>
            </w:tcBorders>
            <w:noWrap w:val="0"/>
            <w:vAlign w:val="center"/>
          </w:tcPr>
          <w:p>
            <w:pPr>
              <w:widowControl/>
              <w:spacing w:beforeLines="50" w:afterLines="50"/>
              <w:jc w:val="center"/>
              <w:rPr>
                <w:rFonts w:ascii="宋体" w:hAnsi="宋体"/>
                <w:color w:val="auto"/>
                <w:kern w:val="0"/>
                <w:sz w:val="22"/>
                <w:szCs w:val="22"/>
                <w:highlight w:val="none"/>
              </w:rPr>
            </w:pPr>
            <w:r>
              <w:rPr>
                <w:rFonts w:ascii="宋体" w:hAnsi="宋体"/>
                <w:color w:val="auto"/>
                <w:kern w:val="0"/>
                <w:sz w:val="22"/>
                <w:szCs w:val="22"/>
                <w:highlight w:val="none"/>
              </w:rPr>
              <w:t>建设</w:t>
            </w:r>
          </w:p>
          <w:p>
            <w:pPr>
              <w:widowControl/>
              <w:spacing w:beforeLines="50" w:afterLines="50"/>
              <w:jc w:val="center"/>
              <w:rPr>
                <w:rFonts w:ascii="宋体" w:hAnsi="宋体"/>
                <w:color w:val="auto"/>
                <w:kern w:val="0"/>
                <w:sz w:val="22"/>
                <w:szCs w:val="22"/>
                <w:highlight w:val="none"/>
              </w:rPr>
            </w:pPr>
            <w:r>
              <w:rPr>
                <w:rFonts w:ascii="宋体" w:hAnsi="宋体"/>
                <w:color w:val="auto"/>
                <w:kern w:val="0"/>
                <w:sz w:val="22"/>
                <w:szCs w:val="22"/>
                <w:highlight w:val="none"/>
              </w:rPr>
              <w:t>单位</w:t>
            </w:r>
          </w:p>
        </w:tc>
        <w:tc>
          <w:tcPr>
            <w:tcW w:w="1860" w:type="dxa"/>
            <w:gridSpan w:val="2"/>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r>
              <w:rPr>
                <w:rFonts w:ascii="宋体" w:hAnsi="宋体"/>
                <w:color w:val="auto"/>
                <w:kern w:val="0"/>
                <w:sz w:val="22"/>
                <w:szCs w:val="22"/>
                <w:highlight w:val="none"/>
              </w:rPr>
              <w:t>项目名称</w:t>
            </w:r>
          </w:p>
        </w:tc>
        <w:tc>
          <w:tcPr>
            <w:tcW w:w="1519" w:type="dxa"/>
            <w:gridSpan w:val="3"/>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r>
              <w:rPr>
                <w:rFonts w:ascii="宋体" w:hAnsi="宋体"/>
                <w:color w:val="auto"/>
                <w:kern w:val="0"/>
                <w:sz w:val="22"/>
                <w:szCs w:val="22"/>
                <w:highlight w:val="none"/>
              </w:rPr>
              <w:t>建设规模</w:t>
            </w:r>
          </w:p>
        </w:tc>
        <w:tc>
          <w:tcPr>
            <w:tcW w:w="1352" w:type="dxa"/>
            <w:gridSpan w:val="2"/>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r>
              <w:rPr>
                <w:rFonts w:ascii="宋体" w:hAnsi="宋体"/>
                <w:color w:val="auto"/>
                <w:kern w:val="0"/>
                <w:sz w:val="22"/>
                <w:szCs w:val="22"/>
                <w:highlight w:val="none"/>
              </w:rPr>
              <w:t>总投资</w:t>
            </w:r>
          </w:p>
        </w:tc>
        <w:tc>
          <w:tcPr>
            <w:tcW w:w="2711" w:type="dxa"/>
            <w:gridSpan w:val="3"/>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r>
              <w:rPr>
                <w:rFonts w:hint="eastAsia" w:ascii="宋体" w:hAnsi="宋体"/>
                <w:color w:val="auto"/>
                <w:kern w:val="0"/>
                <w:sz w:val="22"/>
                <w:szCs w:val="22"/>
                <w:highlight w:val="none"/>
              </w:rPr>
              <w:t>所获得奖项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0" w:type="dxa"/>
            <w:left w:w="60" w:type="dxa"/>
            <w:bottom w:w="60" w:type="dxa"/>
            <w:right w:w="60" w:type="dxa"/>
          </w:tblCellMar>
        </w:tblPrEx>
        <w:trPr>
          <w:trHeight w:val="80" w:hRule="atLeast"/>
          <w:tblCellSpacing w:w="0" w:type="dxa"/>
          <w:jc w:val="center"/>
        </w:trPr>
        <w:tc>
          <w:tcPr>
            <w:tcW w:w="1007" w:type="dxa"/>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p>
        </w:tc>
        <w:tc>
          <w:tcPr>
            <w:tcW w:w="1860" w:type="dxa"/>
            <w:gridSpan w:val="2"/>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p>
        </w:tc>
        <w:tc>
          <w:tcPr>
            <w:tcW w:w="1519" w:type="dxa"/>
            <w:gridSpan w:val="3"/>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p>
        </w:tc>
        <w:tc>
          <w:tcPr>
            <w:tcW w:w="1352" w:type="dxa"/>
            <w:gridSpan w:val="2"/>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p>
        </w:tc>
        <w:tc>
          <w:tcPr>
            <w:tcW w:w="2711" w:type="dxa"/>
            <w:gridSpan w:val="3"/>
            <w:tcBorders>
              <w:tl2br w:val="nil"/>
              <w:tr2bl w:val="nil"/>
            </w:tcBorders>
            <w:noWrap w:val="0"/>
            <w:vAlign w:val="center"/>
          </w:tcPr>
          <w:p>
            <w:pPr>
              <w:widowControl/>
              <w:spacing w:beforeLines="50" w:afterLines="50" w:line="360" w:lineRule="auto"/>
              <w:jc w:val="center"/>
              <w:rPr>
                <w:rFonts w:ascii="宋体" w:hAnsi="宋体"/>
                <w:color w:val="auto"/>
                <w:kern w:val="0"/>
                <w:sz w:val="22"/>
                <w:szCs w:val="22"/>
                <w:highlight w:val="none"/>
              </w:rPr>
            </w:pPr>
          </w:p>
        </w:tc>
      </w:tr>
    </w:tbl>
    <w:p>
      <w:pPr>
        <w:wordWrap w:val="0"/>
        <w:topLinePunct/>
        <w:spacing w:line="360" w:lineRule="auto"/>
        <w:jc w:val="left"/>
        <w:rPr>
          <w:rFonts w:ascii="宋体" w:hAnsi="宋体"/>
          <w:color w:val="auto"/>
          <w:szCs w:val="21"/>
          <w:highlight w:val="none"/>
        </w:rPr>
      </w:pPr>
      <w:r>
        <w:rPr>
          <w:rFonts w:ascii="宋体" w:hAnsi="宋体"/>
          <w:color w:val="auto"/>
          <w:szCs w:val="21"/>
          <w:highlight w:val="none"/>
        </w:rPr>
        <w:t>注:</w:t>
      </w:r>
      <w:r>
        <w:rPr>
          <w:rFonts w:hint="eastAsia" w:ascii="宋体" w:hAnsi="宋体"/>
          <w:color w:val="auto"/>
          <w:szCs w:val="21"/>
          <w:highlight w:val="none"/>
        </w:rPr>
        <w:t>①</w:t>
      </w:r>
      <w:r>
        <w:rPr>
          <w:rFonts w:ascii="宋体" w:hAnsi="宋体"/>
          <w:color w:val="auto"/>
          <w:szCs w:val="21"/>
          <w:highlight w:val="none"/>
        </w:rPr>
        <w:t>在本表后应附有身份证</w:t>
      </w:r>
      <w:r>
        <w:rPr>
          <w:rFonts w:hint="eastAsia" w:ascii="宋体" w:hAnsi="宋体"/>
          <w:color w:val="auto"/>
          <w:szCs w:val="21"/>
          <w:highlight w:val="none"/>
        </w:rPr>
        <w:t>、毕业证、注册执业资格证书（如有）、职称证书（如有）和社保证明等证明材料（如有）。</w:t>
      </w:r>
    </w:p>
    <w:p>
      <w:pPr>
        <w:spacing w:line="360" w:lineRule="auto"/>
        <w:rPr>
          <w:rFonts w:ascii="宋体" w:hAnsi="宋体"/>
          <w:color w:val="auto"/>
          <w:szCs w:val="21"/>
          <w:highlight w:val="none"/>
        </w:rPr>
      </w:pPr>
      <w:r>
        <w:rPr>
          <w:rFonts w:hint="eastAsia" w:ascii="宋体" w:hAnsi="宋体"/>
          <w:color w:val="auto"/>
          <w:szCs w:val="21"/>
          <w:highlight w:val="none"/>
        </w:rPr>
        <w:t>②</w:t>
      </w:r>
      <w:r>
        <w:rPr>
          <w:rFonts w:ascii="宋体" w:hAnsi="宋体"/>
          <w:color w:val="auto"/>
          <w:szCs w:val="21"/>
          <w:highlight w:val="none"/>
        </w:rPr>
        <w:t>项目负责人</w:t>
      </w:r>
      <w:r>
        <w:rPr>
          <w:rFonts w:hint="eastAsia" w:ascii="宋体" w:hAnsi="宋体"/>
          <w:color w:val="auto"/>
          <w:szCs w:val="21"/>
          <w:highlight w:val="none"/>
        </w:rPr>
        <w:t>满足《商务文件综合评分表》评审要求的其他资料（如有）</w:t>
      </w:r>
      <w:r>
        <w:rPr>
          <w:rFonts w:ascii="宋体" w:hAnsi="宋体"/>
          <w:color w:val="auto"/>
          <w:szCs w:val="21"/>
          <w:highlight w:val="none"/>
        </w:rPr>
        <w:t>。</w:t>
      </w:r>
    </w:p>
    <w:p>
      <w:pPr>
        <w:jc w:val="left"/>
        <w:rPr>
          <w:rFonts w:ascii="宋体" w:hAnsi="宋体"/>
          <w:b/>
          <w:bCs/>
          <w:color w:val="auto"/>
          <w:highlight w:val="none"/>
          <w:u w:val="single"/>
        </w:rPr>
      </w:pPr>
    </w:p>
    <w:p>
      <w:pPr>
        <w:pStyle w:val="4"/>
        <w:rPr>
          <w:color w:val="auto"/>
          <w:highlight w:val="none"/>
        </w:rPr>
      </w:pPr>
      <w:r>
        <w:rPr>
          <w:color w:val="auto"/>
          <w:highlight w:val="none"/>
        </w:rPr>
        <w:br w:type="page"/>
      </w:r>
      <w:bookmarkStart w:id="82" w:name="_Toc99464002"/>
      <w:bookmarkStart w:id="83" w:name="_Toc6828"/>
      <w:bookmarkStart w:id="84" w:name="_Toc6142"/>
      <w:r>
        <w:rPr>
          <w:color w:val="auto"/>
          <w:highlight w:val="none"/>
        </w:rPr>
        <w:t>附录</w:t>
      </w:r>
      <w:r>
        <w:rPr>
          <w:rFonts w:hint="eastAsia"/>
          <w:color w:val="auto"/>
          <w:highlight w:val="none"/>
        </w:rPr>
        <w:t>4-2：专业人员资历表</w:t>
      </w:r>
      <w:bookmarkEnd w:id="82"/>
      <w:bookmarkEnd w:id="83"/>
      <w:bookmarkEnd w:id="84"/>
    </w:p>
    <w:p>
      <w:pPr>
        <w:spacing w:line="360" w:lineRule="auto"/>
        <w:jc w:val="center"/>
        <w:rPr>
          <w:rFonts w:ascii="宋体" w:hAnsi="宋体"/>
          <w:b/>
          <w:bCs/>
          <w:color w:val="auto"/>
          <w:highlight w:val="none"/>
        </w:rPr>
      </w:pPr>
      <w:r>
        <w:rPr>
          <w:rFonts w:hint="eastAsia" w:ascii="宋体" w:hAnsi="宋体"/>
          <w:b/>
          <w:bCs/>
          <w:color w:val="auto"/>
          <w:sz w:val="28"/>
          <w:szCs w:val="28"/>
          <w:highlight w:val="none"/>
        </w:rPr>
        <w:t>专业</w:t>
      </w:r>
      <w:r>
        <w:rPr>
          <w:rFonts w:ascii="宋体" w:hAnsi="宋体"/>
          <w:b/>
          <w:bCs/>
          <w:color w:val="auto"/>
          <w:sz w:val="28"/>
          <w:szCs w:val="28"/>
          <w:highlight w:val="none"/>
        </w:rPr>
        <w:t>人员</w:t>
      </w:r>
      <w:r>
        <w:rPr>
          <w:rFonts w:hint="eastAsia" w:ascii="宋体" w:hAnsi="宋体"/>
          <w:b/>
          <w:bCs/>
          <w:color w:val="auto"/>
          <w:sz w:val="28"/>
          <w:szCs w:val="28"/>
          <w:highlight w:val="none"/>
        </w:rPr>
        <w:t>资</w:t>
      </w:r>
      <w:r>
        <w:rPr>
          <w:rFonts w:ascii="宋体" w:hAnsi="宋体"/>
          <w:b/>
          <w:bCs/>
          <w:color w:val="auto"/>
          <w:sz w:val="28"/>
          <w:szCs w:val="28"/>
          <w:highlight w:val="none"/>
        </w:rPr>
        <w:t>历表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78"/>
        <w:gridCol w:w="179"/>
        <w:gridCol w:w="900"/>
        <w:gridCol w:w="899"/>
        <w:gridCol w:w="1620"/>
        <w:gridCol w:w="379"/>
        <w:gridCol w:w="160"/>
        <w:gridCol w:w="771"/>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4" w:type="dxa"/>
            <w:noWrap w:val="0"/>
            <w:vAlign w:val="center"/>
          </w:tcPr>
          <w:p>
            <w:pPr>
              <w:jc w:val="center"/>
              <w:rPr>
                <w:rFonts w:ascii="宋体" w:hAnsi="宋体"/>
                <w:color w:val="auto"/>
                <w:highlight w:val="none"/>
              </w:rPr>
            </w:pPr>
            <w:r>
              <w:rPr>
                <w:rFonts w:ascii="宋体" w:hAnsi="宋体"/>
                <w:color w:val="auto"/>
                <w:highlight w:val="none"/>
              </w:rPr>
              <w:t>姓名</w:t>
            </w:r>
          </w:p>
        </w:tc>
        <w:tc>
          <w:tcPr>
            <w:tcW w:w="2157" w:type="dxa"/>
            <w:gridSpan w:val="3"/>
            <w:noWrap w:val="0"/>
            <w:vAlign w:val="center"/>
          </w:tcPr>
          <w:p>
            <w:pPr>
              <w:jc w:val="center"/>
              <w:rPr>
                <w:rFonts w:ascii="宋体" w:hAnsi="宋体"/>
                <w:color w:val="auto"/>
                <w:highlight w:val="none"/>
              </w:rPr>
            </w:pPr>
          </w:p>
        </w:tc>
        <w:tc>
          <w:tcPr>
            <w:tcW w:w="899" w:type="dxa"/>
            <w:noWrap w:val="0"/>
            <w:vAlign w:val="center"/>
          </w:tcPr>
          <w:p>
            <w:pPr>
              <w:jc w:val="center"/>
              <w:rPr>
                <w:rFonts w:ascii="宋体" w:hAnsi="宋体"/>
                <w:color w:val="auto"/>
                <w:highlight w:val="none"/>
              </w:rPr>
            </w:pPr>
            <w:r>
              <w:rPr>
                <w:rFonts w:ascii="宋体" w:hAnsi="宋体"/>
                <w:color w:val="auto"/>
                <w:highlight w:val="none"/>
              </w:rPr>
              <w:t>性别</w:t>
            </w:r>
          </w:p>
        </w:tc>
        <w:tc>
          <w:tcPr>
            <w:tcW w:w="1999" w:type="dxa"/>
            <w:gridSpan w:val="2"/>
            <w:tcBorders>
              <w:right w:val="single" w:color="auto" w:sz="6" w:space="0"/>
            </w:tcBorders>
            <w:noWrap w:val="0"/>
            <w:vAlign w:val="center"/>
          </w:tcPr>
          <w:p>
            <w:pPr>
              <w:jc w:val="center"/>
              <w:rPr>
                <w:rFonts w:ascii="宋体" w:hAnsi="宋体"/>
                <w:color w:val="auto"/>
                <w:highlight w:val="none"/>
              </w:rPr>
            </w:pPr>
          </w:p>
        </w:tc>
        <w:tc>
          <w:tcPr>
            <w:tcW w:w="931" w:type="dxa"/>
            <w:gridSpan w:val="2"/>
            <w:tcBorders>
              <w:left w:val="single" w:color="auto" w:sz="6" w:space="0"/>
            </w:tcBorders>
            <w:noWrap w:val="0"/>
            <w:vAlign w:val="center"/>
          </w:tcPr>
          <w:p>
            <w:pPr>
              <w:jc w:val="center"/>
              <w:rPr>
                <w:rFonts w:ascii="宋体" w:hAnsi="宋体"/>
                <w:color w:val="auto"/>
                <w:highlight w:val="none"/>
              </w:rPr>
            </w:pPr>
            <w:r>
              <w:rPr>
                <w:rFonts w:ascii="宋体" w:hAnsi="宋体"/>
                <w:color w:val="auto"/>
                <w:highlight w:val="none"/>
              </w:rPr>
              <w:t>年龄</w:t>
            </w:r>
          </w:p>
        </w:tc>
        <w:tc>
          <w:tcPr>
            <w:tcW w:w="1715" w:type="dxa"/>
            <w:noWrap w:val="0"/>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24" w:type="dxa"/>
            <w:noWrap w:val="0"/>
            <w:vAlign w:val="center"/>
          </w:tcPr>
          <w:p>
            <w:pPr>
              <w:jc w:val="center"/>
              <w:rPr>
                <w:rFonts w:ascii="宋体" w:hAnsi="宋体"/>
                <w:color w:val="auto"/>
                <w:highlight w:val="none"/>
              </w:rPr>
            </w:pPr>
            <w:r>
              <w:rPr>
                <w:rFonts w:ascii="宋体" w:hAnsi="宋体"/>
                <w:color w:val="auto"/>
                <w:highlight w:val="none"/>
              </w:rPr>
              <w:t>职务</w:t>
            </w:r>
          </w:p>
        </w:tc>
        <w:tc>
          <w:tcPr>
            <w:tcW w:w="2157" w:type="dxa"/>
            <w:gridSpan w:val="3"/>
            <w:noWrap w:val="0"/>
            <w:vAlign w:val="center"/>
          </w:tcPr>
          <w:p>
            <w:pPr>
              <w:jc w:val="center"/>
              <w:rPr>
                <w:rFonts w:ascii="宋体" w:hAnsi="宋体"/>
                <w:color w:val="auto"/>
                <w:highlight w:val="none"/>
              </w:rPr>
            </w:pPr>
          </w:p>
        </w:tc>
        <w:tc>
          <w:tcPr>
            <w:tcW w:w="899" w:type="dxa"/>
            <w:noWrap w:val="0"/>
            <w:vAlign w:val="center"/>
          </w:tcPr>
          <w:p>
            <w:pPr>
              <w:jc w:val="center"/>
              <w:rPr>
                <w:rFonts w:ascii="宋体" w:hAnsi="宋体"/>
                <w:color w:val="auto"/>
                <w:highlight w:val="none"/>
              </w:rPr>
            </w:pPr>
            <w:r>
              <w:rPr>
                <w:rFonts w:ascii="宋体" w:hAnsi="宋体"/>
                <w:color w:val="auto"/>
                <w:highlight w:val="none"/>
              </w:rPr>
              <w:t>职称</w:t>
            </w:r>
          </w:p>
        </w:tc>
        <w:tc>
          <w:tcPr>
            <w:tcW w:w="1999" w:type="dxa"/>
            <w:gridSpan w:val="2"/>
            <w:tcBorders>
              <w:right w:val="single" w:color="auto" w:sz="6" w:space="0"/>
            </w:tcBorders>
            <w:noWrap w:val="0"/>
            <w:vAlign w:val="center"/>
          </w:tcPr>
          <w:p>
            <w:pPr>
              <w:jc w:val="center"/>
              <w:rPr>
                <w:rFonts w:ascii="宋体" w:hAnsi="宋体"/>
                <w:color w:val="auto"/>
                <w:highlight w:val="none"/>
              </w:rPr>
            </w:pPr>
          </w:p>
        </w:tc>
        <w:tc>
          <w:tcPr>
            <w:tcW w:w="931" w:type="dxa"/>
            <w:gridSpan w:val="2"/>
            <w:tcBorders>
              <w:left w:val="single" w:color="auto" w:sz="6" w:space="0"/>
            </w:tcBorders>
            <w:noWrap w:val="0"/>
            <w:vAlign w:val="center"/>
          </w:tcPr>
          <w:p>
            <w:pPr>
              <w:jc w:val="center"/>
              <w:rPr>
                <w:rFonts w:ascii="宋体" w:hAnsi="宋体"/>
                <w:color w:val="auto"/>
                <w:highlight w:val="none"/>
              </w:rPr>
            </w:pPr>
            <w:r>
              <w:rPr>
                <w:rFonts w:ascii="宋体" w:hAnsi="宋体"/>
                <w:color w:val="auto"/>
                <w:highlight w:val="none"/>
              </w:rPr>
              <w:t>学历</w:t>
            </w:r>
          </w:p>
        </w:tc>
        <w:tc>
          <w:tcPr>
            <w:tcW w:w="1715" w:type="dxa"/>
            <w:noWrap w:val="0"/>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2981" w:type="dxa"/>
            <w:gridSpan w:val="4"/>
            <w:noWrap w:val="0"/>
            <w:vAlign w:val="center"/>
          </w:tcPr>
          <w:p>
            <w:pPr>
              <w:jc w:val="center"/>
              <w:rPr>
                <w:rFonts w:ascii="宋体" w:hAnsi="宋体"/>
                <w:color w:val="auto"/>
                <w:highlight w:val="none"/>
              </w:rPr>
            </w:pPr>
            <w:r>
              <w:rPr>
                <w:rFonts w:ascii="宋体" w:hAnsi="宋体"/>
                <w:color w:val="auto"/>
                <w:highlight w:val="none"/>
              </w:rPr>
              <w:t>执业注册资格及证书号</w:t>
            </w:r>
          </w:p>
        </w:tc>
        <w:tc>
          <w:tcPr>
            <w:tcW w:w="5544" w:type="dxa"/>
            <w:gridSpan w:val="6"/>
            <w:noWrap w:val="0"/>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2081" w:type="dxa"/>
            <w:gridSpan w:val="3"/>
            <w:noWrap w:val="0"/>
            <w:vAlign w:val="center"/>
          </w:tcPr>
          <w:p>
            <w:pPr>
              <w:jc w:val="center"/>
              <w:rPr>
                <w:rFonts w:ascii="宋体" w:hAnsi="宋体"/>
                <w:color w:val="auto"/>
                <w:highlight w:val="none"/>
              </w:rPr>
            </w:pPr>
            <w:r>
              <w:rPr>
                <w:rFonts w:ascii="宋体" w:hAnsi="宋体"/>
                <w:color w:val="auto"/>
                <w:highlight w:val="none"/>
              </w:rPr>
              <w:t>参加工作时间</w:t>
            </w:r>
          </w:p>
        </w:tc>
        <w:tc>
          <w:tcPr>
            <w:tcW w:w="1799" w:type="dxa"/>
            <w:gridSpan w:val="2"/>
            <w:noWrap w:val="0"/>
            <w:vAlign w:val="center"/>
          </w:tcPr>
          <w:p>
            <w:pPr>
              <w:jc w:val="center"/>
              <w:rPr>
                <w:rFonts w:ascii="宋体" w:hAnsi="宋体"/>
                <w:color w:val="auto"/>
                <w:highlight w:val="none"/>
              </w:rPr>
            </w:pPr>
          </w:p>
        </w:tc>
        <w:tc>
          <w:tcPr>
            <w:tcW w:w="2159" w:type="dxa"/>
            <w:gridSpan w:val="3"/>
            <w:noWrap w:val="0"/>
            <w:vAlign w:val="center"/>
          </w:tcPr>
          <w:p>
            <w:pPr>
              <w:jc w:val="center"/>
              <w:rPr>
                <w:rFonts w:ascii="宋体" w:hAnsi="宋体"/>
                <w:color w:val="auto"/>
                <w:highlight w:val="none"/>
              </w:rPr>
            </w:pPr>
            <w:r>
              <w:rPr>
                <w:rFonts w:ascii="宋体" w:hAnsi="宋体"/>
                <w:color w:val="auto"/>
                <w:highlight w:val="none"/>
              </w:rPr>
              <w:t>从事项目负责年限</w:t>
            </w:r>
          </w:p>
        </w:tc>
        <w:tc>
          <w:tcPr>
            <w:tcW w:w="2486" w:type="dxa"/>
            <w:gridSpan w:val="2"/>
            <w:noWrap w:val="0"/>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8525" w:type="dxa"/>
            <w:gridSpan w:val="10"/>
            <w:noWrap w:val="0"/>
            <w:vAlign w:val="center"/>
          </w:tcPr>
          <w:p>
            <w:pPr>
              <w:jc w:val="center"/>
              <w:rPr>
                <w:rFonts w:ascii="宋体" w:hAnsi="宋体"/>
                <w:color w:val="auto"/>
                <w:highlight w:val="none"/>
              </w:rPr>
            </w:pPr>
            <w:r>
              <w:rPr>
                <w:rFonts w:hint="eastAsia" w:ascii="宋体" w:hAnsi="宋体"/>
                <w:color w:val="auto"/>
                <w:highlight w:val="none"/>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02" w:type="dxa"/>
            <w:gridSpan w:val="2"/>
            <w:noWrap w:val="0"/>
            <w:vAlign w:val="center"/>
          </w:tcPr>
          <w:p>
            <w:pPr>
              <w:jc w:val="center"/>
              <w:rPr>
                <w:rFonts w:ascii="宋体" w:hAnsi="宋体"/>
                <w:color w:val="auto"/>
                <w:highlight w:val="none"/>
              </w:rPr>
            </w:pPr>
            <w:r>
              <w:rPr>
                <w:rFonts w:ascii="宋体" w:hAnsi="宋体"/>
                <w:color w:val="auto"/>
                <w:highlight w:val="none"/>
              </w:rPr>
              <w:t>项目名称</w:t>
            </w:r>
          </w:p>
        </w:tc>
        <w:tc>
          <w:tcPr>
            <w:tcW w:w="1978" w:type="dxa"/>
            <w:gridSpan w:val="3"/>
            <w:noWrap w:val="0"/>
            <w:vAlign w:val="center"/>
          </w:tcPr>
          <w:p>
            <w:pPr>
              <w:jc w:val="center"/>
              <w:rPr>
                <w:rFonts w:ascii="宋体" w:hAnsi="宋体"/>
                <w:color w:val="auto"/>
                <w:highlight w:val="none"/>
              </w:rPr>
            </w:pPr>
            <w:r>
              <w:rPr>
                <w:rFonts w:ascii="宋体" w:hAnsi="宋体"/>
                <w:color w:val="auto"/>
                <w:highlight w:val="none"/>
              </w:rPr>
              <w:t>建设规模</w:t>
            </w:r>
          </w:p>
        </w:tc>
        <w:tc>
          <w:tcPr>
            <w:tcW w:w="1620" w:type="dxa"/>
            <w:noWrap w:val="0"/>
            <w:vAlign w:val="center"/>
          </w:tcPr>
          <w:p>
            <w:pPr>
              <w:jc w:val="center"/>
              <w:rPr>
                <w:rFonts w:ascii="宋体" w:hAnsi="宋体"/>
                <w:color w:val="auto"/>
                <w:highlight w:val="none"/>
              </w:rPr>
            </w:pPr>
            <w:r>
              <w:rPr>
                <w:rFonts w:ascii="宋体" w:hAnsi="宋体"/>
                <w:color w:val="auto"/>
                <w:highlight w:val="none"/>
              </w:rPr>
              <w:t>总投资</w:t>
            </w:r>
          </w:p>
        </w:tc>
        <w:tc>
          <w:tcPr>
            <w:tcW w:w="3025" w:type="dxa"/>
            <w:gridSpan w:val="4"/>
            <w:noWrap w:val="0"/>
            <w:vAlign w:val="center"/>
          </w:tcPr>
          <w:p>
            <w:pPr>
              <w:jc w:val="center"/>
              <w:rPr>
                <w:rFonts w:ascii="宋体" w:hAnsi="宋体"/>
                <w:color w:val="auto"/>
                <w:highlight w:val="none"/>
              </w:rPr>
            </w:pPr>
            <w:r>
              <w:rPr>
                <w:rFonts w:hint="eastAsia" w:ascii="宋体" w:hAnsi="宋体"/>
                <w:color w:val="auto"/>
                <w:highlight w:val="none"/>
              </w:rPr>
              <w:t>所获得奖项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02" w:type="dxa"/>
            <w:gridSpan w:val="2"/>
            <w:noWrap w:val="0"/>
            <w:vAlign w:val="center"/>
          </w:tcPr>
          <w:p>
            <w:pPr>
              <w:jc w:val="center"/>
              <w:rPr>
                <w:rFonts w:ascii="宋体" w:hAnsi="宋体"/>
                <w:color w:val="auto"/>
                <w:highlight w:val="none"/>
              </w:rPr>
            </w:pPr>
          </w:p>
        </w:tc>
        <w:tc>
          <w:tcPr>
            <w:tcW w:w="1978" w:type="dxa"/>
            <w:gridSpan w:val="3"/>
            <w:noWrap w:val="0"/>
            <w:vAlign w:val="center"/>
          </w:tcPr>
          <w:p>
            <w:pPr>
              <w:jc w:val="center"/>
              <w:rPr>
                <w:rFonts w:ascii="宋体" w:hAnsi="宋体"/>
                <w:color w:val="auto"/>
                <w:highlight w:val="none"/>
              </w:rPr>
            </w:pPr>
          </w:p>
        </w:tc>
        <w:tc>
          <w:tcPr>
            <w:tcW w:w="1620" w:type="dxa"/>
            <w:noWrap w:val="0"/>
            <w:vAlign w:val="center"/>
          </w:tcPr>
          <w:p>
            <w:pPr>
              <w:jc w:val="center"/>
              <w:rPr>
                <w:rFonts w:ascii="宋体" w:hAnsi="宋体"/>
                <w:color w:val="auto"/>
                <w:highlight w:val="none"/>
              </w:rPr>
            </w:pPr>
          </w:p>
        </w:tc>
        <w:tc>
          <w:tcPr>
            <w:tcW w:w="3025" w:type="dxa"/>
            <w:gridSpan w:val="4"/>
            <w:noWrap w:val="0"/>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02" w:type="dxa"/>
            <w:gridSpan w:val="2"/>
            <w:noWrap w:val="0"/>
            <w:vAlign w:val="center"/>
          </w:tcPr>
          <w:p>
            <w:pPr>
              <w:jc w:val="center"/>
              <w:rPr>
                <w:rFonts w:ascii="宋体" w:hAnsi="宋体"/>
                <w:color w:val="auto"/>
                <w:highlight w:val="none"/>
              </w:rPr>
            </w:pPr>
          </w:p>
        </w:tc>
        <w:tc>
          <w:tcPr>
            <w:tcW w:w="1978" w:type="dxa"/>
            <w:gridSpan w:val="3"/>
            <w:noWrap w:val="0"/>
            <w:vAlign w:val="center"/>
          </w:tcPr>
          <w:p>
            <w:pPr>
              <w:jc w:val="center"/>
              <w:rPr>
                <w:rFonts w:ascii="宋体" w:hAnsi="宋体"/>
                <w:color w:val="auto"/>
                <w:highlight w:val="none"/>
              </w:rPr>
            </w:pPr>
          </w:p>
        </w:tc>
        <w:tc>
          <w:tcPr>
            <w:tcW w:w="1620" w:type="dxa"/>
            <w:noWrap w:val="0"/>
            <w:vAlign w:val="center"/>
          </w:tcPr>
          <w:p>
            <w:pPr>
              <w:jc w:val="center"/>
              <w:rPr>
                <w:rFonts w:ascii="宋体" w:hAnsi="宋体"/>
                <w:color w:val="auto"/>
                <w:highlight w:val="none"/>
              </w:rPr>
            </w:pPr>
          </w:p>
        </w:tc>
        <w:tc>
          <w:tcPr>
            <w:tcW w:w="3025" w:type="dxa"/>
            <w:gridSpan w:val="4"/>
            <w:noWrap w:val="0"/>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02" w:type="dxa"/>
            <w:gridSpan w:val="2"/>
            <w:noWrap w:val="0"/>
            <w:vAlign w:val="center"/>
          </w:tcPr>
          <w:p>
            <w:pPr>
              <w:jc w:val="center"/>
              <w:rPr>
                <w:rFonts w:ascii="宋体" w:hAnsi="宋体"/>
                <w:color w:val="auto"/>
                <w:highlight w:val="none"/>
              </w:rPr>
            </w:pPr>
          </w:p>
        </w:tc>
        <w:tc>
          <w:tcPr>
            <w:tcW w:w="1978" w:type="dxa"/>
            <w:gridSpan w:val="3"/>
            <w:noWrap w:val="0"/>
            <w:vAlign w:val="center"/>
          </w:tcPr>
          <w:p>
            <w:pPr>
              <w:jc w:val="center"/>
              <w:rPr>
                <w:rFonts w:ascii="宋体" w:hAnsi="宋体"/>
                <w:color w:val="auto"/>
                <w:highlight w:val="none"/>
              </w:rPr>
            </w:pPr>
          </w:p>
        </w:tc>
        <w:tc>
          <w:tcPr>
            <w:tcW w:w="1620" w:type="dxa"/>
            <w:noWrap w:val="0"/>
            <w:vAlign w:val="center"/>
          </w:tcPr>
          <w:p>
            <w:pPr>
              <w:jc w:val="center"/>
              <w:rPr>
                <w:rFonts w:ascii="宋体" w:hAnsi="宋体"/>
                <w:color w:val="auto"/>
                <w:highlight w:val="none"/>
              </w:rPr>
            </w:pPr>
          </w:p>
        </w:tc>
        <w:tc>
          <w:tcPr>
            <w:tcW w:w="3025" w:type="dxa"/>
            <w:gridSpan w:val="4"/>
            <w:noWrap w:val="0"/>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02" w:type="dxa"/>
            <w:gridSpan w:val="2"/>
            <w:noWrap w:val="0"/>
            <w:vAlign w:val="center"/>
          </w:tcPr>
          <w:p>
            <w:pPr>
              <w:jc w:val="center"/>
              <w:rPr>
                <w:rFonts w:ascii="宋体" w:hAnsi="宋体"/>
                <w:color w:val="auto"/>
                <w:highlight w:val="none"/>
              </w:rPr>
            </w:pPr>
          </w:p>
        </w:tc>
        <w:tc>
          <w:tcPr>
            <w:tcW w:w="1978" w:type="dxa"/>
            <w:gridSpan w:val="3"/>
            <w:noWrap w:val="0"/>
            <w:vAlign w:val="center"/>
          </w:tcPr>
          <w:p>
            <w:pPr>
              <w:jc w:val="center"/>
              <w:rPr>
                <w:rFonts w:ascii="宋体" w:hAnsi="宋体"/>
                <w:color w:val="auto"/>
                <w:highlight w:val="none"/>
              </w:rPr>
            </w:pPr>
          </w:p>
        </w:tc>
        <w:tc>
          <w:tcPr>
            <w:tcW w:w="1620" w:type="dxa"/>
            <w:noWrap w:val="0"/>
            <w:vAlign w:val="center"/>
          </w:tcPr>
          <w:p>
            <w:pPr>
              <w:jc w:val="center"/>
              <w:rPr>
                <w:rFonts w:ascii="宋体" w:hAnsi="宋体"/>
                <w:color w:val="auto"/>
                <w:highlight w:val="none"/>
              </w:rPr>
            </w:pPr>
          </w:p>
        </w:tc>
        <w:tc>
          <w:tcPr>
            <w:tcW w:w="3025" w:type="dxa"/>
            <w:gridSpan w:val="4"/>
            <w:noWrap w:val="0"/>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02" w:type="dxa"/>
            <w:gridSpan w:val="2"/>
            <w:noWrap w:val="0"/>
            <w:vAlign w:val="center"/>
          </w:tcPr>
          <w:p>
            <w:pPr>
              <w:jc w:val="center"/>
              <w:rPr>
                <w:rFonts w:ascii="宋体" w:hAnsi="宋体"/>
                <w:color w:val="auto"/>
                <w:highlight w:val="none"/>
              </w:rPr>
            </w:pPr>
          </w:p>
        </w:tc>
        <w:tc>
          <w:tcPr>
            <w:tcW w:w="1978" w:type="dxa"/>
            <w:gridSpan w:val="3"/>
            <w:noWrap w:val="0"/>
            <w:vAlign w:val="center"/>
          </w:tcPr>
          <w:p>
            <w:pPr>
              <w:jc w:val="center"/>
              <w:rPr>
                <w:rFonts w:ascii="宋体" w:hAnsi="宋体"/>
                <w:color w:val="auto"/>
                <w:highlight w:val="none"/>
              </w:rPr>
            </w:pPr>
          </w:p>
        </w:tc>
        <w:tc>
          <w:tcPr>
            <w:tcW w:w="1620" w:type="dxa"/>
            <w:noWrap w:val="0"/>
            <w:vAlign w:val="center"/>
          </w:tcPr>
          <w:p>
            <w:pPr>
              <w:jc w:val="center"/>
              <w:rPr>
                <w:rFonts w:ascii="宋体" w:hAnsi="宋体"/>
                <w:color w:val="auto"/>
                <w:highlight w:val="none"/>
              </w:rPr>
            </w:pPr>
          </w:p>
        </w:tc>
        <w:tc>
          <w:tcPr>
            <w:tcW w:w="3025" w:type="dxa"/>
            <w:gridSpan w:val="4"/>
            <w:noWrap w:val="0"/>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02" w:type="dxa"/>
            <w:gridSpan w:val="2"/>
            <w:noWrap w:val="0"/>
            <w:vAlign w:val="center"/>
          </w:tcPr>
          <w:p>
            <w:pPr>
              <w:jc w:val="center"/>
              <w:rPr>
                <w:rFonts w:ascii="宋体" w:hAnsi="宋体"/>
                <w:color w:val="auto"/>
                <w:highlight w:val="none"/>
              </w:rPr>
            </w:pPr>
          </w:p>
        </w:tc>
        <w:tc>
          <w:tcPr>
            <w:tcW w:w="1978" w:type="dxa"/>
            <w:gridSpan w:val="3"/>
            <w:noWrap w:val="0"/>
            <w:vAlign w:val="center"/>
          </w:tcPr>
          <w:p>
            <w:pPr>
              <w:jc w:val="center"/>
              <w:rPr>
                <w:rFonts w:ascii="宋体" w:hAnsi="宋体"/>
                <w:color w:val="auto"/>
                <w:highlight w:val="none"/>
              </w:rPr>
            </w:pPr>
          </w:p>
        </w:tc>
        <w:tc>
          <w:tcPr>
            <w:tcW w:w="1620" w:type="dxa"/>
            <w:noWrap w:val="0"/>
            <w:vAlign w:val="center"/>
          </w:tcPr>
          <w:p>
            <w:pPr>
              <w:jc w:val="center"/>
              <w:rPr>
                <w:rFonts w:ascii="宋体" w:hAnsi="宋体"/>
                <w:color w:val="auto"/>
                <w:highlight w:val="none"/>
              </w:rPr>
            </w:pPr>
          </w:p>
        </w:tc>
        <w:tc>
          <w:tcPr>
            <w:tcW w:w="3025" w:type="dxa"/>
            <w:gridSpan w:val="4"/>
            <w:noWrap w:val="0"/>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02" w:type="dxa"/>
            <w:gridSpan w:val="2"/>
            <w:noWrap w:val="0"/>
            <w:vAlign w:val="center"/>
          </w:tcPr>
          <w:p>
            <w:pPr>
              <w:jc w:val="center"/>
              <w:rPr>
                <w:rFonts w:ascii="宋体" w:hAnsi="宋体"/>
                <w:color w:val="auto"/>
                <w:highlight w:val="none"/>
              </w:rPr>
            </w:pPr>
          </w:p>
        </w:tc>
        <w:tc>
          <w:tcPr>
            <w:tcW w:w="1978" w:type="dxa"/>
            <w:gridSpan w:val="3"/>
            <w:noWrap w:val="0"/>
            <w:vAlign w:val="center"/>
          </w:tcPr>
          <w:p>
            <w:pPr>
              <w:jc w:val="center"/>
              <w:rPr>
                <w:rFonts w:ascii="宋体" w:hAnsi="宋体"/>
                <w:color w:val="auto"/>
                <w:highlight w:val="none"/>
              </w:rPr>
            </w:pPr>
          </w:p>
        </w:tc>
        <w:tc>
          <w:tcPr>
            <w:tcW w:w="1620" w:type="dxa"/>
            <w:noWrap w:val="0"/>
            <w:vAlign w:val="center"/>
          </w:tcPr>
          <w:p>
            <w:pPr>
              <w:jc w:val="center"/>
              <w:rPr>
                <w:rFonts w:ascii="宋体" w:hAnsi="宋体"/>
                <w:color w:val="auto"/>
                <w:highlight w:val="none"/>
              </w:rPr>
            </w:pPr>
          </w:p>
        </w:tc>
        <w:tc>
          <w:tcPr>
            <w:tcW w:w="3025" w:type="dxa"/>
            <w:gridSpan w:val="4"/>
            <w:noWrap w:val="0"/>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1902" w:type="dxa"/>
            <w:gridSpan w:val="2"/>
            <w:noWrap w:val="0"/>
            <w:vAlign w:val="center"/>
          </w:tcPr>
          <w:p>
            <w:pPr>
              <w:jc w:val="center"/>
              <w:rPr>
                <w:rFonts w:ascii="宋体" w:hAnsi="宋体"/>
                <w:color w:val="auto"/>
                <w:highlight w:val="none"/>
              </w:rPr>
            </w:pPr>
          </w:p>
        </w:tc>
        <w:tc>
          <w:tcPr>
            <w:tcW w:w="1978" w:type="dxa"/>
            <w:gridSpan w:val="3"/>
            <w:noWrap w:val="0"/>
            <w:vAlign w:val="center"/>
          </w:tcPr>
          <w:p>
            <w:pPr>
              <w:jc w:val="center"/>
              <w:rPr>
                <w:rFonts w:ascii="宋体" w:hAnsi="宋体"/>
                <w:color w:val="auto"/>
                <w:highlight w:val="none"/>
              </w:rPr>
            </w:pPr>
          </w:p>
        </w:tc>
        <w:tc>
          <w:tcPr>
            <w:tcW w:w="1620" w:type="dxa"/>
            <w:noWrap w:val="0"/>
            <w:vAlign w:val="center"/>
          </w:tcPr>
          <w:p>
            <w:pPr>
              <w:jc w:val="center"/>
              <w:rPr>
                <w:rFonts w:ascii="宋体" w:hAnsi="宋体"/>
                <w:color w:val="auto"/>
                <w:highlight w:val="none"/>
              </w:rPr>
            </w:pPr>
          </w:p>
        </w:tc>
        <w:tc>
          <w:tcPr>
            <w:tcW w:w="3025" w:type="dxa"/>
            <w:gridSpan w:val="4"/>
            <w:noWrap w:val="0"/>
            <w:vAlign w:val="center"/>
          </w:tcPr>
          <w:p>
            <w:pPr>
              <w:jc w:val="center"/>
              <w:rPr>
                <w:rFonts w:ascii="宋体" w:hAnsi="宋体"/>
                <w:color w:val="auto"/>
                <w:highlight w:val="none"/>
              </w:rPr>
            </w:pPr>
          </w:p>
        </w:tc>
      </w:tr>
    </w:tbl>
    <w:p>
      <w:pPr>
        <w:spacing w:line="360" w:lineRule="auto"/>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w:t>
      </w:r>
      <w:r>
        <w:rPr>
          <w:rFonts w:hint="eastAsia" w:ascii="宋体" w:hAnsi="宋体"/>
          <w:color w:val="auto"/>
          <w:szCs w:val="21"/>
          <w:highlight w:val="none"/>
        </w:rPr>
        <w:t>①各专业负责人需要填写此表，其他人员不需要填写。</w:t>
      </w:r>
    </w:p>
    <w:p>
      <w:pPr>
        <w:wordWrap w:val="0"/>
        <w:topLinePunct/>
        <w:spacing w:line="360" w:lineRule="auto"/>
        <w:jc w:val="left"/>
        <w:rPr>
          <w:rFonts w:ascii="宋体" w:hAnsi="宋体"/>
          <w:color w:val="auto"/>
          <w:szCs w:val="21"/>
          <w:highlight w:val="none"/>
        </w:rPr>
      </w:pPr>
      <w:r>
        <w:rPr>
          <w:rFonts w:hint="eastAsia" w:ascii="宋体" w:hAnsi="宋体"/>
          <w:color w:val="auto"/>
          <w:szCs w:val="21"/>
          <w:highlight w:val="none"/>
        </w:rPr>
        <w:t>②</w:t>
      </w:r>
      <w:r>
        <w:rPr>
          <w:rFonts w:ascii="宋体" w:hAnsi="宋体"/>
          <w:color w:val="auto"/>
          <w:szCs w:val="21"/>
          <w:highlight w:val="none"/>
        </w:rPr>
        <w:t>在本表后应附有身份证</w:t>
      </w:r>
      <w:r>
        <w:rPr>
          <w:rFonts w:hint="eastAsia" w:ascii="宋体" w:hAnsi="宋体"/>
          <w:color w:val="auto"/>
          <w:szCs w:val="21"/>
          <w:highlight w:val="none"/>
        </w:rPr>
        <w:t>、毕业证（如有）、注册执业资格证书（如有）、</w:t>
      </w:r>
      <w:r>
        <w:rPr>
          <w:rFonts w:ascii="宋体" w:hAnsi="宋体"/>
          <w:color w:val="auto"/>
          <w:szCs w:val="21"/>
          <w:highlight w:val="none"/>
        </w:rPr>
        <w:t>职称证</w:t>
      </w:r>
      <w:r>
        <w:rPr>
          <w:rFonts w:hint="eastAsia" w:ascii="宋体" w:hAnsi="宋体"/>
          <w:color w:val="auto"/>
          <w:szCs w:val="21"/>
          <w:highlight w:val="none"/>
        </w:rPr>
        <w:t>书（如有）和社保证明等证明材料（如有）。</w:t>
      </w:r>
    </w:p>
    <w:p>
      <w:pPr>
        <w:spacing w:line="360" w:lineRule="auto"/>
        <w:rPr>
          <w:rFonts w:ascii="宋体" w:hAnsi="宋体"/>
          <w:color w:val="auto"/>
          <w:szCs w:val="21"/>
          <w:highlight w:val="none"/>
        </w:rPr>
      </w:pPr>
      <w:r>
        <w:rPr>
          <w:rFonts w:hint="eastAsia" w:ascii="宋体" w:hAnsi="宋体"/>
          <w:color w:val="auto"/>
          <w:szCs w:val="21"/>
          <w:highlight w:val="none"/>
        </w:rPr>
        <w:t>③</w:t>
      </w:r>
      <w:r>
        <w:rPr>
          <w:rFonts w:ascii="宋体" w:hAnsi="宋体"/>
          <w:color w:val="auto"/>
          <w:szCs w:val="21"/>
          <w:highlight w:val="none"/>
        </w:rPr>
        <w:t>各</w:t>
      </w:r>
      <w:r>
        <w:rPr>
          <w:rFonts w:hint="eastAsia" w:ascii="宋体" w:hAnsi="宋体"/>
          <w:color w:val="auto"/>
          <w:szCs w:val="21"/>
          <w:highlight w:val="none"/>
        </w:rPr>
        <w:t>专业负责人满足《商务文件综合评分表》评审要求的其他资料（如有）。</w:t>
      </w:r>
    </w:p>
    <w:p>
      <w:pPr>
        <w:pStyle w:val="4"/>
        <w:rPr>
          <w:color w:val="auto"/>
          <w:highlight w:val="none"/>
        </w:rPr>
      </w:pPr>
      <w:r>
        <w:rPr>
          <w:color w:val="auto"/>
          <w:szCs w:val="21"/>
          <w:highlight w:val="none"/>
        </w:rPr>
        <w:br w:type="page"/>
      </w:r>
      <w:bookmarkStart w:id="85" w:name="_Toc20268"/>
      <w:bookmarkStart w:id="86" w:name="_Toc30624"/>
      <w:bookmarkStart w:id="87" w:name="_Toc99464003"/>
      <w:r>
        <w:rPr>
          <w:rFonts w:hint="eastAsia"/>
          <w:color w:val="auto"/>
          <w:highlight w:val="none"/>
        </w:rPr>
        <w:t>附录5：投标人已完成项目情况</w:t>
      </w:r>
      <w:bookmarkEnd w:id="85"/>
      <w:bookmarkEnd w:id="86"/>
      <w:bookmarkEnd w:id="87"/>
    </w:p>
    <w:p>
      <w:pPr>
        <w:spacing w:line="360" w:lineRule="auto"/>
        <w:jc w:val="center"/>
        <w:rPr>
          <w:rFonts w:ascii="宋体" w:hAnsi="宋体"/>
          <w:b/>
          <w:bCs/>
          <w:color w:val="auto"/>
          <w:sz w:val="28"/>
          <w:szCs w:val="28"/>
          <w:highlight w:val="none"/>
        </w:rPr>
      </w:pPr>
      <w:bookmarkStart w:id="88" w:name="_Toc17801"/>
      <w:r>
        <w:rPr>
          <w:rFonts w:hint="eastAsia" w:ascii="宋体" w:hAnsi="宋体"/>
          <w:b/>
          <w:bCs/>
          <w:color w:val="auto"/>
          <w:sz w:val="28"/>
          <w:szCs w:val="28"/>
          <w:highlight w:val="none"/>
        </w:rPr>
        <w:t>投标人已完成项目情况</w:t>
      </w:r>
      <w:bookmarkEnd w:id="88"/>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29"/>
        <w:gridCol w:w="1429"/>
        <w:gridCol w:w="1427"/>
        <w:gridCol w:w="783"/>
        <w:gridCol w:w="76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28" w:type="dxa"/>
            <w:vMerge w:val="restart"/>
            <w:vAlign w:val="center"/>
          </w:tcPr>
          <w:p>
            <w:pPr>
              <w:jc w:val="center"/>
              <w:rPr>
                <w:rFonts w:ascii="宋体" w:hAnsi="宋体"/>
                <w:color w:val="auto"/>
                <w:highlight w:val="none"/>
              </w:rPr>
            </w:pPr>
            <w:r>
              <w:rPr>
                <w:rFonts w:hint="eastAsia" w:ascii="宋体" w:hAnsi="宋体"/>
                <w:color w:val="auto"/>
                <w:highlight w:val="none"/>
              </w:rPr>
              <w:t>合同签订时间</w:t>
            </w:r>
          </w:p>
        </w:tc>
        <w:tc>
          <w:tcPr>
            <w:tcW w:w="1429" w:type="dxa"/>
            <w:vMerge w:val="restart"/>
            <w:vAlign w:val="center"/>
          </w:tcPr>
          <w:p>
            <w:pPr>
              <w:jc w:val="center"/>
              <w:rPr>
                <w:rFonts w:ascii="宋体" w:hAnsi="宋体"/>
                <w:color w:val="auto"/>
                <w:highlight w:val="none"/>
              </w:rPr>
            </w:pPr>
            <w:r>
              <w:rPr>
                <w:rFonts w:hint="eastAsia" w:ascii="宋体" w:hAnsi="宋体"/>
                <w:color w:val="auto"/>
                <w:highlight w:val="none"/>
              </w:rPr>
              <w:t>项目概况</w:t>
            </w:r>
          </w:p>
        </w:tc>
        <w:tc>
          <w:tcPr>
            <w:tcW w:w="1429" w:type="dxa"/>
            <w:vMerge w:val="restart"/>
            <w:vAlign w:val="center"/>
          </w:tcPr>
          <w:p>
            <w:pPr>
              <w:jc w:val="center"/>
              <w:rPr>
                <w:rFonts w:ascii="宋体" w:hAnsi="宋体"/>
                <w:color w:val="auto"/>
                <w:highlight w:val="none"/>
              </w:rPr>
            </w:pPr>
            <w:r>
              <w:rPr>
                <w:rFonts w:hint="eastAsia" w:ascii="宋体" w:hAnsi="宋体"/>
                <w:color w:val="auto"/>
                <w:highlight w:val="none"/>
              </w:rPr>
              <w:t>业主单位</w:t>
            </w:r>
          </w:p>
        </w:tc>
        <w:tc>
          <w:tcPr>
            <w:tcW w:w="1427" w:type="dxa"/>
            <w:vMerge w:val="restart"/>
            <w:vAlign w:val="center"/>
          </w:tcPr>
          <w:p>
            <w:pPr>
              <w:jc w:val="center"/>
              <w:rPr>
                <w:rFonts w:ascii="宋体" w:hAnsi="宋体"/>
                <w:color w:val="auto"/>
                <w:highlight w:val="none"/>
              </w:rPr>
            </w:pPr>
            <w:r>
              <w:rPr>
                <w:rFonts w:hint="eastAsia" w:ascii="宋体" w:hAnsi="宋体"/>
                <w:color w:val="auto"/>
                <w:highlight w:val="none"/>
              </w:rPr>
              <w:t>完成情况</w:t>
            </w:r>
          </w:p>
        </w:tc>
        <w:tc>
          <w:tcPr>
            <w:tcW w:w="1552" w:type="dxa"/>
            <w:gridSpan w:val="2"/>
            <w:vAlign w:val="center"/>
          </w:tcPr>
          <w:p>
            <w:pPr>
              <w:ind w:left="210" w:leftChars="100"/>
              <w:rPr>
                <w:rFonts w:ascii="宋体" w:hAnsi="宋体"/>
                <w:color w:val="auto"/>
                <w:highlight w:val="none"/>
              </w:rPr>
            </w:pPr>
            <w:r>
              <w:rPr>
                <w:rFonts w:hint="eastAsia" w:ascii="宋体" w:hAnsi="宋体"/>
                <w:color w:val="auto"/>
                <w:highlight w:val="none"/>
              </w:rPr>
              <w:t>业绩类型 （请勾选）</w:t>
            </w:r>
          </w:p>
        </w:tc>
        <w:tc>
          <w:tcPr>
            <w:tcW w:w="1260" w:type="dxa"/>
            <w:vMerge w:val="restart"/>
            <w:vAlign w:val="center"/>
          </w:tcPr>
          <w:p>
            <w:pPr>
              <w:jc w:val="center"/>
              <w:rPr>
                <w:rFonts w:ascii="宋体" w:hAnsi="宋体"/>
                <w:color w:val="auto"/>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428" w:type="dxa"/>
            <w:vMerge w:val="continue"/>
            <w:vAlign w:val="center"/>
          </w:tcPr>
          <w:p>
            <w:pPr>
              <w:jc w:val="center"/>
              <w:rPr>
                <w:rFonts w:ascii="宋体" w:hAnsi="宋体"/>
                <w:color w:val="auto"/>
                <w:highlight w:val="none"/>
              </w:rPr>
            </w:pPr>
          </w:p>
        </w:tc>
        <w:tc>
          <w:tcPr>
            <w:tcW w:w="1429" w:type="dxa"/>
            <w:vMerge w:val="continue"/>
            <w:vAlign w:val="center"/>
          </w:tcPr>
          <w:p>
            <w:pPr>
              <w:jc w:val="center"/>
              <w:rPr>
                <w:rFonts w:ascii="宋体" w:hAnsi="宋体"/>
                <w:color w:val="auto"/>
                <w:highlight w:val="none"/>
              </w:rPr>
            </w:pPr>
          </w:p>
        </w:tc>
        <w:tc>
          <w:tcPr>
            <w:tcW w:w="1429" w:type="dxa"/>
            <w:vMerge w:val="continue"/>
            <w:vAlign w:val="center"/>
          </w:tcPr>
          <w:p>
            <w:pPr>
              <w:jc w:val="center"/>
              <w:rPr>
                <w:rFonts w:ascii="宋体" w:hAnsi="宋体"/>
                <w:color w:val="auto"/>
                <w:highlight w:val="none"/>
              </w:rPr>
            </w:pPr>
          </w:p>
        </w:tc>
        <w:tc>
          <w:tcPr>
            <w:tcW w:w="1427" w:type="dxa"/>
            <w:vMerge w:val="continue"/>
            <w:vAlign w:val="center"/>
          </w:tcPr>
          <w:p>
            <w:pPr>
              <w:jc w:val="center"/>
              <w:rPr>
                <w:rFonts w:ascii="宋体" w:hAnsi="宋体"/>
                <w:color w:val="auto"/>
                <w:highlight w:val="none"/>
              </w:rPr>
            </w:pPr>
          </w:p>
        </w:tc>
        <w:tc>
          <w:tcPr>
            <w:tcW w:w="783" w:type="dxa"/>
            <w:vAlign w:val="center"/>
          </w:tcPr>
          <w:p>
            <w:pPr>
              <w:jc w:val="center"/>
              <w:rPr>
                <w:rFonts w:ascii="宋体" w:hAnsi="宋体"/>
                <w:color w:val="auto"/>
                <w:highlight w:val="none"/>
              </w:rPr>
            </w:pPr>
            <w:r>
              <w:rPr>
                <w:rFonts w:hint="eastAsia" w:ascii="宋体" w:hAnsi="宋体"/>
                <w:color w:val="auto"/>
                <w:highlight w:val="none"/>
              </w:rPr>
              <w:t>勘察</w:t>
            </w:r>
          </w:p>
        </w:tc>
        <w:tc>
          <w:tcPr>
            <w:tcW w:w="769" w:type="dxa"/>
            <w:vAlign w:val="center"/>
          </w:tcPr>
          <w:p>
            <w:pPr>
              <w:rPr>
                <w:rFonts w:ascii="宋体" w:hAnsi="宋体"/>
                <w:color w:val="auto"/>
                <w:highlight w:val="none"/>
              </w:rPr>
            </w:pPr>
            <w:r>
              <w:rPr>
                <w:rFonts w:hint="eastAsia" w:ascii="宋体" w:hAnsi="宋体"/>
                <w:color w:val="auto"/>
                <w:highlight w:val="none"/>
              </w:rPr>
              <w:t>设计</w:t>
            </w:r>
          </w:p>
        </w:tc>
        <w:tc>
          <w:tcPr>
            <w:tcW w:w="1260" w:type="dxa"/>
            <w:vMerge w:val="continue"/>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428" w:type="dxa"/>
            <w:vAlign w:val="center"/>
          </w:tcPr>
          <w:p>
            <w:pPr>
              <w:jc w:val="center"/>
              <w:rPr>
                <w:rFonts w:ascii="宋体" w:hAnsi="宋体"/>
                <w:color w:val="auto"/>
                <w:highlight w:val="none"/>
              </w:rPr>
            </w:pPr>
          </w:p>
        </w:tc>
        <w:tc>
          <w:tcPr>
            <w:tcW w:w="1429" w:type="dxa"/>
            <w:vAlign w:val="center"/>
          </w:tcPr>
          <w:p>
            <w:pPr>
              <w:jc w:val="center"/>
              <w:rPr>
                <w:rFonts w:ascii="宋体" w:hAnsi="宋体"/>
                <w:color w:val="auto"/>
                <w:highlight w:val="none"/>
              </w:rPr>
            </w:pPr>
          </w:p>
        </w:tc>
        <w:tc>
          <w:tcPr>
            <w:tcW w:w="1429" w:type="dxa"/>
            <w:vAlign w:val="center"/>
          </w:tcPr>
          <w:p>
            <w:pPr>
              <w:jc w:val="center"/>
              <w:rPr>
                <w:rFonts w:ascii="宋体" w:hAnsi="宋体"/>
                <w:color w:val="auto"/>
                <w:highlight w:val="none"/>
              </w:rPr>
            </w:pPr>
          </w:p>
        </w:tc>
        <w:tc>
          <w:tcPr>
            <w:tcW w:w="1427" w:type="dxa"/>
            <w:vAlign w:val="center"/>
          </w:tcPr>
          <w:p>
            <w:pPr>
              <w:jc w:val="center"/>
              <w:rPr>
                <w:rFonts w:ascii="宋体" w:hAnsi="宋体"/>
                <w:color w:val="auto"/>
                <w:highlight w:val="none"/>
              </w:rPr>
            </w:pPr>
          </w:p>
        </w:tc>
        <w:tc>
          <w:tcPr>
            <w:tcW w:w="783" w:type="dxa"/>
            <w:vAlign w:val="center"/>
          </w:tcPr>
          <w:p>
            <w:pPr>
              <w:jc w:val="center"/>
              <w:rPr>
                <w:rFonts w:ascii="宋体" w:hAnsi="宋体"/>
                <w:color w:val="auto"/>
                <w:highlight w:val="none"/>
              </w:rPr>
            </w:pPr>
          </w:p>
        </w:tc>
        <w:tc>
          <w:tcPr>
            <w:tcW w:w="769" w:type="dxa"/>
            <w:vAlign w:val="center"/>
          </w:tcPr>
          <w:p>
            <w:pPr>
              <w:jc w:val="center"/>
              <w:rPr>
                <w:rFonts w:ascii="宋体" w:hAnsi="宋体"/>
                <w:color w:val="auto"/>
                <w:highlight w:val="none"/>
              </w:rPr>
            </w:pPr>
          </w:p>
        </w:tc>
        <w:tc>
          <w:tcPr>
            <w:tcW w:w="1260"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428" w:type="dxa"/>
            <w:vAlign w:val="center"/>
          </w:tcPr>
          <w:p>
            <w:pPr>
              <w:jc w:val="center"/>
              <w:rPr>
                <w:rFonts w:ascii="宋体" w:hAnsi="宋体"/>
                <w:color w:val="auto"/>
                <w:highlight w:val="none"/>
              </w:rPr>
            </w:pPr>
          </w:p>
        </w:tc>
        <w:tc>
          <w:tcPr>
            <w:tcW w:w="1429" w:type="dxa"/>
            <w:vAlign w:val="center"/>
          </w:tcPr>
          <w:p>
            <w:pPr>
              <w:jc w:val="center"/>
              <w:rPr>
                <w:rFonts w:ascii="宋体" w:hAnsi="宋体"/>
                <w:color w:val="auto"/>
                <w:highlight w:val="none"/>
              </w:rPr>
            </w:pPr>
          </w:p>
        </w:tc>
        <w:tc>
          <w:tcPr>
            <w:tcW w:w="1429" w:type="dxa"/>
            <w:vAlign w:val="center"/>
          </w:tcPr>
          <w:p>
            <w:pPr>
              <w:jc w:val="center"/>
              <w:rPr>
                <w:rFonts w:ascii="宋体" w:hAnsi="宋体"/>
                <w:color w:val="auto"/>
                <w:highlight w:val="none"/>
              </w:rPr>
            </w:pPr>
          </w:p>
        </w:tc>
        <w:tc>
          <w:tcPr>
            <w:tcW w:w="1427" w:type="dxa"/>
            <w:vAlign w:val="center"/>
          </w:tcPr>
          <w:p>
            <w:pPr>
              <w:jc w:val="center"/>
              <w:rPr>
                <w:rFonts w:ascii="宋体" w:hAnsi="宋体"/>
                <w:color w:val="auto"/>
                <w:highlight w:val="none"/>
              </w:rPr>
            </w:pPr>
          </w:p>
        </w:tc>
        <w:tc>
          <w:tcPr>
            <w:tcW w:w="783" w:type="dxa"/>
            <w:vAlign w:val="center"/>
          </w:tcPr>
          <w:p>
            <w:pPr>
              <w:jc w:val="center"/>
              <w:rPr>
                <w:rFonts w:ascii="宋体" w:hAnsi="宋体"/>
                <w:color w:val="auto"/>
                <w:highlight w:val="none"/>
              </w:rPr>
            </w:pPr>
          </w:p>
        </w:tc>
        <w:tc>
          <w:tcPr>
            <w:tcW w:w="769" w:type="dxa"/>
            <w:vAlign w:val="center"/>
          </w:tcPr>
          <w:p>
            <w:pPr>
              <w:jc w:val="center"/>
              <w:rPr>
                <w:rFonts w:ascii="宋体" w:hAnsi="宋体"/>
                <w:color w:val="auto"/>
                <w:highlight w:val="none"/>
              </w:rPr>
            </w:pPr>
          </w:p>
        </w:tc>
        <w:tc>
          <w:tcPr>
            <w:tcW w:w="1260"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428" w:type="dxa"/>
            <w:vAlign w:val="center"/>
          </w:tcPr>
          <w:p>
            <w:pPr>
              <w:jc w:val="center"/>
              <w:rPr>
                <w:rFonts w:ascii="宋体" w:hAnsi="宋体"/>
                <w:color w:val="auto"/>
                <w:highlight w:val="none"/>
              </w:rPr>
            </w:pPr>
          </w:p>
        </w:tc>
        <w:tc>
          <w:tcPr>
            <w:tcW w:w="1429" w:type="dxa"/>
            <w:vAlign w:val="center"/>
          </w:tcPr>
          <w:p>
            <w:pPr>
              <w:jc w:val="center"/>
              <w:rPr>
                <w:rFonts w:ascii="宋体" w:hAnsi="宋体"/>
                <w:color w:val="auto"/>
                <w:highlight w:val="none"/>
              </w:rPr>
            </w:pPr>
          </w:p>
        </w:tc>
        <w:tc>
          <w:tcPr>
            <w:tcW w:w="1429" w:type="dxa"/>
            <w:vAlign w:val="center"/>
          </w:tcPr>
          <w:p>
            <w:pPr>
              <w:jc w:val="center"/>
              <w:rPr>
                <w:rFonts w:ascii="宋体" w:hAnsi="宋体"/>
                <w:color w:val="auto"/>
                <w:highlight w:val="none"/>
              </w:rPr>
            </w:pPr>
          </w:p>
        </w:tc>
        <w:tc>
          <w:tcPr>
            <w:tcW w:w="1427" w:type="dxa"/>
            <w:vAlign w:val="center"/>
          </w:tcPr>
          <w:p>
            <w:pPr>
              <w:jc w:val="center"/>
              <w:rPr>
                <w:rFonts w:ascii="宋体" w:hAnsi="宋体"/>
                <w:color w:val="auto"/>
                <w:highlight w:val="none"/>
              </w:rPr>
            </w:pPr>
          </w:p>
        </w:tc>
        <w:tc>
          <w:tcPr>
            <w:tcW w:w="783" w:type="dxa"/>
            <w:vAlign w:val="center"/>
          </w:tcPr>
          <w:p>
            <w:pPr>
              <w:jc w:val="center"/>
              <w:rPr>
                <w:rFonts w:ascii="宋体" w:hAnsi="宋体"/>
                <w:color w:val="auto"/>
                <w:highlight w:val="none"/>
              </w:rPr>
            </w:pPr>
          </w:p>
        </w:tc>
        <w:tc>
          <w:tcPr>
            <w:tcW w:w="769" w:type="dxa"/>
            <w:vAlign w:val="center"/>
          </w:tcPr>
          <w:p>
            <w:pPr>
              <w:jc w:val="center"/>
              <w:rPr>
                <w:rFonts w:ascii="宋体" w:hAnsi="宋体"/>
                <w:color w:val="auto"/>
                <w:highlight w:val="none"/>
              </w:rPr>
            </w:pPr>
          </w:p>
        </w:tc>
        <w:tc>
          <w:tcPr>
            <w:tcW w:w="1260"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428" w:type="dxa"/>
            <w:vAlign w:val="center"/>
          </w:tcPr>
          <w:p>
            <w:pPr>
              <w:jc w:val="center"/>
              <w:rPr>
                <w:rFonts w:ascii="宋体" w:hAnsi="宋体"/>
                <w:color w:val="auto"/>
                <w:highlight w:val="none"/>
              </w:rPr>
            </w:pPr>
          </w:p>
        </w:tc>
        <w:tc>
          <w:tcPr>
            <w:tcW w:w="1429" w:type="dxa"/>
            <w:vAlign w:val="center"/>
          </w:tcPr>
          <w:p>
            <w:pPr>
              <w:jc w:val="center"/>
              <w:rPr>
                <w:rFonts w:ascii="宋体" w:hAnsi="宋体"/>
                <w:color w:val="auto"/>
                <w:highlight w:val="none"/>
              </w:rPr>
            </w:pPr>
          </w:p>
        </w:tc>
        <w:tc>
          <w:tcPr>
            <w:tcW w:w="1429" w:type="dxa"/>
            <w:vAlign w:val="center"/>
          </w:tcPr>
          <w:p>
            <w:pPr>
              <w:jc w:val="center"/>
              <w:rPr>
                <w:rFonts w:ascii="宋体" w:hAnsi="宋体"/>
                <w:color w:val="auto"/>
                <w:highlight w:val="none"/>
              </w:rPr>
            </w:pPr>
          </w:p>
        </w:tc>
        <w:tc>
          <w:tcPr>
            <w:tcW w:w="1427" w:type="dxa"/>
            <w:vAlign w:val="center"/>
          </w:tcPr>
          <w:p>
            <w:pPr>
              <w:jc w:val="center"/>
              <w:rPr>
                <w:rFonts w:ascii="宋体" w:hAnsi="宋体"/>
                <w:color w:val="auto"/>
                <w:highlight w:val="none"/>
              </w:rPr>
            </w:pPr>
          </w:p>
        </w:tc>
        <w:tc>
          <w:tcPr>
            <w:tcW w:w="783" w:type="dxa"/>
            <w:vAlign w:val="center"/>
          </w:tcPr>
          <w:p>
            <w:pPr>
              <w:jc w:val="center"/>
              <w:rPr>
                <w:rFonts w:ascii="宋体" w:hAnsi="宋体"/>
                <w:color w:val="auto"/>
                <w:highlight w:val="none"/>
              </w:rPr>
            </w:pPr>
          </w:p>
        </w:tc>
        <w:tc>
          <w:tcPr>
            <w:tcW w:w="769" w:type="dxa"/>
            <w:vAlign w:val="center"/>
          </w:tcPr>
          <w:p>
            <w:pPr>
              <w:jc w:val="center"/>
              <w:rPr>
                <w:rFonts w:ascii="宋体" w:hAnsi="宋体"/>
                <w:color w:val="auto"/>
                <w:highlight w:val="none"/>
              </w:rPr>
            </w:pPr>
          </w:p>
        </w:tc>
        <w:tc>
          <w:tcPr>
            <w:tcW w:w="1260"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428" w:type="dxa"/>
            <w:vAlign w:val="center"/>
          </w:tcPr>
          <w:p>
            <w:pPr>
              <w:jc w:val="center"/>
              <w:rPr>
                <w:rFonts w:ascii="宋体" w:hAnsi="宋体"/>
                <w:color w:val="auto"/>
                <w:highlight w:val="none"/>
              </w:rPr>
            </w:pPr>
          </w:p>
        </w:tc>
        <w:tc>
          <w:tcPr>
            <w:tcW w:w="1429" w:type="dxa"/>
            <w:vAlign w:val="center"/>
          </w:tcPr>
          <w:p>
            <w:pPr>
              <w:jc w:val="center"/>
              <w:rPr>
                <w:rFonts w:ascii="宋体" w:hAnsi="宋体"/>
                <w:color w:val="auto"/>
                <w:highlight w:val="none"/>
              </w:rPr>
            </w:pPr>
          </w:p>
        </w:tc>
        <w:tc>
          <w:tcPr>
            <w:tcW w:w="1429" w:type="dxa"/>
            <w:vAlign w:val="center"/>
          </w:tcPr>
          <w:p>
            <w:pPr>
              <w:jc w:val="center"/>
              <w:rPr>
                <w:rFonts w:ascii="宋体" w:hAnsi="宋体"/>
                <w:color w:val="auto"/>
                <w:highlight w:val="none"/>
              </w:rPr>
            </w:pPr>
          </w:p>
        </w:tc>
        <w:tc>
          <w:tcPr>
            <w:tcW w:w="1427" w:type="dxa"/>
            <w:vAlign w:val="center"/>
          </w:tcPr>
          <w:p>
            <w:pPr>
              <w:jc w:val="center"/>
              <w:rPr>
                <w:rFonts w:ascii="宋体" w:hAnsi="宋体"/>
                <w:color w:val="auto"/>
                <w:highlight w:val="none"/>
              </w:rPr>
            </w:pPr>
          </w:p>
        </w:tc>
        <w:tc>
          <w:tcPr>
            <w:tcW w:w="783" w:type="dxa"/>
            <w:vAlign w:val="center"/>
          </w:tcPr>
          <w:p>
            <w:pPr>
              <w:jc w:val="center"/>
              <w:rPr>
                <w:rFonts w:ascii="宋体" w:hAnsi="宋体"/>
                <w:color w:val="auto"/>
                <w:highlight w:val="none"/>
              </w:rPr>
            </w:pPr>
          </w:p>
        </w:tc>
        <w:tc>
          <w:tcPr>
            <w:tcW w:w="769" w:type="dxa"/>
            <w:vAlign w:val="center"/>
          </w:tcPr>
          <w:p>
            <w:pPr>
              <w:jc w:val="center"/>
              <w:rPr>
                <w:rFonts w:ascii="宋体" w:hAnsi="宋体"/>
                <w:color w:val="auto"/>
                <w:highlight w:val="none"/>
              </w:rPr>
            </w:pPr>
          </w:p>
        </w:tc>
        <w:tc>
          <w:tcPr>
            <w:tcW w:w="1260" w:type="dxa"/>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28" w:type="dxa"/>
          </w:tcPr>
          <w:p>
            <w:pPr>
              <w:rPr>
                <w:rFonts w:ascii="宋体" w:hAnsi="宋体"/>
                <w:color w:val="auto"/>
                <w:highlight w:val="none"/>
              </w:rPr>
            </w:pPr>
          </w:p>
        </w:tc>
        <w:tc>
          <w:tcPr>
            <w:tcW w:w="1429" w:type="dxa"/>
          </w:tcPr>
          <w:p>
            <w:pPr>
              <w:rPr>
                <w:rFonts w:ascii="宋体" w:hAnsi="宋体"/>
                <w:color w:val="auto"/>
                <w:highlight w:val="none"/>
              </w:rPr>
            </w:pPr>
          </w:p>
        </w:tc>
        <w:tc>
          <w:tcPr>
            <w:tcW w:w="1429" w:type="dxa"/>
          </w:tcPr>
          <w:p>
            <w:pPr>
              <w:rPr>
                <w:rFonts w:ascii="宋体" w:hAnsi="宋体"/>
                <w:color w:val="auto"/>
                <w:highlight w:val="none"/>
              </w:rPr>
            </w:pPr>
          </w:p>
        </w:tc>
        <w:tc>
          <w:tcPr>
            <w:tcW w:w="1427" w:type="dxa"/>
          </w:tcPr>
          <w:p>
            <w:pPr>
              <w:rPr>
                <w:rFonts w:ascii="宋体" w:hAnsi="宋体"/>
                <w:color w:val="auto"/>
                <w:highlight w:val="none"/>
              </w:rPr>
            </w:pPr>
          </w:p>
        </w:tc>
        <w:tc>
          <w:tcPr>
            <w:tcW w:w="783" w:type="dxa"/>
          </w:tcPr>
          <w:p>
            <w:pPr>
              <w:rPr>
                <w:rFonts w:ascii="宋体" w:hAnsi="宋体"/>
                <w:color w:val="auto"/>
                <w:highlight w:val="none"/>
              </w:rPr>
            </w:pPr>
          </w:p>
        </w:tc>
        <w:tc>
          <w:tcPr>
            <w:tcW w:w="769" w:type="dxa"/>
          </w:tcPr>
          <w:p>
            <w:pPr>
              <w:rPr>
                <w:rFonts w:ascii="宋体" w:hAnsi="宋体"/>
                <w:color w:val="auto"/>
                <w:highlight w:val="none"/>
              </w:rPr>
            </w:pPr>
          </w:p>
        </w:tc>
        <w:tc>
          <w:tcPr>
            <w:tcW w:w="1260" w:type="dxa"/>
          </w:tcPr>
          <w:p>
            <w:pPr>
              <w:rPr>
                <w:rFonts w:ascii="宋体" w:hAnsi="宋体"/>
                <w:color w:val="auto"/>
                <w:highlight w:val="none"/>
              </w:rPr>
            </w:pPr>
          </w:p>
        </w:tc>
      </w:tr>
    </w:tbl>
    <w:p>
      <w:pPr>
        <w:jc w:val="left"/>
        <w:rPr>
          <w:rFonts w:ascii="宋体" w:hAnsi="宋体"/>
          <w:dstrike/>
          <w:color w:val="auto"/>
          <w:highlight w:val="none"/>
        </w:rPr>
      </w:pPr>
      <w:r>
        <w:rPr>
          <w:rFonts w:hint="eastAsia" w:ascii="宋体" w:hAnsi="宋体"/>
          <w:color w:val="auto"/>
          <w:highlight w:val="none"/>
        </w:rPr>
        <w:t>注：①投标人应将已完成的</w:t>
      </w:r>
      <w:r>
        <w:rPr>
          <w:rFonts w:hint="eastAsia" w:ascii="宋体" w:hAnsi="宋体"/>
          <w:color w:val="auto"/>
          <w:szCs w:val="21"/>
          <w:highlight w:val="none"/>
        </w:rPr>
        <w:t>满足《商务文件综合评分表》评审要求的</w:t>
      </w:r>
      <w:r>
        <w:rPr>
          <w:rFonts w:hint="eastAsia" w:ascii="宋体" w:hAnsi="宋体"/>
          <w:color w:val="auto"/>
          <w:highlight w:val="none"/>
        </w:rPr>
        <w:t>类似勘察或设计项目情况填入本表中，以合同签订时间为准。</w:t>
      </w:r>
    </w:p>
    <w:p>
      <w:pPr>
        <w:jc w:val="left"/>
        <w:rPr>
          <w:rFonts w:ascii="宋体" w:hAnsi="宋体"/>
          <w:color w:val="auto"/>
          <w:highlight w:val="none"/>
        </w:rPr>
      </w:pPr>
      <w:r>
        <w:rPr>
          <w:rFonts w:hint="eastAsia" w:ascii="宋体" w:hAnsi="宋体"/>
          <w:color w:val="auto"/>
          <w:highlight w:val="none"/>
        </w:rPr>
        <w:t>②项目概况包括：项目名称、项目等级、规模、建安费或总投资。</w:t>
      </w:r>
    </w:p>
    <w:p>
      <w:pPr>
        <w:jc w:val="left"/>
        <w:rPr>
          <w:rFonts w:ascii="宋体" w:hAnsi="宋体"/>
          <w:color w:val="auto"/>
          <w:highlight w:val="none"/>
        </w:rPr>
      </w:pPr>
      <w:r>
        <w:rPr>
          <w:rFonts w:hint="eastAsia" w:ascii="宋体" w:hAnsi="宋体"/>
          <w:color w:val="auto"/>
          <w:highlight w:val="none"/>
        </w:rPr>
        <w:t>③完成情况：已完成初步设计或施工图设计或已竣工。</w:t>
      </w:r>
    </w:p>
    <w:p>
      <w:pPr>
        <w:jc w:val="left"/>
        <w:rPr>
          <w:rFonts w:ascii="宋体" w:hAnsi="宋体"/>
          <w:color w:val="auto"/>
          <w:highlight w:val="none"/>
        </w:rPr>
      </w:pPr>
      <w:r>
        <w:rPr>
          <w:rFonts w:hint="eastAsia" w:ascii="宋体" w:hAnsi="宋体"/>
          <w:color w:val="auto"/>
          <w:highlight w:val="none"/>
        </w:rPr>
        <w:t>④投标人应随本表所填项目同时提供合同文本主要页、中标通知书（或免招标证明文件）、初步设计审查证明或施工图审查证明或项目业主对其履约情况的证明材料；获奖业绩须提交获奖证书或获奖证明文件；否则，招标人将不考虑投标人所填项目的业绩和奖项。合同文本应含：项目名称，甲、乙方单位名称，勘察设计工作内容、工作时间，甲、乙方单位签约人签名及单位公章等内容。</w:t>
      </w:r>
    </w:p>
    <w:p>
      <w:pPr>
        <w:jc w:val="left"/>
        <w:rPr>
          <w:rFonts w:ascii="宋体" w:hAnsi="宋体"/>
          <w:color w:val="auto"/>
          <w:highlight w:val="none"/>
        </w:rPr>
      </w:pPr>
      <w:r>
        <w:rPr>
          <w:rFonts w:hint="eastAsia" w:ascii="宋体" w:hAnsi="宋体"/>
          <w:color w:val="auto"/>
          <w:highlight w:val="none"/>
        </w:rPr>
        <w:t>⑤投标人所提供的证明材料，应如实反映出各勘察设计项目的建设规模等相关数据。</w:t>
      </w:r>
    </w:p>
    <w:p>
      <w:pPr>
        <w:jc w:val="left"/>
        <w:rPr>
          <w:rFonts w:ascii="宋体" w:hAnsi="宋体"/>
          <w:color w:val="auto"/>
          <w:highlight w:val="none"/>
        </w:rPr>
      </w:pPr>
      <w:r>
        <w:rPr>
          <w:rFonts w:hint="eastAsia" w:ascii="宋体" w:hAnsi="宋体"/>
          <w:color w:val="auto"/>
          <w:highlight w:val="none"/>
        </w:rPr>
        <w:t>⑥对应《商务文件综合评分表》评审要求，请在备注中选择填写“企业类似业绩或奖项”或“</w:t>
      </w:r>
      <w:r>
        <w:rPr>
          <w:rFonts w:hint="eastAsia" w:ascii="宋体" w:hAnsi="宋体"/>
          <w:color w:val="auto"/>
          <w:szCs w:val="21"/>
          <w:highlight w:val="none"/>
          <w:lang w:val="zh-CN"/>
        </w:rPr>
        <w:t>项目负责人业绩或奖项</w:t>
      </w:r>
      <w:r>
        <w:rPr>
          <w:rFonts w:hint="eastAsia" w:ascii="宋体" w:hAnsi="宋体"/>
          <w:color w:val="auto"/>
          <w:highlight w:val="none"/>
        </w:rPr>
        <w:t>”或“专业负责人业绩或奖项”；</w:t>
      </w:r>
      <w:r>
        <w:rPr>
          <w:rFonts w:ascii="宋体" w:hAnsi="宋体"/>
          <w:color w:val="auto"/>
          <w:highlight w:val="none"/>
        </w:rPr>
        <w:t>同</w:t>
      </w:r>
      <w:r>
        <w:rPr>
          <w:rFonts w:hint="eastAsia" w:ascii="宋体" w:hAnsi="宋体"/>
          <w:color w:val="auto"/>
          <w:highlight w:val="none"/>
        </w:rPr>
        <w:t>时满足前述多</w:t>
      </w:r>
      <w:r>
        <w:rPr>
          <w:rFonts w:ascii="宋体" w:hAnsi="宋体"/>
          <w:color w:val="auto"/>
          <w:highlight w:val="none"/>
        </w:rPr>
        <w:t>项评审要求，可在</w:t>
      </w:r>
      <w:r>
        <w:rPr>
          <w:rFonts w:hint="eastAsia" w:ascii="宋体" w:hAnsi="宋体"/>
          <w:color w:val="auto"/>
          <w:highlight w:val="none"/>
        </w:rPr>
        <w:t>备注中同时填写前述多个选项</w:t>
      </w:r>
      <w:r>
        <w:rPr>
          <w:rFonts w:ascii="宋体" w:hAnsi="宋体"/>
          <w:color w:val="auto"/>
          <w:highlight w:val="none"/>
        </w:rPr>
        <w:t>。</w:t>
      </w:r>
    </w:p>
    <w:p>
      <w:pPr>
        <w:pStyle w:val="4"/>
        <w:rPr>
          <w:color w:val="auto"/>
          <w:highlight w:val="none"/>
        </w:rPr>
      </w:pPr>
      <w:r>
        <w:rPr>
          <w:rFonts w:hint="eastAsia"/>
          <w:color w:val="auto"/>
          <w:highlight w:val="none"/>
        </w:rPr>
        <w:br w:type="page"/>
      </w:r>
      <w:bookmarkStart w:id="89" w:name="_Toc25748"/>
      <w:bookmarkStart w:id="90" w:name="_Toc99464004"/>
      <w:bookmarkStart w:id="91" w:name="_Toc12805"/>
      <w:r>
        <w:rPr>
          <w:rFonts w:hint="eastAsia"/>
          <w:color w:val="auto"/>
          <w:highlight w:val="none"/>
        </w:rPr>
        <w:t>附录6：投标书</w:t>
      </w:r>
      <w:bookmarkEnd w:id="78"/>
      <w:bookmarkEnd w:id="89"/>
      <w:bookmarkEnd w:id="90"/>
      <w:bookmarkEnd w:id="91"/>
    </w:p>
    <w:p>
      <w:pPr>
        <w:jc w:val="center"/>
        <w:rPr>
          <w:rFonts w:ascii="宋体" w:hAnsi="宋体"/>
          <w:b/>
          <w:bCs/>
          <w:color w:val="auto"/>
          <w:sz w:val="32"/>
          <w:highlight w:val="none"/>
        </w:rPr>
      </w:pPr>
      <w:r>
        <w:rPr>
          <w:rFonts w:hint="eastAsia" w:ascii="宋体" w:hAnsi="宋体"/>
          <w:b/>
          <w:bCs/>
          <w:color w:val="auto"/>
          <w:sz w:val="32"/>
          <w:highlight w:val="none"/>
        </w:rPr>
        <w:t>投标书</w:t>
      </w:r>
    </w:p>
    <w:p>
      <w:pPr>
        <w:spacing w:line="360" w:lineRule="auto"/>
        <w:jc w:val="left"/>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（招标人、招标代理机构名称）</w:t>
      </w:r>
    </w:p>
    <w:p>
      <w:pPr>
        <w:spacing w:line="360" w:lineRule="auto"/>
        <w:jc w:val="left"/>
        <w:rPr>
          <w:rFonts w:ascii="宋体" w:hAnsi="宋体"/>
          <w:color w:val="auto"/>
          <w:szCs w:val="21"/>
          <w:highlight w:val="none"/>
        </w:rPr>
      </w:pPr>
    </w:p>
    <w:p>
      <w:pPr>
        <w:spacing w:line="360" w:lineRule="auto"/>
        <w:ind w:firstLine="420"/>
        <w:rPr>
          <w:rFonts w:ascii="宋体" w:hAnsi="宋体"/>
          <w:color w:val="auto"/>
          <w:szCs w:val="21"/>
          <w:highlight w:val="none"/>
        </w:rPr>
      </w:pPr>
      <w:r>
        <w:rPr>
          <w:rFonts w:hint="eastAsia" w:ascii="宋体" w:hAnsi="宋体"/>
          <w:color w:val="auto"/>
          <w:szCs w:val="21"/>
          <w:highlight w:val="none"/>
        </w:rPr>
        <w:t>我方（投标人的简称）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我方愿以投标总报价</w:t>
      </w:r>
      <w:r>
        <w:rPr>
          <w:rFonts w:hint="eastAsia" w:ascii="宋体" w:hAnsi="宋体"/>
          <w:color w:val="auto"/>
          <w:szCs w:val="21"/>
          <w:highlight w:val="none"/>
          <w:u w:val="single"/>
        </w:rPr>
        <w:t xml:space="preserve">      </w:t>
      </w:r>
      <w:r>
        <w:rPr>
          <w:rFonts w:hint="eastAsia" w:ascii="宋体" w:hAnsi="宋体"/>
          <w:color w:val="auto"/>
          <w:szCs w:val="21"/>
          <w:highlight w:val="none"/>
        </w:rPr>
        <w:t>元，承包本次招标所包含的工作，并承担质量缺陷责任。我方项目负责人是网上投标登记时选择的项目负责人。如我司成为本项目中标候选人，我司同意并授权招标人将我司投标文件商务部分进行公开。</w:t>
      </w:r>
    </w:p>
    <w:p>
      <w:pPr>
        <w:spacing w:line="360" w:lineRule="auto"/>
        <w:ind w:firstLine="420"/>
        <w:rPr>
          <w:rFonts w:ascii="宋体" w:hAnsi="宋体"/>
          <w:color w:val="auto"/>
          <w:szCs w:val="21"/>
          <w:highlight w:val="none"/>
        </w:rPr>
      </w:pPr>
      <w:r>
        <w:rPr>
          <w:rFonts w:hint="eastAsia" w:ascii="宋体" w:hAnsi="宋体"/>
          <w:color w:val="auto"/>
          <w:szCs w:val="21"/>
          <w:highlight w:val="none"/>
        </w:rPr>
        <w:t>我方遵守本投标书直至投标有效期满，在该日期前，本投标书对我方一直具有约束力，随时可接受中标。我方承认所附投标文件资料为本投标书的一部分。如果我方投标书含有不符合招标文件规定的内容，我方同意按招标文件规定予以修正。我方接受你方关于任命争端裁决委员会的建议。</w:t>
      </w:r>
    </w:p>
    <w:p>
      <w:pPr>
        <w:spacing w:line="360" w:lineRule="auto"/>
        <w:ind w:firstLine="420"/>
        <w:rPr>
          <w:rFonts w:ascii="宋体" w:hAnsi="宋体"/>
          <w:color w:val="auto"/>
          <w:szCs w:val="21"/>
          <w:highlight w:val="none"/>
        </w:rPr>
      </w:pPr>
      <w:r>
        <w:rPr>
          <w:rFonts w:hint="eastAsia" w:ascii="宋体" w:hAnsi="宋体"/>
          <w:color w:val="auto"/>
          <w:szCs w:val="21"/>
          <w:highlight w:val="none"/>
        </w:rPr>
        <w:t>我方认同招标文件规定的评审规则，遵守评标委员会的裁决结果，并且不会采取妨碍项目进展的行为。我方理解你方没有必须接受你方可能收到的最低标或任何投标的义务。</w:t>
      </w:r>
    </w:p>
    <w:p>
      <w:pPr>
        <w:spacing w:line="360" w:lineRule="auto"/>
        <w:ind w:firstLine="420"/>
        <w:rPr>
          <w:rFonts w:ascii="宋体" w:hAnsi="宋体"/>
          <w:color w:val="auto"/>
          <w:szCs w:val="21"/>
          <w:highlight w:val="none"/>
        </w:rPr>
      </w:pPr>
      <w:r>
        <w:rPr>
          <w:rFonts w:hint="eastAsia" w:ascii="宋体" w:hAnsi="宋体"/>
          <w:color w:val="auto"/>
          <w:szCs w:val="21"/>
          <w:highlight w:val="none"/>
        </w:rPr>
        <w:t>如果我方中标，将在合同规定的日期开工，并在竣工时间内，按照上述文件完成项目。</w:t>
      </w:r>
    </w:p>
    <w:p>
      <w:pPr>
        <w:spacing w:line="360" w:lineRule="auto"/>
        <w:ind w:firstLine="420"/>
        <w:rPr>
          <w:rFonts w:ascii="宋体" w:hAnsi="宋体"/>
          <w:color w:val="auto"/>
          <w:szCs w:val="21"/>
          <w:highlight w:val="none"/>
        </w:rPr>
      </w:pPr>
      <w:r>
        <w:rPr>
          <w:rFonts w:hint="eastAsia" w:ascii="宋体" w:hAnsi="宋体"/>
          <w:color w:val="auto"/>
          <w:szCs w:val="21"/>
          <w:highlight w:val="none"/>
        </w:rPr>
        <w:t>除非制订正式合同协议书并生效，本投标书以及你方中标通知书，应构成你我双方间具有约束力的合同。</w:t>
      </w:r>
    </w:p>
    <w:p>
      <w:pPr>
        <w:spacing w:line="360" w:lineRule="auto"/>
        <w:ind w:firstLine="405"/>
        <w:rPr>
          <w:rFonts w:ascii="宋体" w:hAnsi="宋体"/>
          <w:color w:val="auto"/>
          <w:szCs w:val="21"/>
          <w:highlight w:val="none"/>
        </w:rPr>
      </w:pPr>
      <w:r>
        <w:rPr>
          <w:rFonts w:hint="eastAsia" w:ascii="宋体" w:hAnsi="宋体"/>
          <w:color w:val="auto"/>
          <w:szCs w:val="21"/>
          <w:highlight w:val="none"/>
        </w:rPr>
        <w:t>本投标书同时作为法人证明书或法人授权委托书。</w:t>
      </w:r>
    </w:p>
    <w:p>
      <w:pPr>
        <w:spacing w:line="360" w:lineRule="auto"/>
        <w:rPr>
          <w:rFonts w:ascii="宋体" w:hAnsi="宋体"/>
          <w:color w:val="auto"/>
          <w:szCs w:val="21"/>
          <w:highlight w:val="none"/>
        </w:rPr>
      </w:pPr>
    </w:p>
    <w:p>
      <w:pPr>
        <w:spacing w:line="360" w:lineRule="auto"/>
        <w:ind w:firstLine="405"/>
        <w:rPr>
          <w:rFonts w:ascii="宋体" w:hAnsi="宋体"/>
          <w:color w:val="auto"/>
          <w:szCs w:val="21"/>
          <w:highlight w:val="none"/>
        </w:rPr>
      </w:pPr>
      <w:r>
        <w:rPr>
          <w:rFonts w:hint="eastAsia" w:ascii="宋体" w:hAnsi="宋体"/>
          <w:color w:val="auto"/>
          <w:szCs w:val="21"/>
          <w:highlight w:val="none"/>
        </w:rPr>
        <w:t>投标人：（盖章）</w:t>
      </w:r>
      <w:r>
        <w:rPr>
          <w:rFonts w:hint="eastAsia" w:ascii="宋体" w:hAnsi="宋体"/>
          <w:color w:val="auto"/>
          <w:szCs w:val="21"/>
          <w:highlight w:val="none"/>
          <w:u w:val="single"/>
        </w:rPr>
        <w:t xml:space="preserve">                                  </w:t>
      </w:r>
    </w:p>
    <w:p>
      <w:pPr>
        <w:spacing w:line="360" w:lineRule="auto"/>
        <w:ind w:firstLine="405"/>
        <w:rPr>
          <w:rFonts w:ascii="宋体" w:hAnsi="宋体"/>
          <w:color w:val="auto"/>
          <w:szCs w:val="21"/>
          <w:highlight w:val="none"/>
        </w:rPr>
      </w:pPr>
      <w:r>
        <w:rPr>
          <w:rFonts w:hint="eastAsia" w:ascii="宋体" w:hAnsi="宋体"/>
          <w:color w:val="auto"/>
          <w:szCs w:val="21"/>
          <w:highlight w:val="none"/>
        </w:rPr>
        <w:t>法定代表人：（签字或盖章）</w:t>
      </w:r>
      <w:r>
        <w:rPr>
          <w:rFonts w:hint="eastAsia" w:ascii="宋体" w:hAnsi="宋体"/>
          <w:color w:val="auto"/>
          <w:szCs w:val="21"/>
          <w:highlight w:val="none"/>
          <w:u w:val="single"/>
        </w:rPr>
        <w:t xml:space="preserve">                        </w:t>
      </w:r>
    </w:p>
    <w:p>
      <w:pPr>
        <w:spacing w:line="360" w:lineRule="auto"/>
        <w:ind w:firstLine="405"/>
        <w:rPr>
          <w:rFonts w:ascii="宋体" w:hAnsi="宋体"/>
          <w:color w:val="auto"/>
          <w:szCs w:val="21"/>
          <w:highlight w:val="none"/>
        </w:rPr>
      </w:pPr>
      <w:r>
        <w:rPr>
          <w:rFonts w:hint="eastAsia" w:ascii="宋体" w:hAnsi="宋体"/>
          <w:color w:val="auto"/>
          <w:szCs w:val="21"/>
          <w:highlight w:val="none"/>
        </w:rPr>
        <w:t>委托代理人：（签字或盖章）</w:t>
      </w:r>
      <w:r>
        <w:rPr>
          <w:rFonts w:hint="eastAsia" w:ascii="宋体" w:hAnsi="宋体"/>
          <w:color w:val="auto"/>
          <w:szCs w:val="21"/>
          <w:highlight w:val="none"/>
          <w:u w:val="single"/>
        </w:rPr>
        <w:t xml:space="preserve">                        </w:t>
      </w:r>
    </w:p>
    <w:p>
      <w:pPr>
        <w:spacing w:line="360" w:lineRule="auto"/>
        <w:ind w:firstLine="405"/>
        <w:rPr>
          <w:rFonts w:ascii="宋体" w:hAnsi="宋体"/>
          <w:color w:val="auto"/>
          <w:szCs w:val="21"/>
          <w:highlight w:val="none"/>
        </w:rPr>
      </w:pPr>
      <w:r>
        <w:rPr>
          <w:rFonts w:hint="eastAsia" w:ascii="宋体" w:hAnsi="宋体"/>
          <w:color w:val="auto"/>
          <w:szCs w:val="21"/>
          <w:highlight w:val="none"/>
        </w:rPr>
        <w:t>项目负责人：（签字或盖章）</w:t>
      </w:r>
      <w:r>
        <w:rPr>
          <w:rFonts w:hint="eastAsia" w:ascii="宋体" w:hAnsi="宋体"/>
          <w:color w:val="auto"/>
          <w:szCs w:val="21"/>
          <w:highlight w:val="none"/>
          <w:u w:val="single"/>
        </w:rPr>
        <w:t xml:space="preserve">                        </w:t>
      </w:r>
    </w:p>
    <w:p>
      <w:pPr>
        <w:spacing w:line="360" w:lineRule="auto"/>
        <w:ind w:firstLine="405"/>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pPr>
        <w:spacing w:line="360" w:lineRule="auto"/>
        <w:ind w:firstLine="405"/>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spacing w:line="360" w:lineRule="auto"/>
        <w:ind w:firstLine="405"/>
        <w:rPr>
          <w:rFonts w:ascii="宋体" w:hAnsi="宋体"/>
          <w:color w:val="auto"/>
          <w:szCs w:val="21"/>
          <w:highlight w:val="none"/>
        </w:rPr>
      </w:pPr>
      <w:r>
        <w:rPr>
          <w:rFonts w:hint="eastAsia" w:ascii="宋体" w:hAnsi="宋体"/>
          <w:color w:val="auto"/>
          <w:szCs w:val="21"/>
          <w:highlight w:val="none"/>
        </w:rPr>
        <w:t>电话/传真：</w:t>
      </w:r>
      <w:r>
        <w:rPr>
          <w:rFonts w:hint="eastAsia" w:ascii="宋体" w:hAnsi="宋体"/>
          <w:color w:val="auto"/>
          <w:szCs w:val="21"/>
          <w:highlight w:val="none"/>
          <w:u w:val="single"/>
        </w:rPr>
        <w:t xml:space="preserve">                    /FAX              </w:t>
      </w:r>
    </w:p>
    <w:p>
      <w:pPr>
        <w:spacing w:line="360" w:lineRule="auto"/>
        <w:ind w:firstLine="405"/>
        <w:rPr>
          <w:rFonts w:ascii="宋体" w:hAnsi="宋体"/>
          <w:color w:val="auto"/>
          <w:szCs w:val="21"/>
          <w:highlight w:val="none"/>
        </w:rPr>
      </w:pPr>
      <w:r>
        <w:rPr>
          <w:rFonts w:hint="eastAsia" w:ascii="宋体" w:hAnsi="宋体"/>
          <w:color w:val="auto"/>
          <w:szCs w:val="21"/>
          <w:highlight w:val="none"/>
        </w:rPr>
        <w:t>电子邮箱：</w:t>
      </w:r>
      <w:r>
        <w:rPr>
          <w:rFonts w:hint="eastAsia" w:ascii="宋体" w:hAnsi="宋体"/>
          <w:color w:val="auto"/>
          <w:szCs w:val="21"/>
          <w:highlight w:val="none"/>
          <w:u w:val="single"/>
        </w:rPr>
        <w:t xml:space="preserve">                                       </w:t>
      </w:r>
    </w:p>
    <w:p>
      <w:pPr>
        <w:spacing w:line="360" w:lineRule="auto"/>
        <w:ind w:firstLine="405"/>
        <w:rPr>
          <w:rFonts w:ascii="宋体" w:hAnsi="宋体"/>
          <w:color w:val="auto"/>
          <w:szCs w:val="21"/>
          <w:highlight w:val="none"/>
        </w:rPr>
      </w:pPr>
      <w:r>
        <w:rPr>
          <w:rFonts w:hint="eastAsia" w:ascii="宋体" w:hAnsi="宋体"/>
          <w:color w:val="auto"/>
          <w:szCs w:val="21"/>
          <w:highlight w:val="none"/>
        </w:rPr>
        <w:t>开户银行名称、帐号：</w:t>
      </w:r>
      <w:r>
        <w:rPr>
          <w:rFonts w:hint="eastAsia" w:ascii="宋体" w:hAnsi="宋体"/>
          <w:color w:val="auto"/>
          <w:szCs w:val="21"/>
          <w:highlight w:val="none"/>
          <w:u w:val="single"/>
        </w:rPr>
        <w:t xml:space="preserve">                             </w:t>
      </w:r>
    </w:p>
    <w:p>
      <w:pPr>
        <w:spacing w:line="360" w:lineRule="auto"/>
        <w:ind w:firstLine="405"/>
        <w:rPr>
          <w:rFonts w:ascii="宋体" w:hAnsi="宋体"/>
          <w:color w:val="auto"/>
          <w:szCs w:val="21"/>
          <w:highlight w:val="none"/>
        </w:rPr>
      </w:pPr>
      <w:r>
        <w:rPr>
          <w:rFonts w:hint="eastAsia" w:ascii="宋体" w:hAnsi="宋体"/>
          <w:color w:val="auto"/>
          <w:szCs w:val="21"/>
          <w:highlight w:val="none"/>
        </w:rPr>
        <w:t>开户行地址/电话：</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                                     日期：       年    月    日</w:t>
      </w:r>
    </w:p>
    <w:p>
      <w:pPr>
        <w:spacing w:line="360" w:lineRule="auto"/>
        <w:rPr>
          <w:rFonts w:ascii="宋体" w:hAnsi="宋体"/>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color w:val="auto"/>
          <w:szCs w:val="21"/>
          <w:highlight w:val="none"/>
        </w:rPr>
      </w:pPr>
      <w:r>
        <w:rPr>
          <w:rFonts w:hint="eastAsia" w:ascii="宋体" w:hAnsi="宋体"/>
          <w:b/>
          <w:color w:val="auto"/>
          <w:szCs w:val="21"/>
          <w:highlight w:val="none"/>
        </w:rPr>
        <w:t>注：联合体投标的，“投标人”一栏应填写联合体各方的单位全称【格式为：（主）XXXX公司（成）XXXXX公司】，可仅由联合体牵头人盖章或签字，视作符合要求。</w:t>
      </w:r>
    </w:p>
    <w:p>
      <w:pPr>
        <w:jc w:val="left"/>
        <w:rPr>
          <w:rFonts w:ascii="宋体" w:hAnsi="宋体"/>
          <w:strike/>
          <w:color w:val="auto"/>
          <w:szCs w:val="21"/>
          <w:highlight w:val="none"/>
        </w:rPr>
      </w:pPr>
    </w:p>
    <w:p>
      <w:pPr>
        <w:pStyle w:val="4"/>
        <w:rPr>
          <w:color w:val="auto"/>
          <w:highlight w:val="none"/>
        </w:rPr>
      </w:pPr>
      <w:r>
        <w:rPr>
          <w:strike/>
          <w:color w:val="auto"/>
          <w:highlight w:val="none"/>
        </w:rPr>
        <w:br w:type="page"/>
      </w:r>
      <w:bookmarkStart w:id="92" w:name="_Toc13144"/>
      <w:bookmarkStart w:id="93" w:name="_Toc99464005"/>
      <w:bookmarkStart w:id="94" w:name="_Toc15974"/>
      <w:r>
        <w:rPr>
          <w:rFonts w:hint="eastAsia"/>
          <w:color w:val="auto"/>
          <w:highlight w:val="none"/>
        </w:rPr>
        <w:t>附录7：联合体共同投标协议</w:t>
      </w:r>
      <w:bookmarkEnd w:id="92"/>
      <w:bookmarkEnd w:id="93"/>
      <w:bookmarkEnd w:id="94"/>
    </w:p>
    <w:p>
      <w:pPr>
        <w:wordWrap w:val="0"/>
        <w:topLinePunct/>
        <w:jc w:val="center"/>
        <w:rPr>
          <w:rFonts w:ascii="宋体" w:hAnsi="宋体"/>
          <w:b/>
          <w:bCs/>
          <w:strike/>
          <w:color w:val="auto"/>
          <w:highlight w:val="none"/>
        </w:rPr>
      </w:pPr>
    </w:p>
    <w:p>
      <w:pPr>
        <w:jc w:val="center"/>
        <w:rPr>
          <w:rFonts w:ascii="宋体" w:hAnsi="宋体"/>
          <w:b/>
          <w:bCs/>
          <w:color w:val="auto"/>
          <w:sz w:val="32"/>
          <w:highlight w:val="none"/>
        </w:rPr>
      </w:pPr>
      <w:r>
        <w:rPr>
          <w:rFonts w:hint="eastAsia" w:ascii="宋体" w:hAnsi="宋体"/>
          <w:b/>
          <w:bCs/>
          <w:color w:val="auto"/>
          <w:sz w:val="32"/>
          <w:highlight w:val="none"/>
        </w:rPr>
        <w:t>联合体共同投标协议</w:t>
      </w:r>
    </w:p>
    <w:p>
      <w:pPr>
        <w:wordWrap w:val="0"/>
        <w:topLinePunct/>
        <w:rPr>
          <w:rFonts w:ascii="宋体" w:hAnsi="宋体"/>
          <w:color w:val="auto"/>
          <w:sz w:val="24"/>
          <w:highlight w:val="none"/>
        </w:rPr>
      </w:pPr>
    </w:p>
    <w:p>
      <w:pPr>
        <w:wordWrap w:val="0"/>
        <w:topLinePunct/>
        <w:jc w:val="left"/>
        <w:rPr>
          <w:rFonts w:ascii="宋体" w:hAnsi="宋体"/>
          <w:color w:val="auto"/>
          <w:highlight w:val="none"/>
        </w:rPr>
      </w:pPr>
      <w:r>
        <w:rPr>
          <w:rFonts w:hint="eastAsia" w:ascii="宋体" w:hAnsi="宋体"/>
          <w:color w:val="auto"/>
          <w:highlight w:val="none"/>
        </w:rPr>
        <w:t>投标项目名称：</w:t>
      </w:r>
      <w:r>
        <w:rPr>
          <w:rFonts w:hint="eastAsia" w:ascii="宋体" w:hAnsi="宋体"/>
          <w:color w:val="auto"/>
          <w:highlight w:val="none"/>
          <w:u w:val="single"/>
        </w:rPr>
        <w:t xml:space="preserve">                                           </w:t>
      </w:r>
      <w:r>
        <w:rPr>
          <w:rFonts w:hint="eastAsia" w:ascii="宋体" w:hAnsi="宋体"/>
          <w:color w:val="auto"/>
          <w:highlight w:val="none"/>
        </w:rPr>
        <w:t>。</w:t>
      </w:r>
    </w:p>
    <w:p>
      <w:pPr>
        <w:wordWrap w:val="0"/>
        <w:topLinePunct/>
        <w:rPr>
          <w:rFonts w:ascii="宋体" w:hAnsi="宋体"/>
          <w:color w:val="auto"/>
          <w:highlight w:val="none"/>
        </w:rPr>
      </w:pPr>
    </w:p>
    <w:p>
      <w:pPr>
        <w:wordWrap w:val="0"/>
        <w:topLinePunct/>
        <w:rPr>
          <w:rFonts w:ascii="宋体" w:hAnsi="宋体"/>
          <w:color w:val="auto"/>
          <w:highlight w:val="none"/>
        </w:rPr>
      </w:pPr>
      <w:r>
        <w:rPr>
          <w:rFonts w:hint="eastAsia" w:ascii="宋体" w:hAnsi="宋体"/>
          <w:color w:val="auto"/>
          <w:highlight w:val="none"/>
        </w:rPr>
        <w:t>致：</w:t>
      </w:r>
      <w:r>
        <w:rPr>
          <w:rFonts w:hint="eastAsia" w:ascii="宋体" w:hAnsi="宋体"/>
          <w:color w:val="auto"/>
          <w:highlight w:val="none"/>
          <w:u w:val="single"/>
        </w:rPr>
        <w:t xml:space="preserve">                                    </w:t>
      </w:r>
      <w:r>
        <w:rPr>
          <w:rFonts w:hint="eastAsia" w:ascii="宋体" w:hAnsi="宋体"/>
          <w:color w:val="auto"/>
          <w:highlight w:val="none"/>
        </w:rPr>
        <w:t>（招标人、招标代理机构名称）</w:t>
      </w:r>
    </w:p>
    <w:p>
      <w:pPr>
        <w:wordWrap w:val="0"/>
        <w:topLinePunct/>
        <w:jc w:val="left"/>
        <w:rPr>
          <w:rFonts w:ascii="宋体" w:hAnsi="宋体"/>
          <w:color w:val="auto"/>
          <w:sz w:val="24"/>
          <w:highlight w:val="none"/>
        </w:rPr>
      </w:pPr>
    </w:p>
    <w:p>
      <w:pPr>
        <w:ind w:firstLine="420"/>
        <w:rPr>
          <w:rFonts w:ascii="宋体" w:hAnsi="宋体"/>
          <w:color w:val="auto"/>
          <w:szCs w:val="21"/>
          <w:highlight w:val="none"/>
        </w:rPr>
      </w:pPr>
      <w:r>
        <w:rPr>
          <w:rFonts w:hint="eastAsia" w:ascii="宋体" w:hAnsi="宋体"/>
          <w:color w:val="auto"/>
          <w:highlight w:val="none"/>
        </w:rPr>
        <w:t>我方决定组成联合体共同参加以上项目的投标，若中标，联合体各成员向招标人承担连带责任</w:t>
      </w:r>
      <w:r>
        <w:rPr>
          <w:rFonts w:hint="eastAsia" w:ascii="宋体" w:hAnsi="宋体"/>
          <w:color w:val="auto"/>
          <w:szCs w:val="21"/>
          <w:highlight w:val="none"/>
        </w:rPr>
        <w:t>。</w:t>
      </w:r>
      <w:r>
        <w:rPr>
          <w:rFonts w:hint="eastAsia" w:ascii="宋体" w:hAnsi="宋体"/>
          <w:color w:val="auto"/>
          <w:highlight w:val="none"/>
        </w:rPr>
        <w:t>我方</w:t>
      </w:r>
      <w:r>
        <w:rPr>
          <w:rFonts w:hint="eastAsia" w:ascii="宋体" w:hAnsi="宋体"/>
          <w:color w:val="auto"/>
          <w:szCs w:val="21"/>
          <w:highlight w:val="none"/>
        </w:rPr>
        <w:t>授权委托本协议牵头人，代表所有联合体成员参加投标、提交投标文件，以及与招标人签订合同，负责整个合同实施阶段的协调工作。合同履行过程中，由本协议牵头人负责办理勘察设计费的请付款手续、开具发票及收取合同款项。</w:t>
      </w:r>
    </w:p>
    <w:p>
      <w:pPr>
        <w:ind w:firstLine="420"/>
        <w:rPr>
          <w:rFonts w:ascii="宋体" w:hAnsi="宋体"/>
          <w:color w:val="auto"/>
          <w:szCs w:val="21"/>
          <w:highlight w:val="none"/>
        </w:rPr>
      </w:pPr>
      <w:r>
        <w:rPr>
          <w:rFonts w:hint="eastAsia" w:ascii="宋体" w:hAnsi="宋体"/>
          <w:color w:val="auto"/>
          <w:szCs w:val="21"/>
          <w:highlight w:val="none"/>
        </w:rPr>
        <w:t>贵方应付款项直接支付至如下帐户：</w:t>
      </w:r>
    </w:p>
    <w:p>
      <w:pPr>
        <w:rPr>
          <w:rFonts w:ascii="宋体" w:hAnsi="宋体"/>
          <w:color w:val="auto"/>
          <w:szCs w:val="21"/>
          <w:highlight w:val="none"/>
        </w:rPr>
      </w:pPr>
      <w:r>
        <w:rPr>
          <w:rFonts w:hint="eastAsia" w:ascii="宋体" w:hAnsi="宋体"/>
          <w:color w:val="auto"/>
          <w:szCs w:val="21"/>
          <w:highlight w:val="none"/>
        </w:rPr>
        <w:t>账户名：</w:t>
      </w:r>
    </w:p>
    <w:p>
      <w:pPr>
        <w:rPr>
          <w:rFonts w:ascii="宋体" w:hAnsi="宋体"/>
          <w:color w:val="auto"/>
          <w:szCs w:val="21"/>
          <w:highlight w:val="none"/>
        </w:rPr>
      </w:pPr>
      <w:r>
        <w:rPr>
          <w:rFonts w:hint="eastAsia" w:ascii="宋体" w:hAnsi="宋体"/>
          <w:color w:val="auto"/>
          <w:szCs w:val="21"/>
          <w:highlight w:val="none"/>
        </w:rPr>
        <w:t>开户银行：</w:t>
      </w:r>
    </w:p>
    <w:p>
      <w:pPr>
        <w:rPr>
          <w:rFonts w:ascii="宋体" w:hAnsi="宋体"/>
          <w:color w:val="auto"/>
          <w:szCs w:val="21"/>
          <w:highlight w:val="none"/>
        </w:rPr>
      </w:pPr>
      <w:r>
        <w:rPr>
          <w:rFonts w:hint="eastAsia" w:ascii="宋体" w:hAnsi="宋体"/>
          <w:color w:val="auto"/>
          <w:szCs w:val="21"/>
          <w:highlight w:val="none"/>
        </w:rPr>
        <w:t>银行帐号：</w:t>
      </w:r>
    </w:p>
    <w:p>
      <w:pPr>
        <w:wordWrap w:val="0"/>
        <w:topLinePunct/>
        <w:ind w:firstLine="420" w:firstLineChars="200"/>
        <w:rPr>
          <w:rFonts w:ascii="宋体" w:hAnsi="宋体"/>
          <w:color w:val="auto"/>
          <w:szCs w:val="21"/>
          <w:highlight w:val="none"/>
        </w:rPr>
      </w:pPr>
      <w:r>
        <w:rPr>
          <w:rFonts w:hint="eastAsia" w:ascii="宋体" w:hAnsi="宋体"/>
          <w:color w:val="auto"/>
          <w:szCs w:val="21"/>
          <w:highlight w:val="none"/>
        </w:rPr>
        <w:t>因勘察设计费分配产生的纠纷由我方自行协调，与贵方无关。</w:t>
      </w:r>
    </w:p>
    <w:p>
      <w:pPr>
        <w:wordWrap w:val="0"/>
        <w:topLinePunct/>
        <w:ind w:firstLine="420"/>
        <w:rPr>
          <w:rFonts w:ascii="宋体" w:hAnsi="宋体"/>
          <w:color w:val="auto"/>
          <w:szCs w:val="21"/>
          <w:highlight w:val="none"/>
        </w:rPr>
      </w:pPr>
      <w:r>
        <w:rPr>
          <w:rFonts w:hint="eastAsia" w:ascii="宋体" w:hAnsi="宋体"/>
          <w:color w:val="auto"/>
          <w:szCs w:val="21"/>
          <w:highlight w:val="none"/>
        </w:rPr>
        <w:t>本投标协议同时作为法人证明书或法人授权委托书。</w:t>
      </w:r>
    </w:p>
    <w:p>
      <w:pPr>
        <w:wordWrap w:val="0"/>
        <w:topLinePunct/>
        <w:rPr>
          <w:rFonts w:ascii="宋体" w:hAnsi="宋体"/>
          <w:color w:val="auto"/>
          <w:highlight w:val="none"/>
        </w:rPr>
      </w:pPr>
    </w:p>
    <w:p>
      <w:pPr>
        <w:wordWrap w:val="0"/>
        <w:topLinePunct/>
        <w:rPr>
          <w:rFonts w:ascii="宋体" w:hAnsi="宋体"/>
          <w:color w:val="auto"/>
          <w:highlight w:val="none"/>
        </w:rPr>
      </w:pPr>
    </w:p>
    <w:p>
      <w:pPr>
        <w:wordWrap w:val="0"/>
        <w:topLinePunct/>
        <w:spacing w:line="360" w:lineRule="atLeast"/>
        <w:rPr>
          <w:rFonts w:ascii="宋体" w:hAnsi="宋体"/>
          <w:color w:val="auto"/>
          <w:highlight w:val="none"/>
        </w:rPr>
      </w:pPr>
      <w:r>
        <w:rPr>
          <w:rFonts w:hint="eastAsia" w:ascii="宋体" w:hAnsi="宋体"/>
          <w:color w:val="auto"/>
          <w:highlight w:val="none"/>
        </w:rPr>
        <w:t xml:space="preserve">    投标</w:t>
      </w:r>
      <w:r>
        <w:rPr>
          <w:rFonts w:hint="eastAsia" w:ascii="宋体" w:hAnsi="宋体"/>
          <w:color w:val="auto"/>
          <w:szCs w:val="21"/>
          <w:highlight w:val="none"/>
        </w:rPr>
        <w:t>牵头人</w:t>
      </w:r>
      <w:r>
        <w:rPr>
          <w:rFonts w:hint="eastAsia" w:ascii="宋体" w:hAnsi="宋体"/>
          <w:color w:val="auto"/>
          <w:highlight w:val="none"/>
        </w:rPr>
        <w:t>：（盖章）</w:t>
      </w:r>
      <w:r>
        <w:rPr>
          <w:rFonts w:hint="eastAsia" w:ascii="宋体" w:hAnsi="宋体"/>
          <w:color w:val="auto"/>
          <w:highlight w:val="none"/>
          <w:u w:val="single"/>
        </w:rPr>
        <w:t xml:space="preserve">                                         </w:t>
      </w:r>
    </w:p>
    <w:p>
      <w:pPr>
        <w:wordWrap w:val="0"/>
        <w:topLinePunct/>
        <w:spacing w:line="360" w:lineRule="atLeast"/>
        <w:rPr>
          <w:rFonts w:ascii="宋体" w:hAnsi="宋体"/>
          <w:color w:val="auto"/>
          <w:highlight w:val="none"/>
        </w:rPr>
      </w:pPr>
      <w:r>
        <w:rPr>
          <w:rFonts w:hint="eastAsia" w:ascii="宋体" w:hAnsi="宋体"/>
          <w:color w:val="auto"/>
          <w:highlight w:val="none"/>
        </w:rPr>
        <w:t xml:space="preserve">    法定代表人：（签字或盖章）</w:t>
      </w:r>
      <w:r>
        <w:rPr>
          <w:rFonts w:hint="eastAsia" w:ascii="宋体" w:hAnsi="宋体"/>
          <w:color w:val="auto"/>
          <w:highlight w:val="none"/>
          <w:u w:val="single"/>
        </w:rPr>
        <w:t xml:space="preserve">                                   </w:t>
      </w:r>
    </w:p>
    <w:p>
      <w:pPr>
        <w:wordWrap w:val="0"/>
        <w:topLinePunct/>
        <w:spacing w:line="360" w:lineRule="atLeast"/>
        <w:rPr>
          <w:rFonts w:ascii="宋体" w:hAnsi="宋体"/>
          <w:color w:val="auto"/>
          <w:highlight w:val="none"/>
        </w:rPr>
      </w:pPr>
      <w:r>
        <w:rPr>
          <w:rFonts w:hint="eastAsia" w:ascii="宋体" w:hAnsi="宋体"/>
          <w:color w:val="auto"/>
          <w:highlight w:val="none"/>
        </w:rPr>
        <w:t xml:space="preserve">    委托代理人：（签字或盖章）</w:t>
      </w:r>
      <w:r>
        <w:rPr>
          <w:rFonts w:hint="eastAsia" w:ascii="宋体" w:hAnsi="宋体"/>
          <w:color w:val="auto"/>
          <w:highlight w:val="none"/>
          <w:u w:val="single"/>
        </w:rPr>
        <w:t xml:space="preserve">                                   </w:t>
      </w:r>
    </w:p>
    <w:p>
      <w:pPr>
        <w:wordWrap w:val="0"/>
        <w:topLinePunct/>
        <w:spacing w:line="360" w:lineRule="atLeast"/>
        <w:rPr>
          <w:rFonts w:ascii="宋体" w:hAnsi="宋体"/>
          <w:color w:val="auto"/>
          <w:highlight w:val="none"/>
        </w:rPr>
      </w:pPr>
      <w:r>
        <w:rPr>
          <w:rFonts w:hint="eastAsia" w:ascii="宋体" w:hAnsi="宋体"/>
          <w:color w:val="auto"/>
          <w:highlight w:val="none"/>
        </w:rPr>
        <w:t xml:space="preserve">    地址：</w:t>
      </w:r>
      <w:r>
        <w:rPr>
          <w:rFonts w:hint="eastAsia" w:ascii="宋体" w:hAnsi="宋体"/>
          <w:color w:val="auto"/>
          <w:highlight w:val="none"/>
          <w:u w:val="single"/>
        </w:rPr>
        <w:t xml:space="preserve">                                                      </w:t>
      </w:r>
    </w:p>
    <w:p>
      <w:pPr>
        <w:wordWrap w:val="0"/>
        <w:topLinePunct/>
        <w:spacing w:line="360" w:lineRule="atLeast"/>
        <w:rPr>
          <w:rFonts w:ascii="宋体" w:hAnsi="宋体"/>
          <w:color w:val="auto"/>
          <w:highlight w:val="none"/>
        </w:rPr>
      </w:pPr>
      <w:r>
        <w:rPr>
          <w:rFonts w:hint="eastAsia" w:ascii="宋体" w:hAnsi="宋体"/>
          <w:color w:val="auto"/>
          <w:highlight w:val="none"/>
        </w:rPr>
        <w:t xml:space="preserve">    邮政编码：</w:t>
      </w:r>
      <w:r>
        <w:rPr>
          <w:rFonts w:hint="eastAsia" w:ascii="宋体" w:hAnsi="宋体"/>
          <w:color w:val="auto"/>
          <w:highlight w:val="none"/>
          <w:u w:val="single"/>
        </w:rPr>
        <w:t xml:space="preserve">          </w:t>
      </w:r>
      <w:r>
        <w:rPr>
          <w:rFonts w:hint="eastAsia" w:ascii="宋体" w:hAnsi="宋体"/>
          <w:color w:val="auto"/>
          <w:highlight w:val="none"/>
        </w:rPr>
        <w:t>电话/传真：</w:t>
      </w:r>
      <w:r>
        <w:rPr>
          <w:rFonts w:hint="eastAsia" w:ascii="宋体" w:hAnsi="宋体"/>
          <w:color w:val="auto"/>
          <w:highlight w:val="none"/>
          <w:u w:val="single"/>
        </w:rPr>
        <w:t xml:space="preserve">                             </w:t>
      </w:r>
    </w:p>
    <w:p>
      <w:pPr>
        <w:wordWrap w:val="0"/>
        <w:topLinePunct/>
        <w:spacing w:line="360" w:lineRule="atLeast"/>
        <w:rPr>
          <w:rFonts w:ascii="宋体" w:hAnsi="宋体"/>
          <w:color w:val="auto"/>
          <w:highlight w:val="none"/>
        </w:rPr>
      </w:pPr>
      <w:r>
        <w:rPr>
          <w:rFonts w:hint="eastAsia" w:ascii="宋体" w:hAnsi="宋体"/>
          <w:color w:val="auto"/>
          <w:highlight w:val="none"/>
        </w:rPr>
        <w:t xml:space="preserve">    分工内容：</w:t>
      </w:r>
      <w:r>
        <w:rPr>
          <w:rFonts w:hint="eastAsia" w:ascii="宋体" w:hAnsi="宋体"/>
          <w:color w:val="auto"/>
          <w:highlight w:val="none"/>
          <w:u w:val="single"/>
        </w:rPr>
        <w:t xml:space="preserve">                                                  </w:t>
      </w:r>
    </w:p>
    <w:p>
      <w:pPr>
        <w:wordWrap w:val="0"/>
        <w:topLinePunct/>
        <w:spacing w:line="360" w:lineRule="atLeast"/>
        <w:rPr>
          <w:rFonts w:ascii="宋体" w:hAnsi="宋体"/>
          <w:color w:val="auto"/>
          <w:highlight w:val="none"/>
        </w:rPr>
      </w:pPr>
    </w:p>
    <w:p>
      <w:pPr>
        <w:wordWrap w:val="0"/>
        <w:topLinePunct/>
        <w:spacing w:line="360" w:lineRule="atLeast"/>
        <w:rPr>
          <w:rFonts w:ascii="宋体" w:hAnsi="宋体"/>
          <w:color w:val="auto"/>
          <w:highlight w:val="none"/>
        </w:rPr>
      </w:pPr>
      <w:r>
        <w:rPr>
          <w:rFonts w:hint="eastAsia" w:ascii="宋体" w:hAnsi="宋体"/>
          <w:color w:val="auto"/>
          <w:highlight w:val="none"/>
        </w:rPr>
        <w:t xml:space="preserve">    联合体成员：（盖章）</w:t>
      </w:r>
      <w:r>
        <w:rPr>
          <w:rFonts w:hint="eastAsia" w:ascii="宋体" w:hAnsi="宋体"/>
          <w:color w:val="auto"/>
          <w:highlight w:val="none"/>
          <w:u w:val="single"/>
        </w:rPr>
        <w:t xml:space="preserve">                                         </w:t>
      </w:r>
    </w:p>
    <w:p>
      <w:pPr>
        <w:wordWrap w:val="0"/>
        <w:topLinePunct/>
        <w:spacing w:line="360" w:lineRule="atLeast"/>
        <w:rPr>
          <w:rFonts w:ascii="宋体" w:hAnsi="宋体"/>
          <w:color w:val="auto"/>
          <w:highlight w:val="none"/>
        </w:rPr>
      </w:pPr>
      <w:r>
        <w:rPr>
          <w:rFonts w:hint="eastAsia" w:ascii="宋体" w:hAnsi="宋体"/>
          <w:color w:val="auto"/>
          <w:highlight w:val="none"/>
        </w:rPr>
        <w:t xml:space="preserve">    法定代表人：（签字或盖章）</w:t>
      </w:r>
      <w:r>
        <w:rPr>
          <w:rFonts w:hint="eastAsia" w:ascii="宋体" w:hAnsi="宋体"/>
          <w:color w:val="auto"/>
          <w:highlight w:val="none"/>
          <w:u w:val="single"/>
        </w:rPr>
        <w:t xml:space="preserve">                                   </w:t>
      </w:r>
    </w:p>
    <w:p>
      <w:pPr>
        <w:wordWrap w:val="0"/>
        <w:topLinePunct/>
        <w:spacing w:line="360" w:lineRule="atLeast"/>
        <w:rPr>
          <w:rFonts w:ascii="宋体" w:hAnsi="宋体"/>
          <w:color w:val="auto"/>
          <w:highlight w:val="none"/>
        </w:rPr>
      </w:pPr>
      <w:r>
        <w:rPr>
          <w:rFonts w:hint="eastAsia" w:ascii="宋体" w:hAnsi="宋体"/>
          <w:color w:val="auto"/>
          <w:highlight w:val="none"/>
        </w:rPr>
        <w:t xml:space="preserve">    委托代理人：（签字或盖章）</w:t>
      </w:r>
      <w:r>
        <w:rPr>
          <w:rFonts w:hint="eastAsia" w:ascii="宋体" w:hAnsi="宋体"/>
          <w:color w:val="auto"/>
          <w:highlight w:val="none"/>
          <w:u w:val="single"/>
        </w:rPr>
        <w:t xml:space="preserve">                                   </w:t>
      </w:r>
    </w:p>
    <w:p>
      <w:pPr>
        <w:wordWrap w:val="0"/>
        <w:topLinePunct/>
        <w:spacing w:line="360" w:lineRule="atLeast"/>
        <w:rPr>
          <w:rFonts w:ascii="宋体" w:hAnsi="宋体"/>
          <w:color w:val="auto"/>
          <w:highlight w:val="none"/>
        </w:rPr>
      </w:pPr>
      <w:r>
        <w:rPr>
          <w:rFonts w:hint="eastAsia" w:ascii="宋体" w:hAnsi="宋体"/>
          <w:color w:val="auto"/>
          <w:highlight w:val="none"/>
        </w:rPr>
        <w:t xml:space="preserve">    地址：</w:t>
      </w:r>
      <w:r>
        <w:rPr>
          <w:rFonts w:hint="eastAsia" w:ascii="宋体" w:hAnsi="宋体"/>
          <w:color w:val="auto"/>
          <w:highlight w:val="none"/>
          <w:u w:val="single"/>
        </w:rPr>
        <w:t xml:space="preserve">                                                      </w:t>
      </w:r>
    </w:p>
    <w:p>
      <w:pPr>
        <w:wordWrap w:val="0"/>
        <w:topLinePunct/>
        <w:spacing w:line="360" w:lineRule="atLeast"/>
        <w:rPr>
          <w:rFonts w:ascii="宋体" w:hAnsi="宋体"/>
          <w:color w:val="auto"/>
          <w:highlight w:val="none"/>
        </w:rPr>
      </w:pPr>
      <w:r>
        <w:rPr>
          <w:rFonts w:hint="eastAsia" w:ascii="宋体" w:hAnsi="宋体"/>
          <w:color w:val="auto"/>
          <w:highlight w:val="none"/>
        </w:rPr>
        <w:t xml:space="preserve">    邮政编码：</w:t>
      </w:r>
      <w:r>
        <w:rPr>
          <w:rFonts w:hint="eastAsia" w:ascii="宋体" w:hAnsi="宋体"/>
          <w:color w:val="auto"/>
          <w:highlight w:val="none"/>
          <w:u w:val="single"/>
        </w:rPr>
        <w:t xml:space="preserve">          </w:t>
      </w:r>
      <w:r>
        <w:rPr>
          <w:rFonts w:hint="eastAsia" w:ascii="宋体" w:hAnsi="宋体"/>
          <w:color w:val="auto"/>
          <w:highlight w:val="none"/>
        </w:rPr>
        <w:t>电话/传真：</w:t>
      </w:r>
      <w:r>
        <w:rPr>
          <w:rFonts w:hint="eastAsia" w:ascii="宋体" w:hAnsi="宋体"/>
          <w:color w:val="auto"/>
          <w:highlight w:val="none"/>
          <w:u w:val="single"/>
        </w:rPr>
        <w:t xml:space="preserve">                             </w:t>
      </w:r>
    </w:p>
    <w:p>
      <w:pPr>
        <w:wordWrap w:val="0"/>
        <w:topLinePunct/>
        <w:spacing w:line="360" w:lineRule="atLeast"/>
        <w:rPr>
          <w:rFonts w:ascii="宋体" w:hAnsi="宋体"/>
          <w:color w:val="auto"/>
          <w:highlight w:val="none"/>
        </w:rPr>
      </w:pPr>
      <w:r>
        <w:rPr>
          <w:rFonts w:hint="eastAsia" w:ascii="宋体" w:hAnsi="宋体"/>
          <w:color w:val="auto"/>
          <w:highlight w:val="none"/>
        </w:rPr>
        <w:t xml:space="preserve">    分工内容：</w:t>
      </w:r>
      <w:r>
        <w:rPr>
          <w:rFonts w:hint="eastAsia" w:ascii="宋体" w:hAnsi="宋体"/>
          <w:color w:val="auto"/>
          <w:highlight w:val="none"/>
          <w:u w:val="single"/>
        </w:rPr>
        <w:t xml:space="preserve">                                                  </w:t>
      </w:r>
    </w:p>
    <w:p>
      <w:pPr>
        <w:wordWrap w:val="0"/>
        <w:topLinePunct/>
        <w:spacing w:line="360" w:lineRule="atLeast"/>
        <w:rPr>
          <w:rFonts w:ascii="宋体" w:hAnsi="宋体"/>
          <w:color w:val="auto"/>
          <w:highlight w:val="none"/>
        </w:rPr>
      </w:pPr>
    </w:p>
    <w:p>
      <w:pPr>
        <w:wordWrap w:val="0"/>
        <w:topLinePunct/>
        <w:spacing w:line="360" w:lineRule="atLeast"/>
        <w:rPr>
          <w:rFonts w:ascii="宋体" w:hAnsi="宋体"/>
          <w:color w:val="auto"/>
          <w:highlight w:val="none"/>
        </w:rPr>
      </w:pPr>
      <w:r>
        <w:rPr>
          <w:rFonts w:hint="eastAsia" w:ascii="宋体" w:hAnsi="宋体"/>
          <w:color w:val="auto"/>
          <w:highlight w:val="none"/>
        </w:rPr>
        <w:t xml:space="preserve">                                 签订日期：       年    月    日</w:t>
      </w:r>
    </w:p>
    <w:p>
      <w:pPr>
        <w:pStyle w:val="4"/>
        <w:rPr>
          <w:color w:val="auto"/>
          <w:sz w:val="32"/>
          <w:highlight w:val="none"/>
        </w:rPr>
      </w:pPr>
      <w:r>
        <w:rPr>
          <w:strike/>
          <w:color w:val="auto"/>
          <w:highlight w:val="none"/>
        </w:rPr>
        <w:br w:type="page"/>
      </w:r>
      <w:bookmarkStart w:id="95" w:name="_Toc25346"/>
      <w:bookmarkStart w:id="96" w:name="_Toc20550"/>
      <w:bookmarkStart w:id="97" w:name="_Toc99464006"/>
      <w:r>
        <w:rPr>
          <w:rFonts w:hint="eastAsia"/>
          <w:color w:val="auto"/>
          <w:highlight w:val="none"/>
        </w:rPr>
        <w:t>附录8：投标人声明</w:t>
      </w:r>
      <w:bookmarkEnd w:id="95"/>
      <w:bookmarkEnd w:id="96"/>
      <w:bookmarkEnd w:id="97"/>
    </w:p>
    <w:p>
      <w:pPr>
        <w:spacing w:line="360" w:lineRule="auto"/>
        <w:jc w:val="left"/>
        <w:rPr>
          <w:rFonts w:ascii="宋体" w:hAnsi="宋体"/>
          <w:color w:val="auto"/>
          <w:highlight w:val="none"/>
        </w:rPr>
      </w:pPr>
    </w:p>
    <w:p>
      <w:pPr>
        <w:jc w:val="center"/>
        <w:rPr>
          <w:rFonts w:ascii="宋体" w:hAnsi="宋体"/>
          <w:b/>
          <w:color w:val="auto"/>
          <w:sz w:val="32"/>
          <w:highlight w:val="none"/>
        </w:rPr>
      </w:pPr>
      <w:r>
        <w:rPr>
          <w:rFonts w:hint="eastAsia" w:ascii="宋体" w:hAnsi="宋体"/>
          <w:b/>
          <w:color w:val="auto"/>
          <w:sz w:val="32"/>
          <w:highlight w:val="none"/>
        </w:rPr>
        <w:t>投标人声明</w:t>
      </w:r>
    </w:p>
    <w:p>
      <w:pPr>
        <w:spacing w:line="360" w:lineRule="auto"/>
        <w:ind w:firstLine="629"/>
        <w:rPr>
          <w:rFonts w:ascii="宋体" w:hAnsi="宋体"/>
          <w:color w:val="auto"/>
          <w:kern w:val="0"/>
          <w:sz w:val="24"/>
          <w:highlight w:val="none"/>
        </w:rPr>
      </w:pPr>
    </w:p>
    <w:p>
      <w:pPr>
        <w:spacing w:line="360" w:lineRule="auto"/>
        <w:rPr>
          <w:rFonts w:ascii="宋体" w:hAnsi="宋体"/>
          <w:color w:val="auto"/>
          <w:kern w:val="0"/>
          <w:szCs w:val="21"/>
          <w:highlight w:val="none"/>
        </w:rPr>
      </w:pPr>
      <w:r>
        <w:rPr>
          <w:rFonts w:hint="eastAsia" w:ascii="宋体" w:hAnsi="宋体"/>
          <w:color w:val="auto"/>
          <w:kern w:val="0"/>
          <w:szCs w:val="21"/>
          <w:highlight w:val="none"/>
        </w:rPr>
        <w:t>广州市黄埔区住房和城乡建设局 广州开发区建设和交通局、中新广州知识城财政投资建设项目管理中心及广州开发区建设工程招投标管理办公室（广州市黄埔区建设工程招投标管理办公室）：</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本公司就参加</w:t>
      </w:r>
      <w:r>
        <w:rPr>
          <w:rFonts w:hint="eastAsia" w:ascii="宋体" w:hAnsi="宋体"/>
          <w:color w:val="auto"/>
          <w:kern w:val="0"/>
          <w:szCs w:val="21"/>
          <w:highlight w:val="none"/>
          <w:u w:val="single"/>
        </w:rPr>
        <w:t xml:space="preserve">        工程勘察设计</w:t>
      </w:r>
      <w:r>
        <w:rPr>
          <w:rFonts w:hint="eastAsia" w:ascii="宋体" w:hAnsi="宋体"/>
          <w:color w:val="auto"/>
          <w:kern w:val="0"/>
          <w:szCs w:val="21"/>
          <w:highlight w:val="none"/>
        </w:rPr>
        <w:t>投标工作，作出郑重声明：我方与招标人过去3年内无合同履约纠纷，不存在第三章第3.11项规定的任何一种情形。</w:t>
      </w:r>
    </w:p>
    <w:p>
      <w:pPr>
        <w:spacing w:line="360" w:lineRule="auto"/>
        <w:rPr>
          <w:rFonts w:ascii="宋体" w:hAnsi="宋体"/>
          <w:color w:val="auto"/>
          <w:szCs w:val="21"/>
          <w:highlight w:val="none"/>
        </w:rPr>
      </w:pPr>
    </w:p>
    <w:p>
      <w:pPr>
        <w:spacing w:line="360" w:lineRule="auto"/>
        <w:ind w:firstLine="629"/>
        <w:rPr>
          <w:rFonts w:ascii="宋体" w:hAnsi="宋体"/>
          <w:color w:val="auto"/>
          <w:kern w:val="0"/>
          <w:szCs w:val="21"/>
          <w:highlight w:val="none"/>
        </w:rPr>
      </w:pPr>
      <w:r>
        <w:rPr>
          <w:rFonts w:hint="eastAsia" w:ascii="宋体" w:hAnsi="宋体"/>
          <w:color w:val="auto"/>
          <w:kern w:val="0"/>
          <w:szCs w:val="21"/>
          <w:highlight w:val="none"/>
        </w:rPr>
        <w:t>特此声明。</w:t>
      </w:r>
    </w:p>
    <w:p>
      <w:pPr>
        <w:spacing w:line="360" w:lineRule="auto"/>
        <w:ind w:firstLine="629"/>
        <w:rPr>
          <w:rFonts w:ascii="宋体" w:hAnsi="宋体"/>
          <w:color w:val="auto"/>
          <w:kern w:val="0"/>
          <w:szCs w:val="21"/>
          <w:highlight w:val="none"/>
        </w:rPr>
      </w:pPr>
    </w:p>
    <w:p>
      <w:pPr>
        <w:spacing w:line="360" w:lineRule="auto"/>
        <w:ind w:right="1449" w:firstLine="3360" w:firstLineChars="1600"/>
        <w:rPr>
          <w:rFonts w:ascii="宋体" w:hAnsi="宋体"/>
          <w:color w:val="auto"/>
          <w:kern w:val="0"/>
          <w:szCs w:val="21"/>
          <w:highlight w:val="none"/>
        </w:rPr>
      </w:pPr>
      <w:r>
        <w:rPr>
          <w:rFonts w:hint="eastAsia" w:ascii="宋体" w:hAnsi="宋体"/>
          <w:color w:val="auto"/>
          <w:kern w:val="0"/>
          <w:szCs w:val="21"/>
          <w:highlight w:val="none"/>
        </w:rPr>
        <w:t>投标人：(盖章)</w:t>
      </w:r>
    </w:p>
    <w:p>
      <w:pPr>
        <w:spacing w:line="360" w:lineRule="auto"/>
        <w:ind w:right="1449"/>
        <w:jc w:val="center"/>
        <w:rPr>
          <w:rFonts w:ascii="宋体" w:hAnsi="宋体"/>
          <w:color w:val="auto"/>
          <w:kern w:val="0"/>
          <w:szCs w:val="21"/>
          <w:highlight w:val="none"/>
        </w:rPr>
      </w:pPr>
      <w:r>
        <w:rPr>
          <w:rFonts w:hint="eastAsia" w:ascii="宋体" w:hAnsi="宋体"/>
          <w:color w:val="auto"/>
          <w:kern w:val="0"/>
          <w:szCs w:val="21"/>
          <w:highlight w:val="none"/>
        </w:rPr>
        <w:t xml:space="preserve">                        法定代表人：（签字或盖章）                  </w:t>
      </w:r>
    </w:p>
    <w:p>
      <w:pPr>
        <w:spacing w:line="360" w:lineRule="auto"/>
        <w:ind w:right="2079" w:firstLine="1890" w:firstLineChars="900"/>
        <w:jc w:val="right"/>
        <w:rPr>
          <w:rFonts w:ascii="宋体" w:hAnsi="宋体"/>
          <w:color w:val="auto"/>
          <w:kern w:val="0"/>
          <w:szCs w:val="21"/>
          <w:highlight w:val="none"/>
        </w:rPr>
      </w:pPr>
      <w:r>
        <w:rPr>
          <w:rFonts w:hint="eastAsia" w:ascii="宋体" w:hAnsi="宋体"/>
          <w:color w:val="auto"/>
          <w:kern w:val="0"/>
          <w:szCs w:val="21"/>
          <w:highlight w:val="none"/>
        </w:rPr>
        <w:t>年   月   日</w:t>
      </w:r>
    </w:p>
    <w:p>
      <w:pPr>
        <w:spacing w:line="400" w:lineRule="exact"/>
        <w:ind w:right="2079" w:firstLine="1890" w:firstLineChars="900"/>
        <w:jc w:val="right"/>
        <w:rPr>
          <w:rFonts w:ascii="宋体" w:hAnsi="宋体"/>
          <w:color w:val="auto"/>
          <w:kern w:val="0"/>
          <w:szCs w:val="21"/>
          <w:highlight w:val="none"/>
        </w:rPr>
      </w:pPr>
    </w:p>
    <w:p>
      <w:pPr>
        <w:spacing w:line="360" w:lineRule="auto"/>
        <w:rPr>
          <w:rFonts w:ascii="宋体" w:hAnsi="宋体"/>
          <w:b/>
          <w:color w:val="auto"/>
          <w:szCs w:val="21"/>
          <w:highlight w:val="none"/>
        </w:rPr>
      </w:pPr>
    </w:p>
    <w:p>
      <w:pPr>
        <w:jc w:val="left"/>
        <w:rPr>
          <w:rFonts w:ascii="宋体" w:hAnsi="宋体"/>
          <w:color w:val="auto"/>
          <w:highlight w:val="none"/>
        </w:rPr>
      </w:pPr>
    </w:p>
    <w:p>
      <w:pPr>
        <w:jc w:val="left"/>
        <w:rPr>
          <w:rFonts w:ascii="宋体" w:hAnsi="宋体"/>
          <w:color w:val="auto"/>
          <w:highlight w:val="none"/>
        </w:rPr>
      </w:pPr>
    </w:p>
    <w:p>
      <w:pPr>
        <w:rPr>
          <w:rFonts w:ascii="宋体" w:hAnsi="宋体"/>
          <w:color w:val="auto"/>
          <w:highlight w:val="none"/>
        </w:rPr>
      </w:pPr>
    </w:p>
    <w:p>
      <w:pPr>
        <w:pStyle w:val="4"/>
        <w:rPr>
          <w:color w:val="auto"/>
          <w:highlight w:val="none"/>
        </w:rPr>
      </w:pPr>
      <w:r>
        <w:rPr>
          <w:color w:val="auto"/>
          <w:sz w:val="32"/>
          <w:highlight w:val="none"/>
        </w:rPr>
        <w:br w:type="page"/>
      </w:r>
      <w:bookmarkStart w:id="98" w:name="_Toc99464007"/>
      <w:bookmarkStart w:id="99" w:name="_Toc30860"/>
      <w:bookmarkStart w:id="100" w:name="_Toc25934"/>
      <w:r>
        <w:rPr>
          <w:rFonts w:hint="eastAsia"/>
          <w:color w:val="auto"/>
          <w:highlight w:val="none"/>
        </w:rPr>
        <w:t>附录9：资格审查表</w:t>
      </w:r>
      <w:bookmarkEnd w:id="98"/>
      <w:bookmarkEnd w:id="99"/>
      <w:bookmarkEnd w:id="100"/>
    </w:p>
    <w:p>
      <w:pPr>
        <w:adjustRightInd w:val="0"/>
        <w:snapToGrid w:val="0"/>
        <w:jc w:val="center"/>
        <w:rPr>
          <w:rFonts w:ascii="宋体" w:hAnsi="宋体"/>
          <w:b/>
          <w:color w:val="auto"/>
          <w:sz w:val="32"/>
          <w:highlight w:val="none"/>
        </w:rPr>
      </w:pPr>
      <w:r>
        <w:rPr>
          <w:rFonts w:hint="eastAsia" w:ascii="宋体" w:hAnsi="宋体"/>
          <w:b/>
          <w:color w:val="auto"/>
          <w:sz w:val="32"/>
          <w:highlight w:val="none"/>
        </w:rPr>
        <w:t>资格审查表</w:t>
      </w:r>
    </w:p>
    <w:p>
      <w:pPr>
        <w:adjustRightInd w:val="0"/>
        <w:snapToGrid w:val="0"/>
        <w:rPr>
          <w:rFonts w:ascii="宋体" w:hAnsi="宋体"/>
          <w:b/>
          <w:color w:val="auto"/>
          <w:sz w:val="32"/>
          <w:highlight w:val="none"/>
        </w:rPr>
      </w:pPr>
      <w:r>
        <w:rPr>
          <w:rFonts w:hint="eastAsia" w:ascii="宋体" w:hAnsi="宋体"/>
          <w:color w:val="auto"/>
          <w:highlight w:val="none"/>
        </w:rPr>
        <w:t>项目名称：</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614"/>
        <w:gridCol w:w="1200"/>
        <w:gridCol w:w="105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4614" w:type="dxa"/>
            <w:tcBorders>
              <w:top w:val="single" w:color="auto" w:sz="4" w:space="0"/>
              <w:left w:val="single" w:color="auto" w:sz="4" w:space="0"/>
              <w:bottom w:val="single" w:color="auto" w:sz="4" w:space="0"/>
              <w:right w:val="single" w:color="auto" w:sz="4" w:space="0"/>
              <w:tl2br w:val="single" w:color="auto" w:sz="4" w:space="0"/>
            </w:tcBorders>
          </w:tcPr>
          <w:p>
            <w:pPr>
              <w:jc w:val="center"/>
              <w:rPr>
                <w:rFonts w:ascii="宋体" w:hAnsi="宋体"/>
                <w:color w:val="auto"/>
                <w:szCs w:val="21"/>
                <w:highlight w:val="none"/>
              </w:rPr>
            </w:pPr>
            <w:r>
              <w:rPr>
                <w:rFonts w:hint="eastAsia" w:ascii="宋体" w:hAnsi="宋体"/>
                <w:color w:val="auto"/>
                <w:szCs w:val="21"/>
                <w:highlight w:val="none"/>
              </w:rPr>
              <w:t xml:space="preserve">                      投标人名称</w:t>
            </w:r>
          </w:p>
          <w:p>
            <w:pPr>
              <w:rPr>
                <w:rFonts w:ascii="宋体" w:hAnsi="宋体"/>
                <w:b/>
                <w:color w:val="auto"/>
                <w:szCs w:val="21"/>
                <w:highlight w:val="none"/>
              </w:rPr>
            </w:pPr>
            <w:r>
              <w:rPr>
                <w:rFonts w:hint="eastAsia" w:ascii="宋体" w:hAnsi="宋体"/>
                <w:color w:val="auto"/>
                <w:szCs w:val="21"/>
                <w:highlight w:val="none"/>
              </w:rPr>
              <w:t>审查项目</w:t>
            </w:r>
          </w:p>
        </w:tc>
        <w:tc>
          <w:tcPr>
            <w:tcW w:w="120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c>
          <w:tcPr>
            <w:tcW w:w="1059"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461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申请人与招标人过去3年内无合同履约纠纷（根据《投标人声明》进行评审）。</w:t>
            </w:r>
          </w:p>
        </w:tc>
        <w:tc>
          <w:tcPr>
            <w:tcW w:w="120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c>
          <w:tcPr>
            <w:tcW w:w="1059"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461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申请人的资质满足招标公告规定。</w:t>
            </w:r>
          </w:p>
        </w:tc>
        <w:tc>
          <w:tcPr>
            <w:tcW w:w="120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c>
          <w:tcPr>
            <w:tcW w:w="1059"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461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外国或香港、澳门、台湾的设计企业申请投标的，已按规定选择一家符合上述条件的企业进行合作设计</w:t>
            </w:r>
            <w:r>
              <w:rPr>
                <w:rFonts w:hint="eastAsia" w:ascii="宋体" w:hAnsi="宋体"/>
                <w:color w:val="auto"/>
                <w:szCs w:val="21"/>
                <w:highlight w:val="none"/>
                <w:u w:val="single"/>
              </w:rPr>
              <w:t>（根据提供的《合作设计协议》进行评审）。没有上述设计企业申请投标人或符合本公告要求独立参加投标条件的香港企业，本项均视作符合要求。</w:t>
            </w:r>
          </w:p>
        </w:tc>
        <w:tc>
          <w:tcPr>
            <w:tcW w:w="120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c>
          <w:tcPr>
            <w:tcW w:w="1059"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461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申请人已在广州公共资源交易中心企业库办理企业信息登记，拟委派的项目负责人须是本企业信息登记中的在册人员；</w:t>
            </w:r>
          </w:p>
        </w:tc>
        <w:tc>
          <w:tcPr>
            <w:tcW w:w="120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c>
          <w:tcPr>
            <w:tcW w:w="1059"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461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申请人拟派项目负责人资格满足招标公告规定。</w:t>
            </w:r>
          </w:p>
        </w:tc>
        <w:tc>
          <w:tcPr>
            <w:tcW w:w="120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c>
          <w:tcPr>
            <w:tcW w:w="1059"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461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申请人没有第三章第3.11项规定的任何一种情形</w:t>
            </w:r>
            <w:r>
              <w:rPr>
                <w:rFonts w:hint="eastAsia" w:ascii="宋体" w:hAnsi="宋体"/>
                <w:color w:val="auto"/>
                <w:highlight w:val="none"/>
              </w:rPr>
              <w:t>（根据《投标人声明》进行评审）。</w:t>
            </w:r>
          </w:p>
        </w:tc>
        <w:tc>
          <w:tcPr>
            <w:tcW w:w="120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c>
          <w:tcPr>
            <w:tcW w:w="1059"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461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以联合体形式投标的，已按要求向招标人提交《联合体共同投标协议》，联合体组成符合招标公告要求。</w:t>
            </w:r>
          </w:p>
        </w:tc>
        <w:tc>
          <w:tcPr>
            <w:tcW w:w="120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c>
          <w:tcPr>
            <w:tcW w:w="1059"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461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 xml:space="preserve">本工程不接受被列入我区不良记录（处罚有效期内）的单位或个人（指项目负责人）投标，不良记录具体名单以资格审查时广州市黄埔区人民政府、广州开发区管委会网站的区住房和城乡建设局（广州开发区建设和交通局）网页“建筑活动不良行为记录”栏目（网址： </w:t>
            </w:r>
            <w:r>
              <w:rPr>
                <w:color w:val="auto"/>
                <w:highlight w:val="none"/>
              </w:rPr>
              <w:fldChar w:fldCharType="begin"/>
            </w:r>
            <w:r>
              <w:rPr>
                <w:color w:val="auto"/>
                <w:highlight w:val="none"/>
              </w:rPr>
              <w:instrText xml:space="preserve"> HYPERLINK "http://www.hp.gov.cn/gzjg/qzfgwhgzbm/qzfhcxjsj10/jzhdblxwjl" </w:instrText>
            </w:r>
            <w:r>
              <w:rPr>
                <w:color w:val="auto"/>
                <w:highlight w:val="none"/>
              </w:rPr>
              <w:fldChar w:fldCharType="separate"/>
            </w:r>
            <w:r>
              <w:rPr>
                <w:rStyle w:val="45"/>
                <w:rFonts w:hint="eastAsia" w:ascii="宋体" w:hAnsi="宋体"/>
                <w:color w:val="auto"/>
                <w:szCs w:val="21"/>
                <w:highlight w:val="none"/>
              </w:rPr>
              <w:t>http://www.hp.gov.cn/gzjg/qzfgwhgzbm/qzfhcxjsj10/jzhdblxwjl</w:t>
            </w:r>
            <w:r>
              <w:rPr>
                <w:rStyle w:val="45"/>
                <w:rFonts w:hint="eastAsia" w:ascii="宋体" w:hAnsi="宋体"/>
                <w:color w:val="auto"/>
                <w:szCs w:val="21"/>
                <w:highlight w:val="none"/>
              </w:rPr>
              <w:fldChar w:fldCharType="end"/>
            </w:r>
            <w:r>
              <w:rPr>
                <w:rFonts w:hint="eastAsia" w:ascii="宋体" w:hAnsi="宋体"/>
                <w:color w:val="auto"/>
                <w:szCs w:val="21"/>
                <w:highlight w:val="none"/>
              </w:rPr>
              <w:t xml:space="preserve"> ）公布名单为准。若资格审查时网址有变化，以最新网址为准。</w:t>
            </w:r>
          </w:p>
        </w:tc>
        <w:tc>
          <w:tcPr>
            <w:tcW w:w="120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c>
          <w:tcPr>
            <w:tcW w:w="1059"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结论</w:t>
            </w:r>
          </w:p>
        </w:tc>
        <w:tc>
          <w:tcPr>
            <w:tcW w:w="461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是否通过并进入下一阶段评审</w:t>
            </w:r>
          </w:p>
        </w:tc>
        <w:tc>
          <w:tcPr>
            <w:tcW w:w="120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c>
          <w:tcPr>
            <w:tcW w:w="1059"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c>
          <w:tcPr>
            <w:tcW w:w="108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auto"/>
                <w:sz w:val="32"/>
                <w:highlight w:val="none"/>
              </w:rPr>
            </w:pPr>
          </w:p>
        </w:tc>
      </w:tr>
    </w:tbl>
    <w:p>
      <w:pPr>
        <w:tabs>
          <w:tab w:val="left" w:pos="720"/>
        </w:tabs>
        <w:snapToGrid w:val="0"/>
        <w:spacing w:beforeLines="50" w:line="240" w:lineRule="exact"/>
        <w:rPr>
          <w:rFonts w:ascii="宋体" w:hAnsi="宋体"/>
          <w:color w:val="auto"/>
          <w:szCs w:val="21"/>
          <w:highlight w:val="none"/>
        </w:rPr>
      </w:pPr>
      <w:r>
        <w:rPr>
          <w:rFonts w:hint="eastAsia" w:ascii="宋体" w:hAnsi="宋体"/>
          <w:color w:val="auto"/>
          <w:szCs w:val="21"/>
          <w:highlight w:val="none"/>
        </w:rPr>
        <w:t>备注：1、根据本表的审查项目，填“通过”或“不通过”。</w:t>
      </w:r>
    </w:p>
    <w:p>
      <w:pPr>
        <w:tabs>
          <w:tab w:val="left" w:pos="720"/>
        </w:tabs>
        <w:snapToGrid w:val="0"/>
        <w:spacing w:beforeLines="50" w:line="240" w:lineRule="exact"/>
        <w:ind w:left="848" w:leftChars="300" w:right="-506" w:rightChars="-241" w:hanging="218" w:hangingChars="104"/>
        <w:rPr>
          <w:rFonts w:ascii="宋体" w:hAnsi="宋体"/>
          <w:color w:val="auto"/>
          <w:szCs w:val="21"/>
          <w:highlight w:val="none"/>
        </w:rPr>
      </w:pPr>
      <w:r>
        <w:rPr>
          <w:rFonts w:hint="eastAsia" w:ascii="宋体" w:hAnsi="宋体"/>
          <w:color w:val="auto"/>
          <w:szCs w:val="21"/>
          <w:highlight w:val="none"/>
        </w:rPr>
        <w:t>2、表中出现一个或以上“不通过”，即该投标人的评审“结论”为“不通过”，即该投标人不进入下一阶段评审</w:t>
      </w:r>
      <w:r>
        <w:rPr>
          <w:rFonts w:hint="eastAsia" w:ascii="宋体" w:hAnsi="宋体"/>
          <w:color w:val="auto"/>
          <w:sz w:val="24"/>
          <w:highlight w:val="none"/>
        </w:rPr>
        <w:t>。</w:t>
      </w:r>
    </w:p>
    <w:p>
      <w:pPr>
        <w:tabs>
          <w:tab w:val="left" w:pos="720"/>
        </w:tabs>
        <w:snapToGrid w:val="0"/>
        <w:spacing w:beforeLines="50" w:line="240" w:lineRule="exact"/>
        <w:ind w:firstLine="630" w:firstLineChars="300"/>
        <w:rPr>
          <w:rFonts w:ascii="宋体" w:hAnsi="宋体"/>
          <w:color w:val="auto"/>
          <w:szCs w:val="21"/>
          <w:highlight w:val="none"/>
        </w:rPr>
      </w:pPr>
      <w:r>
        <w:rPr>
          <w:rFonts w:hint="eastAsia" w:ascii="宋体" w:hAnsi="宋体"/>
          <w:color w:val="auto"/>
          <w:szCs w:val="21"/>
          <w:highlight w:val="none"/>
        </w:rPr>
        <w:t>3、表中全部评审结果为“通过”，视为同意进入下一阶段评审。</w:t>
      </w:r>
    </w:p>
    <w:p>
      <w:pPr>
        <w:spacing w:line="240" w:lineRule="exact"/>
        <w:ind w:left="945" w:leftChars="300" w:hanging="315" w:hangingChars="150"/>
        <w:rPr>
          <w:rFonts w:ascii="宋体" w:hAnsi="宋体"/>
          <w:color w:val="auto"/>
          <w:highlight w:val="none"/>
        </w:rPr>
      </w:pPr>
      <w:r>
        <w:rPr>
          <w:rFonts w:hint="eastAsia" w:ascii="宋体" w:hAnsi="宋体"/>
          <w:color w:val="auto"/>
          <w:szCs w:val="21"/>
          <w:highlight w:val="none"/>
        </w:rPr>
        <w:t>4、若评委意见不一致时，则按少数服从多数的原则，决定该投标人是否通过符合性审查，进入下一阶段评审。</w:t>
      </w:r>
    </w:p>
    <w:p>
      <w:pPr>
        <w:rPr>
          <w:rFonts w:ascii="宋体" w:hAnsi="宋体"/>
          <w:b/>
          <w:color w:val="auto"/>
          <w:sz w:val="32"/>
          <w:highlight w:val="none"/>
        </w:rPr>
        <w:sectPr>
          <w:footerReference r:id="rId8"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312" w:charSpace="0"/>
        </w:sectPr>
      </w:pPr>
    </w:p>
    <w:p>
      <w:pPr>
        <w:pStyle w:val="4"/>
        <w:rPr>
          <w:color w:val="auto"/>
          <w:highlight w:val="none"/>
        </w:rPr>
      </w:pPr>
      <w:bookmarkStart w:id="101" w:name="_Toc15101"/>
      <w:bookmarkStart w:id="102" w:name="_Toc7485"/>
      <w:bookmarkStart w:id="103" w:name="_Toc99464008"/>
      <w:r>
        <w:rPr>
          <w:rFonts w:hint="eastAsia"/>
          <w:color w:val="auto"/>
          <w:highlight w:val="none"/>
        </w:rPr>
        <w:t>附录10：商务文件有效性审查表</w:t>
      </w:r>
      <w:bookmarkEnd w:id="101"/>
      <w:bookmarkEnd w:id="102"/>
      <w:bookmarkEnd w:id="103"/>
    </w:p>
    <w:p>
      <w:pPr>
        <w:adjustRightInd w:val="0"/>
        <w:snapToGrid w:val="0"/>
        <w:ind w:firstLine="643"/>
        <w:jc w:val="center"/>
        <w:rPr>
          <w:rFonts w:ascii="宋体" w:hAnsi="宋体"/>
          <w:b/>
          <w:color w:val="auto"/>
          <w:sz w:val="32"/>
          <w:highlight w:val="none"/>
        </w:rPr>
      </w:pPr>
      <w:r>
        <w:rPr>
          <w:rFonts w:hint="eastAsia" w:ascii="宋体" w:hAnsi="宋体"/>
          <w:b/>
          <w:color w:val="auto"/>
          <w:sz w:val="32"/>
          <w:highlight w:val="none"/>
        </w:rPr>
        <w:t>商务文件有效性审查表</w:t>
      </w:r>
    </w:p>
    <w:tbl>
      <w:tblPr>
        <w:tblStyle w:val="38"/>
        <w:tblW w:w="0" w:type="auto"/>
        <w:tblInd w:w="0" w:type="dxa"/>
        <w:tblLayout w:type="fixed"/>
        <w:tblCellMar>
          <w:top w:w="0" w:type="dxa"/>
          <w:left w:w="108" w:type="dxa"/>
          <w:bottom w:w="0" w:type="dxa"/>
          <w:right w:w="108" w:type="dxa"/>
        </w:tblCellMar>
      </w:tblPr>
      <w:tblGrid>
        <w:gridCol w:w="636"/>
        <w:gridCol w:w="6702"/>
        <w:gridCol w:w="1275"/>
        <w:gridCol w:w="1276"/>
        <w:gridCol w:w="1251"/>
        <w:gridCol w:w="1517"/>
        <w:gridCol w:w="1517"/>
      </w:tblGrid>
      <w:tr>
        <w:tblPrEx>
          <w:tblCellMar>
            <w:top w:w="0" w:type="dxa"/>
            <w:left w:w="108" w:type="dxa"/>
            <w:bottom w:w="0" w:type="dxa"/>
            <w:right w:w="108" w:type="dxa"/>
          </w:tblCellMar>
        </w:tblPrEx>
        <w:trPr>
          <w:trHeight w:val="662" w:hRule="atLeast"/>
        </w:trPr>
        <w:tc>
          <w:tcPr>
            <w:tcW w:w="6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序号</w:t>
            </w:r>
          </w:p>
        </w:tc>
        <w:tc>
          <w:tcPr>
            <w:tcW w:w="6702"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color w:val="auto"/>
                <w:szCs w:val="21"/>
                <w:highlight w:val="none"/>
              </w:rPr>
            </w:pPr>
            <w:r>
              <w:rPr>
                <w:rFonts w:hint="eastAsia" w:ascii="宋体" w:hAnsi="宋体"/>
                <w:color w:val="auto"/>
                <w:szCs w:val="21"/>
                <w:highlight w:val="none"/>
              </w:rPr>
              <w:t xml:space="preserve">                                      投标人名称</w:t>
            </w:r>
          </w:p>
          <w:p>
            <w:pPr>
              <w:rPr>
                <w:rFonts w:ascii="宋体" w:hAnsi="宋体"/>
                <w:color w:val="auto"/>
                <w:szCs w:val="21"/>
                <w:highlight w:val="none"/>
              </w:rPr>
            </w:pPr>
            <w:r>
              <w:rPr>
                <w:rFonts w:hint="eastAsia" w:ascii="宋体" w:hAnsi="宋体"/>
                <w:color w:val="auto"/>
                <w:szCs w:val="21"/>
                <w:highlight w:val="none"/>
              </w:rPr>
              <w:t>审查项目</w:t>
            </w:r>
          </w:p>
        </w:tc>
        <w:tc>
          <w:tcPr>
            <w:tcW w:w="1275"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90" w:hRule="atLeast"/>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67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未发现投标人与招标人、评标委员会成员或者其他投标人串通投标。</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558" w:hRule="atLeast"/>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67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highlight w:val="none"/>
                <w:u w:val="single"/>
              </w:rPr>
              <w:t>未发现投标人之间存在《广东省实施&lt;中华人民共和国招标投标法&gt;》第十六条所禁止的情形的。</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558" w:hRule="atLeast"/>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67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《投标书》已盖投标人公章</w:t>
            </w:r>
            <w:r>
              <w:rPr>
                <w:rFonts w:hint="eastAsia" w:ascii="宋体" w:hAnsi="宋体"/>
                <w:color w:val="auto"/>
                <w:szCs w:val="21"/>
                <w:highlight w:val="none"/>
                <w:u w:val="single"/>
              </w:rPr>
              <w:t>（以联合体形式投标的，可仅由联合体牵头人盖公章，视作符合要求）。</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558" w:hRule="atLeast"/>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67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《投标书》已有法定代表人或者其授权代表</w:t>
            </w:r>
            <w:r>
              <w:rPr>
                <w:rFonts w:hint="eastAsia" w:ascii="宋体" w:hAnsi="宋体"/>
                <w:color w:val="auto"/>
                <w:szCs w:val="21"/>
                <w:highlight w:val="none"/>
                <w:u w:val="single"/>
              </w:rPr>
              <w:t>和项目负责人</w:t>
            </w:r>
            <w:r>
              <w:rPr>
                <w:rFonts w:hint="eastAsia" w:ascii="宋体" w:hAnsi="宋体"/>
                <w:color w:val="auto"/>
                <w:szCs w:val="21"/>
                <w:highlight w:val="none"/>
              </w:rPr>
              <w:t>签字或盖章</w:t>
            </w:r>
            <w:r>
              <w:rPr>
                <w:rFonts w:hint="eastAsia" w:ascii="宋体" w:hAnsi="宋体"/>
                <w:color w:val="auto"/>
                <w:szCs w:val="21"/>
                <w:highlight w:val="none"/>
                <w:u w:val="single"/>
              </w:rPr>
              <w:t>（以联合体形式投标的，只需项目负责人和联合体牵头人的法定代表人或者其授权代表签字或盖章）。</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558" w:hRule="atLeast"/>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u w:val="single"/>
              </w:rPr>
            </w:pPr>
            <w:r>
              <w:rPr>
                <w:rFonts w:hint="eastAsia" w:ascii="宋体" w:hAnsi="宋体"/>
                <w:color w:val="auto"/>
                <w:szCs w:val="21"/>
                <w:highlight w:val="none"/>
                <w:u w:val="single"/>
              </w:rPr>
              <w:t>5</w:t>
            </w:r>
          </w:p>
        </w:tc>
        <w:tc>
          <w:tcPr>
            <w:tcW w:w="67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《投标书》没有招标人不能接受的偏差（或出现偏差时已同意书面撤回偏差）。</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333" w:hRule="atLeast"/>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u w:val="single"/>
              </w:rPr>
            </w:pPr>
            <w:r>
              <w:rPr>
                <w:rFonts w:hint="eastAsia" w:ascii="宋体" w:hAnsi="宋体"/>
                <w:color w:val="auto"/>
                <w:szCs w:val="21"/>
                <w:highlight w:val="none"/>
                <w:u w:val="single"/>
              </w:rPr>
              <w:t>6</w:t>
            </w:r>
          </w:p>
        </w:tc>
        <w:tc>
          <w:tcPr>
            <w:tcW w:w="67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《投标书》按招标文件规定的格式填写，没有出现内容不全或者关键字迹模糊无法辨认。</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424" w:hRule="atLeast"/>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u w:val="single"/>
              </w:rPr>
            </w:pPr>
            <w:r>
              <w:rPr>
                <w:rFonts w:hint="eastAsia" w:ascii="宋体" w:hAnsi="宋体"/>
                <w:color w:val="auto"/>
                <w:szCs w:val="21"/>
                <w:highlight w:val="none"/>
                <w:u w:val="single"/>
              </w:rPr>
              <w:t>7</w:t>
            </w:r>
          </w:p>
        </w:tc>
        <w:tc>
          <w:tcPr>
            <w:tcW w:w="67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不存在与其他投标人加密打包投标文件的电脑机器特征码一致的情况。</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558" w:hRule="atLeast"/>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u w:val="single"/>
              </w:rPr>
            </w:pPr>
            <w:r>
              <w:rPr>
                <w:rFonts w:hint="eastAsia" w:ascii="宋体" w:hAnsi="宋体"/>
                <w:color w:val="auto"/>
                <w:szCs w:val="21"/>
                <w:highlight w:val="none"/>
                <w:u w:val="single"/>
              </w:rPr>
              <w:t>8</w:t>
            </w:r>
          </w:p>
        </w:tc>
        <w:tc>
          <w:tcPr>
            <w:tcW w:w="67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商务文件按照招标文件要求进行投标报价，已按招标文件附录3、附录3-1、附录3-2、附录3-3填报报价。</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432" w:hRule="exact"/>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u w:val="single"/>
              </w:rPr>
            </w:pPr>
            <w:r>
              <w:rPr>
                <w:rFonts w:hint="eastAsia" w:ascii="宋体" w:hAnsi="宋体"/>
                <w:color w:val="auto"/>
                <w:szCs w:val="21"/>
                <w:highlight w:val="none"/>
                <w:u w:val="single"/>
              </w:rPr>
              <w:t>9</w:t>
            </w:r>
          </w:p>
        </w:tc>
        <w:tc>
          <w:tcPr>
            <w:tcW w:w="67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按照要求（必要时）对投标文件进行澄清、说明或者补正。</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385" w:hRule="exact"/>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67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未发现证明材料弄虚作假。</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510" w:hRule="exact"/>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结论</w:t>
            </w:r>
          </w:p>
        </w:tc>
        <w:tc>
          <w:tcPr>
            <w:tcW w:w="67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是否通过并进入下一阶段评审</w:t>
            </w: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251"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51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bl>
    <w:p>
      <w:pPr>
        <w:tabs>
          <w:tab w:val="left" w:pos="720"/>
        </w:tabs>
        <w:adjustRightInd w:val="0"/>
        <w:snapToGrid w:val="0"/>
        <w:spacing w:beforeLines="50" w:line="200" w:lineRule="exact"/>
        <w:rPr>
          <w:rFonts w:ascii="宋体" w:hAnsi="宋体"/>
          <w:color w:val="auto"/>
          <w:szCs w:val="21"/>
          <w:highlight w:val="none"/>
        </w:rPr>
      </w:pPr>
      <w:r>
        <w:rPr>
          <w:rFonts w:hint="eastAsia" w:ascii="宋体" w:hAnsi="宋体"/>
          <w:color w:val="auto"/>
          <w:szCs w:val="21"/>
          <w:highlight w:val="none"/>
        </w:rPr>
        <w:t>备注：1、根据本表的审查项目，填“通过”或“不通过”。</w:t>
      </w:r>
    </w:p>
    <w:p>
      <w:pPr>
        <w:tabs>
          <w:tab w:val="left" w:pos="720"/>
        </w:tabs>
        <w:adjustRightInd w:val="0"/>
        <w:snapToGrid w:val="0"/>
        <w:spacing w:beforeLines="50" w:line="200" w:lineRule="exact"/>
        <w:ind w:left="840" w:leftChars="300" w:hanging="210" w:hangingChars="100"/>
        <w:rPr>
          <w:rFonts w:ascii="宋体" w:hAnsi="宋体"/>
          <w:color w:val="auto"/>
          <w:szCs w:val="21"/>
          <w:highlight w:val="none"/>
        </w:rPr>
      </w:pPr>
      <w:r>
        <w:rPr>
          <w:rFonts w:hint="eastAsia" w:ascii="宋体" w:hAnsi="宋体"/>
          <w:color w:val="auto"/>
          <w:szCs w:val="21"/>
          <w:highlight w:val="none"/>
        </w:rPr>
        <w:t>2、表中出现一个或以上“不通过”，即该投标人的评审“结论”为“不通过”，即该投标人不进入下一阶段评审</w:t>
      </w:r>
      <w:r>
        <w:rPr>
          <w:rFonts w:hint="eastAsia" w:ascii="宋体" w:hAnsi="宋体"/>
          <w:color w:val="auto"/>
          <w:sz w:val="24"/>
          <w:highlight w:val="none"/>
        </w:rPr>
        <w:t>。</w:t>
      </w:r>
    </w:p>
    <w:p>
      <w:pPr>
        <w:tabs>
          <w:tab w:val="left" w:pos="720"/>
        </w:tabs>
        <w:adjustRightInd w:val="0"/>
        <w:snapToGrid w:val="0"/>
        <w:spacing w:beforeLines="50" w:line="200" w:lineRule="exact"/>
        <w:ind w:firstLine="630" w:firstLineChars="300"/>
        <w:rPr>
          <w:rFonts w:ascii="宋体" w:hAnsi="宋体"/>
          <w:color w:val="auto"/>
          <w:szCs w:val="21"/>
          <w:highlight w:val="none"/>
        </w:rPr>
      </w:pPr>
      <w:r>
        <w:rPr>
          <w:rFonts w:hint="eastAsia" w:ascii="宋体" w:hAnsi="宋体"/>
          <w:color w:val="auto"/>
          <w:szCs w:val="21"/>
          <w:highlight w:val="none"/>
        </w:rPr>
        <w:t>3、表中全部评审结果为“通过”，视为同意进入下一阶段评审。</w:t>
      </w:r>
    </w:p>
    <w:p>
      <w:pPr>
        <w:tabs>
          <w:tab w:val="left" w:pos="720"/>
        </w:tabs>
        <w:adjustRightInd w:val="0"/>
        <w:snapToGrid w:val="0"/>
        <w:spacing w:beforeLines="50" w:line="200" w:lineRule="exact"/>
        <w:ind w:left="945" w:leftChars="300" w:hanging="315" w:hangingChars="150"/>
        <w:rPr>
          <w:rFonts w:ascii="宋体" w:hAnsi="宋体"/>
          <w:color w:val="auto"/>
          <w:szCs w:val="21"/>
          <w:highlight w:val="none"/>
        </w:rPr>
      </w:pPr>
      <w:r>
        <w:rPr>
          <w:rFonts w:hint="eastAsia" w:ascii="宋体" w:hAnsi="宋体"/>
          <w:color w:val="auto"/>
          <w:szCs w:val="21"/>
          <w:highlight w:val="none"/>
        </w:rPr>
        <w:t>4、若评委意见不一致时，则按少数服从多数的原则，决定该投标人是否通过符合性审查，进入下一阶段评审。</w:t>
      </w:r>
    </w:p>
    <w:p>
      <w:pPr>
        <w:pStyle w:val="4"/>
        <w:rPr>
          <w:color w:val="auto"/>
          <w:highlight w:val="none"/>
        </w:rPr>
      </w:pPr>
      <w:r>
        <w:rPr>
          <w:rFonts w:hint="eastAsia"/>
          <w:color w:val="auto"/>
          <w:szCs w:val="21"/>
          <w:highlight w:val="none"/>
        </w:rPr>
        <w:br w:type="page"/>
      </w:r>
      <w:bookmarkStart w:id="104" w:name="_Toc13029"/>
      <w:bookmarkStart w:id="105" w:name="_Toc99464009"/>
      <w:bookmarkStart w:id="106" w:name="_Toc28944"/>
      <w:r>
        <w:rPr>
          <w:rFonts w:hint="eastAsia"/>
          <w:color w:val="auto"/>
          <w:highlight w:val="none"/>
        </w:rPr>
        <w:t>附录11：商务文件综合评分表</w:t>
      </w:r>
      <w:bookmarkEnd w:id="104"/>
      <w:bookmarkEnd w:id="105"/>
      <w:bookmarkEnd w:id="106"/>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商务文件综合评分表</w:t>
      </w:r>
    </w:p>
    <w:p>
      <w:pPr>
        <w:spacing w:line="360" w:lineRule="auto"/>
        <w:rPr>
          <w:rFonts w:ascii="宋体" w:hAnsi="宋体" w:cs="宋体"/>
          <w:bCs/>
          <w:color w:val="auto"/>
          <w:szCs w:val="21"/>
          <w:highlight w:val="none"/>
          <w:u w:val="single"/>
        </w:rPr>
      </w:pPr>
      <w:r>
        <w:rPr>
          <w:rFonts w:hint="eastAsia" w:ascii="宋体" w:hAnsi="宋体" w:cs="宋体"/>
          <w:bCs/>
          <w:color w:val="auto"/>
          <w:szCs w:val="21"/>
          <w:highlight w:val="none"/>
        </w:rPr>
        <w:t>项目名称：</w:t>
      </w:r>
      <w:bookmarkStart w:id="107" w:name="OLE_LINK1"/>
      <w:r>
        <w:rPr>
          <w:rFonts w:hint="eastAsia" w:ascii="宋体" w:hAnsi="宋体" w:cs="宋体"/>
          <w:bCs/>
          <w:color w:val="auto"/>
          <w:szCs w:val="21"/>
          <w:highlight w:val="none"/>
          <w:u w:val="single"/>
        </w:rPr>
        <w:t xml:space="preserve">                                   </w:t>
      </w:r>
      <w:bookmarkEnd w:id="107"/>
      <w:r>
        <w:rPr>
          <w:rFonts w:hint="eastAsia" w:ascii="宋体" w:hAnsi="宋体" w:cs="宋体"/>
          <w:bCs/>
          <w:color w:val="auto"/>
          <w:szCs w:val="21"/>
          <w:highlight w:val="none"/>
        </w:rPr>
        <w:t xml:space="preserve">     </w:t>
      </w:r>
      <w:r>
        <w:rPr>
          <w:rFonts w:hint="eastAsia" w:ascii="宋体" w:hAnsi="宋体" w:cs="宋体"/>
          <w:bCs/>
          <w:color w:val="auto"/>
          <w:szCs w:val="21"/>
          <w:highlight w:val="none"/>
          <w:lang w:val="zh-CN"/>
        </w:rPr>
        <w:t>投标单位名称：</w:t>
      </w:r>
      <w:r>
        <w:rPr>
          <w:rFonts w:hint="eastAsia" w:ascii="宋体" w:hAnsi="宋体" w:cs="宋体"/>
          <w:bCs/>
          <w:color w:val="auto"/>
          <w:szCs w:val="21"/>
          <w:highlight w:val="none"/>
          <w:u w:val="single"/>
        </w:rPr>
        <w:t xml:space="preserve">                                   </w:t>
      </w:r>
    </w:p>
    <w:tbl>
      <w:tblPr>
        <w:tblStyle w:val="38"/>
        <w:tblW w:w="13995" w:type="dxa"/>
        <w:jc w:val="center"/>
        <w:tblLayout w:type="fixed"/>
        <w:tblCellMar>
          <w:top w:w="0" w:type="dxa"/>
          <w:left w:w="108" w:type="dxa"/>
          <w:bottom w:w="0" w:type="dxa"/>
          <w:right w:w="108" w:type="dxa"/>
        </w:tblCellMar>
      </w:tblPr>
      <w:tblGrid>
        <w:gridCol w:w="417"/>
        <w:gridCol w:w="876"/>
        <w:gridCol w:w="663"/>
        <w:gridCol w:w="11601"/>
        <w:gridCol w:w="438"/>
      </w:tblGrid>
      <w:tr>
        <w:tblPrEx>
          <w:tblCellMar>
            <w:top w:w="0" w:type="dxa"/>
            <w:left w:w="108" w:type="dxa"/>
            <w:bottom w:w="0" w:type="dxa"/>
            <w:right w:w="108" w:type="dxa"/>
          </w:tblCellMar>
        </w:tblPrEx>
        <w:trPr>
          <w:trHeight w:val="445" w:hRule="atLeast"/>
          <w:jc w:val="center"/>
        </w:trPr>
        <w:tc>
          <w:tcPr>
            <w:tcW w:w="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宋体"/>
                <w:color w:val="auto"/>
                <w:highlight w:val="none"/>
              </w:rPr>
            </w:pPr>
            <w:r>
              <w:rPr>
                <w:rFonts w:hint="eastAsia" w:ascii="宋体" w:hAnsi="宋体" w:cs="宋体"/>
                <w:color w:val="auto"/>
                <w:highlight w:val="none"/>
                <w:lang w:val="zh-CN"/>
              </w:rPr>
              <w:t>序号</w:t>
            </w:r>
          </w:p>
        </w:tc>
        <w:tc>
          <w:tcPr>
            <w:tcW w:w="8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hAnsi="宋体" w:cs="宋体"/>
                <w:color w:val="auto"/>
                <w:highlight w:val="none"/>
              </w:rPr>
            </w:pPr>
            <w:r>
              <w:rPr>
                <w:rFonts w:hint="eastAsia" w:ascii="宋体" w:hAnsi="宋体" w:cs="宋体"/>
                <w:color w:val="auto"/>
                <w:highlight w:val="none"/>
                <w:lang w:val="zh-CN"/>
              </w:rPr>
              <w:t>项目</w:t>
            </w:r>
          </w:p>
        </w:tc>
        <w:tc>
          <w:tcPr>
            <w:tcW w:w="6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s="宋体"/>
                <w:color w:val="auto"/>
                <w:highlight w:val="none"/>
              </w:rPr>
            </w:pPr>
            <w:r>
              <w:rPr>
                <w:rFonts w:hint="eastAsia" w:ascii="宋体" w:hAnsi="宋体" w:cs="宋体"/>
                <w:color w:val="auto"/>
                <w:highlight w:val="none"/>
                <w:lang w:val="zh-CN"/>
              </w:rPr>
              <w:t>分值分配</w:t>
            </w:r>
          </w:p>
        </w:tc>
        <w:tc>
          <w:tcPr>
            <w:tcW w:w="116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hAnsi="宋体" w:cs="宋体"/>
                <w:color w:val="auto"/>
                <w:highlight w:val="none"/>
              </w:rPr>
            </w:pPr>
            <w:r>
              <w:rPr>
                <w:rFonts w:hint="eastAsia" w:ascii="宋体" w:hAnsi="宋体" w:cs="宋体"/>
                <w:color w:val="auto"/>
                <w:highlight w:val="none"/>
                <w:lang w:val="zh-CN"/>
              </w:rPr>
              <w:t>内</w:t>
            </w:r>
            <w:r>
              <w:rPr>
                <w:rFonts w:hint="eastAsia" w:ascii="宋体" w:hAnsi="宋体" w:cs="宋体"/>
                <w:color w:val="auto"/>
                <w:highlight w:val="none"/>
              </w:rPr>
              <w:t xml:space="preserve">     </w:t>
            </w:r>
            <w:r>
              <w:rPr>
                <w:rFonts w:hint="eastAsia" w:ascii="宋体" w:hAnsi="宋体" w:cs="宋体"/>
                <w:color w:val="auto"/>
                <w:highlight w:val="none"/>
                <w:lang w:val="zh-CN"/>
              </w:rPr>
              <w:t>容</w:t>
            </w:r>
          </w:p>
        </w:tc>
        <w:tc>
          <w:tcPr>
            <w:tcW w:w="4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宋体" w:hAnsi="宋体" w:cs="宋体"/>
                <w:color w:val="auto"/>
                <w:highlight w:val="none"/>
                <w:lang w:val="zh-CN"/>
              </w:rPr>
            </w:pPr>
            <w:r>
              <w:rPr>
                <w:rFonts w:hint="eastAsia" w:ascii="宋体" w:hAnsi="宋体" w:cs="宋体"/>
                <w:color w:val="auto"/>
                <w:highlight w:val="none"/>
                <w:lang w:val="zh-CN"/>
              </w:rPr>
              <w:t>得</w:t>
            </w:r>
          </w:p>
          <w:p>
            <w:pPr>
              <w:autoSpaceDE w:val="0"/>
              <w:autoSpaceDN w:val="0"/>
              <w:adjustRightInd w:val="0"/>
              <w:snapToGrid w:val="0"/>
              <w:jc w:val="center"/>
              <w:rPr>
                <w:rFonts w:ascii="宋体" w:hAnsi="宋体" w:cs="宋体"/>
                <w:color w:val="auto"/>
                <w:highlight w:val="none"/>
              </w:rPr>
            </w:pPr>
            <w:r>
              <w:rPr>
                <w:rFonts w:hint="eastAsia" w:ascii="宋体" w:hAnsi="宋体" w:cs="宋体"/>
                <w:color w:val="auto"/>
                <w:highlight w:val="none"/>
                <w:lang w:val="zh-CN"/>
              </w:rPr>
              <w:t>分</w:t>
            </w:r>
          </w:p>
        </w:tc>
      </w:tr>
      <w:tr>
        <w:tblPrEx>
          <w:tblCellMar>
            <w:top w:w="0" w:type="dxa"/>
            <w:left w:w="108" w:type="dxa"/>
            <w:bottom w:w="0" w:type="dxa"/>
            <w:right w:w="108" w:type="dxa"/>
          </w:tblCellMar>
        </w:tblPrEx>
        <w:trPr>
          <w:trHeight w:val="884" w:hRule="atLeast"/>
          <w:jc w:val="center"/>
        </w:trPr>
        <w:tc>
          <w:tcPr>
            <w:tcW w:w="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color w:val="auto"/>
                <w:highlight w:val="none"/>
                <w:lang w:val="zh-CN"/>
              </w:rPr>
            </w:pPr>
            <w:r>
              <w:rPr>
                <w:rFonts w:hint="eastAsia" w:ascii="宋体" w:hAnsi="宋体" w:cs="宋体"/>
                <w:color w:val="auto"/>
                <w:highlight w:val="none"/>
              </w:rPr>
              <w:t>一</w:t>
            </w:r>
          </w:p>
        </w:tc>
        <w:tc>
          <w:tcPr>
            <w:tcW w:w="8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hAnsi="宋体" w:cs="宋体"/>
                <w:color w:val="auto"/>
                <w:highlight w:val="none"/>
                <w:lang w:val="zh-CN"/>
              </w:rPr>
            </w:pPr>
            <w:r>
              <w:rPr>
                <w:rFonts w:hint="eastAsia" w:ascii="宋体" w:hAnsi="宋体" w:cs="宋体"/>
                <w:color w:val="auto"/>
                <w:highlight w:val="none"/>
                <w:lang w:val="zh-CN"/>
              </w:rPr>
              <w:t>企业</w:t>
            </w:r>
          </w:p>
          <w:p>
            <w:pPr>
              <w:autoSpaceDE w:val="0"/>
              <w:autoSpaceDN w:val="0"/>
              <w:adjustRightInd w:val="0"/>
              <w:spacing w:line="240" w:lineRule="exact"/>
              <w:jc w:val="center"/>
              <w:rPr>
                <w:rFonts w:ascii="宋体" w:hAnsi="宋体" w:cs="宋体"/>
                <w:color w:val="auto"/>
                <w:highlight w:val="none"/>
                <w:lang w:val="zh-CN"/>
              </w:rPr>
            </w:pPr>
            <w:r>
              <w:rPr>
                <w:rFonts w:hint="eastAsia" w:ascii="宋体" w:hAnsi="宋体" w:cs="宋体"/>
                <w:color w:val="auto"/>
                <w:highlight w:val="none"/>
                <w:lang w:val="zh-CN"/>
              </w:rPr>
              <w:t>类似</w:t>
            </w:r>
          </w:p>
          <w:p>
            <w:pPr>
              <w:autoSpaceDE w:val="0"/>
              <w:autoSpaceDN w:val="0"/>
              <w:adjustRightInd w:val="0"/>
              <w:spacing w:line="240" w:lineRule="exact"/>
              <w:jc w:val="center"/>
              <w:rPr>
                <w:rFonts w:ascii="宋体" w:hAnsi="宋体" w:cs="宋体"/>
                <w:color w:val="auto"/>
                <w:highlight w:val="none"/>
                <w:lang w:val="zh-CN"/>
              </w:rPr>
            </w:pPr>
            <w:r>
              <w:rPr>
                <w:rFonts w:hint="eastAsia" w:ascii="宋体" w:hAnsi="宋体" w:cs="宋体"/>
                <w:color w:val="auto"/>
                <w:highlight w:val="none"/>
                <w:lang w:val="zh-CN"/>
              </w:rPr>
              <w:t>业绩</w:t>
            </w:r>
          </w:p>
        </w:tc>
        <w:tc>
          <w:tcPr>
            <w:tcW w:w="663" w:type="dxa"/>
            <w:tcBorders>
              <w:top w:val="single" w:color="auto" w:sz="6" w:space="0"/>
              <w:left w:val="single" w:color="auto" w:sz="6" w:space="0"/>
              <w:bottom w:val="single" w:color="auto" w:sz="6" w:space="0"/>
              <w:right w:val="single" w:color="auto" w:sz="6" w:space="0"/>
            </w:tcBorders>
            <w:vAlign w:val="center"/>
          </w:tcPr>
          <w:p>
            <w:pPr>
              <w:pStyle w:val="97"/>
              <w:wordWrap w:val="0"/>
              <w:topLinePunct/>
              <w:adjustRightInd w:val="0"/>
              <w:spacing w:line="26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[2</w:t>
            </w:r>
            <w:r>
              <w:rPr>
                <w:rFonts w:hint="eastAsia" w:ascii="宋体" w:hAnsi="宋体" w:cs="宋体"/>
                <w:color w:val="auto"/>
                <w:szCs w:val="21"/>
                <w:highlight w:val="none"/>
              </w:rPr>
              <w:t>5</w:t>
            </w:r>
            <w:r>
              <w:rPr>
                <w:rFonts w:hint="eastAsia" w:ascii="宋体" w:hAnsi="宋体" w:cs="宋体"/>
                <w:color w:val="auto"/>
                <w:szCs w:val="21"/>
                <w:highlight w:val="none"/>
                <w:lang w:val="zh-CN"/>
              </w:rPr>
              <w:t>]</w:t>
            </w:r>
          </w:p>
        </w:tc>
        <w:tc>
          <w:tcPr>
            <w:tcW w:w="11601" w:type="dxa"/>
            <w:tcBorders>
              <w:top w:val="single" w:color="auto" w:sz="6" w:space="0"/>
              <w:left w:val="single" w:color="auto" w:sz="6" w:space="0"/>
              <w:right w:val="single" w:color="auto" w:sz="6" w:space="0"/>
            </w:tcBorders>
            <w:vAlign w:val="center"/>
          </w:tcPr>
          <w:p>
            <w:pPr>
              <w:autoSpaceDE w:val="0"/>
              <w:autoSpaceDN w:val="0"/>
              <w:adjustRightInd w:val="0"/>
              <w:spacing w:line="260" w:lineRule="exact"/>
              <w:rPr>
                <w:rFonts w:ascii="宋体" w:hAnsi="宋体" w:cs="宋体"/>
                <w:color w:val="auto"/>
                <w:szCs w:val="21"/>
                <w:highlight w:val="none"/>
                <w:lang w:val="zh-CN"/>
              </w:rPr>
            </w:pPr>
            <w:r>
              <w:rPr>
                <w:rFonts w:hint="eastAsia" w:ascii="宋体" w:hAnsi="宋体" w:cs="宋体"/>
                <w:color w:val="auto"/>
                <w:szCs w:val="21"/>
                <w:highlight w:val="none"/>
                <w:lang w:val="zh-CN"/>
              </w:rPr>
              <w:t>近</w:t>
            </w:r>
            <w:r>
              <w:rPr>
                <w:rFonts w:hint="eastAsia" w:ascii="宋体" w:hAnsi="宋体" w:cs="宋体"/>
                <w:color w:val="auto"/>
                <w:szCs w:val="21"/>
                <w:highlight w:val="none"/>
                <w:u w:val="single"/>
                <w:lang w:val="zh-CN"/>
              </w:rPr>
              <w:t xml:space="preserve"> 5 </w:t>
            </w:r>
            <w:r>
              <w:rPr>
                <w:rFonts w:hint="eastAsia" w:ascii="宋体" w:hAnsi="宋体" w:cs="宋体"/>
                <w:color w:val="auto"/>
                <w:szCs w:val="21"/>
                <w:highlight w:val="none"/>
                <w:lang w:val="zh-CN"/>
              </w:rPr>
              <w:t>年内勘察对应类似勘察业绩,每项得</w:t>
            </w:r>
            <w:r>
              <w:rPr>
                <w:rFonts w:hint="eastAsia" w:ascii="宋体" w:hAnsi="宋体" w:cs="宋体"/>
                <w:color w:val="auto"/>
                <w:szCs w:val="21"/>
                <w:highlight w:val="none"/>
                <w:u w:val="single"/>
                <w:lang w:val="zh-CN"/>
              </w:rPr>
              <w:t xml:space="preserve"> 2.5 </w:t>
            </w:r>
            <w:r>
              <w:rPr>
                <w:rFonts w:hint="eastAsia" w:ascii="宋体" w:hAnsi="宋体" w:cs="宋体"/>
                <w:color w:val="auto"/>
                <w:szCs w:val="21"/>
                <w:highlight w:val="none"/>
                <w:lang w:val="zh-CN"/>
              </w:rPr>
              <w:t>分，最多得</w:t>
            </w:r>
            <w:r>
              <w:rPr>
                <w:rFonts w:hint="eastAsia" w:ascii="宋体" w:hAnsi="宋体" w:cs="宋体"/>
                <w:color w:val="auto"/>
                <w:szCs w:val="21"/>
                <w:highlight w:val="none"/>
                <w:u w:val="single"/>
                <w:lang w:val="zh-CN"/>
              </w:rPr>
              <w:t xml:space="preserve"> 5 </w:t>
            </w:r>
            <w:r>
              <w:rPr>
                <w:rFonts w:hint="eastAsia" w:ascii="宋体" w:hAnsi="宋体" w:cs="宋体"/>
                <w:color w:val="auto"/>
                <w:szCs w:val="21"/>
                <w:highlight w:val="none"/>
                <w:lang w:val="zh-CN"/>
              </w:rPr>
              <w:t>分。</w:t>
            </w:r>
          </w:p>
          <w:p>
            <w:pPr>
              <w:pStyle w:val="97"/>
              <w:wordWrap w:val="0"/>
              <w:topLinePunct/>
              <w:adjustRightInd w:val="0"/>
              <w:spacing w:line="260" w:lineRule="exact"/>
              <w:rPr>
                <w:rFonts w:ascii="宋体" w:hAnsi="宋体" w:cs="宋体"/>
                <w:color w:val="auto"/>
                <w:szCs w:val="21"/>
                <w:highlight w:val="none"/>
                <w:lang w:val="zh-CN"/>
              </w:rPr>
            </w:pPr>
            <w:r>
              <w:rPr>
                <w:rFonts w:hint="eastAsia" w:ascii="宋体" w:hAnsi="宋体" w:cs="宋体"/>
                <w:color w:val="auto"/>
                <w:szCs w:val="21"/>
                <w:highlight w:val="none"/>
                <w:lang w:val="zh-CN"/>
              </w:rPr>
              <w:t>近</w:t>
            </w:r>
            <w:r>
              <w:rPr>
                <w:rFonts w:hint="eastAsia" w:ascii="宋体" w:hAnsi="宋体" w:cs="宋体"/>
                <w:color w:val="auto"/>
                <w:szCs w:val="21"/>
                <w:highlight w:val="none"/>
                <w:u w:val="single"/>
                <w:lang w:val="zh-CN"/>
              </w:rPr>
              <w:t xml:space="preserve"> 5 </w:t>
            </w:r>
            <w:r>
              <w:rPr>
                <w:rFonts w:hint="eastAsia" w:ascii="宋体" w:hAnsi="宋体" w:cs="宋体"/>
                <w:color w:val="auto"/>
                <w:szCs w:val="21"/>
                <w:highlight w:val="none"/>
                <w:lang w:val="zh-CN"/>
              </w:rPr>
              <w:t>年内设计对应类似设计业绩,每项得</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4</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分，最多得</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20</w:t>
            </w:r>
            <w:r>
              <w:rPr>
                <w:rFonts w:hint="eastAsia" w:ascii="宋体" w:hAnsi="宋体" w:cs="宋体"/>
                <w:color w:val="auto"/>
                <w:szCs w:val="21"/>
                <w:highlight w:val="none"/>
                <w:lang w:val="zh-CN"/>
              </w:rPr>
              <w:t>分。</w:t>
            </w:r>
          </w:p>
          <w:p>
            <w:pPr>
              <w:pStyle w:val="97"/>
              <w:wordWrap w:val="0"/>
              <w:topLinePunct/>
              <w:adjustRightInd w:val="0"/>
              <w:spacing w:line="260" w:lineRule="exact"/>
              <w:rPr>
                <w:rFonts w:ascii="宋体" w:hAnsi="宋体" w:cs="宋体"/>
                <w:color w:val="auto"/>
                <w:szCs w:val="21"/>
                <w:highlight w:val="none"/>
                <w:lang w:val="zh-CN"/>
              </w:rPr>
            </w:pPr>
            <w:r>
              <w:rPr>
                <w:rFonts w:hint="eastAsia" w:ascii="宋体" w:hAnsi="宋体" w:cs="宋体"/>
                <w:color w:val="auto"/>
                <w:szCs w:val="21"/>
                <w:highlight w:val="none"/>
              </w:rPr>
              <w:t>注：以上合计最多得</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25 </w:t>
            </w:r>
            <w:r>
              <w:rPr>
                <w:rFonts w:hint="eastAsia" w:ascii="宋体" w:hAnsi="宋体" w:cs="宋体"/>
                <w:color w:val="auto"/>
                <w:szCs w:val="21"/>
                <w:highlight w:val="none"/>
              </w:rPr>
              <w:t>分。</w:t>
            </w:r>
          </w:p>
        </w:tc>
        <w:tc>
          <w:tcPr>
            <w:tcW w:w="438" w:type="dxa"/>
            <w:tcBorders>
              <w:top w:val="single" w:color="auto" w:sz="6" w:space="0"/>
              <w:left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color w:val="auto"/>
                <w:highlight w:val="none"/>
              </w:rPr>
            </w:pPr>
          </w:p>
        </w:tc>
      </w:tr>
      <w:tr>
        <w:tblPrEx>
          <w:tblCellMar>
            <w:top w:w="0" w:type="dxa"/>
            <w:left w:w="108" w:type="dxa"/>
            <w:bottom w:w="0" w:type="dxa"/>
            <w:right w:w="108" w:type="dxa"/>
          </w:tblCellMar>
        </w:tblPrEx>
        <w:trPr>
          <w:trHeight w:val="848" w:hRule="atLeast"/>
          <w:jc w:val="center"/>
        </w:trPr>
        <w:tc>
          <w:tcPr>
            <w:tcW w:w="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color w:val="auto"/>
                <w:highlight w:val="none"/>
                <w:lang w:val="zh-CN"/>
              </w:rPr>
            </w:pPr>
            <w:r>
              <w:rPr>
                <w:rFonts w:hint="eastAsia" w:ascii="宋体" w:hAnsi="宋体" w:cs="宋体"/>
                <w:color w:val="auto"/>
                <w:highlight w:val="none"/>
              </w:rPr>
              <w:t>二</w:t>
            </w:r>
          </w:p>
        </w:tc>
        <w:tc>
          <w:tcPr>
            <w:tcW w:w="8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hAnsi="宋体" w:cs="宋体"/>
                <w:color w:val="auto"/>
                <w:highlight w:val="none"/>
                <w:lang w:val="zh-CN"/>
              </w:rPr>
            </w:pPr>
            <w:r>
              <w:rPr>
                <w:rFonts w:hint="eastAsia" w:ascii="宋体" w:hAnsi="宋体" w:cs="宋体"/>
                <w:color w:val="auto"/>
                <w:highlight w:val="none"/>
                <w:lang w:val="zh-CN"/>
              </w:rPr>
              <w:t>企业</w:t>
            </w:r>
          </w:p>
          <w:p>
            <w:pPr>
              <w:autoSpaceDE w:val="0"/>
              <w:autoSpaceDN w:val="0"/>
              <w:adjustRightInd w:val="0"/>
              <w:spacing w:line="240" w:lineRule="exact"/>
              <w:jc w:val="center"/>
              <w:rPr>
                <w:rFonts w:ascii="宋体" w:hAnsi="宋体" w:cs="宋体"/>
                <w:color w:val="auto"/>
                <w:highlight w:val="none"/>
                <w:lang w:val="zh-CN"/>
              </w:rPr>
            </w:pPr>
            <w:r>
              <w:rPr>
                <w:rFonts w:hint="eastAsia" w:ascii="宋体" w:hAnsi="宋体" w:cs="宋体"/>
                <w:color w:val="auto"/>
                <w:highlight w:val="none"/>
                <w:lang w:val="zh-CN"/>
              </w:rPr>
              <w:t>业绩</w:t>
            </w:r>
          </w:p>
          <w:p>
            <w:pPr>
              <w:autoSpaceDE w:val="0"/>
              <w:autoSpaceDN w:val="0"/>
              <w:adjustRightInd w:val="0"/>
              <w:spacing w:line="240" w:lineRule="exact"/>
              <w:jc w:val="center"/>
              <w:rPr>
                <w:rFonts w:ascii="宋体" w:hAnsi="宋体" w:cs="宋体"/>
                <w:color w:val="auto"/>
                <w:highlight w:val="none"/>
                <w:lang w:val="zh-CN"/>
              </w:rPr>
            </w:pPr>
            <w:r>
              <w:rPr>
                <w:rFonts w:hint="eastAsia" w:ascii="宋体" w:hAnsi="宋体" w:cs="宋体"/>
                <w:color w:val="auto"/>
                <w:highlight w:val="none"/>
                <w:lang w:val="zh-CN"/>
              </w:rPr>
              <w:t>获奖</w:t>
            </w:r>
          </w:p>
        </w:tc>
        <w:tc>
          <w:tcPr>
            <w:tcW w:w="663" w:type="dxa"/>
            <w:tcBorders>
              <w:top w:val="single" w:color="auto" w:sz="6" w:space="0"/>
              <w:left w:val="single" w:color="auto" w:sz="6" w:space="0"/>
              <w:bottom w:val="single" w:color="auto" w:sz="6" w:space="0"/>
              <w:right w:val="single" w:color="auto" w:sz="6" w:space="0"/>
            </w:tcBorders>
            <w:vAlign w:val="center"/>
          </w:tcPr>
          <w:p>
            <w:pPr>
              <w:pStyle w:val="97"/>
              <w:wordWrap w:val="0"/>
              <w:topLinePunct/>
              <w:adjustRightInd w:val="0"/>
              <w:spacing w:line="260" w:lineRule="exact"/>
              <w:jc w:val="center"/>
              <w:rPr>
                <w:rFonts w:ascii="宋体" w:hAnsi="宋体" w:cs="宋体"/>
                <w:color w:val="auto"/>
                <w:szCs w:val="21"/>
                <w:highlight w:val="none"/>
              </w:rPr>
            </w:pPr>
            <w:r>
              <w:rPr>
                <w:rFonts w:hint="eastAsia" w:ascii="宋体" w:hAnsi="宋体" w:cs="宋体"/>
                <w:color w:val="auto"/>
                <w:szCs w:val="21"/>
                <w:highlight w:val="none"/>
                <w:lang w:val="zh-CN"/>
              </w:rPr>
              <w:t>[2</w:t>
            </w:r>
            <w:r>
              <w:rPr>
                <w:rFonts w:hint="eastAsia" w:ascii="宋体" w:hAnsi="宋体" w:cs="宋体"/>
                <w:color w:val="auto"/>
                <w:szCs w:val="21"/>
                <w:highlight w:val="none"/>
              </w:rPr>
              <w:t>5</w:t>
            </w:r>
            <w:r>
              <w:rPr>
                <w:rFonts w:hint="eastAsia" w:ascii="宋体" w:hAnsi="宋体" w:cs="宋体"/>
                <w:color w:val="auto"/>
                <w:szCs w:val="21"/>
                <w:highlight w:val="none"/>
                <w:lang w:val="zh-CN"/>
              </w:rPr>
              <w:t>]</w:t>
            </w:r>
          </w:p>
        </w:tc>
        <w:tc>
          <w:tcPr>
            <w:tcW w:w="11601" w:type="dxa"/>
            <w:tcBorders>
              <w:top w:val="single" w:color="auto" w:sz="6" w:space="0"/>
              <w:left w:val="single" w:color="auto" w:sz="6" w:space="0"/>
              <w:right w:val="single" w:color="auto" w:sz="6" w:space="0"/>
            </w:tcBorders>
            <w:vAlign w:val="center"/>
          </w:tcPr>
          <w:p>
            <w:pPr>
              <w:pStyle w:val="97"/>
              <w:wordWrap w:val="0"/>
              <w:topLinePunct/>
              <w:adjustRightInd w:val="0"/>
              <w:spacing w:line="260" w:lineRule="exact"/>
              <w:rPr>
                <w:rFonts w:ascii="宋体" w:hAnsi="宋体" w:cs="宋体"/>
                <w:color w:val="auto"/>
                <w:szCs w:val="21"/>
                <w:highlight w:val="none"/>
                <w:lang w:val="zh-CN"/>
              </w:rPr>
            </w:pPr>
            <w:r>
              <w:rPr>
                <w:rFonts w:hint="eastAsia" w:ascii="宋体" w:hAnsi="宋体" w:cs="宋体"/>
                <w:color w:val="auto"/>
                <w:szCs w:val="21"/>
                <w:highlight w:val="none"/>
                <w:lang w:val="zh-CN"/>
              </w:rPr>
              <w:t>近</w:t>
            </w:r>
            <w:r>
              <w:rPr>
                <w:rFonts w:hint="eastAsia" w:ascii="宋体" w:hAnsi="宋体" w:cs="宋体"/>
                <w:color w:val="auto"/>
                <w:szCs w:val="21"/>
                <w:highlight w:val="none"/>
                <w:u w:val="single"/>
                <w:lang w:val="zh-CN"/>
              </w:rPr>
              <w:t xml:space="preserve"> 5 </w:t>
            </w:r>
            <w:r>
              <w:rPr>
                <w:rFonts w:hint="eastAsia" w:ascii="宋体" w:hAnsi="宋体" w:cs="宋体"/>
                <w:color w:val="auto"/>
                <w:szCs w:val="21"/>
                <w:highlight w:val="none"/>
                <w:lang w:val="zh-CN"/>
              </w:rPr>
              <w:t>年内类似勘察或类似设计项目</w:t>
            </w:r>
            <w:r>
              <w:rPr>
                <w:color w:val="auto"/>
                <w:szCs w:val="21"/>
                <w:highlight w:val="none"/>
                <w:lang w:val="zh-CN"/>
              </w:rPr>
              <w:t>获</w:t>
            </w:r>
            <w:r>
              <w:rPr>
                <w:rFonts w:hint="eastAsia"/>
                <w:color w:val="auto"/>
                <w:szCs w:val="21"/>
                <w:highlight w:val="none"/>
                <w:lang w:val="zh-CN"/>
              </w:rPr>
              <w:t>国家级奖项，</w:t>
            </w:r>
            <w:r>
              <w:rPr>
                <w:rFonts w:hint="eastAsia" w:ascii="宋体" w:hAnsi="宋体" w:cs="宋体"/>
                <w:color w:val="auto"/>
                <w:szCs w:val="21"/>
                <w:highlight w:val="none"/>
                <w:lang w:val="zh-CN"/>
              </w:rPr>
              <w:t>每项得</w:t>
            </w:r>
            <w:r>
              <w:rPr>
                <w:rFonts w:hint="eastAsia" w:ascii="宋体" w:hAnsi="宋体" w:cs="宋体"/>
                <w:color w:val="auto"/>
                <w:szCs w:val="21"/>
                <w:highlight w:val="none"/>
                <w:u w:val="single"/>
                <w:lang w:val="en-US" w:eastAsia="zh-CN"/>
              </w:rPr>
              <w:t xml:space="preserve"> 6</w:t>
            </w:r>
            <w:r>
              <w:rPr>
                <w:rFonts w:hint="eastAsia" w:ascii="宋体" w:hAnsi="宋体" w:cs="宋体"/>
                <w:color w:val="auto"/>
                <w:szCs w:val="21"/>
                <w:highlight w:val="none"/>
                <w:lang w:val="zh-CN"/>
              </w:rPr>
              <w:t>分；</w:t>
            </w:r>
            <w:r>
              <w:rPr>
                <w:rFonts w:hint="eastAsia"/>
                <w:color w:val="auto"/>
                <w:szCs w:val="21"/>
                <w:highlight w:val="none"/>
                <w:lang w:val="zh-CN"/>
              </w:rPr>
              <w:t>获行业级奖项，</w:t>
            </w:r>
            <w:r>
              <w:rPr>
                <w:rFonts w:hint="eastAsia" w:ascii="宋体" w:hAnsi="宋体" w:cs="宋体"/>
                <w:color w:val="auto"/>
                <w:szCs w:val="21"/>
                <w:highlight w:val="none"/>
                <w:lang w:val="zh-CN"/>
              </w:rPr>
              <w:t>每项得</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5 </w:t>
            </w:r>
            <w:r>
              <w:rPr>
                <w:rFonts w:hint="eastAsia" w:ascii="宋体" w:hAnsi="宋体" w:cs="宋体"/>
                <w:color w:val="auto"/>
                <w:szCs w:val="21"/>
                <w:highlight w:val="none"/>
                <w:lang w:val="zh-CN"/>
              </w:rPr>
              <w:t>分；获省（部）级奖项，每项得</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4 </w:t>
            </w:r>
            <w:r>
              <w:rPr>
                <w:rFonts w:hint="eastAsia" w:ascii="宋体" w:hAnsi="宋体" w:cs="宋体"/>
                <w:color w:val="auto"/>
                <w:szCs w:val="21"/>
                <w:highlight w:val="none"/>
                <w:lang w:val="zh-CN"/>
              </w:rPr>
              <w:t>分；获市（副省级）奖项，每项得</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3 </w:t>
            </w:r>
            <w:r>
              <w:rPr>
                <w:rFonts w:hint="eastAsia" w:ascii="宋体" w:hAnsi="宋体" w:cs="宋体"/>
                <w:color w:val="auto"/>
                <w:szCs w:val="21"/>
                <w:highlight w:val="none"/>
                <w:lang w:val="zh-CN"/>
              </w:rPr>
              <w:t>分。以上奖项合计最多得</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25 </w:t>
            </w:r>
            <w:r>
              <w:rPr>
                <w:rFonts w:hint="eastAsia" w:ascii="宋体" w:hAnsi="宋体" w:cs="宋体"/>
                <w:color w:val="auto"/>
                <w:szCs w:val="21"/>
                <w:highlight w:val="none"/>
                <w:lang w:val="zh-CN"/>
              </w:rPr>
              <w:t>分。</w:t>
            </w:r>
          </w:p>
          <w:p>
            <w:pPr>
              <w:pStyle w:val="97"/>
              <w:wordWrap w:val="0"/>
              <w:topLinePunct/>
              <w:adjustRightInd w:val="0"/>
              <w:spacing w:line="260" w:lineRule="exact"/>
              <w:rPr>
                <w:rFonts w:ascii="宋体" w:hAnsi="宋体" w:cs="宋体"/>
                <w:color w:val="auto"/>
                <w:szCs w:val="21"/>
                <w:highlight w:val="none"/>
                <w:lang w:val="zh-CN"/>
              </w:rPr>
            </w:pPr>
            <w:r>
              <w:rPr>
                <w:rFonts w:hint="eastAsia" w:ascii="宋体" w:hAnsi="宋体" w:cs="宋体"/>
                <w:color w:val="auto"/>
                <w:szCs w:val="21"/>
                <w:highlight w:val="none"/>
                <w:lang w:val="zh-CN"/>
              </w:rPr>
              <w:t>注：每个项目只能按最高奖得分，以上奖项合计最多得</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25 </w:t>
            </w:r>
            <w:r>
              <w:rPr>
                <w:rFonts w:hint="eastAsia" w:ascii="宋体" w:hAnsi="宋体" w:cs="宋体"/>
                <w:color w:val="auto"/>
                <w:szCs w:val="21"/>
                <w:highlight w:val="none"/>
                <w:lang w:val="zh-CN"/>
              </w:rPr>
              <w:t>分。</w:t>
            </w:r>
          </w:p>
        </w:tc>
        <w:tc>
          <w:tcPr>
            <w:tcW w:w="438" w:type="dxa"/>
            <w:tcBorders>
              <w:top w:val="single" w:color="auto" w:sz="6" w:space="0"/>
              <w:left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color w:val="auto"/>
                <w:highlight w:val="none"/>
                <w:lang w:val="zh-CN"/>
              </w:rPr>
            </w:pPr>
          </w:p>
        </w:tc>
      </w:tr>
      <w:tr>
        <w:tblPrEx>
          <w:tblCellMar>
            <w:top w:w="0" w:type="dxa"/>
            <w:left w:w="108" w:type="dxa"/>
            <w:bottom w:w="0" w:type="dxa"/>
            <w:right w:w="108" w:type="dxa"/>
          </w:tblCellMar>
        </w:tblPrEx>
        <w:trPr>
          <w:trHeight w:val="1396" w:hRule="atLeast"/>
          <w:jc w:val="center"/>
        </w:trPr>
        <w:tc>
          <w:tcPr>
            <w:tcW w:w="417"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color w:val="auto"/>
                <w:highlight w:val="none"/>
                <w:lang w:val="zh-CN"/>
              </w:rPr>
            </w:pPr>
            <w:r>
              <w:rPr>
                <w:rFonts w:hint="eastAsia" w:ascii="宋体" w:hAnsi="宋体" w:cs="宋体"/>
                <w:color w:val="auto"/>
                <w:highlight w:val="none"/>
              </w:rPr>
              <w:t>三</w:t>
            </w:r>
          </w:p>
        </w:tc>
        <w:tc>
          <w:tcPr>
            <w:tcW w:w="876"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40" w:lineRule="exact"/>
              <w:jc w:val="center"/>
              <w:rPr>
                <w:rFonts w:ascii="宋体" w:hAnsi="宋体" w:cs="宋体"/>
                <w:color w:val="auto"/>
                <w:highlight w:val="none"/>
                <w:lang w:val="zh-CN"/>
              </w:rPr>
            </w:pPr>
            <w:r>
              <w:rPr>
                <w:rFonts w:hint="eastAsia" w:ascii="宋体" w:hAnsi="宋体" w:cs="宋体"/>
                <w:color w:val="auto"/>
                <w:highlight w:val="none"/>
                <w:lang w:val="zh-CN"/>
              </w:rPr>
              <w:t>人员配备及技术水平</w:t>
            </w:r>
          </w:p>
        </w:tc>
        <w:tc>
          <w:tcPr>
            <w:tcW w:w="663" w:type="dxa"/>
            <w:vMerge w:val="restart"/>
            <w:tcBorders>
              <w:top w:val="single" w:color="auto" w:sz="6" w:space="0"/>
              <w:left w:val="single" w:color="auto" w:sz="6" w:space="0"/>
              <w:right w:val="single" w:color="auto" w:sz="6" w:space="0"/>
            </w:tcBorders>
            <w:vAlign w:val="center"/>
          </w:tcPr>
          <w:p>
            <w:pPr>
              <w:pStyle w:val="97"/>
              <w:wordWrap w:val="0"/>
              <w:topLinePunct/>
              <w:adjustRightInd w:val="0"/>
              <w:spacing w:line="260" w:lineRule="exact"/>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25</w:t>
            </w:r>
            <w:r>
              <w:rPr>
                <w:rFonts w:hint="eastAsia" w:ascii="宋体" w:hAnsi="宋体" w:cs="宋体"/>
                <w:color w:val="auto"/>
                <w:szCs w:val="21"/>
                <w:highlight w:val="none"/>
                <w:lang w:val="zh-CN"/>
              </w:rPr>
              <w:t>]</w:t>
            </w:r>
          </w:p>
        </w:tc>
        <w:tc>
          <w:tcPr>
            <w:tcW w:w="11601" w:type="dxa"/>
            <w:tcBorders>
              <w:top w:val="single" w:color="auto" w:sz="6" w:space="0"/>
              <w:left w:val="single" w:color="auto" w:sz="6" w:space="0"/>
              <w:bottom w:val="single" w:color="auto" w:sz="6" w:space="0"/>
              <w:right w:val="single" w:color="auto" w:sz="6" w:space="0"/>
            </w:tcBorders>
            <w:vAlign w:val="center"/>
          </w:tcPr>
          <w:p>
            <w:pPr>
              <w:pStyle w:val="97"/>
              <w:wordWrap w:val="0"/>
              <w:topLinePunct/>
              <w:adjustRightInd w:val="0"/>
              <w:spacing w:line="280" w:lineRule="exact"/>
              <w:rPr>
                <w:rFonts w:ascii="宋体" w:hAnsi="宋体" w:cs="宋体"/>
                <w:color w:val="auto"/>
                <w:szCs w:val="21"/>
                <w:highlight w:val="none"/>
                <w:lang w:val="zh-CN"/>
              </w:rPr>
            </w:pPr>
            <w:r>
              <w:rPr>
                <w:rFonts w:hint="eastAsia" w:ascii="宋体" w:hAnsi="宋体" w:cs="宋体"/>
                <w:color w:val="auto"/>
                <w:szCs w:val="21"/>
                <w:highlight w:val="none"/>
              </w:rPr>
              <w:t>1</w:t>
            </w:r>
            <w:r>
              <w:rPr>
                <w:rFonts w:hint="eastAsia" w:ascii="宋体" w:hAnsi="宋体" w:cs="宋体"/>
                <w:color w:val="auto"/>
                <w:szCs w:val="21"/>
                <w:highlight w:val="none"/>
                <w:lang w:val="zh-CN"/>
              </w:rPr>
              <w:t>、项目负责人设计经历及业务能力：</w:t>
            </w:r>
          </w:p>
          <w:p>
            <w:pPr>
              <w:pStyle w:val="97"/>
              <w:wordWrap w:val="0"/>
              <w:topLinePunct/>
              <w:adjustRightInd w:val="0"/>
              <w:spacing w:line="280" w:lineRule="exact"/>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1</w:t>
            </w:r>
            <w:r>
              <w:rPr>
                <w:rFonts w:hint="eastAsia" w:ascii="宋体" w:hAnsi="宋体" w:cs="宋体"/>
                <w:color w:val="auto"/>
                <w:szCs w:val="21"/>
                <w:highlight w:val="none"/>
                <w:lang w:val="zh-CN"/>
              </w:rPr>
              <w:t>）从事设计经历在</w:t>
            </w:r>
            <w:r>
              <w:rPr>
                <w:rFonts w:hint="eastAsia" w:ascii="宋体" w:hAnsi="宋体" w:cs="宋体"/>
                <w:color w:val="auto"/>
                <w:szCs w:val="21"/>
                <w:highlight w:val="none"/>
                <w:u w:val="single"/>
                <w:lang w:val="zh-CN"/>
              </w:rPr>
              <w:t xml:space="preserve"> 15 </w:t>
            </w:r>
            <w:r>
              <w:rPr>
                <w:rFonts w:hint="eastAsia" w:ascii="宋体" w:hAnsi="宋体" w:cs="宋体"/>
                <w:color w:val="auto"/>
                <w:szCs w:val="21"/>
                <w:highlight w:val="none"/>
                <w:lang w:val="zh-CN"/>
              </w:rPr>
              <w:t>年或</w:t>
            </w:r>
            <w:r>
              <w:rPr>
                <w:rFonts w:hint="eastAsia" w:ascii="宋体" w:hAnsi="宋体" w:cs="宋体"/>
                <w:color w:val="auto"/>
                <w:szCs w:val="21"/>
                <w:highlight w:val="none"/>
              </w:rPr>
              <w:t>以上</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具有</w:t>
            </w:r>
            <w:r>
              <w:rPr>
                <w:rFonts w:hint="eastAsia" w:ascii="宋体" w:hAnsi="宋体" w:cs="宋体"/>
                <w:color w:val="auto"/>
                <w:szCs w:val="21"/>
                <w:highlight w:val="none"/>
              </w:rPr>
              <w:t>高级</w:t>
            </w:r>
            <w:r>
              <w:rPr>
                <w:rFonts w:hint="eastAsia" w:ascii="宋体" w:hAnsi="宋体" w:cs="宋体"/>
                <w:color w:val="auto"/>
                <w:szCs w:val="21"/>
                <w:highlight w:val="none"/>
                <w:lang w:val="en-US" w:eastAsia="zh-CN"/>
              </w:rPr>
              <w:t>或以上</w:t>
            </w:r>
            <w:r>
              <w:rPr>
                <w:rFonts w:hint="eastAsia" w:ascii="宋体" w:hAnsi="宋体" w:cs="宋体"/>
                <w:color w:val="auto"/>
                <w:szCs w:val="21"/>
                <w:highlight w:val="none"/>
              </w:rPr>
              <w:t>工程师</w:t>
            </w:r>
            <w:r>
              <w:rPr>
                <w:rFonts w:hint="eastAsia" w:ascii="宋体" w:hAnsi="宋体" w:cs="宋体"/>
                <w:color w:val="auto"/>
                <w:szCs w:val="21"/>
                <w:highlight w:val="none"/>
                <w:lang w:val="en-US" w:eastAsia="zh-CN"/>
              </w:rPr>
              <w:t>职称证书</w:t>
            </w:r>
            <w:r>
              <w:rPr>
                <w:rFonts w:hint="eastAsia" w:ascii="宋体" w:hAnsi="宋体" w:cs="宋体"/>
                <w:color w:val="auto"/>
                <w:szCs w:val="21"/>
                <w:highlight w:val="none"/>
              </w:rPr>
              <w:t>，</w:t>
            </w:r>
            <w:r>
              <w:rPr>
                <w:rFonts w:hint="eastAsia" w:ascii="宋体" w:hAnsi="宋体" w:cs="宋体"/>
                <w:color w:val="auto"/>
                <w:szCs w:val="21"/>
                <w:highlight w:val="none"/>
                <w:lang w:val="zh-CN"/>
              </w:rPr>
              <w:t>得</w:t>
            </w:r>
            <w:r>
              <w:rPr>
                <w:rFonts w:hint="eastAsia" w:ascii="宋体" w:hAnsi="宋体" w:cs="宋体"/>
                <w:color w:val="auto"/>
                <w:szCs w:val="21"/>
                <w:highlight w:val="none"/>
                <w:u w:val="single"/>
                <w:lang w:val="zh-CN"/>
              </w:rPr>
              <w:t xml:space="preserve"> 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分，</w:t>
            </w:r>
            <w:r>
              <w:rPr>
                <w:rFonts w:hint="eastAsia" w:ascii="宋体" w:hAnsi="宋体" w:cs="宋体"/>
                <w:color w:val="auto"/>
                <w:szCs w:val="21"/>
                <w:highlight w:val="none"/>
                <w:lang w:val="en-US" w:eastAsia="zh-CN"/>
              </w:rPr>
              <w:t>其它得</w:t>
            </w:r>
            <w:r>
              <w:rPr>
                <w:rFonts w:hint="eastAsia" w:ascii="宋体" w:hAnsi="宋体" w:cs="宋体"/>
                <w:color w:val="auto"/>
                <w:szCs w:val="21"/>
                <w:highlight w:val="none"/>
                <w:u w:val="single"/>
                <w:lang w:val="en-US" w:eastAsia="zh-CN"/>
              </w:rPr>
              <w:t xml:space="preserve"> 1 </w:t>
            </w:r>
            <w:r>
              <w:rPr>
                <w:rFonts w:hint="eastAsia" w:ascii="宋体" w:hAnsi="宋体" w:cs="宋体"/>
                <w:color w:val="auto"/>
                <w:szCs w:val="21"/>
                <w:highlight w:val="none"/>
                <w:u w:val="none"/>
                <w:lang w:val="en-US" w:eastAsia="zh-CN"/>
              </w:rPr>
              <w:t>分。</w:t>
            </w:r>
            <w:r>
              <w:rPr>
                <w:rFonts w:hint="eastAsia" w:ascii="宋体" w:hAnsi="宋体"/>
                <w:color w:val="auto"/>
                <w:szCs w:val="21"/>
                <w:highlight w:val="none"/>
                <w:lang w:val="zh-CN"/>
              </w:rPr>
              <w:t>本项不得累计计分，最高得</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lang w:val="zh-CN"/>
              </w:rPr>
              <w:t xml:space="preserve"> </w:t>
            </w:r>
            <w:r>
              <w:rPr>
                <w:rFonts w:ascii="宋体" w:hAnsi="宋体"/>
                <w:color w:val="auto"/>
                <w:szCs w:val="21"/>
                <w:highlight w:val="none"/>
                <w:lang w:val="zh-CN"/>
              </w:rPr>
              <w:t>分</w:t>
            </w:r>
            <w:r>
              <w:rPr>
                <w:rFonts w:hint="eastAsia" w:ascii="宋体" w:hAnsi="宋体"/>
                <w:color w:val="auto"/>
                <w:szCs w:val="21"/>
                <w:highlight w:val="none"/>
                <w:lang w:val="zh-CN"/>
              </w:rPr>
              <w:t>。</w:t>
            </w:r>
          </w:p>
          <w:p>
            <w:pPr>
              <w:pStyle w:val="97"/>
              <w:wordWrap w:val="0"/>
              <w:topLinePunct/>
              <w:adjustRightInd w:val="0"/>
              <w:spacing w:line="280" w:lineRule="exact"/>
              <w:rPr>
                <w:rFonts w:ascii="宋体" w:hAnsi="宋体" w:cs="宋体"/>
                <w:color w:val="auto"/>
                <w:szCs w:val="21"/>
                <w:highlight w:val="none"/>
              </w:rPr>
            </w:pPr>
            <w:r>
              <w:rPr>
                <w:rFonts w:hint="eastAsia" w:ascii="宋体" w:hAnsi="宋体" w:cs="宋体"/>
                <w:color w:val="auto"/>
                <w:szCs w:val="21"/>
                <w:highlight w:val="none"/>
                <w:lang w:val="zh-CN"/>
              </w:rPr>
              <w:t>（2）近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年内类似设计项目中：</w:t>
            </w:r>
            <w:r>
              <w:rPr>
                <w:color w:val="auto"/>
                <w:szCs w:val="21"/>
                <w:highlight w:val="none"/>
                <w:lang w:val="zh-CN"/>
              </w:rPr>
              <w:t>获</w:t>
            </w:r>
            <w:r>
              <w:rPr>
                <w:rFonts w:hint="eastAsia"/>
                <w:color w:val="auto"/>
                <w:szCs w:val="21"/>
                <w:highlight w:val="none"/>
                <w:lang w:val="zh-CN"/>
              </w:rPr>
              <w:t>国家级奖项，</w:t>
            </w:r>
            <w:r>
              <w:rPr>
                <w:rFonts w:hint="eastAsia" w:ascii="宋体" w:hAnsi="宋体" w:cs="宋体"/>
                <w:color w:val="auto"/>
                <w:szCs w:val="21"/>
                <w:highlight w:val="none"/>
                <w:lang w:val="zh-CN"/>
              </w:rPr>
              <w:t>每项得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r>
              <w:rPr>
                <w:rFonts w:hint="eastAsia"/>
                <w:color w:val="auto"/>
                <w:szCs w:val="21"/>
                <w:highlight w:val="none"/>
                <w:lang w:val="zh-CN"/>
              </w:rPr>
              <w:t>获行业级奖项，</w:t>
            </w:r>
            <w:r>
              <w:rPr>
                <w:rFonts w:hint="eastAsia" w:ascii="宋体" w:hAnsi="宋体" w:cs="宋体"/>
                <w:color w:val="auto"/>
                <w:szCs w:val="21"/>
                <w:highlight w:val="none"/>
                <w:lang w:val="zh-CN"/>
              </w:rPr>
              <w:t>每项得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rPr>
              <w:t>分；</w:t>
            </w:r>
            <w:r>
              <w:rPr>
                <w:rFonts w:hint="eastAsia" w:ascii="宋体" w:hAnsi="宋体" w:cs="宋体"/>
                <w:color w:val="auto"/>
                <w:szCs w:val="21"/>
                <w:highlight w:val="none"/>
                <w:lang w:val="zh-CN"/>
              </w:rPr>
              <w:t>获省（部）级奖项的，每项得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分；获市（副省级）奖项，每项得</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0.5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分。本项最高得</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分。</w:t>
            </w:r>
          </w:p>
          <w:p>
            <w:pPr>
              <w:pStyle w:val="97"/>
              <w:wordWrap w:val="0"/>
              <w:topLinePunct/>
              <w:adjustRightInd w:val="0"/>
              <w:spacing w:line="280" w:lineRule="exact"/>
              <w:rPr>
                <w:rFonts w:ascii="宋体" w:hAnsi="宋体" w:cs="宋体"/>
                <w:color w:val="auto"/>
                <w:szCs w:val="21"/>
                <w:highlight w:val="none"/>
                <w:lang w:val="zh-CN"/>
              </w:rPr>
            </w:pPr>
            <w:r>
              <w:rPr>
                <w:rFonts w:hint="eastAsia" w:ascii="宋体" w:hAnsi="宋体" w:cs="宋体"/>
                <w:color w:val="auto"/>
                <w:szCs w:val="21"/>
                <w:highlight w:val="none"/>
              </w:rPr>
              <w:t>（3）</w:t>
            </w:r>
            <w:r>
              <w:rPr>
                <w:rFonts w:hint="eastAsia" w:ascii="宋体" w:hAnsi="宋体" w:cs="宋体"/>
                <w:color w:val="auto"/>
                <w:szCs w:val="21"/>
                <w:highlight w:val="none"/>
                <w:lang w:val="zh-CN"/>
              </w:rPr>
              <w:t>项目负责人近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 xml:space="preserve">5 </w:t>
            </w:r>
            <w:r>
              <w:rPr>
                <w:rFonts w:hint="eastAsia" w:ascii="宋体" w:hAnsi="宋体" w:cs="宋体"/>
                <w:color w:val="auto"/>
                <w:szCs w:val="21"/>
                <w:highlight w:val="none"/>
                <w:lang w:val="zh-CN"/>
              </w:rPr>
              <w:t>年内，</w:t>
            </w:r>
            <w:r>
              <w:rPr>
                <w:rFonts w:ascii="Times New Roman" w:hAnsi="Times New Roman" w:eastAsia="宋体" w:cs="Times New Roman"/>
                <w:color w:val="auto"/>
                <w:szCs w:val="21"/>
                <w:highlight w:val="none"/>
                <w:lang w:val="zh-CN"/>
              </w:rPr>
              <w:t>主持过</w:t>
            </w:r>
            <w:r>
              <w:rPr>
                <w:rFonts w:hint="eastAsia" w:ascii="宋体" w:hAnsi="宋体" w:cs="宋体"/>
                <w:strike w:val="0"/>
                <w:color w:val="auto"/>
                <w:szCs w:val="21"/>
                <w:highlight w:val="none"/>
                <w:lang w:val="zh-CN"/>
              </w:rPr>
              <w:t>类似</w:t>
            </w:r>
            <w:r>
              <w:rPr>
                <w:rFonts w:hint="eastAsia" w:ascii="宋体" w:hAnsi="宋体" w:cs="宋体"/>
                <w:strike/>
                <w:color w:val="auto"/>
                <w:szCs w:val="21"/>
                <w:highlight w:val="none"/>
                <w:lang w:val="zh-CN"/>
              </w:rPr>
              <w:t>市政道路</w:t>
            </w:r>
            <w:r>
              <w:rPr>
                <w:rFonts w:hint="eastAsia" w:ascii="宋体" w:hAnsi="宋体" w:cs="宋体"/>
                <w:color w:val="auto"/>
                <w:szCs w:val="21"/>
                <w:highlight w:val="none"/>
                <w:lang w:val="zh-CN"/>
              </w:rPr>
              <w:t>设计业绩每项得</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lang w:val="zh-CN"/>
              </w:rPr>
              <w:t>分。本项最高得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分。</w:t>
            </w:r>
          </w:p>
          <w:p>
            <w:pPr>
              <w:pStyle w:val="97"/>
              <w:wordWrap w:val="0"/>
              <w:topLinePunct/>
              <w:adjustRightInd w:val="0"/>
              <w:spacing w:line="280" w:lineRule="exact"/>
              <w:rPr>
                <w:rFonts w:ascii="宋体" w:hAnsi="宋体" w:cs="宋体"/>
                <w:color w:val="auto"/>
                <w:szCs w:val="21"/>
                <w:highlight w:val="none"/>
                <w:lang w:val="zh-CN"/>
              </w:rPr>
            </w:pPr>
            <w:r>
              <w:rPr>
                <w:rFonts w:hint="eastAsia" w:ascii="宋体" w:hAnsi="宋体" w:cs="宋体"/>
                <w:color w:val="auto"/>
                <w:szCs w:val="21"/>
                <w:highlight w:val="none"/>
                <w:lang w:val="zh-CN"/>
              </w:rPr>
              <w:t>以上各项合计最高得</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分。</w:t>
            </w:r>
          </w:p>
        </w:tc>
        <w:tc>
          <w:tcPr>
            <w:tcW w:w="4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color w:val="auto"/>
                <w:highlight w:val="none"/>
                <w:lang w:val="zh-CN"/>
              </w:rPr>
            </w:pPr>
          </w:p>
        </w:tc>
      </w:tr>
      <w:tr>
        <w:tblPrEx>
          <w:tblCellMar>
            <w:top w:w="0" w:type="dxa"/>
            <w:left w:w="108" w:type="dxa"/>
            <w:bottom w:w="0" w:type="dxa"/>
            <w:right w:w="108" w:type="dxa"/>
          </w:tblCellMar>
        </w:tblPrEx>
        <w:trPr>
          <w:trHeight w:val="411" w:hRule="atLeast"/>
          <w:jc w:val="center"/>
        </w:trPr>
        <w:tc>
          <w:tcPr>
            <w:tcW w:w="417"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color w:val="auto"/>
                <w:highlight w:val="none"/>
                <w:lang w:val="zh-CN"/>
              </w:rPr>
            </w:pPr>
          </w:p>
        </w:tc>
        <w:tc>
          <w:tcPr>
            <w:tcW w:w="87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hAnsi="宋体" w:cs="宋体"/>
                <w:color w:val="auto"/>
                <w:highlight w:val="none"/>
                <w:lang w:val="zh-CN"/>
              </w:rPr>
            </w:pPr>
          </w:p>
        </w:tc>
        <w:tc>
          <w:tcPr>
            <w:tcW w:w="663"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color w:val="auto"/>
                <w:highlight w:val="none"/>
              </w:rPr>
            </w:pPr>
          </w:p>
        </w:tc>
        <w:tc>
          <w:tcPr>
            <w:tcW w:w="11601" w:type="dxa"/>
            <w:tcBorders>
              <w:top w:val="single" w:color="auto" w:sz="6" w:space="0"/>
              <w:left w:val="single" w:color="auto" w:sz="6" w:space="0"/>
              <w:bottom w:val="single" w:color="auto" w:sz="6" w:space="0"/>
              <w:right w:val="single" w:color="auto" w:sz="6" w:space="0"/>
            </w:tcBorders>
            <w:vAlign w:val="center"/>
          </w:tcPr>
          <w:p>
            <w:pPr>
              <w:pStyle w:val="97"/>
              <w:wordWrap w:val="0"/>
              <w:topLinePunct/>
              <w:adjustRightInd w:val="0"/>
              <w:spacing w:line="280" w:lineRule="exact"/>
              <w:rPr>
                <w:rFonts w:hint="eastAsia"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、各专业负责人设计经历及业务能力：</w:t>
            </w:r>
          </w:p>
          <w:p>
            <w:pPr>
              <w:autoSpaceDE w:val="0"/>
              <w:autoSpaceDN w:val="0"/>
              <w:adjustRightInd w:val="0"/>
              <w:spacing w:line="28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）各专业负责人</w:t>
            </w:r>
            <w:r>
              <w:rPr>
                <w:rFonts w:hint="eastAsia" w:ascii="宋体" w:hAnsi="宋体" w:cs="宋体"/>
                <w:color w:val="auto"/>
                <w:szCs w:val="21"/>
                <w:highlight w:val="none"/>
                <w:lang w:val="zh-CN"/>
              </w:rPr>
              <w:t>每</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名</w:t>
            </w:r>
            <w:r>
              <w:rPr>
                <w:rFonts w:hint="eastAsia" w:ascii="宋体" w:hAnsi="宋体" w:eastAsia="宋体" w:cs="宋体"/>
                <w:color w:val="auto"/>
                <w:szCs w:val="21"/>
                <w:highlight w:val="none"/>
                <w:lang w:val="zh-CN"/>
              </w:rPr>
              <w:t>为</w:t>
            </w:r>
            <w:r>
              <w:rPr>
                <w:rFonts w:hint="eastAsia" w:ascii="宋体" w:hAnsi="宋体" w:cs="宋体"/>
                <w:color w:val="auto"/>
                <w:szCs w:val="21"/>
                <w:highlight w:val="none"/>
                <w:lang w:val="zh-CN"/>
              </w:rPr>
              <w:t>注册土木工程师（道路工程）</w:t>
            </w:r>
            <w:r>
              <w:rPr>
                <w:rFonts w:hint="eastAsia" w:ascii="宋体" w:hAnsi="宋体" w:eastAsia="宋体" w:cs="宋体"/>
                <w:color w:val="auto"/>
                <w:szCs w:val="21"/>
                <w:highlight w:val="none"/>
                <w:lang w:val="zh-CN"/>
              </w:rPr>
              <w:t>或</w:t>
            </w:r>
            <w:r>
              <w:rPr>
                <w:rFonts w:hint="eastAsia" w:ascii="宋体" w:hAnsi="宋体" w:cs="宋体"/>
                <w:color w:val="auto"/>
                <w:szCs w:val="21"/>
                <w:highlight w:val="none"/>
                <w:lang w:val="zh-CN"/>
              </w:rPr>
              <w:t>注册公用设备工程师（给水排水）</w:t>
            </w:r>
            <w:r>
              <w:rPr>
                <w:rFonts w:hint="eastAsia" w:ascii="宋体" w:hAnsi="宋体" w:eastAsia="宋体" w:cs="宋体"/>
                <w:color w:val="auto"/>
                <w:szCs w:val="21"/>
                <w:highlight w:val="none"/>
                <w:lang w:val="zh-CN"/>
              </w:rPr>
              <w:t>或</w:t>
            </w:r>
            <w:r>
              <w:rPr>
                <w:rFonts w:hint="eastAsia" w:ascii="宋体" w:hAnsi="宋体" w:cs="宋体"/>
                <w:color w:val="auto"/>
                <w:szCs w:val="21"/>
                <w:highlight w:val="none"/>
                <w:lang w:val="zh-CN"/>
              </w:rPr>
              <w:t>注册电气工程师（供配电）</w:t>
            </w:r>
            <w:r>
              <w:rPr>
                <w:rFonts w:hint="eastAsia" w:ascii="宋体" w:hAnsi="宋体" w:eastAsia="宋体" w:cs="宋体"/>
                <w:color w:val="auto"/>
                <w:szCs w:val="21"/>
                <w:highlight w:val="none"/>
                <w:lang w:val="zh-CN"/>
              </w:rPr>
              <w:t>或高级职称得</w:t>
            </w:r>
            <w:r>
              <w:rPr>
                <w:rFonts w:hint="eastAsia" w:ascii="宋体" w:hAnsi="宋体" w:eastAsia="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分</w:t>
            </w:r>
            <w:r>
              <w:rPr>
                <w:rFonts w:hint="eastAsia" w:ascii="宋体" w:hAnsi="宋体" w:cs="宋体"/>
                <w:color w:val="auto"/>
                <w:szCs w:val="21"/>
                <w:highlight w:val="none"/>
                <w:lang w:val="zh-CN"/>
              </w:rPr>
              <w:t>；每</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名为</w:t>
            </w:r>
            <w:r>
              <w:rPr>
                <w:rFonts w:hint="eastAsia" w:ascii="宋体" w:hAnsi="宋体" w:eastAsia="宋体" w:cs="宋体"/>
                <w:color w:val="auto"/>
                <w:szCs w:val="21"/>
                <w:highlight w:val="none"/>
                <w:lang w:val="zh-CN"/>
              </w:rPr>
              <w:t>中级职称</w:t>
            </w:r>
            <w:r>
              <w:rPr>
                <w:rFonts w:hint="eastAsia" w:ascii="宋体" w:hAnsi="宋体" w:cs="宋体"/>
                <w:color w:val="auto"/>
                <w:szCs w:val="21"/>
                <w:highlight w:val="none"/>
                <w:lang w:val="zh-CN"/>
              </w:rPr>
              <w:t>的</w:t>
            </w:r>
            <w:r>
              <w:rPr>
                <w:rFonts w:hint="eastAsia" w:ascii="宋体" w:hAnsi="宋体" w:eastAsia="宋体" w:cs="宋体"/>
                <w:color w:val="auto"/>
                <w:szCs w:val="21"/>
                <w:highlight w:val="none"/>
                <w:lang w:val="zh-CN"/>
              </w:rPr>
              <w:t>得</w:t>
            </w:r>
            <w:r>
              <w:rPr>
                <w:rFonts w:hint="eastAsia" w:ascii="宋体" w:hAnsi="宋体" w:eastAsia="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分</w:t>
            </w:r>
            <w:r>
              <w:rPr>
                <w:rFonts w:hint="eastAsia" w:ascii="宋体" w:hAnsi="宋体" w:cs="宋体"/>
                <w:color w:val="auto"/>
                <w:szCs w:val="21"/>
                <w:highlight w:val="none"/>
                <w:lang w:val="zh-CN"/>
              </w:rPr>
              <w:t>，其余不得分。本项最高得</w:t>
            </w:r>
            <w:r>
              <w:rPr>
                <w:rFonts w:hint="eastAsia" w:ascii="宋体" w:hAnsi="宋体" w:eastAsia="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分。</w:t>
            </w:r>
          </w:p>
          <w:p>
            <w:pPr>
              <w:autoSpaceDE w:val="0"/>
              <w:autoSpaceDN w:val="0"/>
              <w:adjustRightInd w:val="0"/>
              <w:spacing w:line="28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）各专业负责人在近</w:t>
            </w:r>
            <w:r>
              <w:rPr>
                <w:rFonts w:hint="eastAsia" w:ascii="宋体" w:hAnsi="宋体" w:eastAsia="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none"/>
                <w:lang w:val="zh-CN"/>
              </w:rPr>
              <w:t>年内</w:t>
            </w:r>
            <w:r>
              <w:rPr>
                <w:rFonts w:hint="eastAsia" w:ascii="宋体" w:hAnsi="宋体" w:eastAsia="宋体" w:cs="宋体"/>
                <w:color w:val="auto"/>
                <w:szCs w:val="21"/>
                <w:highlight w:val="none"/>
                <w:lang w:val="zh-CN"/>
              </w:rPr>
              <w:t>，每1名参与</w:t>
            </w:r>
            <w:r>
              <w:rPr>
                <w:rFonts w:hint="eastAsia" w:ascii="宋体" w:hAnsi="宋体" w:cs="宋体"/>
                <w:color w:val="auto"/>
                <w:szCs w:val="21"/>
                <w:highlight w:val="none"/>
                <w:lang w:val="zh-CN"/>
              </w:rPr>
              <w:t>的</w:t>
            </w:r>
            <w:r>
              <w:rPr>
                <w:rFonts w:hint="eastAsia" w:ascii="宋体" w:hAnsi="宋体" w:eastAsia="宋体" w:cs="宋体"/>
                <w:color w:val="auto"/>
                <w:szCs w:val="21"/>
                <w:highlight w:val="none"/>
                <w:lang w:val="zh-CN"/>
              </w:rPr>
              <w:t>设计项目</w:t>
            </w:r>
            <w:r>
              <w:rPr>
                <w:color w:val="auto"/>
                <w:szCs w:val="21"/>
                <w:highlight w:val="none"/>
                <w:lang w:val="zh-CN"/>
              </w:rPr>
              <w:t>获</w:t>
            </w:r>
            <w:r>
              <w:rPr>
                <w:rFonts w:hint="eastAsia"/>
                <w:color w:val="auto"/>
                <w:szCs w:val="21"/>
                <w:highlight w:val="none"/>
                <w:lang w:val="zh-CN"/>
              </w:rPr>
              <w:t>国家级奖项</w:t>
            </w:r>
            <w:r>
              <w:rPr>
                <w:rFonts w:hint="eastAsia"/>
                <w:color w:val="auto"/>
                <w:szCs w:val="21"/>
                <w:highlight w:val="none"/>
              </w:rPr>
              <w:t>或</w:t>
            </w:r>
            <w:r>
              <w:rPr>
                <w:rFonts w:hint="eastAsia"/>
                <w:color w:val="auto"/>
                <w:szCs w:val="21"/>
                <w:highlight w:val="none"/>
                <w:lang w:val="zh-CN"/>
              </w:rPr>
              <w:t>获行业级奖项，</w:t>
            </w:r>
            <w:r>
              <w:rPr>
                <w:rFonts w:hint="eastAsia" w:ascii="宋体" w:hAnsi="宋体" w:eastAsia="宋体" w:cs="宋体"/>
                <w:color w:val="auto"/>
                <w:szCs w:val="21"/>
                <w:highlight w:val="none"/>
                <w:lang w:val="zh-CN"/>
              </w:rPr>
              <w:t>每项得</w:t>
            </w:r>
            <w:r>
              <w:rPr>
                <w:rFonts w:hint="eastAsia" w:ascii="宋体" w:hAnsi="宋体" w:eastAsia="宋体" w:cs="宋体"/>
                <w:color w:val="auto"/>
                <w:szCs w:val="21"/>
                <w:highlight w:val="none"/>
                <w:u w:val="single"/>
                <w:lang w:val="zh-CN"/>
              </w:rPr>
              <w:t xml:space="preserve"> 3 </w:t>
            </w:r>
            <w:r>
              <w:rPr>
                <w:rFonts w:hint="eastAsia" w:ascii="宋体" w:hAnsi="宋体" w:eastAsia="宋体" w:cs="宋体"/>
                <w:color w:val="auto"/>
                <w:szCs w:val="21"/>
                <w:highlight w:val="none"/>
                <w:lang w:val="zh-CN"/>
              </w:rPr>
              <w:t>分；获得省（部）级奖项的，每项得</w:t>
            </w:r>
            <w:r>
              <w:rPr>
                <w:rFonts w:hint="eastAsia" w:ascii="宋体" w:hAnsi="宋体" w:eastAsia="宋体" w:cs="宋体"/>
                <w:color w:val="auto"/>
                <w:szCs w:val="21"/>
                <w:highlight w:val="none"/>
                <w:u w:val="single"/>
                <w:lang w:val="zh-CN"/>
              </w:rPr>
              <w:t xml:space="preserve"> 2 </w:t>
            </w:r>
            <w:r>
              <w:rPr>
                <w:rFonts w:hint="eastAsia" w:ascii="宋体" w:hAnsi="宋体" w:eastAsia="宋体" w:cs="宋体"/>
                <w:color w:val="auto"/>
                <w:szCs w:val="21"/>
                <w:highlight w:val="none"/>
                <w:lang w:val="zh-CN"/>
              </w:rPr>
              <w:t>分；获市（副省）级奖项，每项得</w:t>
            </w:r>
            <w:r>
              <w:rPr>
                <w:rFonts w:hint="eastAsia" w:ascii="宋体" w:hAnsi="宋体" w:eastAsia="宋体" w:cs="宋体"/>
                <w:color w:val="auto"/>
                <w:szCs w:val="21"/>
                <w:highlight w:val="none"/>
                <w:u w:val="single"/>
                <w:lang w:val="zh-CN"/>
              </w:rPr>
              <w:t xml:space="preserve"> 1 </w:t>
            </w:r>
            <w:r>
              <w:rPr>
                <w:rFonts w:hint="eastAsia" w:ascii="宋体" w:hAnsi="宋体" w:eastAsia="宋体" w:cs="宋体"/>
                <w:color w:val="auto"/>
                <w:szCs w:val="21"/>
                <w:highlight w:val="none"/>
                <w:lang w:val="zh-CN"/>
              </w:rPr>
              <w:t>分。本项最高得</w:t>
            </w:r>
            <w:r>
              <w:rPr>
                <w:rFonts w:hint="eastAsia" w:ascii="宋体" w:hAnsi="宋体" w:eastAsia="宋体" w:cs="宋体"/>
                <w:color w:val="auto"/>
                <w:szCs w:val="21"/>
                <w:highlight w:val="none"/>
                <w:u w:val="single"/>
                <w:lang w:val="zh-CN"/>
              </w:rPr>
              <w:t xml:space="preserve"> 5 </w:t>
            </w:r>
            <w:r>
              <w:rPr>
                <w:rFonts w:hint="eastAsia" w:ascii="宋体" w:hAnsi="宋体" w:eastAsia="宋体" w:cs="宋体"/>
                <w:color w:val="auto"/>
                <w:szCs w:val="21"/>
                <w:highlight w:val="none"/>
                <w:lang w:val="zh-CN"/>
              </w:rPr>
              <w:t>分。</w:t>
            </w:r>
          </w:p>
          <w:p>
            <w:pPr>
              <w:autoSpaceDE w:val="0"/>
              <w:autoSpaceDN w:val="0"/>
              <w:adjustRightInd w:val="0"/>
              <w:spacing w:line="28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（3）各专业负责人近</w:t>
            </w:r>
            <w:r>
              <w:rPr>
                <w:rFonts w:hint="eastAsia" w:ascii="宋体" w:hAnsi="宋体" w:eastAsia="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none"/>
                <w:lang w:val="zh-CN"/>
              </w:rPr>
              <w:t>年内</w:t>
            </w:r>
            <w:r>
              <w:rPr>
                <w:rFonts w:hint="eastAsia" w:ascii="宋体" w:hAnsi="宋体" w:eastAsia="宋体" w:cs="宋体"/>
                <w:color w:val="auto"/>
                <w:szCs w:val="21"/>
                <w:highlight w:val="none"/>
                <w:lang w:val="zh-CN"/>
              </w:rPr>
              <w:t>，每</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zh-CN"/>
              </w:rPr>
              <w:t>名参与过类似业绩者得</w:t>
            </w:r>
            <w:r>
              <w:rPr>
                <w:rFonts w:hint="eastAsia" w:ascii="宋体" w:hAnsi="宋体" w:eastAsia="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分。</w:t>
            </w:r>
            <w:r>
              <w:rPr>
                <w:rFonts w:hint="eastAsia" w:ascii="宋体" w:hAnsi="宋体" w:cs="宋体"/>
                <w:color w:val="auto"/>
                <w:szCs w:val="21"/>
                <w:highlight w:val="none"/>
                <w:lang w:val="zh-CN"/>
              </w:rPr>
              <w:t>本项最高得</w:t>
            </w:r>
            <w:r>
              <w:rPr>
                <w:rFonts w:hint="eastAsia" w:ascii="宋体" w:hAnsi="宋体" w:eastAsia="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分。</w:t>
            </w:r>
          </w:p>
          <w:p>
            <w:pPr>
              <w:autoSpaceDE w:val="0"/>
              <w:autoSpaceDN w:val="0"/>
              <w:adjustRightInd w:val="0"/>
              <w:spacing w:line="28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注：1.各专业负责人为附录4要求的各专业负责人；2. 投标人拟投入的人员应为本单位人员（若为联合体投标的，上述人员需根据联合体共同投标协议约定的分工内容，由相应单位委派），并提供本表所列人员</w:t>
            </w:r>
            <w:r>
              <w:rPr>
                <w:rFonts w:hint="eastAsia" w:ascii="宋体" w:hAnsi="宋体" w:cs="宋体"/>
                <w:color w:val="auto"/>
                <w:szCs w:val="21"/>
                <w:highlight w:val="none"/>
                <w:lang w:val="en-US" w:eastAsia="zh-CN"/>
              </w:rPr>
              <w:t>2022年8月</w:t>
            </w:r>
            <w:r>
              <w:rPr>
                <w:rFonts w:hint="eastAsia" w:ascii="宋体" w:hAnsi="宋体" w:eastAsia="宋体" w:cs="宋体"/>
                <w:color w:val="auto"/>
                <w:szCs w:val="21"/>
                <w:highlight w:val="none"/>
                <w:lang w:val="zh-CN"/>
              </w:rPr>
              <w:t>有效参保的社保证明（含分公司或分支机构社保缴纳记录）。</w:t>
            </w:r>
          </w:p>
          <w:p>
            <w:pPr>
              <w:pStyle w:val="97"/>
              <w:wordWrap w:val="0"/>
              <w:topLinePunct/>
              <w:adjustRightInd w:val="0"/>
              <w:spacing w:line="280" w:lineRule="exact"/>
              <w:rPr>
                <w:rFonts w:hint="eastAsia" w:ascii="宋体" w:hAnsi="宋体" w:cs="宋体"/>
                <w:color w:val="auto"/>
                <w:highlight w:val="none"/>
                <w:lang w:val="zh-CN"/>
              </w:rPr>
            </w:pPr>
            <w:r>
              <w:rPr>
                <w:rFonts w:hint="eastAsia" w:ascii="宋体" w:hAnsi="宋体" w:cs="宋体"/>
                <w:color w:val="auto"/>
                <w:szCs w:val="21"/>
                <w:highlight w:val="none"/>
                <w:lang w:val="zh-CN"/>
              </w:rPr>
              <w:t>以上各项合计最高得</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分。</w:t>
            </w:r>
          </w:p>
        </w:tc>
        <w:tc>
          <w:tcPr>
            <w:tcW w:w="4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color w:val="auto"/>
                <w:highlight w:val="none"/>
                <w:lang w:val="zh-CN"/>
              </w:rPr>
            </w:pPr>
          </w:p>
        </w:tc>
      </w:tr>
      <w:tr>
        <w:tblPrEx>
          <w:tblCellMar>
            <w:top w:w="0" w:type="dxa"/>
            <w:left w:w="108" w:type="dxa"/>
            <w:bottom w:w="0" w:type="dxa"/>
            <w:right w:w="108" w:type="dxa"/>
          </w:tblCellMar>
        </w:tblPrEx>
        <w:trPr>
          <w:trHeight w:val="408" w:hRule="atLeast"/>
          <w:jc w:val="center"/>
        </w:trPr>
        <w:tc>
          <w:tcPr>
            <w:tcW w:w="417"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四</w:t>
            </w:r>
          </w:p>
        </w:tc>
        <w:tc>
          <w:tcPr>
            <w:tcW w:w="876"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80" w:lineRule="exact"/>
              <w:jc w:val="center"/>
              <w:rPr>
                <w:rFonts w:ascii="宋体" w:hAnsi="宋体" w:cs="宋体"/>
                <w:color w:val="auto"/>
                <w:highlight w:val="none"/>
                <w:lang w:val="zh-CN"/>
              </w:rPr>
            </w:pPr>
            <w:r>
              <w:rPr>
                <w:rFonts w:hint="eastAsia" w:ascii="宋体" w:hAnsi="宋体" w:cs="宋体"/>
                <w:color w:val="auto"/>
                <w:highlight w:val="none"/>
                <w:lang w:val="zh-CN"/>
              </w:rPr>
              <w:t>服务及措施</w:t>
            </w:r>
          </w:p>
        </w:tc>
        <w:tc>
          <w:tcPr>
            <w:tcW w:w="663" w:type="dxa"/>
            <w:tcBorders>
              <w:top w:val="single" w:color="auto" w:sz="6" w:space="0"/>
              <w:left w:val="single" w:color="auto" w:sz="6" w:space="0"/>
              <w:bottom w:val="single" w:color="auto" w:sz="4" w:space="0"/>
              <w:right w:val="single" w:color="auto" w:sz="6" w:space="0"/>
            </w:tcBorders>
            <w:vAlign w:val="center"/>
          </w:tcPr>
          <w:p>
            <w:pPr>
              <w:pStyle w:val="97"/>
              <w:wordWrap w:val="0"/>
              <w:topLinePunct/>
              <w:adjustRightInd w:val="0"/>
              <w:spacing w:line="260" w:lineRule="exact"/>
              <w:jc w:val="center"/>
              <w:rPr>
                <w:rFonts w:ascii="宋体" w:hAnsi="宋体" w:cs="宋体"/>
                <w:color w:val="auto"/>
                <w:highlight w:val="none"/>
              </w:rPr>
            </w:pPr>
            <w:r>
              <w:rPr>
                <w:rFonts w:hint="eastAsia" w:ascii="宋体" w:hAnsi="宋体" w:cs="宋体"/>
                <w:color w:val="auto"/>
                <w:highlight w:val="none"/>
                <w:lang w:val="zh-CN"/>
              </w:rPr>
              <w:t>[</w:t>
            </w:r>
            <w:r>
              <w:rPr>
                <w:rFonts w:hint="eastAsia" w:ascii="宋体" w:hAnsi="宋体" w:cs="宋体"/>
                <w:color w:val="auto"/>
                <w:highlight w:val="none"/>
              </w:rPr>
              <w:t>5</w:t>
            </w:r>
            <w:r>
              <w:rPr>
                <w:rFonts w:hint="eastAsia" w:ascii="宋体" w:hAnsi="宋体" w:cs="宋体"/>
                <w:color w:val="auto"/>
                <w:highlight w:val="none"/>
                <w:lang w:val="zh-CN"/>
              </w:rPr>
              <w:t>]</w:t>
            </w:r>
          </w:p>
        </w:tc>
        <w:tc>
          <w:tcPr>
            <w:tcW w:w="11601"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60" w:lineRule="exact"/>
              <w:rPr>
                <w:rFonts w:ascii="宋体" w:hAnsi="宋体" w:cs="宋体"/>
                <w:color w:val="auto"/>
                <w:highlight w:val="none"/>
              </w:rPr>
            </w:pPr>
            <w:r>
              <w:rPr>
                <w:rFonts w:hint="eastAsia" w:ascii="宋体" w:hAnsi="宋体" w:cs="宋体"/>
                <w:color w:val="auto"/>
                <w:highlight w:val="none"/>
              </w:rPr>
              <w:t>有针对本项目所制定的设计进度安排、质量保证措施、协助业主确保工程质量、控制工程规模、降低工程造价、减少设计变更等措施的</w:t>
            </w:r>
            <w:r>
              <w:rPr>
                <w:rFonts w:hint="eastAsia" w:ascii="宋体" w:hAnsi="宋体" w:cs="宋体"/>
                <w:color w:val="auto"/>
                <w:szCs w:val="21"/>
                <w:highlight w:val="none"/>
              </w:rPr>
              <w:t>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 xml:space="preserve">5 </w:t>
            </w:r>
            <w:r>
              <w:rPr>
                <w:rFonts w:hint="eastAsia" w:ascii="宋体" w:hAnsi="宋体" w:cs="宋体"/>
                <w:color w:val="auto"/>
                <w:szCs w:val="21"/>
                <w:highlight w:val="none"/>
                <w:lang w:val="zh-CN"/>
              </w:rPr>
              <w:t>分，没有不得分。</w:t>
            </w:r>
          </w:p>
        </w:tc>
        <w:tc>
          <w:tcPr>
            <w:tcW w:w="4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color w:val="auto"/>
                <w:highlight w:val="none"/>
              </w:rPr>
            </w:pPr>
          </w:p>
        </w:tc>
      </w:tr>
      <w:tr>
        <w:tblPrEx>
          <w:tblCellMar>
            <w:top w:w="0" w:type="dxa"/>
            <w:left w:w="108" w:type="dxa"/>
            <w:bottom w:w="0" w:type="dxa"/>
            <w:right w:w="108" w:type="dxa"/>
          </w:tblCellMar>
        </w:tblPrEx>
        <w:trPr>
          <w:trHeight w:val="408" w:hRule="atLeast"/>
          <w:jc w:val="center"/>
        </w:trPr>
        <w:tc>
          <w:tcPr>
            <w:tcW w:w="41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五</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信誉</w:t>
            </w:r>
          </w:p>
        </w:tc>
        <w:tc>
          <w:tcPr>
            <w:tcW w:w="663" w:type="dxa"/>
            <w:vMerge w:val="restart"/>
            <w:tcBorders>
              <w:top w:val="single" w:color="auto" w:sz="4" w:space="0"/>
              <w:left w:val="single" w:color="auto" w:sz="4" w:space="0"/>
              <w:bottom w:val="single" w:color="auto" w:sz="4" w:space="0"/>
              <w:right w:val="single" w:color="auto" w:sz="4" w:space="0"/>
            </w:tcBorders>
            <w:vAlign w:val="center"/>
          </w:tcPr>
          <w:p>
            <w:pPr>
              <w:pStyle w:val="97"/>
              <w:wordWrap w:val="0"/>
              <w:topLinePunct/>
              <w:adjustRightInd w:val="0"/>
              <w:spacing w:line="26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w:t>
            </w:r>
            <w:r>
              <w:rPr>
                <w:rFonts w:hint="eastAsia" w:ascii="宋体" w:hAnsi="宋体" w:cs="宋体"/>
                <w:color w:val="auto"/>
                <w:highlight w:val="none"/>
              </w:rPr>
              <w:t>20</w:t>
            </w:r>
            <w:r>
              <w:rPr>
                <w:rFonts w:hint="eastAsia" w:ascii="宋体" w:hAnsi="宋体" w:cs="宋体"/>
                <w:color w:val="auto"/>
                <w:highlight w:val="none"/>
                <w:lang w:val="zh-CN"/>
              </w:rPr>
              <w:t>]</w:t>
            </w:r>
          </w:p>
        </w:tc>
        <w:tc>
          <w:tcPr>
            <w:tcW w:w="116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highlight w:val="none"/>
              </w:rPr>
            </w:pPr>
            <w:r>
              <w:rPr>
                <w:rFonts w:hint="eastAsia" w:ascii="宋体" w:hAnsi="宋体" w:cs="宋体"/>
                <w:color w:val="auto"/>
                <w:szCs w:val="18"/>
                <w:highlight w:val="none"/>
              </w:rPr>
              <w:t>1</w:t>
            </w:r>
            <w:r>
              <w:rPr>
                <w:rFonts w:hint="eastAsia" w:ascii="宋体" w:hAnsi="宋体" w:cs="宋体"/>
                <w:color w:val="auto"/>
                <w:szCs w:val="18"/>
                <w:highlight w:val="none"/>
                <w:lang w:val="zh-CN"/>
              </w:rPr>
              <w:t>、近</w:t>
            </w:r>
            <w:r>
              <w:rPr>
                <w:rFonts w:hint="eastAsia" w:ascii="宋体" w:hAnsi="宋体" w:cs="宋体"/>
                <w:color w:val="auto"/>
                <w:szCs w:val="18"/>
                <w:highlight w:val="none"/>
                <w:u w:val="single"/>
              </w:rPr>
              <w:t xml:space="preserve"> </w:t>
            </w:r>
            <w:r>
              <w:rPr>
                <w:rFonts w:hint="eastAsia" w:ascii="宋体" w:hAnsi="宋体" w:cs="宋体"/>
                <w:color w:val="auto"/>
                <w:szCs w:val="18"/>
                <w:highlight w:val="none"/>
                <w:u w:val="single"/>
                <w:lang w:val="zh-CN"/>
              </w:rPr>
              <w:t>5</w:t>
            </w:r>
            <w:r>
              <w:rPr>
                <w:rFonts w:hint="eastAsia" w:ascii="宋体" w:hAnsi="宋体" w:cs="宋体"/>
                <w:color w:val="auto"/>
                <w:szCs w:val="18"/>
                <w:highlight w:val="none"/>
                <w:u w:val="single"/>
              </w:rPr>
              <w:t xml:space="preserve"> </w:t>
            </w:r>
            <w:r>
              <w:rPr>
                <w:rFonts w:hint="eastAsia" w:ascii="宋体" w:hAnsi="宋体" w:cs="宋体"/>
                <w:color w:val="auto"/>
                <w:szCs w:val="18"/>
                <w:highlight w:val="none"/>
                <w:lang w:val="zh-CN"/>
              </w:rPr>
              <w:t>年内</w:t>
            </w:r>
            <w:r>
              <w:rPr>
                <w:rFonts w:hint="eastAsia" w:ascii="宋体" w:hAnsi="宋体" w:cs="宋体"/>
                <w:color w:val="auto"/>
                <w:szCs w:val="18"/>
                <w:highlight w:val="none"/>
              </w:rPr>
              <w:t>获得</w:t>
            </w:r>
            <w:r>
              <w:rPr>
                <w:rFonts w:hint="eastAsia" w:ascii="宋体" w:hAnsi="宋体" w:cs="宋体"/>
                <w:color w:val="auto"/>
                <w:szCs w:val="18"/>
                <w:highlight w:val="none"/>
                <w:lang w:eastAsia="zh-CN"/>
              </w:rPr>
              <w:t>国家级</w:t>
            </w:r>
            <w:r>
              <w:rPr>
                <w:rFonts w:hint="eastAsia" w:ascii="宋体" w:hAnsi="宋体" w:cs="宋体"/>
                <w:color w:val="auto"/>
                <w:szCs w:val="18"/>
                <w:highlight w:val="none"/>
              </w:rPr>
              <w:t>勘察设计协会颁发</w:t>
            </w:r>
            <w:r>
              <w:rPr>
                <w:rFonts w:hint="eastAsia" w:ascii="宋体" w:hAnsi="宋体" w:cs="宋体"/>
                <w:color w:val="auto"/>
                <w:szCs w:val="21"/>
                <w:highlight w:val="none"/>
                <w:lang w:val="zh-CN"/>
              </w:rPr>
              <w:t>“优秀勘察设计企业”荣誉证书得</w:t>
            </w:r>
            <w:r>
              <w:rPr>
                <w:rFonts w:hint="eastAsia" w:ascii="宋体" w:hAnsi="宋体" w:cs="宋体"/>
                <w:color w:val="auto"/>
                <w:szCs w:val="21"/>
                <w:highlight w:val="none"/>
                <w:u w:val="single"/>
              </w:rPr>
              <w:t xml:space="preserve"> 6</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分，没有不得分。</w:t>
            </w:r>
          </w:p>
        </w:tc>
        <w:tc>
          <w:tcPr>
            <w:tcW w:w="438"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color w:val="auto"/>
                <w:highlight w:val="none"/>
              </w:rPr>
            </w:pPr>
          </w:p>
        </w:tc>
      </w:tr>
      <w:tr>
        <w:tblPrEx>
          <w:tblCellMar>
            <w:top w:w="0" w:type="dxa"/>
            <w:left w:w="108" w:type="dxa"/>
            <w:bottom w:w="0" w:type="dxa"/>
            <w:right w:w="108" w:type="dxa"/>
          </w:tblCellMar>
        </w:tblPrEx>
        <w:trPr>
          <w:trHeight w:val="408" w:hRule="atLeast"/>
          <w:jc w:val="center"/>
        </w:trPr>
        <w:tc>
          <w:tcPr>
            <w:tcW w:w="41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cs="宋体"/>
                <w:color w:val="auto"/>
                <w:highlight w:val="none"/>
                <w:lang w:val="en-US" w:eastAsia="zh-CN"/>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hint="eastAsia" w:ascii="宋体" w:hAnsi="宋体" w:cs="宋体"/>
                <w:color w:val="auto"/>
                <w:highlight w:val="none"/>
                <w:lang w:val="zh-CN"/>
              </w:rPr>
            </w:pP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pStyle w:val="97"/>
              <w:wordWrap w:val="0"/>
              <w:topLinePunct/>
              <w:adjustRightInd w:val="0"/>
              <w:spacing w:line="260" w:lineRule="exact"/>
              <w:jc w:val="center"/>
              <w:rPr>
                <w:rFonts w:hint="eastAsia" w:ascii="宋体" w:hAnsi="宋体" w:cs="宋体"/>
                <w:color w:val="auto"/>
                <w:highlight w:val="none"/>
                <w:lang w:val="zh-CN"/>
              </w:rPr>
            </w:pPr>
          </w:p>
        </w:tc>
        <w:tc>
          <w:tcPr>
            <w:tcW w:w="1160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1"/>
                <w:highlight w:val="none"/>
                <w:lang w:val="zh-CN"/>
              </w:rPr>
            </w:pPr>
            <w:r>
              <w:rPr>
                <w:rFonts w:hint="eastAsia" w:ascii="宋体" w:hAnsi="宋体" w:cs="宋体"/>
                <w:color w:val="auto"/>
                <w:szCs w:val="21"/>
                <w:highlight w:val="none"/>
                <w:lang w:val="zh-CN"/>
              </w:rPr>
              <w:t>2、</w:t>
            </w:r>
            <w:r>
              <w:rPr>
                <w:rFonts w:hint="eastAsia" w:ascii="宋体" w:hAnsi="宋体" w:cs="宋体"/>
                <w:color w:val="auto"/>
                <w:szCs w:val="21"/>
                <w:highlight w:val="none"/>
                <w:lang w:val="en-US" w:eastAsia="zh-CN"/>
              </w:rPr>
              <w:t>具有</w:t>
            </w:r>
            <w:r>
              <w:rPr>
                <w:rFonts w:hint="eastAsia" w:ascii="宋体" w:hAnsi="宋体" w:cs="宋体"/>
                <w:color w:val="auto"/>
                <w:szCs w:val="21"/>
                <w:highlight w:val="none"/>
                <w:lang w:val="zh-CN"/>
              </w:rPr>
              <w:t>工程勘察设计行业质量管理体系升级版认证证书AAA</w:t>
            </w:r>
            <w:r>
              <w:rPr>
                <w:rFonts w:hint="eastAsia" w:ascii="宋体" w:hAnsi="宋体" w:cs="宋体"/>
                <w:color w:val="auto"/>
                <w:szCs w:val="21"/>
                <w:highlight w:val="none"/>
                <w:lang w:val="en-US" w:eastAsia="zh-CN"/>
              </w:rPr>
              <w:t>级</w:t>
            </w:r>
            <w:r>
              <w:rPr>
                <w:rFonts w:hint="eastAsia" w:ascii="宋体" w:hAnsi="宋体" w:cs="宋体"/>
                <w:color w:val="auto"/>
                <w:szCs w:val="21"/>
                <w:highlight w:val="none"/>
                <w:lang w:val="zh-CN"/>
              </w:rPr>
              <w:t>的</w:t>
            </w:r>
            <w:r>
              <w:rPr>
                <w:rFonts w:hint="eastAsia" w:ascii="宋体" w:hAnsi="宋体" w:cs="宋体"/>
                <w:color w:val="auto"/>
                <w:szCs w:val="18"/>
                <w:highlight w:val="none"/>
              </w:rPr>
              <w:t>得</w:t>
            </w:r>
            <w:r>
              <w:rPr>
                <w:rFonts w:hint="eastAsia" w:ascii="宋体" w:hAnsi="宋体" w:cs="宋体"/>
                <w:color w:val="auto"/>
                <w:szCs w:val="21"/>
                <w:highlight w:val="none"/>
                <w:u w:val="single"/>
              </w:rPr>
              <w:t xml:space="preserve"> 6</w:t>
            </w:r>
            <w:r>
              <w:rPr>
                <w:rFonts w:hint="eastAsia" w:ascii="宋体" w:hAnsi="宋体" w:cs="宋体"/>
                <w:color w:val="auto"/>
                <w:szCs w:val="21"/>
                <w:highlight w:val="none"/>
                <w:u w:val="single"/>
                <w:lang w:val="zh-CN"/>
              </w:rPr>
              <w:t xml:space="preserve"> </w:t>
            </w:r>
            <w:r>
              <w:rPr>
                <w:rFonts w:hint="eastAsia" w:ascii="宋体" w:hAnsi="宋体" w:cs="宋体"/>
                <w:color w:val="auto"/>
                <w:szCs w:val="18"/>
                <w:highlight w:val="none"/>
              </w:rPr>
              <w:t>分</w:t>
            </w:r>
            <w:r>
              <w:rPr>
                <w:rFonts w:hint="eastAsia" w:ascii="宋体" w:hAnsi="宋体" w:cs="宋体"/>
                <w:color w:val="auto"/>
                <w:szCs w:val="21"/>
                <w:highlight w:val="none"/>
                <w:lang w:val="zh-CN"/>
              </w:rPr>
              <w:t>，AA</w:t>
            </w:r>
            <w:r>
              <w:rPr>
                <w:rFonts w:hint="eastAsia" w:ascii="宋体" w:hAnsi="宋体" w:cs="宋体"/>
                <w:color w:val="auto"/>
                <w:szCs w:val="21"/>
                <w:highlight w:val="none"/>
                <w:lang w:val="en-US" w:eastAsia="zh-CN"/>
              </w:rPr>
              <w:t>级</w:t>
            </w:r>
            <w:r>
              <w:rPr>
                <w:rFonts w:hint="eastAsia" w:ascii="宋体" w:hAnsi="宋体" w:cs="宋体"/>
                <w:color w:val="auto"/>
                <w:szCs w:val="21"/>
                <w:highlight w:val="none"/>
                <w:lang w:val="zh-CN"/>
              </w:rPr>
              <w:t>的</w:t>
            </w:r>
            <w:r>
              <w:rPr>
                <w:rFonts w:hint="eastAsia" w:ascii="宋体" w:hAnsi="宋体" w:cs="宋体"/>
                <w:color w:val="auto"/>
                <w:szCs w:val="18"/>
                <w:highlight w:val="none"/>
              </w:rPr>
              <w:t>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lang w:val="zh-CN"/>
              </w:rPr>
              <w:t xml:space="preserve"> </w:t>
            </w:r>
            <w:r>
              <w:rPr>
                <w:rFonts w:hint="eastAsia" w:ascii="宋体" w:hAnsi="宋体" w:cs="宋体"/>
                <w:color w:val="auto"/>
                <w:szCs w:val="18"/>
                <w:highlight w:val="none"/>
              </w:rPr>
              <w:t>分</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1级</w:t>
            </w:r>
            <w:r>
              <w:rPr>
                <w:rFonts w:hint="eastAsia" w:ascii="宋体" w:hAnsi="宋体" w:cs="宋体"/>
                <w:color w:val="auto"/>
                <w:szCs w:val="21"/>
                <w:highlight w:val="none"/>
                <w:lang w:val="zh-CN"/>
              </w:rPr>
              <w:t>的</w:t>
            </w:r>
            <w:r>
              <w:rPr>
                <w:rFonts w:hint="eastAsia" w:ascii="宋体" w:hAnsi="宋体" w:cs="宋体"/>
                <w:color w:val="auto"/>
                <w:szCs w:val="18"/>
                <w:highlight w:val="none"/>
              </w:rPr>
              <w:t>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lang w:val="zh-CN"/>
              </w:rPr>
              <w:t xml:space="preserve"> </w:t>
            </w:r>
            <w:r>
              <w:rPr>
                <w:rFonts w:hint="eastAsia" w:ascii="宋体" w:hAnsi="宋体" w:cs="宋体"/>
                <w:color w:val="auto"/>
                <w:szCs w:val="18"/>
                <w:highlight w:val="none"/>
              </w:rPr>
              <w:t>分</w:t>
            </w:r>
            <w:r>
              <w:rPr>
                <w:rFonts w:hint="eastAsia" w:ascii="宋体" w:hAnsi="宋体" w:cs="宋体"/>
                <w:color w:val="auto"/>
                <w:szCs w:val="21"/>
                <w:highlight w:val="none"/>
                <w:lang w:val="zh-CN"/>
              </w:rPr>
              <w:t>；</w:t>
            </w:r>
          </w:p>
          <w:p>
            <w:pPr>
              <w:rPr>
                <w:rFonts w:hint="eastAsia" w:ascii="宋体" w:hAnsi="宋体" w:cs="宋体"/>
                <w:color w:val="auto"/>
                <w:highlight w:val="none"/>
              </w:rPr>
            </w:pPr>
            <w:r>
              <w:rPr>
                <w:rFonts w:hint="eastAsia" w:ascii="宋体" w:hAnsi="宋体" w:cs="宋体"/>
                <w:color w:val="auto"/>
                <w:szCs w:val="21"/>
                <w:highlight w:val="none"/>
                <w:lang w:val="zh-CN"/>
              </w:rPr>
              <w:t>具有环境管理体系认证证书的得</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lang w:val="zh-CN"/>
              </w:rPr>
              <w:t>分，具有职业健康安全管理体系认证证书的得</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lang w:val="zh-CN"/>
              </w:rPr>
              <w:t>分；没有不得分</w:t>
            </w:r>
            <w:r>
              <w:rPr>
                <w:rFonts w:hint="eastAsia" w:ascii="宋体" w:hAnsi="宋体" w:cs="宋体"/>
                <w:color w:val="auto"/>
                <w:szCs w:val="21"/>
                <w:highlight w:val="none"/>
              </w:rPr>
              <w:t>，本项最高得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rPr>
              <w:t>分。</w:t>
            </w:r>
          </w:p>
        </w:tc>
        <w:tc>
          <w:tcPr>
            <w:tcW w:w="438"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color w:val="auto"/>
                <w:highlight w:val="none"/>
              </w:rPr>
            </w:pPr>
          </w:p>
        </w:tc>
      </w:tr>
      <w:tr>
        <w:tblPrEx>
          <w:tblCellMar>
            <w:top w:w="0" w:type="dxa"/>
            <w:left w:w="108" w:type="dxa"/>
            <w:bottom w:w="0" w:type="dxa"/>
            <w:right w:w="108" w:type="dxa"/>
          </w:tblCellMar>
        </w:tblPrEx>
        <w:trPr>
          <w:trHeight w:val="408" w:hRule="atLeast"/>
          <w:jc w:val="center"/>
        </w:trPr>
        <w:tc>
          <w:tcPr>
            <w:tcW w:w="41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cs="宋体"/>
                <w:color w:val="auto"/>
                <w:highlight w:val="none"/>
                <w:lang w:val="en-US" w:eastAsia="zh-CN"/>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hint="eastAsia" w:ascii="宋体" w:hAnsi="宋体" w:cs="宋体"/>
                <w:color w:val="auto"/>
                <w:highlight w:val="none"/>
                <w:lang w:val="zh-CN"/>
              </w:rPr>
            </w:pPr>
          </w:p>
        </w:tc>
        <w:tc>
          <w:tcPr>
            <w:tcW w:w="663" w:type="dxa"/>
            <w:vMerge w:val="continue"/>
            <w:tcBorders>
              <w:top w:val="single" w:color="auto" w:sz="4" w:space="0"/>
              <w:left w:val="single" w:color="auto" w:sz="4" w:space="0"/>
              <w:bottom w:val="single" w:color="auto" w:sz="4" w:space="0"/>
              <w:right w:val="single" w:color="auto" w:sz="4" w:space="0"/>
            </w:tcBorders>
            <w:vAlign w:val="center"/>
          </w:tcPr>
          <w:p>
            <w:pPr>
              <w:pStyle w:val="97"/>
              <w:wordWrap w:val="0"/>
              <w:topLinePunct/>
              <w:adjustRightInd w:val="0"/>
              <w:spacing w:line="260" w:lineRule="exact"/>
              <w:jc w:val="center"/>
              <w:rPr>
                <w:rFonts w:hint="eastAsia" w:ascii="宋体" w:hAnsi="宋体" w:cs="宋体"/>
                <w:color w:val="auto"/>
                <w:highlight w:val="none"/>
                <w:lang w:val="zh-CN"/>
              </w:rPr>
            </w:pPr>
          </w:p>
        </w:tc>
        <w:tc>
          <w:tcPr>
            <w:tcW w:w="11601" w:type="dxa"/>
            <w:tcBorders>
              <w:top w:val="single" w:color="auto" w:sz="4" w:space="0"/>
              <w:left w:val="single" w:color="auto" w:sz="4" w:space="0"/>
              <w:bottom w:val="single" w:color="auto" w:sz="4" w:space="0"/>
              <w:right w:val="single" w:color="auto" w:sz="4" w:space="0"/>
            </w:tcBorders>
            <w:vAlign w:val="center"/>
          </w:tcPr>
          <w:p>
            <w:pPr>
              <w:wordWrap w:val="0"/>
              <w:topLinePunct/>
              <w:adjustRightInd w:val="0"/>
              <w:rPr>
                <w:rFonts w:ascii="宋体" w:hAnsi="宋体" w:cs="宋体"/>
                <w:color w:val="auto"/>
                <w:szCs w:val="18"/>
                <w:highlight w:val="none"/>
                <w:lang w:val="zh-CN"/>
              </w:rPr>
            </w:pPr>
            <w:r>
              <w:rPr>
                <w:rFonts w:hint="eastAsia" w:ascii="宋体" w:hAnsi="宋体" w:cs="宋体"/>
                <w:color w:val="auto"/>
                <w:szCs w:val="21"/>
                <w:highlight w:val="none"/>
                <w:lang w:val="zh-CN"/>
              </w:rPr>
              <w:t>3、投标人至今获得国家税务总局“纳税信用A级纳税人”称号，按连续获得次数由高至低排序，</w:t>
            </w:r>
            <w:r>
              <w:rPr>
                <w:rFonts w:hint="eastAsia" w:ascii="宋体" w:hAnsi="宋体" w:cs="宋体"/>
                <w:color w:val="auto"/>
                <w:szCs w:val="21"/>
                <w:highlight w:val="none"/>
              </w:rPr>
              <w:t>第1名的，得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rPr>
              <w:t>分；第2名的，得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rPr>
              <w:t>分；第3名的，得</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rPr>
              <w:t>分；第4名及以后的，得</w:t>
            </w:r>
            <w:r>
              <w:rPr>
                <w:rFonts w:hint="eastAsia" w:ascii="宋体" w:hAnsi="宋体" w:cs="宋体"/>
                <w:color w:val="auto"/>
                <w:szCs w:val="21"/>
                <w:highlight w:val="none"/>
                <w:u w:val="single"/>
              </w:rPr>
              <w:t xml:space="preserve"> 0.</w:t>
            </w:r>
            <w:r>
              <w:rPr>
                <w:rFonts w:hint="eastAsia" w:ascii="宋体" w:hAnsi="宋体" w:cs="宋体"/>
                <w:color w:val="auto"/>
                <w:szCs w:val="21"/>
                <w:highlight w:val="none"/>
                <w:u w:val="single"/>
                <w:lang w:val="zh-CN"/>
              </w:rPr>
              <w:t xml:space="preserve">5 </w:t>
            </w:r>
            <w:r>
              <w:rPr>
                <w:rFonts w:hint="eastAsia" w:ascii="宋体" w:hAnsi="宋体" w:cs="宋体"/>
                <w:color w:val="auto"/>
                <w:szCs w:val="21"/>
                <w:highlight w:val="none"/>
              </w:rPr>
              <w:t>分，没有不得分</w:t>
            </w:r>
            <w:r>
              <w:rPr>
                <w:rFonts w:hint="eastAsia" w:ascii="宋体" w:hAnsi="宋体" w:cs="宋体"/>
                <w:color w:val="auto"/>
                <w:szCs w:val="18"/>
                <w:highlight w:val="none"/>
                <w:lang w:val="zh-CN"/>
              </w:rPr>
              <w:t>。</w:t>
            </w:r>
          </w:p>
          <w:p>
            <w:pPr>
              <w:rPr>
                <w:rFonts w:ascii="宋体" w:hAnsi="宋体" w:cs="宋体"/>
                <w:color w:val="auto"/>
                <w:szCs w:val="21"/>
                <w:highlight w:val="none"/>
              </w:rPr>
            </w:pPr>
            <w:r>
              <w:rPr>
                <w:rFonts w:hint="eastAsia" w:ascii="宋体" w:hAnsi="宋体" w:cs="宋体"/>
                <w:color w:val="auto"/>
                <w:szCs w:val="21"/>
                <w:highlight w:val="none"/>
              </w:rPr>
              <w:t>[连续获得次数相同的投标单位，按同一排名计分不占用名次：假设连续获得次数相同的投标单位为M个，按同一排名名次为N，连续获得次数与之紧挨的下一个单位的排名名次为（N+1）。]</w:t>
            </w:r>
          </w:p>
          <w:p>
            <w:pPr>
              <w:autoSpaceDE w:val="0"/>
              <w:autoSpaceDN w:val="0"/>
              <w:adjustRightInd w:val="0"/>
              <w:spacing w:line="260" w:lineRule="exact"/>
              <w:rPr>
                <w:rFonts w:hint="eastAsia" w:ascii="宋体" w:hAnsi="宋体" w:cs="宋体"/>
                <w:color w:val="auto"/>
                <w:highlight w:val="none"/>
              </w:rPr>
            </w:pPr>
            <w:r>
              <w:rPr>
                <w:rFonts w:hint="eastAsia" w:ascii="宋体" w:hAnsi="宋体" w:cs="宋体"/>
                <w:color w:val="auto"/>
                <w:szCs w:val="21"/>
                <w:highlight w:val="none"/>
              </w:rPr>
              <w:t>不符合上述条件的不得分，本项最高得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rPr>
              <w:t>分。</w:t>
            </w:r>
          </w:p>
        </w:tc>
        <w:tc>
          <w:tcPr>
            <w:tcW w:w="438"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cs="宋体"/>
                <w:color w:val="auto"/>
                <w:highlight w:val="none"/>
              </w:rPr>
            </w:pPr>
          </w:p>
        </w:tc>
      </w:tr>
      <w:tr>
        <w:tblPrEx>
          <w:tblCellMar>
            <w:top w:w="0" w:type="dxa"/>
            <w:left w:w="108" w:type="dxa"/>
            <w:bottom w:w="0" w:type="dxa"/>
            <w:right w:w="108" w:type="dxa"/>
          </w:tblCellMar>
        </w:tblPrEx>
        <w:trPr>
          <w:trHeight w:val="408" w:hRule="atLeast"/>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highlight w:val="none"/>
                <w:lang w:val="zh-CN"/>
              </w:rPr>
            </w:pPr>
            <w:r>
              <w:rPr>
                <w:rFonts w:hint="eastAsia" w:ascii="宋体" w:hAnsi="宋体" w:cs="宋体"/>
                <w:color w:val="auto"/>
                <w:highlight w:val="none"/>
                <w:lang w:val="zh-CN"/>
              </w:rPr>
              <w:t>总计</w:t>
            </w:r>
          </w:p>
        </w:tc>
        <w:tc>
          <w:tcPr>
            <w:tcW w:w="6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cs="宋体"/>
                <w:color w:val="auto"/>
                <w:highlight w:val="none"/>
              </w:rPr>
            </w:pPr>
            <w:r>
              <w:rPr>
                <w:rFonts w:hint="eastAsia" w:ascii="宋体" w:hAnsi="宋体" w:cs="宋体"/>
                <w:color w:val="auto"/>
                <w:highlight w:val="none"/>
              </w:rPr>
              <w:t>100</w:t>
            </w:r>
          </w:p>
        </w:tc>
        <w:tc>
          <w:tcPr>
            <w:tcW w:w="116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rFonts w:ascii="宋体" w:hAnsi="宋体" w:cs="宋体"/>
                <w:color w:val="auto"/>
                <w:highlight w:val="none"/>
              </w:rPr>
            </w:pPr>
          </w:p>
        </w:tc>
        <w:tc>
          <w:tcPr>
            <w:tcW w:w="438"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exact"/>
              <w:jc w:val="center"/>
              <w:rPr>
                <w:rFonts w:ascii="宋体" w:hAnsi="宋体" w:cs="宋体"/>
                <w:color w:val="auto"/>
                <w:highlight w:val="none"/>
              </w:rPr>
            </w:pPr>
          </w:p>
        </w:tc>
      </w:tr>
      <w:tr>
        <w:tblPrEx>
          <w:tblCellMar>
            <w:top w:w="0" w:type="dxa"/>
            <w:left w:w="108" w:type="dxa"/>
            <w:bottom w:w="0" w:type="dxa"/>
            <w:right w:w="108" w:type="dxa"/>
          </w:tblCellMar>
        </w:tblPrEx>
        <w:trPr>
          <w:trHeight w:val="372" w:hRule="atLeast"/>
          <w:jc w:val="center"/>
        </w:trPr>
        <w:tc>
          <w:tcPr>
            <w:tcW w:w="12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rPr>
                <w:rFonts w:ascii="宋体" w:hAnsi="宋体" w:cs="宋体"/>
                <w:color w:val="auto"/>
                <w:highlight w:val="none"/>
                <w:lang w:val="zh-CN"/>
              </w:rPr>
            </w:pPr>
            <w:r>
              <w:rPr>
                <w:rFonts w:hint="eastAsia" w:ascii="宋体" w:hAnsi="宋体" w:cs="宋体"/>
                <w:color w:val="auto"/>
                <w:highlight w:val="none"/>
                <w:lang w:val="zh-CN"/>
              </w:rPr>
              <w:t>评审人员</w:t>
            </w:r>
          </w:p>
        </w:tc>
        <w:tc>
          <w:tcPr>
            <w:tcW w:w="1270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exact"/>
              <w:jc w:val="center"/>
              <w:rPr>
                <w:rFonts w:ascii="宋体" w:hAnsi="宋体" w:cs="宋体"/>
                <w:color w:val="auto"/>
                <w:highlight w:val="none"/>
              </w:rPr>
            </w:pPr>
          </w:p>
        </w:tc>
      </w:tr>
    </w:tbl>
    <w:p>
      <w:pPr>
        <w:pStyle w:val="97"/>
        <w:wordWrap w:val="0"/>
        <w:topLinePunct/>
        <w:jc w:val="left"/>
        <w:rPr>
          <w:rFonts w:ascii="宋体" w:hAnsi="宋体"/>
          <w:color w:val="auto"/>
          <w:sz w:val="24"/>
          <w:highlight w:val="none"/>
        </w:rPr>
      </w:pPr>
      <w:r>
        <w:rPr>
          <w:rFonts w:hint="eastAsia" w:ascii="宋体" w:hAnsi="宋体"/>
          <w:color w:val="auto"/>
          <w:highlight w:val="none"/>
        </w:rPr>
        <w:t>注</w:t>
      </w:r>
      <w:r>
        <w:rPr>
          <w:rFonts w:hint="eastAsia" w:ascii="宋体" w:hAnsi="宋体"/>
          <w:color w:val="auto"/>
          <w:szCs w:val="21"/>
          <w:highlight w:val="none"/>
        </w:rPr>
        <w:t>：1、设计类似业绩是指达到招标公告第1.2.3条所述设计资质方能承接的设计项目</w:t>
      </w:r>
      <w:r>
        <w:rPr>
          <w:rFonts w:hint="eastAsia" w:ascii="宋体" w:hAnsi="宋体" w:eastAsia="宋体" w:cs="Times New Roman"/>
          <w:color w:val="auto"/>
          <w:szCs w:val="21"/>
          <w:highlight w:val="none"/>
        </w:rPr>
        <w:t>（低于</w:t>
      </w:r>
      <w:r>
        <w:rPr>
          <w:rFonts w:hint="eastAsia" w:ascii="宋体" w:hAnsi="宋体"/>
          <w:color w:val="auto"/>
          <w:szCs w:val="21"/>
          <w:highlight w:val="none"/>
        </w:rPr>
        <w:t>招标公告第1.2.3条</w:t>
      </w:r>
      <w:r>
        <w:rPr>
          <w:rFonts w:hint="eastAsia" w:ascii="宋体" w:hAnsi="宋体" w:eastAsia="宋体" w:cs="Times New Roman"/>
          <w:color w:val="auto"/>
          <w:szCs w:val="21"/>
          <w:highlight w:val="none"/>
        </w:rPr>
        <w:t>所述设计资质能承接的设计项目除外）</w:t>
      </w:r>
      <w:r>
        <w:rPr>
          <w:rFonts w:hint="eastAsia" w:ascii="宋体" w:hAnsi="宋体"/>
          <w:color w:val="auto"/>
          <w:szCs w:val="21"/>
          <w:highlight w:val="none"/>
        </w:rPr>
        <w:t>；勘察类似业绩是指达到招标公告第1.2.3条所述勘察资质方能承接的勘察项目</w:t>
      </w:r>
      <w:r>
        <w:rPr>
          <w:rFonts w:hint="eastAsia" w:ascii="宋体" w:hAnsi="宋体" w:eastAsia="宋体" w:cs="Times New Roman"/>
          <w:color w:val="auto"/>
          <w:szCs w:val="21"/>
          <w:highlight w:val="none"/>
        </w:rPr>
        <w:t>（低于</w:t>
      </w:r>
      <w:r>
        <w:rPr>
          <w:rFonts w:hint="eastAsia" w:ascii="宋体" w:hAnsi="宋体"/>
          <w:color w:val="auto"/>
          <w:szCs w:val="21"/>
          <w:highlight w:val="none"/>
        </w:rPr>
        <w:t>招标公告第1.2.3条</w:t>
      </w:r>
      <w:r>
        <w:rPr>
          <w:rFonts w:hint="eastAsia" w:ascii="宋体" w:hAnsi="宋体" w:eastAsia="宋体" w:cs="Times New Roman"/>
          <w:color w:val="auto"/>
          <w:szCs w:val="21"/>
          <w:highlight w:val="none"/>
        </w:rPr>
        <w:t>所述设计资质能承接的设计项目除外）</w:t>
      </w:r>
      <w:r>
        <w:rPr>
          <w:rFonts w:hint="eastAsia" w:ascii="宋体" w:hAnsi="宋体"/>
          <w:color w:val="auto"/>
          <w:szCs w:val="21"/>
          <w:highlight w:val="none"/>
          <w:lang w:eastAsia="zh-CN"/>
        </w:rPr>
        <w:t>，</w:t>
      </w:r>
      <w:r>
        <w:rPr>
          <w:rFonts w:hint="eastAsia" w:ascii="宋体" w:hAnsi="宋体"/>
          <w:color w:val="auto"/>
          <w:szCs w:val="21"/>
          <w:highlight w:val="none"/>
        </w:rPr>
        <w:t>同一项目含设计和勘察的按分别满足上述要求各计算一次类似设计业绩和类似勘察业绩。</w:t>
      </w:r>
    </w:p>
    <w:p>
      <w:pPr>
        <w:pStyle w:val="97"/>
        <w:wordWrap w:val="0"/>
        <w:topLinePunct/>
        <w:jc w:val="left"/>
        <w:rPr>
          <w:rFonts w:ascii="宋体" w:hAnsi="宋体"/>
          <w:strike/>
          <w:color w:val="auto"/>
          <w:szCs w:val="21"/>
          <w:highlight w:val="none"/>
        </w:rPr>
      </w:pPr>
      <w:r>
        <w:rPr>
          <w:rFonts w:hint="eastAsia" w:ascii="宋体" w:hAnsi="宋体"/>
          <w:color w:val="auto"/>
          <w:szCs w:val="21"/>
          <w:highlight w:val="none"/>
        </w:rPr>
        <w:t>2、</w:t>
      </w:r>
      <w:r>
        <w:rPr>
          <w:rFonts w:hint="eastAsia" w:ascii="宋体" w:hAnsi="宋体"/>
          <w:color w:val="auto"/>
          <w:highlight w:val="none"/>
        </w:rPr>
        <w:t>获奖奖项是指与本次招标专业内容相对应的由</w:t>
      </w:r>
      <w:r>
        <w:rPr>
          <w:rFonts w:hint="eastAsia" w:ascii="宋体" w:hAnsi="宋体"/>
          <w:strike/>
          <w:color w:val="auto"/>
          <w:highlight w:val="none"/>
        </w:rPr>
        <w:t>住建部颁发的全国优秀工程勘察设计奖、</w:t>
      </w:r>
      <w:r>
        <w:rPr>
          <w:rFonts w:hint="eastAsia" w:ascii="宋体" w:hAnsi="宋体"/>
          <w:color w:val="auto"/>
          <w:highlight w:val="none"/>
        </w:rPr>
        <w:t>中国勘察设计协会颁发的全国优秀工程勘察设计行业奖、省（部）级（含副省级）工程勘察设计行业协会颁发的省（部）级（含副省级）优秀勘察设计奖；由国务院颁发的国家科学技术奖、住建部的华夏建设科学技术奖励委员会颁发的华夏建设科学技术奖、省（部）级（含副省级）人民政府颁发的省（部）（含副省级）科学技术奖。</w:t>
      </w:r>
      <w:r>
        <w:rPr>
          <w:rFonts w:hint="eastAsia" w:ascii="宋体" w:hAnsi="宋体"/>
          <w:strike w:val="0"/>
          <w:color w:val="auto"/>
          <w:highlight w:val="none"/>
        </w:rPr>
        <w:t>国家级（国家科学技术奖</w:t>
      </w:r>
      <w:r>
        <w:rPr>
          <w:rFonts w:hint="eastAsia" w:ascii="宋体" w:hAnsi="宋体"/>
          <w:strike/>
          <w:color w:val="auto"/>
          <w:highlight w:val="none"/>
        </w:rPr>
        <w:t>、全国优秀工程勘察设计奖</w:t>
      </w:r>
      <w:r>
        <w:rPr>
          <w:rFonts w:hint="eastAsia" w:ascii="宋体" w:hAnsi="宋体"/>
          <w:strike w:val="0"/>
          <w:color w:val="auto"/>
          <w:highlight w:val="none"/>
        </w:rPr>
        <w:t>）分值＞行业级（华夏建设科学技术奖、全国优秀工程勘察设计行业奖）分值＞省（部）级（省（部）级科学技术奖、省（部）级优秀工程勘察设计奖）分值&gt;副省级（市科学技术奖、市工程勘察设计奖）分值，各级奖项的一等（金）奖、二等（银）奖、三等（铜）奖具体分值不再细分。</w:t>
      </w:r>
    </w:p>
    <w:p>
      <w:pPr>
        <w:pStyle w:val="97"/>
        <w:wordWrap w:val="0"/>
        <w:topLinePunct/>
        <w:jc w:val="left"/>
        <w:rPr>
          <w:rFonts w:ascii="宋体" w:hAnsi="宋体"/>
          <w:color w:val="auto"/>
          <w:szCs w:val="21"/>
          <w:highlight w:val="none"/>
        </w:rPr>
      </w:pPr>
      <w:r>
        <w:rPr>
          <w:rFonts w:hint="eastAsia" w:ascii="宋体" w:hAnsi="宋体"/>
          <w:color w:val="auto"/>
          <w:szCs w:val="21"/>
          <w:highlight w:val="none"/>
        </w:rPr>
        <w:t>3、业绩获奖的按最高奖项只计算一次，不重复计算。</w:t>
      </w:r>
    </w:p>
    <w:p>
      <w:pPr>
        <w:pStyle w:val="97"/>
        <w:wordWrap w:val="0"/>
        <w:topLinePunct/>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hAnsi="宋体" w:cs="宋体"/>
          <w:color w:val="auto"/>
          <w:szCs w:val="21"/>
          <w:highlight w:val="none"/>
          <w:lang w:val="zh-CN"/>
        </w:rPr>
        <w:t>近</w:t>
      </w:r>
      <w:r>
        <w:rPr>
          <w:rFonts w:hint="eastAsia" w:ascii="宋体" w:hAnsi="宋体"/>
          <w:color w:val="auto"/>
          <w:szCs w:val="21"/>
          <w:highlight w:val="none"/>
          <w:u w:val="single"/>
          <w:lang w:val="zh-CN"/>
        </w:rPr>
        <w:t xml:space="preserve"> </w:t>
      </w:r>
      <w:r>
        <w:rPr>
          <w:rFonts w:hint="eastAsia" w:ascii="宋体" w:hAnsi="宋体"/>
          <w:color w:val="auto"/>
          <w:szCs w:val="21"/>
          <w:highlight w:val="none"/>
          <w:u w:val="single"/>
        </w:rPr>
        <w:t>5</w:t>
      </w:r>
      <w:r>
        <w:rPr>
          <w:rFonts w:hint="eastAsia" w:ascii="宋体" w:hAnsi="宋体"/>
          <w:color w:val="auto"/>
          <w:szCs w:val="21"/>
          <w:highlight w:val="none"/>
          <w:u w:val="single"/>
          <w:lang w:val="zh-CN"/>
        </w:rPr>
        <w:t xml:space="preserve"> </w:t>
      </w:r>
      <w:r>
        <w:rPr>
          <w:rFonts w:hint="eastAsia" w:ascii="宋体" w:hAnsi="宋体"/>
          <w:color w:val="auto"/>
          <w:szCs w:val="21"/>
          <w:highlight w:val="none"/>
          <w:lang w:val="zh-CN"/>
        </w:rPr>
        <w:t>年内是指：</w:t>
      </w:r>
      <w:r>
        <w:rPr>
          <w:rFonts w:hint="eastAsia" w:ascii="宋体" w:hAnsi="宋体"/>
          <w:color w:val="auto"/>
          <w:szCs w:val="21"/>
          <w:highlight w:val="none"/>
          <w:u w:val="single"/>
        </w:rPr>
        <w:t xml:space="preserve"> </w:t>
      </w:r>
      <w:r>
        <w:rPr>
          <w:rFonts w:ascii="宋体" w:hAnsi="宋体"/>
          <w:color w:val="auto"/>
          <w:szCs w:val="21"/>
          <w:highlight w:val="none"/>
          <w:u w:val="single"/>
        </w:rPr>
        <w:t>201</w:t>
      </w:r>
      <w:r>
        <w:rPr>
          <w:rFonts w:hint="eastAsia" w:ascii="宋体" w:hAnsi="宋体"/>
          <w:color w:val="auto"/>
          <w:szCs w:val="21"/>
          <w:highlight w:val="none"/>
          <w:u w:val="single"/>
        </w:rPr>
        <w:t xml:space="preserve">7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u w:val="single"/>
        </w:rPr>
        <w:t>1</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u w:val="single"/>
        </w:rPr>
        <w:t>1</w:t>
      </w:r>
      <w:r>
        <w:rPr>
          <w:rFonts w:hint="eastAsia" w:ascii="宋体" w:hAnsi="宋体"/>
          <w:color w:val="auto"/>
          <w:szCs w:val="21"/>
          <w:highlight w:val="none"/>
          <w:u w:val="single"/>
        </w:rPr>
        <w:t xml:space="preserve"> </w:t>
      </w:r>
      <w:r>
        <w:rPr>
          <w:rFonts w:hint="eastAsia" w:ascii="宋体" w:hAnsi="宋体"/>
          <w:color w:val="auto"/>
          <w:szCs w:val="21"/>
          <w:highlight w:val="none"/>
        </w:rPr>
        <w:t>日至今（以合同签订日期为准）。</w:t>
      </w:r>
    </w:p>
    <w:p>
      <w:pPr>
        <w:pStyle w:val="97"/>
        <w:wordWrap w:val="0"/>
        <w:topLinePunct/>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w:t>
      </w:r>
      <w:r>
        <w:rPr>
          <w:rFonts w:hint="eastAsia" w:ascii="宋体" w:hAnsi="宋体"/>
          <w:b/>
          <w:bCs/>
          <w:color w:val="auto"/>
          <w:highlight w:val="none"/>
          <w:lang w:val="en-US" w:eastAsia="zh-CN"/>
        </w:rPr>
        <w:t>企业及人员业绩须同时提供合同文本主要页、中标通知书（或免招标证明文件）、初步设计审查证明或施工图审查证明或项目业主对其履约情况的证明材料；获奖业绩须提交获奖证书或获奖证明文件；否则，相关项目的业绩和奖项不计分。</w:t>
      </w:r>
    </w:p>
    <w:p>
      <w:pPr>
        <w:pStyle w:val="97"/>
        <w:wordWrap w:val="0"/>
        <w:topLinePunct/>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highlight w:val="none"/>
        </w:rPr>
        <w:t>所提供的本项目投入人员必须为投标单位人员，并提供近一个月（</w:t>
      </w:r>
      <w:r>
        <w:rPr>
          <w:rFonts w:hint="eastAsia" w:ascii="宋体" w:hAnsi="宋体"/>
          <w:color w:val="auto"/>
          <w:highlight w:val="none"/>
          <w:lang w:eastAsia="zh-CN"/>
        </w:rPr>
        <w:t>2022年8月</w:t>
      </w:r>
      <w:r>
        <w:rPr>
          <w:rFonts w:hint="eastAsia" w:ascii="宋体" w:hAnsi="宋体"/>
          <w:color w:val="auto"/>
          <w:highlight w:val="none"/>
        </w:rPr>
        <w:t>）有效的连续参保的社保证明；若本项目社保证明的缴纳期限包含疫情期的，若当地政府部门允许企业在疫情期间缓缴社会保险费且投标人未缴纳的，投标人可提供当地政府部门允许缓缴社保的相关文件作为缴纳社保的证明。确定中标人后，由招标人采取有效措施，核实后续中标人管理团队的社保补缴情况。</w:t>
      </w:r>
      <w:r>
        <w:rPr>
          <w:rFonts w:hint="eastAsia" w:ascii="宋体" w:hAnsi="宋体"/>
          <w:color w:val="auto"/>
          <w:highlight w:val="none"/>
          <w:u w:val="single"/>
        </w:rPr>
        <w:t>没有提供相关人员有效社保证明的，相应的“人员配备及技术水平”评分项不得分。</w:t>
      </w:r>
    </w:p>
    <w:p>
      <w:pPr>
        <w:pStyle w:val="97"/>
        <w:wordWrap w:val="0"/>
        <w:topLinePunct/>
        <w:jc w:val="left"/>
        <w:rPr>
          <w:rFonts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highlight w:val="none"/>
        </w:rPr>
        <w:t>投标人提供的网页信息截图或证明材料扫描件内容必须清晰可辨，如因网页信息截图或证明材料扫描件内容模糊导致评标时无法判断的，后果由投标人自负。</w:t>
      </w:r>
    </w:p>
    <w:p>
      <w:pPr>
        <w:pStyle w:val="139"/>
        <w:rPr>
          <w:rFonts w:ascii="宋体" w:hAnsi="宋体"/>
          <w:color w:val="auto"/>
          <w:highlight w:val="none"/>
        </w:rPr>
      </w:pPr>
      <w:r>
        <w:rPr>
          <w:rFonts w:hint="eastAsia" w:ascii="宋体" w:hAnsi="宋体"/>
          <w:color w:val="auto"/>
          <w:szCs w:val="21"/>
          <w:highlight w:val="none"/>
        </w:rPr>
        <w:t>8、</w:t>
      </w:r>
      <w:bookmarkStart w:id="108" w:name="_Toc95482393"/>
      <w:r>
        <w:rPr>
          <w:rFonts w:hint="eastAsia" w:ascii="宋体" w:hAnsi="宋体"/>
          <w:color w:val="auto"/>
          <w:highlight w:val="none"/>
        </w:rPr>
        <w:t>①</w:t>
      </w:r>
      <w:r>
        <w:rPr>
          <w:rFonts w:hint="eastAsia" w:hAnsi="宋体"/>
          <w:color w:val="auto"/>
          <w:kern w:val="2"/>
          <w:sz w:val="21"/>
          <w:szCs w:val="21"/>
          <w:highlight w:val="none"/>
        </w:rPr>
        <w:t>“纳税信用等级”</w:t>
      </w:r>
      <w:r>
        <w:rPr>
          <w:rFonts w:hint="eastAsia" w:hAnsi="宋体"/>
          <w:color w:val="auto"/>
          <w:kern w:val="2"/>
          <w:sz w:val="21"/>
          <w:szCs w:val="21"/>
          <w:highlight w:val="none"/>
          <w:lang w:val="en-US" w:eastAsia="zh-CN"/>
        </w:rPr>
        <w:t>提供</w:t>
      </w:r>
      <w:r>
        <w:rPr>
          <w:rFonts w:hint="eastAsia" w:hAnsi="宋体"/>
          <w:color w:val="auto"/>
          <w:kern w:val="2"/>
          <w:sz w:val="21"/>
          <w:szCs w:val="21"/>
          <w:highlight w:val="none"/>
        </w:rPr>
        <w:t>“国家税务总局”官网（http://www.chinatax.gov.cn/index.html）网页打印页</w:t>
      </w:r>
      <w:r>
        <w:rPr>
          <w:rFonts w:hint="eastAsia" w:hAnsi="宋体"/>
          <w:color w:val="auto"/>
          <w:kern w:val="2"/>
          <w:sz w:val="21"/>
          <w:szCs w:val="21"/>
          <w:highlight w:val="none"/>
          <w:lang w:val="en-US" w:eastAsia="zh-CN"/>
        </w:rPr>
        <w:t>或</w:t>
      </w:r>
      <w:r>
        <w:rPr>
          <w:rFonts w:hint="eastAsia" w:ascii="宋体" w:hAnsi="宋体" w:eastAsia="宋体"/>
          <w:color w:val="auto"/>
          <w:sz w:val="21"/>
          <w:szCs w:val="21"/>
          <w:highlight w:val="none"/>
        </w:rPr>
        <w:t>纳税信用等级</w:t>
      </w:r>
      <w:r>
        <w:rPr>
          <w:rFonts w:hint="eastAsia" w:ascii="宋体" w:hAnsi="宋体" w:eastAsia="宋体"/>
          <w:color w:val="auto"/>
          <w:sz w:val="21"/>
          <w:szCs w:val="21"/>
          <w:highlight w:val="none"/>
          <w:lang w:val="en-US" w:eastAsia="zh-CN"/>
        </w:rPr>
        <w:t>证书（须包含2021年</w:t>
      </w:r>
      <w:r>
        <w:rPr>
          <w:rFonts w:hint="eastAsia" w:ascii="宋体" w:hAnsi="宋体" w:eastAsia="宋体"/>
          <w:color w:val="auto"/>
          <w:sz w:val="21"/>
          <w:szCs w:val="21"/>
          <w:highlight w:val="none"/>
        </w:rPr>
        <w:t>纳税</w:t>
      </w:r>
      <w:r>
        <w:rPr>
          <w:rFonts w:hint="eastAsia" w:ascii="宋体" w:hAnsi="宋体" w:eastAsia="宋体"/>
          <w:color w:val="auto"/>
          <w:sz w:val="21"/>
          <w:szCs w:val="21"/>
          <w:highlight w:val="none"/>
          <w:lang w:val="en-US" w:eastAsia="zh-CN"/>
        </w:rPr>
        <w:t>信用等级证书）原件扫描件</w:t>
      </w:r>
      <w:r>
        <w:rPr>
          <w:rFonts w:hint="eastAsia" w:hAnsi="宋体"/>
          <w:color w:val="auto"/>
          <w:kern w:val="2"/>
          <w:sz w:val="21"/>
          <w:szCs w:val="21"/>
          <w:highlight w:val="none"/>
        </w:rPr>
        <w:t>。投标人须提供在上述官网的查询结果网页打印页</w:t>
      </w:r>
      <w:r>
        <w:rPr>
          <w:rFonts w:hint="eastAsia" w:hAnsi="宋体"/>
          <w:color w:val="auto"/>
          <w:kern w:val="2"/>
          <w:sz w:val="21"/>
          <w:szCs w:val="21"/>
          <w:highlight w:val="none"/>
          <w:lang w:val="en-US" w:eastAsia="zh-CN"/>
        </w:rPr>
        <w:t>或</w:t>
      </w:r>
      <w:r>
        <w:rPr>
          <w:rFonts w:hint="eastAsia" w:ascii="宋体" w:hAnsi="宋体" w:eastAsia="宋体"/>
          <w:color w:val="auto"/>
          <w:sz w:val="21"/>
          <w:szCs w:val="21"/>
          <w:highlight w:val="none"/>
          <w:lang w:val="en-US" w:eastAsia="zh-CN"/>
        </w:rPr>
        <w:t>证书，</w:t>
      </w:r>
      <w:r>
        <w:rPr>
          <w:rFonts w:hint="eastAsia" w:hAnsi="宋体"/>
          <w:color w:val="auto"/>
          <w:kern w:val="2"/>
          <w:sz w:val="21"/>
          <w:szCs w:val="21"/>
          <w:highlight w:val="none"/>
        </w:rPr>
        <w:t>网页打印页</w:t>
      </w:r>
      <w:r>
        <w:rPr>
          <w:rFonts w:hint="eastAsia" w:hAnsi="宋体"/>
          <w:color w:val="auto"/>
          <w:kern w:val="2"/>
          <w:sz w:val="21"/>
          <w:szCs w:val="21"/>
          <w:highlight w:val="none"/>
          <w:lang w:val="en-US" w:eastAsia="zh-CN"/>
        </w:rPr>
        <w:t>或</w:t>
      </w:r>
      <w:r>
        <w:rPr>
          <w:rFonts w:hint="eastAsia" w:ascii="宋体" w:hAnsi="宋体" w:eastAsia="宋体"/>
          <w:color w:val="auto"/>
          <w:sz w:val="21"/>
          <w:szCs w:val="21"/>
          <w:highlight w:val="none"/>
          <w:lang w:val="en-US" w:eastAsia="zh-CN"/>
        </w:rPr>
        <w:t>证书原件扫描件均需</w:t>
      </w:r>
      <w:r>
        <w:rPr>
          <w:rFonts w:hint="eastAsia" w:hAnsi="宋体"/>
          <w:color w:val="auto"/>
          <w:kern w:val="2"/>
          <w:sz w:val="21"/>
          <w:szCs w:val="21"/>
          <w:highlight w:val="none"/>
        </w:rPr>
        <w:t>加盖投标单位公章（不符合条件或无提交上述打印页</w:t>
      </w:r>
      <w:r>
        <w:rPr>
          <w:rFonts w:hint="eastAsia" w:hAnsi="宋体"/>
          <w:color w:val="auto"/>
          <w:kern w:val="2"/>
          <w:sz w:val="21"/>
          <w:szCs w:val="21"/>
          <w:highlight w:val="none"/>
          <w:lang w:val="en-US" w:eastAsia="zh-CN"/>
        </w:rPr>
        <w:t>或证书</w:t>
      </w:r>
      <w:r>
        <w:rPr>
          <w:rFonts w:hint="eastAsia" w:ascii="宋体" w:hAnsi="宋体" w:eastAsia="宋体"/>
          <w:color w:val="auto"/>
          <w:sz w:val="21"/>
          <w:szCs w:val="21"/>
          <w:highlight w:val="none"/>
          <w:lang w:val="en-US" w:eastAsia="zh-CN"/>
        </w:rPr>
        <w:t>原件扫描件</w:t>
      </w:r>
      <w:r>
        <w:rPr>
          <w:rFonts w:hint="eastAsia" w:hAnsi="宋体"/>
          <w:color w:val="auto"/>
          <w:kern w:val="2"/>
          <w:sz w:val="21"/>
          <w:szCs w:val="21"/>
          <w:highlight w:val="none"/>
        </w:rPr>
        <w:t>的不计分）。</w:t>
      </w:r>
      <w:bookmarkEnd w:id="108"/>
    </w:p>
    <w:p>
      <w:pPr>
        <w:pStyle w:val="97"/>
        <w:wordWrap w:val="0"/>
        <w:topLinePunct/>
        <w:jc w:val="left"/>
        <w:rPr>
          <w:rFonts w:hint="eastAsia" w:ascii="宋体" w:hAnsi="宋体"/>
          <w:color w:val="auto"/>
          <w:szCs w:val="21"/>
          <w:highlight w:val="none"/>
        </w:rPr>
      </w:pPr>
      <w:bookmarkStart w:id="109" w:name="_Toc95482394"/>
      <w:r>
        <w:rPr>
          <w:rFonts w:hint="eastAsia" w:ascii="宋体" w:hAnsi="宋体"/>
          <w:color w:val="auto"/>
          <w:highlight w:val="none"/>
        </w:rPr>
        <w:t>②信誉只计算投标人自身，即如投标人为集团公司，则不计算集团下属分公司所获称号，只计算指集团本部所获称号，同样如投标人为下属公司或分子机构等的，也不计算集团公司所获称号；不符合上述条件或未提供上述资料的不得分。</w:t>
      </w:r>
      <w:bookmarkEnd w:id="109"/>
    </w:p>
    <w:p>
      <w:pPr>
        <w:pStyle w:val="97"/>
        <w:wordWrap w:val="0"/>
        <w:topLinePunct/>
        <w:jc w:val="left"/>
        <w:rPr>
          <w:rFonts w:ascii="宋体" w:hAnsi="宋体"/>
          <w:color w:val="auto"/>
          <w:szCs w:val="21"/>
          <w:highlight w:val="none"/>
        </w:rPr>
      </w:pPr>
      <w:r>
        <w:rPr>
          <w:rFonts w:hint="eastAsia" w:ascii="宋体" w:hAnsi="宋体"/>
          <w:color w:val="auto"/>
          <w:szCs w:val="21"/>
          <w:highlight w:val="none"/>
        </w:rPr>
        <w:t>9、</w:t>
      </w:r>
      <w:r>
        <w:rPr>
          <w:rFonts w:hint="eastAsia" w:ascii="宋体" w:hAnsi="宋体"/>
          <w:color w:val="auto"/>
          <w:highlight w:val="none"/>
        </w:rPr>
        <w:t>所有评委每个分项的分数汇总后去掉一个最高分和一个最低分后计取的算术平均值为投标人的得分。分数出现小数点，保留小数点后二位小数，第三位小数四舍五入。</w:t>
      </w:r>
    </w:p>
    <w:p>
      <w:pPr>
        <w:pStyle w:val="4"/>
        <w:rPr>
          <w:color w:val="auto"/>
          <w:highlight w:val="none"/>
        </w:rPr>
      </w:pPr>
      <w:r>
        <w:rPr>
          <w:color w:val="auto"/>
          <w:highlight w:val="none"/>
        </w:rPr>
        <w:br w:type="page"/>
      </w:r>
      <w:bookmarkStart w:id="110" w:name="_Toc29761"/>
      <w:bookmarkStart w:id="111" w:name="_Toc99464010"/>
      <w:bookmarkStart w:id="112" w:name="_Toc8345"/>
      <w:r>
        <w:rPr>
          <w:rFonts w:hint="eastAsia"/>
          <w:color w:val="auto"/>
          <w:highlight w:val="none"/>
        </w:rPr>
        <w:t>附录12：技术文件有效性审查表</w:t>
      </w:r>
      <w:bookmarkEnd w:id="110"/>
      <w:bookmarkEnd w:id="111"/>
      <w:bookmarkEnd w:id="112"/>
    </w:p>
    <w:p>
      <w:pPr>
        <w:jc w:val="center"/>
        <w:rPr>
          <w:rFonts w:ascii="宋体" w:hAnsi="宋体"/>
          <w:b/>
          <w:color w:val="auto"/>
          <w:sz w:val="32"/>
          <w:highlight w:val="none"/>
        </w:rPr>
      </w:pPr>
      <w:r>
        <w:rPr>
          <w:rFonts w:hint="eastAsia" w:ascii="宋体" w:hAnsi="宋体"/>
          <w:b/>
          <w:color w:val="auto"/>
          <w:sz w:val="32"/>
          <w:highlight w:val="none"/>
        </w:rPr>
        <w:t>技术文件有效性审查表</w:t>
      </w:r>
    </w:p>
    <w:p>
      <w:pPr>
        <w:tabs>
          <w:tab w:val="left" w:pos="720"/>
        </w:tabs>
        <w:snapToGrid w:val="0"/>
        <w:spacing w:line="360" w:lineRule="auto"/>
        <w:rPr>
          <w:rFonts w:ascii="宋体" w:hAnsi="宋体"/>
          <w:color w:val="auto"/>
          <w:szCs w:val="21"/>
          <w:highlight w:val="none"/>
        </w:rPr>
      </w:pPr>
      <w:r>
        <w:rPr>
          <w:rFonts w:hint="eastAsia" w:ascii="宋体" w:hAnsi="宋体"/>
          <w:color w:val="auto"/>
          <w:szCs w:val="21"/>
          <w:highlight w:val="none"/>
        </w:rPr>
        <w:t>项目名称：</w:t>
      </w:r>
    </w:p>
    <w:tbl>
      <w:tblPr>
        <w:tblStyle w:val="38"/>
        <w:tblW w:w="0" w:type="auto"/>
        <w:tblInd w:w="0" w:type="dxa"/>
        <w:tblLayout w:type="fixed"/>
        <w:tblCellMar>
          <w:top w:w="0" w:type="dxa"/>
          <w:left w:w="108" w:type="dxa"/>
          <w:bottom w:w="0" w:type="dxa"/>
          <w:right w:w="108" w:type="dxa"/>
        </w:tblCellMar>
      </w:tblPr>
      <w:tblGrid>
        <w:gridCol w:w="525"/>
        <w:gridCol w:w="5880"/>
        <w:gridCol w:w="1476"/>
        <w:gridCol w:w="1476"/>
        <w:gridCol w:w="1476"/>
        <w:gridCol w:w="1476"/>
        <w:gridCol w:w="1476"/>
      </w:tblGrid>
      <w:tr>
        <w:tblPrEx>
          <w:tblCellMar>
            <w:top w:w="0" w:type="dxa"/>
            <w:left w:w="108" w:type="dxa"/>
            <w:bottom w:w="0" w:type="dxa"/>
            <w:right w:w="108" w:type="dxa"/>
          </w:tblCellMar>
        </w:tblPrEx>
        <w:trPr>
          <w:trHeight w:val="717" w:hRule="atLeast"/>
        </w:trPr>
        <w:tc>
          <w:tcPr>
            <w:tcW w:w="5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序号</w:t>
            </w:r>
          </w:p>
        </w:tc>
        <w:tc>
          <w:tcPr>
            <w:tcW w:w="5880"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color w:val="auto"/>
                <w:szCs w:val="21"/>
                <w:highlight w:val="none"/>
              </w:rPr>
            </w:pPr>
            <w:r>
              <w:rPr>
                <w:rFonts w:hint="eastAsia" w:ascii="宋体" w:hAnsi="宋体"/>
                <w:color w:val="auto"/>
                <w:szCs w:val="21"/>
                <w:highlight w:val="none"/>
              </w:rPr>
              <w:t xml:space="preserve">                                     投标人编号</w:t>
            </w:r>
          </w:p>
          <w:p>
            <w:pPr>
              <w:rPr>
                <w:rFonts w:ascii="宋体" w:hAnsi="宋体"/>
                <w:color w:val="auto"/>
                <w:szCs w:val="21"/>
                <w:highlight w:val="none"/>
              </w:rPr>
            </w:pPr>
            <w:r>
              <w:rPr>
                <w:rFonts w:hint="eastAsia" w:ascii="宋体" w:hAnsi="宋体"/>
                <w:color w:val="auto"/>
                <w:szCs w:val="21"/>
                <w:highlight w:val="none"/>
              </w:rPr>
              <w:t>审查项目</w:t>
            </w: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806" w:hRule="exac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58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i/>
                <w:color w:val="auto"/>
                <w:szCs w:val="21"/>
                <w:highlight w:val="none"/>
              </w:rPr>
            </w:pPr>
            <w:r>
              <w:rPr>
                <w:rFonts w:hint="eastAsia" w:ascii="宋体" w:hAnsi="宋体"/>
                <w:color w:val="auto"/>
                <w:szCs w:val="21"/>
                <w:highlight w:val="none"/>
              </w:rPr>
              <w:t>未发现投标人在</w:t>
            </w:r>
            <w:r>
              <w:rPr>
                <w:rFonts w:hint="eastAsia" w:ascii="宋体" w:hAnsi="宋体"/>
                <w:color w:val="auto"/>
                <w:szCs w:val="21"/>
                <w:highlight w:val="none"/>
                <w:u w:val="single"/>
              </w:rPr>
              <w:t>勘察设计技术方案（技术文件）</w:t>
            </w:r>
            <w:r>
              <w:rPr>
                <w:rFonts w:hint="eastAsia" w:ascii="宋体" w:hAnsi="宋体"/>
                <w:color w:val="auto"/>
                <w:szCs w:val="21"/>
                <w:highlight w:val="none"/>
              </w:rPr>
              <w:t>内标注名称、印章、商标、</w:t>
            </w:r>
            <w:r>
              <w:rPr>
                <w:rFonts w:hint="eastAsia" w:ascii="宋体" w:hAnsi="宋体"/>
                <w:color w:val="auto"/>
                <w:highlight w:val="none"/>
              </w:rPr>
              <w:t>图形</w:t>
            </w:r>
            <w:r>
              <w:rPr>
                <w:rFonts w:hint="eastAsia" w:ascii="宋体" w:hAnsi="宋体"/>
                <w:color w:val="auto"/>
                <w:szCs w:val="21"/>
                <w:highlight w:val="none"/>
              </w:rPr>
              <w:t>等记认符号或显示投标报价信息（或使人辨认出投标人或其专业技术人员的身份）</w:t>
            </w:r>
          </w:p>
        </w:tc>
        <w:tc>
          <w:tcPr>
            <w:tcW w:w="14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965" w:hRule="exac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5880"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color w:val="auto"/>
                <w:szCs w:val="21"/>
                <w:highlight w:val="none"/>
              </w:rPr>
            </w:pPr>
            <w:r>
              <w:rPr>
                <w:rFonts w:hint="eastAsia" w:ascii="宋体" w:hAnsi="宋体"/>
                <w:color w:val="auto"/>
                <w:szCs w:val="21"/>
                <w:highlight w:val="none"/>
              </w:rPr>
              <w:t>未发现互相雷同和串通投标（串通投标情形以《中华人民共和国招标投标法实施条例》的规定为准）</w:t>
            </w:r>
          </w:p>
        </w:tc>
        <w:tc>
          <w:tcPr>
            <w:tcW w:w="14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567" w:hRule="exac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5880"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color w:val="auto"/>
                <w:szCs w:val="21"/>
                <w:highlight w:val="none"/>
              </w:rPr>
            </w:pPr>
            <w:r>
              <w:rPr>
                <w:rFonts w:hint="eastAsia" w:ascii="宋体" w:hAnsi="宋体"/>
                <w:color w:val="auto"/>
                <w:szCs w:val="21"/>
                <w:highlight w:val="none"/>
              </w:rPr>
              <w:t>未发现明显抄袭行为</w:t>
            </w:r>
          </w:p>
        </w:tc>
        <w:tc>
          <w:tcPr>
            <w:tcW w:w="14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567" w:hRule="exac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5880" w:type="dxa"/>
            <w:tcBorders>
              <w:top w:val="single" w:color="auto" w:sz="4" w:space="0"/>
              <w:left w:val="single" w:color="auto" w:sz="4" w:space="0"/>
              <w:bottom w:val="single" w:color="auto" w:sz="4" w:space="0"/>
              <w:right w:val="single" w:color="auto" w:sz="4" w:space="0"/>
            </w:tcBorders>
            <w:vAlign w:val="center"/>
          </w:tcPr>
          <w:p>
            <w:pPr>
              <w:spacing w:line="200" w:lineRule="atLeast"/>
              <w:rPr>
                <w:rFonts w:ascii="宋体" w:hAnsi="宋体"/>
                <w:color w:val="auto"/>
                <w:szCs w:val="21"/>
                <w:highlight w:val="none"/>
              </w:rPr>
            </w:pPr>
            <w:r>
              <w:rPr>
                <w:rFonts w:hint="eastAsia" w:ascii="宋体" w:hAnsi="宋体"/>
                <w:color w:val="auto"/>
                <w:szCs w:val="21"/>
                <w:highlight w:val="none"/>
              </w:rPr>
              <w:t>未发现侵犯他人著作权和特许权</w:t>
            </w:r>
          </w:p>
        </w:tc>
        <w:tc>
          <w:tcPr>
            <w:tcW w:w="14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CellMar>
            <w:top w:w="0" w:type="dxa"/>
            <w:left w:w="108" w:type="dxa"/>
            <w:bottom w:w="0" w:type="dxa"/>
            <w:right w:w="108" w:type="dxa"/>
          </w:tblCellMar>
        </w:tblPrEx>
        <w:trPr>
          <w:trHeight w:val="567" w:hRule="exac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结论</w:t>
            </w:r>
          </w:p>
        </w:tc>
        <w:tc>
          <w:tcPr>
            <w:tcW w:w="58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szCs w:val="21"/>
                <w:highlight w:val="none"/>
              </w:rPr>
            </w:pPr>
            <w:r>
              <w:rPr>
                <w:rFonts w:hint="eastAsia" w:ascii="宋体" w:hAnsi="宋体"/>
                <w:color w:val="auto"/>
                <w:szCs w:val="21"/>
                <w:highlight w:val="none"/>
              </w:rPr>
              <w:t>是否通过并进入下一阶段评审</w:t>
            </w:r>
          </w:p>
        </w:tc>
        <w:tc>
          <w:tcPr>
            <w:tcW w:w="147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shd w:val="pct10" w:color="auto" w:fill="FFFFFF"/>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pct10" w:color="auto" w:fill="FFFFFF"/>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pct10" w:color="auto" w:fill="FFFFFF"/>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pct10" w:color="auto" w:fill="FFFFFF"/>
              </w:rPr>
            </w:pPr>
          </w:p>
        </w:tc>
        <w:tc>
          <w:tcPr>
            <w:tcW w:w="147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shd w:val="pct10" w:color="auto" w:fill="FFFFFF"/>
              </w:rPr>
            </w:pPr>
          </w:p>
        </w:tc>
      </w:tr>
    </w:tbl>
    <w:p>
      <w:pPr>
        <w:tabs>
          <w:tab w:val="left" w:pos="720"/>
        </w:tabs>
        <w:snapToGrid w:val="0"/>
        <w:spacing w:beforeLines="50"/>
        <w:rPr>
          <w:rFonts w:ascii="宋体" w:hAnsi="宋体"/>
          <w:color w:val="auto"/>
          <w:szCs w:val="21"/>
          <w:highlight w:val="none"/>
        </w:rPr>
      </w:pPr>
      <w:r>
        <w:rPr>
          <w:rFonts w:hint="eastAsia" w:ascii="宋体" w:hAnsi="宋体"/>
          <w:color w:val="auto"/>
          <w:szCs w:val="21"/>
          <w:highlight w:val="none"/>
        </w:rPr>
        <w:t>备注：1、根据本表的审查项目，填“通过”或“不通过”。</w:t>
      </w:r>
    </w:p>
    <w:p>
      <w:pPr>
        <w:tabs>
          <w:tab w:val="left" w:pos="720"/>
        </w:tabs>
        <w:snapToGrid w:val="0"/>
        <w:spacing w:beforeLines="50"/>
        <w:ind w:left="840" w:leftChars="300" w:hanging="210" w:hangingChars="100"/>
        <w:rPr>
          <w:rFonts w:ascii="宋体" w:hAnsi="宋体"/>
          <w:color w:val="auto"/>
          <w:szCs w:val="21"/>
          <w:highlight w:val="none"/>
        </w:rPr>
      </w:pPr>
      <w:r>
        <w:rPr>
          <w:rFonts w:hint="eastAsia" w:ascii="宋体" w:hAnsi="宋体"/>
          <w:color w:val="auto"/>
          <w:szCs w:val="21"/>
          <w:highlight w:val="none"/>
        </w:rPr>
        <w:t>2、表中出现一个或以上“不通过”，即该投标人的评审“结论”为“不通过”，即该投标人不进入下一阶段评审</w:t>
      </w:r>
      <w:r>
        <w:rPr>
          <w:rFonts w:hint="eastAsia" w:ascii="宋体" w:hAnsi="宋体"/>
          <w:color w:val="auto"/>
          <w:sz w:val="24"/>
          <w:highlight w:val="none"/>
        </w:rPr>
        <w:t>。</w:t>
      </w:r>
    </w:p>
    <w:p>
      <w:pPr>
        <w:tabs>
          <w:tab w:val="left" w:pos="720"/>
        </w:tabs>
        <w:snapToGrid w:val="0"/>
        <w:spacing w:beforeLines="50"/>
        <w:ind w:firstLine="630" w:firstLineChars="300"/>
        <w:rPr>
          <w:rFonts w:ascii="宋体" w:hAnsi="宋体"/>
          <w:color w:val="auto"/>
          <w:szCs w:val="21"/>
          <w:highlight w:val="none"/>
        </w:rPr>
      </w:pPr>
      <w:r>
        <w:rPr>
          <w:rFonts w:hint="eastAsia" w:ascii="宋体" w:hAnsi="宋体"/>
          <w:color w:val="auto"/>
          <w:szCs w:val="21"/>
          <w:highlight w:val="none"/>
        </w:rPr>
        <w:t>3、表中全部评审结果为“通过”，视为同意进入下一阶段评审。</w:t>
      </w:r>
    </w:p>
    <w:p>
      <w:pPr>
        <w:tabs>
          <w:tab w:val="left" w:pos="720"/>
        </w:tabs>
        <w:snapToGrid w:val="0"/>
        <w:spacing w:beforeLines="50"/>
        <w:ind w:left="945" w:leftChars="300" w:hanging="315" w:hangingChars="150"/>
        <w:rPr>
          <w:rFonts w:ascii="宋体" w:hAnsi="宋体"/>
          <w:color w:val="auto"/>
          <w:szCs w:val="21"/>
          <w:highlight w:val="none"/>
        </w:rPr>
      </w:pPr>
      <w:r>
        <w:rPr>
          <w:rFonts w:hint="eastAsia" w:ascii="宋体" w:hAnsi="宋体"/>
          <w:color w:val="auto"/>
          <w:szCs w:val="21"/>
          <w:highlight w:val="none"/>
        </w:rPr>
        <w:t>4、若评委意见不一致时，则按少数服从多数的原则，决定该投标人是否通过符合性审查，进入下一阶段评审。</w:t>
      </w:r>
    </w:p>
    <w:p>
      <w:pPr>
        <w:rPr>
          <w:rFonts w:ascii="宋体" w:hAnsi="宋体"/>
          <w:color w:val="auto"/>
          <w:highlight w:val="none"/>
        </w:rPr>
      </w:pPr>
    </w:p>
    <w:p>
      <w:pPr>
        <w:pStyle w:val="4"/>
        <w:rPr>
          <w:color w:val="auto"/>
          <w:highlight w:val="none"/>
        </w:rPr>
      </w:pPr>
      <w:r>
        <w:rPr>
          <w:color w:val="auto"/>
          <w:highlight w:val="none"/>
        </w:rPr>
        <w:br w:type="page"/>
      </w:r>
      <w:bookmarkStart w:id="113" w:name="_Toc99464011"/>
      <w:bookmarkStart w:id="114" w:name="_Toc32484"/>
      <w:bookmarkStart w:id="115" w:name="_Toc14627"/>
      <w:r>
        <w:rPr>
          <w:rFonts w:hint="eastAsia"/>
          <w:color w:val="auto"/>
          <w:highlight w:val="none"/>
        </w:rPr>
        <w:t>附录13：技术文件综合评分表</w:t>
      </w:r>
      <w:bookmarkEnd w:id="113"/>
      <w:bookmarkEnd w:id="114"/>
      <w:bookmarkEnd w:id="115"/>
    </w:p>
    <w:p>
      <w:pPr>
        <w:spacing w:line="360" w:lineRule="auto"/>
        <w:jc w:val="center"/>
        <w:rPr>
          <w:rFonts w:ascii="宋体" w:hAnsi="宋体" w:cs="宋体"/>
          <w:bCs/>
          <w:color w:val="auto"/>
          <w:szCs w:val="21"/>
          <w:highlight w:val="none"/>
        </w:rPr>
      </w:pPr>
      <w:r>
        <w:rPr>
          <w:rFonts w:hint="eastAsia" w:ascii="宋体" w:hAnsi="宋体" w:cs="宋体"/>
          <w:b/>
          <w:color w:val="auto"/>
          <w:sz w:val="32"/>
          <w:szCs w:val="32"/>
          <w:highlight w:val="none"/>
        </w:rPr>
        <w:t>技术文件综合评分表</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项目名称：</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r>
        <w:rPr>
          <w:rFonts w:hint="eastAsia" w:ascii="宋体" w:hAnsi="宋体" w:cs="宋体"/>
          <w:bCs/>
          <w:color w:val="auto"/>
          <w:szCs w:val="21"/>
          <w:highlight w:val="none"/>
          <w:lang w:val="zh-CN"/>
        </w:rPr>
        <w:t>投标单位名称：</w:t>
      </w:r>
      <w:r>
        <w:rPr>
          <w:rFonts w:hint="eastAsia" w:ascii="宋体" w:hAnsi="宋体" w:cs="宋体"/>
          <w:bCs/>
          <w:color w:val="auto"/>
          <w:szCs w:val="21"/>
          <w:highlight w:val="none"/>
          <w:u w:val="single"/>
        </w:rPr>
        <w:t xml:space="preserve">                                   </w:t>
      </w:r>
    </w:p>
    <w:tbl>
      <w:tblPr>
        <w:tblStyle w:val="3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080"/>
        <w:gridCol w:w="1552"/>
        <w:gridCol w:w="1620"/>
        <w:gridCol w:w="2382"/>
        <w:gridCol w:w="5358"/>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3352" w:type="dxa"/>
            <w:gridSpan w:val="3"/>
            <w:vAlign w:val="center"/>
          </w:tcPr>
          <w:p>
            <w:pPr>
              <w:autoSpaceDE w:val="0"/>
              <w:autoSpaceDN w:val="0"/>
              <w:adjustRightIn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lang w:val="zh-CN"/>
              </w:rPr>
              <w:t>投标方案编号</w:t>
            </w:r>
          </w:p>
        </w:tc>
        <w:tc>
          <w:tcPr>
            <w:tcW w:w="1620" w:type="dxa"/>
            <w:vAlign w:val="center"/>
          </w:tcPr>
          <w:p>
            <w:pPr>
              <w:autoSpaceDE w:val="0"/>
              <w:autoSpaceDN w:val="0"/>
              <w:adjustRightInd w:val="0"/>
              <w:spacing w:line="400" w:lineRule="exact"/>
              <w:jc w:val="center"/>
              <w:rPr>
                <w:rFonts w:ascii="宋体" w:hAnsi="宋体" w:cs="宋体"/>
                <w:bCs/>
                <w:color w:val="auto"/>
                <w:szCs w:val="21"/>
                <w:highlight w:val="none"/>
              </w:rPr>
            </w:pPr>
          </w:p>
        </w:tc>
        <w:tc>
          <w:tcPr>
            <w:tcW w:w="2382" w:type="dxa"/>
            <w:vAlign w:val="center"/>
          </w:tcPr>
          <w:p>
            <w:pPr>
              <w:autoSpaceDE w:val="0"/>
              <w:autoSpaceDN w:val="0"/>
              <w:adjustRightIn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lang w:val="zh-CN"/>
              </w:rPr>
              <w:t>评标专家（签名）</w:t>
            </w:r>
          </w:p>
        </w:tc>
        <w:tc>
          <w:tcPr>
            <w:tcW w:w="6438" w:type="dxa"/>
            <w:gridSpan w:val="2"/>
            <w:vAlign w:val="center"/>
          </w:tcPr>
          <w:p>
            <w:pPr>
              <w:autoSpaceDE w:val="0"/>
              <w:autoSpaceDN w:val="0"/>
              <w:adjustRightInd w:val="0"/>
              <w:spacing w:line="400" w:lineRule="exact"/>
              <w:jc w:val="center"/>
              <w:rPr>
                <w:rFonts w:ascii="宋体" w:hAnsi="宋体" w:cs="宋体"/>
                <w:bCs/>
                <w:color w:val="auto"/>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jc w:val="center"/>
        </w:trPr>
        <w:tc>
          <w:tcPr>
            <w:tcW w:w="720" w:type="dxa"/>
            <w:textDirection w:val="tbRlV"/>
            <w:vAlign w:val="center"/>
          </w:tcPr>
          <w:p>
            <w:pPr>
              <w:autoSpaceDE w:val="0"/>
              <w:autoSpaceDN w:val="0"/>
              <w:adjustRightInd w:val="0"/>
              <w:spacing w:line="400" w:lineRule="exact"/>
              <w:ind w:left="113" w:right="113"/>
              <w:jc w:val="center"/>
              <w:rPr>
                <w:rFonts w:ascii="宋体" w:hAnsi="宋体" w:cs="宋体"/>
                <w:bCs/>
                <w:color w:val="auto"/>
                <w:szCs w:val="21"/>
                <w:highlight w:val="none"/>
              </w:rPr>
            </w:pPr>
            <w:r>
              <w:rPr>
                <w:rFonts w:hint="eastAsia" w:ascii="宋体" w:hAnsi="宋体" w:cs="宋体"/>
                <w:bCs/>
                <w:color w:val="auto"/>
                <w:szCs w:val="21"/>
                <w:highlight w:val="none"/>
                <w:lang w:val="zh-CN"/>
              </w:rPr>
              <w:t>序号</w:t>
            </w:r>
          </w:p>
        </w:tc>
        <w:tc>
          <w:tcPr>
            <w:tcW w:w="1080" w:type="dxa"/>
            <w:vAlign w:val="center"/>
          </w:tcPr>
          <w:p>
            <w:pPr>
              <w:autoSpaceDE w:val="0"/>
              <w:autoSpaceDN w:val="0"/>
              <w:adjustRightIn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lang w:val="zh-CN"/>
              </w:rPr>
              <w:t>项</w:t>
            </w:r>
            <w:r>
              <w:rPr>
                <w:rFonts w:hint="eastAsia" w:ascii="宋体" w:hAnsi="宋体" w:cs="宋体"/>
                <w:bCs/>
                <w:color w:val="auto"/>
                <w:szCs w:val="21"/>
                <w:highlight w:val="none"/>
              </w:rPr>
              <w:t xml:space="preserve">   </w:t>
            </w:r>
            <w:r>
              <w:rPr>
                <w:rFonts w:hint="eastAsia" w:ascii="宋体" w:hAnsi="宋体" w:cs="宋体"/>
                <w:bCs/>
                <w:color w:val="auto"/>
                <w:szCs w:val="21"/>
                <w:highlight w:val="none"/>
                <w:lang w:val="zh-CN"/>
              </w:rPr>
              <w:t>目</w:t>
            </w:r>
          </w:p>
        </w:tc>
        <w:tc>
          <w:tcPr>
            <w:tcW w:w="1552" w:type="dxa"/>
            <w:vAlign w:val="center"/>
          </w:tcPr>
          <w:p>
            <w:pPr>
              <w:autoSpaceDE w:val="0"/>
              <w:autoSpaceDN w:val="0"/>
              <w:adjustRightIn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lang w:val="zh-CN"/>
              </w:rPr>
              <w:t>分值分配</w:t>
            </w:r>
          </w:p>
        </w:tc>
        <w:tc>
          <w:tcPr>
            <w:tcW w:w="9360" w:type="dxa"/>
            <w:gridSpan w:val="3"/>
            <w:vAlign w:val="center"/>
          </w:tcPr>
          <w:p>
            <w:pPr>
              <w:autoSpaceDE w:val="0"/>
              <w:autoSpaceDN w:val="0"/>
              <w:adjustRightIn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lang w:val="zh-CN"/>
              </w:rPr>
              <w:t>内</w:t>
            </w:r>
            <w:r>
              <w:rPr>
                <w:rFonts w:hint="eastAsia" w:ascii="宋体" w:hAnsi="宋体" w:cs="宋体"/>
                <w:bCs/>
                <w:color w:val="auto"/>
                <w:szCs w:val="21"/>
                <w:highlight w:val="none"/>
              </w:rPr>
              <w:t xml:space="preserve">    </w:t>
            </w:r>
            <w:r>
              <w:rPr>
                <w:rFonts w:hint="eastAsia" w:ascii="宋体" w:hAnsi="宋体" w:cs="宋体"/>
                <w:bCs/>
                <w:color w:val="auto"/>
                <w:szCs w:val="21"/>
                <w:highlight w:val="none"/>
                <w:lang w:val="zh-CN"/>
              </w:rPr>
              <w:t>容</w:t>
            </w:r>
          </w:p>
        </w:tc>
        <w:tc>
          <w:tcPr>
            <w:tcW w:w="1080" w:type="dxa"/>
            <w:vAlign w:val="center"/>
          </w:tcPr>
          <w:p>
            <w:pPr>
              <w:autoSpaceDE w:val="0"/>
              <w:autoSpaceDN w:val="0"/>
              <w:adjustRightIn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lang w:val="zh-CN"/>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20" w:type="dxa"/>
            <w:vAlign w:val="center"/>
          </w:tcPr>
          <w:p>
            <w:pPr>
              <w:autoSpaceDE w:val="0"/>
              <w:autoSpaceDN w:val="0"/>
              <w:adjustRightIn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lang w:val="zh-CN"/>
              </w:rPr>
              <w:t>一</w:t>
            </w:r>
          </w:p>
        </w:tc>
        <w:tc>
          <w:tcPr>
            <w:tcW w:w="1080" w:type="dxa"/>
            <w:vAlign w:val="center"/>
          </w:tcPr>
          <w:p>
            <w:pPr>
              <w:autoSpaceDE w:val="0"/>
              <w:autoSpaceDN w:val="0"/>
              <w:adjustRightInd w:val="0"/>
              <w:spacing w:line="260" w:lineRule="exact"/>
              <w:jc w:val="center"/>
              <w:rPr>
                <w:rFonts w:ascii="宋体" w:hAnsi="宋体" w:cs="宋体"/>
                <w:bCs/>
                <w:color w:val="auto"/>
                <w:szCs w:val="21"/>
                <w:highlight w:val="none"/>
              </w:rPr>
            </w:pPr>
            <w:r>
              <w:rPr>
                <w:rFonts w:hint="eastAsia" w:ascii="宋体" w:hAnsi="宋体" w:cs="宋体"/>
                <w:bCs/>
                <w:color w:val="auto"/>
                <w:szCs w:val="21"/>
                <w:highlight w:val="none"/>
                <w:lang w:val="zh-CN"/>
              </w:rPr>
              <w:t>投标文件的符合性</w:t>
            </w:r>
          </w:p>
        </w:tc>
        <w:tc>
          <w:tcPr>
            <w:tcW w:w="1552" w:type="dxa"/>
            <w:vAlign w:val="center"/>
          </w:tcPr>
          <w:p>
            <w:pPr>
              <w:autoSpaceDE w:val="0"/>
              <w:autoSpaceDN w:val="0"/>
              <w:adjustRightInd w:val="0"/>
              <w:spacing w:line="260" w:lineRule="exact"/>
              <w:jc w:val="center"/>
              <w:rPr>
                <w:rFonts w:ascii="宋体" w:hAnsi="宋体" w:cs="宋体"/>
                <w:bCs/>
                <w:color w:val="auto"/>
                <w:szCs w:val="21"/>
                <w:highlight w:val="none"/>
              </w:rPr>
            </w:pPr>
            <w:r>
              <w:rPr>
                <w:rFonts w:hint="eastAsia" w:ascii="宋体" w:hAnsi="宋体" w:cs="宋体"/>
                <w:color w:val="auto"/>
                <w:szCs w:val="21"/>
                <w:highlight w:val="none"/>
                <w:lang w:val="zh-CN"/>
              </w:rPr>
              <w:t>10</w:t>
            </w:r>
          </w:p>
        </w:tc>
        <w:tc>
          <w:tcPr>
            <w:tcW w:w="9360" w:type="dxa"/>
            <w:gridSpan w:val="3"/>
            <w:vAlign w:val="center"/>
          </w:tcPr>
          <w:p>
            <w:pPr>
              <w:autoSpaceDE w:val="0"/>
              <w:autoSpaceDN w:val="0"/>
              <w:adjustRightInd w:val="0"/>
              <w:spacing w:line="240" w:lineRule="exact"/>
              <w:rPr>
                <w:rFonts w:ascii="宋体" w:hAnsi="宋体" w:cs="宋体"/>
                <w:bCs/>
                <w:color w:val="auto"/>
                <w:szCs w:val="21"/>
                <w:highlight w:val="none"/>
                <w:lang w:val="zh-CN"/>
              </w:rPr>
            </w:pPr>
            <w:r>
              <w:rPr>
                <w:rFonts w:hint="eastAsia" w:ascii="宋体" w:hAnsi="宋体" w:cs="宋体"/>
                <w:bCs/>
                <w:color w:val="auto"/>
                <w:szCs w:val="21"/>
                <w:highlight w:val="none"/>
                <w:lang w:val="zh-CN"/>
              </w:rPr>
              <w:t>整个设计内容符合招标文件要求，内容全面，设计总说明书文字表达清楚、思路清晰、重点和难点突出、图纸及文卷质量高。</w:t>
            </w:r>
          </w:p>
          <w:p>
            <w:pPr>
              <w:autoSpaceDE w:val="0"/>
              <w:autoSpaceDN w:val="0"/>
              <w:adjustRightInd w:val="0"/>
              <w:spacing w:line="240" w:lineRule="exact"/>
              <w:jc w:val="left"/>
              <w:rPr>
                <w:rFonts w:ascii="宋体" w:hAnsi="宋体" w:cs="宋体"/>
                <w:b/>
                <w:bCs/>
                <w:color w:val="auto"/>
                <w:szCs w:val="21"/>
                <w:highlight w:val="none"/>
              </w:rPr>
            </w:pPr>
            <w:r>
              <w:rPr>
                <w:rFonts w:hint="eastAsia" w:ascii="宋体" w:hAnsi="宋体" w:cs="宋体"/>
                <w:bCs/>
                <w:color w:val="auto"/>
                <w:szCs w:val="21"/>
                <w:highlight w:val="none"/>
                <w:lang w:val="zh-CN"/>
              </w:rPr>
              <w:t>优得</w:t>
            </w:r>
            <w:r>
              <w:rPr>
                <w:rFonts w:hint="eastAsia" w:ascii="宋体" w:hAnsi="宋体" w:cs="宋体"/>
                <w:bCs/>
                <w:color w:val="auto"/>
                <w:szCs w:val="21"/>
                <w:highlight w:val="none"/>
              </w:rPr>
              <w:t>10-8</w:t>
            </w:r>
            <w:r>
              <w:rPr>
                <w:rFonts w:hint="eastAsia" w:ascii="宋体" w:hAnsi="宋体" w:cs="宋体"/>
                <w:bCs/>
                <w:color w:val="auto"/>
                <w:szCs w:val="21"/>
                <w:highlight w:val="none"/>
                <w:lang w:val="zh-CN"/>
              </w:rPr>
              <w:t>分，良得</w:t>
            </w:r>
            <w:r>
              <w:rPr>
                <w:rFonts w:hint="eastAsia" w:ascii="宋体" w:hAnsi="宋体" w:cs="宋体"/>
                <w:bCs/>
                <w:color w:val="auto"/>
                <w:szCs w:val="21"/>
                <w:highlight w:val="none"/>
              </w:rPr>
              <w:t>8-6</w:t>
            </w:r>
            <w:r>
              <w:rPr>
                <w:rFonts w:hint="eastAsia" w:ascii="宋体" w:hAnsi="宋体" w:cs="宋体"/>
                <w:bCs/>
                <w:color w:val="auto"/>
                <w:szCs w:val="21"/>
                <w:highlight w:val="none"/>
                <w:lang w:val="zh-CN"/>
              </w:rPr>
              <w:t>分，中得</w:t>
            </w:r>
            <w:r>
              <w:rPr>
                <w:rFonts w:hint="eastAsia" w:ascii="宋体" w:hAnsi="宋体" w:cs="宋体"/>
                <w:bCs/>
                <w:color w:val="auto"/>
                <w:szCs w:val="21"/>
                <w:highlight w:val="none"/>
              </w:rPr>
              <w:t>6-4</w:t>
            </w:r>
            <w:r>
              <w:rPr>
                <w:rFonts w:hint="eastAsia" w:ascii="宋体" w:hAnsi="宋体" w:cs="宋体"/>
                <w:bCs/>
                <w:color w:val="auto"/>
                <w:szCs w:val="21"/>
                <w:highlight w:val="none"/>
                <w:lang w:val="zh-CN"/>
              </w:rPr>
              <w:t>分，差得</w:t>
            </w:r>
            <w:r>
              <w:rPr>
                <w:rFonts w:hint="eastAsia" w:ascii="宋体" w:hAnsi="宋体" w:cs="宋体"/>
                <w:bCs/>
                <w:color w:val="auto"/>
                <w:szCs w:val="21"/>
                <w:highlight w:val="none"/>
              </w:rPr>
              <w:t>4-0</w:t>
            </w:r>
            <w:r>
              <w:rPr>
                <w:rFonts w:hint="eastAsia" w:ascii="宋体" w:hAnsi="宋体" w:cs="宋体"/>
                <w:bCs/>
                <w:color w:val="auto"/>
                <w:szCs w:val="21"/>
                <w:highlight w:val="none"/>
                <w:lang w:val="zh-CN"/>
              </w:rPr>
              <w:t>分</w:t>
            </w:r>
            <w:r>
              <w:rPr>
                <w:rFonts w:hint="eastAsia" w:ascii="宋体" w:hAnsi="宋体" w:cs="宋体"/>
                <w:color w:val="auto"/>
                <w:szCs w:val="21"/>
                <w:highlight w:val="none"/>
                <w:lang w:val="zh-CN"/>
              </w:rPr>
              <w:t>。</w:t>
            </w:r>
          </w:p>
        </w:tc>
        <w:tc>
          <w:tcPr>
            <w:tcW w:w="1080" w:type="dxa"/>
            <w:vAlign w:val="center"/>
          </w:tcPr>
          <w:p>
            <w:pPr>
              <w:autoSpaceDE w:val="0"/>
              <w:autoSpaceDN w:val="0"/>
              <w:adjustRightInd w:val="0"/>
              <w:spacing w:line="400" w:lineRule="exact"/>
              <w:jc w:val="center"/>
              <w:rPr>
                <w:rFonts w:ascii="宋体" w:hAnsi="宋体" w:cs="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8" w:hRule="atLeast"/>
          <w:jc w:val="center"/>
        </w:trPr>
        <w:tc>
          <w:tcPr>
            <w:tcW w:w="720" w:type="dxa"/>
            <w:vMerge w:val="restart"/>
            <w:vAlign w:val="center"/>
          </w:tcPr>
          <w:p>
            <w:pPr>
              <w:autoSpaceDE w:val="0"/>
              <w:autoSpaceDN w:val="0"/>
              <w:adjustRightInd w:val="0"/>
              <w:spacing w:line="400" w:lineRule="exact"/>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二</w:t>
            </w:r>
          </w:p>
        </w:tc>
        <w:tc>
          <w:tcPr>
            <w:tcW w:w="1080" w:type="dxa"/>
            <w:vMerge w:val="restart"/>
            <w:vAlign w:val="center"/>
          </w:tcPr>
          <w:p>
            <w:pPr>
              <w:autoSpaceDE w:val="0"/>
              <w:autoSpaceDN w:val="0"/>
              <w:adjustRightInd w:val="0"/>
              <w:spacing w:line="260" w:lineRule="exact"/>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设计方案及勘察</w:t>
            </w:r>
          </w:p>
          <w:p>
            <w:pPr>
              <w:autoSpaceDE w:val="0"/>
              <w:autoSpaceDN w:val="0"/>
              <w:adjustRightInd w:val="0"/>
              <w:spacing w:line="260" w:lineRule="exact"/>
              <w:jc w:val="center"/>
              <w:rPr>
                <w:rFonts w:ascii="宋体" w:hAnsi="宋体" w:cs="宋体"/>
                <w:bCs/>
                <w:color w:val="auto"/>
                <w:kern w:val="0"/>
                <w:szCs w:val="21"/>
                <w:highlight w:val="none"/>
                <w:lang w:val="zh-CN"/>
              </w:rPr>
            </w:pPr>
            <w:r>
              <w:rPr>
                <w:rFonts w:hint="eastAsia" w:ascii="宋体" w:hAnsi="宋体" w:cs="宋体"/>
                <w:bCs/>
                <w:color w:val="auto"/>
                <w:szCs w:val="21"/>
                <w:highlight w:val="none"/>
                <w:lang w:val="zh-CN"/>
              </w:rPr>
              <w:t>大纲</w:t>
            </w:r>
          </w:p>
        </w:tc>
        <w:tc>
          <w:tcPr>
            <w:tcW w:w="1552" w:type="dxa"/>
            <w:vMerge w:val="restart"/>
            <w:vAlign w:val="center"/>
          </w:tcPr>
          <w:p>
            <w:pPr>
              <w:autoSpaceDE w:val="0"/>
              <w:autoSpaceDN w:val="0"/>
              <w:adjustRightInd w:val="0"/>
              <w:spacing w:line="260" w:lineRule="exact"/>
              <w:jc w:val="center"/>
              <w:rPr>
                <w:rFonts w:ascii="宋体" w:hAnsi="宋体" w:cs="宋体"/>
                <w:bCs/>
                <w:color w:val="auto"/>
                <w:szCs w:val="21"/>
                <w:highlight w:val="none"/>
              </w:rPr>
            </w:pPr>
            <w:r>
              <w:rPr>
                <w:rFonts w:hint="eastAsia" w:ascii="宋体" w:hAnsi="宋体" w:cs="宋体"/>
                <w:color w:val="auto"/>
                <w:szCs w:val="21"/>
                <w:highlight w:val="none"/>
                <w:lang w:val="zh-CN"/>
              </w:rPr>
              <w:t>80</w:t>
            </w:r>
          </w:p>
        </w:tc>
        <w:tc>
          <w:tcPr>
            <w:tcW w:w="9360" w:type="dxa"/>
            <w:gridSpan w:val="3"/>
            <w:vAlign w:val="center"/>
          </w:tcPr>
          <w:p>
            <w:pPr>
              <w:autoSpaceDE w:val="0"/>
              <w:autoSpaceDN w:val="0"/>
              <w:adjustRightInd w:val="0"/>
              <w:spacing w:line="240" w:lineRule="exact"/>
              <w:rPr>
                <w:rFonts w:ascii="宋体" w:hAnsi="宋体" w:cs="宋体"/>
                <w:bCs/>
                <w:color w:val="auto"/>
                <w:szCs w:val="21"/>
                <w:highlight w:val="none"/>
                <w:lang w:val="zh-CN"/>
              </w:rPr>
            </w:pPr>
            <w:r>
              <w:rPr>
                <w:rFonts w:hint="eastAsia" w:ascii="宋体" w:hAnsi="宋体" w:cs="宋体"/>
                <w:bCs/>
                <w:color w:val="auto"/>
                <w:szCs w:val="21"/>
                <w:highlight w:val="none"/>
                <w:lang w:val="zh-CN"/>
              </w:rPr>
              <w:t>1、正确理解并执行规划建设意图，与周边路网、管网规划协调一致；对区域内路网的交通组织完善</w:t>
            </w:r>
          </w:p>
          <w:p>
            <w:pPr>
              <w:autoSpaceDE w:val="0"/>
              <w:autoSpaceDN w:val="0"/>
              <w:adjustRightInd w:val="0"/>
              <w:spacing w:line="240" w:lineRule="exact"/>
              <w:rPr>
                <w:rFonts w:ascii="宋体" w:hAnsi="宋体" w:cs="宋体"/>
                <w:bCs/>
                <w:color w:val="auto"/>
                <w:szCs w:val="21"/>
                <w:highlight w:val="none"/>
                <w:lang w:val="zh-CN"/>
              </w:rPr>
            </w:pPr>
            <w:r>
              <w:rPr>
                <w:rFonts w:hint="eastAsia" w:ascii="宋体" w:hAnsi="宋体" w:cs="宋体"/>
                <w:bCs/>
                <w:color w:val="auto"/>
                <w:szCs w:val="21"/>
                <w:highlight w:val="none"/>
                <w:lang w:val="zh-CN"/>
              </w:rPr>
              <w:t>合理，总体思路清晰；路线平、纵、横等设计科学合理；道路、桥涵、排水之间的关系处理得当。</w:t>
            </w:r>
          </w:p>
          <w:p>
            <w:pPr>
              <w:autoSpaceDE w:val="0"/>
              <w:autoSpaceDN w:val="0"/>
              <w:adjustRightInd w:val="0"/>
              <w:spacing w:line="240" w:lineRule="exact"/>
              <w:rPr>
                <w:rFonts w:ascii="宋体" w:hAnsi="宋体" w:cs="宋体"/>
                <w:b/>
                <w:bCs/>
                <w:color w:val="auto"/>
                <w:szCs w:val="21"/>
                <w:highlight w:val="none"/>
                <w:lang w:val="zh-CN"/>
              </w:rPr>
            </w:pPr>
            <w:r>
              <w:rPr>
                <w:rFonts w:hint="eastAsia" w:ascii="宋体" w:hAnsi="宋体" w:cs="宋体"/>
                <w:color w:val="auto"/>
                <w:szCs w:val="21"/>
                <w:highlight w:val="none"/>
              </w:rPr>
              <w:t>优得8-6分，良得6-4分，中得4-2分，差得2-0分。</w:t>
            </w:r>
          </w:p>
        </w:tc>
        <w:tc>
          <w:tcPr>
            <w:tcW w:w="1080" w:type="dxa"/>
            <w:vAlign w:val="center"/>
          </w:tcPr>
          <w:p>
            <w:pPr>
              <w:autoSpaceDE w:val="0"/>
              <w:autoSpaceDN w:val="0"/>
              <w:adjustRightInd w:val="0"/>
              <w:spacing w:line="400" w:lineRule="exact"/>
              <w:jc w:val="center"/>
              <w:rPr>
                <w:rFonts w:ascii="宋体" w:hAnsi="宋体" w:cs="宋体"/>
                <w:bCs/>
                <w:color w:val="auto"/>
                <w:szCs w:val="21"/>
                <w:highlight w:val="none"/>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720" w:type="dxa"/>
            <w:vMerge w:val="continue"/>
            <w:vAlign w:val="center"/>
          </w:tcPr>
          <w:p>
            <w:pPr>
              <w:autoSpaceDE w:val="0"/>
              <w:autoSpaceDN w:val="0"/>
              <w:adjustRightInd w:val="0"/>
              <w:spacing w:line="400" w:lineRule="exact"/>
              <w:jc w:val="center"/>
              <w:rPr>
                <w:rFonts w:ascii="宋体" w:hAnsi="宋体" w:cs="宋体"/>
                <w:bCs/>
                <w:color w:val="auto"/>
                <w:szCs w:val="21"/>
                <w:highlight w:val="none"/>
                <w:lang w:val="zh-CN"/>
              </w:rPr>
            </w:pPr>
          </w:p>
        </w:tc>
        <w:tc>
          <w:tcPr>
            <w:tcW w:w="1080" w:type="dxa"/>
            <w:vMerge w:val="continue"/>
            <w:textDirection w:val="tbRlV"/>
            <w:vAlign w:val="center"/>
          </w:tcPr>
          <w:p>
            <w:pPr>
              <w:autoSpaceDE w:val="0"/>
              <w:autoSpaceDN w:val="0"/>
              <w:adjustRightInd w:val="0"/>
              <w:spacing w:line="400" w:lineRule="exact"/>
              <w:ind w:left="113" w:right="113"/>
              <w:jc w:val="center"/>
              <w:rPr>
                <w:rFonts w:ascii="宋体" w:hAnsi="宋体" w:cs="宋体"/>
                <w:bCs/>
                <w:color w:val="auto"/>
                <w:kern w:val="0"/>
                <w:szCs w:val="21"/>
                <w:highlight w:val="none"/>
                <w:lang w:val="zh-CN"/>
              </w:rPr>
            </w:pPr>
          </w:p>
        </w:tc>
        <w:tc>
          <w:tcPr>
            <w:tcW w:w="1552"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9360" w:type="dxa"/>
            <w:gridSpan w:val="3"/>
            <w:vAlign w:val="center"/>
          </w:tcPr>
          <w:p>
            <w:pPr>
              <w:rPr>
                <w:color w:val="auto"/>
                <w:highlight w:val="none"/>
              </w:rPr>
            </w:pPr>
            <w:r>
              <w:rPr>
                <w:rFonts w:ascii="宋体" w:hAnsi="宋体" w:cs="宋体"/>
                <w:bCs/>
                <w:color w:val="auto"/>
                <w:szCs w:val="21"/>
                <w:highlight w:val="none"/>
                <w:lang w:val="zh-CN"/>
              </w:rPr>
              <w:t>2</w:t>
            </w:r>
            <w:r>
              <w:rPr>
                <w:rFonts w:hint="eastAsia" w:ascii="宋体" w:hAnsi="宋体" w:cs="宋体"/>
                <w:bCs/>
                <w:color w:val="auto"/>
                <w:szCs w:val="21"/>
                <w:highlight w:val="none"/>
                <w:lang w:val="zh-CN"/>
              </w:rPr>
              <w:t>、对工程周边道路及地块摸查充分，熟悉本项目现状建设条件。</w:t>
            </w:r>
            <w:r>
              <w:rPr>
                <w:rFonts w:hint="eastAsia" w:ascii="宋体" w:hAnsi="宋体" w:cs="宋体"/>
                <w:bCs/>
                <w:color w:val="auto"/>
                <w:szCs w:val="21"/>
                <w:highlight w:val="none"/>
                <w:lang w:val="zh-CN"/>
              </w:rPr>
              <w:cr/>
            </w:r>
            <w:r>
              <w:rPr>
                <w:rFonts w:hint="eastAsia" w:ascii="宋体" w:hAnsi="宋体" w:cs="宋体"/>
                <w:bCs/>
                <w:color w:val="auto"/>
                <w:szCs w:val="21"/>
                <w:highlight w:val="none"/>
                <w:lang w:val="zh-CN"/>
              </w:rPr>
              <w:t>优得6-4分，良得4-3分，中得3-2分，差得2-0分。</w:t>
            </w:r>
          </w:p>
          <w:p>
            <w:pPr>
              <w:autoSpaceDE/>
              <w:autoSpaceDN/>
              <w:adjustRightInd/>
              <w:spacing w:line="240" w:lineRule="auto"/>
              <w:jc w:val="left"/>
              <w:rPr>
                <w:rFonts w:ascii="宋体" w:hAnsi="宋体" w:cs="宋体"/>
                <w:b/>
                <w:bCs/>
                <w:color w:val="auto"/>
                <w:szCs w:val="21"/>
                <w:highlight w:val="none"/>
              </w:rPr>
            </w:pPr>
          </w:p>
        </w:tc>
        <w:tc>
          <w:tcPr>
            <w:tcW w:w="1080" w:type="dxa"/>
            <w:vAlign w:val="center"/>
          </w:tcPr>
          <w:p>
            <w:pPr>
              <w:autoSpaceDE w:val="0"/>
              <w:autoSpaceDN w:val="0"/>
              <w:adjustRightInd w:val="0"/>
              <w:spacing w:line="400" w:lineRule="exact"/>
              <w:jc w:val="center"/>
              <w:rPr>
                <w:rFonts w:ascii="宋体" w:hAnsi="宋体" w:cs="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720" w:type="dxa"/>
            <w:vMerge w:val="continue"/>
            <w:vAlign w:val="center"/>
          </w:tcPr>
          <w:p>
            <w:pPr>
              <w:autoSpaceDE w:val="0"/>
              <w:autoSpaceDN w:val="0"/>
              <w:adjustRightInd w:val="0"/>
              <w:spacing w:line="400" w:lineRule="exact"/>
              <w:jc w:val="center"/>
              <w:rPr>
                <w:rFonts w:ascii="宋体" w:hAnsi="宋体" w:cs="宋体"/>
                <w:bCs/>
                <w:color w:val="auto"/>
                <w:szCs w:val="21"/>
                <w:highlight w:val="none"/>
                <w:lang w:val="zh-CN"/>
              </w:rPr>
            </w:pPr>
          </w:p>
        </w:tc>
        <w:tc>
          <w:tcPr>
            <w:tcW w:w="1080" w:type="dxa"/>
            <w:vMerge w:val="continue"/>
            <w:textDirection w:val="tbRlV"/>
            <w:vAlign w:val="center"/>
          </w:tcPr>
          <w:p>
            <w:pPr>
              <w:autoSpaceDE w:val="0"/>
              <w:autoSpaceDN w:val="0"/>
              <w:adjustRightInd w:val="0"/>
              <w:spacing w:line="400" w:lineRule="exact"/>
              <w:ind w:left="113" w:right="113"/>
              <w:jc w:val="center"/>
              <w:rPr>
                <w:rFonts w:ascii="宋体" w:hAnsi="宋体" w:cs="宋体"/>
                <w:bCs/>
                <w:color w:val="auto"/>
                <w:kern w:val="0"/>
                <w:szCs w:val="21"/>
                <w:highlight w:val="none"/>
                <w:lang w:val="zh-CN"/>
              </w:rPr>
            </w:pPr>
          </w:p>
        </w:tc>
        <w:tc>
          <w:tcPr>
            <w:tcW w:w="1552"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9360" w:type="dxa"/>
            <w:gridSpan w:val="3"/>
            <w:vAlign w:val="center"/>
          </w:tcPr>
          <w:p>
            <w:pPr>
              <w:autoSpaceDE/>
              <w:autoSpaceDN/>
              <w:adjustRightInd/>
              <w:spacing w:line="240" w:lineRule="auto"/>
              <w:rPr>
                <w:rFonts w:ascii="宋体" w:hAnsi="宋体" w:cs="宋体"/>
                <w:bCs/>
                <w:color w:val="auto"/>
                <w:szCs w:val="21"/>
                <w:highlight w:val="none"/>
                <w:lang w:val="zh-CN"/>
              </w:rPr>
            </w:pPr>
            <w:r>
              <w:rPr>
                <w:rFonts w:ascii="宋体" w:hAnsi="宋体" w:cs="宋体"/>
                <w:bCs/>
                <w:color w:val="auto"/>
                <w:szCs w:val="21"/>
                <w:highlight w:val="none"/>
                <w:lang w:val="zh-CN"/>
              </w:rPr>
              <w:t>3</w:t>
            </w:r>
            <w:r>
              <w:rPr>
                <w:rFonts w:hint="eastAsia" w:ascii="宋体" w:hAnsi="宋体" w:cs="宋体"/>
                <w:bCs/>
                <w:color w:val="auto"/>
                <w:szCs w:val="21"/>
                <w:highlight w:val="none"/>
                <w:lang w:val="zh-CN"/>
              </w:rPr>
              <w:t>、交叉节点功能定位合理；平、纵、横等设计指标符合规范且标准较高，技术措施优良。</w:t>
            </w:r>
            <w:r>
              <w:rPr>
                <w:rFonts w:hint="eastAsia" w:ascii="宋体" w:hAnsi="宋体" w:cs="宋体"/>
                <w:bCs/>
                <w:color w:val="auto"/>
                <w:szCs w:val="21"/>
                <w:highlight w:val="none"/>
              </w:rPr>
              <w:t>综合考虑现状路网对交叉口</w:t>
            </w:r>
            <w:r>
              <w:rPr>
                <w:rFonts w:ascii="宋体" w:hAnsi="宋体" w:cs="宋体"/>
                <w:bCs/>
                <w:color w:val="auto"/>
                <w:szCs w:val="21"/>
                <w:highlight w:val="none"/>
              </w:rPr>
              <w:t>进行设计。</w:t>
            </w:r>
          </w:p>
          <w:p>
            <w:pPr>
              <w:rPr>
                <w:color w:val="auto"/>
                <w:highlight w:val="none"/>
              </w:rPr>
            </w:pPr>
            <w:r>
              <w:rPr>
                <w:rFonts w:hint="eastAsia" w:ascii="宋体" w:hAnsi="宋体" w:cs="宋体"/>
                <w:color w:val="auto"/>
                <w:szCs w:val="21"/>
                <w:highlight w:val="none"/>
              </w:rPr>
              <w:t>优得8-6分，良得6-4分，中得4-2分，差得2-0分。</w:t>
            </w:r>
          </w:p>
          <w:p>
            <w:pPr>
              <w:autoSpaceDE/>
              <w:autoSpaceDN/>
              <w:adjustRightInd/>
              <w:spacing w:line="240" w:lineRule="auto"/>
              <w:ind w:left="0" w:leftChars="0" w:firstLine="0" w:firstLineChars="0"/>
              <w:jc w:val="left"/>
              <w:rPr>
                <w:rFonts w:ascii="宋体" w:hAnsi="宋体" w:cs="宋体"/>
                <w:b/>
                <w:bCs/>
                <w:color w:val="auto"/>
                <w:szCs w:val="21"/>
                <w:highlight w:val="none"/>
              </w:rPr>
            </w:pPr>
          </w:p>
        </w:tc>
        <w:tc>
          <w:tcPr>
            <w:tcW w:w="1080" w:type="dxa"/>
            <w:vAlign w:val="center"/>
          </w:tcPr>
          <w:p>
            <w:pPr>
              <w:autoSpaceDE w:val="0"/>
              <w:autoSpaceDN w:val="0"/>
              <w:adjustRightInd w:val="0"/>
              <w:spacing w:line="400" w:lineRule="exact"/>
              <w:jc w:val="center"/>
              <w:rPr>
                <w:rFonts w:ascii="宋体" w:hAnsi="宋体" w:cs="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720" w:type="dxa"/>
            <w:vMerge w:val="continue"/>
            <w:vAlign w:val="center"/>
          </w:tcPr>
          <w:p>
            <w:pPr>
              <w:autoSpaceDE w:val="0"/>
              <w:autoSpaceDN w:val="0"/>
              <w:adjustRightInd w:val="0"/>
              <w:spacing w:line="400" w:lineRule="exact"/>
              <w:jc w:val="center"/>
              <w:rPr>
                <w:rFonts w:ascii="宋体" w:hAnsi="宋体" w:cs="宋体"/>
                <w:bCs/>
                <w:color w:val="auto"/>
                <w:szCs w:val="21"/>
                <w:highlight w:val="none"/>
                <w:lang w:val="zh-CN"/>
              </w:rPr>
            </w:pPr>
          </w:p>
        </w:tc>
        <w:tc>
          <w:tcPr>
            <w:tcW w:w="1080" w:type="dxa"/>
            <w:vMerge w:val="continue"/>
            <w:textDirection w:val="tbRlV"/>
            <w:vAlign w:val="center"/>
          </w:tcPr>
          <w:p>
            <w:pPr>
              <w:autoSpaceDE w:val="0"/>
              <w:autoSpaceDN w:val="0"/>
              <w:adjustRightInd w:val="0"/>
              <w:spacing w:line="400" w:lineRule="exact"/>
              <w:ind w:left="113" w:right="113"/>
              <w:jc w:val="center"/>
              <w:rPr>
                <w:rFonts w:ascii="宋体" w:hAnsi="宋体" w:cs="宋体"/>
                <w:bCs/>
                <w:color w:val="auto"/>
                <w:kern w:val="0"/>
                <w:szCs w:val="21"/>
                <w:highlight w:val="none"/>
                <w:lang w:val="zh-CN"/>
              </w:rPr>
            </w:pPr>
          </w:p>
        </w:tc>
        <w:tc>
          <w:tcPr>
            <w:tcW w:w="1552"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9360" w:type="dxa"/>
            <w:gridSpan w:val="3"/>
            <w:vAlign w:val="center"/>
          </w:tcPr>
          <w:p>
            <w:pPr>
              <w:autoSpaceDE/>
              <w:autoSpaceDN/>
              <w:adjustRightInd/>
              <w:spacing w:line="240" w:lineRule="auto"/>
              <w:rPr>
                <w:rFonts w:ascii="宋体" w:hAnsi="宋体" w:cs="宋体"/>
                <w:bCs/>
                <w:color w:val="auto"/>
                <w:szCs w:val="21"/>
                <w:highlight w:val="none"/>
                <w:lang w:val="zh-CN"/>
              </w:rPr>
            </w:pPr>
            <w:r>
              <w:rPr>
                <w:rFonts w:ascii="宋体" w:hAnsi="宋体" w:cs="宋体"/>
                <w:bCs/>
                <w:color w:val="auto"/>
                <w:szCs w:val="21"/>
                <w:highlight w:val="none"/>
              </w:rPr>
              <w:t>4</w:t>
            </w:r>
            <w:r>
              <w:rPr>
                <w:rFonts w:hint="eastAsia" w:ascii="宋体" w:hAnsi="宋体" w:cs="宋体"/>
                <w:bCs/>
                <w:color w:val="auto"/>
                <w:szCs w:val="21"/>
                <w:highlight w:val="none"/>
                <w:lang w:val="zh-CN"/>
              </w:rPr>
              <w:t>、路基路面、不良地基处理、护坡（包含高边坡防护与加固）、</w:t>
            </w:r>
            <w:r>
              <w:rPr>
                <w:rFonts w:ascii="宋体" w:hAnsi="宋体" w:cs="宋体"/>
                <w:bCs/>
                <w:color w:val="auto"/>
                <w:szCs w:val="21"/>
                <w:highlight w:val="none"/>
                <w:lang w:val="zh-CN"/>
              </w:rPr>
              <w:t>支</w:t>
            </w:r>
            <w:r>
              <w:rPr>
                <w:rFonts w:hint="eastAsia" w:ascii="宋体" w:hAnsi="宋体" w:cs="宋体"/>
                <w:bCs/>
                <w:color w:val="auto"/>
                <w:szCs w:val="21"/>
                <w:highlight w:val="none"/>
                <w:lang w:val="zh-CN"/>
              </w:rPr>
              <w:t>挡</w:t>
            </w:r>
            <w:r>
              <w:rPr>
                <w:rFonts w:ascii="宋体" w:hAnsi="宋体" w:cs="宋体"/>
                <w:bCs/>
                <w:color w:val="auto"/>
                <w:szCs w:val="21"/>
                <w:highlight w:val="none"/>
                <w:lang w:val="zh-CN"/>
              </w:rPr>
              <w:t>（</w:t>
            </w:r>
            <w:r>
              <w:rPr>
                <w:rFonts w:hint="eastAsia" w:ascii="宋体" w:hAnsi="宋体" w:cs="宋体"/>
                <w:bCs/>
                <w:color w:val="auto"/>
                <w:szCs w:val="21"/>
                <w:highlight w:val="none"/>
                <w:lang w:val="zh-CN"/>
              </w:rPr>
              <w:t>结合</w:t>
            </w:r>
            <w:r>
              <w:rPr>
                <w:rFonts w:ascii="宋体" w:hAnsi="宋体" w:cs="宋体"/>
                <w:bCs/>
                <w:color w:val="auto"/>
                <w:szCs w:val="21"/>
                <w:highlight w:val="none"/>
                <w:lang w:val="zh-CN"/>
              </w:rPr>
              <w:t>道路沿线用地性质）</w:t>
            </w:r>
            <w:r>
              <w:rPr>
                <w:rFonts w:hint="eastAsia" w:ascii="宋体" w:hAnsi="宋体" w:cs="宋体"/>
                <w:bCs/>
                <w:color w:val="auto"/>
                <w:szCs w:val="21"/>
                <w:highlight w:val="none"/>
                <w:lang w:val="zh-CN"/>
              </w:rPr>
              <w:t>等基础工程的设计安全、合理、经济且能满足工期的要求；土方平衡合理。</w:t>
            </w:r>
          </w:p>
          <w:p>
            <w:pPr>
              <w:rPr>
                <w:color w:val="auto"/>
                <w:highlight w:val="none"/>
              </w:rPr>
            </w:pPr>
            <w:r>
              <w:rPr>
                <w:rFonts w:hint="eastAsia" w:ascii="宋体" w:hAnsi="宋体" w:cs="宋体"/>
                <w:color w:val="auto"/>
                <w:szCs w:val="21"/>
                <w:highlight w:val="none"/>
              </w:rPr>
              <w:t>优得8-6分，良得6-4分，中得4-2分，差得2-0分。</w:t>
            </w:r>
          </w:p>
          <w:p>
            <w:pPr>
              <w:autoSpaceDE/>
              <w:autoSpaceDN/>
              <w:adjustRightInd/>
              <w:spacing w:line="240" w:lineRule="auto"/>
              <w:rPr>
                <w:rFonts w:ascii="宋体" w:hAnsi="宋体" w:cs="宋体"/>
                <w:bCs/>
                <w:color w:val="auto"/>
                <w:szCs w:val="21"/>
                <w:highlight w:val="none"/>
              </w:rPr>
            </w:pPr>
          </w:p>
        </w:tc>
        <w:tc>
          <w:tcPr>
            <w:tcW w:w="1080" w:type="dxa"/>
            <w:vAlign w:val="center"/>
          </w:tcPr>
          <w:p>
            <w:pPr>
              <w:autoSpaceDE w:val="0"/>
              <w:autoSpaceDN w:val="0"/>
              <w:adjustRightInd w:val="0"/>
              <w:spacing w:line="400" w:lineRule="exact"/>
              <w:jc w:val="center"/>
              <w:rPr>
                <w:rFonts w:ascii="宋体" w:hAnsi="宋体" w:cs="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720" w:type="dxa"/>
            <w:vMerge w:val="continue"/>
            <w:vAlign w:val="center"/>
          </w:tcPr>
          <w:p>
            <w:pPr>
              <w:autoSpaceDE w:val="0"/>
              <w:autoSpaceDN w:val="0"/>
              <w:adjustRightInd w:val="0"/>
              <w:spacing w:line="400" w:lineRule="exact"/>
              <w:jc w:val="center"/>
              <w:rPr>
                <w:rFonts w:ascii="宋体" w:hAnsi="宋体" w:cs="宋体"/>
                <w:bCs/>
                <w:color w:val="auto"/>
                <w:szCs w:val="21"/>
                <w:highlight w:val="none"/>
                <w:lang w:val="zh-CN"/>
              </w:rPr>
            </w:pPr>
          </w:p>
        </w:tc>
        <w:tc>
          <w:tcPr>
            <w:tcW w:w="1080" w:type="dxa"/>
            <w:vMerge w:val="continue"/>
            <w:textDirection w:val="tbRlV"/>
            <w:vAlign w:val="center"/>
          </w:tcPr>
          <w:p>
            <w:pPr>
              <w:autoSpaceDE w:val="0"/>
              <w:autoSpaceDN w:val="0"/>
              <w:adjustRightInd w:val="0"/>
              <w:spacing w:line="400" w:lineRule="exact"/>
              <w:ind w:left="113" w:right="113"/>
              <w:jc w:val="center"/>
              <w:rPr>
                <w:rFonts w:ascii="宋体" w:hAnsi="宋体" w:cs="宋体"/>
                <w:bCs/>
                <w:color w:val="auto"/>
                <w:kern w:val="0"/>
                <w:szCs w:val="21"/>
                <w:highlight w:val="none"/>
                <w:lang w:val="zh-CN"/>
              </w:rPr>
            </w:pPr>
          </w:p>
        </w:tc>
        <w:tc>
          <w:tcPr>
            <w:tcW w:w="1552"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9360" w:type="dxa"/>
            <w:gridSpan w:val="3"/>
            <w:vAlign w:val="center"/>
          </w:tcPr>
          <w:p>
            <w:pPr>
              <w:autoSpaceDE/>
              <w:autoSpaceDN/>
              <w:adjustRightInd/>
              <w:spacing w:line="240" w:lineRule="auto"/>
              <w:rPr>
                <w:rFonts w:ascii="宋体" w:hAnsi="宋体" w:cs="宋体"/>
                <w:bCs/>
                <w:color w:val="auto"/>
                <w:szCs w:val="21"/>
                <w:highlight w:val="none"/>
                <w:lang w:val="zh-CN"/>
              </w:rPr>
            </w:pPr>
            <w:r>
              <w:rPr>
                <w:rFonts w:ascii="宋体" w:hAnsi="宋体" w:cs="宋体"/>
                <w:bCs/>
                <w:color w:val="auto"/>
                <w:szCs w:val="21"/>
                <w:highlight w:val="none"/>
              </w:rPr>
              <w:t>5</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综合管线的布置形式系统、合理、经济、实用；管理模式先进合理；能充分考虑与周边市政道路的衔接与协调。</w:t>
            </w:r>
          </w:p>
          <w:p>
            <w:pPr>
              <w:rPr>
                <w:color w:val="auto"/>
                <w:highlight w:val="none"/>
              </w:rPr>
            </w:pPr>
            <w:r>
              <w:rPr>
                <w:rFonts w:hint="eastAsia" w:ascii="宋体" w:hAnsi="宋体" w:cs="宋体"/>
                <w:bCs/>
                <w:color w:val="auto"/>
                <w:szCs w:val="21"/>
                <w:highlight w:val="none"/>
                <w:lang w:val="zh-CN"/>
              </w:rPr>
              <w:t>优得</w:t>
            </w:r>
            <w:r>
              <w:rPr>
                <w:rFonts w:hint="eastAsia" w:ascii="宋体" w:hAnsi="宋体" w:cs="宋体"/>
                <w:bCs/>
                <w:color w:val="auto"/>
                <w:szCs w:val="21"/>
                <w:highlight w:val="none"/>
              </w:rPr>
              <w:t>6-</w:t>
            </w:r>
            <w:r>
              <w:rPr>
                <w:rFonts w:ascii="宋体" w:hAnsi="宋体" w:cs="宋体"/>
                <w:bCs/>
                <w:color w:val="auto"/>
                <w:szCs w:val="21"/>
                <w:highlight w:val="none"/>
              </w:rPr>
              <w:t>4</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良得</w:t>
            </w:r>
            <w:r>
              <w:rPr>
                <w:rFonts w:ascii="宋体" w:hAnsi="宋体" w:cs="宋体"/>
                <w:bCs/>
                <w:color w:val="auto"/>
                <w:szCs w:val="21"/>
                <w:highlight w:val="none"/>
                <w:lang w:val="zh-CN"/>
              </w:rPr>
              <w:t>4</w:t>
            </w:r>
            <w:r>
              <w:rPr>
                <w:rFonts w:hint="eastAsia" w:ascii="宋体" w:hAnsi="宋体" w:cs="宋体"/>
                <w:bCs/>
                <w:color w:val="auto"/>
                <w:szCs w:val="21"/>
                <w:highlight w:val="none"/>
              </w:rPr>
              <w:t>-</w:t>
            </w:r>
            <w:r>
              <w:rPr>
                <w:rFonts w:ascii="宋体" w:hAnsi="宋体" w:cs="宋体"/>
                <w:bCs/>
                <w:color w:val="auto"/>
                <w:szCs w:val="21"/>
                <w:highlight w:val="none"/>
              </w:rPr>
              <w:t>3</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w:t>
            </w:r>
            <w:r>
              <w:rPr>
                <w:rFonts w:hint="eastAsia" w:ascii="宋体" w:hAnsi="宋体" w:cs="宋体"/>
                <w:color w:val="auto"/>
                <w:szCs w:val="21"/>
                <w:highlight w:val="none"/>
              </w:rPr>
              <w:t>中得</w:t>
            </w: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分，差得</w:t>
            </w:r>
            <w:r>
              <w:rPr>
                <w:rFonts w:ascii="宋体" w:hAnsi="宋体" w:cs="宋体"/>
                <w:color w:val="auto"/>
                <w:szCs w:val="21"/>
                <w:highlight w:val="none"/>
              </w:rPr>
              <w:t>2</w:t>
            </w:r>
            <w:r>
              <w:rPr>
                <w:rFonts w:hint="eastAsia" w:ascii="宋体" w:hAnsi="宋体" w:cs="宋体"/>
                <w:color w:val="auto"/>
                <w:szCs w:val="21"/>
                <w:highlight w:val="none"/>
              </w:rPr>
              <w:t>-0分。</w:t>
            </w:r>
          </w:p>
          <w:p>
            <w:pPr>
              <w:autoSpaceDE/>
              <w:autoSpaceDN/>
              <w:adjustRightInd/>
              <w:spacing w:line="240" w:lineRule="auto"/>
              <w:rPr>
                <w:rFonts w:ascii="宋体" w:hAnsi="宋体" w:cs="宋体"/>
                <w:bCs/>
                <w:color w:val="auto"/>
                <w:szCs w:val="21"/>
                <w:highlight w:val="none"/>
              </w:rPr>
            </w:pPr>
          </w:p>
        </w:tc>
        <w:tc>
          <w:tcPr>
            <w:tcW w:w="1080" w:type="dxa"/>
            <w:vAlign w:val="center"/>
          </w:tcPr>
          <w:p>
            <w:pPr>
              <w:autoSpaceDE w:val="0"/>
              <w:autoSpaceDN w:val="0"/>
              <w:adjustRightInd w:val="0"/>
              <w:spacing w:line="400" w:lineRule="exact"/>
              <w:jc w:val="center"/>
              <w:rPr>
                <w:rFonts w:ascii="宋体" w:hAnsi="宋体" w:cs="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720"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1080" w:type="dxa"/>
            <w:vMerge w:val="continue"/>
            <w:textDirection w:val="tbRlV"/>
            <w:vAlign w:val="center"/>
          </w:tcPr>
          <w:p>
            <w:pPr>
              <w:autoSpaceDE w:val="0"/>
              <w:autoSpaceDN w:val="0"/>
              <w:adjustRightInd w:val="0"/>
              <w:spacing w:line="400" w:lineRule="exact"/>
              <w:ind w:left="113" w:right="113"/>
              <w:jc w:val="center"/>
              <w:rPr>
                <w:rFonts w:ascii="宋体" w:hAnsi="宋体" w:cs="宋体"/>
                <w:bCs/>
                <w:color w:val="auto"/>
                <w:kern w:val="0"/>
                <w:szCs w:val="21"/>
                <w:highlight w:val="none"/>
              </w:rPr>
            </w:pPr>
          </w:p>
        </w:tc>
        <w:tc>
          <w:tcPr>
            <w:tcW w:w="1552"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9360" w:type="dxa"/>
            <w:gridSpan w:val="3"/>
            <w:vAlign w:val="center"/>
          </w:tcPr>
          <w:p>
            <w:pPr>
              <w:autoSpaceDE/>
              <w:autoSpaceDN/>
              <w:adjustRightInd/>
              <w:spacing w:line="240" w:lineRule="auto"/>
              <w:rPr>
                <w:rFonts w:ascii="宋体" w:hAnsi="宋体" w:cs="宋体"/>
                <w:bCs/>
                <w:color w:val="auto"/>
                <w:szCs w:val="21"/>
                <w:highlight w:val="none"/>
              </w:rPr>
            </w:pPr>
            <w:r>
              <w:rPr>
                <w:rFonts w:ascii="宋体" w:hAnsi="宋体" w:cs="宋体"/>
                <w:bCs/>
                <w:color w:val="auto"/>
                <w:szCs w:val="21"/>
                <w:highlight w:val="none"/>
              </w:rPr>
              <w:t>6</w:t>
            </w:r>
            <w:r>
              <w:rPr>
                <w:rFonts w:hint="eastAsia" w:ascii="宋体" w:hAnsi="宋体" w:cs="宋体"/>
                <w:bCs/>
                <w:color w:val="auto"/>
                <w:szCs w:val="21"/>
                <w:highlight w:val="none"/>
              </w:rPr>
              <w:t>、充分考虑已建或</w:t>
            </w:r>
            <w:r>
              <w:rPr>
                <w:rFonts w:ascii="宋体" w:hAnsi="宋体" w:cs="宋体"/>
                <w:bCs/>
                <w:color w:val="auto"/>
                <w:szCs w:val="21"/>
                <w:highlight w:val="none"/>
              </w:rPr>
              <w:t>在建</w:t>
            </w:r>
            <w:r>
              <w:rPr>
                <w:rFonts w:hint="eastAsia" w:ascii="宋体" w:hAnsi="宋体" w:cs="宋体"/>
                <w:bCs/>
                <w:color w:val="auto"/>
                <w:szCs w:val="21"/>
                <w:highlight w:val="none"/>
              </w:rPr>
              <w:t>排水设施，结合现状及规划污水处理需求，综合考虑近远期结合的要求；排水管道系统总体布局充分利用地形，尽量采用自流，尽量避免穿越河道，缩短管线长度，减小主干管管径，充分考虑其可实施性和可操作性。</w:t>
            </w:r>
          </w:p>
          <w:p>
            <w:pPr>
              <w:rPr>
                <w:color w:val="auto"/>
                <w:highlight w:val="none"/>
              </w:rPr>
            </w:pPr>
            <w:r>
              <w:rPr>
                <w:rFonts w:hint="eastAsia" w:ascii="宋体" w:hAnsi="宋体" w:cs="宋体"/>
                <w:bCs/>
                <w:color w:val="auto"/>
                <w:szCs w:val="21"/>
                <w:highlight w:val="none"/>
                <w:lang w:val="zh-CN"/>
              </w:rPr>
              <w:t>优得</w:t>
            </w:r>
            <w:r>
              <w:rPr>
                <w:rFonts w:hint="eastAsia" w:ascii="宋体" w:hAnsi="宋体" w:cs="宋体"/>
                <w:bCs/>
                <w:color w:val="auto"/>
                <w:szCs w:val="21"/>
                <w:highlight w:val="none"/>
              </w:rPr>
              <w:t>6-</w:t>
            </w:r>
            <w:r>
              <w:rPr>
                <w:rFonts w:ascii="宋体" w:hAnsi="宋体" w:cs="宋体"/>
                <w:bCs/>
                <w:color w:val="auto"/>
                <w:szCs w:val="21"/>
                <w:highlight w:val="none"/>
              </w:rPr>
              <w:t>4</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良得</w:t>
            </w:r>
            <w:r>
              <w:rPr>
                <w:rFonts w:ascii="宋体" w:hAnsi="宋体" w:cs="宋体"/>
                <w:bCs/>
                <w:color w:val="auto"/>
                <w:szCs w:val="21"/>
                <w:highlight w:val="none"/>
              </w:rPr>
              <w:t>4</w:t>
            </w:r>
            <w:r>
              <w:rPr>
                <w:rFonts w:hint="eastAsia" w:ascii="宋体" w:hAnsi="宋体" w:cs="宋体"/>
                <w:bCs/>
                <w:color w:val="auto"/>
                <w:szCs w:val="21"/>
                <w:highlight w:val="none"/>
              </w:rPr>
              <w:t>-</w:t>
            </w:r>
            <w:r>
              <w:rPr>
                <w:rFonts w:ascii="宋体" w:hAnsi="宋体" w:cs="宋体"/>
                <w:bCs/>
                <w:color w:val="auto"/>
                <w:szCs w:val="21"/>
                <w:highlight w:val="none"/>
              </w:rPr>
              <w:t>3</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w:t>
            </w:r>
            <w:r>
              <w:rPr>
                <w:rFonts w:hint="eastAsia" w:ascii="宋体" w:hAnsi="宋体" w:cs="宋体"/>
                <w:color w:val="auto"/>
                <w:szCs w:val="21"/>
                <w:highlight w:val="none"/>
              </w:rPr>
              <w:t>中得</w:t>
            </w: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分，差得</w:t>
            </w:r>
            <w:r>
              <w:rPr>
                <w:rFonts w:ascii="宋体" w:hAnsi="宋体" w:cs="宋体"/>
                <w:color w:val="auto"/>
                <w:szCs w:val="21"/>
                <w:highlight w:val="none"/>
              </w:rPr>
              <w:t>2</w:t>
            </w:r>
            <w:r>
              <w:rPr>
                <w:rFonts w:hint="eastAsia" w:ascii="宋体" w:hAnsi="宋体" w:cs="宋体"/>
                <w:color w:val="auto"/>
                <w:szCs w:val="21"/>
                <w:highlight w:val="none"/>
              </w:rPr>
              <w:t>-0分。</w:t>
            </w:r>
          </w:p>
          <w:p>
            <w:pPr>
              <w:autoSpaceDE/>
              <w:autoSpaceDN/>
              <w:adjustRightInd/>
              <w:spacing w:line="240" w:lineRule="auto"/>
              <w:ind w:left="0" w:leftChars="0" w:firstLine="0" w:firstLineChars="0"/>
              <w:jc w:val="left"/>
              <w:rPr>
                <w:rFonts w:ascii="宋体" w:hAnsi="宋体" w:cs="宋体"/>
                <w:b/>
                <w:bCs/>
                <w:strike/>
                <w:color w:val="auto"/>
                <w:szCs w:val="21"/>
                <w:highlight w:val="none"/>
                <w:lang w:val="zh-CN"/>
              </w:rPr>
            </w:pPr>
          </w:p>
        </w:tc>
        <w:tc>
          <w:tcPr>
            <w:tcW w:w="1080" w:type="dxa"/>
            <w:vAlign w:val="center"/>
          </w:tcPr>
          <w:p>
            <w:pPr>
              <w:autoSpaceDE w:val="0"/>
              <w:autoSpaceDN w:val="0"/>
              <w:adjustRightInd w:val="0"/>
              <w:spacing w:line="400" w:lineRule="exact"/>
              <w:jc w:val="center"/>
              <w:rPr>
                <w:rFonts w:ascii="宋体" w:hAnsi="宋体" w:cs="宋体"/>
                <w:bCs/>
                <w:strike/>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4" w:hRule="atLeast"/>
          <w:jc w:val="center"/>
        </w:trPr>
        <w:tc>
          <w:tcPr>
            <w:tcW w:w="720"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1080" w:type="dxa"/>
            <w:vMerge w:val="continue"/>
            <w:textDirection w:val="tbRlV"/>
            <w:vAlign w:val="center"/>
          </w:tcPr>
          <w:p>
            <w:pPr>
              <w:autoSpaceDE w:val="0"/>
              <w:autoSpaceDN w:val="0"/>
              <w:adjustRightInd w:val="0"/>
              <w:spacing w:line="400" w:lineRule="exact"/>
              <w:ind w:left="113" w:right="113"/>
              <w:jc w:val="center"/>
              <w:rPr>
                <w:rFonts w:ascii="宋体" w:hAnsi="宋体" w:cs="宋体"/>
                <w:bCs/>
                <w:color w:val="auto"/>
                <w:szCs w:val="21"/>
                <w:highlight w:val="none"/>
              </w:rPr>
            </w:pPr>
          </w:p>
        </w:tc>
        <w:tc>
          <w:tcPr>
            <w:tcW w:w="1552"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9360" w:type="dxa"/>
            <w:gridSpan w:val="3"/>
            <w:vAlign w:val="center"/>
          </w:tcPr>
          <w:p>
            <w:pPr>
              <w:autoSpaceDE/>
              <w:autoSpaceDN/>
              <w:adjustRightInd/>
              <w:spacing w:line="240" w:lineRule="auto"/>
              <w:rPr>
                <w:rFonts w:ascii="宋体" w:hAnsi="宋体" w:cs="宋体"/>
                <w:bCs/>
                <w:color w:val="auto"/>
                <w:szCs w:val="21"/>
                <w:highlight w:val="none"/>
                <w:lang w:val="zh-CN"/>
              </w:rPr>
            </w:pPr>
            <w:r>
              <w:rPr>
                <w:rFonts w:ascii="宋体" w:hAnsi="宋体" w:cs="宋体"/>
                <w:bCs/>
                <w:color w:val="auto"/>
                <w:szCs w:val="21"/>
                <w:highlight w:val="none"/>
                <w:lang w:val="zh-CN"/>
              </w:rPr>
              <w:t>7</w:t>
            </w:r>
            <w:r>
              <w:rPr>
                <w:rFonts w:hint="eastAsia" w:ascii="宋体" w:hAnsi="宋体" w:cs="宋体"/>
                <w:bCs/>
                <w:color w:val="auto"/>
                <w:szCs w:val="21"/>
                <w:highlight w:val="none"/>
                <w:lang w:val="zh-CN"/>
              </w:rPr>
              <w:t>、支护结构及管井等构造物设计方案合理，满足安全性、经济性、工艺可行、有所创新、造型优美；各构件体量比例恰当、景观与功能协调统一。</w:t>
            </w:r>
          </w:p>
          <w:p>
            <w:pPr>
              <w:rPr>
                <w:color w:val="auto"/>
                <w:highlight w:val="none"/>
              </w:rPr>
            </w:pPr>
            <w:r>
              <w:rPr>
                <w:rFonts w:hint="eastAsia" w:ascii="宋体" w:hAnsi="宋体" w:cs="宋体"/>
                <w:bCs/>
                <w:color w:val="auto"/>
                <w:szCs w:val="21"/>
                <w:highlight w:val="none"/>
                <w:lang w:val="zh-CN"/>
              </w:rPr>
              <w:t>优得</w:t>
            </w:r>
            <w:r>
              <w:rPr>
                <w:rFonts w:hint="eastAsia" w:ascii="宋体" w:hAnsi="宋体" w:cs="宋体"/>
                <w:bCs/>
                <w:color w:val="auto"/>
                <w:szCs w:val="21"/>
                <w:highlight w:val="none"/>
              </w:rPr>
              <w:t>6-</w:t>
            </w:r>
            <w:r>
              <w:rPr>
                <w:rFonts w:ascii="宋体" w:hAnsi="宋体" w:cs="宋体"/>
                <w:bCs/>
                <w:color w:val="auto"/>
                <w:szCs w:val="21"/>
                <w:highlight w:val="none"/>
              </w:rPr>
              <w:t>4</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良得</w:t>
            </w:r>
            <w:r>
              <w:rPr>
                <w:rFonts w:ascii="宋体" w:hAnsi="宋体" w:cs="宋体"/>
                <w:bCs/>
                <w:color w:val="auto"/>
                <w:szCs w:val="21"/>
                <w:highlight w:val="none"/>
                <w:lang w:val="zh-CN"/>
              </w:rPr>
              <w:t>4</w:t>
            </w:r>
            <w:r>
              <w:rPr>
                <w:rFonts w:hint="eastAsia" w:ascii="宋体" w:hAnsi="宋体" w:cs="宋体"/>
                <w:bCs/>
                <w:color w:val="auto"/>
                <w:szCs w:val="21"/>
                <w:highlight w:val="none"/>
              </w:rPr>
              <w:t>-</w:t>
            </w:r>
            <w:r>
              <w:rPr>
                <w:rFonts w:ascii="宋体" w:hAnsi="宋体" w:cs="宋体"/>
                <w:bCs/>
                <w:color w:val="auto"/>
                <w:szCs w:val="21"/>
                <w:highlight w:val="none"/>
              </w:rPr>
              <w:t>3</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w:t>
            </w:r>
            <w:r>
              <w:rPr>
                <w:rFonts w:hint="eastAsia" w:ascii="宋体" w:hAnsi="宋体" w:cs="宋体"/>
                <w:color w:val="auto"/>
                <w:szCs w:val="21"/>
                <w:highlight w:val="none"/>
              </w:rPr>
              <w:t>中得</w:t>
            </w: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分，差得</w:t>
            </w:r>
            <w:r>
              <w:rPr>
                <w:rFonts w:ascii="宋体" w:hAnsi="宋体" w:cs="宋体"/>
                <w:color w:val="auto"/>
                <w:szCs w:val="21"/>
                <w:highlight w:val="none"/>
              </w:rPr>
              <w:t>2</w:t>
            </w:r>
            <w:r>
              <w:rPr>
                <w:rFonts w:hint="eastAsia" w:ascii="宋体" w:hAnsi="宋体" w:cs="宋体"/>
                <w:color w:val="auto"/>
                <w:szCs w:val="21"/>
                <w:highlight w:val="none"/>
              </w:rPr>
              <w:t>-0分。</w:t>
            </w:r>
          </w:p>
          <w:p>
            <w:pPr>
              <w:autoSpaceDE/>
              <w:autoSpaceDN/>
              <w:adjustRightInd/>
              <w:spacing w:line="240" w:lineRule="auto"/>
              <w:jc w:val="left"/>
              <w:rPr>
                <w:rFonts w:ascii="宋体" w:hAnsi="宋体" w:cs="宋体"/>
                <w:b/>
                <w:bCs/>
                <w:color w:val="auto"/>
                <w:szCs w:val="21"/>
                <w:highlight w:val="none"/>
              </w:rPr>
            </w:pPr>
          </w:p>
        </w:tc>
        <w:tc>
          <w:tcPr>
            <w:tcW w:w="1080" w:type="dxa"/>
            <w:vAlign w:val="center"/>
          </w:tcPr>
          <w:p>
            <w:pPr>
              <w:autoSpaceDE w:val="0"/>
              <w:autoSpaceDN w:val="0"/>
              <w:adjustRightInd w:val="0"/>
              <w:spacing w:line="400" w:lineRule="exact"/>
              <w:jc w:val="center"/>
              <w:rPr>
                <w:rFonts w:ascii="宋体" w:hAnsi="宋体" w:cs="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720"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1080"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1552"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9360" w:type="dxa"/>
            <w:gridSpan w:val="3"/>
            <w:vAlign w:val="center"/>
          </w:tcPr>
          <w:p>
            <w:pPr>
              <w:autoSpaceDE w:val="0"/>
              <w:autoSpaceDN w:val="0"/>
              <w:adjustRightInd w:val="0"/>
              <w:spacing w:line="240" w:lineRule="exact"/>
              <w:rPr>
                <w:rFonts w:ascii="宋体" w:hAnsi="宋体" w:cs="宋体"/>
                <w:bCs/>
                <w:color w:val="auto"/>
                <w:szCs w:val="21"/>
                <w:highlight w:val="none"/>
                <w:lang w:val="zh-CN"/>
              </w:rPr>
            </w:pPr>
            <w:r>
              <w:rPr>
                <w:rFonts w:ascii="宋体" w:hAnsi="宋体" w:cs="宋体"/>
                <w:bCs/>
                <w:color w:val="auto"/>
                <w:szCs w:val="21"/>
                <w:highlight w:val="none"/>
              </w:rPr>
              <w:t>8</w:t>
            </w:r>
            <w:r>
              <w:rPr>
                <w:rFonts w:hint="eastAsia" w:ascii="宋体" w:hAnsi="宋体" w:cs="宋体"/>
                <w:bCs/>
                <w:color w:val="auto"/>
                <w:szCs w:val="21"/>
                <w:highlight w:val="none"/>
                <w:lang w:val="zh-CN"/>
              </w:rPr>
              <w:t>、道路公用设施（无障碍通道、行人过街、</w:t>
            </w:r>
            <w:r>
              <w:rPr>
                <w:rFonts w:hint="eastAsia" w:ascii="宋体" w:hAnsi="宋体" w:cs="宋体"/>
                <w:bCs/>
                <w:color w:val="auto"/>
                <w:szCs w:val="21"/>
                <w:highlight w:val="none"/>
              </w:rPr>
              <w:t>照明</w:t>
            </w:r>
            <w:r>
              <w:rPr>
                <w:rFonts w:hint="eastAsia" w:ascii="宋体" w:hAnsi="宋体" w:cs="宋体"/>
                <w:bCs/>
                <w:color w:val="auto"/>
                <w:szCs w:val="21"/>
                <w:highlight w:val="none"/>
                <w:lang w:val="zh-CN"/>
              </w:rPr>
              <w:t>、道路元素等）设计科学合理、处理得当、特点鲜明，</w:t>
            </w:r>
            <w:r>
              <w:rPr>
                <w:rFonts w:hint="eastAsia" w:ascii="宋体" w:hAnsi="宋体" w:cs="宋体"/>
                <w:bCs/>
                <w:color w:val="auto"/>
                <w:szCs w:val="21"/>
                <w:highlight w:val="none"/>
              </w:rPr>
              <w:t>绿化景观方案符合与周边环境协调、生态保护原则，布置科学合理，贯彻海绵城市指导思想</w:t>
            </w:r>
            <w:r>
              <w:rPr>
                <w:rFonts w:hint="eastAsia" w:ascii="宋体" w:hAnsi="宋体" w:cs="宋体"/>
                <w:bCs/>
                <w:color w:val="auto"/>
                <w:szCs w:val="21"/>
                <w:highlight w:val="none"/>
                <w:lang w:val="zh-CN"/>
              </w:rPr>
              <w:t>。</w:t>
            </w:r>
          </w:p>
          <w:p>
            <w:pPr>
              <w:autoSpaceDE w:val="0"/>
              <w:autoSpaceDN w:val="0"/>
              <w:adjustRightInd w:val="0"/>
              <w:spacing w:line="240" w:lineRule="exact"/>
              <w:jc w:val="left"/>
              <w:rPr>
                <w:rFonts w:ascii="宋体" w:hAnsi="宋体" w:cs="宋体"/>
                <w:b/>
                <w:bCs/>
                <w:color w:val="auto"/>
                <w:szCs w:val="21"/>
                <w:highlight w:val="none"/>
                <w:lang w:val="zh-CN"/>
              </w:rPr>
            </w:pPr>
            <w:r>
              <w:rPr>
                <w:rFonts w:hint="eastAsia" w:ascii="宋体" w:hAnsi="宋体" w:cs="宋体"/>
                <w:bCs/>
                <w:color w:val="auto"/>
                <w:szCs w:val="21"/>
                <w:highlight w:val="none"/>
                <w:lang w:val="zh-CN"/>
              </w:rPr>
              <w:t>优得</w:t>
            </w:r>
            <w:r>
              <w:rPr>
                <w:rFonts w:hint="eastAsia" w:ascii="宋体" w:hAnsi="宋体" w:cs="宋体"/>
                <w:bCs/>
                <w:color w:val="auto"/>
                <w:szCs w:val="21"/>
                <w:highlight w:val="none"/>
              </w:rPr>
              <w:t>6-</w:t>
            </w:r>
            <w:r>
              <w:rPr>
                <w:rFonts w:ascii="宋体" w:hAnsi="宋体" w:cs="宋体"/>
                <w:bCs/>
                <w:color w:val="auto"/>
                <w:szCs w:val="21"/>
                <w:highlight w:val="none"/>
              </w:rPr>
              <w:t>4</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良得</w:t>
            </w:r>
            <w:r>
              <w:rPr>
                <w:rFonts w:ascii="宋体" w:hAnsi="宋体" w:cs="宋体"/>
                <w:bCs/>
                <w:color w:val="auto"/>
                <w:szCs w:val="21"/>
                <w:highlight w:val="none"/>
                <w:lang w:val="zh-CN"/>
              </w:rPr>
              <w:t>4</w:t>
            </w:r>
            <w:r>
              <w:rPr>
                <w:rFonts w:hint="eastAsia" w:ascii="宋体" w:hAnsi="宋体" w:cs="宋体"/>
                <w:bCs/>
                <w:color w:val="auto"/>
                <w:szCs w:val="21"/>
                <w:highlight w:val="none"/>
              </w:rPr>
              <w:t>-</w:t>
            </w:r>
            <w:r>
              <w:rPr>
                <w:rFonts w:ascii="宋体" w:hAnsi="宋体" w:cs="宋体"/>
                <w:bCs/>
                <w:color w:val="auto"/>
                <w:szCs w:val="21"/>
                <w:highlight w:val="none"/>
              </w:rPr>
              <w:t>3</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w:t>
            </w:r>
            <w:r>
              <w:rPr>
                <w:rFonts w:hint="eastAsia" w:ascii="宋体" w:hAnsi="宋体" w:cs="宋体"/>
                <w:color w:val="auto"/>
                <w:szCs w:val="21"/>
                <w:highlight w:val="none"/>
              </w:rPr>
              <w:t>中得</w:t>
            </w: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分，差得</w:t>
            </w:r>
            <w:r>
              <w:rPr>
                <w:rFonts w:ascii="宋体" w:hAnsi="宋体" w:cs="宋体"/>
                <w:color w:val="auto"/>
                <w:szCs w:val="21"/>
                <w:highlight w:val="none"/>
              </w:rPr>
              <w:t>2</w:t>
            </w:r>
            <w:r>
              <w:rPr>
                <w:rFonts w:hint="eastAsia" w:ascii="宋体" w:hAnsi="宋体" w:cs="宋体"/>
                <w:color w:val="auto"/>
                <w:szCs w:val="21"/>
                <w:highlight w:val="none"/>
              </w:rPr>
              <w:t>-0分。</w:t>
            </w:r>
          </w:p>
        </w:tc>
        <w:tc>
          <w:tcPr>
            <w:tcW w:w="1080" w:type="dxa"/>
            <w:vAlign w:val="center"/>
          </w:tcPr>
          <w:p>
            <w:pPr>
              <w:autoSpaceDE w:val="0"/>
              <w:autoSpaceDN w:val="0"/>
              <w:adjustRightInd w:val="0"/>
              <w:spacing w:line="400" w:lineRule="exact"/>
              <w:jc w:val="center"/>
              <w:rPr>
                <w:rFonts w:ascii="宋体" w:hAnsi="宋体" w:cs="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720"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1080"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1552"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9360" w:type="dxa"/>
            <w:gridSpan w:val="3"/>
            <w:vAlign w:val="center"/>
          </w:tcPr>
          <w:p>
            <w:pPr>
              <w:autoSpaceDE w:val="0"/>
              <w:autoSpaceDN w:val="0"/>
              <w:adjustRightInd w:val="0"/>
              <w:spacing w:line="240" w:lineRule="exact"/>
              <w:rPr>
                <w:rFonts w:ascii="宋体" w:hAnsi="宋体" w:cs="宋体"/>
                <w:bCs/>
                <w:color w:val="auto"/>
                <w:szCs w:val="21"/>
                <w:highlight w:val="none"/>
              </w:rPr>
            </w:pPr>
            <w:r>
              <w:rPr>
                <w:rFonts w:hint="eastAsia" w:ascii="宋体" w:hAnsi="宋体" w:cs="宋体"/>
                <w:bCs/>
                <w:color w:val="auto"/>
                <w:szCs w:val="21"/>
                <w:highlight w:val="none"/>
              </w:rPr>
              <w:t>9、现状树木的</w:t>
            </w:r>
            <w:r>
              <w:rPr>
                <w:rFonts w:ascii="宋体" w:hAnsi="宋体" w:cs="宋体"/>
                <w:bCs/>
                <w:color w:val="auto"/>
                <w:szCs w:val="21"/>
                <w:highlight w:val="none"/>
              </w:rPr>
              <w:t>树种、分布</w:t>
            </w:r>
            <w:r>
              <w:rPr>
                <w:rFonts w:hint="eastAsia" w:ascii="宋体" w:hAnsi="宋体" w:cs="宋体"/>
                <w:bCs/>
                <w:color w:val="auto"/>
                <w:szCs w:val="21"/>
                <w:highlight w:val="none"/>
              </w:rPr>
              <w:t>调研</w:t>
            </w:r>
            <w:r>
              <w:rPr>
                <w:rFonts w:ascii="宋体" w:hAnsi="宋体" w:cs="宋体"/>
                <w:bCs/>
                <w:color w:val="auto"/>
                <w:szCs w:val="21"/>
                <w:highlight w:val="none"/>
              </w:rPr>
              <w:t>充分，</w:t>
            </w:r>
            <w:r>
              <w:rPr>
                <w:rFonts w:hint="eastAsia" w:ascii="宋体" w:hAnsi="宋体" w:cs="宋体"/>
                <w:bCs/>
                <w:color w:val="auto"/>
                <w:szCs w:val="21"/>
                <w:highlight w:val="none"/>
              </w:rPr>
              <w:t>保护、迁改方案内容完整、合理可行。</w:t>
            </w:r>
          </w:p>
          <w:p>
            <w:pPr>
              <w:pStyle w:val="2"/>
              <w:ind w:left="0" w:leftChars="0"/>
              <w:rPr>
                <w:rFonts w:ascii="宋体" w:hAnsi="宋体" w:cs="宋体"/>
                <w:bCs/>
                <w:color w:val="auto"/>
                <w:szCs w:val="21"/>
                <w:highlight w:val="none"/>
              </w:rPr>
            </w:pPr>
            <w:r>
              <w:rPr>
                <w:rFonts w:hint="eastAsia" w:ascii="宋体" w:hAnsi="宋体" w:cs="宋体"/>
                <w:color w:val="auto"/>
                <w:szCs w:val="21"/>
                <w:highlight w:val="none"/>
              </w:rPr>
              <w:t>优得8-6分，良得6-4分，中得4-2分，差得2-0分。</w:t>
            </w:r>
          </w:p>
        </w:tc>
        <w:tc>
          <w:tcPr>
            <w:tcW w:w="1080" w:type="dxa"/>
            <w:vAlign w:val="center"/>
          </w:tcPr>
          <w:p>
            <w:pPr>
              <w:autoSpaceDE w:val="0"/>
              <w:autoSpaceDN w:val="0"/>
              <w:adjustRightInd w:val="0"/>
              <w:spacing w:line="400" w:lineRule="exact"/>
              <w:jc w:val="center"/>
              <w:rPr>
                <w:rFonts w:ascii="宋体" w:hAnsi="宋体" w:cs="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720"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1080"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1552"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9360" w:type="dxa"/>
            <w:gridSpan w:val="3"/>
            <w:vAlign w:val="center"/>
          </w:tcPr>
          <w:p>
            <w:pPr>
              <w:autoSpaceDE w:val="0"/>
              <w:autoSpaceDN w:val="0"/>
              <w:adjustRightInd w:val="0"/>
              <w:spacing w:line="240" w:lineRule="exact"/>
              <w:rPr>
                <w:rFonts w:ascii="宋体" w:hAnsi="宋体" w:cs="宋体"/>
                <w:bCs/>
                <w:color w:val="auto"/>
                <w:szCs w:val="21"/>
                <w:highlight w:val="none"/>
                <w:lang w:val="zh-CN"/>
              </w:rPr>
            </w:pPr>
            <w:r>
              <w:rPr>
                <w:rFonts w:ascii="宋体" w:hAnsi="宋体" w:cs="宋体"/>
                <w:bCs/>
                <w:color w:val="auto"/>
                <w:szCs w:val="21"/>
                <w:highlight w:val="none"/>
              </w:rPr>
              <w:t>10</w:t>
            </w:r>
            <w:r>
              <w:rPr>
                <w:rFonts w:hint="eastAsia" w:ascii="宋体" w:hAnsi="宋体" w:cs="宋体"/>
                <w:bCs/>
                <w:color w:val="auto"/>
                <w:szCs w:val="21"/>
                <w:highlight w:val="none"/>
                <w:lang w:val="zh-CN"/>
              </w:rPr>
              <w:t>、施工期间交通组织切合实际。</w:t>
            </w:r>
          </w:p>
          <w:p>
            <w:pPr>
              <w:autoSpaceDE w:val="0"/>
              <w:autoSpaceDN w:val="0"/>
              <w:adjustRightInd w:val="0"/>
              <w:spacing w:line="240" w:lineRule="exact"/>
              <w:jc w:val="left"/>
              <w:rPr>
                <w:rFonts w:ascii="宋体" w:hAnsi="宋体" w:cs="宋体"/>
                <w:b/>
                <w:bCs/>
                <w:color w:val="auto"/>
                <w:szCs w:val="21"/>
                <w:highlight w:val="none"/>
                <w:lang w:val="zh-CN"/>
              </w:rPr>
            </w:pPr>
            <w:r>
              <w:rPr>
                <w:rFonts w:hint="eastAsia" w:ascii="宋体" w:hAnsi="宋体" w:cs="宋体"/>
                <w:bCs/>
                <w:color w:val="auto"/>
                <w:szCs w:val="21"/>
                <w:highlight w:val="none"/>
                <w:lang w:val="zh-CN"/>
              </w:rPr>
              <w:t>优得</w:t>
            </w:r>
            <w:r>
              <w:rPr>
                <w:rFonts w:hint="eastAsia" w:ascii="宋体" w:hAnsi="宋体" w:cs="宋体"/>
                <w:bCs/>
                <w:color w:val="auto"/>
                <w:szCs w:val="21"/>
                <w:highlight w:val="none"/>
              </w:rPr>
              <w:t>6-</w:t>
            </w:r>
            <w:r>
              <w:rPr>
                <w:rFonts w:ascii="宋体" w:hAnsi="宋体" w:cs="宋体"/>
                <w:bCs/>
                <w:color w:val="auto"/>
                <w:szCs w:val="21"/>
                <w:highlight w:val="none"/>
              </w:rPr>
              <w:t>4</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良得</w:t>
            </w:r>
            <w:r>
              <w:rPr>
                <w:rFonts w:ascii="宋体" w:hAnsi="宋体" w:cs="宋体"/>
                <w:bCs/>
                <w:color w:val="auto"/>
                <w:szCs w:val="21"/>
                <w:highlight w:val="none"/>
                <w:lang w:val="zh-CN"/>
              </w:rPr>
              <w:t>4</w:t>
            </w:r>
            <w:r>
              <w:rPr>
                <w:rFonts w:hint="eastAsia" w:ascii="宋体" w:hAnsi="宋体" w:cs="宋体"/>
                <w:bCs/>
                <w:color w:val="auto"/>
                <w:szCs w:val="21"/>
                <w:highlight w:val="none"/>
              </w:rPr>
              <w:t>-</w:t>
            </w:r>
            <w:r>
              <w:rPr>
                <w:rFonts w:ascii="宋体" w:hAnsi="宋体" w:cs="宋体"/>
                <w:bCs/>
                <w:color w:val="auto"/>
                <w:szCs w:val="21"/>
                <w:highlight w:val="none"/>
              </w:rPr>
              <w:t>3</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w:t>
            </w:r>
            <w:r>
              <w:rPr>
                <w:rFonts w:hint="eastAsia" w:ascii="宋体" w:hAnsi="宋体" w:cs="宋体"/>
                <w:color w:val="auto"/>
                <w:szCs w:val="21"/>
                <w:highlight w:val="none"/>
              </w:rPr>
              <w:t>中得</w:t>
            </w: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分，差得</w:t>
            </w:r>
            <w:r>
              <w:rPr>
                <w:rFonts w:ascii="宋体" w:hAnsi="宋体" w:cs="宋体"/>
                <w:color w:val="auto"/>
                <w:szCs w:val="21"/>
                <w:highlight w:val="none"/>
              </w:rPr>
              <w:t>2</w:t>
            </w:r>
            <w:r>
              <w:rPr>
                <w:rFonts w:hint="eastAsia" w:ascii="宋体" w:hAnsi="宋体" w:cs="宋体"/>
                <w:color w:val="auto"/>
                <w:szCs w:val="21"/>
                <w:highlight w:val="none"/>
              </w:rPr>
              <w:t>-0分。</w:t>
            </w:r>
          </w:p>
        </w:tc>
        <w:tc>
          <w:tcPr>
            <w:tcW w:w="1080" w:type="dxa"/>
            <w:vAlign w:val="center"/>
          </w:tcPr>
          <w:p>
            <w:pPr>
              <w:autoSpaceDE w:val="0"/>
              <w:autoSpaceDN w:val="0"/>
              <w:adjustRightInd w:val="0"/>
              <w:spacing w:line="400" w:lineRule="exact"/>
              <w:jc w:val="center"/>
              <w:rPr>
                <w:rFonts w:ascii="宋体" w:hAnsi="宋体" w:cs="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720"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1080"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1552"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9360" w:type="dxa"/>
            <w:gridSpan w:val="3"/>
            <w:vAlign w:val="center"/>
          </w:tcPr>
          <w:p>
            <w:pPr>
              <w:autoSpaceDE w:val="0"/>
              <w:autoSpaceDN w:val="0"/>
              <w:adjustRightInd w:val="0"/>
              <w:spacing w:line="240" w:lineRule="exact"/>
              <w:rPr>
                <w:rFonts w:ascii="宋体" w:hAnsi="宋体" w:cs="宋体"/>
                <w:bCs/>
                <w:color w:val="auto"/>
                <w:szCs w:val="21"/>
                <w:highlight w:val="none"/>
                <w:lang w:val="zh-CN"/>
              </w:rPr>
            </w:pPr>
            <w:r>
              <w:rPr>
                <w:rFonts w:hint="eastAsia" w:ascii="宋体" w:hAnsi="宋体" w:cs="宋体"/>
                <w:bCs/>
                <w:color w:val="auto"/>
                <w:szCs w:val="21"/>
                <w:highlight w:val="none"/>
              </w:rPr>
              <w:t>1</w:t>
            </w:r>
            <w:r>
              <w:rPr>
                <w:rFonts w:ascii="宋体" w:hAnsi="宋体" w:cs="宋体"/>
                <w:bCs/>
                <w:color w:val="auto"/>
                <w:szCs w:val="21"/>
                <w:highlight w:val="none"/>
              </w:rPr>
              <w:t>1</w:t>
            </w:r>
            <w:r>
              <w:rPr>
                <w:rFonts w:hint="eastAsia" w:ascii="宋体" w:hAnsi="宋体" w:cs="宋体"/>
                <w:bCs/>
                <w:color w:val="auto"/>
                <w:szCs w:val="21"/>
                <w:highlight w:val="none"/>
                <w:lang w:val="zh-CN"/>
              </w:rPr>
              <w:t>、工程建设和使用的重点、难点分析透彻，解决措施合理。</w:t>
            </w:r>
          </w:p>
          <w:p>
            <w:pPr>
              <w:autoSpaceDE w:val="0"/>
              <w:autoSpaceDN w:val="0"/>
              <w:adjustRightInd w:val="0"/>
              <w:spacing w:line="240" w:lineRule="exact"/>
              <w:rPr>
                <w:rFonts w:ascii="宋体" w:hAnsi="宋体" w:cs="宋体"/>
                <w:b/>
                <w:bCs/>
                <w:color w:val="auto"/>
                <w:szCs w:val="21"/>
                <w:highlight w:val="none"/>
              </w:rPr>
            </w:pPr>
            <w:r>
              <w:rPr>
                <w:rFonts w:hint="eastAsia" w:ascii="宋体" w:hAnsi="宋体" w:cs="宋体"/>
                <w:bCs/>
                <w:color w:val="auto"/>
                <w:szCs w:val="21"/>
                <w:highlight w:val="none"/>
                <w:lang w:val="zh-CN"/>
              </w:rPr>
              <w:t>优得</w:t>
            </w:r>
            <w:r>
              <w:rPr>
                <w:rFonts w:hint="eastAsia" w:ascii="宋体" w:hAnsi="宋体" w:cs="宋体"/>
                <w:bCs/>
                <w:color w:val="auto"/>
                <w:szCs w:val="21"/>
                <w:highlight w:val="none"/>
              </w:rPr>
              <w:t>6-</w:t>
            </w:r>
            <w:r>
              <w:rPr>
                <w:rFonts w:ascii="宋体" w:hAnsi="宋体" w:cs="宋体"/>
                <w:bCs/>
                <w:color w:val="auto"/>
                <w:szCs w:val="21"/>
                <w:highlight w:val="none"/>
              </w:rPr>
              <w:t>4</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良得</w:t>
            </w:r>
            <w:r>
              <w:rPr>
                <w:rFonts w:ascii="宋体" w:hAnsi="宋体" w:cs="宋体"/>
                <w:bCs/>
                <w:color w:val="auto"/>
                <w:szCs w:val="21"/>
                <w:highlight w:val="none"/>
                <w:lang w:val="zh-CN"/>
              </w:rPr>
              <w:t>4</w:t>
            </w:r>
            <w:r>
              <w:rPr>
                <w:rFonts w:hint="eastAsia" w:ascii="宋体" w:hAnsi="宋体" w:cs="宋体"/>
                <w:bCs/>
                <w:color w:val="auto"/>
                <w:szCs w:val="21"/>
                <w:highlight w:val="none"/>
              </w:rPr>
              <w:t>-</w:t>
            </w:r>
            <w:r>
              <w:rPr>
                <w:rFonts w:ascii="宋体" w:hAnsi="宋体" w:cs="宋体"/>
                <w:bCs/>
                <w:color w:val="auto"/>
                <w:szCs w:val="21"/>
                <w:highlight w:val="none"/>
              </w:rPr>
              <w:t>3</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w:t>
            </w:r>
            <w:r>
              <w:rPr>
                <w:rFonts w:hint="eastAsia" w:ascii="宋体" w:hAnsi="宋体" w:cs="宋体"/>
                <w:color w:val="auto"/>
                <w:szCs w:val="21"/>
                <w:highlight w:val="none"/>
              </w:rPr>
              <w:t>中得</w:t>
            </w: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分，差得</w:t>
            </w:r>
            <w:r>
              <w:rPr>
                <w:rFonts w:ascii="宋体" w:hAnsi="宋体" w:cs="宋体"/>
                <w:color w:val="auto"/>
                <w:szCs w:val="21"/>
                <w:highlight w:val="none"/>
              </w:rPr>
              <w:t>2</w:t>
            </w:r>
            <w:r>
              <w:rPr>
                <w:rFonts w:hint="eastAsia" w:ascii="宋体" w:hAnsi="宋体" w:cs="宋体"/>
                <w:color w:val="auto"/>
                <w:szCs w:val="21"/>
                <w:highlight w:val="none"/>
              </w:rPr>
              <w:t>-0分。</w:t>
            </w:r>
          </w:p>
        </w:tc>
        <w:tc>
          <w:tcPr>
            <w:tcW w:w="1080" w:type="dxa"/>
            <w:vAlign w:val="center"/>
          </w:tcPr>
          <w:p>
            <w:pPr>
              <w:autoSpaceDE w:val="0"/>
              <w:autoSpaceDN w:val="0"/>
              <w:adjustRightInd w:val="0"/>
              <w:spacing w:line="400" w:lineRule="exact"/>
              <w:jc w:val="center"/>
              <w:rPr>
                <w:rFonts w:ascii="宋体" w:hAnsi="宋体" w:cs="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720"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1080"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1552"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9360" w:type="dxa"/>
            <w:gridSpan w:val="3"/>
            <w:vAlign w:val="center"/>
          </w:tcPr>
          <w:p>
            <w:pPr>
              <w:autoSpaceDE w:val="0"/>
              <w:autoSpaceDN w:val="0"/>
              <w:adjustRightInd w:val="0"/>
              <w:spacing w:line="240" w:lineRule="exact"/>
              <w:rPr>
                <w:rFonts w:ascii="宋体" w:hAnsi="宋体" w:cs="宋体"/>
                <w:bCs/>
                <w:color w:val="auto"/>
                <w:szCs w:val="21"/>
                <w:highlight w:val="none"/>
              </w:rPr>
            </w:pPr>
            <w:r>
              <w:rPr>
                <w:rFonts w:hint="eastAsia" w:ascii="宋体" w:hAnsi="宋体" w:cs="宋体"/>
                <w:bCs/>
                <w:color w:val="auto"/>
                <w:szCs w:val="21"/>
                <w:highlight w:val="none"/>
              </w:rPr>
              <w:t>1</w:t>
            </w:r>
            <w:r>
              <w:rPr>
                <w:rFonts w:ascii="宋体" w:hAnsi="宋体" w:cs="宋体"/>
                <w:bCs/>
                <w:color w:val="auto"/>
                <w:szCs w:val="21"/>
                <w:highlight w:val="none"/>
              </w:rPr>
              <w:t>2</w:t>
            </w:r>
            <w:r>
              <w:rPr>
                <w:rFonts w:hint="eastAsia" w:ascii="宋体" w:hAnsi="宋体" w:cs="宋体"/>
                <w:bCs/>
                <w:color w:val="auto"/>
                <w:szCs w:val="21"/>
                <w:highlight w:val="none"/>
              </w:rPr>
              <w:t xml:space="preserve">、勘察方案合理可行，勘察的重点、难点理解准确，建议合理可行；勘察工作流程规范，工期进度计划合理可行。  </w:t>
            </w:r>
          </w:p>
          <w:p>
            <w:pPr>
              <w:pStyle w:val="2"/>
              <w:ind w:left="0" w:leftChars="0"/>
              <w:rPr>
                <w:rFonts w:ascii="宋体" w:hAnsi="宋体" w:cs="宋体"/>
                <w:bCs/>
                <w:color w:val="auto"/>
                <w:szCs w:val="21"/>
                <w:highlight w:val="none"/>
              </w:rPr>
            </w:pPr>
            <w:r>
              <w:rPr>
                <w:rFonts w:hint="eastAsia" w:ascii="宋体" w:hAnsi="宋体" w:cs="宋体"/>
                <w:bCs/>
                <w:color w:val="auto"/>
                <w:szCs w:val="21"/>
                <w:highlight w:val="none"/>
                <w:lang w:val="zh-CN"/>
              </w:rPr>
              <w:t>优得</w:t>
            </w:r>
            <w:r>
              <w:rPr>
                <w:rFonts w:hint="eastAsia" w:ascii="宋体" w:hAnsi="宋体" w:cs="宋体"/>
                <w:bCs/>
                <w:color w:val="auto"/>
                <w:szCs w:val="21"/>
                <w:highlight w:val="none"/>
              </w:rPr>
              <w:t>6-</w:t>
            </w:r>
            <w:r>
              <w:rPr>
                <w:rFonts w:ascii="宋体" w:hAnsi="宋体" w:cs="宋体"/>
                <w:bCs/>
                <w:color w:val="auto"/>
                <w:szCs w:val="21"/>
                <w:highlight w:val="none"/>
              </w:rPr>
              <w:t>4</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良得</w:t>
            </w:r>
            <w:r>
              <w:rPr>
                <w:rFonts w:ascii="宋体" w:hAnsi="宋体" w:cs="宋体"/>
                <w:bCs/>
                <w:color w:val="auto"/>
                <w:szCs w:val="21"/>
                <w:highlight w:val="none"/>
              </w:rPr>
              <w:t>4</w:t>
            </w:r>
            <w:r>
              <w:rPr>
                <w:rFonts w:hint="eastAsia" w:ascii="宋体" w:hAnsi="宋体" w:cs="宋体"/>
                <w:bCs/>
                <w:color w:val="auto"/>
                <w:szCs w:val="21"/>
                <w:highlight w:val="none"/>
              </w:rPr>
              <w:t>-</w:t>
            </w:r>
            <w:r>
              <w:rPr>
                <w:rFonts w:ascii="宋体" w:hAnsi="宋体" w:cs="宋体"/>
                <w:bCs/>
                <w:color w:val="auto"/>
                <w:szCs w:val="21"/>
                <w:highlight w:val="none"/>
              </w:rPr>
              <w:t>3</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w:t>
            </w:r>
            <w:r>
              <w:rPr>
                <w:rFonts w:hint="eastAsia" w:ascii="宋体" w:hAnsi="宋体" w:cs="宋体"/>
                <w:color w:val="auto"/>
                <w:szCs w:val="21"/>
                <w:highlight w:val="none"/>
              </w:rPr>
              <w:t>中得</w:t>
            </w:r>
            <w:r>
              <w:rPr>
                <w:rFonts w:ascii="宋体" w:hAnsi="宋体" w:cs="宋体"/>
                <w:color w:val="auto"/>
                <w:szCs w:val="21"/>
                <w:highlight w:val="none"/>
              </w:rPr>
              <w:t>3</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分，差得</w:t>
            </w:r>
            <w:r>
              <w:rPr>
                <w:rFonts w:ascii="宋体" w:hAnsi="宋体" w:cs="宋体"/>
                <w:color w:val="auto"/>
                <w:szCs w:val="21"/>
                <w:highlight w:val="none"/>
              </w:rPr>
              <w:t>2</w:t>
            </w:r>
            <w:r>
              <w:rPr>
                <w:rFonts w:hint="eastAsia" w:ascii="宋体" w:hAnsi="宋体" w:cs="宋体"/>
                <w:color w:val="auto"/>
                <w:szCs w:val="21"/>
                <w:highlight w:val="none"/>
              </w:rPr>
              <w:t>-0分。</w:t>
            </w:r>
          </w:p>
        </w:tc>
        <w:tc>
          <w:tcPr>
            <w:tcW w:w="1080" w:type="dxa"/>
            <w:vAlign w:val="center"/>
          </w:tcPr>
          <w:p>
            <w:pPr>
              <w:autoSpaceDE w:val="0"/>
              <w:autoSpaceDN w:val="0"/>
              <w:adjustRightInd w:val="0"/>
              <w:spacing w:line="400" w:lineRule="exact"/>
              <w:jc w:val="center"/>
              <w:rPr>
                <w:rFonts w:ascii="宋体" w:hAnsi="宋体" w:cs="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720" w:type="dxa"/>
            <w:vMerge w:val="restart"/>
            <w:vAlign w:val="center"/>
          </w:tcPr>
          <w:p>
            <w:pPr>
              <w:autoSpaceDE w:val="0"/>
              <w:autoSpaceDN w:val="0"/>
              <w:adjustRightIn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lang w:val="zh-CN"/>
              </w:rPr>
              <w:t>三</w:t>
            </w:r>
          </w:p>
        </w:tc>
        <w:tc>
          <w:tcPr>
            <w:tcW w:w="1080" w:type="dxa"/>
            <w:vMerge w:val="restart"/>
            <w:vAlign w:val="center"/>
          </w:tcPr>
          <w:p>
            <w:pPr>
              <w:autoSpaceDE w:val="0"/>
              <w:autoSpaceDN w:val="0"/>
              <w:adjustRightIn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lang w:val="zh-CN"/>
              </w:rPr>
              <w:t>投资控制</w:t>
            </w:r>
          </w:p>
        </w:tc>
        <w:tc>
          <w:tcPr>
            <w:tcW w:w="1552" w:type="dxa"/>
            <w:vMerge w:val="restart"/>
            <w:vAlign w:val="center"/>
          </w:tcPr>
          <w:p>
            <w:pPr>
              <w:autoSpaceDE w:val="0"/>
              <w:autoSpaceDN w:val="0"/>
              <w:adjustRightInd w:val="0"/>
              <w:spacing w:line="260" w:lineRule="exact"/>
              <w:jc w:val="center"/>
              <w:rPr>
                <w:rFonts w:ascii="宋体" w:hAnsi="宋体" w:cs="宋体"/>
                <w:bCs/>
                <w:color w:val="auto"/>
                <w:szCs w:val="21"/>
                <w:highlight w:val="none"/>
              </w:rPr>
            </w:pPr>
            <w:r>
              <w:rPr>
                <w:rFonts w:hint="eastAsia" w:ascii="宋体" w:hAnsi="宋体" w:cs="宋体"/>
                <w:color w:val="auto"/>
                <w:szCs w:val="21"/>
                <w:highlight w:val="none"/>
                <w:lang w:val="zh-CN"/>
              </w:rPr>
              <w:t>10</w:t>
            </w:r>
          </w:p>
        </w:tc>
        <w:tc>
          <w:tcPr>
            <w:tcW w:w="9360" w:type="dxa"/>
            <w:gridSpan w:val="3"/>
            <w:vAlign w:val="center"/>
          </w:tcPr>
          <w:p>
            <w:pPr>
              <w:numPr>
                <w:ilvl w:val="0"/>
                <w:numId w:val="2"/>
              </w:numPr>
              <w:autoSpaceDE w:val="0"/>
              <w:autoSpaceDN w:val="0"/>
              <w:adjustRightInd w:val="0"/>
              <w:spacing w:line="240" w:lineRule="exact"/>
              <w:rPr>
                <w:rFonts w:ascii="宋体" w:hAnsi="宋体" w:cs="宋体"/>
                <w:bCs/>
                <w:color w:val="auto"/>
                <w:szCs w:val="21"/>
                <w:highlight w:val="none"/>
                <w:lang w:val="zh-CN"/>
              </w:rPr>
            </w:pPr>
            <w:r>
              <w:rPr>
                <w:rFonts w:hint="eastAsia" w:ascii="宋体" w:hAnsi="宋体" w:cs="宋体"/>
                <w:bCs/>
                <w:color w:val="auto"/>
                <w:szCs w:val="21"/>
                <w:highlight w:val="none"/>
                <w:lang w:val="zh-CN"/>
              </w:rPr>
              <w:t>工程总投资合理，节约工程总投资的措施及理由合理、可信、可行。</w:t>
            </w:r>
          </w:p>
          <w:p>
            <w:pPr>
              <w:autoSpaceDE w:val="0"/>
              <w:autoSpaceDN w:val="0"/>
              <w:adjustRightInd w:val="0"/>
              <w:spacing w:line="240" w:lineRule="exact"/>
              <w:ind w:left="-5" w:leftChars="-10" w:hanging="16" w:hangingChars="8"/>
              <w:jc w:val="left"/>
              <w:rPr>
                <w:rFonts w:ascii="宋体" w:hAnsi="宋体" w:cs="宋体"/>
                <w:bCs/>
                <w:color w:val="auto"/>
                <w:szCs w:val="21"/>
                <w:highlight w:val="none"/>
              </w:rPr>
            </w:pPr>
            <w:r>
              <w:rPr>
                <w:rFonts w:hint="eastAsia" w:ascii="宋体" w:hAnsi="宋体" w:cs="宋体"/>
                <w:bCs/>
                <w:color w:val="auto"/>
                <w:szCs w:val="21"/>
                <w:highlight w:val="none"/>
                <w:lang w:val="zh-CN"/>
              </w:rPr>
              <w:t>优得</w:t>
            </w:r>
            <w:r>
              <w:rPr>
                <w:rFonts w:hint="eastAsia" w:ascii="宋体" w:hAnsi="宋体" w:cs="宋体"/>
                <w:bCs/>
                <w:color w:val="auto"/>
                <w:szCs w:val="21"/>
                <w:highlight w:val="none"/>
              </w:rPr>
              <w:t>5</w:t>
            </w:r>
            <w:r>
              <w:rPr>
                <w:rFonts w:ascii="宋体" w:hAnsi="宋体" w:cs="宋体"/>
                <w:bCs/>
                <w:color w:val="auto"/>
                <w:szCs w:val="21"/>
                <w:highlight w:val="none"/>
              </w:rPr>
              <w:t>-4</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良得</w:t>
            </w:r>
            <w:r>
              <w:rPr>
                <w:rFonts w:hint="eastAsia" w:ascii="宋体" w:hAnsi="宋体" w:cs="宋体"/>
                <w:bCs/>
                <w:color w:val="auto"/>
                <w:szCs w:val="21"/>
                <w:highlight w:val="none"/>
              </w:rPr>
              <w:t>4</w:t>
            </w:r>
            <w:r>
              <w:rPr>
                <w:rFonts w:ascii="宋体" w:hAnsi="宋体" w:cs="宋体"/>
                <w:bCs/>
                <w:color w:val="auto"/>
                <w:szCs w:val="21"/>
                <w:highlight w:val="none"/>
              </w:rPr>
              <w:t>-3</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一般得</w:t>
            </w:r>
            <w:r>
              <w:rPr>
                <w:rFonts w:hint="eastAsia" w:ascii="宋体" w:hAnsi="宋体" w:cs="宋体"/>
                <w:bCs/>
                <w:color w:val="auto"/>
                <w:szCs w:val="21"/>
                <w:highlight w:val="none"/>
              </w:rPr>
              <w:t>3-2</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差得</w:t>
            </w:r>
            <w:r>
              <w:rPr>
                <w:rFonts w:hint="eastAsia" w:ascii="宋体" w:hAnsi="宋体" w:cs="宋体"/>
                <w:bCs/>
                <w:color w:val="auto"/>
                <w:szCs w:val="21"/>
                <w:highlight w:val="none"/>
              </w:rPr>
              <w:t>2-0</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 xml:space="preserve"> </w:t>
            </w:r>
          </w:p>
        </w:tc>
        <w:tc>
          <w:tcPr>
            <w:tcW w:w="1080" w:type="dxa"/>
            <w:vAlign w:val="center"/>
          </w:tcPr>
          <w:p>
            <w:pPr>
              <w:autoSpaceDE w:val="0"/>
              <w:autoSpaceDN w:val="0"/>
              <w:adjustRightInd w:val="0"/>
              <w:spacing w:line="400" w:lineRule="exact"/>
              <w:jc w:val="center"/>
              <w:rPr>
                <w:rFonts w:ascii="宋体" w:hAnsi="宋体" w:cs="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720"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1080"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1552" w:type="dxa"/>
            <w:vMerge w:val="continue"/>
            <w:vAlign w:val="center"/>
          </w:tcPr>
          <w:p>
            <w:pPr>
              <w:autoSpaceDE w:val="0"/>
              <w:autoSpaceDN w:val="0"/>
              <w:adjustRightInd w:val="0"/>
              <w:spacing w:line="400" w:lineRule="exact"/>
              <w:jc w:val="center"/>
              <w:rPr>
                <w:rFonts w:ascii="宋体" w:hAnsi="宋体" w:cs="宋体"/>
                <w:bCs/>
                <w:color w:val="auto"/>
                <w:szCs w:val="21"/>
                <w:highlight w:val="none"/>
              </w:rPr>
            </w:pPr>
          </w:p>
        </w:tc>
        <w:tc>
          <w:tcPr>
            <w:tcW w:w="9360" w:type="dxa"/>
            <w:gridSpan w:val="3"/>
            <w:vAlign w:val="center"/>
          </w:tcPr>
          <w:p>
            <w:pPr>
              <w:numPr>
                <w:ilvl w:val="0"/>
                <w:numId w:val="2"/>
              </w:numPr>
              <w:autoSpaceDE w:val="0"/>
              <w:autoSpaceDN w:val="0"/>
              <w:adjustRightInd w:val="0"/>
              <w:spacing w:line="240" w:lineRule="exact"/>
              <w:rPr>
                <w:rFonts w:ascii="宋体" w:hAnsi="宋体" w:cs="宋体"/>
                <w:bCs/>
                <w:color w:val="auto"/>
                <w:szCs w:val="21"/>
                <w:highlight w:val="none"/>
                <w:lang w:val="zh-CN"/>
              </w:rPr>
            </w:pPr>
            <w:r>
              <w:rPr>
                <w:rFonts w:hint="eastAsia" w:ascii="宋体" w:hAnsi="宋体" w:cs="宋体"/>
                <w:bCs/>
                <w:color w:val="auto"/>
                <w:szCs w:val="21"/>
                <w:highlight w:val="none"/>
                <w:lang w:val="zh-CN"/>
              </w:rPr>
              <w:t>投资估算编制依据正确，达到相应的深度要求，编制质量高。</w:t>
            </w:r>
          </w:p>
          <w:p>
            <w:pPr>
              <w:autoSpaceDE w:val="0"/>
              <w:autoSpaceDN w:val="0"/>
              <w:adjustRightInd w:val="0"/>
              <w:spacing w:line="240" w:lineRule="exact"/>
              <w:ind w:left="-1" w:leftChars="-150" w:hanging="314" w:hangingChars="149"/>
              <w:jc w:val="left"/>
              <w:rPr>
                <w:rFonts w:ascii="宋体" w:hAnsi="宋体" w:cs="宋体"/>
                <w:b/>
                <w:bCs/>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bCs/>
                <w:color w:val="auto"/>
                <w:szCs w:val="21"/>
                <w:highlight w:val="none"/>
                <w:lang w:val="zh-CN"/>
              </w:rPr>
              <w:t>优得</w:t>
            </w:r>
            <w:r>
              <w:rPr>
                <w:rFonts w:hint="eastAsia" w:ascii="宋体" w:hAnsi="宋体" w:cs="宋体"/>
                <w:bCs/>
                <w:color w:val="auto"/>
                <w:szCs w:val="21"/>
                <w:highlight w:val="none"/>
              </w:rPr>
              <w:t>5</w:t>
            </w:r>
            <w:r>
              <w:rPr>
                <w:rFonts w:ascii="宋体" w:hAnsi="宋体" w:cs="宋体"/>
                <w:bCs/>
                <w:color w:val="auto"/>
                <w:szCs w:val="21"/>
                <w:highlight w:val="none"/>
              </w:rPr>
              <w:t>-4</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良得</w:t>
            </w:r>
            <w:r>
              <w:rPr>
                <w:rFonts w:hint="eastAsia" w:ascii="宋体" w:hAnsi="宋体" w:cs="宋体"/>
                <w:bCs/>
                <w:color w:val="auto"/>
                <w:szCs w:val="21"/>
                <w:highlight w:val="none"/>
              </w:rPr>
              <w:t>4</w:t>
            </w:r>
            <w:r>
              <w:rPr>
                <w:rFonts w:ascii="宋体" w:hAnsi="宋体" w:cs="宋体"/>
                <w:bCs/>
                <w:color w:val="auto"/>
                <w:szCs w:val="21"/>
                <w:highlight w:val="none"/>
              </w:rPr>
              <w:t>-3</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一般得</w:t>
            </w:r>
            <w:r>
              <w:rPr>
                <w:rFonts w:hint="eastAsia" w:ascii="宋体" w:hAnsi="宋体" w:cs="宋体"/>
                <w:bCs/>
                <w:color w:val="auto"/>
                <w:szCs w:val="21"/>
                <w:highlight w:val="none"/>
              </w:rPr>
              <w:t>3-2</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w:t>
            </w:r>
            <w:r>
              <w:rPr>
                <w:rFonts w:hint="eastAsia" w:ascii="宋体" w:hAnsi="宋体" w:cs="宋体"/>
                <w:bCs/>
                <w:color w:val="auto"/>
                <w:szCs w:val="21"/>
                <w:highlight w:val="none"/>
                <w:lang w:val="zh-CN"/>
              </w:rPr>
              <w:t>差得</w:t>
            </w:r>
            <w:r>
              <w:rPr>
                <w:rFonts w:hint="eastAsia" w:ascii="宋体" w:hAnsi="宋体" w:cs="宋体"/>
                <w:bCs/>
                <w:color w:val="auto"/>
                <w:szCs w:val="21"/>
                <w:highlight w:val="none"/>
              </w:rPr>
              <w:t>2-0</w:t>
            </w:r>
            <w:r>
              <w:rPr>
                <w:rFonts w:hint="eastAsia" w:ascii="宋体" w:hAnsi="宋体" w:cs="宋体"/>
                <w:bCs/>
                <w:color w:val="auto"/>
                <w:szCs w:val="21"/>
                <w:highlight w:val="none"/>
                <w:lang w:val="zh-CN"/>
              </w:rPr>
              <w:t>分。</w:t>
            </w:r>
          </w:p>
        </w:tc>
        <w:tc>
          <w:tcPr>
            <w:tcW w:w="1080" w:type="dxa"/>
            <w:vAlign w:val="center"/>
          </w:tcPr>
          <w:p>
            <w:pPr>
              <w:autoSpaceDE w:val="0"/>
              <w:autoSpaceDN w:val="0"/>
              <w:adjustRightInd w:val="0"/>
              <w:spacing w:line="400" w:lineRule="exact"/>
              <w:jc w:val="center"/>
              <w:rPr>
                <w:rFonts w:ascii="宋体" w:hAnsi="宋体" w:cs="宋体"/>
                <w:bCs/>
                <w:color w:val="auto"/>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800" w:type="dxa"/>
            <w:gridSpan w:val="2"/>
            <w:vAlign w:val="center"/>
          </w:tcPr>
          <w:p>
            <w:pPr>
              <w:autoSpaceDE w:val="0"/>
              <w:autoSpaceDN w:val="0"/>
              <w:adjustRightIn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lang w:val="zh-CN"/>
              </w:rPr>
              <w:t>总计</w:t>
            </w:r>
          </w:p>
        </w:tc>
        <w:tc>
          <w:tcPr>
            <w:tcW w:w="1552" w:type="dxa"/>
            <w:vAlign w:val="center"/>
          </w:tcPr>
          <w:p>
            <w:pPr>
              <w:autoSpaceDE w:val="0"/>
              <w:autoSpaceDN w:val="0"/>
              <w:adjustRightInd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100</w:t>
            </w:r>
          </w:p>
        </w:tc>
        <w:tc>
          <w:tcPr>
            <w:tcW w:w="9360" w:type="dxa"/>
            <w:gridSpan w:val="3"/>
            <w:vAlign w:val="center"/>
          </w:tcPr>
          <w:p>
            <w:pPr>
              <w:autoSpaceDE w:val="0"/>
              <w:autoSpaceDN w:val="0"/>
              <w:adjustRightInd w:val="0"/>
              <w:spacing w:line="400" w:lineRule="exact"/>
              <w:jc w:val="center"/>
              <w:rPr>
                <w:rFonts w:ascii="宋体" w:hAnsi="宋体" w:cs="宋体"/>
                <w:bCs/>
                <w:color w:val="auto"/>
                <w:szCs w:val="21"/>
                <w:highlight w:val="none"/>
              </w:rPr>
            </w:pPr>
          </w:p>
        </w:tc>
        <w:tc>
          <w:tcPr>
            <w:tcW w:w="1080" w:type="dxa"/>
            <w:vAlign w:val="center"/>
          </w:tcPr>
          <w:p>
            <w:pPr>
              <w:autoSpaceDE w:val="0"/>
              <w:autoSpaceDN w:val="0"/>
              <w:adjustRightInd w:val="0"/>
              <w:spacing w:line="400" w:lineRule="exact"/>
              <w:jc w:val="center"/>
              <w:rPr>
                <w:rFonts w:ascii="宋体" w:hAnsi="宋体" w:cs="宋体"/>
                <w:bCs/>
                <w:color w:val="auto"/>
                <w:szCs w:val="21"/>
                <w:highlight w:val="none"/>
              </w:rPr>
            </w:pPr>
          </w:p>
        </w:tc>
      </w:tr>
    </w:tbl>
    <w:p>
      <w:pPr>
        <w:pStyle w:val="26"/>
        <w:rPr>
          <w:rFonts w:ascii="宋体" w:hAnsi="宋体"/>
          <w:color w:val="auto"/>
          <w:highlight w:val="none"/>
        </w:rPr>
      </w:pPr>
    </w:p>
    <w:p>
      <w:pPr>
        <w:tabs>
          <w:tab w:val="left" w:pos="720"/>
        </w:tabs>
        <w:snapToGrid w:val="0"/>
        <w:spacing w:beforeLines="50"/>
        <w:ind w:left="420" w:leftChars="200"/>
        <w:jc w:val="left"/>
        <w:rPr>
          <w:color w:val="auto"/>
          <w:highlight w:val="none"/>
        </w:rPr>
      </w:pPr>
      <w:bookmarkStart w:id="116" w:name="_Toc4988"/>
      <w:bookmarkStart w:id="117" w:name="_Toc780"/>
      <w:bookmarkStart w:id="118" w:name="_Toc99464012"/>
      <w:r>
        <w:rPr>
          <w:rFonts w:hint="eastAsia" w:ascii="宋体" w:hAnsi="宋体"/>
          <w:color w:val="auto"/>
          <w:szCs w:val="21"/>
          <w:highlight w:val="none"/>
        </w:rPr>
        <w:t>备注：所有评委每个分项的分数汇总后去掉一个最高分和一个最低分后计取的算术平均值为投标人的得分。分数出现小数点，保留小数点后二位小数，第三位小数四舍五入。</w:t>
      </w:r>
    </w:p>
    <w:p>
      <w:pPr>
        <w:tabs>
          <w:tab w:val="left" w:pos="720"/>
        </w:tabs>
        <w:snapToGrid w:val="0"/>
        <w:spacing w:beforeLines="50"/>
        <w:ind w:left="420" w:leftChars="200"/>
        <w:jc w:val="left"/>
        <w:rPr>
          <w:color w:val="auto"/>
          <w:highlight w:val="none"/>
        </w:rPr>
        <w:sectPr>
          <w:footerReference r:id="rId10" w:type="first"/>
          <w:footerReference r:id="rId9" w:type="default"/>
          <w:pgSz w:w="16838" w:h="11905" w:orient="landscape"/>
          <w:pgMar w:top="1304" w:right="1440" w:bottom="1304" w:left="1440" w:header="851" w:footer="992" w:gutter="0"/>
          <w:pgBorders>
            <w:top w:val="none" w:sz="0" w:space="0"/>
            <w:left w:val="none" w:sz="0" w:space="0"/>
            <w:bottom w:val="none" w:sz="0" w:space="0"/>
            <w:right w:val="none" w:sz="0" w:space="0"/>
          </w:pgBorders>
          <w:cols w:space="720" w:num="1"/>
          <w:titlePg/>
          <w:docGrid w:type="lines" w:linePitch="312" w:charSpace="0"/>
        </w:sectPr>
      </w:pPr>
    </w:p>
    <w:bookmarkEnd w:id="116"/>
    <w:bookmarkEnd w:id="117"/>
    <w:p>
      <w:pPr>
        <w:pStyle w:val="4"/>
        <w:rPr>
          <w:color w:val="auto"/>
          <w:highlight w:val="none"/>
        </w:rPr>
      </w:pPr>
      <w:bookmarkStart w:id="119" w:name="_Toc9403"/>
      <w:bookmarkStart w:id="120" w:name="_Toc344"/>
      <w:r>
        <w:rPr>
          <w:rFonts w:hint="eastAsia"/>
          <w:color w:val="auto"/>
          <w:highlight w:val="none"/>
        </w:rPr>
        <w:t>附录14：基础资料和设计任务书</w:t>
      </w:r>
      <w:bookmarkEnd w:id="118"/>
      <w:bookmarkEnd w:id="119"/>
      <w:bookmarkEnd w:id="120"/>
    </w:p>
    <w:p>
      <w:pPr>
        <w:spacing w:line="360" w:lineRule="auto"/>
        <w:jc w:val="center"/>
        <w:rPr>
          <w:b/>
          <w:color w:val="auto"/>
          <w:sz w:val="32"/>
          <w:szCs w:val="32"/>
          <w:highlight w:val="none"/>
        </w:rPr>
      </w:pPr>
      <w:r>
        <w:rPr>
          <w:b/>
          <w:color w:val="auto"/>
          <w:sz w:val="32"/>
          <w:szCs w:val="32"/>
          <w:highlight w:val="none"/>
        </w:rPr>
        <w:t>基础资料和设计任务书</w:t>
      </w:r>
    </w:p>
    <w:p>
      <w:pPr>
        <w:pStyle w:val="111"/>
        <w:numPr>
          <w:ilvl w:val="0"/>
          <w:numId w:val="3"/>
        </w:numPr>
        <w:spacing w:line="360" w:lineRule="auto"/>
        <w:ind w:firstLineChars="0"/>
        <w:rPr>
          <w:rFonts w:ascii="Times New Roman" w:hAnsi="Times New Roman"/>
          <w:b/>
          <w:color w:val="auto"/>
          <w:sz w:val="24"/>
          <w:szCs w:val="24"/>
          <w:highlight w:val="none"/>
        </w:rPr>
      </w:pPr>
      <w:r>
        <w:rPr>
          <w:rFonts w:ascii="Times New Roman" w:hAnsi="Times New Roman"/>
          <w:b/>
          <w:color w:val="auto"/>
          <w:sz w:val="24"/>
          <w:szCs w:val="24"/>
          <w:highlight w:val="none"/>
        </w:rPr>
        <w:t>工程背景</w:t>
      </w:r>
    </w:p>
    <w:p>
      <w:pPr>
        <w:spacing w:line="360" w:lineRule="auto"/>
        <w:ind w:firstLine="480" w:firstLineChars="200"/>
        <w:jc w:val="left"/>
        <w:rPr>
          <w:color w:val="auto"/>
          <w:sz w:val="24"/>
          <w:highlight w:val="none"/>
        </w:rPr>
      </w:pPr>
      <w:r>
        <w:rPr>
          <w:color w:val="auto"/>
          <w:sz w:val="24"/>
          <w:highlight w:val="none"/>
        </w:rPr>
        <w:t>中新广州知识城</w:t>
      </w:r>
      <w:r>
        <w:rPr>
          <w:rFonts w:hint="eastAsia"/>
          <w:color w:val="auto"/>
          <w:sz w:val="24"/>
          <w:highlight w:val="none"/>
        </w:rPr>
        <w:t>是粤港澳大湾区建设的重大创新载体之一，是我国与新加坡共同打造的国家级双边合作项目和国际化知识创新平台</w:t>
      </w:r>
      <w:r>
        <w:rPr>
          <w:color w:val="auto"/>
          <w:sz w:val="24"/>
          <w:highlight w:val="none"/>
        </w:rPr>
        <w:t>。</w:t>
      </w:r>
    </w:p>
    <w:p>
      <w:pPr>
        <w:spacing w:line="360" w:lineRule="auto"/>
        <w:ind w:firstLine="480" w:firstLineChars="200"/>
        <w:jc w:val="left"/>
        <w:rPr>
          <w:color w:val="auto"/>
          <w:sz w:val="24"/>
          <w:highlight w:val="none"/>
        </w:rPr>
      </w:pPr>
      <w:r>
        <w:rPr>
          <w:color w:val="auto"/>
          <w:sz w:val="24"/>
          <w:highlight w:val="none"/>
        </w:rPr>
        <w:t>知识城建设划分为五大重点发展片区，包括北部绿色高新产业区、中部文化核心区、中新合作区、国际教育枢纽和现代服务业聚集区、都市休闲和现代农业发展区，形成城市功能分区相得益彰</w:t>
      </w:r>
      <w:r>
        <w:rPr>
          <w:rFonts w:hint="eastAsia"/>
          <w:color w:val="auto"/>
          <w:sz w:val="24"/>
          <w:highlight w:val="none"/>
        </w:rPr>
        <w:t>、</w:t>
      </w:r>
      <w:r>
        <w:rPr>
          <w:color w:val="auto"/>
          <w:sz w:val="24"/>
          <w:highlight w:val="none"/>
        </w:rPr>
        <w:t>“文.人.业.城”并举的全面科学发展局面。本项目位于知识城科教创新组团，是知识城五大重点发展片区中的国际教育枢纽和现代服务业聚集区，本片区近期重点发展西安电子科技大学、广州大学研究生院、广东外语外贸大学、大湾区生态环境科学中心、气象中心等建设项目。</w:t>
      </w:r>
    </w:p>
    <w:p>
      <w:pPr>
        <w:pStyle w:val="111"/>
        <w:numPr>
          <w:ilvl w:val="0"/>
          <w:numId w:val="3"/>
        </w:numPr>
        <w:spacing w:line="360" w:lineRule="auto"/>
        <w:ind w:firstLineChars="0"/>
        <w:rPr>
          <w:rFonts w:ascii="Times New Roman" w:hAnsi="Times New Roman"/>
          <w:b/>
          <w:color w:val="auto"/>
          <w:sz w:val="24"/>
          <w:szCs w:val="24"/>
          <w:highlight w:val="none"/>
        </w:rPr>
      </w:pPr>
      <w:r>
        <w:rPr>
          <w:rFonts w:ascii="Times New Roman" w:hAnsi="Times New Roman"/>
          <w:b/>
          <w:color w:val="auto"/>
          <w:sz w:val="24"/>
          <w:szCs w:val="24"/>
          <w:highlight w:val="none"/>
        </w:rPr>
        <w:t>设计目标及达到效果</w:t>
      </w:r>
    </w:p>
    <w:p>
      <w:pPr>
        <w:spacing w:line="360" w:lineRule="auto"/>
        <w:ind w:firstLine="480" w:firstLineChars="200"/>
        <w:jc w:val="left"/>
        <w:rPr>
          <w:color w:val="auto"/>
          <w:sz w:val="24"/>
          <w:highlight w:val="none"/>
        </w:rPr>
      </w:pPr>
      <w:r>
        <w:rPr>
          <w:color w:val="auto"/>
          <w:sz w:val="24"/>
          <w:highlight w:val="none"/>
        </w:rPr>
        <w:t>积极协调</w:t>
      </w:r>
      <w:r>
        <w:rPr>
          <w:rFonts w:hint="eastAsia"/>
          <w:color w:val="auto"/>
          <w:sz w:val="24"/>
          <w:highlight w:val="none"/>
        </w:rPr>
        <w:t>道路</w:t>
      </w:r>
      <w:r>
        <w:rPr>
          <w:color w:val="auto"/>
          <w:sz w:val="24"/>
          <w:highlight w:val="none"/>
        </w:rPr>
        <w:t>与其他工程建设的关系，使地下管网、相交道路</w:t>
      </w:r>
      <w:r>
        <w:rPr>
          <w:rFonts w:hint="eastAsia"/>
          <w:color w:val="auto"/>
          <w:sz w:val="24"/>
          <w:highlight w:val="none"/>
        </w:rPr>
        <w:t>、周边地块</w:t>
      </w:r>
      <w:r>
        <w:rPr>
          <w:color w:val="auto"/>
          <w:sz w:val="24"/>
          <w:highlight w:val="none"/>
        </w:rPr>
        <w:t>等总体系统协调、配套，形成完整的综合体系。重视生态建设和环境保护工作，对道路沿线区域内自然地貌、山体植被等生态环境进行有效保护，重视水土保持和生态景观设计，防止污染水源和水土流失，使道路与周围环境景观和谐统一，融入自然。</w:t>
      </w:r>
    </w:p>
    <w:p>
      <w:pPr>
        <w:pStyle w:val="111"/>
        <w:numPr>
          <w:ilvl w:val="0"/>
          <w:numId w:val="3"/>
        </w:numPr>
        <w:spacing w:line="360" w:lineRule="auto"/>
        <w:ind w:firstLineChars="0"/>
        <w:rPr>
          <w:rFonts w:ascii="Times New Roman" w:hAnsi="Times New Roman"/>
          <w:b/>
          <w:color w:val="auto"/>
          <w:sz w:val="24"/>
          <w:szCs w:val="24"/>
          <w:highlight w:val="none"/>
        </w:rPr>
      </w:pPr>
      <w:r>
        <w:rPr>
          <w:rFonts w:ascii="Times New Roman" w:hAnsi="Times New Roman"/>
          <w:b/>
          <w:color w:val="auto"/>
          <w:sz w:val="24"/>
          <w:szCs w:val="24"/>
          <w:highlight w:val="none"/>
        </w:rPr>
        <w:t>方位图和总图</w:t>
      </w:r>
    </w:p>
    <w:p>
      <w:pPr>
        <w:jc w:val="center"/>
        <w:rPr>
          <w:color w:val="auto"/>
          <w:sz w:val="24"/>
          <w:highlight w:val="none"/>
        </w:rPr>
      </w:pPr>
      <w:r>
        <w:rPr>
          <w:color w:val="auto"/>
          <w:sz w:val="24"/>
          <w:highlight w:val="none"/>
        </w:rPr>
        <w:drawing>
          <wp:inline distT="0" distB="0" distL="114300" distR="114300">
            <wp:extent cx="5706110" cy="3599815"/>
            <wp:effectExtent l="0" t="0" r="8890" b="635"/>
            <wp:docPr id="10" name="图片 2" descr="C:\Users\w\Desktop\DL-1-03  规划路网总平面图-布局1\DL-1-03  规划路网总平面图-布局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C:\Users\w\Desktop\DL-1-03  规划路网总平面图-布局1\DL-1-03  规划路网总平面图-布局1_1.jpg"/>
                    <pic:cNvPicPr>
                      <a:picLocks noChangeAspect="1"/>
                    </pic:cNvPicPr>
                  </pic:nvPicPr>
                  <pic:blipFill>
                    <a:blip r:embed="rId15" cstate="print"/>
                    <a:srcRect l="14766" t="13164" r="11209" b="20840"/>
                    <a:stretch>
                      <a:fillRect/>
                    </a:stretch>
                  </pic:blipFill>
                  <pic:spPr>
                    <a:xfrm>
                      <a:off x="0" y="0"/>
                      <a:ext cx="5706110" cy="3599815"/>
                    </a:xfrm>
                    <a:prstGeom prst="rect">
                      <a:avLst/>
                    </a:prstGeom>
                    <a:noFill/>
                    <a:ln>
                      <a:noFill/>
                    </a:ln>
                  </pic:spPr>
                </pic:pic>
              </a:graphicData>
            </a:graphic>
          </wp:inline>
        </w:drawing>
      </w:r>
    </w:p>
    <w:p>
      <w:pPr>
        <w:jc w:val="center"/>
        <w:rPr>
          <w:color w:val="auto"/>
          <w:sz w:val="24"/>
          <w:highlight w:val="none"/>
        </w:rPr>
      </w:pPr>
    </w:p>
    <w:p>
      <w:pPr>
        <w:pStyle w:val="111"/>
        <w:numPr>
          <w:ilvl w:val="0"/>
          <w:numId w:val="3"/>
        </w:numPr>
        <w:spacing w:line="360" w:lineRule="auto"/>
        <w:ind w:firstLineChars="0"/>
        <w:rPr>
          <w:rFonts w:ascii="Times New Roman" w:hAnsi="Times New Roman"/>
          <w:b/>
          <w:color w:val="auto"/>
          <w:sz w:val="24"/>
          <w:szCs w:val="24"/>
          <w:highlight w:val="none"/>
        </w:rPr>
      </w:pPr>
      <w:r>
        <w:rPr>
          <w:rFonts w:ascii="Times New Roman" w:hAnsi="Times New Roman"/>
          <w:b/>
          <w:color w:val="auto"/>
          <w:sz w:val="24"/>
          <w:szCs w:val="24"/>
          <w:highlight w:val="none"/>
        </w:rPr>
        <w:t>工程规划和立项文件</w:t>
      </w:r>
    </w:p>
    <w:p>
      <w:pPr>
        <w:spacing w:line="360" w:lineRule="auto"/>
        <w:ind w:firstLine="480" w:firstLineChars="200"/>
        <w:jc w:val="left"/>
        <w:rPr>
          <w:color w:val="auto"/>
          <w:sz w:val="24"/>
          <w:highlight w:val="none"/>
        </w:rPr>
      </w:pPr>
      <w:r>
        <w:rPr>
          <w:color w:val="auto"/>
          <w:sz w:val="24"/>
          <w:highlight w:val="none"/>
        </w:rPr>
        <w:t>工程规划：</w:t>
      </w:r>
    </w:p>
    <w:p>
      <w:pPr>
        <w:spacing w:line="360" w:lineRule="auto"/>
        <w:ind w:firstLine="480" w:firstLineChars="200"/>
        <w:jc w:val="left"/>
        <w:rPr>
          <w:color w:val="auto"/>
          <w:sz w:val="24"/>
          <w:highlight w:val="none"/>
        </w:rPr>
      </w:pPr>
      <w:r>
        <w:rPr>
          <w:color w:val="auto"/>
          <w:sz w:val="24"/>
          <w:highlight w:val="none"/>
        </w:rPr>
        <w:t>（1）《广州市城市总体发展战略规划（2010-2020）》；</w:t>
      </w:r>
    </w:p>
    <w:p>
      <w:pPr>
        <w:spacing w:line="360" w:lineRule="auto"/>
        <w:ind w:firstLine="480" w:firstLineChars="200"/>
        <w:jc w:val="left"/>
        <w:rPr>
          <w:color w:val="auto"/>
          <w:sz w:val="24"/>
          <w:highlight w:val="none"/>
        </w:rPr>
      </w:pPr>
      <w:r>
        <w:rPr>
          <w:color w:val="auto"/>
          <w:sz w:val="24"/>
          <w:highlight w:val="none"/>
        </w:rPr>
        <w:t>（2）《广州市国土空间总体规划（2018－2035）》；</w:t>
      </w:r>
    </w:p>
    <w:p>
      <w:pPr>
        <w:spacing w:line="360" w:lineRule="auto"/>
        <w:ind w:firstLine="480" w:firstLineChars="200"/>
        <w:jc w:val="left"/>
        <w:rPr>
          <w:color w:val="auto"/>
          <w:sz w:val="24"/>
          <w:highlight w:val="none"/>
        </w:rPr>
      </w:pPr>
      <w:r>
        <w:rPr>
          <w:color w:val="auto"/>
          <w:sz w:val="24"/>
          <w:highlight w:val="none"/>
        </w:rPr>
        <w:t>（3）《广州城市功能布局研究》（2012）；</w:t>
      </w:r>
    </w:p>
    <w:p>
      <w:pPr>
        <w:spacing w:line="360" w:lineRule="auto"/>
        <w:ind w:firstLine="480" w:firstLineChars="200"/>
        <w:jc w:val="left"/>
        <w:rPr>
          <w:color w:val="auto"/>
          <w:sz w:val="24"/>
          <w:highlight w:val="none"/>
        </w:rPr>
      </w:pPr>
      <w:r>
        <w:rPr>
          <w:color w:val="auto"/>
          <w:sz w:val="24"/>
          <w:highlight w:val="none"/>
        </w:rPr>
        <w:t>（4）《广州市东部山水新城总体规划（2012-2020）》</w:t>
      </w:r>
    </w:p>
    <w:p>
      <w:pPr>
        <w:spacing w:line="360" w:lineRule="auto"/>
        <w:ind w:firstLine="480" w:firstLineChars="200"/>
        <w:jc w:val="left"/>
        <w:rPr>
          <w:color w:val="auto"/>
          <w:sz w:val="24"/>
          <w:highlight w:val="none"/>
        </w:rPr>
      </w:pPr>
      <w:r>
        <w:rPr>
          <w:color w:val="auto"/>
          <w:sz w:val="24"/>
          <w:highlight w:val="none"/>
        </w:rPr>
        <w:t>（5）《中新知识城总体规划调整（2013-2020）》</w:t>
      </w:r>
    </w:p>
    <w:p>
      <w:pPr>
        <w:spacing w:line="360" w:lineRule="auto"/>
        <w:ind w:firstLine="480" w:firstLineChars="200"/>
        <w:jc w:val="left"/>
        <w:rPr>
          <w:color w:val="auto"/>
          <w:sz w:val="24"/>
          <w:highlight w:val="none"/>
        </w:rPr>
      </w:pPr>
      <w:r>
        <w:rPr>
          <w:color w:val="auto"/>
          <w:sz w:val="24"/>
          <w:highlight w:val="none"/>
        </w:rPr>
        <w:t>（6）《中新广州知识城主城区控制性详细规划》（2013）</w:t>
      </w:r>
    </w:p>
    <w:p>
      <w:pPr>
        <w:spacing w:line="360" w:lineRule="auto"/>
        <w:ind w:firstLine="480" w:firstLineChars="200"/>
        <w:jc w:val="left"/>
        <w:rPr>
          <w:color w:val="auto"/>
          <w:sz w:val="24"/>
          <w:highlight w:val="none"/>
        </w:rPr>
      </w:pPr>
      <w:r>
        <w:rPr>
          <w:color w:val="auto"/>
          <w:sz w:val="24"/>
          <w:highlight w:val="none"/>
        </w:rPr>
        <w:t>（7）《中新广州知识城综合交通、道路、管线综合规划调整及深化设计》（2019）</w:t>
      </w:r>
    </w:p>
    <w:p>
      <w:pPr>
        <w:spacing w:line="360" w:lineRule="auto"/>
        <w:ind w:firstLine="480" w:firstLineChars="200"/>
        <w:jc w:val="left"/>
        <w:rPr>
          <w:color w:val="auto"/>
          <w:sz w:val="24"/>
          <w:highlight w:val="none"/>
        </w:rPr>
      </w:pPr>
      <w:r>
        <w:rPr>
          <w:color w:val="auto"/>
          <w:sz w:val="24"/>
          <w:highlight w:val="none"/>
        </w:rPr>
        <w:t>（8）《知识城市政综合规划调整及深化设计——供水工程规划》（2019）</w:t>
      </w:r>
    </w:p>
    <w:p>
      <w:pPr>
        <w:spacing w:line="360" w:lineRule="auto"/>
        <w:ind w:firstLine="480" w:firstLineChars="200"/>
        <w:jc w:val="left"/>
        <w:rPr>
          <w:color w:val="auto"/>
          <w:sz w:val="24"/>
          <w:highlight w:val="none"/>
        </w:rPr>
      </w:pPr>
      <w:r>
        <w:rPr>
          <w:color w:val="auto"/>
          <w:sz w:val="24"/>
          <w:highlight w:val="none"/>
        </w:rPr>
        <w:t>（9）《知识城市政综合规划调整及深化设计——排水工程规划》（2019）</w:t>
      </w:r>
    </w:p>
    <w:p>
      <w:pPr>
        <w:spacing w:line="360" w:lineRule="auto"/>
        <w:ind w:firstLine="480" w:firstLineChars="200"/>
        <w:jc w:val="left"/>
        <w:rPr>
          <w:color w:val="auto"/>
          <w:sz w:val="24"/>
          <w:highlight w:val="none"/>
        </w:rPr>
      </w:pPr>
      <w:r>
        <w:rPr>
          <w:color w:val="auto"/>
          <w:sz w:val="24"/>
          <w:highlight w:val="none"/>
        </w:rPr>
        <w:t>（10）《知识城市政综合规划调整及深化设计——竖向工程规划》（2019）</w:t>
      </w:r>
    </w:p>
    <w:p>
      <w:pPr>
        <w:spacing w:line="360" w:lineRule="auto"/>
        <w:ind w:firstLine="480" w:firstLineChars="200"/>
        <w:jc w:val="left"/>
        <w:rPr>
          <w:color w:val="auto"/>
          <w:sz w:val="24"/>
          <w:highlight w:val="none"/>
        </w:rPr>
      </w:pPr>
      <w:r>
        <w:rPr>
          <w:color w:val="auto"/>
          <w:sz w:val="24"/>
          <w:highlight w:val="none"/>
        </w:rPr>
        <w:t>（11）《知识城市政综合规划调整及深化设计——防洪工程规划》（2019）</w:t>
      </w:r>
    </w:p>
    <w:p>
      <w:pPr>
        <w:spacing w:line="360" w:lineRule="auto"/>
        <w:ind w:firstLine="480" w:firstLineChars="200"/>
        <w:jc w:val="left"/>
        <w:rPr>
          <w:color w:val="auto"/>
          <w:sz w:val="24"/>
          <w:highlight w:val="none"/>
        </w:rPr>
      </w:pPr>
      <w:r>
        <w:rPr>
          <w:color w:val="auto"/>
          <w:sz w:val="24"/>
          <w:highlight w:val="none"/>
        </w:rPr>
        <w:t>（</w:t>
      </w:r>
      <w:r>
        <w:rPr>
          <w:rFonts w:hint="eastAsia"/>
          <w:color w:val="auto"/>
          <w:sz w:val="24"/>
          <w:highlight w:val="none"/>
        </w:rPr>
        <w:t>12</w:t>
      </w:r>
      <w:r>
        <w:rPr>
          <w:color w:val="auto"/>
          <w:sz w:val="24"/>
          <w:highlight w:val="none"/>
        </w:rPr>
        <w:t>）《中新</w:t>
      </w:r>
      <w:r>
        <w:rPr>
          <w:rFonts w:hint="eastAsia"/>
          <w:color w:val="auto"/>
          <w:sz w:val="24"/>
          <w:highlight w:val="none"/>
        </w:rPr>
        <w:t>广州</w:t>
      </w:r>
      <w:r>
        <w:rPr>
          <w:color w:val="auto"/>
          <w:sz w:val="24"/>
          <w:highlight w:val="none"/>
        </w:rPr>
        <w:t>知识城总体</w:t>
      </w:r>
      <w:r>
        <w:rPr>
          <w:rFonts w:hint="eastAsia"/>
          <w:color w:val="auto"/>
          <w:sz w:val="24"/>
          <w:highlight w:val="none"/>
        </w:rPr>
        <w:t>发展规划</w:t>
      </w:r>
      <w:r>
        <w:rPr>
          <w:color w:val="auto"/>
          <w:sz w:val="24"/>
          <w:highlight w:val="none"/>
        </w:rPr>
        <w:t>（20</w:t>
      </w:r>
      <w:r>
        <w:rPr>
          <w:rFonts w:hint="eastAsia"/>
          <w:color w:val="auto"/>
          <w:sz w:val="24"/>
          <w:highlight w:val="none"/>
        </w:rPr>
        <w:t>20</w:t>
      </w:r>
      <w:r>
        <w:rPr>
          <w:color w:val="auto"/>
          <w:sz w:val="24"/>
          <w:highlight w:val="none"/>
        </w:rPr>
        <w:t>-20</w:t>
      </w:r>
      <w:r>
        <w:rPr>
          <w:rFonts w:hint="eastAsia"/>
          <w:color w:val="auto"/>
          <w:sz w:val="24"/>
          <w:highlight w:val="none"/>
        </w:rPr>
        <w:t>35</w:t>
      </w:r>
      <w:r>
        <w:rPr>
          <w:color w:val="auto"/>
          <w:sz w:val="24"/>
          <w:highlight w:val="none"/>
        </w:rPr>
        <w:t>）》</w:t>
      </w:r>
    </w:p>
    <w:p>
      <w:pPr>
        <w:pStyle w:val="111"/>
        <w:numPr>
          <w:ilvl w:val="0"/>
          <w:numId w:val="3"/>
        </w:numPr>
        <w:spacing w:line="360" w:lineRule="auto"/>
        <w:ind w:firstLineChars="0"/>
        <w:rPr>
          <w:rFonts w:ascii="Times New Roman" w:hAnsi="Times New Roman"/>
          <w:b/>
          <w:color w:val="auto"/>
          <w:sz w:val="24"/>
          <w:szCs w:val="24"/>
          <w:highlight w:val="none"/>
        </w:rPr>
      </w:pPr>
      <w:r>
        <w:rPr>
          <w:rFonts w:ascii="Times New Roman" w:hAnsi="Times New Roman"/>
          <w:b/>
          <w:color w:val="auto"/>
          <w:sz w:val="24"/>
          <w:szCs w:val="24"/>
          <w:highlight w:val="none"/>
        </w:rPr>
        <w:t>道路交通规划要求</w:t>
      </w:r>
    </w:p>
    <w:p>
      <w:pPr>
        <w:pStyle w:val="108"/>
        <w:spacing w:line="360" w:lineRule="auto"/>
        <w:ind w:firstLine="480" w:firstLineChars="200"/>
        <w:rPr>
          <w:rFonts w:ascii="Times New Roman" w:hAnsi="Times New Roman" w:cs="Times New Roman"/>
          <w:color w:val="auto"/>
          <w:highlight w:val="none"/>
        </w:rPr>
      </w:pPr>
      <w:r>
        <w:rPr>
          <w:rFonts w:ascii="Times New Roman" w:hAnsi="Times New Roman" w:cs="Times New Roman"/>
          <w:snapToGrid w:val="0"/>
          <w:color w:val="auto"/>
          <w:highlight w:val="none"/>
        </w:rPr>
        <w:t>满足《中新广州知识城主城区控制性详细规划》</w:t>
      </w:r>
      <w:r>
        <w:rPr>
          <w:rFonts w:ascii="Times New Roman" w:hAnsi="Times New Roman" w:cs="Times New Roman"/>
          <w:color w:val="auto"/>
          <w:kern w:val="2"/>
          <w:highlight w:val="none"/>
        </w:rPr>
        <w:t>（2013）</w:t>
      </w:r>
      <w:r>
        <w:rPr>
          <w:rFonts w:ascii="Times New Roman" w:hAnsi="Times New Roman" w:cs="Times New Roman"/>
          <w:snapToGrid w:val="0"/>
          <w:color w:val="auto"/>
          <w:highlight w:val="none"/>
        </w:rPr>
        <w:t>要求。</w:t>
      </w:r>
    </w:p>
    <w:p>
      <w:pPr>
        <w:pStyle w:val="111"/>
        <w:numPr>
          <w:ilvl w:val="0"/>
          <w:numId w:val="3"/>
        </w:numPr>
        <w:spacing w:line="360" w:lineRule="auto"/>
        <w:ind w:firstLineChars="0"/>
        <w:rPr>
          <w:rFonts w:ascii="Times New Roman" w:hAnsi="Times New Roman"/>
          <w:b/>
          <w:color w:val="auto"/>
          <w:sz w:val="24"/>
          <w:szCs w:val="24"/>
          <w:highlight w:val="none"/>
        </w:rPr>
      </w:pPr>
      <w:r>
        <w:rPr>
          <w:rFonts w:ascii="Times New Roman" w:hAnsi="Times New Roman"/>
          <w:b/>
          <w:color w:val="auto"/>
          <w:sz w:val="24"/>
          <w:szCs w:val="24"/>
          <w:highlight w:val="none"/>
        </w:rPr>
        <w:t>公建配套要求</w:t>
      </w:r>
    </w:p>
    <w:p>
      <w:pPr>
        <w:pStyle w:val="129"/>
        <w:ind w:firstLine="480"/>
        <w:rPr>
          <w:rFonts w:ascii="Times New Roman" w:hAnsi="Times New Roman" w:cs="Times New Roman"/>
          <w:color w:val="auto"/>
          <w:highlight w:val="none"/>
        </w:rPr>
      </w:pPr>
      <w:r>
        <w:rPr>
          <w:rFonts w:ascii="Times New Roman" w:hAnsi="Times New Roman" w:cs="Times New Roman"/>
          <w:color w:val="auto"/>
          <w:highlight w:val="none"/>
        </w:rPr>
        <w:t>详见规划资料。</w:t>
      </w:r>
    </w:p>
    <w:p>
      <w:pPr>
        <w:pStyle w:val="111"/>
        <w:numPr>
          <w:ilvl w:val="0"/>
          <w:numId w:val="3"/>
        </w:numPr>
        <w:spacing w:line="360" w:lineRule="auto"/>
        <w:ind w:firstLineChars="0"/>
        <w:rPr>
          <w:rFonts w:ascii="Times New Roman" w:hAnsi="Times New Roman"/>
          <w:b/>
          <w:color w:val="auto"/>
          <w:sz w:val="24"/>
          <w:szCs w:val="24"/>
          <w:highlight w:val="none"/>
        </w:rPr>
      </w:pPr>
      <w:r>
        <w:rPr>
          <w:rFonts w:ascii="Times New Roman" w:hAnsi="Times New Roman"/>
          <w:b/>
          <w:color w:val="auto"/>
          <w:sz w:val="24"/>
          <w:szCs w:val="24"/>
          <w:highlight w:val="none"/>
        </w:rPr>
        <w:t>周边环境现状</w:t>
      </w:r>
    </w:p>
    <w:p>
      <w:pPr>
        <w:pStyle w:val="108"/>
        <w:spacing w:line="360" w:lineRule="auto"/>
        <w:ind w:firstLine="480" w:firstLineChars="200"/>
        <w:rPr>
          <w:rFonts w:ascii="Times New Roman" w:hAnsi="Times New Roman" w:cs="Times New Roman"/>
          <w:color w:val="auto"/>
          <w:highlight w:val="none"/>
        </w:rPr>
      </w:pPr>
      <w:r>
        <w:rPr>
          <w:rFonts w:ascii="Times New Roman" w:hAnsi="Times New Roman" w:cs="Times New Roman"/>
          <w:color w:val="auto"/>
          <w:highlight w:val="none"/>
        </w:rPr>
        <w:t>由投标人自行收集。</w:t>
      </w:r>
    </w:p>
    <w:p>
      <w:pPr>
        <w:pStyle w:val="111"/>
        <w:numPr>
          <w:ilvl w:val="0"/>
          <w:numId w:val="3"/>
        </w:numPr>
        <w:spacing w:line="360" w:lineRule="auto"/>
        <w:ind w:firstLineChars="0"/>
        <w:rPr>
          <w:rFonts w:ascii="Times New Roman" w:hAnsi="Times New Roman"/>
          <w:b/>
          <w:color w:val="auto"/>
          <w:sz w:val="24"/>
          <w:szCs w:val="24"/>
          <w:highlight w:val="none"/>
        </w:rPr>
      </w:pPr>
      <w:r>
        <w:rPr>
          <w:rFonts w:ascii="Times New Roman" w:hAnsi="Times New Roman"/>
          <w:b/>
          <w:color w:val="auto"/>
          <w:sz w:val="24"/>
          <w:szCs w:val="24"/>
          <w:highlight w:val="none"/>
        </w:rPr>
        <w:t>气候与地质条件</w:t>
      </w:r>
    </w:p>
    <w:p>
      <w:pPr>
        <w:pStyle w:val="129"/>
        <w:ind w:firstLine="480"/>
        <w:rPr>
          <w:rFonts w:ascii="Times New Roman" w:hAnsi="Times New Roman" w:cs="Times New Roman"/>
          <w:color w:val="auto"/>
          <w:highlight w:val="none"/>
        </w:rPr>
      </w:pPr>
      <w:r>
        <w:rPr>
          <w:rFonts w:ascii="Times New Roman" w:hAnsi="Times New Roman" w:cs="Times New Roman"/>
          <w:color w:val="auto"/>
          <w:highlight w:val="none"/>
        </w:rPr>
        <w:t>中新知识城处于北回归线南部，属南亚热带季风气候；年平均气温22</w:t>
      </w:r>
      <w:r>
        <w:rPr>
          <w:rFonts w:hint="eastAsia"/>
          <w:color w:val="auto"/>
          <w:highlight w:val="none"/>
        </w:rPr>
        <w:t>℃</w:t>
      </w:r>
      <w:r>
        <w:rPr>
          <w:rFonts w:ascii="Times New Roman" w:hAnsi="Times New Roman" w:cs="Times New Roman"/>
          <w:color w:val="auto"/>
          <w:highlight w:val="none"/>
        </w:rPr>
        <w:t>，年平均降雨量为1500-1700毫米，4-9月占降水量80.4％，4-6月以雷暴雨为主，7-9月以台风雨为多。知识城所在的黄埔区的降雨量处于平均偏少的范围，稍高于广州市区。开发区多年平均降雨量1685毫米。</w:t>
      </w:r>
    </w:p>
    <w:p>
      <w:pPr>
        <w:pStyle w:val="129"/>
        <w:ind w:firstLine="480"/>
        <w:rPr>
          <w:rFonts w:ascii="Times New Roman" w:hAnsi="Times New Roman" w:cs="Times New Roman"/>
          <w:color w:val="auto"/>
          <w:highlight w:val="none"/>
        </w:rPr>
      </w:pPr>
      <w:r>
        <w:rPr>
          <w:rFonts w:ascii="Times New Roman" w:hAnsi="Times New Roman" w:cs="Times New Roman"/>
          <w:color w:val="auto"/>
          <w:highlight w:val="none"/>
        </w:rPr>
        <w:t>全年风向以北风为多，次为东南风、东风；春季以东南风及北风为主，夏季东南风占多，秋季盛行北、东风，冬季以北风为主，静风频率占全年33％，日平均风速1.9米/秒，夏、秋之间年均入侵台风2.4次。年日照1895小时，年总辐射量(Q)10.56 万卡/平方公里。</w:t>
      </w:r>
    </w:p>
    <w:p>
      <w:pPr>
        <w:pStyle w:val="111"/>
        <w:numPr>
          <w:ilvl w:val="0"/>
          <w:numId w:val="3"/>
        </w:numPr>
        <w:spacing w:line="360" w:lineRule="auto"/>
        <w:ind w:firstLineChars="0"/>
        <w:rPr>
          <w:rFonts w:ascii="Times New Roman" w:hAnsi="Times New Roman"/>
          <w:b/>
          <w:color w:val="auto"/>
          <w:sz w:val="24"/>
          <w:szCs w:val="24"/>
          <w:highlight w:val="none"/>
        </w:rPr>
      </w:pPr>
      <w:r>
        <w:rPr>
          <w:rFonts w:ascii="Times New Roman" w:hAnsi="Times New Roman"/>
          <w:b/>
          <w:color w:val="auto"/>
          <w:sz w:val="24"/>
          <w:szCs w:val="24"/>
          <w:highlight w:val="none"/>
        </w:rPr>
        <w:t>技术标准及规模</w:t>
      </w:r>
    </w:p>
    <w:p>
      <w:pPr>
        <w:pStyle w:val="129"/>
        <w:ind w:firstLine="480"/>
        <w:rPr>
          <w:rFonts w:ascii="Times New Roman" w:hAnsi="Times New Roman" w:cs="Times New Roman"/>
          <w:color w:val="auto"/>
          <w:highlight w:val="none"/>
        </w:rPr>
      </w:pPr>
      <w:r>
        <w:rPr>
          <w:rFonts w:ascii="Times New Roman" w:hAnsi="Times New Roman" w:cs="Times New Roman"/>
          <w:color w:val="auto"/>
          <w:highlight w:val="none"/>
        </w:rPr>
        <w:t>知识城科教创新园区中部道路完善工程位于中新广州知识城南部，是知识城科教创新组团中的重要组成部分。本工程共含六条道路，规模如下</w:t>
      </w:r>
      <w:r>
        <w:rPr>
          <w:rFonts w:hint="eastAsia" w:ascii="Times New Roman" w:hAnsi="Times New Roman" w:cs="Times New Roman"/>
          <w:color w:val="auto"/>
          <w:highlight w:val="none"/>
        </w:rPr>
        <w:t>：</w:t>
      </w:r>
    </w:p>
    <w:p>
      <w:pPr>
        <w:pStyle w:val="129"/>
        <w:ind w:firstLine="480"/>
        <w:rPr>
          <w:rFonts w:ascii="Times New Roman" w:hAnsi="Times New Roman" w:cs="Times New Roman"/>
          <w:color w:val="auto"/>
          <w:highlight w:val="none"/>
        </w:rPr>
      </w:pPr>
      <w:r>
        <w:rPr>
          <w:rFonts w:ascii="Times New Roman" w:hAnsi="Times New Roman" w:cs="Times New Roman"/>
          <w:color w:val="auto"/>
          <w:highlight w:val="none"/>
        </w:rPr>
        <w:t>筑梦一纵路呈南北走向，北起科教二路，向南止于西电北路，城市支路，设计速度30km/h，道路红线宽度15m，双向两车道，全长约0.29km。</w:t>
      </w:r>
    </w:p>
    <w:p>
      <w:pPr>
        <w:pStyle w:val="129"/>
        <w:ind w:firstLine="480"/>
        <w:rPr>
          <w:rFonts w:ascii="Times New Roman" w:hAnsi="Times New Roman" w:cs="Times New Roman"/>
          <w:color w:val="auto"/>
          <w:highlight w:val="none"/>
        </w:rPr>
      </w:pPr>
      <w:r>
        <w:rPr>
          <w:rFonts w:ascii="Times New Roman" w:hAnsi="Times New Roman" w:cs="Times New Roman"/>
          <w:color w:val="auto"/>
          <w:highlight w:val="none"/>
        </w:rPr>
        <w:t>西电北路呈东西走向，西起筑梦三路，向东止于筑梦一路，城市支路，设计速度40km/h，道路红线宽度20m，双向两车道，全长约0.74km。</w:t>
      </w:r>
    </w:p>
    <w:p>
      <w:pPr>
        <w:pStyle w:val="129"/>
        <w:ind w:firstLine="480"/>
        <w:rPr>
          <w:rFonts w:ascii="Times New Roman" w:hAnsi="Times New Roman" w:cs="Times New Roman"/>
          <w:color w:val="auto"/>
          <w:highlight w:val="none"/>
        </w:rPr>
      </w:pPr>
      <w:r>
        <w:rPr>
          <w:rFonts w:ascii="Times New Roman" w:hAnsi="Times New Roman" w:cs="Times New Roman"/>
          <w:color w:val="auto"/>
          <w:highlight w:val="none"/>
        </w:rPr>
        <w:t>筑梦二路呈南北走向，北起西电北路，向南止于科教一路，城市支路，设计速度40km/h，道路红线宽度20m，双向两车道，全长约0.18km。</w:t>
      </w:r>
    </w:p>
    <w:p>
      <w:pPr>
        <w:pStyle w:val="129"/>
        <w:ind w:firstLine="480"/>
        <w:rPr>
          <w:rFonts w:ascii="Times New Roman" w:hAnsi="Times New Roman" w:cs="Times New Roman"/>
          <w:color w:val="auto"/>
          <w:highlight w:val="none"/>
        </w:rPr>
      </w:pPr>
      <w:r>
        <w:rPr>
          <w:rFonts w:ascii="Times New Roman" w:hAnsi="Times New Roman" w:cs="Times New Roman"/>
          <w:color w:val="auto"/>
          <w:highlight w:val="none"/>
        </w:rPr>
        <w:t>科教一路呈东西走向，东起改革大道，西至筑梦一路，城市支路，设计速度40km/h，道路红线宽度20m，双向两车道，全长约0.46km。</w:t>
      </w:r>
    </w:p>
    <w:p>
      <w:pPr>
        <w:pStyle w:val="129"/>
        <w:ind w:firstLine="480"/>
        <w:rPr>
          <w:rFonts w:ascii="Times New Roman" w:hAnsi="Times New Roman" w:cs="Times New Roman"/>
          <w:color w:val="auto"/>
          <w:highlight w:val="none"/>
        </w:rPr>
      </w:pPr>
      <w:r>
        <w:rPr>
          <w:rFonts w:ascii="Times New Roman" w:hAnsi="Times New Roman" w:cs="Times New Roman"/>
          <w:color w:val="auto"/>
          <w:highlight w:val="none"/>
        </w:rPr>
        <w:t>气象西路呈南北走向，北起科教二路，向南止于气象南路，城市支路，设计速度30km/h，道路红线宽度20m，双向两车道，全长约0.13km。</w:t>
      </w:r>
    </w:p>
    <w:p>
      <w:pPr>
        <w:pStyle w:val="129"/>
        <w:ind w:firstLine="480"/>
        <w:rPr>
          <w:rFonts w:ascii="Times New Roman" w:hAnsi="Times New Roman" w:cs="Times New Roman"/>
          <w:color w:val="auto"/>
          <w:highlight w:val="none"/>
        </w:rPr>
      </w:pPr>
      <w:r>
        <w:rPr>
          <w:rFonts w:ascii="Times New Roman" w:hAnsi="Times New Roman" w:cs="Times New Roman"/>
          <w:color w:val="auto"/>
          <w:highlight w:val="none"/>
        </w:rPr>
        <w:t>气象南路呈东西走向，西起改革大道，向东止于筑梦一路，城市支路，设计速度30km/h，道路红线宽度20m，双向两车道，全长约0.39km。</w:t>
      </w:r>
    </w:p>
    <w:p>
      <w:pPr>
        <w:pStyle w:val="129"/>
        <w:ind w:firstLine="480"/>
        <w:rPr>
          <w:rFonts w:ascii="Times New Roman" w:hAnsi="Times New Roman" w:cs="Times New Roman"/>
          <w:color w:val="auto"/>
          <w:highlight w:val="none"/>
        </w:rPr>
      </w:pPr>
      <w:r>
        <w:rPr>
          <w:rFonts w:hint="eastAsia" w:ascii="Times New Roman" w:hAnsi="Times New Roman" w:cs="Times New Roman"/>
          <w:color w:val="auto"/>
          <w:highlight w:val="none"/>
        </w:rPr>
        <w:t>总投资为15066.99万元</w:t>
      </w:r>
      <w:r>
        <w:rPr>
          <w:rFonts w:ascii="Times New Roman" w:hAnsi="Times New Roman" w:cs="Times New Roman"/>
          <w:color w:val="auto"/>
          <w:highlight w:val="none"/>
        </w:rPr>
        <w:t>，其中工程费用</w:t>
      </w:r>
      <w:r>
        <w:rPr>
          <w:rFonts w:hint="eastAsia" w:ascii="Times New Roman" w:hAnsi="Times New Roman" w:cs="Times New Roman"/>
          <w:color w:val="auto"/>
          <w:highlight w:val="none"/>
        </w:rPr>
        <w:t>12651.60万元</w:t>
      </w:r>
      <w:r>
        <w:rPr>
          <w:rFonts w:ascii="Times New Roman" w:hAnsi="Times New Roman" w:cs="Times New Roman"/>
          <w:color w:val="auto"/>
          <w:highlight w:val="none"/>
        </w:rPr>
        <w:t>，工程</w:t>
      </w:r>
      <w:r>
        <w:rPr>
          <w:rFonts w:hint="eastAsia" w:ascii="Times New Roman" w:hAnsi="Times New Roman" w:cs="Times New Roman"/>
          <w:color w:val="auto"/>
          <w:highlight w:val="none"/>
        </w:rPr>
        <w:t>建设</w:t>
      </w:r>
      <w:r>
        <w:rPr>
          <w:rFonts w:ascii="Times New Roman" w:hAnsi="Times New Roman" w:cs="Times New Roman"/>
          <w:color w:val="auto"/>
          <w:highlight w:val="none"/>
        </w:rPr>
        <w:t>其他费用</w:t>
      </w:r>
      <w:r>
        <w:rPr>
          <w:rFonts w:hint="eastAsia" w:ascii="Times New Roman" w:hAnsi="Times New Roman" w:cs="Times New Roman"/>
          <w:color w:val="auto"/>
          <w:highlight w:val="none"/>
        </w:rPr>
        <w:t>1299.32万元。</w:t>
      </w:r>
    </w:p>
    <w:p>
      <w:pPr>
        <w:pStyle w:val="111"/>
        <w:numPr>
          <w:ilvl w:val="0"/>
          <w:numId w:val="3"/>
        </w:numPr>
        <w:spacing w:line="360" w:lineRule="auto"/>
        <w:ind w:firstLineChars="0"/>
        <w:rPr>
          <w:rFonts w:ascii="Times New Roman" w:hAnsi="Times New Roman"/>
          <w:b/>
          <w:color w:val="auto"/>
          <w:sz w:val="24"/>
          <w:szCs w:val="24"/>
          <w:highlight w:val="none"/>
        </w:rPr>
      </w:pPr>
      <w:r>
        <w:rPr>
          <w:rFonts w:ascii="Times New Roman" w:hAnsi="Times New Roman"/>
          <w:b/>
          <w:color w:val="auto"/>
          <w:sz w:val="24"/>
          <w:szCs w:val="24"/>
          <w:highlight w:val="none"/>
        </w:rPr>
        <w:t>建设内容</w:t>
      </w:r>
    </w:p>
    <w:p>
      <w:pPr>
        <w:pStyle w:val="129"/>
        <w:ind w:firstLine="480"/>
        <w:rPr>
          <w:rFonts w:ascii="Times New Roman" w:hAnsi="Times New Roman" w:cs="Times New Roman"/>
          <w:color w:val="auto"/>
          <w:highlight w:val="none"/>
        </w:rPr>
      </w:pPr>
      <w:r>
        <w:rPr>
          <w:rFonts w:ascii="Times New Roman" w:hAnsi="Times New Roman" w:cs="Times New Roman"/>
          <w:color w:val="auto"/>
          <w:highlight w:val="none"/>
        </w:rPr>
        <w:t>道路工程、交通工程、给排水工程、照明工程、电力管沟工程、绿化工程及海绵城市。</w:t>
      </w:r>
    </w:p>
    <w:p>
      <w:pPr>
        <w:rPr>
          <w:color w:val="auto"/>
          <w:highlight w:val="none"/>
        </w:rPr>
      </w:pPr>
    </w:p>
    <w:p>
      <w:pPr>
        <w:pStyle w:val="5"/>
        <w:rPr>
          <w:color w:val="auto"/>
          <w:highlight w:val="none"/>
        </w:rPr>
      </w:pPr>
    </w:p>
    <w:sectPr>
      <w:pgSz w:w="11905" w:h="16838"/>
      <w:pgMar w:top="1440" w:right="1304" w:bottom="1440" w:left="1304"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CG Times (W1)">
    <w:altName w:val="Times New Roman"/>
    <w:panose1 w:val="00000000000000000000"/>
    <w:charset w:val="00"/>
    <w:family w:val="roman"/>
    <w:pitch w:val="default"/>
    <w:sig w:usb0="00000000" w:usb1="00000000" w:usb2="00000000" w:usb3="00000000" w:csb0="00000001" w:csb1="00000000"/>
  </w:font>
  <w:font w:name="华文细黑...">
    <w:altName w:val="黑体"/>
    <w:panose1 w:val="00000000000000000000"/>
    <w:charset w:val="86"/>
    <w:family w:val="swiss"/>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26"/>
                            <w:rPr>
                              <w:rStyle w:val="42"/>
                            </w:rPr>
                          </w:pPr>
                          <w:r>
                            <w:fldChar w:fldCharType="begin"/>
                          </w:r>
                          <w:r>
                            <w:rPr>
                              <w:rStyle w:val="42"/>
                            </w:rPr>
                            <w:instrText xml:space="preserve">PAGE  </w:instrText>
                          </w:r>
                          <w:r>
                            <w:fldChar w:fldCharType="separate"/>
                          </w:r>
                          <w:r>
                            <w:rPr>
                              <w:rStyle w:val="42"/>
                            </w:rPr>
                            <w:t>34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&#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Nrcvw0PAgAAEgQAAA4AAAAAAAAAAQAgAAAA&#10;HwEAAGRycy9lMm9Eb2MueG1sUEsFBgAAAAAGAAYAWQEAAKAFAAAAAA==&#10;">
              <v:fill on="f" focussize="0,0"/>
              <v:stroke on="f"/>
              <v:imagedata o:title=""/>
              <o:lock v:ext="edit" aspectratio="f"/>
              <v:textbox inset="0mm,0mm,0mm,0mm" style="mso-fit-shape-to-text:t;">
                <w:txbxContent>
                  <w:p>
                    <w:pPr>
                      <w:pStyle w:val="26"/>
                      <w:rPr>
                        <w:rStyle w:val="42"/>
                      </w:rPr>
                    </w:pPr>
                    <w:r>
                      <w:fldChar w:fldCharType="begin"/>
                    </w:r>
                    <w:r>
                      <w:rPr>
                        <w:rStyle w:val="42"/>
                      </w:rPr>
                      <w:instrText xml:space="preserve">PAGE  </w:instrText>
                    </w:r>
                    <w:r>
                      <w:fldChar w:fldCharType="separate"/>
                    </w:r>
                    <w:r>
                      <w:rPr>
                        <w:rStyle w:val="42"/>
                      </w:rP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2"/>
      </w:rPr>
    </w:pPr>
    <w:r>
      <w:fldChar w:fldCharType="begin"/>
    </w:r>
    <w:r>
      <w:rPr>
        <w:rStyle w:val="42"/>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68</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2"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26"/>
                            <w:rPr>
                              <w:rStyle w:val="42"/>
                            </w:rPr>
                          </w:pPr>
                          <w:r>
                            <w:rPr>
                              <w:rFonts w:hint="eastAsia"/>
                            </w:rPr>
                            <w:fldChar w:fldCharType="begin"/>
                          </w:r>
                          <w:r>
                            <w:rPr>
                              <w:rStyle w:val="42"/>
                              <w:rFonts w:hint="eastAsia"/>
                            </w:rPr>
                            <w:instrText xml:space="preserve"> PAGE  \* MERGEFORMAT </w:instrText>
                          </w:r>
                          <w:r>
                            <w:rPr>
                              <w:rFonts w:hint="eastAsia"/>
                            </w:rPr>
                            <w:fldChar w:fldCharType="separate"/>
                          </w:r>
                          <w:r>
                            <w:rPr>
                              <w:rStyle w:val="42"/>
                            </w:rPr>
                            <w:t>87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&#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VBtecQ4CAAASBAAADgAAAAAAAAABACAAAAAf&#10;AQAAZHJzL2Uyb0RvYy54bWxQSwUGAAAAAAYABgBZAQAAnwUAAAAA&#10;">
              <v:fill on="f" focussize="0,0"/>
              <v:stroke on="f"/>
              <v:imagedata o:title=""/>
              <o:lock v:ext="edit" aspectratio="f"/>
              <v:textbox inset="0mm,0mm,0mm,0mm" style="mso-fit-shape-to-text:t;">
                <w:txbxContent>
                  <w:p>
                    <w:pPr>
                      <w:pStyle w:val="26"/>
                      <w:rPr>
                        <w:rStyle w:val="42"/>
                      </w:rPr>
                    </w:pPr>
                    <w:r>
                      <w:rPr>
                        <w:rFonts w:hint="eastAsia"/>
                      </w:rPr>
                      <w:fldChar w:fldCharType="begin"/>
                    </w:r>
                    <w:r>
                      <w:rPr>
                        <w:rStyle w:val="42"/>
                        <w:rFonts w:hint="eastAsia"/>
                      </w:rPr>
                      <w:instrText xml:space="preserve"> PAGE  \* MERGEFORMAT </w:instrText>
                    </w:r>
                    <w:r>
                      <w:rPr>
                        <w:rFonts w:hint="eastAsia"/>
                      </w:rPr>
                      <w:fldChar w:fldCharType="separate"/>
                    </w:r>
                    <w:r>
                      <w:rPr>
                        <w:rStyle w:val="42"/>
                      </w:rPr>
                      <w:t>87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2"/>
      </w:rPr>
    </w:pPr>
    <w:r>
      <w:fldChar w:fldCharType="begin"/>
    </w:r>
    <w:r>
      <w:rPr>
        <w:rStyle w:val="42"/>
      </w:rPr>
      <w:instrText xml:space="preserve">PAGE  </w:instrText>
    </w:r>
    <w:r>
      <w:fldChar w:fldCharType="separate"/>
    </w:r>
    <w:r>
      <w:rPr>
        <w:rStyle w:val="42"/>
      </w:rPr>
      <w:t>90</w:t>
    </w:r>
    <w:r>
      <w:fldChar w:fldCharType="end"/>
    </w:r>
  </w:p>
  <w:p>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26"/>
                          </w:pPr>
                          <w:r>
                            <w:fldChar w:fldCharType="begin"/>
                          </w:r>
                          <w:r>
                            <w:instrText xml:space="preserve"> PAGE  \* MERGEFORMAT </w:instrText>
                          </w:r>
                          <w:r>
                            <w:fldChar w:fldCharType="separate"/>
                          </w:r>
                          <w:r>
                            <w:t>95</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CTekB8CAIAABMEAAAOAAAAAAAAAAEAIAAAAB4BAABkcnMv&#10;ZTJvRG9jLnhtbFBLBQYAAAAABgAGAFkBAACYBQ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95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9A5268"/>
    <w:multiLevelType w:val="multilevel"/>
    <w:tmpl w:val="339A526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793FD2"/>
    <w:multiLevelType w:val="multilevel"/>
    <w:tmpl w:val="5D793FD2"/>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suff w:val="space"/>
      <w:lvlText w:val="%2.%3.%4"/>
      <w:lvlJc w:val="left"/>
      <w:pPr>
        <w:ind w:left="284" w:hanging="284"/>
      </w:pPr>
      <w:rPr>
        <w:rFonts w:hint="eastAsia" w:ascii="宋体" w:eastAsia="宋体"/>
        <w:b/>
        <w:i w:val="0"/>
        <w:sz w:val="28"/>
      </w:rPr>
    </w:lvl>
    <w:lvl w:ilvl="4" w:tentative="0">
      <w:start w:val="1"/>
      <w:numFmt w:val="decimal"/>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pStyle w:val="9"/>
      <w:suff w:val="space"/>
      <w:lvlText w:val="1.1.1.1.1.%6%5"/>
      <w:lvlJc w:val="left"/>
      <w:pPr>
        <w:ind w:left="0" w:firstLine="0"/>
      </w:pPr>
      <w:rPr>
        <w:rFonts w:hint="eastAsia" w:ascii="宋体" w:eastAsia="宋体"/>
        <w:b/>
        <w:i w:val="0"/>
        <w:sz w:val="28"/>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4F6497A"/>
    <w:multiLevelType w:val="multilevel"/>
    <w:tmpl w:val="74F6497A"/>
    <w:lvl w:ilvl="0" w:tentative="0">
      <w:start w:val="1"/>
      <w:numFmt w:val="decimal"/>
      <w:lvlText w:val="%1、"/>
      <w:lvlJc w:val="left"/>
      <w:pPr>
        <w:tabs>
          <w:tab w:val="left" w:pos="315"/>
        </w:tabs>
        <w:ind w:left="315" w:hanging="31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ZjM1YzYzYzVmN2YzZTI3NzBlODYyNjIwODEyZTIifQ=="/>
  </w:docVars>
  <w:rsids>
    <w:rsidRoot w:val="00AB2A2D"/>
    <w:rsid w:val="000279AE"/>
    <w:rsid w:val="000746D7"/>
    <w:rsid w:val="000A43DE"/>
    <w:rsid w:val="000B2247"/>
    <w:rsid w:val="00124E19"/>
    <w:rsid w:val="001F283B"/>
    <w:rsid w:val="00225541"/>
    <w:rsid w:val="00310AF8"/>
    <w:rsid w:val="00371999"/>
    <w:rsid w:val="003A0297"/>
    <w:rsid w:val="0040579F"/>
    <w:rsid w:val="00416D43"/>
    <w:rsid w:val="004243CF"/>
    <w:rsid w:val="004317B3"/>
    <w:rsid w:val="00493A48"/>
    <w:rsid w:val="00537E82"/>
    <w:rsid w:val="00540492"/>
    <w:rsid w:val="00545029"/>
    <w:rsid w:val="005E69E9"/>
    <w:rsid w:val="00650E3B"/>
    <w:rsid w:val="00690ADC"/>
    <w:rsid w:val="0069522F"/>
    <w:rsid w:val="006E612C"/>
    <w:rsid w:val="00795096"/>
    <w:rsid w:val="007C4D55"/>
    <w:rsid w:val="007C4E76"/>
    <w:rsid w:val="008C7C20"/>
    <w:rsid w:val="0095713B"/>
    <w:rsid w:val="00994DCB"/>
    <w:rsid w:val="009B71C8"/>
    <w:rsid w:val="009D6515"/>
    <w:rsid w:val="009F4FEC"/>
    <w:rsid w:val="00A017B8"/>
    <w:rsid w:val="00AB2A2D"/>
    <w:rsid w:val="00AC692B"/>
    <w:rsid w:val="00AC756C"/>
    <w:rsid w:val="00B01364"/>
    <w:rsid w:val="00B336B9"/>
    <w:rsid w:val="00B518D7"/>
    <w:rsid w:val="00B52F43"/>
    <w:rsid w:val="00B602EA"/>
    <w:rsid w:val="00B83512"/>
    <w:rsid w:val="00B938BF"/>
    <w:rsid w:val="00BA5C6E"/>
    <w:rsid w:val="00C04B34"/>
    <w:rsid w:val="00C06C89"/>
    <w:rsid w:val="00C224A7"/>
    <w:rsid w:val="00C610D3"/>
    <w:rsid w:val="00C65B30"/>
    <w:rsid w:val="00C72E8B"/>
    <w:rsid w:val="00D224D8"/>
    <w:rsid w:val="00E858E0"/>
    <w:rsid w:val="00EC6AEA"/>
    <w:rsid w:val="00F500F3"/>
    <w:rsid w:val="00F8381E"/>
    <w:rsid w:val="00FB1299"/>
    <w:rsid w:val="01734258"/>
    <w:rsid w:val="02021F4A"/>
    <w:rsid w:val="038F71C9"/>
    <w:rsid w:val="06845F0E"/>
    <w:rsid w:val="0769178F"/>
    <w:rsid w:val="08722274"/>
    <w:rsid w:val="0A911232"/>
    <w:rsid w:val="0AD72FA6"/>
    <w:rsid w:val="0AEF1084"/>
    <w:rsid w:val="0B557976"/>
    <w:rsid w:val="0C6A2E1D"/>
    <w:rsid w:val="102A2753"/>
    <w:rsid w:val="11061FD5"/>
    <w:rsid w:val="12CB3E81"/>
    <w:rsid w:val="14027086"/>
    <w:rsid w:val="148201FA"/>
    <w:rsid w:val="156A2FC1"/>
    <w:rsid w:val="16CB6039"/>
    <w:rsid w:val="170527AB"/>
    <w:rsid w:val="17EE7537"/>
    <w:rsid w:val="1ABA2925"/>
    <w:rsid w:val="1BD66F64"/>
    <w:rsid w:val="1CA87C1B"/>
    <w:rsid w:val="1E110AAE"/>
    <w:rsid w:val="1E116055"/>
    <w:rsid w:val="1E7A020F"/>
    <w:rsid w:val="1F3D3AAF"/>
    <w:rsid w:val="2091701F"/>
    <w:rsid w:val="20B417C5"/>
    <w:rsid w:val="221B02D5"/>
    <w:rsid w:val="227F1498"/>
    <w:rsid w:val="235016E3"/>
    <w:rsid w:val="245176E7"/>
    <w:rsid w:val="24B87EC7"/>
    <w:rsid w:val="25151576"/>
    <w:rsid w:val="2641144C"/>
    <w:rsid w:val="273E179D"/>
    <w:rsid w:val="285F2AF4"/>
    <w:rsid w:val="293C3A21"/>
    <w:rsid w:val="29960B24"/>
    <w:rsid w:val="29D074DC"/>
    <w:rsid w:val="2AA07CCA"/>
    <w:rsid w:val="2ADB2237"/>
    <w:rsid w:val="2B193B02"/>
    <w:rsid w:val="2BCE0A13"/>
    <w:rsid w:val="2C215F3B"/>
    <w:rsid w:val="2F7F373D"/>
    <w:rsid w:val="342A03BF"/>
    <w:rsid w:val="36001467"/>
    <w:rsid w:val="362C191E"/>
    <w:rsid w:val="36767924"/>
    <w:rsid w:val="36D8072A"/>
    <w:rsid w:val="376950C8"/>
    <w:rsid w:val="37C0597A"/>
    <w:rsid w:val="38C41E96"/>
    <w:rsid w:val="399D008F"/>
    <w:rsid w:val="39D92954"/>
    <w:rsid w:val="39F97566"/>
    <w:rsid w:val="3AE04FAA"/>
    <w:rsid w:val="3C1D7584"/>
    <w:rsid w:val="3C553A91"/>
    <w:rsid w:val="3E874F20"/>
    <w:rsid w:val="3EBB5854"/>
    <w:rsid w:val="41B56A41"/>
    <w:rsid w:val="41BC1194"/>
    <w:rsid w:val="42830D00"/>
    <w:rsid w:val="43DC3562"/>
    <w:rsid w:val="443D58AA"/>
    <w:rsid w:val="44634A97"/>
    <w:rsid w:val="447C26A4"/>
    <w:rsid w:val="463F153D"/>
    <w:rsid w:val="472440B6"/>
    <w:rsid w:val="475840F1"/>
    <w:rsid w:val="47BD1350"/>
    <w:rsid w:val="4A790E84"/>
    <w:rsid w:val="4B2C6AD7"/>
    <w:rsid w:val="4CD4068E"/>
    <w:rsid w:val="4D1B6D47"/>
    <w:rsid w:val="4DE25F43"/>
    <w:rsid w:val="4EAB29EF"/>
    <w:rsid w:val="537901C6"/>
    <w:rsid w:val="53831DD2"/>
    <w:rsid w:val="563869CF"/>
    <w:rsid w:val="57521214"/>
    <w:rsid w:val="59605E6B"/>
    <w:rsid w:val="5BCA1E42"/>
    <w:rsid w:val="5BFB00CD"/>
    <w:rsid w:val="5EF47FD0"/>
    <w:rsid w:val="5F3774D8"/>
    <w:rsid w:val="5F9E379A"/>
    <w:rsid w:val="609F196E"/>
    <w:rsid w:val="65A2617E"/>
    <w:rsid w:val="67333B53"/>
    <w:rsid w:val="6843593D"/>
    <w:rsid w:val="68B21F9E"/>
    <w:rsid w:val="69467750"/>
    <w:rsid w:val="699C07C0"/>
    <w:rsid w:val="69DA3AC4"/>
    <w:rsid w:val="6A0F4C62"/>
    <w:rsid w:val="6B821E2A"/>
    <w:rsid w:val="6C280AE7"/>
    <w:rsid w:val="6DDE45A0"/>
    <w:rsid w:val="6DE970EA"/>
    <w:rsid w:val="6E7F6B90"/>
    <w:rsid w:val="6F2F56B4"/>
    <w:rsid w:val="6F4C52E4"/>
    <w:rsid w:val="6F5F38E2"/>
    <w:rsid w:val="6F907D5A"/>
    <w:rsid w:val="6FF32AD8"/>
    <w:rsid w:val="7028537A"/>
    <w:rsid w:val="70C3121E"/>
    <w:rsid w:val="71154B90"/>
    <w:rsid w:val="72263AB3"/>
    <w:rsid w:val="73C75547"/>
    <w:rsid w:val="74A25C62"/>
    <w:rsid w:val="74DA0B15"/>
    <w:rsid w:val="76D718DF"/>
    <w:rsid w:val="7866291A"/>
    <w:rsid w:val="7A596686"/>
    <w:rsid w:val="7A7F6CFE"/>
    <w:rsid w:val="7B0E2FA3"/>
    <w:rsid w:val="7B7D638D"/>
    <w:rsid w:val="7E33146D"/>
    <w:rsid w:val="7F6E0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0"/>
    <w:pPr>
      <w:keepNext/>
      <w:keepLines/>
      <w:spacing w:line="578" w:lineRule="auto"/>
      <w:jc w:val="center"/>
      <w:outlineLvl w:val="0"/>
    </w:pPr>
    <w:rPr>
      <w:rFonts w:ascii="宋体" w:hAnsi="宋体"/>
      <w:b/>
      <w:bCs/>
      <w:kern w:val="44"/>
      <w:sz w:val="36"/>
      <w:szCs w:val="36"/>
    </w:rPr>
  </w:style>
  <w:style w:type="paragraph" w:styleId="4">
    <w:name w:val="heading 2"/>
    <w:basedOn w:val="1"/>
    <w:next w:val="5"/>
    <w:link w:val="49"/>
    <w:qFormat/>
    <w:uiPriority w:val="0"/>
    <w:pPr>
      <w:keepNext/>
      <w:keepLines/>
      <w:spacing w:line="360" w:lineRule="auto"/>
      <w:ind w:left="454" w:hanging="454"/>
      <w:jc w:val="left"/>
      <w:outlineLvl w:val="1"/>
    </w:pPr>
    <w:rPr>
      <w:rFonts w:ascii="宋体" w:hAnsi="宋体"/>
      <w:b/>
      <w:color w:val="000000"/>
      <w:kern w:val="0"/>
      <w:sz w:val="24"/>
    </w:rPr>
  </w:style>
  <w:style w:type="paragraph" w:styleId="6">
    <w:name w:val="heading 3"/>
    <w:basedOn w:val="1"/>
    <w:next w:val="1"/>
    <w:link w:val="50"/>
    <w:qFormat/>
    <w:uiPriority w:val="0"/>
    <w:pPr>
      <w:keepNext/>
      <w:keepLines/>
      <w:spacing w:before="260" w:after="260" w:line="416" w:lineRule="auto"/>
      <w:outlineLvl w:val="2"/>
    </w:pPr>
    <w:rPr>
      <w:b/>
      <w:bCs/>
      <w:kern w:val="0"/>
      <w:sz w:val="32"/>
      <w:szCs w:val="32"/>
    </w:rPr>
  </w:style>
  <w:style w:type="paragraph" w:styleId="7">
    <w:name w:val="heading 4"/>
    <w:basedOn w:val="6"/>
    <w:next w:val="5"/>
    <w:link w:val="51"/>
    <w:qFormat/>
    <w:uiPriority w:val="0"/>
    <w:pPr>
      <w:spacing w:beforeLines="50" w:afterLines="50" w:line="360" w:lineRule="auto"/>
      <w:ind w:left="284" w:hanging="284"/>
      <w:jc w:val="center"/>
      <w:outlineLvl w:val="3"/>
    </w:pPr>
    <w:rPr>
      <w:rFonts w:ascii="Arial" w:hAnsi="Arial"/>
      <w:color w:val="000000"/>
      <w:sz w:val="24"/>
      <w:szCs w:val="24"/>
    </w:rPr>
  </w:style>
  <w:style w:type="paragraph" w:styleId="8">
    <w:name w:val="heading 5"/>
    <w:basedOn w:val="7"/>
    <w:next w:val="5"/>
    <w:link w:val="52"/>
    <w:qFormat/>
    <w:uiPriority w:val="0"/>
    <w:pPr>
      <w:spacing w:line="240" w:lineRule="exact"/>
      <w:outlineLvl w:val="4"/>
    </w:pPr>
  </w:style>
  <w:style w:type="paragraph" w:styleId="9">
    <w:name w:val="heading 6"/>
    <w:basedOn w:val="1"/>
    <w:next w:val="1"/>
    <w:link w:val="53"/>
    <w:qFormat/>
    <w:uiPriority w:val="0"/>
    <w:pPr>
      <w:keepNext/>
      <w:keepLines/>
      <w:numPr>
        <w:ilvl w:val="5"/>
        <w:numId w:val="1"/>
      </w:numPr>
      <w:tabs>
        <w:tab w:val="left" w:pos="1152"/>
      </w:tabs>
      <w:spacing w:before="240" w:after="64" w:line="320" w:lineRule="auto"/>
      <w:outlineLvl w:val="5"/>
    </w:pPr>
    <w:rPr>
      <w:rFonts w:ascii="Arial" w:hAnsi="Arial" w:eastAsia="黑体"/>
      <w:b/>
      <w:bCs/>
      <w:sz w:val="24"/>
    </w:rPr>
  </w:style>
  <w:style w:type="paragraph" w:styleId="10">
    <w:name w:val="heading 7"/>
    <w:basedOn w:val="1"/>
    <w:next w:val="5"/>
    <w:link w:val="54"/>
    <w:qFormat/>
    <w:uiPriority w:val="0"/>
    <w:pPr>
      <w:keepNext/>
      <w:keepLines/>
      <w:spacing w:before="240" w:after="64" w:line="320" w:lineRule="auto"/>
      <w:outlineLvl w:val="6"/>
    </w:pPr>
    <w:rPr>
      <w:b/>
      <w:kern w:val="0"/>
      <w:sz w:val="24"/>
      <w:szCs w:val="20"/>
    </w:rPr>
  </w:style>
  <w:style w:type="paragraph" w:styleId="11">
    <w:name w:val="heading 8"/>
    <w:basedOn w:val="1"/>
    <w:next w:val="5"/>
    <w:link w:val="55"/>
    <w:qFormat/>
    <w:uiPriority w:val="0"/>
    <w:pPr>
      <w:keepNext/>
      <w:keepLines/>
      <w:spacing w:before="240" w:after="64" w:line="320" w:lineRule="auto"/>
      <w:outlineLvl w:val="7"/>
    </w:pPr>
    <w:rPr>
      <w:rFonts w:ascii="Arial" w:hAnsi="Arial" w:eastAsia="黑体"/>
      <w:kern w:val="0"/>
      <w:sz w:val="24"/>
      <w:szCs w:val="20"/>
    </w:rPr>
  </w:style>
  <w:style w:type="paragraph" w:styleId="12">
    <w:name w:val="heading 9"/>
    <w:basedOn w:val="1"/>
    <w:next w:val="5"/>
    <w:link w:val="56"/>
    <w:qFormat/>
    <w:uiPriority w:val="0"/>
    <w:pPr>
      <w:keepNext/>
      <w:keepLines/>
      <w:spacing w:before="240" w:after="64" w:line="320" w:lineRule="auto"/>
      <w:outlineLvl w:val="8"/>
    </w:pPr>
    <w:rPr>
      <w:rFonts w:ascii="Arial" w:hAnsi="Arial" w:eastAsia="黑体"/>
      <w:kern w:val="0"/>
      <w:sz w:val="20"/>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5">
    <w:name w:val="Normal Indent"/>
    <w:basedOn w:val="1"/>
    <w:qFormat/>
    <w:uiPriority w:val="0"/>
    <w:pPr>
      <w:ind w:firstLine="420" w:firstLineChars="200"/>
    </w:pPr>
  </w:style>
  <w:style w:type="paragraph" w:styleId="13">
    <w:name w:val="toc 7"/>
    <w:basedOn w:val="1"/>
    <w:next w:val="1"/>
    <w:qFormat/>
    <w:uiPriority w:val="0"/>
    <w:pPr>
      <w:ind w:left="2520" w:leftChars="1200"/>
    </w:pPr>
  </w:style>
  <w:style w:type="paragraph" w:styleId="14">
    <w:name w:val="Document Map"/>
    <w:basedOn w:val="1"/>
    <w:link w:val="57"/>
    <w:qFormat/>
    <w:uiPriority w:val="0"/>
    <w:pPr>
      <w:shd w:val="clear" w:color="auto" w:fill="000080"/>
    </w:pPr>
    <w:rPr>
      <w:kern w:val="0"/>
      <w:sz w:val="20"/>
      <w:shd w:val="clear" w:color="auto" w:fill="000080"/>
    </w:rPr>
  </w:style>
  <w:style w:type="paragraph" w:styleId="15">
    <w:name w:val="annotation text"/>
    <w:basedOn w:val="1"/>
    <w:link w:val="58"/>
    <w:qFormat/>
    <w:uiPriority w:val="0"/>
    <w:pPr>
      <w:jc w:val="left"/>
    </w:pPr>
    <w:rPr>
      <w:kern w:val="0"/>
      <w:sz w:val="20"/>
    </w:rPr>
  </w:style>
  <w:style w:type="paragraph" w:styleId="16">
    <w:name w:val="Body Text 3"/>
    <w:basedOn w:val="1"/>
    <w:link w:val="59"/>
    <w:qFormat/>
    <w:uiPriority w:val="0"/>
    <w:pPr>
      <w:adjustRightInd w:val="0"/>
      <w:snapToGrid w:val="0"/>
    </w:pPr>
    <w:rPr>
      <w:rFonts w:ascii="宋体" w:hAnsi="宋体"/>
      <w:color w:val="339966"/>
      <w:sz w:val="24"/>
    </w:rPr>
  </w:style>
  <w:style w:type="paragraph" w:styleId="17">
    <w:name w:val="Body Text"/>
    <w:basedOn w:val="1"/>
    <w:link w:val="60"/>
    <w:qFormat/>
    <w:uiPriority w:val="0"/>
    <w:pPr>
      <w:pBdr>
        <w:top w:val="single" w:color="auto" w:sz="4" w:space="1"/>
      </w:pBdr>
    </w:pPr>
    <w:rPr>
      <w:b/>
      <w:bCs/>
      <w:kern w:val="0"/>
      <w:sz w:val="20"/>
    </w:rPr>
  </w:style>
  <w:style w:type="paragraph" w:styleId="18">
    <w:name w:val="Body Text Indent"/>
    <w:basedOn w:val="1"/>
    <w:link w:val="61"/>
    <w:qFormat/>
    <w:uiPriority w:val="0"/>
    <w:pPr>
      <w:ind w:firstLine="600" w:firstLineChars="200"/>
    </w:pPr>
    <w:rPr>
      <w:rFonts w:ascii="宋体"/>
      <w:kern w:val="0"/>
      <w:sz w:val="30"/>
      <w:szCs w:val="20"/>
    </w:rPr>
  </w:style>
  <w:style w:type="paragraph" w:styleId="19">
    <w:name w:val="toc 5"/>
    <w:basedOn w:val="1"/>
    <w:next w:val="1"/>
    <w:qFormat/>
    <w:uiPriority w:val="0"/>
    <w:pPr>
      <w:ind w:left="1680" w:leftChars="800"/>
    </w:pPr>
  </w:style>
  <w:style w:type="paragraph" w:styleId="20">
    <w:name w:val="toc 3"/>
    <w:basedOn w:val="1"/>
    <w:next w:val="1"/>
    <w:qFormat/>
    <w:uiPriority w:val="0"/>
    <w:pPr>
      <w:ind w:left="840" w:leftChars="400"/>
    </w:pPr>
  </w:style>
  <w:style w:type="paragraph" w:styleId="21">
    <w:name w:val="Plain Text"/>
    <w:basedOn w:val="1"/>
    <w:link w:val="62"/>
    <w:qFormat/>
    <w:uiPriority w:val="0"/>
    <w:rPr>
      <w:rFonts w:ascii="宋体" w:hAnsi="Courier New"/>
      <w:kern w:val="0"/>
      <w:sz w:val="20"/>
      <w:szCs w:val="20"/>
    </w:rPr>
  </w:style>
  <w:style w:type="paragraph" w:styleId="22">
    <w:name w:val="toc 8"/>
    <w:basedOn w:val="1"/>
    <w:next w:val="1"/>
    <w:qFormat/>
    <w:uiPriority w:val="0"/>
    <w:pPr>
      <w:ind w:left="2940" w:leftChars="1400"/>
    </w:pPr>
  </w:style>
  <w:style w:type="paragraph" w:styleId="23">
    <w:name w:val="Date"/>
    <w:basedOn w:val="1"/>
    <w:next w:val="1"/>
    <w:link w:val="63"/>
    <w:qFormat/>
    <w:uiPriority w:val="0"/>
    <w:pPr>
      <w:ind w:left="100" w:leftChars="2500"/>
    </w:pPr>
    <w:rPr>
      <w:kern w:val="0"/>
      <w:sz w:val="20"/>
    </w:rPr>
  </w:style>
  <w:style w:type="paragraph" w:styleId="24">
    <w:name w:val="Body Text Indent 2"/>
    <w:basedOn w:val="1"/>
    <w:link w:val="64"/>
    <w:unhideWhenUsed/>
    <w:qFormat/>
    <w:uiPriority w:val="0"/>
    <w:pPr>
      <w:spacing w:after="120" w:line="480" w:lineRule="auto"/>
      <w:ind w:left="420" w:leftChars="200"/>
    </w:pPr>
    <w:rPr>
      <w:kern w:val="0"/>
      <w:sz w:val="20"/>
    </w:rPr>
  </w:style>
  <w:style w:type="paragraph" w:styleId="25">
    <w:name w:val="Balloon Text"/>
    <w:basedOn w:val="1"/>
    <w:link w:val="65"/>
    <w:qFormat/>
    <w:uiPriority w:val="0"/>
    <w:rPr>
      <w:kern w:val="0"/>
      <w:sz w:val="18"/>
      <w:szCs w:val="18"/>
    </w:rPr>
  </w:style>
  <w:style w:type="paragraph" w:styleId="26">
    <w:name w:val="footer"/>
    <w:basedOn w:val="1"/>
    <w:link w:val="47"/>
    <w:unhideWhenUsed/>
    <w:qFormat/>
    <w:uiPriority w:val="0"/>
    <w:pPr>
      <w:tabs>
        <w:tab w:val="center" w:pos="4153"/>
        <w:tab w:val="right" w:pos="8306"/>
      </w:tabs>
      <w:snapToGrid w:val="0"/>
      <w:jc w:val="left"/>
    </w:pPr>
    <w:rPr>
      <w:rFonts w:ascii="Calibri" w:hAnsi="Calibri"/>
      <w:kern w:val="0"/>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8">
    <w:name w:val="toc 1"/>
    <w:basedOn w:val="1"/>
    <w:next w:val="1"/>
    <w:qFormat/>
    <w:uiPriority w:val="39"/>
    <w:pPr>
      <w:adjustRightInd w:val="0"/>
      <w:snapToGrid w:val="0"/>
    </w:pPr>
    <w:rPr>
      <w:rFonts w:ascii="宋体" w:hAnsi="宋体"/>
      <w:b/>
      <w:bCs/>
      <w:kern w:val="0"/>
      <w:sz w:val="28"/>
      <w:szCs w:val="20"/>
    </w:rPr>
  </w:style>
  <w:style w:type="paragraph" w:styleId="29">
    <w:name w:val="toc 4"/>
    <w:basedOn w:val="1"/>
    <w:next w:val="1"/>
    <w:qFormat/>
    <w:uiPriority w:val="0"/>
    <w:pPr>
      <w:ind w:left="1260" w:leftChars="600"/>
    </w:pPr>
  </w:style>
  <w:style w:type="paragraph" w:styleId="30">
    <w:name w:val="toc 6"/>
    <w:basedOn w:val="1"/>
    <w:next w:val="1"/>
    <w:qFormat/>
    <w:uiPriority w:val="0"/>
    <w:pPr>
      <w:ind w:left="2100" w:leftChars="1000"/>
    </w:pPr>
  </w:style>
  <w:style w:type="paragraph" w:styleId="31">
    <w:name w:val="Body Text Indent 3"/>
    <w:basedOn w:val="1"/>
    <w:link w:val="67"/>
    <w:qFormat/>
    <w:uiPriority w:val="0"/>
    <w:pPr>
      <w:spacing w:after="120"/>
      <w:ind w:left="420" w:leftChars="200"/>
    </w:pPr>
    <w:rPr>
      <w:sz w:val="16"/>
      <w:szCs w:val="16"/>
    </w:rPr>
  </w:style>
  <w:style w:type="paragraph" w:styleId="32">
    <w:name w:val="toc 9"/>
    <w:basedOn w:val="1"/>
    <w:next w:val="1"/>
    <w:qFormat/>
    <w:uiPriority w:val="0"/>
    <w:pPr>
      <w:ind w:left="3360" w:leftChars="1600"/>
    </w:pPr>
  </w:style>
  <w:style w:type="paragraph" w:styleId="33">
    <w:name w:val="Body Text 2"/>
    <w:basedOn w:val="1"/>
    <w:link w:val="68"/>
    <w:qFormat/>
    <w:uiPriority w:val="0"/>
    <w:pPr>
      <w:adjustRightInd w:val="0"/>
      <w:snapToGrid w:val="0"/>
    </w:pPr>
    <w:rPr>
      <w:rFonts w:ascii="宋体" w:hAnsi="宋体"/>
      <w:sz w:val="24"/>
    </w:rPr>
  </w:style>
  <w:style w:type="paragraph" w:styleId="34">
    <w:name w:val="HTML Preformatted"/>
    <w:basedOn w:val="1"/>
    <w:link w:val="6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paragraph" w:styleId="36">
    <w:name w:val="Title"/>
    <w:basedOn w:val="1"/>
    <w:link w:val="70"/>
    <w:qFormat/>
    <w:uiPriority w:val="0"/>
    <w:pPr>
      <w:spacing w:before="240" w:after="60"/>
      <w:jc w:val="center"/>
      <w:outlineLvl w:val="0"/>
    </w:pPr>
    <w:rPr>
      <w:rFonts w:ascii="Arial" w:hAnsi="Arial"/>
      <w:b/>
      <w:bCs/>
      <w:kern w:val="0"/>
      <w:sz w:val="32"/>
      <w:szCs w:val="32"/>
    </w:rPr>
  </w:style>
  <w:style w:type="paragraph" w:styleId="37">
    <w:name w:val="annotation subject"/>
    <w:basedOn w:val="15"/>
    <w:next w:val="15"/>
    <w:link w:val="71"/>
    <w:qFormat/>
    <w:uiPriority w:val="0"/>
    <w:rPr>
      <w:b/>
      <w:bCs/>
    </w:rPr>
  </w:style>
  <w:style w:type="table" w:styleId="39">
    <w:name w:val="Table Grid"/>
    <w:basedOn w:val="38"/>
    <w:qFormat/>
    <w:uiPriority w:val="59"/>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Emphasis"/>
    <w:qFormat/>
    <w:uiPriority w:val="0"/>
    <w:rPr>
      <w:i/>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character" w:customStyle="1" w:styleId="47">
    <w:name w:val="页脚 Char"/>
    <w:basedOn w:val="40"/>
    <w:link w:val="26"/>
    <w:qFormat/>
    <w:uiPriority w:val="0"/>
    <w:rPr>
      <w:rFonts w:ascii="Calibri" w:hAnsi="Calibri" w:eastAsia="宋体" w:cs="Times New Roman"/>
      <w:kern w:val="0"/>
      <w:sz w:val="18"/>
      <w:szCs w:val="18"/>
    </w:rPr>
  </w:style>
  <w:style w:type="character" w:customStyle="1" w:styleId="48">
    <w:name w:val="标题 1 Char"/>
    <w:link w:val="3"/>
    <w:qFormat/>
    <w:uiPriority w:val="0"/>
    <w:rPr>
      <w:rFonts w:ascii="宋体" w:hAnsi="宋体" w:eastAsia="宋体" w:cs="Times New Roman"/>
      <w:b/>
      <w:bCs/>
      <w:kern w:val="44"/>
      <w:sz w:val="36"/>
      <w:szCs w:val="36"/>
    </w:rPr>
  </w:style>
  <w:style w:type="character" w:customStyle="1" w:styleId="49">
    <w:name w:val="标题 2 Char"/>
    <w:basedOn w:val="40"/>
    <w:link w:val="4"/>
    <w:qFormat/>
    <w:uiPriority w:val="0"/>
    <w:rPr>
      <w:rFonts w:ascii="宋体" w:hAnsi="宋体" w:eastAsia="宋体" w:cs="Times New Roman"/>
      <w:b/>
      <w:color w:val="000000"/>
      <w:kern w:val="0"/>
      <w:sz w:val="24"/>
      <w:szCs w:val="24"/>
    </w:rPr>
  </w:style>
  <w:style w:type="character" w:customStyle="1" w:styleId="50">
    <w:name w:val="标题 3 Char"/>
    <w:basedOn w:val="40"/>
    <w:link w:val="6"/>
    <w:qFormat/>
    <w:uiPriority w:val="0"/>
    <w:rPr>
      <w:rFonts w:ascii="Times New Roman" w:hAnsi="Times New Roman" w:eastAsia="宋体" w:cs="Times New Roman"/>
      <w:b/>
      <w:bCs/>
      <w:kern w:val="0"/>
      <w:sz w:val="32"/>
      <w:szCs w:val="32"/>
    </w:rPr>
  </w:style>
  <w:style w:type="character" w:customStyle="1" w:styleId="51">
    <w:name w:val="标题 4 Char"/>
    <w:basedOn w:val="40"/>
    <w:link w:val="7"/>
    <w:qFormat/>
    <w:uiPriority w:val="0"/>
    <w:rPr>
      <w:rFonts w:ascii="Arial" w:hAnsi="Arial" w:eastAsia="宋体" w:cs="Times New Roman"/>
      <w:b/>
      <w:bCs/>
      <w:color w:val="000000"/>
      <w:kern w:val="0"/>
      <w:sz w:val="24"/>
      <w:szCs w:val="24"/>
    </w:rPr>
  </w:style>
  <w:style w:type="character" w:customStyle="1" w:styleId="52">
    <w:name w:val="标题 5 Char"/>
    <w:basedOn w:val="40"/>
    <w:link w:val="8"/>
    <w:qFormat/>
    <w:uiPriority w:val="0"/>
    <w:rPr>
      <w:rFonts w:ascii="Arial" w:hAnsi="Arial" w:eastAsia="宋体" w:cs="Times New Roman"/>
      <w:b/>
      <w:bCs/>
      <w:color w:val="000000"/>
      <w:kern w:val="0"/>
      <w:sz w:val="24"/>
      <w:szCs w:val="24"/>
    </w:rPr>
  </w:style>
  <w:style w:type="character" w:customStyle="1" w:styleId="53">
    <w:name w:val="标题 6 Char"/>
    <w:basedOn w:val="40"/>
    <w:link w:val="9"/>
    <w:qFormat/>
    <w:uiPriority w:val="0"/>
    <w:rPr>
      <w:rFonts w:ascii="Arial" w:hAnsi="Arial" w:eastAsia="黑体" w:cs="Times New Roman"/>
      <w:b/>
      <w:bCs/>
      <w:sz w:val="24"/>
      <w:szCs w:val="24"/>
    </w:rPr>
  </w:style>
  <w:style w:type="character" w:customStyle="1" w:styleId="54">
    <w:name w:val="标题 7 Char"/>
    <w:basedOn w:val="40"/>
    <w:link w:val="10"/>
    <w:qFormat/>
    <w:uiPriority w:val="0"/>
    <w:rPr>
      <w:rFonts w:ascii="Times New Roman" w:hAnsi="Times New Roman" w:eastAsia="宋体" w:cs="Times New Roman"/>
      <w:b/>
      <w:kern w:val="0"/>
      <w:sz w:val="24"/>
      <w:szCs w:val="20"/>
    </w:rPr>
  </w:style>
  <w:style w:type="character" w:customStyle="1" w:styleId="55">
    <w:name w:val="标题 8 Char"/>
    <w:basedOn w:val="40"/>
    <w:link w:val="11"/>
    <w:qFormat/>
    <w:uiPriority w:val="0"/>
    <w:rPr>
      <w:rFonts w:ascii="Arial" w:hAnsi="Arial" w:eastAsia="黑体" w:cs="Times New Roman"/>
      <w:kern w:val="0"/>
      <w:sz w:val="24"/>
      <w:szCs w:val="20"/>
    </w:rPr>
  </w:style>
  <w:style w:type="character" w:customStyle="1" w:styleId="56">
    <w:name w:val="标题 9 Char"/>
    <w:basedOn w:val="40"/>
    <w:link w:val="12"/>
    <w:qFormat/>
    <w:uiPriority w:val="0"/>
    <w:rPr>
      <w:rFonts w:ascii="Arial" w:hAnsi="Arial" w:eastAsia="黑体" w:cs="Times New Roman"/>
      <w:kern w:val="0"/>
      <w:sz w:val="20"/>
      <w:szCs w:val="20"/>
    </w:rPr>
  </w:style>
  <w:style w:type="character" w:customStyle="1" w:styleId="57">
    <w:name w:val="文档结构图 Char"/>
    <w:basedOn w:val="40"/>
    <w:link w:val="14"/>
    <w:qFormat/>
    <w:uiPriority w:val="0"/>
    <w:rPr>
      <w:rFonts w:ascii="Times New Roman" w:hAnsi="Times New Roman" w:eastAsia="宋体" w:cs="Times New Roman"/>
      <w:kern w:val="0"/>
      <w:sz w:val="20"/>
      <w:szCs w:val="24"/>
      <w:shd w:val="clear" w:color="auto" w:fill="000080"/>
    </w:rPr>
  </w:style>
  <w:style w:type="character" w:customStyle="1" w:styleId="58">
    <w:name w:val="批注文字 Char"/>
    <w:basedOn w:val="40"/>
    <w:link w:val="15"/>
    <w:qFormat/>
    <w:uiPriority w:val="0"/>
    <w:rPr>
      <w:rFonts w:ascii="Times New Roman" w:hAnsi="Times New Roman" w:eastAsia="宋体" w:cs="Times New Roman"/>
      <w:kern w:val="0"/>
      <w:sz w:val="20"/>
      <w:szCs w:val="24"/>
    </w:rPr>
  </w:style>
  <w:style w:type="character" w:customStyle="1" w:styleId="59">
    <w:name w:val="正文文本 3 Char"/>
    <w:basedOn w:val="40"/>
    <w:link w:val="16"/>
    <w:qFormat/>
    <w:uiPriority w:val="0"/>
    <w:rPr>
      <w:rFonts w:ascii="宋体" w:hAnsi="宋体" w:eastAsia="宋体" w:cs="Times New Roman"/>
      <w:color w:val="339966"/>
      <w:sz w:val="24"/>
      <w:szCs w:val="24"/>
    </w:rPr>
  </w:style>
  <w:style w:type="character" w:customStyle="1" w:styleId="60">
    <w:name w:val="正文文本 Char"/>
    <w:basedOn w:val="40"/>
    <w:link w:val="17"/>
    <w:qFormat/>
    <w:uiPriority w:val="0"/>
    <w:rPr>
      <w:rFonts w:ascii="Times New Roman" w:hAnsi="Times New Roman" w:eastAsia="宋体" w:cs="Times New Roman"/>
      <w:b/>
      <w:bCs/>
      <w:kern w:val="0"/>
      <w:sz w:val="20"/>
      <w:szCs w:val="24"/>
    </w:rPr>
  </w:style>
  <w:style w:type="character" w:customStyle="1" w:styleId="61">
    <w:name w:val="正文文本缩进 Char"/>
    <w:basedOn w:val="40"/>
    <w:link w:val="18"/>
    <w:qFormat/>
    <w:uiPriority w:val="0"/>
    <w:rPr>
      <w:rFonts w:ascii="宋体" w:hAnsi="Times New Roman" w:eastAsia="宋体" w:cs="Times New Roman"/>
      <w:kern w:val="0"/>
      <w:sz w:val="30"/>
      <w:szCs w:val="20"/>
    </w:rPr>
  </w:style>
  <w:style w:type="character" w:customStyle="1" w:styleId="62">
    <w:name w:val="纯文本 Char"/>
    <w:basedOn w:val="40"/>
    <w:link w:val="21"/>
    <w:qFormat/>
    <w:uiPriority w:val="0"/>
    <w:rPr>
      <w:rFonts w:ascii="宋体" w:hAnsi="Courier New" w:eastAsia="宋体" w:cs="Times New Roman"/>
      <w:kern w:val="0"/>
      <w:sz w:val="20"/>
      <w:szCs w:val="20"/>
    </w:rPr>
  </w:style>
  <w:style w:type="character" w:customStyle="1" w:styleId="63">
    <w:name w:val="日期 Char"/>
    <w:link w:val="23"/>
    <w:qFormat/>
    <w:uiPriority w:val="0"/>
    <w:rPr>
      <w:rFonts w:ascii="Times New Roman" w:hAnsi="Times New Roman" w:eastAsia="宋体" w:cs="Times New Roman"/>
      <w:kern w:val="0"/>
      <w:sz w:val="20"/>
      <w:szCs w:val="24"/>
    </w:rPr>
  </w:style>
  <w:style w:type="character" w:customStyle="1" w:styleId="64">
    <w:name w:val="正文文本缩进 2 Char"/>
    <w:basedOn w:val="40"/>
    <w:link w:val="24"/>
    <w:qFormat/>
    <w:uiPriority w:val="0"/>
    <w:rPr>
      <w:rFonts w:ascii="Times New Roman" w:hAnsi="Times New Roman" w:eastAsia="宋体" w:cs="Times New Roman"/>
      <w:kern w:val="0"/>
      <w:sz w:val="20"/>
      <w:szCs w:val="24"/>
    </w:rPr>
  </w:style>
  <w:style w:type="character" w:customStyle="1" w:styleId="65">
    <w:name w:val="批注框文本 Char"/>
    <w:basedOn w:val="40"/>
    <w:link w:val="25"/>
    <w:qFormat/>
    <w:uiPriority w:val="0"/>
    <w:rPr>
      <w:rFonts w:ascii="Times New Roman" w:hAnsi="Times New Roman" w:eastAsia="宋体" w:cs="Times New Roman"/>
      <w:kern w:val="0"/>
      <w:sz w:val="18"/>
      <w:szCs w:val="18"/>
    </w:rPr>
  </w:style>
  <w:style w:type="character" w:customStyle="1" w:styleId="66">
    <w:name w:val="页眉 Char"/>
    <w:basedOn w:val="40"/>
    <w:link w:val="27"/>
    <w:qFormat/>
    <w:uiPriority w:val="0"/>
    <w:rPr>
      <w:rFonts w:ascii="Calibri" w:hAnsi="Calibri" w:eastAsia="宋体" w:cs="Times New Roman"/>
      <w:kern w:val="0"/>
      <w:sz w:val="18"/>
      <w:szCs w:val="18"/>
    </w:rPr>
  </w:style>
  <w:style w:type="character" w:customStyle="1" w:styleId="67">
    <w:name w:val="正文文本缩进 3 Char"/>
    <w:basedOn w:val="40"/>
    <w:link w:val="31"/>
    <w:qFormat/>
    <w:uiPriority w:val="0"/>
    <w:rPr>
      <w:rFonts w:ascii="Times New Roman" w:hAnsi="Times New Roman" w:eastAsia="宋体" w:cs="Times New Roman"/>
      <w:sz w:val="16"/>
      <w:szCs w:val="16"/>
    </w:rPr>
  </w:style>
  <w:style w:type="character" w:customStyle="1" w:styleId="68">
    <w:name w:val="正文文本 2 Char"/>
    <w:basedOn w:val="40"/>
    <w:link w:val="33"/>
    <w:qFormat/>
    <w:uiPriority w:val="0"/>
    <w:rPr>
      <w:rFonts w:ascii="宋体" w:hAnsi="宋体" w:eastAsia="宋体" w:cs="Times New Roman"/>
      <w:sz w:val="24"/>
      <w:szCs w:val="24"/>
    </w:rPr>
  </w:style>
  <w:style w:type="character" w:customStyle="1" w:styleId="69">
    <w:name w:val="HTML 预设格式 Char"/>
    <w:basedOn w:val="40"/>
    <w:link w:val="34"/>
    <w:qFormat/>
    <w:uiPriority w:val="0"/>
    <w:rPr>
      <w:rFonts w:ascii="宋体" w:hAnsi="宋体" w:eastAsia="宋体" w:cs="Times New Roman"/>
      <w:sz w:val="24"/>
      <w:szCs w:val="24"/>
    </w:rPr>
  </w:style>
  <w:style w:type="character" w:customStyle="1" w:styleId="70">
    <w:name w:val="标题 Char"/>
    <w:basedOn w:val="40"/>
    <w:link w:val="36"/>
    <w:qFormat/>
    <w:uiPriority w:val="0"/>
    <w:rPr>
      <w:rFonts w:ascii="Arial" w:hAnsi="Arial" w:eastAsia="宋体" w:cs="Times New Roman"/>
      <w:b/>
      <w:bCs/>
      <w:kern w:val="0"/>
      <w:sz w:val="32"/>
      <w:szCs w:val="32"/>
    </w:rPr>
  </w:style>
  <w:style w:type="character" w:customStyle="1" w:styleId="71">
    <w:name w:val="批注主题 Char"/>
    <w:basedOn w:val="58"/>
    <w:link w:val="37"/>
    <w:qFormat/>
    <w:uiPriority w:val="0"/>
    <w:rPr>
      <w:rFonts w:ascii="Times New Roman" w:hAnsi="Times New Roman" w:eastAsia="宋体" w:cs="Times New Roman"/>
      <w:b/>
      <w:bCs/>
      <w:kern w:val="0"/>
      <w:sz w:val="20"/>
      <w:szCs w:val="24"/>
    </w:rPr>
  </w:style>
  <w:style w:type="character" w:customStyle="1" w:styleId="72">
    <w:name w:val="标题 1 字符"/>
    <w:basedOn w:val="40"/>
    <w:qFormat/>
    <w:uiPriority w:val="0"/>
    <w:rPr>
      <w:rFonts w:ascii="Times New Roman" w:hAnsi="Times New Roman" w:eastAsia="宋体" w:cs="Times New Roman"/>
      <w:b/>
      <w:bCs/>
      <w:kern w:val="44"/>
      <w:sz w:val="44"/>
      <w:szCs w:val="44"/>
    </w:rPr>
  </w:style>
  <w:style w:type="character" w:customStyle="1" w:styleId="73">
    <w:name w:val="日期 字符"/>
    <w:basedOn w:val="40"/>
    <w:qFormat/>
    <w:uiPriority w:val="0"/>
    <w:rPr>
      <w:rFonts w:ascii="Times New Roman" w:hAnsi="Times New Roman" w:eastAsia="宋体" w:cs="Times New Roman"/>
      <w:szCs w:val="24"/>
    </w:rPr>
  </w:style>
  <w:style w:type="character" w:customStyle="1" w:styleId="74">
    <w:name w:val="正文文本 Char1"/>
    <w:semiHidden/>
    <w:qFormat/>
    <w:uiPriority w:val="99"/>
    <w:rPr>
      <w:rFonts w:ascii="Times New Roman" w:hAnsi="Times New Roman" w:eastAsia="宋体" w:cs="Times New Roman"/>
      <w:szCs w:val="24"/>
    </w:rPr>
  </w:style>
  <w:style w:type="character" w:customStyle="1" w:styleId="75">
    <w:name w:val="纯文本 Char1"/>
    <w:qFormat/>
    <w:uiPriority w:val="99"/>
    <w:rPr>
      <w:rFonts w:ascii="宋体" w:hAnsi="Courier New" w:eastAsia="宋体" w:cs="Courier New"/>
      <w:szCs w:val="21"/>
    </w:rPr>
  </w:style>
  <w:style w:type="character" w:customStyle="1" w:styleId="76">
    <w:name w:val="Char Char4"/>
    <w:qFormat/>
    <w:uiPriority w:val="0"/>
    <w:rPr>
      <w:rFonts w:ascii="Times New Roman" w:hAnsi="Times New Roman" w:eastAsia="宋体" w:cs="Times New Roman"/>
      <w:szCs w:val="24"/>
    </w:rPr>
  </w:style>
  <w:style w:type="character" w:customStyle="1" w:styleId="77">
    <w:name w:val="表格文字 Char Char"/>
    <w:link w:val="78"/>
    <w:qFormat/>
    <w:uiPriority w:val="0"/>
    <w:rPr>
      <w:rFonts w:ascii="仿宋_GB2312" w:hAnsi="宋体" w:cs="宋体"/>
      <w:szCs w:val="24"/>
    </w:rPr>
  </w:style>
  <w:style w:type="paragraph" w:customStyle="1" w:styleId="78">
    <w:name w:val="表格文字"/>
    <w:basedOn w:val="1"/>
    <w:link w:val="77"/>
    <w:qFormat/>
    <w:uiPriority w:val="0"/>
    <w:pPr>
      <w:jc w:val="center"/>
    </w:pPr>
    <w:rPr>
      <w:rFonts w:ascii="仿宋_GB2312" w:hAnsi="宋体" w:eastAsia="等线" w:cs="宋体"/>
    </w:rPr>
  </w:style>
  <w:style w:type="character" w:customStyle="1" w:styleId="79">
    <w:name w:val="正文文本 2 Char1"/>
    <w:qFormat/>
    <w:uiPriority w:val="0"/>
    <w:rPr>
      <w:rFonts w:ascii="Times New Roman" w:hAnsi="Times New Roman" w:eastAsia="宋体" w:cs="Times New Roman"/>
      <w:szCs w:val="24"/>
    </w:rPr>
  </w:style>
  <w:style w:type="character" w:customStyle="1" w:styleId="80">
    <w:name w:val="文档结构图 Char1"/>
    <w:qFormat/>
    <w:uiPriority w:val="99"/>
    <w:rPr>
      <w:rFonts w:ascii="宋体" w:hAnsi="Times New Roman" w:eastAsia="宋体" w:cs="Times New Roman"/>
      <w:sz w:val="18"/>
      <w:szCs w:val="18"/>
    </w:rPr>
  </w:style>
  <w:style w:type="character" w:customStyle="1" w:styleId="81">
    <w:name w:val="正文文本 3 Char2"/>
    <w:qFormat/>
    <w:uiPriority w:val="0"/>
    <w:rPr>
      <w:kern w:val="2"/>
      <w:sz w:val="16"/>
      <w:szCs w:val="16"/>
    </w:rPr>
  </w:style>
  <w:style w:type="character" w:customStyle="1" w:styleId="82">
    <w:name w:val="批注文字 Char1"/>
    <w:semiHidden/>
    <w:qFormat/>
    <w:uiPriority w:val="99"/>
    <w:rPr>
      <w:rFonts w:ascii="Times New Roman" w:hAnsi="Times New Roman" w:eastAsia="宋体" w:cs="Times New Roman"/>
      <w:szCs w:val="24"/>
    </w:rPr>
  </w:style>
  <w:style w:type="character" w:customStyle="1" w:styleId="83">
    <w:name w:val="HTML 预设格式 Char1"/>
    <w:qFormat/>
    <w:uiPriority w:val="0"/>
    <w:rPr>
      <w:rFonts w:ascii="Courier New" w:hAnsi="Courier New" w:cs="Courier New"/>
      <w:kern w:val="2"/>
    </w:rPr>
  </w:style>
  <w:style w:type="character" w:customStyle="1" w:styleId="84">
    <w:name w:val="正文文本缩进 Char1"/>
    <w:qFormat/>
    <w:uiPriority w:val="99"/>
    <w:rPr>
      <w:rFonts w:ascii="Times New Roman" w:hAnsi="Times New Roman" w:eastAsia="宋体" w:cs="Times New Roman"/>
      <w:szCs w:val="24"/>
    </w:rPr>
  </w:style>
  <w:style w:type="character" w:customStyle="1" w:styleId="85">
    <w:name w:val="正文文本 2 Char2"/>
    <w:qFormat/>
    <w:uiPriority w:val="0"/>
    <w:rPr>
      <w:kern w:val="2"/>
      <w:sz w:val="21"/>
      <w:szCs w:val="24"/>
    </w:rPr>
  </w:style>
  <w:style w:type="character" w:customStyle="1" w:styleId="86">
    <w:name w:val="批注框文本 Char1"/>
    <w:semiHidden/>
    <w:qFormat/>
    <w:uiPriority w:val="99"/>
    <w:rPr>
      <w:rFonts w:ascii="Times New Roman" w:hAnsi="Times New Roman" w:eastAsia="宋体" w:cs="Times New Roman"/>
      <w:sz w:val="18"/>
      <w:szCs w:val="18"/>
    </w:rPr>
  </w:style>
  <w:style w:type="character" w:customStyle="1" w:styleId="87">
    <w:name w:val="日期 Char1"/>
    <w:qFormat/>
    <w:uiPriority w:val="99"/>
    <w:rPr>
      <w:rFonts w:ascii="Times New Roman" w:hAnsi="Times New Roman" w:eastAsia="宋体" w:cs="Times New Roman"/>
      <w:szCs w:val="24"/>
    </w:rPr>
  </w:style>
  <w:style w:type="character" w:customStyle="1" w:styleId="88">
    <w:name w:val="样式 宋体 小四"/>
    <w:qFormat/>
    <w:uiPriority w:val="0"/>
    <w:rPr>
      <w:rFonts w:ascii="宋体" w:hAnsi="宋体" w:eastAsia="宋体"/>
      <w:sz w:val="21"/>
    </w:rPr>
  </w:style>
  <w:style w:type="character" w:customStyle="1" w:styleId="89">
    <w:name w:val="正文文本 3 Char1"/>
    <w:qFormat/>
    <w:uiPriority w:val="0"/>
    <w:rPr>
      <w:rFonts w:ascii="Times New Roman" w:hAnsi="Times New Roman" w:eastAsia="宋体" w:cs="Times New Roman"/>
      <w:sz w:val="16"/>
      <w:szCs w:val="16"/>
    </w:rPr>
  </w:style>
  <w:style w:type="character" w:customStyle="1" w:styleId="90">
    <w:name w:val="标题 Char1"/>
    <w:qFormat/>
    <w:uiPriority w:val="10"/>
    <w:rPr>
      <w:rFonts w:ascii="Cambria" w:hAnsi="Cambria" w:eastAsia="宋体" w:cs="Times New Roman"/>
      <w:b/>
      <w:bCs/>
      <w:sz w:val="32"/>
      <w:szCs w:val="32"/>
    </w:rPr>
  </w:style>
  <w:style w:type="character" w:customStyle="1" w:styleId="91">
    <w:name w:val="纯文本 字符1"/>
    <w:qFormat/>
    <w:uiPriority w:val="0"/>
    <w:rPr>
      <w:rFonts w:ascii="宋体" w:hAnsi="Courier New" w:cs="Courier New"/>
      <w:kern w:val="2"/>
      <w:sz w:val="21"/>
      <w:szCs w:val="21"/>
    </w:rPr>
  </w:style>
  <w:style w:type="character" w:customStyle="1" w:styleId="92">
    <w:name w:val="批注主题 Char1"/>
    <w:semiHidden/>
    <w:qFormat/>
    <w:uiPriority w:val="99"/>
    <w:rPr>
      <w:rFonts w:ascii="Times New Roman" w:hAnsi="Times New Roman" w:eastAsia="宋体" w:cs="Times New Roman"/>
      <w:b/>
      <w:bCs/>
      <w:szCs w:val="24"/>
    </w:rPr>
  </w:style>
  <w:style w:type="character" w:customStyle="1" w:styleId="93">
    <w:name w:val="样式 首行缩进:  0.85 厘米 Char Char"/>
    <w:link w:val="94"/>
    <w:qFormat/>
    <w:uiPriority w:val="0"/>
    <w:rPr>
      <w:sz w:val="24"/>
    </w:rPr>
  </w:style>
  <w:style w:type="paragraph" w:customStyle="1" w:styleId="94">
    <w:name w:val="样式 首行缩进:  0.85 厘米"/>
    <w:basedOn w:val="1"/>
    <w:link w:val="93"/>
    <w:qFormat/>
    <w:uiPriority w:val="0"/>
    <w:pPr>
      <w:spacing w:line="360" w:lineRule="auto"/>
      <w:ind w:firstLine="482"/>
    </w:pPr>
    <w:rPr>
      <w:rFonts w:ascii="等线" w:hAnsi="等线" w:eastAsia="等线"/>
      <w:sz w:val="24"/>
      <w:szCs w:val="22"/>
    </w:rPr>
  </w:style>
  <w:style w:type="paragraph" w:customStyle="1" w:styleId="95">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页眉 New"/>
    <w:basedOn w:val="97"/>
    <w:qFormat/>
    <w:uiPriority w:val="0"/>
    <w:pPr>
      <w:pBdr>
        <w:bottom w:val="single" w:color="auto" w:sz="6" w:space="1"/>
      </w:pBdr>
      <w:tabs>
        <w:tab w:val="center" w:pos="4153"/>
        <w:tab w:val="right" w:pos="8306"/>
      </w:tabs>
      <w:snapToGrid w:val="0"/>
      <w:jc w:val="center"/>
    </w:pPr>
    <w:rPr>
      <w:sz w:val="18"/>
      <w:szCs w:val="18"/>
    </w:rPr>
  </w:style>
  <w:style w:type="paragraph" w:customStyle="1" w:styleId="97">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正文缩进 New"/>
    <w:basedOn w:val="99"/>
    <w:qFormat/>
    <w:uiPriority w:val="0"/>
    <w:pPr>
      <w:ind w:firstLine="420"/>
    </w:pPr>
    <w:rPr>
      <w:rFonts w:ascii="Times New Roman" w:hAnsi="Times New Roman" w:cs="Times New Roman"/>
      <w:snapToGrid/>
      <w:kern w:val="2"/>
      <w:szCs w:val="20"/>
    </w:rPr>
  </w:style>
  <w:style w:type="paragraph" w:customStyle="1" w:styleId="99">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100">
    <w:name w:val="正文文本缩进 New"/>
    <w:basedOn w:val="1"/>
    <w:qFormat/>
    <w:uiPriority w:val="0"/>
    <w:pPr>
      <w:spacing w:line="460" w:lineRule="exact"/>
      <w:ind w:left="1271" w:leftChars="269" w:hanging="706" w:hangingChars="294"/>
    </w:pPr>
    <w:rPr>
      <w:rFonts w:ascii="宋体" w:hAnsi="宋体"/>
      <w:sz w:val="24"/>
    </w:rPr>
  </w:style>
  <w:style w:type="paragraph" w:customStyle="1" w:styleId="101">
    <w:name w:val="Char Char Char Char"/>
    <w:basedOn w:val="1"/>
    <w:qFormat/>
    <w:uiPriority w:val="0"/>
  </w:style>
  <w:style w:type="paragraph" w:customStyle="1" w:styleId="102">
    <w:name w:val="正文 New New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103">
    <w:name w:val="正文 New New New New New New New New New New"/>
    <w:qFormat/>
    <w:uiPriority w:val="0"/>
    <w:pPr>
      <w:widowControl w:val="0"/>
      <w:jc w:val="both"/>
    </w:pPr>
    <w:rPr>
      <w:rFonts w:ascii="Calibri" w:hAnsi="Calibri" w:eastAsia="楷体_GB2312" w:cs="Times New Roman"/>
      <w:kern w:val="2"/>
      <w:sz w:val="21"/>
      <w:lang w:val="en-US" w:eastAsia="zh-CN" w:bidi="ar-SA"/>
    </w:rPr>
  </w:style>
  <w:style w:type="paragraph" w:customStyle="1" w:styleId="104">
    <w:name w:val="正文 New New New New New New New New New"/>
    <w:qFormat/>
    <w:uiPriority w:val="0"/>
    <w:pPr>
      <w:widowControl w:val="0"/>
      <w:jc w:val="both"/>
    </w:pPr>
    <w:rPr>
      <w:rFonts w:ascii="Calibri" w:hAnsi="Calibri" w:eastAsia="楷体_GB2312" w:cs="Times New Roman"/>
      <w:kern w:val="2"/>
      <w:sz w:val="21"/>
      <w:lang w:val="en-US" w:eastAsia="zh-CN" w:bidi="ar-SA"/>
    </w:rPr>
  </w:style>
  <w:style w:type="paragraph" w:customStyle="1" w:styleId="105">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6">
    <w:name w:val="正文 New New New"/>
    <w:qFormat/>
    <w:uiPriority w:val="0"/>
    <w:pPr>
      <w:widowControl w:val="0"/>
      <w:jc w:val="both"/>
    </w:pPr>
    <w:rPr>
      <w:rFonts w:ascii="Calibri" w:hAnsi="Calibri" w:eastAsia="楷体_GB2312" w:cs="Times New Roman"/>
      <w:kern w:val="2"/>
      <w:sz w:val="21"/>
      <w:lang w:val="en-US" w:eastAsia="zh-CN" w:bidi="ar-SA"/>
    </w:rPr>
  </w:style>
  <w:style w:type="paragraph" w:styleId="10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09">
    <w:name w:val="表标题"/>
    <w:basedOn w:val="1"/>
    <w:qFormat/>
    <w:uiPriority w:val="0"/>
    <w:pPr>
      <w:spacing w:line="360" w:lineRule="auto"/>
      <w:jc w:val="left"/>
    </w:pPr>
    <w:rPr>
      <w:rFonts w:ascii="黑体" w:hAnsi="宋体" w:eastAsia="黑体"/>
      <w:b/>
      <w:sz w:val="28"/>
      <w:szCs w:val="28"/>
    </w:rPr>
  </w:style>
  <w:style w:type="paragraph" w:customStyle="1" w:styleId="110">
    <w:name w:val="标题 2 New"/>
    <w:basedOn w:val="99"/>
    <w:next w:val="99"/>
    <w:qFormat/>
    <w:uiPriority w:val="0"/>
    <w:pPr>
      <w:keepNext/>
      <w:keepLines/>
      <w:spacing w:before="260" w:after="260" w:line="416" w:lineRule="auto"/>
      <w:outlineLvl w:val="1"/>
    </w:pPr>
    <w:rPr>
      <w:rFonts w:ascii="Arial" w:hAnsi="Arial" w:eastAsia="仿宋_GB2312"/>
      <w:b/>
      <w:bCs/>
      <w:sz w:val="32"/>
    </w:rPr>
  </w:style>
  <w:style w:type="paragraph" w:styleId="111">
    <w:name w:val="List Paragraph"/>
    <w:basedOn w:val="1"/>
    <w:qFormat/>
    <w:uiPriority w:val="0"/>
    <w:pPr>
      <w:ind w:firstLine="420" w:firstLineChars="200"/>
    </w:pPr>
    <w:rPr>
      <w:rFonts w:ascii="Calibri" w:hAnsi="Calibri"/>
      <w:szCs w:val="22"/>
    </w:rPr>
  </w:style>
  <w:style w:type="paragraph" w:customStyle="1" w:styleId="112">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页脚 New"/>
    <w:basedOn w:val="106"/>
    <w:qFormat/>
    <w:uiPriority w:val="0"/>
    <w:pPr>
      <w:tabs>
        <w:tab w:val="center" w:pos="4153"/>
        <w:tab w:val="right" w:pos="8306"/>
      </w:tabs>
      <w:autoSpaceDE w:val="0"/>
      <w:autoSpaceDN w:val="0"/>
      <w:adjustRightInd w:val="0"/>
      <w:snapToGrid w:val="0"/>
      <w:jc w:val="left"/>
    </w:pPr>
    <w:rPr>
      <w:rFonts w:ascii="Times New Roman" w:hAnsi="Times New Roman" w:eastAsia="宋体"/>
      <w:kern w:val="0"/>
      <w:sz w:val="18"/>
      <w:szCs w:val="18"/>
    </w:rPr>
  </w:style>
  <w:style w:type="paragraph" w:customStyle="1" w:styleId="114">
    <w:name w:val="正文 New"/>
    <w:qFormat/>
    <w:uiPriority w:val="0"/>
    <w:pPr>
      <w:widowControl w:val="0"/>
      <w:jc w:val="both"/>
    </w:pPr>
    <w:rPr>
      <w:rFonts w:ascii="Calibri" w:hAnsi="Calibri" w:eastAsia="楷体_GB2312" w:cs="Times New Roman"/>
      <w:kern w:val="2"/>
      <w:sz w:val="21"/>
      <w:lang w:val="en-US" w:eastAsia="zh-CN" w:bidi="ar-SA"/>
    </w:rPr>
  </w:style>
  <w:style w:type="paragraph" w:customStyle="1" w:styleId="115">
    <w:name w:val="正文文本缩进1"/>
    <w:basedOn w:val="1"/>
    <w:qFormat/>
    <w:uiPriority w:val="0"/>
    <w:pPr>
      <w:ind w:firstLine="480"/>
    </w:pPr>
    <w:rPr>
      <w:sz w:val="24"/>
      <w:szCs w:val="20"/>
    </w:rPr>
  </w:style>
  <w:style w:type="paragraph" w:customStyle="1" w:styleId="116">
    <w:name w:val="日期 New"/>
    <w:basedOn w:val="114"/>
    <w:next w:val="114"/>
    <w:qFormat/>
    <w:uiPriority w:val="0"/>
    <w:pPr>
      <w:ind w:left="100" w:leftChars="2500"/>
    </w:pPr>
    <w:rPr>
      <w:rFonts w:ascii="Times New Roman" w:hAnsi="Times New Roman" w:eastAsia="宋体"/>
      <w:szCs w:val="24"/>
    </w:rPr>
  </w:style>
  <w:style w:type="paragraph" w:customStyle="1" w:styleId="117">
    <w:name w:val="缩2"/>
    <w:basedOn w:val="1"/>
    <w:qFormat/>
    <w:uiPriority w:val="0"/>
    <w:pPr>
      <w:adjustRightInd w:val="0"/>
      <w:snapToGrid w:val="0"/>
      <w:spacing w:line="360" w:lineRule="auto"/>
    </w:pPr>
    <w:rPr>
      <w:rFonts w:ascii="黑体" w:hAnsi="黑体" w:eastAsia="黑体"/>
      <w:b/>
      <w:sz w:val="24"/>
    </w:rPr>
  </w:style>
  <w:style w:type="paragraph" w:customStyle="1" w:styleId="118">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9">
    <w:name w:val="样式 标题 3 + 首行缩进:  1.06 厘米"/>
    <w:basedOn w:val="6"/>
    <w:qFormat/>
    <w:uiPriority w:val="0"/>
    <w:pPr>
      <w:spacing w:before="120" w:after="0" w:line="240" w:lineRule="auto"/>
      <w:jc w:val="center"/>
    </w:pPr>
    <w:rPr>
      <w:rFonts w:ascii="宋体" w:hAnsi="宋体" w:cs="宋体"/>
      <w:bCs w:val="0"/>
      <w:color w:val="000000"/>
    </w:rPr>
  </w:style>
  <w:style w:type="paragraph" w:customStyle="1" w:styleId="12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1">
    <w:name w:val="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2">
    <w:name w:val="表格"/>
    <w:basedOn w:val="1"/>
    <w:qFormat/>
    <w:uiPriority w:val="0"/>
    <w:pPr>
      <w:adjustRightInd w:val="0"/>
      <w:snapToGrid w:val="0"/>
      <w:spacing w:line="300" w:lineRule="exact"/>
      <w:jc w:val="center"/>
    </w:pPr>
    <w:rPr>
      <w:rFonts w:ascii="宋体" w:hAnsi="宋体"/>
      <w:color w:val="000000"/>
    </w:rPr>
  </w:style>
  <w:style w:type="paragraph" w:customStyle="1" w:styleId="123">
    <w:name w:val="正文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4">
    <w:name w:val="正文 New New"/>
    <w:qFormat/>
    <w:uiPriority w:val="0"/>
    <w:pPr>
      <w:widowControl w:val="0"/>
      <w:jc w:val="both"/>
    </w:pPr>
    <w:rPr>
      <w:rFonts w:ascii="Calibri" w:hAnsi="Calibri" w:eastAsia="楷体_GB2312" w:cs="Times New Roman"/>
      <w:kern w:val="2"/>
      <w:sz w:val="21"/>
      <w:lang w:val="en-US" w:eastAsia="zh-CN" w:bidi="ar-SA"/>
    </w:rPr>
  </w:style>
  <w:style w:type="paragraph" w:customStyle="1" w:styleId="125">
    <w:name w:val="修订1"/>
    <w:qFormat/>
    <w:uiPriority w:val="0"/>
    <w:rPr>
      <w:rFonts w:ascii="Times New Roman" w:hAnsi="Times New Roman" w:eastAsia="宋体" w:cs="Times New Roman"/>
      <w:kern w:val="2"/>
      <w:sz w:val="21"/>
      <w:szCs w:val="24"/>
      <w:lang w:val="en-US" w:eastAsia="zh-CN" w:bidi="ar-SA"/>
    </w:rPr>
  </w:style>
  <w:style w:type="paragraph" w:customStyle="1" w:styleId="126">
    <w:name w:val="_Style 41"/>
    <w:basedOn w:val="1"/>
    <w:qFormat/>
    <w:uiPriority w:val="0"/>
    <w:rPr>
      <w:rFonts w:ascii="宋体" w:hAnsi="CG Times (W1)"/>
      <w:kern w:val="0"/>
      <w:szCs w:val="20"/>
    </w:rPr>
  </w:style>
  <w:style w:type="paragraph" w:customStyle="1" w:styleId="127">
    <w:name w:val="TOC 标题1"/>
    <w:basedOn w:val="3"/>
    <w:next w:val="1"/>
    <w:qFormat/>
    <w:uiPriority w:val="0"/>
    <w:pPr>
      <w:widowControl/>
      <w:tabs>
        <w:tab w:val="left" w:pos="3600"/>
      </w:tabs>
      <w:spacing w:before="480" w:line="276" w:lineRule="auto"/>
      <w:jc w:val="left"/>
      <w:outlineLvl w:val="9"/>
    </w:pPr>
    <w:rPr>
      <w:rFonts w:ascii="Cambria" w:hAnsi="Cambria"/>
      <w:color w:val="365F91"/>
      <w:kern w:val="0"/>
      <w:sz w:val="28"/>
      <w:szCs w:val="28"/>
    </w:rPr>
  </w:style>
  <w:style w:type="paragraph" w:customStyle="1" w:styleId="128">
    <w:name w:val="Char Char Char Char Char Char Char"/>
    <w:basedOn w:val="1"/>
    <w:qFormat/>
    <w:uiPriority w:val="0"/>
    <w:pPr>
      <w:tabs>
        <w:tab w:val="left" w:pos="425"/>
      </w:tabs>
      <w:ind w:left="425" w:hanging="425"/>
    </w:pPr>
    <w:rPr>
      <w:rFonts w:eastAsia="仿宋_GB2312"/>
      <w:kern w:val="24"/>
      <w:sz w:val="24"/>
    </w:rPr>
  </w:style>
  <w:style w:type="paragraph" w:customStyle="1" w:styleId="129">
    <w:name w:val="Char Char Char Char Char Char2 Char"/>
    <w:basedOn w:val="1"/>
    <w:qFormat/>
    <w:uiPriority w:val="99"/>
    <w:pPr>
      <w:spacing w:line="360" w:lineRule="auto"/>
      <w:ind w:firstLine="200" w:firstLineChars="200"/>
    </w:pPr>
    <w:rPr>
      <w:rFonts w:ascii="宋体" w:hAnsi="宋体" w:cs="宋体"/>
      <w:sz w:val="24"/>
    </w:rPr>
  </w:style>
  <w:style w:type="paragraph" w:customStyle="1" w:styleId="130">
    <w:name w:val="发文落款"/>
    <w:basedOn w:val="120"/>
    <w:qFormat/>
    <w:uiPriority w:val="0"/>
    <w:pPr>
      <w:ind w:left="4094" w:right="607" w:firstLine="0"/>
      <w:jc w:val="center"/>
    </w:pPr>
  </w:style>
  <w:style w:type="paragraph" w:customStyle="1" w:styleId="131">
    <w:name w:val="列出段落1"/>
    <w:basedOn w:val="1"/>
    <w:qFormat/>
    <w:uiPriority w:val="0"/>
    <w:pPr>
      <w:ind w:firstLine="420" w:firstLineChars="200"/>
    </w:pPr>
  </w:style>
  <w:style w:type="paragraph" w:customStyle="1" w:styleId="132">
    <w:name w:val="cjk1"/>
    <w:basedOn w:val="1"/>
    <w:qFormat/>
    <w:uiPriority w:val="0"/>
    <w:pPr>
      <w:widowControl/>
      <w:spacing w:before="284" w:line="360" w:lineRule="auto"/>
      <w:jc w:val="left"/>
    </w:pPr>
    <w:rPr>
      <w:rFonts w:ascii="宋体" w:hAnsi="宋体"/>
      <w:kern w:val="0"/>
      <w:sz w:val="22"/>
      <w:szCs w:val="22"/>
    </w:rPr>
  </w:style>
  <w:style w:type="paragraph" w:customStyle="1" w:styleId="133">
    <w:name w:val="Pa2+1"/>
    <w:basedOn w:val="1"/>
    <w:next w:val="1"/>
    <w:qFormat/>
    <w:uiPriority w:val="0"/>
    <w:pPr>
      <w:autoSpaceDE w:val="0"/>
      <w:autoSpaceDN w:val="0"/>
      <w:adjustRightInd w:val="0"/>
      <w:spacing w:before="100" w:line="251" w:lineRule="atLeast"/>
      <w:jc w:val="left"/>
    </w:pPr>
    <w:rPr>
      <w:rFonts w:ascii="华文细黑..." w:hAnsi="Calibri" w:eastAsia="华文细黑..."/>
      <w:kern w:val="0"/>
      <w:sz w:val="24"/>
    </w:rPr>
  </w:style>
  <w:style w:type="table" w:customStyle="1" w:styleId="134">
    <w:name w:val="网格型1"/>
    <w:basedOn w:val="38"/>
    <w:qFormat/>
    <w:uiPriority w:val="59"/>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5">
    <w:name w:val="列出段落2"/>
    <w:basedOn w:val="1"/>
    <w:qFormat/>
    <w:uiPriority w:val="34"/>
    <w:pPr>
      <w:ind w:firstLine="420" w:firstLineChars="200"/>
    </w:pPr>
    <w:rPr>
      <w:rFonts w:ascii="Calibri" w:hAnsi="Calibri"/>
      <w:szCs w:val="22"/>
    </w:rPr>
  </w:style>
  <w:style w:type="paragraph" w:customStyle="1" w:styleId="136">
    <w:name w:val="文二"/>
    <w:basedOn w:val="1"/>
    <w:qFormat/>
    <w:uiPriority w:val="0"/>
    <w:pPr>
      <w:jc w:val="left"/>
    </w:pPr>
    <w:rPr>
      <w:rFonts w:ascii="宋体" w:hAnsi="宋体"/>
      <w:szCs w:val="21"/>
    </w:rPr>
  </w:style>
  <w:style w:type="character" w:customStyle="1" w:styleId="137">
    <w:name w:val="文一 Char"/>
    <w:link w:val="138"/>
    <w:qFormat/>
    <w:uiPriority w:val="0"/>
    <w:rPr>
      <w:spacing w:val="4"/>
      <w:sz w:val="24"/>
      <w:szCs w:val="24"/>
    </w:rPr>
  </w:style>
  <w:style w:type="paragraph" w:customStyle="1" w:styleId="138">
    <w:name w:val="文一"/>
    <w:basedOn w:val="1"/>
    <w:link w:val="137"/>
    <w:qFormat/>
    <w:uiPriority w:val="0"/>
    <w:pPr>
      <w:topLinePunct/>
      <w:adjustRightInd w:val="0"/>
      <w:snapToGrid w:val="0"/>
      <w:spacing w:line="360" w:lineRule="auto"/>
      <w:ind w:firstLine="200" w:firstLineChars="200"/>
    </w:pPr>
    <w:rPr>
      <w:rFonts w:ascii="等线" w:hAnsi="等线" w:eastAsia="等线"/>
      <w:spacing w:val="4"/>
      <w:kern w:val="0"/>
      <w:sz w:val="24"/>
    </w:rPr>
  </w:style>
  <w:style w:type="paragraph" w:customStyle="1" w:styleId="139">
    <w:name w:val="Plain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jpeg"/><Relationship Id="rId14" Type="http://schemas.openxmlformats.org/officeDocument/2006/relationships/image" Target="media/image3.emf"/><Relationship Id="rId13" Type="http://schemas.openxmlformats.org/officeDocument/2006/relationships/image" Target="media/image2.emf"/><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98</Pages>
  <Words>59935</Words>
  <Characters>63491</Characters>
  <Lines>518</Lines>
  <Paragraphs>146</Paragraphs>
  <TotalTime>2</TotalTime>
  <ScaleCrop>false</ScaleCrop>
  <LinksUpToDate>false</LinksUpToDate>
  <CharactersWithSpaces>67915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2022-08-16T09:23:00Z</dcterms:created>
  <dc:creator>lenovo</dc:creator>
  <cp:lastModifiedBy>Windows</cp:lastModifiedBy>
  <cp:lastPrinted>2022-04-26T02:41:00Z</cp:lastPrinted>
  <dcterms:modified xsi:type="dcterms:W3CDTF">2022-09-28T19:36:53Z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0CF95F047F684AE7A763646EA53CD5D4</vt:lpwstr>
  </property>
</Properties>
</file>