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jc w:val="center"/>
        <w:rPr>
          <w:rFonts w:hint="eastAsia" w:ascii="宋体" w:hAnsi="宋体" w:eastAsia="宋体" w:cs="宋体"/>
          <w:color w:val="auto"/>
          <w:sz w:val="36"/>
          <w:szCs w:val="36"/>
          <w:highlight w:val="none"/>
          <w:u w:val="single"/>
        </w:rPr>
      </w:pPr>
      <w:bookmarkStart w:id="0" w:name="_Toc6405"/>
    </w:p>
    <w:bookmarkEnd w:id="0"/>
    <w:p>
      <w:pPr>
        <w:ind w:right="190" w:rightChars="79"/>
        <w:jc w:val="center"/>
        <w:rPr>
          <w:rFonts w:hint="eastAsia" w:ascii="宋体" w:hAnsi="宋体" w:eastAsia="宋体" w:cs="宋体"/>
          <w:color w:val="auto"/>
          <w:sz w:val="44"/>
          <w:szCs w:val="44"/>
          <w:highlight w:val="none"/>
          <w:u w:val="none"/>
          <w:lang w:val="en-US" w:eastAsia="zh-CN"/>
        </w:rPr>
      </w:pPr>
      <w:r>
        <w:rPr>
          <w:rFonts w:hint="eastAsia" w:ascii="宋体" w:hAnsi="宋体" w:cs="宋体"/>
          <w:color w:val="auto"/>
          <w:sz w:val="44"/>
          <w:szCs w:val="44"/>
          <w:highlight w:val="none"/>
          <w:u w:val="none"/>
          <w:lang w:eastAsia="zh-CN"/>
        </w:rPr>
        <w:t>2025-2027年广州市自来水有限公司厂站建设工程检测、监测服务项目</w:t>
      </w:r>
    </w:p>
    <w:p>
      <w:pPr>
        <w:pStyle w:val="14"/>
        <w:kinsoku w:val="0"/>
        <w:overflowPunct w:val="0"/>
        <w:spacing w:before="2"/>
        <w:ind w:left="0"/>
        <w:rPr>
          <w:rFonts w:hint="eastAsia" w:ascii="宋体" w:hAnsi="宋体" w:eastAsia="宋体" w:cs="宋体"/>
          <w:color w:val="auto"/>
          <w:sz w:val="23"/>
          <w:szCs w:val="24"/>
          <w:highlight w:val="none"/>
          <w:u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bookmarkStart w:id="324" w:name="_GoBack"/>
      <w:bookmarkEnd w:id="324"/>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106"/>
        <w:ind w:left="3" w:right="4"/>
        <w:jc w:val="center"/>
        <w:rPr>
          <w:rFonts w:hint="eastAsia" w:ascii="宋体" w:hAnsi="宋体" w:eastAsia="宋体" w:cs="宋体"/>
          <w:color w:val="auto"/>
          <w:sz w:val="84"/>
          <w:szCs w:val="24"/>
          <w:highlight w:val="none"/>
        </w:rPr>
      </w:pPr>
    </w:p>
    <w:p>
      <w:pPr>
        <w:pStyle w:val="14"/>
        <w:kinsoku w:val="0"/>
        <w:overflowPunct w:val="0"/>
        <w:spacing w:before="106"/>
        <w:ind w:left="3" w:right="4"/>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24"/>
          <w:highlight w:val="none"/>
        </w:rPr>
        <w:t>招标文件</w:t>
      </w: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spacing w:before="8"/>
        <w:ind w:left="0"/>
        <w:rPr>
          <w:rFonts w:hint="eastAsia" w:ascii="宋体" w:hAnsi="宋体" w:eastAsia="宋体" w:cs="宋体"/>
          <w:color w:val="auto"/>
          <w:sz w:val="33"/>
          <w:szCs w:val="24"/>
          <w:highlight w:val="none"/>
        </w:rPr>
      </w:pPr>
    </w:p>
    <w:p>
      <w:pPr>
        <w:spacing w:before="88" w:line="468" w:lineRule="auto"/>
        <w:ind w:left="0"/>
        <w:jc w:val="center"/>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招标人：</w:t>
      </w:r>
      <w:r>
        <w:rPr>
          <w:rFonts w:hint="eastAsia" w:ascii="宋体" w:hAnsi="宋体" w:eastAsia="宋体" w:cs="宋体"/>
          <w:color w:val="auto"/>
          <w:spacing w:val="-4"/>
          <w:sz w:val="27"/>
          <w:szCs w:val="27"/>
          <w:highlight w:val="none"/>
          <w:u w:val="single" w:color="auto"/>
        </w:rPr>
        <w:t>广州市自来水有限公司</w:t>
      </w:r>
      <w:r>
        <w:rPr>
          <w:rFonts w:hint="eastAsia" w:ascii="宋体" w:hAnsi="宋体" w:eastAsia="宋体" w:cs="宋体"/>
          <w:color w:val="auto"/>
          <w:spacing w:val="-4"/>
          <w:sz w:val="27"/>
          <w:szCs w:val="27"/>
          <w:highlight w:val="none"/>
        </w:rPr>
        <w:t>(盖单位章)</w:t>
      </w:r>
    </w:p>
    <w:p>
      <w:pPr>
        <w:spacing w:before="88" w:line="468" w:lineRule="auto"/>
        <w:ind w:left="0" w:firstLine="1834" w:firstLineChars="700"/>
        <w:jc w:val="both"/>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招标代理：</w:t>
      </w:r>
      <w:r>
        <w:rPr>
          <w:rFonts w:hint="eastAsia" w:ascii="宋体" w:hAnsi="宋体" w:cs="宋体"/>
          <w:color w:val="auto"/>
          <w:spacing w:val="-4"/>
          <w:sz w:val="27"/>
          <w:szCs w:val="27"/>
          <w:highlight w:val="none"/>
          <w:u w:val="single"/>
          <w:lang w:eastAsia="zh-CN"/>
        </w:rPr>
        <w:t>国义招标股份有限公司</w:t>
      </w:r>
      <w:r>
        <w:rPr>
          <w:rFonts w:hint="eastAsia" w:ascii="宋体" w:hAnsi="宋体" w:eastAsia="宋体" w:cs="宋体"/>
          <w:color w:val="auto"/>
          <w:spacing w:val="-4"/>
          <w:sz w:val="27"/>
          <w:szCs w:val="27"/>
          <w:highlight w:val="none"/>
        </w:rPr>
        <w:t>(盖单位章)</w:t>
      </w:r>
    </w:p>
    <w:p>
      <w:pPr>
        <w:pStyle w:val="14"/>
        <w:tabs>
          <w:tab w:val="left" w:pos="3611"/>
          <w:tab w:val="left" w:pos="4626"/>
          <w:tab w:val="left" w:pos="5642"/>
        </w:tabs>
        <w:kinsoku w:val="0"/>
        <w:overflowPunct w:val="0"/>
        <w:spacing w:before="14"/>
        <w:ind w:left="0" w:right="175"/>
        <w:jc w:val="center"/>
        <w:rPr>
          <w:rFonts w:hint="eastAsia" w:ascii="宋体" w:hAnsi="宋体" w:eastAsia="宋体" w:cs="宋体"/>
          <w:color w:val="auto"/>
          <w:sz w:val="28"/>
          <w:szCs w:val="24"/>
          <w:highlight w:val="none"/>
        </w:rPr>
        <w:sectPr>
          <w:footerReference r:id="rId3" w:type="default"/>
          <w:pgSz w:w="11905" w:h="16838"/>
          <w:pgMar w:top="1417" w:right="1417" w:bottom="1417" w:left="1417" w:header="720" w:footer="480" w:gutter="0"/>
          <w:lnNumType w:countBy="0" w:distance="360"/>
          <w:pgNumType w:fmt="decimal"/>
          <w:cols w:space="720" w:num="1"/>
        </w:sectPr>
      </w:pPr>
      <w:r>
        <w:rPr>
          <w:rFonts w:hint="eastAsia" w:ascii="宋体" w:hAnsi="宋体" w:eastAsia="宋体" w:cs="宋体"/>
          <w:color w:val="auto"/>
          <w:sz w:val="27"/>
          <w:szCs w:val="27"/>
          <w:highlight w:val="none"/>
          <w:u w:val="single" w:color="auto"/>
          <w:lang w:val="en-US" w:eastAsia="zh-CN"/>
        </w:rPr>
        <w:t>202</w:t>
      </w:r>
      <w:r>
        <w:rPr>
          <w:rFonts w:hint="eastAsia" w:cs="宋体"/>
          <w:color w:val="auto"/>
          <w:sz w:val="27"/>
          <w:szCs w:val="27"/>
          <w:highlight w:val="none"/>
          <w:u w:val="single" w:color="auto"/>
          <w:lang w:val="en-US" w:eastAsia="zh-CN"/>
        </w:rPr>
        <w:t>5</w:t>
      </w:r>
      <w:r>
        <w:rPr>
          <w:rFonts w:hint="eastAsia" w:ascii="宋体" w:hAnsi="宋体" w:eastAsia="宋体" w:cs="宋体"/>
          <w:color w:val="auto"/>
          <w:spacing w:val="6"/>
          <w:sz w:val="27"/>
          <w:szCs w:val="27"/>
          <w:highlight w:val="none"/>
        </w:rPr>
        <w:t>年</w:t>
      </w:r>
      <w:r>
        <w:rPr>
          <w:rFonts w:hint="eastAsia" w:cs="宋体"/>
          <w:color w:val="auto"/>
          <w:spacing w:val="6"/>
          <w:sz w:val="27"/>
          <w:szCs w:val="27"/>
          <w:highlight w:val="none"/>
          <w:u w:val="single" w:color="auto"/>
          <w:lang w:val="en-US" w:eastAsia="zh-CN"/>
        </w:rPr>
        <w:t>3</w:t>
      </w:r>
      <w:r>
        <w:rPr>
          <w:rFonts w:hint="eastAsia" w:ascii="宋体" w:hAnsi="宋体" w:eastAsia="宋体" w:cs="宋体"/>
          <w:color w:val="auto"/>
          <w:spacing w:val="3"/>
          <w:sz w:val="27"/>
          <w:szCs w:val="27"/>
          <w:highlight w:val="none"/>
        </w:rPr>
        <w:t>月</w:t>
      </w:r>
      <w:r>
        <w:rPr>
          <w:rFonts w:hint="eastAsia" w:cs="宋体"/>
          <w:color w:val="auto"/>
          <w:spacing w:val="3"/>
          <w:sz w:val="27"/>
          <w:szCs w:val="27"/>
          <w:highlight w:val="none"/>
          <w:u w:val="single" w:color="auto"/>
          <w:lang w:val="en-US" w:eastAsia="zh-CN"/>
        </w:rPr>
        <w:t>26</w:t>
      </w:r>
      <w:r>
        <w:rPr>
          <w:rFonts w:hint="eastAsia" w:ascii="宋体" w:hAnsi="宋体" w:eastAsia="宋体" w:cs="宋体"/>
          <w:color w:val="auto"/>
          <w:spacing w:val="3"/>
          <w:sz w:val="27"/>
          <w:szCs w:val="27"/>
          <w:highlight w:val="none"/>
        </w:rPr>
        <w:t>日</w:t>
      </w:r>
    </w:p>
    <w:p>
      <w:pPr>
        <w:spacing w:before="0" w:beforeLines="0" w:after="0" w:afterLines="0" w:line="48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pPr>
        <w:pStyle w:val="20"/>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_Toc1556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第一卷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_Toc1556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_Toc29772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_Toc15097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_Toc23003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_Toc14321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0"/>
        <w:tabs>
          <w:tab w:val="right" w:leader="dot" w:pos="9071"/>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_Toc2872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第二卷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_Toc2872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92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_Toc23118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0"/>
        <w:tabs>
          <w:tab w:val="right" w:leader="dot" w:pos="9071"/>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_Toc12210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eastAsia="宋体" w:cs="宋体"/>
          <w:b/>
          <w:bCs/>
          <w:color w:val="auto"/>
          <w:sz w:val="24"/>
          <w:szCs w:val="24"/>
          <w:highlight w:val="none"/>
        </w:rPr>
        <w:t>第三卷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_Toc12210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125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_Toc26661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21"/>
        <w:tabs>
          <w:tab w:val="right" w:leader="dot" w:pos="9071"/>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_Toc17258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val="en-US" w:eastAsia="zh-CN"/>
        </w:rPr>
        <w:t xml:space="preserve">第七章 </w:t>
      </w:r>
      <w:r>
        <w:rPr>
          <w:rFonts w:hint="eastAsia" w:ascii="宋体" w:hAnsi="宋体" w:eastAsia="宋体" w:cs="宋体"/>
          <w:color w:val="auto"/>
          <w:sz w:val="24"/>
          <w:szCs w:val="24"/>
          <w:highlight w:val="none"/>
        </w:rPr>
        <w:t>投标人须知前附表规定的其他资料。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pPr>
        <w:pStyle w:val="15"/>
        <w:tabs>
          <w:tab w:val="right" w:leader="dot" w:pos="9071"/>
        </w:tabs>
        <w:spacing w:line="480" w:lineRule="auto"/>
        <w:ind w:left="0" w:leftChars="0" w:firstLine="0" w:firstLineChars="0"/>
        <w:rPr>
          <w:rFonts w:hint="eastAsia" w:ascii="宋体" w:hAnsi="宋体" w:eastAsia="宋体" w:cs="宋体"/>
          <w:color w:val="auto"/>
          <w:sz w:val="24"/>
          <w:szCs w:val="24"/>
          <w:highlight w:val="none"/>
        </w:rPr>
      </w:pPr>
    </w:p>
    <w:p>
      <w:pPr>
        <w:pStyle w:val="14"/>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pgSz w:w="11905" w:h="16838"/>
          <w:pgMar w:top="1417" w:right="1417" w:bottom="1417" w:left="1417" w:header="720" w:footer="720" w:gutter="0"/>
          <w:lnNumType w:countBy="0" w:distance="360"/>
          <w:pgNumType w:fmt="decimal"/>
          <w:cols w:space="720" w:num="1"/>
        </w:sectPr>
      </w:pPr>
      <w:r>
        <w:rPr>
          <w:rFonts w:hint="eastAsia" w:ascii="宋体" w:hAnsi="宋体" w:eastAsia="宋体" w:cs="宋体"/>
          <w:color w:val="auto"/>
          <w:sz w:val="24"/>
          <w:szCs w:val="24"/>
          <w:highlight w:val="none"/>
          <w:lang w:eastAsia="zh-CN"/>
        </w:rPr>
        <w:fldChar w:fldCharType="end"/>
      </w:r>
    </w:p>
    <w:p>
      <w:pPr>
        <w:pStyle w:val="14"/>
        <w:kinsoku w:val="0"/>
        <w:overflowPunct w:val="0"/>
        <w:ind w:left="0"/>
        <w:rPr>
          <w:rFonts w:hint="eastAsia" w:ascii="宋体" w:hAnsi="宋体" w:eastAsia="宋体" w:cs="宋体"/>
          <w:color w:val="auto"/>
          <w:sz w:val="44"/>
          <w:szCs w:val="24"/>
          <w:highlight w:val="none"/>
        </w:rPr>
      </w:pPr>
    </w:p>
    <w:p>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 w:name="bookmark0"/>
      <w:bookmarkEnd w:id="1"/>
      <w:bookmarkStart w:id="2" w:name="_Toc1556"/>
      <w:r>
        <w:rPr>
          <w:rFonts w:hint="eastAsia" w:ascii="宋体" w:hAnsi="宋体" w:eastAsia="宋体" w:cs="宋体"/>
          <w:color w:val="auto"/>
          <w:sz w:val="52"/>
          <w:szCs w:val="52"/>
          <w:highlight w:val="none"/>
        </w:rPr>
        <w:t>第一卷</w:t>
      </w:r>
      <w:bookmarkEnd w:id="2"/>
    </w:p>
    <w:p>
      <w:pPr>
        <w:pStyle w:val="14"/>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fmt="decimal"/>
          <w:cols w:space="720" w:num="1"/>
        </w:sectPr>
      </w:pPr>
    </w:p>
    <w:p>
      <w:pPr>
        <w:pStyle w:val="6"/>
        <w:outlineLvl w:val="0"/>
        <w:rPr>
          <w:rFonts w:hint="eastAsia" w:ascii="宋体" w:hAnsi="宋体" w:eastAsia="宋体" w:cs="宋体"/>
          <w:color w:val="auto"/>
          <w:sz w:val="44"/>
          <w:szCs w:val="24"/>
          <w:highlight w:val="none"/>
        </w:rPr>
      </w:pPr>
      <w:bookmarkStart w:id="3" w:name="bookmark1"/>
      <w:bookmarkEnd w:id="3"/>
      <w:bookmarkStart w:id="4" w:name="_Toc29772"/>
      <w:r>
        <w:rPr>
          <w:rFonts w:hint="eastAsia" w:ascii="宋体" w:hAnsi="宋体" w:eastAsia="宋体" w:cs="宋体"/>
          <w:color w:val="auto"/>
          <w:sz w:val="44"/>
          <w:szCs w:val="24"/>
          <w:highlight w:val="none"/>
        </w:rPr>
        <w:t>第一章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招标公告</w:t>
      </w:r>
      <w:bookmarkEnd w:id="4"/>
    </w:p>
    <w:p>
      <w:pPr>
        <w:spacing w:beforeLines="100" w:afterLines="100" w:line="360" w:lineRule="auto"/>
        <w:jc w:val="center"/>
        <w:rPr>
          <w:rFonts w:hint="eastAsia" w:ascii="宋体" w:hAnsi="宋体" w:cs="宋体"/>
          <w:b/>
          <w:bCs w:val="0"/>
          <w:color w:val="auto"/>
          <w:sz w:val="28"/>
          <w:szCs w:val="22"/>
          <w:highlight w:val="none"/>
          <w:u w:val="none"/>
          <w:lang w:val="en-US" w:eastAsia="zh-CN"/>
        </w:rPr>
      </w:pPr>
      <w:r>
        <w:rPr>
          <w:rFonts w:hint="eastAsia" w:ascii="宋体" w:hAnsi="宋体" w:cs="宋体"/>
          <w:b/>
          <w:bCs w:val="0"/>
          <w:color w:val="auto"/>
          <w:sz w:val="28"/>
          <w:szCs w:val="22"/>
          <w:highlight w:val="none"/>
          <w:u w:val="none"/>
          <w:lang w:val="en-US" w:eastAsia="zh-CN"/>
        </w:rPr>
        <w:t>2025-2027年广州市自来水有限公司厂站建设工程检测、监测服务项目</w:t>
      </w:r>
    </w:p>
    <w:p>
      <w:pPr>
        <w:spacing w:beforeLines="100" w:afterLines="100" w:line="360" w:lineRule="auto"/>
        <w:jc w:val="center"/>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招标公告</w:t>
      </w:r>
    </w:p>
    <w:p>
      <w:pPr>
        <w:pStyle w:val="7"/>
        <w:outlineLvl w:val="1"/>
        <w:rPr>
          <w:rFonts w:hint="eastAsia" w:ascii="宋体" w:hAnsi="宋体" w:eastAsia="宋体" w:cs="宋体"/>
          <w:b w:val="0"/>
          <w:color w:val="auto"/>
          <w:sz w:val="24"/>
          <w:szCs w:val="24"/>
          <w:highlight w:val="none"/>
        </w:rPr>
      </w:pPr>
      <w:bookmarkStart w:id="5" w:name="bookmark2"/>
      <w:bookmarkEnd w:id="5"/>
      <w:bookmarkStart w:id="6" w:name="_Toc14009"/>
      <w:r>
        <w:rPr>
          <w:rFonts w:hint="eastAsia" w:ascii="宋体" w:hAnsi="宋体" w:eastAsia="宋体" w:cs="宋体"/>
          <w:color w:val="auto"/>
          <w:sz w:val="24"/>
          <w:szCs w:val="24"/>
          <w:highlight w:val="none"/>
        </w:rPr>
        <w:t>1.招标条件</w:t>
      </w:r>
      <w:bookmarkEnd w:id="6"/>
    </w:p>
    <w:p>
      <w:pPr>
        <w:pStyle w:val="14"/>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eastAsia="zh-CN"/>
        </w:rPr>
        <w:t>2025-2027年广州市自来水有限公司厂站建设工程检测、监测服务项目</w:t>
      </w:r>
      <w:r>
        <w:rPr>
          <w:rFonts w:hint="eastAsia" w:ascii="宋体" w:hAnsi="宋体" w:eastAsia="宋体" w:cs="宋体"/>
          <w:color w:val="auto"/>
          <w:spacing w:val="-4"/>
          <w:sz w:val="24"/>
          <w:szCs w:val="24"/>
          <w:highlight w:val="none"/>
        </w:rPr>
        <w:t>，项目业主为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广州市自来水有限公司</w:t>
      </w:r>
      <w:r>
        <w:rPr>
          <w:rFonts w:hint="eastAsia" w:ascii="宋体" w:hAnsi="宋体" w:eastAsia="宋体" w:cs="宋体"/>
          <w:color w:val="auto"/>
          <w:spacing w:val="-4"/>
          <w:sz w:val="24"/>
          <w:szCs w:val="24"/>
          <w:highlight w:val="none"/>
        </w:rPr>
        <w:t>，建设资金来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eastAsia="宋体" w:cs="宋体"/>
          <w:color w:val="auto"/>
          <w:spacing w:val="-1"/>
          <w:sz w:val="24"/>
          <w:szCs w:val="24"/>
          <w:highlight w:val="none"/>
          <w:u w:val="single"/>
          <w:lang w:val="en-US" w:eastAsia="zh-CN"/>
        </w:rPr>
        <w:t xml:space="preserve"> 企业自筹资金 </w:t>
      </w:r>
      <w:r>
        <w:rPr>
          <w:rFonts w:hint="eastAsia" w:ascii="宋体" w:hAnsi="宋体" w:eastAsia="宋体" w:cs="宋体"/>
          <w:color w:val="auto"/>
          <w:spacing w:val="-12"/>
          <w:sz w:val="24"/>
          <w:szCs w:val="24"/>
          <w:highlight w:val="none"/>
        </w:rPr>
        <w:t>，出资比例为</w:t>
      </w:r>
      <w:r>
        <w:rPr>
          <w:rFonts w:hint="eastAsia" w:ascii="宋体" w:hAnsi="宋体" w:eastAsia="宋体" w:cs="宋体"/>
          <w:color w:val="auto"/>
          <w:spacing w:val="-12"/>
          <w:sz w:val="24"/>
          <w:szCs w:val="24"/>
          <w:highlight w:val="none"/>
          <w:u w:val="single"/>
          <w:lang w:val="en-US" w:eastAsia="zh-CN"/>
        </w:rPr>
        <w:t xml:space="preserve"> 100% </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广州市自来水有限公司</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z w:val="24"/>
          <w:szCs w:val="24"/>
          <w:highlight w:val="none"/>
          <w:u w:val="single"/>
          <w:lang w:val="en-US" w:eastAsia="zh-CN"/>
        </w:rPr>
        <w:t>检测、监测</w:t>
      </w:r>
      <w:r>
        <w:rPr>
          <w:rFonts w:hint="eastAsia" w:ascii="宋体" w:hAnsi="宋体" w:eastAsia="宋体" w:cs="宋体"/>
          <w:color w:val="auto"/>
          <w:sz w:val="24"/>
          <w:szCs w:val="24"/>
          <w:highlight w:val="none"/>
        </w:rPr>
        <w:t>进行公开招标。</w:t>
      </w:r>
    </w:p>
    <w:p>
      <w:pPr>
        <w:pStyle w:val="7"/>
        <w:jc w:val="both"/>
        <w:outlineLvl w:val="1"/>
        <w:rPr>
          <w:rFonts w:hint="eastAsia" w:ascii="宋体" w:hAnsi="宋体" w:eastAsia="宋体" w:cs="宋体"/>
          <w:color w:val="auto"/>
          <w:sz w:val="24"/>
          <w:szCs w:val="24"/>
          <w:highlight w:val="none"/>
        </w:rPr>
      </w:pPr>
      <w:bookmarkStart w:id="7" w:name="bookmark3"/>
      <w:bookmarkEnd w:id="7"/>
      <w:bookmarkStart w:id="8" w:name="_Toc20903"/>
      <w:r>
        <w:rPr>
          <w:rFonts w:hint="eastAsia" w:ascii="宋体" w:hAnsi="宋体" w:eastAsia="宋体" w:cs="宋体"/>
          <w:color w:val="auto"/>
          <w:sz w:val="24"/>
          <w:szCs w:val="24"/>
          <w:highlight w:val="none"/>
        </w:rPr>
        <w:t>2.项目概况与招标范围</w:t>
      </w:r>
      <w:bookmarkEnd w:id="8"/>
    </w:p>
    <w:p>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bookmarkStart w:id="9" w:name="_Toc17345"/>
      <w:r>
        <w:rPr>
          <w:rFonts w:hint="eastAsia" w:ascii="宋体" w:hAnsi="宋体" w:eastAsia="宋体" w:cs="宋体"/>
          <w:color w:val="auto"/>
          <w:sz w:val="24"/>
          <w:szCs w:val="24"/>
          <w:highlight w:val="none"/>
          <w:lang w:val="en-US" w:eastAsia="zh-CN"/>
        </w:rPr>
        <w:t>2.1 招标项目概况</w:t>
      </w:r>
      <w:bookmarkEnd w:id="9"/>
    </w:p>
    <w:p>
      <w:pPr>
        <w:tabs>
          <w:tab w:val="left" w:pos="7513"/>
        </w:tabs>
        <w:spacing w:line="360" w:lineRule="auto"/>
        <w:ind w:firstLine="480" w:firstLineChars="200"/>
        <w:jc w:val="both"/>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2.1.1招标项目名称：</w:t>
      </w:r>
      <w:r>
        <w:rPr>
          <w:rFonts w:hint="eastAsia" w:ascii="宋体" w:hAnsi="宋体" w:cs="宋体"/>
          <w:color w:val="auto"/>
          <w:sz w:val="24"/>
          <w:szCs w:val="24"/>
          <w:highlight w:val="none"/>
          <w:u w:val="single"/>
          <w:lang w:val="en-US" w:eastAsia="zh-CN"/>
        </w:rPr>
        <w:t>2025-2027年广州市自来水有限公司厂站建设工程检测、监测服务项目</w:t>
      </w:r>
    </w:p>
    <w:p>
      <w:pPr>
        <w:tabs>
          <w:tab w:val="left" w:pos="7513"/>
        </w:tabs>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2.1.2工程建设地点：</w:t>
      </w:r>
      <w:r>
        <w:rPr>
          <w:rFonts w:hint="eastAsia" w:ascii="宋体" w:hAnsi="宋体" w:cs="宋体"/>
          <w:color w:val="auto"/>
          <w:sz w:val="24"/>
          <w:szCs w:val="24"/>
          <w:highlight w:val="none"/>
          <w:u w:val="single"/>
        </w:rPr>
        <w:t>广州市</w:t>
      </w:r>
      <w:r>
        <w:rPr>
          <w:rFonts w:hint="eastAsia" w:ascii="宋体" w:hAnsi="宋体" w:cs="宋体"/>
          <w:color w:val="auto"/>
          <w:sz w:val="24"/>
          <w:szCs w:val="24"/>
          <w:highlight w:val="none"/>
          <w:u w:val="single"/>
          <w:lang w:eastAsia="zh-CN"/>
        </w:rPr>
        <w:t>。</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2.1.3工程建设规模：</w:t>
      </w:r>
      <w:r>
        <w:rPr>
          <w:rFonts w:hint="eastAsia" w:ascii="宋体" w:hAnsi="宋体" w:eastAsia="宋体" w:cs="宋体"/>
          <w:color w:val="auto"/>
          <w:sz w:val="24"/>
          <w:szCs w:val="24"/>
          <w:highlight w:val="none"/>
          <w:u w:val="single"/>
        </w:rPr>
        <w:t>2025-2027年广州市自来水有限公司厂站建设工程检测、监测服务工作，涉及周边地表沉降、管线沉降等，基坑安全等级最高为一级。</w:t>
      </w:r>
    </w:p>
    <w:p>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jc w:val="both"/>
        <w:textAlignment w:val="auto"/>
        <w:rPr>
          <w:rFonts w:hint="eastAsia" w:ascii="宋体" w:hAnsi="宋体" w:eastAsia="宋体" w:cs="宋体"/>
          <w:color w:val="auto"/>
          <w:sz w:val="24"/>
          <w:szCs w:val="24"/>
          <w:highlight w:val="none"/>
          <w:lang w:val="en-US" w:eastAsia="zh-CN"/>
        </w:rPr>
      </w:pPr>
      <w:bookmarkStart w:id="10" w:name="_Toc13481"/>
      <w:r>
        <w:rPr>
          <w:rFonts w:hint="eastAsia" w:ascii="宋体" w:hAnsi="宋体" w:eastAsia="宋体" w:cs="宋体"/>
          <w:color w:val="auto"/>
          <w:sz w:val="24"/>
          <w:szCs w:val="24"/>
          <w:highlight w:val="none"/>
          <w:lang w:val="en-US" w:eastAsia="zh-CN"/>
        </w:rPr>
        <w:t>2.2 招标范围</w:t>
      </w:r>
      <w:bookmarkEnd w:id="10"/>
    </w:p>
    <w:p>
      <w:pPr>
        <w:tabs>
          <w:tab w:val="left" w:pos="7513"/>
        </w:tabs>
        <w:spacing w:line="360" w:lineRule="auto"/>
        <w:ind w:firstLine="480" w:firstLineChars="200"/>
        <w:jc w:val="both"/>
        <w:rPr>
          <w:rFonts w:hint="eastAsia" w:ascii="宋体" w:hAnsi="宋体" w:cs="宋体"/>
          <w:color w:val="auto"/>
          <w:sz w:val="24"/>
          <w:szCs w:val="24"/>
          <w:highlight w:val="none"/>
          <w:u w:val="single"/>
        </w:rPr>
      </w:pPr>
      <w:r>
        <w:rPr>
          <w:rFonts w:hint="eastAsia" w:ascii="宋体" w:hAnsi="宋体" w:eastAsia="宋体" w:cs="宋体"/>
          <w:color w:val="auto"/>
          <w:sz w:val="24"/>
          <w:szCs w:val="24"/>
          <w:highlight w:val="none"/>
        </w:rPr>
        <w:t>2.2.1标段划分：</w:t>
      </w:r>
      <w:r>
        <w:rPr>
          <w:rFonts w:hint="eastAsia" w:ascii="宋体" w:hAnsi="宋体" w:cs="宋体"/>
          <w:color w:val="auto"/>
          <w:sz w:val="24"/>
          <w:szCs w:val="24"/>
          <w:highlight w:val="none"/>
          <w:u w:val="single"/>
        </w:rPr>
        <w:t>本项目设</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个标段。</w:t>
      </w:r>
    </w:p>
    <w:p>
      <w:pPr>
        <w:tabs>
          <w:tab w:val="left" w:pos="7513"/>
        </w:tabs>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第一标段为同时达到工程勘察专业类（岩土工程或岩土工程物探测试检测监测）甲级资质及工程勘察专业类(工程测量)乙级资质的检测、检测项目</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注：</w:t>
      </w:r>
      <w:r>
        <w:rPr>
          <w:rFonts w:hint="eastAsia" w:ascii="宋体" w:hAnsi="宋体" w:cs="宋体"/>
          <w:color w:val="auto"/>
          <w:highlight w:val="none"/>
          <w:u w:val="single"/>
        </w:rPr>
        <w:t>工程勘察专业类（岩土工程或岩土工程物探测试检测监测）乙级资质及工程勘察专业类(工程测量)乙级资质的检测、检测项目除外</w:t>
      </w:r>
      <w:r>
        <w:rPr>
          <w:rFonts w:hint="eastAsia" w:ascii="宋体" w:hAnsi="宋体" w:cs="宋体"/>
          <w:color w:val="auto"/>
          <w:highlight w:val="none"/>
          <w:u w:val="single"/>
          <w:lang w:eastAsia="zh-CN"/>
        </w:rPr>
        <w:t>】</w:t>
      </w:r>
      <w:r>
        <w:rPr>
          <w:rFonts w:hint="eastAsia" w:ascii="宋体" w:hAnsi="宋体" w:cs="宋体"/>
          <w:color w:val="auto"/>
          <w:highlight w:val="none"/>
          <w:u w:val="single"/>
        </w:rPr>
        <w:t>；</w:t>
      </w:r>
    </w:p>
    <w:p>
      <w:pPr>
        <w:tabs>
          <w:tab w:val="left" w:pos="7513"/>
        </w:tabs>
        <w:spacing w:line="360" w:lineRule="auto"/>
        <w:ind w:firstLine="480" w:firstLineChars="200"/>
        <w:jc w:val="both"/>
        <w:rPr>
          <w:rFonts w:hint="eastAsia" w:ascii="宋体" w:hAnsi="宋体" w:cs="宋体"/>
          <w:color w:val="auto"/>
          <w:highlight w:val="none"/>
          <w:u w:val="single"/>
          <w:lang w:eastAsia="zh-CN"/>
        </w:rPr>
      </w:pPr>
      <w:r>
        <w:rPr>
          <w:rFonts w:hint="eastAsia" w:ascii="宋体" w:hAnsi="宋体" w:cs="宋体"/>
          <w:color w:val="auto"/>
          <w:highlight w:val="none"/>
          <w:u w:val="single"/>
        </w:rPr>
        <w:t>第二标段为同时达到工程勘察专业类（岩土工程或岩土工程物探测试检测监测）乙级资质及工程勘察专业类(工程测量)乙级资质的检测、检测项目</w:t>
      </w:r>
      <w:r>
        <w:rPr>
          <w:rFonts w:hint="eastAsia" w:ascii="宋体" w:hAnsi="宋体" w:cs="宋体"/>
          <w:color w:val="auto"/>
          <w:highlight w:val="none"/>
          <w:u w:val="single"/>
          <w:lang w:eastAsia="zh-CN"/>
        </w:rPr>
        <w:t>。</w:t>
      </w:r>
    </w:p>
    <w:p>
      <w:pPr>
        <w:tabs>
          <w:tab w:val="left" w:pos="7513"/>
        </w:tabs>
        <w:spacing w:line="360" w:lineRule="auto"/>
        <w:ind w:firstLine="480" w:firstLineChars="200"/>
        <w:jc w:val="both"/>
        <w:rPr>
          <w:rFonts w:hint="eastAsia" w:ascii="宋体" w:hAnsi="宋体" w:cs="宋体"/>
          <w:color w:val="auto"/>
          <w:highlight w:val="none"/>
          <w:u w:val="none"/>
          <w:lang w:eastAsia="zh-CN"/>
        </w:rPr>
      </w:pPr>
      <w:r>
        <w:rPr>
          <w:rFonts w:hint="eastAsia" w:ascii="宋体" w:hAnsi="宋体" w:cs="宋体"/>
          <w:color w:val="auto"/>
          <w:highlight w:val="none"/>
          <w:u w:val="none"/>
          <w:lang w:eastAsia="zh-CN"/>
        </w:rPr>
        <w:t>（1）投标人可以自行选择参加本次招标项目的一个或多个标段的投标，若投标人同时参加多个标段的投标，需分别单独办理各标段投标登记手续，投标文件需分别按标段单独提交，</w:t>
      </w:r>
      <w:r>
        <w:rPr>
          <w:rFonts w:hint="eastAsia" w:ascii="宋体" w:hAnsi="宋体" w:cs="宋体"/>
          <w:color w:val="auto"/>
          <w:highlight w:val="none"/>
          <w:lang w:eastAsia="zh-CN"/>
        </w:rPr>
        <w:t>可兼投兼中</w:t>
      </w:r>
      <w:r>
        <w:rPr>
          <w:rFonts w:hint="eastAsia" w:ascii="宋体" w:hAnsi="宋体" w:cs="宋体"/>
          <w:color w:val="auto"/>
          <w:highlight w:val="none"/>
          <w:u w:val="none"/>
          <w:lang w:eastAsia="zh-CN"/>
        </w:rPr>
        <w:t>；投入人员可以相同；</w:t>
      </w:r>
    </w:p>
    <w:p>
      <w:pPr>
        <w:tabs>
          <w:tab w:val="left" w:pos="7513"/>
        </w:tabs>
        <w:spacing w:line="360" w:lineRule="auto"/>
        <w:ind w:firstLine="480" w:firstLineChars="200"/>
        <w:jc w:val="both"/>
        <w:rPr>
          <w:rFonts w:hint="eastAsia" w:ascii="宋体" w:hAnsi="宋体" w:cs="宋体"/>
          <w:color w:val="auto"/>
          <w:highlight w:val="none"/>
          <w:u w:val="none"/>
          <w:lang w:eastAsia="zh-CN"/>
        </w:rPr>
      </w:pPr>
      <w:r>
        <w:rPr>
          <w:rFonts w:hint="eastAsia" w:ascii="宋体" w:hAnsi="宋体" w:cs="宋体"/>
          <w:color w:val="auto"/>
          <w:highlight w:val="none"/>
          <w:u w:val="none"/>
          <w:lang w:eastAsia="zh-CN"/>
        </w:rPr>
        <w:t>（2）如果出现某标段的第一中标候选人放弃中标或因其他原因被取消中标资格的：仅在该标段内按照已确定的中标候选人顺序依次上升替补定标，不影响其他标段的中标候选人推荐及定标工作；若该标段所有中标候选人都不能成为中标人，则该标段招标失败，不影响其他标段中标人的确定；</w:t>
      </w:r>
    </w:p>
    <w:p>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3</w:t>
      </w:r>
      <w:r>
        <w:rPr>
          <w:rFonts w:hint="eastAsia" w:ascii="宋体" w:hAnsi="宋体" w:cs="宋体"/>
          <w:color w:val="auto"/>
          <w:highlight w:val="none"/>
          <w:u w:val="none"/>
          <w:lang w:eastAsia="zh-CN"/>
        </w:rPr>
        <w:t>）若某标段在确定中标候选人后，因其他原因导致该标段重新招标或中标通知书不能发出，将不影响其他标段中标人的确定。</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w:t>
      </w:r>
      <w:r>
        <w:rPr>
          <w:rFonts w:hint="eastAsia" w:ascii="宋体" w:hAnsi="宋体" w:cs="宋体"/>
          <w:color w:val="auto"/>
          <w:sz w:val="24"/>
          <w:szCs w:val="24"/>
          <w:highlight w:val="none"/>
          <w:lang w:val="en-US" w:eastAsia="zh-CN"/>
        </w:rPr>
        <w:t>招标内容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检测监测工作包括但不限于：检测监测方案编制、方案送审（有关行政管理部门）、试验及相关需要的配套工作、编制并提交检测</w:t>
      </w:r>
      <w:r>
        <w:rPr>
          <w:rFonts w:hint="eastAsia" w:ascii="宋体" w:hAnsi="宋体" w:cs="宋体"/>
          <w:color w:val="auto"/>
          <w:sz w:val="24"/>
          <w:szCs w:val="24"/>
          <w:highlight w:val="none"/>
          <w:u w:val="single"/>
          <w:lang w:eastAsia="zh-CN"/>
        </w:rPr>
        <w:t>监测</w:t>
      </w:r>
      <w:r>
        <w:rPr>
          <w:rFonts w:hint="eastAsia" w:ascii="宋体" w:hAnsi="宋体" w:eastAsia="宋体" w:cs="宋体"/>
          <w:color w:val="auto"/>
          <w:sz w:val="24"/>
          <w:szCs w:val="24"/>
          <w:highlight w:val="none"/>
          <w:u w:val="single"/>
        </w:rPr>
        <w:t>成果报告等全部工作。</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一）主要检测、监测内容包括：基坑监测、高支模监测、地基基础检测、结构实体检测（含焊缝超声波探伤、X射线检测及涂层厚度检测）、常规材料检测等水务工程主管部门、工程质监部门、建设单位要求检测的项目。</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（二）检测监测方案编制：</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根据项目特征及类型、相关标准及规范、施工图、施组方案、施工计划、检测监测技术要求等编制对应项目的第三方检测监测方案，报监理单位组织设计单位、施工单位审核确认后，在工作任务书发出后10日内向</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备案，并经监理单位下达执行指令方可实施。</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2.原则上单项工程检测监测方案预算不得高于该单项工程概算对应检测监测费用，若出现非</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原因导致超概算对应检测监测费用情况，</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必须分析查找原因，采取措施进行控制，并将方案报监理单位组织审核。</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3.编制的检测监测方案必须符合国家及地方现行有关技术规范或规定以及设计单位的技术要求，一经确认，不得随意更改，由</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留存，并根据需要向工程质量监管部门办理备案手续。如需调整方案，各方需按照原审批流程办理审核及确认手续，方可执行新方案。</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（三）在进行检测任务的过程中与该工程相关的施工单位、监理单位、设计单位、</w:t>
      </w:r>
      <w:r>
        <w:rPr>
          <w:rFonts w:hint="eastAsia"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、建设主管部门等相关单位的协调工作。</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（四）检测数据的有关信息根据需要通过市水务监管系统进行传输报送。</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（五）确保施工阶段及验收阶段的各项验收及质量评定所必须的全部质量检测工作根据有关规范及规定按要求出具合法有效的检测成果报告，项目不因检测工作影响工程建设进度及验收。</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（六）自合同签订之日起至所有服务项目完成期间，每批次于现场取样后3天内提交检测初步报告，10天内提交正式检测报告。部分检测内容须待场地问题解决后方能开始实施，服务周期必须满足实际施工要求。</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（七）服务范围除上述检测、监测工作外，包括但不限于：</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①与工程所在行政区域的相关水务行政主管部门和监督部门进行检测工作的协调，申报检测技术成果的审批。保证技术成果能够通过相关部门认可，确保不因检测工作影响本工程项目的建设进度和竣工验收。</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②定期召开例会协调解决、汇报工作过程中存在的问题，并于每月25日提交月报、每三个月提交一次季报、工作小结等阶段性报告。</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建立检测监测工作记录台账及不合格检验记录台账，主要应包括检测监测的时间、对应施工点、检测监测内容、报告出具时间、对应内容单价（合同单价）及合价、累计完成合同总价占比等情况，每月与施工、监理单位对数并更新。</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④当预估产生的检测监测费用与现场施工进度偏差超10%时，应触发预警动作，提醒监理单位及</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⑤对监测资料进行记录并存档以备查用，结合施工工况、天气情况、周围环境变化综合分析和判断，并提出相关建议。</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严格按《广州市水务局关于严格规范落实水务工程建设质量终身责任制有关规定的通知》、《广州市水务局转发关于水利工程建设质量终身责任的管理办法（试行）的通知》（穗水质安〔2018〕139号）等文件要求，落实工程质量终身责任管理工作。</w:t>
      </w:r>
    </w:p>
    <w:p>
      <w:pPr>
        <w:tabs>
          <w:tab w:val="left" w:pos="7513"/>
        </w:tabs>
        <w:spacing w:line="360" w:lineRule="auto"/>
        <w:ind w:firstLine="480" w:firstLineChars="200"/>
        <w:jc w:val="both"/>
        <w:rPr>
          <w:rFonts w:hint="eastAsia" w:eastAsia="宋体"/>
          <w:color w:val="auto"/>
          <w:highlight w:val="none"/>
          <w:lang w:val="en-US" w:eastAsia="zh-CN"/>
        </w:rPr>
      </w:pPr>
      <w:r>
        <w:rPr>
          <w:rFonts w:hint="eastAsia" w:cs="宋体"/>
          <w:color w:val="auto"/>
          <w:sz w:val="24"/>
          <w:szCs w:val="24"/>
          <w:highlight w:val="none"/>
          <w:u w:val="single"/>
          <w:lang w:eastAsia="zh-CN"/>
        </w:rPr>
        <w:t>（八）本次检测、监测招标内容如涉及在消防、公路、铁路、桥梁等其它行政管理部门管辖范围内的专项检测、监测服务，但</w:t>
      </w:r>
      <w:r>
        <w:rPr>
          <w:rFonts w:hint="eastAsia" w:cs="宋体"/>
          <w:color w:val="auto"/>
          <w:highlight w:val="none"/>
          <w:u w:val="single"/>
          <w:lang w:eastAsia="zh-CN"/>
        </w:rPr>
        <w:t>承包人</w:t>
      </w:r>
      <w:r>
        <w:rPr>
          <w:rFonts w:hint="eastAsia" w:cs="宋体"/>
          <w:color w:val="auto"/>
          <w:sz w:val="24"/>
          <w:szCs w:val="24"/>
          <w:highlight w:val="none"/>
          <w:u w:val="single"/>
          <w:lang w:eastAsia="zh-CN"/>
        </w:rPr>
        <w:t>不具备专项专业检测、监测资质，经发包人审批同意后，</w:t>
      </w:r>
      <w:r>
        <w:rPr>
          <w:rFonts w:hint="eastAsia" w:ascii="宋体" w:hAnsi="宋体" w:cs="宋体"/>
          <w:color w:val="auto"/>
          <w:sz w:val="24"/>
          <w:szCs w:val="24"/>
          <w:highlight w:val="none"/>
          <w:u w:val="single"/>
          <w:lang w:eastAsia="zh-CN"/>
        </w:rPr>
        <w:t>承包人</w:t>
      </w:r>
      <w:r>
        <w:rPr>
          <w:rFonts w:hint="eastAsia" w:cs="宋体"/>
          <w:color w:val="auto"/>
          <w:sz w:val="24"/>
          <w:szCs w:val="24"/>
          <w:highlight w:val="none"/>
          <w:u w:val="single"/>
          <w:lang w:eastAsia="zh-CN"/>
        </w:rPr>
        <w:t>可将该部分检测、监测工作分包给具备相应消防、公路、铁路、桥梁等其它专业工程检测、监测资质的单位实施，并在分包合同签订之日起7天内向发包人和监理单位各提交一份分包合同。</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2.2.3服务</w:t>
      </w:r>
      <w:r>
        <w:rPr>
          <w:rFonts w:hint="eastAsia" w:ascii="宋体" w:hAnsi="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自合同签订之日起满两年或实际委托的金额达到暂定合同总额（二者以先到为准），发包人终止向</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委托工程项目。</w:t>
      </w:r>
    </w:p>
    <w:p>
      <w:pPr>
        <w:tabs>
          <w:tab w:val="left" w:pos="7513"/>
        </w:tabs>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单项工程的质量检测、监测服务期自委托之日起至工程竣工并验收合格两年，并且质量检测档案经档案馆验收合格，二者须同时满足。</w:t>
      </w:r>
    </w:p>
    <w:p>
      <w:pPr>
        <w:tabs>
          <w:tab w:val="left" w:pos="7513"/>
        </w:tabs>
        <w:spacing w:line="360" w:lineRule="auto"/>
        <w:ind w:firstLine="480" w:firstLineChars="200"/>
        <w:jc w:val="both"/>
        <w:rPr>
          <w:color w:val="auto"/>
          <w:highlight w:val="none"/>
        </w:rPr>
      </w:pPr>
      <w:r>
        <w:rPr>
          <w:rFonts w:hint="eastAsia" w:ascii="宋体" w:hAnsi="宋体" w:eastAsia="宋体" w:cs="宋体"/>
          <w:color w:val="auto"/>
          <w:sz w:val="24"/>
          <w:szCs w:val="24"/>
          <w:highlight w:val="none"/>
        </w:rPr>
        <w:t>2.2.4最高投标限价：</w:t>
      </w:r>
      <w:bookmarkStart w:id="11" w:name="OLE_LINK1"/>
      <w:r>
        <w:rPr>
          <w:rFonts w:hint="eastAsia" w:ascii="宋体" w:hAnsi="宋体" w:cs="宋体"/>
          <w:color w:val="auto"/>
          <w:highlight w:val="none"/>
          <w:u w:val="single"/>
          <w:lang w:val="en-US" w:eastAsia="zh-CN"/>
        </w:rPr>
        <w:t>第一标段380.46万</w:t>
      </w:r>
      <w:r>
        <w:rPr>
          <w:rFonts w:hint="eastAsia" w:ascii="宋体" w:hAnsi="宋体" w:eastAsia="宋体" w:cs="宋体"/>
          <w:color w:val="auto"/>
          <w:sz w:val="24"/>
          <w:szCs w:val="24"/>
          <w:highlight w:val="none"/>
          <w:u w:val="single"/>
          <w:lang w:val="en-US" w:eastAsia="zh-CN"/>
        </w:rPr>
        <w:t>元</w:t>
      </w:r>
      <w:r>
        <w:rPr>
          <w:rFonts w:hint="eastAsia" w:ascii="宋体" w:hAnsi="宋体" w:cs="宋体"/>
          <w:color w:val="auto"/>
          <w:sz w:val="24"/>
          <w:szCs w:val="24"/>
          <w:highlight w:val="none"/>
          <w:u w:val="single"/>
          <w:lang w:val="en-US" w:eastAsia="zh-CN"/>
        </w:rPr>
        <w:t>，第二标段560.17万元</w:t>
      </w:r>
      <w:r>
        <w:rPr>
          <w:rFonts w:hint="eastAsia" w:ascii="宋体" w:hAnsi="宋体" w:eastAsia="宋体" w:cs="宋体"/>
          <w:color w:val="auto"/>
          <w:highlight w:val="none"/>
          <w:lang w:val="en-US" w:eastAsia="zh-CN" w:bidi="ar"/>
        </w:rPr>
        <w:t>。</w:t>
      </w:r>
      <w:bookmarkEnd w:id="11"/>
    </w:p>
    <w:p>
      <w:pPr>
        <w:pStyle w:val="14"/>
        <w:ind w:left="0" w:firstLine="518" w:firstLineChars="216"/>
        <w:jc w:val="both"/>
        <w:rPr>
          <w:rFonts w:hint="eastAsia"/>
          <w:color w:val="auto"/>
          <w:highlight w:val="none"/>
        </w:rPr>
      </w:pPr>
      <w:r>
        <w:rPr>
          <w:rFonts w:hint="eastAsia" w:ascii="宋体" w:hAnsi="宋体"/>
          <w:color w:val="auto"/>
          <w:sz w:val="24"/>
          <w:szCs w:val="24"/>
          <w:highlight w:val="none"/>
        </w:rPr>
        <w:t>本项目暂定合同总额按</w:t>
      </w:r>
      <w:r>
        <w:rPr>
          <w:rFonts w:hint="eastAsia" w:ascii="宋体" w:hAnsi="宋体"/>
          <w:b w:val="0"/>
          <w:bCs w:val="0"/>
          <w:color w:val="auto"/>
          <w:sz w:val="24"/>
          <w:highlight w:val="none"/>
        </w:rPr>
        <w:t>最高投标限价</w:t>
      </w:r>
      <w:r>
        <w:rPr>
          <w:rFonts w:hint="eastAsia" w:ascii="宋体" w:hAnsi="宋体"/>
          <w:color w:val="auto"/>
          <w:sz w:val="24"/>
          <w:szCs w:val="24"/>
          <w:highlight w:val="none"/>
        </w:rPr>
        <w:t>签订</w:t>
      </w:r>
      <w:r>
        <w:rPr>
          <w:rFonts w:hint="eastAsia" w:ascii="宋体" w:hAnsi="宋体"/>
          <w:color w:val="auto"/>
          <w:sz w:val="24"/>
          <w:szCs w:val="24"/>
          <w:highlight w:val="none"/>
          <w:lang w:eastAsia="zh-CN"/>
        </w:rPr>
        <w:t>，投标报价得分按投标人报的下浮率计算。</w:t>
      </w:r>
    </w:p>
    <w:p>
      <w:pPr>
        <w:pStyle w:val="7"/>
        <w:jc w:val="both"/>
        <w:outlineLvl w:val="1"/>
        <w:rPr>
          <w:rFonts w:hint="eastAsia" w:ascii="宋体" w:hAnsi="宋体" w:eastAsia="宋体" w:cs="宋体"/>
          <w:b w:val="0"/>
          <w:i/>
          <w:color w:val="auto"/>
          <w:sz w:val="21"/>
          <w:szCs w:val="21"/>
          <w:highlight w:val="none"/>
          <w:lang w:val="en-US" w:eastAsia="zh-CN"/>
        </w:rPr>
      </w:pPr>
      <w:bookmarkStart w:id="12" w:name="bookmark4"/>
      <w:bookmarkEnd w:id="12"/>
      <w:bookmarkStart w:id="13" w:name="_Toc32236"/>
      <w:r>
        <w:rPr>
          <w:rFonts w:hint="eastAsia" w:ascii="宋体" w:hAnsi="宋体" w:eastAsia="宋体" w:cs="宋体"/>
          <w:color w:val="auto"/>
          <w:sz w:val="24"/>
          <w:szCs w:val="24"/>
          <w:highlight w:val="none"/>
        </w:rPr>
        <w:t>3.投标人资格要求</w:t>
      </w:r>
      <w:bookmarkEnd w:id="13"/>
      <w:r>
        <w:rPr>
          <w:rFonts w:hint="eastAsia" w:ascii="宋体" w:hAnsi="宋体" w:eastAsia="宋体" w:cs="宋体"/>
          <w:bCs/>
          <w:iCs/>
          <w:color w:val="auto"/>
          <w:sz w:val="21"/>
          <w:szCs w:val="21"/>
          <w:highlight w:val="none"/>
          <w:lang w:val="en-US" w:eastAsia="zh-CN"/>
        </w:rPr>
        <w:t>（同时适用于所有标段）</w:t>
      </w:r>
    </w:p>
    <w:p>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bookmarkStart w:id="14" w:name="_Toc31217"/>
      <w:r>
        <w:rPr>
          <w:rFonts w:hint="eastAsia" w:ascii="宋体" w:hAnsi="宋体" w:eastAsia="宋体" w:cs="宋体"/>
          <w:color w:val="auto"/>
          <w:sz w:val="24"/>
          <w:szCs w:val="24"/>
          <w:highlight w:val="none"/>
          <w:lang w:val="en-US" w:eastAsia="zh-CN"/>
        </w:rPr>
        <w:t>3.1 投标人参加投标的意思表达清楚，投标人代表被授权有效。</w:t>
      </w:r>
      <w:bookmarkEnd w:id="14"/>
    </w:p>
    <w:p>
      <w:pPr>
        <w:tabs>
          <w:tab w:val="left" w:pos="7513"/>
        </w:tabs>
        <w:spacing w:line="360" w:lineRule="auto"/>
        <w:ind w:right="-288" w:rightChars="-12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 </w:t>
      </w:r>
      <w:r>
        <w:rPr>
          <w:rFonts w:hint="eastAsia" w:ascii="宋体" w:hAnsi="宋体" w:cs="宋体"/>
          <w:color w:val="auto"/>
          <w:highlight w:val="none"/>
          <w:lang w:val="en-US" w:eastAsia="zh-CN"/>
        </w:rPr>
        <w:t>投标人（如为联合体，要求联合体各方）是法人或其他组织，按国家法律经营。</w:t>
      </w:r>
    </w:p>
    <w:p>
      <w:pPr>
        <w:spacing w:line="360" w:lineRule="auto"/>
        <w:ind w:firstLine="480" w:firstLineChars="200"/>
        <w:jc w:val="both"/>
        <w:rPr>
          <w:rFonts w:hint="eastAsia" w:ascii="宋体" w:hAnsi="宋体" w:eastAsia="宋体" w:cs="宋体"/>
          <w:color w:val="auto"/>
          <w:sz w:val="24"/>
          <w:szCs w:val="24"/>
          <w:highlight w:val="none"/>
          <w:lang w:val="en-US" w:eastAsia="zh-CN"/>
        </w:rPr>
      </w:pPr>
      <w:bookmarkStart w:id="15" w:name="_Toc9121"/>
      <w:r>
        <w:rPr>
          <w:rFonts w:hint="eastAsia" w:ascii="宋体" w:hAnsi="宋体" w:eastAsia="宋体" w:cs="宋体"/>
          <w:color w:val="auto"/>
          <w:sz w:val="24"/>
          <w:szCs w:val="24"/>
          <w:highlight w:val="none"/>
          <w:lang w:val="en-US" w:eastAsia="zh-CN"/>
        </w:rPr>
        <w:t xml:space="preserve">3.3 </w:t>
      </w:r>
      <w:bookmarkEnd w:id="15"/>
      <w:r>
        <w:rPr>
          <w:rFonts w:hint="eastAsia" w:ascii="宋体" w:hAnsi="宋体" w:cs="宋体"/>
          <w:color w:val="auto"/>
          <w:highlight w:val="none"/>
          <w:lang w:val="en-US" w:eastAsia="zh-CN"/>
        </w:rPr>
        <w:t>投标人（如为联合体，要求联合体各方）具有质量技术监督部门颁发的CMA计量认证证书（认证范围覆盖招标内容），且证书在有效期内（如CMA计量认证合格证书中的认证项目与上述招标内容名称不同，但表达的意思一致也视为满足该项条件）</w:t>
      </w:r>
      <w:r>
        <w:rPr>
          <w:rFonts w:hint="eastAsia" w:ascii="宋体" w:hAnsi="宋体" w:eastAsia="宋体" w:cs="宋体"/>
          <w:color w:val="auto"/>
          <w:sz w:val="24"/>
          <w:szCs w:val="24"/>
          <w:highlight w:val="none"/>
          <w:lang w:val="en-US" w:eastAsia="zh-CN"/>
        </w:rPr>
        <w:t>。</w:t>
      </w:r>
    </w:p>
    <w:p>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r>
        <w:rPr>
          <w:rFonts w:hint="eastAsia" w:ascii="宋体" w:hAnsi="宋体" w:cs="宋体"/>
          <w:color w:val="auto"/>
          <w:sz w:val="24"/>
          <w:szCs w:val="24"/>
          <w:highlight w:val="none"/>
          <w:u w:val="none"/>
          <w:lang w:val="en-US" w:eastAsia="zh-CN"/>
        </w:rPr>
        <w:t xml:space="preserve">4 </w:t>
      </w:r>
      <w:r>
        <w:rPr>
          <w:rFonts w:hint="eastAsia" w:ascii="宋体" w:hAnsi="宋体" w:cs="宋体"/>
          <w:color w:val="auto"/>
          <w:highlight w:val="none"/>
          <w:u w:val="none"/>
        </w:rPr>
        <w:t>投标人（如为联合体，要求承担检测任务的一方）具备建设行政主管部门颁发的建设工程质量检测机构资质证书（检测范围应涵盖本招标内容，包括但不限于：主体结构工程现场检测资质，见证取样检测资质、地基基础工程检测资质等。如检测机构资质证书中的检测项目与上述名称不同，但表达的意思一致也视为满足该项条件)，且资质证书在有效期内</w:t>
      </w:r>
      <w:r>
        <w:rPr>
          <w:rFonts w:hint="eastAsia" w:ascii="宋体" w:hAnsi="宋体" w:cs="宋体"/>
          <w:color w:val="auto"/>
          <w:sz w:val="24"/>
          <w:szCs w:val="24"/>
          <w:highlight w:val="none"/>
          <w:u w:val="none"/>
        </w:rPr>
        <w:t>。</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注：如投标人的企业资质是按照《住房和城乡建设部关于印发《建设工程质量检测机构资质标准》的通知》（建质规〔2023〕1号）、《广东省住房和城乡建设厅关于做好建设工程质量检测机构资质审批有关事项准备的通知》（粤建质〔2024〕244号）规定办理的，则要求具有建设行政主管部门颁发的以下①、②项其中之一资质：</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①具有建设工程质量检测机构综合资质（指包含全部专项资质的检测机构资质），且资质证书在有效期内。</w:t>
      </w:r>
    </w:p>
    <w:p>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highlight w:val="none"/>
          <w:u w:val="none"/>
        </w:rPr>
        <w:t>②具备建设工程质量检测机构资质证书（检测范围应涵盖本招标内容，包括但不限于：地基基础、市政工程材料、道路工程、建筑材料及构配件、主体结构及装饰装修专项资质，如检测机构资质证书中的检测项目与上述名称不同，但表达的意思一致也视为满足该项条件)，且资质证书在有效期内。</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sz w:val="24"/>
          <w:szCs w:val="24"/>
          <w:highlight w:val="none"/>
          <w:u w:val="none"/>
        </w:rPr>
        <w:t>3.</w:t>
      </w:r>
      <w:r>
        <w:rPr>
          <w:rFonts w:hint="eastAsia" w:ascii="宋体" w:hAnsi="宋体" w:cs="宋体"/>
          <w:color w:val="auto"/>
          <w:sz w:val="24"/>
          <w:szCs w:val="24"/>
          <w:highlight w:val="none"/>
          <w:u w:val="none"/>
          <w:lang w:val="en-US" w:eastAsia="zh-CN"/>
        </w:rPr>
        <w:t xml:space="preserve">5 </w:t>
      </w:r>
      <w:r>
        <w:rPr>
          <w:rFonts w:hint="eastAsia" w:ascii="宋体" w:hAnsi="宋体" w:cs="宋体"/>
          <w:color w:val="auto"/>
          <w:sz w:val="24"/>
          <w:szCs w:val="24"/>
          <w:highlight w:val="none"/>
          <w:u w:val="none"/>
          <w:lang w:val="en-US" w:eastAsia="zh-CN"/>
        </w:rPr>
        <w:t>第一标段：</w:t>
      </w:r>
      <w:r>
        <w:rPr>
          <w:rFonts w:hint="eastAsia" w:ascii="宋体" w:hAnsi="宋体" w:cs="宋体"/>
          <w:color w:val="auto"/>
          <w:highlight w:val="none"/>
          <w:u w:val="none"/>
        </w:rPr>
        <w:t>投标人（如为联合体，要求承担监测任务的一方）具有建设行政主管部门颁发的以下①、②项其中之一资质：</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①工程勘察综合资质，且资质证书在有效期内；</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②同时具有工程勘察专业类（岩土工程或岩土工程物探测试检测监测）甲级资质及工程勘察专业类(工程测量)乙级（或以上）资质，且资质证书在有效期内。</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sz w:val="24"/>
          <w:szCs w:val="24"/>
          <w:highlight w:val="none"/>
          <w:u w:val="none"/>
          <w:lang w:val="en-US" w:eastAsia="zh-CN"/>
        </w:rPr>
        <w:t>第二标段：</w:t>
      </w:r>
      <w:r>
        <w:rPr>
          <w:rFonts w:hint="eastAsia" w:ascii="宋体" w:hAnsi="宋体" w:cs="宋体"/>
          <w:color w:val="auto"/>
          <w:highlight w:val="none"/>
          <w:u w:val="none"/>
        </w:rPr>
        <w:t>投标人（如为联合体，要求承担监测任务的一方）具有建设行政主管部门颁发的以下①、②项其中之一资质：</w:t>
      </w:r>
    </w:p>
    <w:p>
      <w:pPr>
        <w:spacing w:line="360" w:lineRule="auto"/>
        <w:ind w:firstLine="480" w:firstLineChars="200"/>
        <w:jc w:val="both"/>
        <w:rPr>
          <w:rFonts w:hint="eastAsia" w:ascii="宋体" w:hAnsi="宋体" w:cs="宋体"/>
          <w:color w:val="auto"/>
          <w:highlight w:val="none"/>
          <w:u w:val="none"/>
        </w:rPr>
      </w:pPr>
      <w:r>
        <w:rPr>
          <w:rFonts w:hint="eastAsia" w:ascii="宋体" w:hAnsi="宋体" w:cs="宋体"/>
          <w:color w:val="auto"/>
          <w:highlight w:val="none"/>
          <w:u w:val="none"/>
        </w:rPr>
        <w:t>①工程勘察综合资质，且资质证书在有效期内；</w:t>
      </w:r>
    </w:p>
    <w:p>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highlight w:val="none"/>
          <w:u w:val="none"/>
        </w:rPr>
        <w:t>②同时具有工程勘察专业类（岩土工程或岩土工程物探测试检测监测）乙级（或以上）资质及工程勘察专业类(工程测量)乙级（或以上）资质，且资质证书在有效期内。</w:t>
      </w:r>
    </w:p>
    <w:p>
      <w:pPr>
        <w:spacing w:line="360" w:lineRule="auto"/>
        <w:ind w:firstLine="480" w:firstLineChars="200"/>
        <w:jc w:val="both"/>
        <w:rPr>
          <w:rFonts w:hint="eastAsia"/>
          <w:color w:val="auto"/>
          <w:highlight w:val="none"/>
          <w:u w:val="none"/>
        </w:rPr>
      </w:pPr>
      <w:r>
        <w:rPr>
          <w:rFonts w:hint="eastAsia" w:ascii="宋体" w:hAnsi="宋体" w:eastAsia="宋体" w:cs="宋体"/>
          <w:color w:val="auto"/>
          <w:w w:val="100"/>
          <w:sz w:val="24"/>
          <w:szCs w:val="24"/>
          <w:highlight w:val="none"/>
          <w:u w:val="none"/>
        </w:rPr>
        <w:t>注：香港企业参加投标的，须</w:t>
      </w:r>
      <w:r>
        <w:rPr>
          <w:rFonts w:hint="eastAsia" w:ascii="宋体" w:hAnsi="宋体" w:eastAsia="宋体" w:cs="宋体"/>
          <w:color w:val="auto"/>
          <w:w w:val="100"/>
          <w:sz w:val="24"/>
          <w:szCs w:val="24"/>
          <w:highlight w:val="none"/>
          <w:u w:val="none"/>
          <w:lang w:val="en-US" w:eastAsia="zh-CN"/>
        </w:rPr>
        <w:t>已</w:t>
      </w:r>
      <w:r>
        <w:rPr>
          <w:rFonts w:hint="eastAsia" w:ascii="宋体" w:hAnsi="宋体" w:eastAsia="宋体" w:cs="宋体"/>
          <w:color w:val="auto"/>
          <w:w w:val="100"/>
          <w:sz w:val="24"/>
          <w:szCs w:val="24"/>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4"/>
          <w:szCs w:val="24"/>
          <w:highlight w:val="none"/>
          <w:u w:val="none"/>
          <w:lang w:val="en-US" w:eastAsia="zh-CN"/>
        </w:rPr>
        <w:t>〔2020〕</w:t>
      </w:r>
      <w:r>
        <w:rPr>
          <w:rFonts w:hint="eastAsia" w:ascii="宋体" w:hAnsi="宋体" w:eastAsia="宋体" w:cs="宋体"/>
          <w:color w:val="auto"/>
          <w:w w:val="100"/>
          <w:sz w:val="24"/>
          <w:szCs w:val="24"/>
          <w:highlight w:val="none"/>
          <w:u w:val="none"/>
        </w:rPr>
        <w:t>1号）确定</w:t>
      </w:r>
      <w:r>
        <w:rPr>
          <w:rFonts w:hint="eastAsia" w:ascii="宋体" w:hAnsi="宋体" w:eastAsia="宋体" w:cs="宋体"/>
          <w:color w:val="auto"/>
          <w:w w:val="100"/>
          <w:sz w:val="24"/>
          <w:szCs w:val="24"/>
          <w:highlight w:val="none"/>
          <w:u w:val="none"/>
          <w:lang w:eastAsia="zh-CN"/>
        </w:rPr>
        <w:t>，工程勘察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4"/>
          <w:szCs w:val="24"/>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4"/>
          <w:szCs w:val="24"/>
          <w:highlight w:val="none"/>
          <w:u w:val="none"/>
          <w:lang w:eastAsia="zh-CN"/>
        </w:rPr>
        <w:t>执行</w:t>
      </w:r>
      <w:r>
        <w:rPr>
          <w:rFonts w:hint="eastAsia" w:ascii="宋体" w:hAnsi="宋体" w:eastAsia="宋体" w:cs="宋体"/>
          <w:color w:val="auto"/>
          <w:w w:val="100"/>
          <w:sz w:val="24"/>
          <w:szCs w:val="24"/>
          <w:highlight w:val="none"/>
          <w:u w:val="none"/>
        </w:rPr>
        <w:t>]。</w:t>
      </w:r>
    </w:p>
    <w:p>
      <w:pPr>
        <w:spacing w:line="360" w:lineRule="auto"/>
        <w:ind w:firstLine="480" w:firstLineChars="200"/>
        <w:jc w:val="both"/>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3.</w:t>
      </w:r>
      <w:r>
        <w:rPr>
          <w:rFonts w:hint="eastAsia" w:ascii="宋体" w:hAnsi="宋体" w:cs="宋体"/>
          <w:color w:val="auto"/>
          <w:sz w:val="24"/>
          <w:szCs w:val="24"/>
          <w:highlight w:val="none"/>
          <w:u w:val="none"/>
          <w:lang w:val="en-US" w:eastAsia="zh-CN"/>
        </w:rPr>
        <w:t xml:space="preserve">6 </w:t>
      </w:r>
      <w:r>
        <w:rPr>
          <w:rFonts w:hint="eastAsia" w:ascii="宋体" w:hAnsi="宋体" w:eastAsia="宋体" w:cs="宋体"/>
          <w:color w:val="auto"/>
          <w:sz w:val="24"/>
          <w:szCs w:val="24"/>
          <w:highlight w:val="none"/>
          <w:u w:val="none"/>
        </w:rPr>
        <w:t>投标人已在</w:t>
      </w:r>
      <w:r>
        <w:rPr>
          <w:rFonts w:hint="eastAsia" w:ascii="宋体" w:hAnsi="宋体" w:eastAsia="宋体" w:cs="宋体"/>
          <w:color w:val="auto"/>
          <w:sz w:val="24"/>
          <w:szCs w:val="24"/>
          <w:highlight w:val="none"/>
          <w:u w:val="none"/>
          <w:lang w:eastAsia="zh-CN"/>
        </w:rPr>
        <w:t>广州交易集团有限公司（广州公共资源交易中心）</w:t>
      </w:r>
      <w:r>
        <w:rPr>
          <w:rFonts w:hint="eastAsia" w:ascii="宋体" w:hAnsi="宋体" w:eastAsia="宋体" w:cs="宋体"/>
          <w:color w:val="auto"/>
          <w:sz w:val="24"/>
          <w:szCs w:val="24"/>
          <w:highlight w:val="none"/>
          <w:u w:val="none"/>
        </w:rPr>
        <w:t>办理企业信息登记，本项目负责人是本企业在</w:t>
      </w:r>
      <w:r>
        <w:rPr>
          <w:rFonts w:hint="eastAsia" w:ascii="宋体" w:hAnsi="宋体" w:eastAsia="宋体" w:cs="宋体"/>
          <w:color w:val="auto"/>
          <w:sz w:val="24"/>
          <w:szCs w:val="24"/>
          <w:highlight w:val="none"/>
          <w:u w:val="none"/>
          <w:lang w:eastAsia="zh-CN"/>
        </w:rPr>
        <w:t>广州交易集团有限公司（广州公共资源交易中心）</w:t>
      </w:r>
      <w:r>
        <w:rPr>
          <w:rFonts w:hint="eastAsia" w:ascii="宋体" w:hAnsi="宋体" w:eastAsia="宋体" w:cs="宋体"/>
          <w:color w:val="auto"/>
          <w:sz w:val="24"/>
          <w:szCs w:val="24"/>
          <w:highlight w:val="none"/>
          <w:u w:val="none"/>
        </w:rPr>
        <w:t>企业信息登记中的在册人员</w:t>
      </w:r>
      <w:r>
        <w:rPr>
          <w:rFonts w:hint="eastAsia" w:ascii="宋体" w:hAnsi="宋体" w:eastAsia="宋体" w:cs="宋体"/>
          <w:color w:val="auto"/>
          <w:sz w:val="24"/>
          <w:szCs w:val="24"/>
          <w:highlight w:val="none"/>
          <w:u w:val="none"/>
          <w:lang w:eastAsia="zh-CN"/>
        </w:rPr>
        <w:t>。</w:t>
      </w:r>
    </w:p>
    <w:p>
      <w:pPr>
        <w:spacing w:line="360" w:lineRule="auto"/>
        <w:ind w:firstLine="480" w:firstLineChars="200"/>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 xml:space="preserve">3.7 </w:t>
      </w:r>
      <w:r>
        <w:rPr>
          <w:rFonts w:hint="eastAsia" w:ascii="宋体" w:hAnsi="宋体" w:cs="宋体"/>
          <w:color w:val="auto"/>
          <w:sz w:val="24"/>
          <w:szCs w:val="24"/>
          <w:highlight w:val="none"/>
          <w:u w:val="none"/>
        </w:rPr>
        <w:t>关于联合体投标：</w:t>
      </w:r>
      <w:r>
        <w:rPr>
          <w:rFonts w:hint="eastAsia" w:ascii="宋体" w:hAnsi="宋体" w:cs="宋体"/>
          <w:color w:val="auto"/>
          <w:sz w:val="24"/>
          <w:szCs w:val="24"/>
          <w:highlight w:val="none"/>
          <w:u w:val="none"/>
        </w:rPr>
        <w:t>本项目接受联合体投标。</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rPr>
        <w:t>注：</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rPr>
        <w:t>如投标人组成联合体，应以</w:t>
      </w:r>
      <w:r>
        <w:rPr>
          <w:rFonts w:hint="eastAsia" w:ascii="宋体" w:hAnsi="宋体" w:eastAsia="宋体" w:cs="宋体"/>
          <w:color w:val="auto"/>
          <w:sz w:val="24"/>
          <w:szCs w:val="24"/>
          <w:highlight w:val="none"/>
          <w:u w:val="single"/>
        </w:rPr>
        <w:t>承接检测任务</w:t>
      </w:r>
      <w:r>
        <w:rPr>
          <w:rFonts w:hint="eastAsia" w:ascii="宋体" w:hAnsi="宋体" w:eastAsia="宋体" w:cs="宋体"/>
          <w:color w:val="auto"/>
          <w:sz w:val="24"/>
          <w:szCs w:val="24"/>
          <w:highlight w:val="none"/>
          <w:u w:val="single"/>
          <w:lang w:eastAsia="zh-CN"/>
        </w:rPr>
        <w:t>的</w:t>
      </w:r>
      <w:r>
        <w:rPr>
          <w:rFonts w:hint="eastAsia" w:ascii="宋体" w:hAnsi="宋体" w:cs="宋体"/>
          <w:color w:val="auto"/>
          <w:sz w:val="24"/>
          <w:szCs w:val="24"/>
          <w:highlight w:val="none"/>
          <w:u w:val="single"/>
          <w:lang w:eastAsia="zh-CN"/>
        </w:rPr>
        <w:t>一方</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，并签定联合体投标</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。投标人拟任本工程项目负责人应为</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正式员工。联合体投标</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应明确约定各方拟承担的工作和责任。</w:t>
      </w:r>
      <w:r>
        <w:rPr>
          <w:rFonts w:hint="eastAsia" w:ascii="宋体" w:hAnsi="宋体" w:eastAsia="宋体" w:cs="宋体"/>
          <w:color w:val="auto"/>
          <w:w w:val="100"/>
          <w:sz w:val="24"/>
          <w:szCs w:val="24"/>
          <w:highlight w:val="none"/>
        </w:rPr>
        <w:t>投标登记截止后</w:t>
      </w:r>
      <w:r>
        <w:rPr>
          <w:rFonts w:hint="eastAsia" w:ascii="宋体" w:hAnsi="宋体" w:eastAsia="宋体" w:cs="宋体"/>
          <w:color w:val="auto"/>
          <w:sz w:val="24"/>
          <w:szCs w:val="24"/>
          <w:highlight w:val="none"/>
        </w:rPr>
        <w:t>联合体增减、更换成员的，其投标无效。</w:t>
      </w:r>
    </w:p>
    <w:p>
      <w:pPr>
        <w:spacing w:line="360" w:lineRule="auto"/>
        <w:ind w:firstLine="480" w:firstLineChars="200"/>
        <w:jc w:val="both"/>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联合体组成单位不得超过</w:t>
      </w:r>
      <w:r>
        <w:rPr>
          <w:rFonts w:hint="eastAsia" w:ascii="宋体" w:hAnsi="宋体" w:eastAsia="宋体" w:cs="宋体"/>
          <w:color w:val="auto"/>
          <w:kern w:val="2"/>
          <w:sz w:val="24"/>
          <w:szCs w:val="24"/>
          <w:highlight w:val="none"/>
          <w:u w:val="single"/>
          <w:lang w:val="en-US" w:eastAsia="zh-CN" w:bidi="ar-SA"/>
        </w:rPr>
        <w:t xml:space="preserve">  2  </w:t>
      </w:r>
      <w:r>
        <w:rPr>
          <w:rFonts w:hint="eastAsia" w:ascii="宋体" w:hAnsi="宋体" w:eastAsia="宋体" w:cs="宋体"/>
          <w:color w:val="auto"/>
          <w:kern w:val="2"/>
          <w:sz w:val="24"/>
          <w:szCs w:val="24"/>
          <w:highlight w:val="none"/>
          <w:lang w:val="en-US" w:eastAsia="zh-CN" w:bidi="ar-SA"/>
        </w:rPr>
        <w:t>家，联合体各方不得再以自己名义单独或参加其他联合体在本招标项目中的投标。出现上述情况者，其投标和与此有关的投标将被拒绝。</w:t>
      </w:r>
    </w:p>
    <w:p>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其他要求：</w:t>
      </w:r>
    </w:p>
    <w:p>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投标人（若为联合体，指联合体各方）已按照规定格式和内容签署盖章《投标人声明》（格式详见附件</w:t>
      </w:r>
      <w:r>
        <w:rPr>
          <w:rFonts w:hint="eastAsia" w:ascii="宋体" w:hAnsi="宋体" w:cs="宋体"/>
          <w:color w:val="auto"/>
          <w:sz w:val="24"/>
          <w:szCs w:val="24"/>
          <w:highlight w:val="none"/>
          <w:u w:val="none"/>
          <w:lang w:eastAsia="zh-CN"/>
        </w:rPr>
        <w:t>一</w:t>
      </w:r>
      <w:r>
        <w:rPr>
          <w:rFonts w:hint="eastAsia" w:ascii="宋体" w:hAnsi="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p>
    <w:p>
      <w:pPr>
        <w:widowControl/>
        <w:snapToGrid w:val="0"/>
        <w:spacing w:line="360" w:lineRule="auto"/>
        <w:ind w:right="34" w:rightChars="14" w:firstLine="480" w:firstLineChars="200"/>
        <w:jc w:val="both"/>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投标人（如为联合体，要求联合体各方）近二年（2023年的1月1日起至投标截止时间止）未因以往检测或监测工作中存在伪造检测或监测数据、出具虚假检测或监测报告的行为被各级建设行政主管部门或市场监督管理部门行政处罚或通报的（按投标人提供的《投标人声明》进行评审）。</w:t>
      </w:r>
    </w:p>
    <w:p>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如为联合体，要求承担检测任务的一方）承诺，在开工前其检测管理系统已纳入广州市水务工程质量检测监管系统，并通过广州市水务工程质量安全监督站的备案验收，并提供盖有投标人公章的承诺函（格式自拟）。</w:t>
      </w:r>
    </w:p>
    <w:p>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（4）在本公告发布和投标截止时，投标人（如为联合体，要求联合体各方）未被纳入黑名单（</w:t>
      </w:r>
      <w:r>
        <w:rPr>
          <w:rFonts w:hint="eastAsia" w:ascii="宋体" w:hAnsi="宋体" w:eastAsia="宋体" w:cs="宋体"/>
          <w:color w:val="auto"/>
          <w:highlight w:val="none"/>
          <w:lang w:val="en-US" w:eastAsia="zh-CN"/>
        </w:rPr>
        <w:t>具体名单</w:t>
      </w:r>
      <w:r>
        <w:rPr>
          <w:rFonts w:hint="eastAsia" w:ascii="宋体" w:hAnsi="宋体" w:eastAsia="宋体" w:cs="宋体"/>
          <w:color w:val="auto"/>
          <w:sz w:val="24"/>
          <w:szCs w:val="24"/>
          <w:highlight w:val="none"/>
          <w:lang w:val="en-US" w:eastAsia="zh-CN"/>
        </w:rPr>
        <w:t>以“信用广州”网站公布的“黑名单”为准）。</w:t>
      </w:r>
    </w:p>
    <w:p>
      <w:pPr>
        <w:pStyle w:val="7"/>
        <w:jc w:val="both"/>
        <w:outlineLvl w:val="1"/>
        <w:rPr>
          <w:rFonts w:hint="eastAsia" w:ascii="宋体" w:hAnsi="宋体" w:eastAsia="宋体" w:cs="宋体"/>
          <w:color w:val="auto"/>
          <w:sz w:val="24"/>
          <w:szCs w:val="24"/>
          <w:highlight w:val="none"/>
        </w:rPr>
      </w:pPr>
      <w:bookmarkStart w:id="16" w:name="bookmark5"/>
      <w:bookmarkEnd w:id="16"/>
      <w:bookmarkStart w:id="17" w:name="_Toc22237"/>
      <w:r>
        <w:rPr>
          <w:rFonts w:hint="eastAsia" w:ascii="宋体" w:hAnsi="宋体" w:eastAsia="宋体" w:cs="宋体"/>
          <w:color w:val="auto"/>
          <w:sz w:val="24"/>
          <w:szCs w:val="24"/>
          <w:highlight w:val="none"/>
        </w:rPr>
        <w:t>4.招标文件的获取</w:t>
      </w:r>
      <w:bookmarkEnd w:id="17"/>
    </w:p>
    <w:p>
      <w:pPr>
        <w:widowControl/>
        <w:topLinePunct/>
        <w:autoSpaceDE/>
        <w:autoSpaceDN/>
        <w:adjustRightInd/>
        <w:snapToGrid w:val="0"/>
        <w:spacing w:line="360" w:lineRule="auto"/>
        <w:ind w:firstLine="471" w:firstLineChars="198"/>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.1 </w:t>
      </w:r>
      <w:r>
        <w:rPr>
          <w:rFonts w:hint="eastAsia" w:ascii="宋体" w:hAnsi="宋体" w:eastAsia="宋体" w:cs="宋体"/>
          <w:color w:val="auto"/>
          <w:sz w:val="24"/>
          <w:szCs w:val="24"/>
          <w:highlight w:val="none"/>
        </w:rPr>
        <w:t>发布招标公告</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（北京时间，下同），凡有意参加投标者，请登录广州交易集团有限公司（广州公共资源交易中心）网站下载电子招标文件。</w:t>
      </w:r>
    </w:p>
    <w:p>
      <w:pPr>
        <w:widowControl/>
        <w:topLinePunct/>
        <w:autoSpaceDE/>
        <w:autoSpaceDN/>
        <w:adjustRightInd/>
        <w:snapToGrid w:val="0"/>
        <w:spacing w:line="360"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注：发布招标公告的时间为招标公告发出之日起至递交投标文件截止时间止。</w:t>
      </w:r>
    </w:p>
    <w:p>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本项目招标文件随招标公告一并在</w:t>
      </w:r>
      <w:r>
        <w:rPr>
          <w:rFonts w:hint="eastAsia" w:ascii="宋体" w:hAnsi="宋体" w:eastAsia="宋体" w:cs="宋体"/>
          <w:color w:val="auto"/>
          <w:sz w:val="24"/>
          <w:szCs w:val="24"/>
          <w:highlight w:val="none"/>
          <w:lang w:eastAsia="zh-CN"/>
        </w:rPr>
        <w:t>广州交易集团有限公司（广州公共资源交易中心）网站交易平台</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eastAsia="zh-CN"/>
        </w:rPr>
        <w:t>。招标文件一经在交易平台发布，视为发出给投标人，招标文件</w:t>
      </w:r>
      <w:r>
        <w:rPr>
          <w:rFonts w:hint="eastAsia" w:ascii="宋体" w:hAnsi="宋体" w:eastAsia="宋体" w:cs="宋体"/>
          <w:color w:val="auto"/>
          <w:sz w:val="24"/>
          <w:szCs w:val="24"/>
          <w:highlight w:val="none"/>
        </w:rPr>
        <w:t>由投标人自行</w:t>
      </w:r>
      <w:r>
        <w:rPr>
          <w:rFonts w:hint="eastAsia" w:ascii="宋体" w:hAnsi="宋体" w:eastAsia="宋体" w:cs="宋体"/>
          <w:color w:val="auto"/>
          <w:sz w:val="24"/>
          <w:szCs w:val="24"/>
          <w:highlight w:val="none"/>
          <w:lang w:eastAsia="zh-CN"/>
        </w:rPr>
        <w:t>在交易平台</w:t>
      </w:r>
      <w:r>
        <w:rPr>
          <w:rFonts w:hint="eastAsia" w:ascii="宋体" w:hAnsi="宋体" w:eastAsia="宋体" w:cs="宋体"/>
          <w:color w:val="auto"/>
          <w:sz w:val="24"/>
          <w:szCs w:val="24"/>
          <w:highlight w:val="none"/>
        </w:rPr>
        <w:t>下载。</w:t>
      </w:r>
    </w:p>
    <w:p>
      <w:pPr>
        <w:pStyle w:val="7"/>
        <w:jc w:val="both"/>
        <w:outlineLvl w:val="1"/>
        <w:rPr>
          <w:rFonts w:hint="eastAsia" w:ascii="宋体" w:hAnsi="宋体" w:eastAsia="宋体" w:cs="宋体"/>
          <w:color w:val="auto"/>
          <w:sz w:val="24"/>
          <w:szCs w:val="24"/>
          <w:highlight w:val="none"/>
        </w:rPr>
      </w:pPr>
      <w:bookmarkStart w:id="18" w:name="bookmark6"/>
      <w:bookmarkEnd w:id="18"/>
      <w:bookmarkStart w:id="19" w:name="_Toc29694"/>
      <w:r>
        <w:rPr>
          <w:rFonts w:hint="eastAsia" w:ascii="宋体" w:hAnsi="宋体" w:eastAsia="宋体" w:cs="宋体"/>
          <w:color w:val="auto"/>
          <w:sz w:val="24"/>
          <w:szCs w:val="24"/>
          <w:highlight w:val="none"/>
        </w:rPr>
        <w:t>5.投标文件的递交</w:t>
      </w:r>
      <w:bookmarkEnd w:id="19"/>
    </w:p>
    <w:p>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投标文件上传</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交易平台即时向投标人发出递交</w:t>
      </w:r>
      <w:r>
        <w:rPr>
          <w:rFonts w:hint="eastAsia" w:ascii="宋体" w:hAnsi="宋体" w:eastAsia="宋体" w:cs="宋体"/>
          <w:color w:val="auto"/>
          <w:sz w:val="24"/>
          <w:szCs w:val="24"/>
          <w:highlight w:val="none"/>
        </w:rPr>
        <w:t>回执</w:t>
      </w:r>
      <w:r>
        <w:rPr>
          <w:rFonts w:hint="eastAsia" w:ascii="宋体" w:hAnsi="宋体" w:eastAsia="宋体" w:cs="宋体"/>
          <w:color w:val="auto"/>
          <w:sz w:val="24"/>
          <w:szCs w:val="24"/>
          <w:highlight w:val="none"/>
          <w:lang w:eastAsia="zh-CN"/>
        </w:rPr>
        <w:t>通知。递交时间以递交回执通知载明的传输完成时间为准。</w:t>
      </w:r>
    </w:p>
    <w:p>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在投标截止时间后</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小时内，投标人通过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对已递交的电子投标文件进行解密。</w:t>
      </w:r>
    </w:p>
    <w:p>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5.2 </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网站交易平台办理网上投标登记手续；</w:t>
      </w:r>
      <w:r>
        <w:rPr>
          <w:rFonts w:hint="eastAsia" w:ascii="宋体" w:hAnsi="宋体" w:eastAsia="宋体" w:cs="宋体"/>
          <w:color w:val="auto"/>
          <w:sz w:val="24"/>
          <w:szCs w:val="24"/>
          <w:highlight w:val="none"/>
          <w:lang w:eastAsia="zh-CN"/>
        </w:rPr>
        <w:t>按照广州交易集团有限公司（广州公共资源交易中心）网站关于全流程电子化项目的相关指南进行操作。</w:t>
      </w:r>
    </w:p>
    <w:p>
      <w:pPr>
        <w:widowControl/>
        <w:topLinePunct/>
        <w:autoSpaceDE/>
        <w:autoSpaceDN/>
        <w:adjustRightInd/>
        <w:snapToGrid w:val="0"/>
        <w:spacing w:line="360"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5.3 </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widowControl/>
        <w:topLinePunct/>
        <w:autoSpaceDE/>
        <w:autoSpaceDN/>
        <w:adjustRightInd/>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5.4 </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 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lang w:val="en-US" w:eastAsia="zh-CN"/>
        </w:rPr>
        <w:t>交易平台将予以拒收。</w:t>
      </w:r>
    </w:p>
    <w:p>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pStyle w:val="7"/>
        <w:jc w:val="both"/>
        <w:outlineLvl w:val="1"/>
        <w:rPr>
          <w:rFonts w:hint="eastAsia" w:ascii="宋体" w:hAnsi="宋体" w:eastAsia="宋体" w:cs="宋体"/>
          <w:color w:val="auto"/>
          <w:sz w:val="24"/>
          <w:szCs w:val="24"/>
          <w:highlight w:val="none"/>
        </w:rPr>
      </w:pPr>
      <w:bookmarkStart w:id="20" w:name="bookmark7"/>
      <w:bookmarkEnd w:id="20"/>
      <w:bookmarkStart w:id="21" w:name="_Toc8495"/>
      <w:r>
        <w:rPr>
          <w:rFonts w:hint="eastAsia" w:ascii="宋体" w:hAnsi="宋体" w:eastAsia="宋体" w:cs="宋体"/>
          <w:color w:val="auto"/>
          <w:sz w:val="24"/>
          <w:szCs w:val="24"/>
          <w:highlight w:val="none"/>
        </w:rPr>
        <w:t>6.发布公告的媒介</w:t>
      </w:r>
      <w:bookmarkEnd w:id="21"/>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网（网址：http://www.gzggzy.cn）和中国招标投标公共服务平台（网址：http://www.cebpubservice.com/）发布，本公告的修改、补充，在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网站上发布。</w:t>
      </w:r>
    </w:p>
    <w:p>
      <w:pPr>
        <w:pStyle w:val="7"/>
        <w:bidi w:val="0"/>
        <w:jc w:val="both"/>
        <w:rPr>
          <w:rFonts w:hint="eastAsia" w:ascii="宋体" w:hAnsi="宋体" w:eastAsia="宋体" w:cs="宋体"/>
          <w:b/>
          <w:bCs/>
          <w:color w:val="auto"/>
          <w:spacing w:val="7"/>
          <w:sz w:val="28"/>
          <w:szCs w:val="28"/>
          <w:highlight w:val="none"/>
        </w:rPr>
      </w:pPr>
      <w:bookmarkStart w:id="22" w:name="bookmark8"/>
      <w:bookmarkEnd w:id="22"/>
      <w:bookmarkStart w:id="23" w:name="_Toc12025"/>
      <w:bookmarkStart w:id="24" w:name="_Toc24439"/>
      <w:r>
        <w:rPr>
          <w:rFonts w:hint="eastAsia" w:ascii="宋体" w:hAnsi="宋体" w:eastAsia="宋体" w:cs="宋体"/>
          <w:color w:val="auto"/>
          <w:highlight w:val="none"/>
          <w:lang w:val="en-US" w:eastAsia="zh-CN"/>
        </w:rPr>
        <w:t>7.</w:t>
      </w:r>
      <w:bookmarkStart w:id="25" w:name="_Toc8339"/>
      <w:bookmarkStart w:id="26" w:name="_Toc8443"/>
      <w:bookmarkStart w:id="27" w:name="_Toc29364"/>
      <w:bookmarkStart w:id="28" w:name="_Toc21787632"/>
      <w:bookmarkStart w:id="29" w:name="_Toc17336"/>
      <w:bookmarkStart w:id="30" w:name="_Toc17357"/>
      <w:r>
        <w:rPr>
          <w:rFonts w:hint="eastAsia" w:ascii="宋体" w:hAnsi="宋体" w:eastAsia="宋体" w:cs="宋体"/>
          <w:b/>
          <w:bCs/>
          <w:color w:val="auto"/>
          <w:spacing w:val="7"/>
          <w:sz w:val="28"/>
          <w:szCs w:val="28"/>
          <w:highlight w:val="none"/>
        </w:rPr>
        <w:t>资格审查方式</w:t>
      </w:r>
      <w:bookmarkEnd w:id="25"/>
      <w:bookmarkEnd w:id="26"/>
      <w:bookmarkEnd w:id="27"/>
      <w:bookmarkEnd w:id="28"/>
      <w:bookmarkEnd w:id="29"/>
      <w:bookmarkEnd w:id="30"/>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bookmarkStart w:id="31" w:name="_Toc279"/>
      <w:bookmarkStart w:id="32" w:name="_Toc6681"/>
      <w:bookmarkStart w:id="33" w:name="_Toc12248"/>
      <w:r>
        <w:rPr>
          <w:rFonts w:hint="eastAsia" w:ascii="宋体" w:hAnsi="宋体" w:eastAsia="宋体" w:cs="宋体"/>
          <w:color w:val="auto"/>
          <w:sz w:val="24"/>
          <w:highlight w:val="none"/>
          <w:lang w:val="en-US" w:eastAsia="zh-CN"/>
        </w:rPr>
        <w:t>7.1本工程采用资格后审方式，由评标委员会负责资格审查。</w:t>
      </w:r>
      <w:bookmarkEnd w:id="31"/>
      <w:bookmarkEnd w:id="32"/>
      <w:bookmarkEnd w:id="33"/>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7.2资格审查结果将在广州交易集团有限公司（广州公共资源交易中心）网站公示，公示时间不得少于3日，最后一天应为工作日。</w:t>
      </w:r>
    </w:p>
    <w:p>
      <w:pPr>
        <w:pStyle w:val="7"/>
        <w:jc w:val="both"/>
        <w:outlineLvl w:val="1"/>
        <w:rPr>
          <w:rFonts w:hint="eastAsia" w:ascii="宋体" w:hAnsi="宋体" w:eastAsia="宋体" w:cs="宋体"/>
          <w:color w:val="auto"/>
          <w:highlight w:val="none"/>
          <w:lang w:val="en-US" w:eastAsia="zh-CN"/>
        </w:rPr>
      </w:pPr>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color w:val="auto"/>
          <w:highlight w:val="none"/>
          <w:lang w:val="en-US" w:eastAsia="zh-CN"/>
        </w:rPr>
        <w:t>疑问、异议、投诉处理</w:t>
      </w:r>
      <w:bookmarkEnd w:id="23"/>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numPr>
          <w:ilvl w:val="0"/>
          <w:numId w:val="0"/>
        </w:numPr>
        <w:spacing w:line="360" w:lineRule="auto"/>
        <w:ind w:left="0" w:leftChars="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异议受理部门：广州市自来水有限公司</w:t>
      </w:r>
    </w:p>
    <w:p>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联系人：梁工     电话：020-87159014  传真：020－87159059</w:t>
      </w:r>
    </w:p>
    <w:p>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地址：广州市越秀区中山一路12号</w:t>
      </w:r>
    </w:p>
    <w:p>
      <w:pPr>
        <w:numPr>
          <w:ilvl w:val="0"/>
          <w:numId w:val="0"/>
        </w:numPr>
        <w:spacing w:line="360" w:lineRule="auto"/>
        <w:ind w:left="0" w:leftChars="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投诉受理部门：广州市自来水有限公司招标监督工作组，联系电话：020-87159299</w:t>
      </w:r>
    </w:p>
    <w:p>
      <w:pPr>
        <w:pStyle w:val="7"/>
        <w:jc w:val="both"/>
        <w:outlineLvl w:val="1"/>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4"/>
      <w:bookmarkStart w:id="34" w:name="_Toc27093"/>
    </w:p>
    <w:p>
      <w:pPr>
        <w:pStyle w:val="7"/>
        <w:jc w:val="both"/>
        <w:outlineLvl w:val="1"/>
        <w:rPr>
          <w:rFonts w:hint="eastAsia" w:ascii="宋体" w:hAnsi="宋体" w:eastAsia="宋体" w:cs="宋体"/>
          <w:b w:val="0"/>
          <w:color w:val="auto"/>
          <w:sz w:val="19"/>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.联系方式</w:t>
      </w:r>
      <w:bookmarkEnd w:id="34"/>
    </w:p>
    <w:p>
      <w:pPr>
        <w:spacing w:line="360" w:lineRule="auto"/>
        <w:ind w:firstLine="0" w:firstLineChars="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招标单位：广州市自来水有限公司</w:t>
      </w:r>
    </w:p>
    <w:p>
      <w:pPr>
        <w:spacing w:line="360" w:lineRule="auto"/>
        <w:ind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梁</w:t>
      </w:r>
      <w:r>
        <w:rPr>
          <w:rFonts w:hint="eastAsia" w:ascii="宋体" w:hAnsi="宋体" w:eastAsia="宋体" w:cs="宋体"/>
          <w:color w:val="auto"/>
          <w:sz w:val="24"/>
          <w:highlight w:val="none"/>
          <w:lang w:val="en-US" w:eastAsia="zh-CN"/>
        </w:rPr>
        <w:t xml:space="preserve">工             </w:t>
      </w:r>
    </w:p>
    <w:p>
      <w:pPr>
        <w:spacing w:line="360" w:lineRule="auto"/>
        <w:ind w:firstLine="0" w:firstLineChars="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联系电话：020-87159014（办公时间8:00～17:00）</w:t>
      </w:r>
    </w:p>
    <w:p>
      <w:pPr>
        <w:spacing w:line="360" w:lineRule="auto"/>
        <w:ind w:firstLine="0" w:firstLineChars="0"/>
        <w:jc w:val="both"/>
        <w:rPr>
          <w:rFonts w:hint="eastAsia" w:ascii="宋体" w:hAnsi="宋体" w:eastAsia="宋体" w:cs="宋体"/>
          <w:color w:val="auto"/>
          <w:sz w:val="24"/>
          <w:highlight w:val="none"/>
        </w:rPr>
      </w:pPr>
    </w:p>
    <w:p>
      <w:pPr>
        <w:spacing w:line="360" w:lineRule="auto"/>
        <w:ind w:firstLine="0" w:firstLineChars="0"/>
        <w:jc w:val="both"/>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招标代理机构：</w:t>
      </w:r>
      <w:r>
        <w:rPr>
          <w:rFonts w:hint="eastAsia" w:ascii="宋体" w:hAnsi="宋体" w:cs="宋体"/>
          <w:color w:val="auto"/>
          <w:sz w:val="24"/>
          <w:highlight w:val="none"/>
          <w:lang w:eastAsia="zh-CN"/>
        </w:rPr>
        <w:t>国义招标股份有限公司</w:t>
      </w:r>
    </w:p>
    <w:p>
      <w:pPr>
        <w:spacing w:line="360" w:lineRule="auto"/>
        <w:ind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梁工、林工</w:t>
      </w:r>
      <w:r>
        <w:rPr>
          <w:rFonts w:hint="eastAsia" w:ascii="宋体" w:hAnsi="宋体" w:eastAsia="宋体" w:cs="宋体"/>
          <w:color w:val="auto"/>
          <w:sz w:val="24"/>
          <w:highlight w:val="none"/>
          <w:lang w:val="en-US" w:eastAsia="zh-CN"/>
        </w:rPr>
        <w:t xml:space="preserve">             </w:t>
      </w:r>
    </w:p>
    <w:p>
      <w:pPr>
        <w:spacing w:line="360" w:lineRule="auto"/>
        <w:ind w:firstLine="0" w:firstLineChars="0"/>
        <w:jc w:val="both"/>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020-37860752</w:t>
      </w:r>
    </w:p>
    <w:p>
      <w:pPr>
        <w:spacing w:line="360" w:lineRule="auto"/>
        <w:ind w:firstLine="0" w:firstLineChars="0"/>
        <w:rPr>
          <w:rFonts w:hint="eastAsia" w:ascii="宋体" w:hAnsi="宋体" w:eastAsia="宋体" w:cs="宋体"/>
          <w:color w:val="auto"/>
          <w:sz w:val="24"/>
          <w:highlight w:val="none"/>
        </w:rPr>
      </w:pPr>
    </w:p>
    <w:p>
      <w:pPr>
        <w:pStyle w:val="14"/>
        <w:tabs>
          <w:tab w:val="left" w:pos="5880"/>
          <w:tab w:val="left" w:pos="6826"/>
          <w:tab w:val="left" w:pos="7769"/>
        </w:tabs>
        <w:kinsoku w:val="0"/>
        <w:overflowPunct w:val="0"/>
        <w:spacing w:before="198" w:line="360" w:lineRule="auto"/>
        <w:ind w:left="5146" w:right="113"/>
        <w:jc w:val="righ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202</w:t>
      </w:r>
      <w:r>
        <w:rPr>
          <w:rFonts w:hint="eastAsia" w:cs="宋体"/>
          <w:color w:val="auto"/>
          <w:sz w:val="24"/>
          <w:highlight w:val="none"/>
          <w:lang w:val="en-US" w:eastAsia="zh-CN"/>
        </w:rPr>
        <w:t>5</w:t>
      </w:r>
      <w:r>
        <w:rPr>
          <w:rFonts w:hint="eastAsia" w:ascii="宋体" w:hAnsi="宋体" w:eastAsia="宋体" w:cs="宋体"/>
          <w:color w:val="auto"/>
          <w:sz w:val="24"/>
          <w:highlight w:val="none"/>
        </w:rPr>
        <w:t>年</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rPr>
        <w:t>月___日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jc w:val="left"/>
        <w:rPr>
          <w:rFonts w:ascii="宋体" w:hAnsi="宋体" w:cs="宋体"/>
          <w:color w:val="auto"/>
          <w:sz w:val="24"/>
          <w:highlight w:val="none"/>
        </w:rPr>
      </w:pPr>
      <w:r>
        <w:rPr>
          <w:rFonts w:hint="eastAsia" w:ascii="宋体" w:hAnsi="宋体" w:cs="宋体"/>
          <w:color w:val="auto"/>
          <w:sz w:val="24"/>
          <w:highlight w:val="none"/>
        </w:rPr>
        <w:t>附件一：</w:t>
      </w:r>
    </w:p>
    <w:p>
      <w:pPr>
        <w:spacing w:line="500" w:lineRule="exact"/>
        <w:jc w:val="center"/>
        <w:rPr>
          <w:rFonts w:ascii="宋体" w:hAnsi="宋体" w:cs="宋体"/>
          <w:b/>
          <w:color w:val="auto"/>
          <w:sz w:val="24"/>
          <w:highlight w:val="none"/>
        </w:rPr>
      </w:pPr>
      <w:r>
        <w:rPr>
          <w:rFonts w:hint="eastAsia" w:ascii="宋体" w:hAnsi="宋体" w:cs="宋体"/>
          <w:b/>
          <w:color w:val="auto"/>
          <w:sz w:val="36"/>
          <w:szCs w:val="36"/>
          <w:highlight w:val="none"/>
        </w:rPr>
        <w:t>投标人声明（参考格式）</w:t>
      </w:r>
    </w:p>
    <w:p>
      <w:pPr>
        <w:snapToGrid w:val="0"/>
        <w:ind w:firstLine="480"/>
        <w:rPr>
          <w:rFonts w:ascii="宋体" w:hAnsi="宋体" w:cs="宋体"/>
          <w:color w:val="auto"/>
          <w:kern w:val="0"/>
          <w:sz w:val="24"/>
          <w:highlight w:val="none"/>
        </w:rPr>
      </w:pPr>
    </w:p>
    <w:p>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广州市自来水有限公司及广州市自来水有限公司招标监督工作组：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/标段名称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四、本公司及其有隶属关系的机构，与本招标项目的建设、施工、监理单位，以及建筑材料、建筑构配件和设备供应商有隶属关系或者其他利害关系；参与本招标项目的招标文件编写、监理工作。</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五、本公司近二年（2022年的1月1日起至投标截止时间止）未因以往检测或监测工作中存在伪造检测或监测数据、出具虚假检测或监测报告的行为被各级建设行政主管部门或市场监督管理部门行政处罚或通报的。</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、本公司承诺，中标后严格执行安全生产相关管理规定。</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本公司积极响应广州市关于投身“百千万工程”的号召，主动参与政府投资类建设工程施工项目的建筑业结对帮扶等活动（市属国有企业投资项目参照执行）。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38"/>
        <w:ind w:right="1449" w:firstLine="480" w:firstLineChars="200"/>
        <w:rPr>
          <w:rFonts w:hint="eastAsia" w:ascii="宋体" w:hAnsi="宋体" w:eastAsia="宋体" w:cs="宋体"/>
          <w:color w:val="auto"/>
          <w:sz w:val="24"/>
          <w:szCs w:val="24"/>
          <w:highlight w:val="none"/>
        </w:rPr>
      </w:pPr>
    </w:p>
    <w:p>
      <w:pPr>
        <w:pStyle w:val="38"/>
        <w:keepNext w:val="0"/>
        <w:keepLines w:val="0"/>
        <w:pageBreakBefore w:val="0"/>
        <w:widowControl w:val="0"/>
        <w:kinsoku/>
        <w:wordWrap/>
        <w:overflowPunct/>
        <w:topLinePunct w:val="0"/>
        <w:autoSpaceDE/>
        <w:autoSpaceDN/>
        <w:bidi w:val="0"/>
        <w:adjustRightInd/>
        <w:snapToGrid/>
        <w:spacing w:line="360" w:lineRule="auto"/>
        <w:ind w:left="629" w:right="144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33"/>
        <w:keepNext w:val="0"/>
        <w:keepLines w:val="0"/>
        <w:pageBreakBefore w:val="0"/>
        <w:widowControl w:val="0"/>
        <w:kinsoku/>
        <w:wordWrap/>
        <w:overflowPunct/>
        <w:topLinePunct w:val="0"/>
        <w:autoSpaceDE/>
        <w:autoSpaceDN/>
        <w:bidi w:val="0"/>
        <w:adjustRightInd/>
        <w:snapToGrid/>
        <w:spacing w:line="360" w:lineRule="auto"/>
        <w:ind w:right="1779" w:firstLine="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pStyle w:val="33"/>
        <w:keepNext w:val="0"/>
        <w:keepLines w:val="0"/>
        <w:pageBreakBefore w:val="0"/>
        <w:widowControl w:val="0"/>
        <w:kinsoku/>
        <w:wordWrap/>
        <w:overflowPunct/>
        <w:topLinePunct w:val="0"/>
        <w:autoSpaceDE/>
        <w:autoSpaceDN/>
        <w:bidi w:val="0"/>
        <w:adjustRightInd/>
        <w:snapToGrid/>
        <w:spacing w:line="360" w:lineRule="auto"/>
        <w:ind w:right="1779" w:firstLine="0"/>
        <w:jc w:val="right"/>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（签字）：</w:t>
      </w:r>
    </w:p>
    <w:p>
      <w:pPr>
        <w:pStyle w:val="33"/>
        <w:keepNext w:val="0"/>
        <w:keepLines w:val="0"/>
        <w:pageBreakBefore w:val="0"/>
        <w:widowControl w:val="0"/>
        <w:kinsoku/>
        <w:wordWrap/>
        <w:overflowPunct/>
        <w:topLinePunct w:val="0"/>
        <w:autoSpaceDE/>
        <w:autoSpaceDN/>
        <w:bidi w:val="0"/>
        <w:adjustRightInd/>
        <w:snapToGrid/>
        <w:spacing w:line="360" w:lineRule="auto"/>
        <w:ind w:right="879"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（企业公章）</w:t>
      </w:r>
    </w:p>
    <w:p>
      <w:pPr>
        <w:pStyle w:val="33"/>
        <w:keepNext w:val="0"/>
        <w:keepLines w:val="0"/>
        <w:pageBreakBefore w:val="0"/>
        <w:widowControl w:val="0"/>
        <w:kinsoku/>
        <w:wordWrap/>
        <w:overflowPunct/>
        <w:topLinePunct w:val="0"/>
        <w:autoSpaceDE/>
        <w:autoSpaceDN/>
        <w:bidi w:val="0"/>
        <w:adjustRightInd/>
        <w:snapToGrid/>
        <w:spacing w:line="360" w:lineRule="auto"/>
        <w:ind w:right="879"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pPr>
        <w:spacing w:line="500" w:lineRule="exact"/>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联合体协议书（参考格式）</w:t>
      </w:r>
    </w:p>
    <w:p>
      <w:pPr>
        <w:spacing w:line="500" w:lineRule="exact"/>
        <w:jc w:val="center"/>
        <w:rPr>
          <w:rFonts w:hint="eastAsia" w:ascii="宋体" w:hAnsi="宋体" w:eastAsia="宋体" w:cs="宋体"/>
          <w:b/>
          <w:color w:val="auto"/>
          <w:sz w:val="36"/>
          <w:szCs w:val="36"/>
          <w:highlight w:val="none"/>
          <w:lang w:eastAsia="zh-CN"/>
        </w:rPr>
      </w:pPr>
    </w:p>
    <w:p>
      <w:pPr>
        <w:widowControl/>
        <w:spacing w:line="360" w:lineRule="auto"/>
        <w:ind w:left="1559" w:leftChars="266" w:hanging="921" w:hangingChars="384"/>
        <w:jc w:val="left"/>
        <w:rPr>
          <w:rFonts w:hint="eastAsia" w:ascii="宋体" w:hAnsi="宋体" w:cs="宋体"/>
          <w:color w:val="auto"/>
          <w:highlight w:val="none"/>
          <w:u w:val="single"/>
        </w:rPr>
      </w:pPr>
      <w:r>
        <w:rPr>
          <w:rFonts w:hint="eastAsia" w:ascii="宋体" w:hAnsi="宋体" w:cs="宋体"/>
          <w:color w:val="auto"/>
          <w:highlight w:val="none"/>
          <w:u w:val="single"/>
        </w:rPr>
        <w:tab/>
      </w:r>
      <w:r>
        <w:rPr>
          <w:rFonts w:hint="eastAsia" w:ascii="宋体" w:hAnsi="宋体" w:cs="宋体"/>
          <w:color w:val="auto"/>
          <w:highlight w:val="none"/>
        </w:rPr>
        <w:t>(所有成员单位名称) 自愿组成联合体，共同参加</w:t>
      </w:r>
      <w:r>
        <w:rPr>
          <w:rFonts w:hint="eastAsia" w:ascii="宋体" w:hAnsi="宋体" w:cs="宋体"/>
          <w:color w:val="auto"/>
          <w:highlight w:val="none"/>
          <w:u w:val="single"/>
        </w:rPr>
        <w:t xml:space="preserve">               </w:t>
      </w:r>
    </w:p>
    <w:p>
      <w:pPr>
        <w:widowControl/>
        <w:spacing w:line="360" w:lineRule="auto"/>
        <w:ind w:left="1644" w:hanging="1644" w:hangingChars="685"/>
        <w:jc w:val="left"/>
        <w:rPr>
          <w:rFonts w:hint="eastAsia" w:ascii="宋体" w:hAnsi="宋体" w:cs="宋体"/>
          <w:color w:val="auto"/>
          <w:highlight w:val="none"/>
        </w:rPr>
      </w:pPr>
      <w:r>
        <w:rPr>
          <w:rFonts w:hint="eastAsia" w:ascii="宋体" w:hAnsi="宋体" w:cs="宋体"/>
          <w:color w:val="auto"/>
          <w:highlight w:val="none"/>
        </w:rPr>
        <w:t>(项目名称)招标项目投标。现就联合体投标事宜订立如下协议。</w:t>
      </w:r>
    </w:p>
    <w:p>
      <w:pPr>
        <w:widowControl/>
        <w:spacing w:line="360" w:lineRule="auto"/>
        <w:ind w:left="1644" w:hanging="1644" w:hangingChars="685"/>
        <w:jc w:val="left"/>
        <w:rPr>
          <w:rFonts w:hint="eastAsia"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(某成员单位名称)为联合体主办方。</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2. 联合体各成员授权主办方代表联合体参加投标活动，签署文件，提交和接收相关的资料、信息及指示，进行合同谈判活动，负责合同实施阶段的组织和协调工作，以及处理与本招标项 目有关的一切事宜。</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3. 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4. 联合体各成员单位内部的职责分工如下：</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 xml:space="preserve">①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rPr>
        <w:t>单位名称</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：作为联合体的主办方除负责本</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外，还应负责管理的职责。联合体其他相关方违约时，主办方应承担连带责任，具体按合同要求。</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 xml:space="preserve">②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rPr>
        <w:t>单位名称</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：主要负责本</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等工作，具体按合同要求。</w:t>
      </w:r>
    </w:p>
    <w:p>
      <w:pPr>
        <w:spacing w:line="360" w:lineRule="auto"/>
        <w:ind w:firstLine="0"/>
        <w:rPr>
          <w:rFonts w:hint="eastAsia" w:ascii="宋体" w:hAnsi="宋体" w:cs="宋体"/>
          <w:color w:val="auto"/>
          <w:sz w:val="24"/>
          <w:szCs w:val="24"/>
          <w:highlight w:val="none"/>
        </w:rPr>
      </w:pPr>
      <w:r>
        <w:rPr>
          <w:rFonts w:hint="eastAsia" w:ascii="宋体" w:hAnsi="宋体" w:cs="宋体"/>
          <w:color w:val="auto"/>
          <w:highlight w:val="none"/>
        </w:rPr>
        <w:t>5. 本协议书自所有成员单位法定代表人或其委托代理人签字或盖单位章之日起生效， 合同履行完毕后自动失效。</w:t>
      </w:r>
    </w:p>
    <w:p>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rPr>
        <w:t xml:space="preserve">                                       签订日期：</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日</w:t>
      </w:r>
    </w:p>
    <w:p>
      <w:pPr>
        <w:pStyle w:val="14"/>
        <w:rPr>
          <w:rFonts w:hint="eastAsia" w:ascii="宋体" w:hAnsi="宋体" w:eastAsia="宋体" w:cs="宋体"/>
          <w:color w:val="auto"/>
          <w:szCs w:val="21"/>
          <w:highlight w:val="none"/>
        </w:rPr>
      </w:pPr>
      <w:r>
        <w:rPr>
          <w:rFonts w:hint="eastAsia" w:ascii="宋体" w:hAnsi="宋体" w:eastAsia="宋体" w:cs="宋体"/>
          <w:b w:val="0"/>
          <w:bCs w:val="0"/>
          <w:color w:val="auto"/>
          <w:sz w:val="24"/>
          <w:szCs w:val="24"/>
          <w:highlight w:val="none"/>
          <w:lang w:bidi="ar"/>
        </w:rPr>
        <w:t>注：</w:t>
      </w:r>
      <w:r>
        <w:rPr>
          <w:rFonts w:hint="eastAsia" w:ascii="宋体" w:hAnsi="宋体" w:eastAsia="宋体" w:cs="宋体"/>
          <w:b w:val="0"/>
          <w:bCs w:val="0"/>
          <w:color w:val="auto"/>
          <w:kern w:val="0"/>
          <w:sz w:val="24"/>
          <w:szCs w:val="24"/>
          <w:highlight w:val="none"/>
          <w:lang w:bidi="ar"/>
        </w:rPr>
        <w:t>1、单独投标的，无需提交本协议书。</w:t>
      </w:r>
    </w:p>
    <w:p>
      <w:pPr>
        <w:rPr>
          <w:rFonts w:hint="default"/>
          <w:color w:val="auto"/>
          <w:highlight w:val="none"/>
          <w:lang w:val="en-US" w:eastAsia="zh-CN"/>
        </w:rPr>
      </w:pPr>
      <w:r>
        <w:rPr>
          <w:rFonts w:hint="eastAsia"/>
          <w:color w:val="auto"/>
          <w:highlight w:val="none"/>
          <w:lang w:val="en-US" w:eastAsia="zh-CN"/>
        </w:rPr>
        <w:t xml:space="preserve">                2、联合体各方职责需包含本项目的检测、监测全部工作。</w:t>
      </w:r>
    </w:p>
    <w:p>
      <w:pPr>
        <w:rPr>
          <w:rFonts w:hint="eastAsia"/>
          <w:color w:val="auto"/>
          <w:highlight w:val="none"/>
        </w:rPr>
        <w:sectPr>
          <w:pgSz w:w="11905" w:h="16838"/>
          <w:pgMar w:top="1417" w:right="1417" w:bottom="1417" w:left="1417" w:header="720" w:footer="720" w:gutter="0"/>
          <w:lnNumType w:countBy="0" w:distance="360"/>
          <w:pgNumType w:fmt="decimal"/>
          <w:cols w:space="720" w:num="1"/>
        </w:sectPr>
      </w:pPr>
    </w:p>
    <w:p>
      <w:pPr>
        <w:pStyle w:val="6"/>
        <w:outlineLvl w:val="0"/>
        <w:rPr>
          <w:rFonts w:hint="eastAsia" w:ascii="宋体" w:hAnsi="宋体" w:eastAsia="宋体" w:cs="宋体"/>
          <w:b w:val="0"/>
          <w:color w:val="auto"/>
          <w:sz w:val="57"/>
          <w:szCs w:val="24"/>
          <w:highlight w:val="none"/>
        </w:rPr>
      </w:pPr>
      <w:bookmarkStart w:id="35" w:name="bookmark9"/>
      <w:bookmarkEnd w:id="35"/>
      <w:bookmarkStart w:id="36" w:name="bookmark18"/>
      <w:bookmarkEnd w:id="36"/>
      <w:bookmarkStart w:id="37" w:name="_Toc15097"/>
      <w:r>
        <w:rPr>
          <w:rFonts w:hint="eastAsia" w:ascii="宋体" w:hAnsi="宋体" w:eastAsia="宋体" w:cs="宋体"/>
          <w:color w:val="auto"/>
          <w:sz w:val="44"/>
          <w:szCs w:val="24"/>
          <w:highlight w:val="none"/>
        </w:rPr>
        <w:t>第二章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投标人须知</w:t>
      </w:r>
      <w:bookmarkEnd w:id="37"/>
    </w:p>
    <w:p>
      <w:pPr>
        <w:pStyle w:val="7"/>
        <w:kinsoku w:val="0"/>
        <w:overflowPunct w:val="0"/>
        <w:ind w:left="220"/>
        <w:jc w:val="center"/>
        <w:outlineLvl w:val="1"/>
        <w:rPr>
          <w:rFonts w:hint="eastAsia" w:ascii="宋体" w:hAnsi="宋体" w:eastAsia="宋体" w:cs="宋体"/>
          <w:b w:val="0"/>
          <w:color w:val="auto"/>
          <w:sz w:val="20"/>
          <w:szCs w:val="24"/>
          <w:highlight w:val="none"/>
        </w:rPr>
      </w:pPr>
      <w:bookmarkStart w:id="38" w:name="bookmark19"/>
      <w:bookmarkEnd w:id="38"/>
      <w:bookmarkStart w:id="39" w:name="_Toc6280"/>
      <w:r>
        <w:rPr>
          <w:rFonts w:hint="eastAsia" w:ascii="宋体" w:hAnsi="宋体" w:eastAsia="宋体" w:cs="宋体"/>
          <w:color w:val="auto"/>
          <w:sz w:val="32"/>
          <w:szCs w:val="24"/>
          <w:highlight w:val="none"/>
        </w:rPr>
        <w:t>投标人须知前附表</w:t>
      </w:r>
      <w:bookmarkEnd w:id="39"/>
    </w:p>
    <w:tbl>
      <w:tblPr>
        <w:tblStyle w:val="2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color w:val="auto"/>
                <w:sz w:val="21"/>
                <w:szCs w:val="24"/>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名称：广州市自来水有限公司</w:t>
            </w:r>
          </w:p>
          <w:p>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地址：广州市越秀区中山一路12号</w:t>
            </w:r>
          </w:p>
          <w:p>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cs="宋体"/>
                <w:color w:val="auto"/>
                <w:sz w:val="21"/>
                <w:szCs w:val="21"/>
                <w:highlight w:val="none"/>
                <w:lang w:val="en-US" w:eastAsia="zh-CN"/>
              </w:rPr>
              <w:t>梁</w:t>
            </w:r>
            <w:r>
              <w:rPr>
                <w:rFonts w:hint="eastAsia" w:ascii="宋体" w:hAnsi="宋体" w:eastAsia="宋体" w:cs="宋体"/>
                <w:color w:val="auto"/>
                <w:sz w:val="21"/>
                <w:szCs w:val="21"/>
                <w:highlight w:val="none"/>
                <w:lang w:val="en-US" w:eastAsia="zh-CN"/>
              </w:rPr>
              <w:t>工</w:t>
            </w:r>
          </w:p>
          <w:p>
            <w:pPr>
              <w:pStyle w:val="32"/>
              <w:kinsoku w:val="0"/>
              <w:overflowPunct w:val="0"/>
              <w:adjustRightInd/>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lang w:val="en-US" w:eastAsia="zh-CN"/>
              </w:rPr>
              <w:t>电话：020-87159014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adjustRightInd/>
              <w:spacing w:line="360" w:lineRule="auto"/>
              <w:jc w:val="both"/>
              <w:rPr>
                <w:rFonts w:hint="eastAsia" w:ascii="宋体" w:hAnsi="宋体" w:eastAsia="宋体" w:cs="宋体"/>
                <w:color w:val="auto"/>
                <w:spacing w:val="-102"/>
                <w:sz w:val="21"/>
                <w:szCs w:val="24"/>
                <w:highlight w:val="none"/>
              </w:rPr>
            </w:pPr>
            <w:r>
              <w:rPr>
                <w:rFonts w:hint="eastAsia" w:ascii="宋体" w:hAnsi="宋体" w:eastAsia="宋体" w:cs="宋体"/>
                <w:color w:val="auto"/>
                <w:sz w:val="21"/>
                <w:szCs w:val="24"/>
                <w:highlight w:val="none"/>
              </w:rPr>
              <w:t>名称：</w:t>
            </w:r>
            <w:r>
              <w:rPr>
                <w:rFonts w:hint="eastAsia" w:ascii="宋体" w:hAnsi="宋体" w:cs="宋体"/>
                <w:color w:val="auto"/>
                <w:sz w:val="21"/>
                <w:highlight w:val="none"/>
                <w:lang w:eastAsia="zh-CN"/>
              </w:rPr>
              <w:t>国义招标股份有限公司</w:t>
            </w:r>
            <w:r>
              <w:rPr>
                <w:rFonts w:hint="eastAsia" w:ascii="宋体" w:hAnsi="宋体" w:eastAsia="宋体" w:cs="宋体"/>
                <w:color w:val="auto"/>
                <w:spacing w:val="-102"/>
                <w:sz w:val="21"/>
                <w:szCs w:val="24"/>
                <w:highlight w:val="none"/>
              </w:rPr>
              <w:t xml:space="preserve"> </w:t>
            </w:r>
          </w:p>
          <w:p>
            <w:pPr>
              <w:pStyle w:val="32"/>
              <w:kinsoku w:val="0"/>
              <w:overflowPunct w:val="0"/>
              <w:adjustRightInd/>
              <w:spacing w:line="360" w:lineRule="auto"/>
              <w:jc w:val="both"/>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地址：</w:t>
            </w:r>
            <w:r>
              <w:rPr>
                <w:rFonts w:hint="eastAsia" w:ascii="宋体" w:hAnsi="宋体" w:eastAsia="宋体" w:cs="宋体"/>
                <w:color w:val="auto"/>
                <w:sz w:val="21"/>
                <w:highlight w:val="none"/>
              </w:rPr>
              <w:t>广州市</w:t>
            </w:r>
            <w:r>
              <w:rPr>
                <w:rFonts w:hint="eastAsia" w:ascii="宋体" w:hAnsi="宋体" w:cs="宋体"/>
                <w:color w:val="auto"/>
                <w:sz w:val="21"/>
                <w:highlight w:val="none"/>
                <w:lang w:val="en-US" w:eastAsia="zh-CN"/>
              </w:rPr>
              <w:t>越秀区东风东路726号</w:t>
            </w:r>
          </w:p>
          <w:p>
            <w:pPr>
              <w:pStyle w:val="32"/>
              <w:kinsoku w:val="0"/>
              <w:overflowPunct w:val="0"/>
              <w:adjustRightInd/>
              <w:spacing w:line="360" w:lineRule="auto"/>
              <w:jc w:val="both"/>
              <w:rPr>
                <w:rFonts w:hint="default" w:ascii="宋体" w:hAnsi="宋体" w:eastAsia="宋体" w:cs="宋体"/>
                <w:color w:val="auto"/>
                <w:sz w:val="21"/>
                <w:szCs w:val="24"/>
                <w:highlight w:val="none"/>
                <w:lang w:val="en-US" w:eastAsia="zh-CN"/>
              </w:rPr>
            </w:pPr>
            <w:r>
              <w:rPr>
                <w:rFonts w:hint="eastAsia" w:ascii="宋体" w:hAnsi="宋体" w:eastAsia="宋体" w:cs="宋体"/>
                <w:color w:val="auto"/>
                <w:spacing w:val="-102"/>
                <w:sz w:val="21"/>
                <w:szCs w:val="24"/>
                <w:highlight w:val="none"/>
              </w:rPr>
              <w:t xml:space="preserve"> </w:t>
            </w:r>
            <w:r>
              <w:rPr>
                <w:rFonts w:hint="eastAsia" w:ascii="宋体" w:hAnsi="宋体" w:eastAsia="宋体" w:cs="宋体"/>
                <w:color w:val="auto"/>
                <w:sz w:val="21"/>
                <w:szCs w:val="24"/>
                <w:highlight w:val="none"/>
              </w:rPr>
              <w:t>联系</w:t>
            </w:r>
            <w:r>
              <w:rPr>
                <w:rFonts w:hint="eastAsia" w:ascii="宋体" w:hAnsi="宋体" w:eastAsia="宋体" w:cs="宋体"/>
                <w:color w:val="auto"/>
                <w:sz w:val="21"/>
                <w:szCs w:val="24"/>
                <w:highlight w:val="none"/>
                <w:lang w:val="en-US" w:eastAsia="zh-CN"/>
              </w:rPr>
              <w:t>人</w:t>
            </w:r>
            <w:r>
              <w:rPr>
                <w:rFonts w:hint="eastAsia" w:ascii="宋体" w:hAnsi="宋体" w:eastAsia="宋体" w:cs="宋体"/>
                <w:color w:val="auto"/>
                <w:sz w:val="21"/>
                <w:szCs w:val="24"/>
                <w:highlight w:val="none"/>
              </w:rPr>
              <w:t>：</w:t>
            </w:r>
            <w:r>
              <w:rPr>
                <w:rFonts w:hint="eastAsia" w:ascii="宋体" w:hAnsi="宋体" w:cs="宋体"/>
                <w:color w:val="auto"/>
                <w:sz w:val="21"/>
                <w:szCs w:val="24"/>
                <w:highlight w:val="none"/>
                <w:lang w:val="en-US" w:eastAsia="zh-CN"/>
              </w:rPr>
              <w:t>梁工、林工</w:t>
            </w:r>
          </w:p>
          <w:p>
            <w:pPr>
              <w:pStyle w:val="32"/>
              <w:kinsoku w:val="0"/>
              <w:overflowPunct w:val="0"/>
              <w:spacing w:line="360" w:lineRule="auto"/>
              <w:jc w:val="both"/>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电话：</w:t>
            </w:r>
            <w:r>
              <w:rPr>
                <w:rFonts w:hint="eastAsia" w:ascii="宋体" w:hAnsi="宋体" w:cs="宋体"/>
                <w:color w:val="auto"/>
                <w:sz w:val="21"/>
                <w:szCs w:val="24"/>
                <w:highlight w:val="none"/>
                <w:lang w:val="en-US" w:eastAsia="zh-CN"/>
              </w:rPr>
              <w:t>020-37860752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eastAsia="zh-CN"/>
              </w:rPr>
            </w:pPr>
            <w:r>
              <w:rPr>
                <w:rFonts w:hint="eastAsia" w:ascii="宋体" w:hAnsi="宋体" w:cs="宋体"/>
                <w:color w:val="auto"/>
                <w:sz w:val="21"/>
                <w:highlight w:val="none"/>
                <w:lang w:eastAsia="zh-CN"/>
              </w:rPr>
              <w:t>2025-2027年广州市自来水有限公司厂站建设工程检测、监测服务项目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详见</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position w:val="3"/>
                <w:sz w:val="21"/>
                <w:szCs w:val="21"/>
                <w:highlight w:val="none"/>
              </w:rPr>
              <w:t>不接受</w:t>
            </w:r>
          </w:p>
          <w:p>
            <w:pPr>
              <w:snapToGrid w:val="0"/>
              <w:spacing w:line="312"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接受，应满足下列要求：详见招标公告。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wordWrap/>
              <w:topLinePunct w:val="0"/>
              <w:autoSpaceDE w:val="0"/>
              <w:autoSpaceDN w:val="0"/>
              <w:bidi w:val="0"/>
              <w:adjustRightInd w:val="0"/>
              <w:snapToGrid/>
              <w:jc w:val="both"/>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（14）投标人（如为联合体，要求联合体各方）未被列入“在一定期限内依法取消参加依法必须进行招标的项目的投标资格”，具体名单以递交投标文件截止时间“信用广州”公布的“黑名单”为准。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wordWrap/>
              <w:topLinePunct w:val="0"/>
              <w:autoSpaceDE w:val="0"/>
              <w:autoSpaceDN w:val="0"/>
              <w:bidi w:val="0"/>
              <w:adjustRightInd w:val="0"/>
              <w:snapToGrid/>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招标人不集中组织，由投标人自行踏勘；</w:t>
            </w:r>
          </w:p>
          <w:p>
            <w:pPr>
              <w:keepNext w:val="0"/>
              <w:keepLines w:val="0"/>
              <w:pageBreakBefore w:val="0"/>
              <w:widowControl w:val="0"/>
              <w:wordWrap/>
              <w:topLinePunct w:val="0"/>
              <w:autoSpaceDE w:val="0"/>
              <w:autoSpaceDN w:val="0"/>
              <w:bidi w:val="0"/>
              <w:adjustRightInd w:val="0"/>
              <w:snapToGrid/>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时间：自</w:t>
            </w:r>
            <w:r>
              <w:rPr>
                <w:rFonts w:hint="eastAsia" w:ascii="宋体" w:hAnsi="宋体" w:eastAsia="宋体" w:cs="宋体"/>
                <w:color w:val="auto"/>
                <w:sz w:val="21"/>
                <w:szCs w:val="24"/>
                <w:highlight w:val="none"/>
                <w:lang w:val="en-US" w:eastAsia="zh-CN"/>
              </w:rPr>
              <w:t>招标公告发布之日</w:t>
            </w:r>
            <w:r>
              <w:rPr>
                <w:rFonts w:hint="eastAsia" w:ascii="宋体" w:hAnsi="宋体" w:eastAsia="宋体" w:cs="宋体"/>
                <w:color w:val="auto"/>
                <w:sz w:val="21"/>
                <w:szCs w:val="24"/>
                <w:highlight w:val="none"/>
              </w:rPr>
              <w:t>起具备现场踏勘条件；</w:t>
            </w:r>
          </w:p>
          <w:p>
            <w:pPr>
              <w:pStyle w:val="32"/>
              <w:keepNext w:val="0"/>
              <w:keepLines w:val="0"/>
              <w:pageBreakBefore w:val="0"/>
              <w:widowControl w:val="0"/>
              <w:kinsoku w:val="0"/>
              <w:wordWrap/>
              <w:overflowPunct w:val="0"/>
              <w:topLinePunct w:val="0"/>
              <w:autoSpaceDE w:val="0"/>
              <w:autoSpaceDN w:val="0"/>
              <w:bidi w:val="0"/>
              <w:adjustRightInd w:val="0"/>
              <w:snapToGrid/>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现场详细地点：</w:t>
            </w:r>
            <w:r>
              <w:rPr>
                <w:rFonts w:hint="eastAsia" w:ascii="宋体" w:hAnsi="宋体" w:eastAsia="宋体" w:cs="宋体"/>
                <w:color w:val="auto"/>
                <w:sz w:val="21"/>
                <w:highlight w:val="none"/>
              </w:rPr>
              <w:t>详见本项目招标公告</w:t>
            </w:r>
            <w:r>
              <w:rPr>
                <w:rFonts w:hint="eastAsia" w:ascii="宋体" w:hAnsi="宋体" w:eastAsia="宋体" w:cs="宋体"/>
                <w:color w:val="auto"/>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8" w:line="217"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3"/>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不召开</w:t>
            </w:r>
          </w:p>
          <w:p>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rPr>
              <w:t>召开，召开时间：</w:t>
            </w:r>
          </w:p>
          <w:p>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adjustRightInd/>
              <w:spacing w:before="63" w:beforeLines="20" w:after="63" w:afterLines="20"/>
              <w:ind w:left="0" w:leftChars="0" w:right="48" w:rightChars="2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不允许</w:t>
            </w:r>
          </w:p>
          <w:p>
            <w:pPr>
              <w:pStyle w:val="32"/>
              <w:kinsoku w:val="0"/>
              <w:overflowPunct w:val="0"/>
              <w:jc w:val="both"/>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允许，偏差范围：</w:t>
            </w:r>
            <w:r>
              <w:rPr>
                <w:rFonts w:hint="eastAsia" w:ascii="宋体" w:hAnsi="宋体" w:eastAsia="宋体" w:cs="宋体"/>
                <w:color w:val="auto"/>
                <w:sz w:val="21"/>
                <w:szCs w:val="24"/>
                <w:highlight w:val="none"/>
                <w:lang w:val="en-US" w:eastAsia="zh-CN"/>
              </w:rPr>
              <w:t>/</w:t>
            </w:r>
          </w:p>
          <w:p>
            <w:pPr>
              <w:pStyle w:val="32"/>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t>偏差幅度：</w:t>
            </w:r>
            <w:r>
              <w:rPr>
                <w:rFonts w:hint="eastAsia" w:ascii="宋体" w:hAnsi="宋体" w:eastAsia="宋体" w:cs="宋体"/>
                <w:color w:val="auto"/>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72" w:lineRule="auto"/>
              <w:jc w:val="center"/>
              <w:rPr>
                <w:rFonts w:hint="eastAsia" w:ascii="宋体" w:hAnsi="宋体" w:eastAsia="宋体" w:cs="宋体"/>
                <w:color w:val="auto"/>
                <w:sz w:val="21"/>
                <w:szCs w:val="24"/>
                <w:highlight w:val="none"/>
              </w:rPr>
            </w:pPr>
          </w:p>
          <w:p>
            <w:pPr>
              <w:spacing w:before="69" w:line="220" w:lineRule="auto"/>
              <w:jc w:val="left"/>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pPr>
              <w:jc w:val="center"/>
              <w:rPr>
                <w:rFonts w:hint="eastAsia" w:ascii="宋体" w:hAnsi="宋体" w:eastAsia="宋体" w:cs="宋体"/>
                <w:color w:val="auto"/>
                <w:sz w:val="21"/>
                <w:szCs w:val="24"/>
                <w:highlight w:val="none"/>
                <w:lang w:eastAsia="zh-CN"/>
              </w:rPr>
            </w:pPr>
          </w:p>
          <w:p>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56" w:beforeLines="50"/>
              <w:ind w:left="113" w:leftChars="4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时前；</w:t>
            </w:r>
          </w:p>
          <w:p>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eastAsia="宋体" w:cs="宋体"/>
                <w:color w:val="auto"/>
                <w:sz w:val="21"/>
                <w:szCs w:val="21"/>
                <w:highlight w:val="none"/>
                <w:lang w:eastAsia="zh-CN"/>
              </w:rPr>
              <w:t>广州交易集团有限公司（广州公共资源交易中心）网站</w:t>
            </w:r>
            <w:r>
              <w:rPr>
                <w:rFonts w:hint="eastAsia" w:ascii="宋体" w:hAnsi="宋体" w:eastAsia="宋体" w:cs="宋体"/>
                <w:color w:val="auto"/>
                <w:sz w:val="21"/>
                <w:szCs w:val="21"/>
                <w:highlight w:val="none"/>
              </w:rPr>
              <w:t>提交。</w:t>
            </w:r>
          </w:p>
          <w:p>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eastAsia="宋体" w:cs="宋体"/>
                <w:color w:val="auto"/>
                <w:sz w:val="21"/>
                <w:szCs w:val="21"/>
                <w:highlight w:val="none"/>
                <w:lang w:eastAsia="zh-CN"/>
              </w:rPr>
              <w:t>广州交易集团有限公司（广州公共资源交易中心）网站</w:t>
            </w:r>
            <w:r>
              <w:rPr>
                <w:rFonts w:hint="eastAsia" w:ascii="宋体" w:hAnsi="宋体" w:eastAsia="宋体" w:cs="宋体"/>
                <w:color w:val="auto"/>
                <w:sz w:val="21"/>
                <w:szCs w:val="21"/>
                <w:highlight w:val="none"/>
              </w:rPr>
              <w:t>关于全流程电子化项目的相关指南进行操作，提问一律不得署名。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70" w:line="220" w:lineRule="auto"/>
              <w:jc w:val="left"/>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91" w:leftChars="38"/>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各投标人在招标控制价总价内根据企业自身实力进行报价（以元为单位，保留两位小数，第三位小数四舍五入）。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p>
          <w:p>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无</w:t>
            </w:r>
          </w:p>
          <w:p>
            <w:pPr>
              <w:pStyle w:val="32"/>
              <w:kinsoku w:val="0"/>
              <w:overflowPunct w:val="0"/>
              <w:jc w:val="both"/>
              <w:rPr>
                <w:rFonts w:hint="eastAsia" w:ascii="宋体" w:hAnsi="宋体" w:eastAsia="宋体" w:cs="宋体"/>
                <w:color w:val="auto"/>
                <w:sz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有，</w:t>
            </w:r>
            <w:r>
              <w:rPr>
                <w:rFonts w:hint="eastAsia" w:ascii="宋体" w:hAnsi="宋体" w:eastAsia="宋体" w:cs="宋体"/>
                <w:color w:val="auto"/>
                <w:sz w:val="21"/>
                <w:szCs w:val="24"/>
                <w:highlight w:val="none"/>
              </w:rPr>
              <w:t>最高投标限价：</w:t>
            </w:r>
            <w:r>
              <w:rPr>
                <w:rFonts w:hint="eastAsia" w:ascii="宋体" w:hAnsi="宋体" w:cs="宋体"/>
                <w:color w:val="auto"/>
                <w:sz w:val="21"/>
                <w:highlight w:val="none"/>
                <w:u w:val="single"/>
                <w:lang w:val="en-US" w:eastAsia="zh-CN"/>
              </w:rPr>
              <w:t>第一标段380.46万元，第二标段560.17万元</w:t>
            </w:r>
            <w:r>
              <w:rPr>
                <w:rFonts w:hint="eastAsia" w:ascii="宋体" w:hAnsi="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 xml:space="preserve">90 </w:t>
            </w:r>
            <w:r>
              <w:rPr>
                <w:rFonts w:hint="eastAsia" w:ascii="宋体" w:hAnsi="宋体" w:eastAsia="宋体" w:cs="宋体"/>
                <w:color w:val="auto"/>
                <w:sz w:val="21"/>
                <w:szCs w:val="24"/>
                <w:highlight w:val="none"/>
              </w:rPr>
              <w:t>日历天（从投标截止之日计起）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39" w:line="221" w:lineRule="auto"/>
              <w:ind w:left="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是否要</w:t>
            </w:r>
            <w:r>
              <w:rPr>
                <w:rFonts w:ascii="宋体" w:hAnsi="宋体" w:eastAsia="宋体" w:cs="宋体"/>
                <w:color w:val="auto"/>
                <w:spacing w:val="-5"/>
                <w:sz w:val="21"/>
                <w:szCs w:val="21"/>
                <w:highlight w:val="none"/>
              </w:rPr>
              <w:t>求</w:t>
            </w:r>
            <w:r>
              <w:rPr>
                <w:rFonts w:ascii="宋体" w:hAnsi="宋体" w:eastAsia="宋体" w:cs="宋体"/>
                <w:color w:val="auto"/>
                <w:spacing w:val="-3"/>
                <w:sz w:val="21"/>
                <w:szCs w:val="21"/>
                <w:highlight w:val="none"/>
              </w:rPr>
              <w:t>投标人递交投标保证金：</w:t>
            </w:r>
          </w:p>
          <w:p>
            <w:pPr>
              <w:spacing w:before="151" w:line="173" w:lineRule="auto"/>
              <w:ind w:left="128"/>
              <w:rPr>
                <w:rFonts w:ascii="Times New Roman" w:hAnsi="Times New Roman" w:eastAsia="Times New Roman" w:cs="Times New Roman"/>
                <w:color w:val="auto"/>
                <w:spacing w:val="-6"/>
                <w:sz w:val="31"/>
                <w:szCs w:val="31"/>
                <w:highlight w:val="none"/>
              </w:rPr>
            </w:pPr>
            <w:r>
              <w:rPr>
                <w:rFonts w:ascii="Times New Roman" w:hAnsi="Times New Roman" w:eastAsia="Times New Roman" w:cs="Times New Roman"/>
                <w:color w:val="auto"/>
                <w:spacing w:val="-6"/>
                <w:sz w:val="31"/>
                <w:szCs w:val="31"/>
                <w:highlight w:val="none"/>
              </w:rPr>
              <w:t>□</w:t>
            </w:r>
            <w:r>
              <w:rPr>
                <w:rFonts w:ascii="宋体" w:hAnsi="宋体" w:eastAsia="宋体" w:cs="宋体"/>
                <w:color w:val="auto"/>
                <w:spacing w:val="-3"/>
                <w:sz w:val="21"/>
                <w:szCs w:val="21"/>
                <w:highlight w:val="none"/>
              </w:rPr>
              <w:t>不要求</w:t>
            </w:r>
          </w:p>
          <w:p>
            <w:pPr>
              <w:keepNext w:val="0"/>
              <w:keepLines w:val="0"/>
              <w:pageBreakBefore w:val="0"/>
              <w:widowControl w:val="0"/>
              <w:kinsoku/>
              <w:wordWrap/>
              <w:overflowPunct/>
              <w:topLinePunct w:val="0"/>
              <w:autoSpaceDE w:val="0"/>
              <w:autoSpaceDN w:val="0"/>
              <w:bidi w:val="0"/>
              <w:adjustRightInd w:val="0"/>
              <w:snapToGrid/>
              <w:spacing w:line="248" w:lineRule="auto"/>
              <w:ind w:left="15" w:right="-33" w:firstLine="113"/>
              <w:textAlignment w:val="auto"/>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7"/>
                <w:sz w:val="31"/>
                <w:szCs w:val="31"/>
                <w:highlight w:val="none"/>
              </w:rPr>
              <w:sym w:font="Wingdings 2" w:char="0052"/>
            </w:r>
            <w:r>
              <w:rPr>
                <w:rFonts w:ascii="宋体" w:hAnsi="宋体" w:eastAsia="宋体" w:cs="宋体"/>
                <w:color w:val="auto"/>
                <w:spacing w:val="-5"/>
                <w:sz w:val="21"/>
                <w:szCs w:val="21"/>
                <w:highlight w:val="none"/>
              </w:rPr>
              <w:t>要求，投标保证金的形式：</w:t>
            </w:r>
            <w:r>
              <w:rPr>
                <w:rFonts w:hint="eastAsia" w:ascii="宋体" w:hAnsi="宋体" w:eastAsia="宋体" w:cs="宋体"/>
                <w:color w:val="auto"/>
                <w:spacing w:val="-5"/>
                <w:sz w:val="21"/>
                <w:szCs w:val="21"/>
                <w:highlight w:val="none"/>
              </w:rPr>
              <w:t>投标保证金可采用现金、支票、投标保证保险、投标保函（银行或专业担保公司出具）等的形式</w:t>
            </w:r>
            <w:r>
              <w:rPr>
                <w:rFonts w:hint="eastAsia" w:ascii="宋体" w:hAnsi="宋体" w:cs="宋体"/>
                <w:color w:val="auto"/>
                <w:spacing w:val="-5"/>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248" w:lineRule="auto"/>
              <w:ind w:right="1463" w:firstLine="1023" w:firstLineChars="550"/>
              <w:textAlignment w:val="auto"/>
              <w:rPr>
                <w:rFonts w:hint="default" w:ascii="宋体" w:hAnsi="宋体" w:eastAsia="宋体" w:cs="宋体"/>
                <w:color w:val="auto"/>
                <w:sz w:val="21"/>
                <w:szCs w:val="21"/>
                <w:highlight w:val="none"/>
                <w:lang w:val="en-US" w:eastAsia="zh-CN"/>
              </w:rPr>
            </w:pPr>
            <w:r>
              <w:rPr>
                <w:rFonts w:ascii="宋体" w:hAnsi="宋体" w:eastAsia="宋体" w:cs="宋体"/>
                <w:color w:val="auto"/>
                <w:spacing w:val="-12"/>
                <w:sz w:val="21"/>
                <w:szCs w:val="21"/>
                <w:highlight w:val="none"/>
              </w:rPr>
              <w:t>投</w:t>
            </w:r>
            <w:r>
              <w:rPr>
                <w:rFonts w:ascii="宋体" w:hAnsi="宋体" w:eastAsia="宋体" w:cs="宋体"/>
                <w:color w:val="auto"/>
                <w:spacing w:val="-6"/>
                <w:sz w:val="21"/>
                <w:szCs w:val="21"/>
                <w:highlight w:val="none"/>
              </w:rPr>
              <w:t>标保证金的金额：</w:t>
            </w:r>
            <w:r>
              <w:rPr>
                <w:rFonts w:hint="eastAsia" w:ascii="宋体" w:hAnsi="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lang w:val="en-US" w:eastAsia="zh-CN"/>
              </w:rPr>
              <w:t>万元</w:t>
            </w:r>
          </w:p>
          <w:p>
            <w:pPr>
              <w:pStyle w:val="16"/>
              <w:widowControl w:val="0"/>
              <w:kinsoku/>
              <w:autoSpaceDE/>
              <w:autoSpaceDN/>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注：1、投标保证金不得超过</w:t>
            </w:r>
            <w:r>
              <w:rPr>
                <w:rFonts w:hint="eastAsia" w:hAnsi="宋体" w:eastAsia="宋体" w:cs="Times New Roman"/>
                <w:snapToGrid/>
                <w:color w:val="auto"/>
                <w:sz w:val="21"/>
                <w:szCs w:val="21"/>
                <w:highlight w:val="none"/>
                <w:u w:val="none"/>
                <w:lang w:val="en-US" w:eastAsia="zh-CN" w:bidi="ar-SA"/>
              </w:rPr>
              <w:t>招标项目</w:t>
            </w:r>
            <w:r>
              <w:rPr>
                <w:rFonts w:hint="eastAsia" w:hAnsi="宋体" w:cs="Times New Roman"/>
                <w:snapToGrid/>
                <w:color w:val="auto"/>
                <w:sz w:val="21"/>
                <w:szCs w:val="21"/>
                <w:highlight w:val="none"/>
                <w:u w:val="none"/>
                <w:lang w:val="en-US" w:eastAsia="zh-CN" w:bidi="ar-SA"/>
              </w:rPr>
              <w:t>金额</w:t>
            </w:r>
            <w:r>
              <w:rPr>
                <w:rFonts w:hint="eastAsia" w:ascii="宋体" w:hAnsi="宋体" w:eastAsia="宋体" w:cs="Times New Roman"/>
                <w:snapToGrid/>
                <w:color w:val="auto"/>
                <w:sz w:val="21"/>
                <w:szCs w:val="21"/>
                <w:highlight w:val="none"/>
                <w:u w:val="none"/>
                <w:lang w:val="en-US" w:eastAsia="zh-CN" w:bidi="ar-SA"/>
              </w:rPr>
              <w:t>的2%。投标保证金有效期应当与投标有效期一致。</w:t>
            </w:r>
            <w:r>
              <w:rPr>
                <w:rFonts w:hint="eastAsia" w:hAnsi="宋体" w:cs="Times New Roman"/>
                <w:snapToGrid/>
                <w:color w:val="auto"/>
                <w:sz w:val="21"/>
                <w:szCs w:val="21"/>
                <w:highlight w:val="none"/>
                <w:u w:val="none"/>
                <w:lang w:val="en-US" w:eastAsia="zh-CN" w:bidi="ar-SA"/>
              </w:rPr>
              <w:t>投标保证金</w:t>
            </w:r>
            <w:r>
              <w:rPr>
                <w:rFonts w:hint="eastAsia" w:ascii="宋体" w:hAnsi="宋体" w:eastAsia="宋体" w:cs="Times New Roman"/>
                <w:snapToGrid/>
                <w:color w:val="auto"/>
                <w:sz w:val="21"/>
                <w:szCs w:val="21"/>
                <w:highlight w:val="none"/>
                <w:u w:val="none"/>
                <w:lang w:val="en-US" w:eastAsia="zh-CN" w:bidi="ar-SA"/>
              </w:rPr>
              <w:t>由广州交易集团有限公司（广州公共资源交易中心）代收。具体操作要求详见广州交易集团有限公司（广州公共资源交易中心）有关指引</w:t>
            </w:r>
            <w:r>
              <w:rPr>
                <w:rFonts w:hint="eastAsia" w:hAnsi="宋体" w:cs="Times New Roman"/>
                <w:snapToGrid/>
                <w:color w:val="auto"/>
                <w:sz w:val="21"/>
                <w:szCs w:val="21"/>
                <w:highlight w:val="none"/>
                <w:u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2、</w:t>
            </w:r>
            <w:r>
              <w:rPr>
                <w:rFonts w:hint="eastAsia" w:ascii="宋体" w:hAnsi="宋体" w:eastAsia="宋体" w:cs="宋体"/>
                <w:i w:val="0"/>
                <w:iCs w:val="0"/>
                <w:caps w:val="0"/>
                <w:color w:val="auto"/>
                <w:spacing w:val="0"/>
                <w:sz w:val="21"/>
                <w:szCs w:val="21"/>
                <w:highlight w:val="none"/>
                <w:u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ascii="宋体" w:hAnsi="宋体" w:eastAsia="宋体" w:cs="宋体"/>
                <w:i w:val="0"/>
                <w:iCs w:val="0"/>
                <w:caps w:val="0"/>
                <w:color w:val="auto"/>
                <w:spacing w:val="0"/>
                <w:sz w:val="21"/>
                <w:szCs w:val="21"/>
                <w:highlight w:val="none"/>
                <w:u w:val="none"/>
                <w:lang w:eastAsia="zh-CN"/>
              </w:rPr>
              <w:t>。</w:t>
            </w:r>
          </w:p>
          <w:p>
            <w:pPr>
              <w:keepNext w:val="0"/>
              <w:keepLines w:val="0"/>
              <w:pageBreakBefore w:val="0"/>
              <w:widowControl w:val="0"/>
              <w:kinsoku/>
              <w:wordWrap/>
              <w:overflowPunct/>
              <w:topLinePunct w:val="0"/>
              <w:bidi w:val="0"/>
              <w:snapToGrid/>
              <w:spacing w:before="0" w:line="240" w:lineRule="auto"/>
              <w:ind w:left="0" w:leftChars="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snapToGrid/>
                <w:color w:val="auto"/>
                <w:sz w:val="21"/>
                <w:szCs w:val="21"/>
                <w:highlight w:val="none"/>
                <w:u w:val="none"/>
                <w:lang w:val="en-US" w:eastAsia="zh-CN" w:bidi="ar-SA"/>
              </w:rPr>
              <w:t>3、</w:t>
            </w:r>
            <w:r>
              <w:rPr>
                <w:rFonts w:hint="eastAsia" w:hAnsi="宋体" w:eastAsia="宋体" w:cs="宋体"/>
                <w:i w:val="0"/>
                <w:iCs w:val="0"/>
                <w:caps w:val="0"/>
                <w:color w:val="auto"/>
                <w:spacing w:val="0"/>
                <w:sz w:val="21"/>
                <w:szCs w:val="21"/>
                <w:highlight w:val="none"/>
                <w:shd w:val="clear" w:color="auto" w:fill="FFFFFF"/>
                <w:lang w:val="en-US" w:eastAsia="zh-CN"/>
              </w:rPr>
              <w:t>招标人在免收投标保证金的同时，应约定免交投标保证金的投标人存在3.4.4条款所列情形的后续处理措施，包括但不限于向投标人索赔等情形。</w:t>
            </w:r>
          </w:p>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u w:val="none"/>
                <w:lang w:val="en-US" w:eastAsia="zh-CN" w:bidi="ar-SA"/>
              </w:rPr>
            </w:pPr>
            <w:r>
              <w:rPr>
                <w:rFonts w:hint="eastAsia" w:hAnsi="宋体" w:cs="宋体"/>
                <w:b/>
                <w:bCs/>
                <w:snapToGrid/>
                <w:color w:val="auto"/>
                <w:sz w:val="21"/>
                <w:szCs w:val="21"/>
                <w:highlight w:val="none"/>
                <w:u w:val="none"/>
                <w:lang w:val="en-US" w:eastAsia="zh-CN" w:bidi="ar-SA"/>
              </w:rPr>
              <w:t>4、</w:t>
            </w:r>
            <w:r>
              <w:rPr>
                <w:rFonts w:hint="eastAsia" w:ascii="宋体" w:hAnsi="宋体" w:eastAsia="宋体" w:cs="宋体"/>
                <w:b/>
                <w:bCs/>
                <w:color w:val="auto"/>
                <w:sz w:val="21"/>
                <w:szCs w:val="21"/>
                <w:highlight w:val="none"/>
                <w:u w:val="none"/>
                <w:lang w:val="en-US" w:eastAsia="zh-CN" w:bidi="ar-SA"/>
              </w:rPr>
              <w:t>银行投标保函、担保保函或投标保证保险应为无条件、不可撤销的。当出现招标文件规定的不予退还投标担保的情形，招标人要求索赔时，不得要求招标人提供除了招标人出具书面索赔通知和保函（保险）原件外的其他资料作为索赔资料。</w:t>
            </w:r>
          </w:p>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4"/>
                <w:highlight w:val="none"/>
              </w:rPr>
            </w:pPr>
            <w:r>
              <w:rPr>
                <w:rFonts w:hint="eastAsia" w:hAnsi="宋体" w:cs="宋体"/>
                <w:b/>
                <w:bCs/>
                <w:snapToGrid/>
                <w:color w:val="auto"/>
                <w:sz w:val="21"/>
                <w:szCs w:val="21"/>
                <w:highlight w:val="none"/>
                <w:u w:val="none"/>
                <w:lang w:val="en-US" w:eastAsia="zh-CN" w:bidi="ar-SA"/>
              </w:rPr>
              <w:t>5、若投标单位只参加一个标段的投标，可将投标保证金递交到所投标段组中；若投标单位同时参加两个标段的投标，可将投标保证金递交到任一标段中。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无</w:t>
            </w:r>
          </w:p>
          <w:p>
            <w:pPr>
              <w:pStyle w:val="32"/>
              <w:kinsoku w:val="0"/>
              <w:overflowPunct w:val="0"/>
              <w:jc w:val="both"/>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有，具体要求：</w:t>
            </w:r>
            <w:r>
              <w:rPr>
                <w:rFonts w:hint="eastAsia" w:ascii="宋体" w:hAnsi="宋体" w:eastAsia="宋体" w:cs="宋体"/>
                <w:color w:val="auto"/>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不允许</w:t>
            </w:r>
          </w:p>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right="-31" w:rightChars="-1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投标人采用单位数字证书，按招标文件要求在相应位置加盖电子印章。投标文件格式规定需个人签字的，应签字或签章后扫描上传</w:t>
            </w:r>
            <w:r>
              <w:rPr>
                <w:rFonts w:hint="eastAsia" w:ascii="宋体" w:hAnsi="宋体"/>
                <w:color w:val="auto"/>
                <w:sz w:val="21"/>
                <w:szCs w:val="21"/>
                <w:highlight w:val="none"/>
                <w:lang w:eastAsia="zh-CN"/>
              </w:rPr>
              <w:t>（</w:t>
            </w:r>
            <w:r>
              <w:rPr>
                <w:rFonts w:hint="default" w:ascii="Calibri" w:hAnsi="Calibri" w:eastAsia="宋体" w:cs="Times New Roman"/>
                <w:color w:val="auto"/>
                <w:kern w:val="2"/>
                <w:sz w:val="21"/>
                <w:szCs w:val="21"/>
                <w:highlight w:val="none"/>
                <w:lang w:val="en-US" w:eastAsia="zh-CN" w:bidi="ar-SA"/>
              </w:rPr>
              <w:t>可靠的电子签名与手写签名或者盖章具有同等的法律效力</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rPr>
              <w:t>。按照交易平台关于全流程电子化项目的相关指南进行操作</w:t>
            </w:r>
            <w:r>
              <w:rPr>
                <w:rFonts w:hint="eastAsia" w:ascii="宋体" w:hAnsi="宋体" w:eastAsia="宋体" w:cs="宋体"/>
                <w:color w:val="auto"/>
                <w:sz w:val="21"/>
                <w:szCs w:val="21"/>
                <w:highlight w:val="none"/>
                <w:lang w:eastAsia="zh-CN"/>
              </w:rPr>
              <w:t>。</w:t>
            </w:r>
          </w:p>
          <w:p>
            <w:pPr>
              <w:ind w:right="-31" w:rightChars="-13"/>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联合体投标的，除投标文件中的联合体协议书需联合体各方盖章、签字外，投标文件其他内容中的“投标人”、“声明企业”应填写联合体各方的单位全称，但由主办方盖章、签字即可。（公章与电子公章具有相同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202</w:t>
            </w:r>
            <w:r>
              <w:rPr>
                <w:rFonts w:hint="eastAsia" w:ascii="宋体" w:hAnsi="宋体" w:cs="宋体"/>
                <w:color w:val="auto"/>
                <w:sz w:val="21"/>
                <w:szCs w:val="24"/>
                <w:highlight w:val="none"/>
                <w:u w:val="single"/>
                <w:lang w:val="en-US" w:eastAsia="zh-CN"/>
              </w:rPr>
              <w:t>5</w:t>
            </w:r>
            <w:r>
              <w:rPr>
                <w:rFonts w:hint="eastAsia" w:ascii="宋体" w:hAnsi="宋体" w:eastAsia="宋体" w:cs="宋体"/>
                <w:color w:val="auto"/>
                <w:sz w:val="21"/>
                <w:szCs w:val="24"/>
                <w:highlight w:val="none"/>
                <w:u w:val="single"/>
                <w:lang w:eastAsia="zh-CN"/>
              </w:rPr>
              <w:t>年</w:t>
            </w:r>
            <w:r>
              <w:rPr>
                <w:rFonts w:hint="eastAsia" w:ascii="宋体" w:hAnsi="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E/>
              <w:autoSpaceDN/>
              <w:spacing w:before="0" w:beforeLines="0"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1、开标时间</w:t>
            </w:r>
            <w:r>
              <w:rPr>
                <w:rFonts w:hint="eastAsia" w:ascii="宋体" w:hAnsi="宋体" w:eastAsia="宋体" w:cs="宋体"/>
                <w:color w:val="auto"/>
                <w:sz w:val="21"/>
                <w:szCs w:val="21"/>
                <w:highlight w:val="none"/>
              </w:rPr>
              <w:t>：同投标截止时间</w:t>
            </w:r>
          </w:p>
          <w:p>
            <w:pPr>
              <w:autoSpaceDE/>
              <w:autoSpaceDN/>
              <w:spacing w:before="0" w:beforeLines="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开标室</w:t>
            </w:r>
          </w:p>
          <w:p>
            <w:pPr>
              <w:autoSpaceDE/>
              <w:autoSpaceDN/>
              <w:spacing w:before="0" w:beforeLines="0"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开标时，投标人代表有权参加现场开标或在线开标，也可以自主决定不参加开标</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sz w:val="21"/>
                <w:szCs w:val="21"/>
                <w:highlight w:val="none"/>
                <w:lang w:eastAsia="zh-CN"/>
              </w:rPr>
              <w:t>投标人选择参加在线开标的，具体按照交易平台相关指南进行操作。</w:t>
            </w:r>
          </w:p>
          <w:p>
            <w:pPr>
              <w:autoSpaceDE/>
              <w:autoSpaceDN/>
              <w:spacing w:before="0" w:beforeLines="0"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、上述时间及地点是否有改变，请密切留意</w:t>
            </w:r>
            <w:r>
              <w:rPr>
                <w:rFonts w:hint="eastAsia" w:ascii="宋体" w:hAnsi="宋体" w:eastAsia="宋体" w:cs="宋体"/>
                <w:color w:val="auto"/>
                <w:sz w:val="21"/>
                <w:szCs w:val="21"/>
                <w:highlight w:val="none"/>
                <w:lang w:eastAsia="zh-CN"/>
              </w:rPr>
              <w:t>补充公告或</w:t>
            </w:r>
            <w:r>
              <w:rPr>
                <w:rFonts w:hint="eastAsia" w:ascii="宋体" w:hAnsi="宋体" w:eastAsia="宋体" w:cs="宋体"/>
                <w:color w:val="auto"/>
                <w:sz w:val="21"/>
                <w:szCs w:val="21"/>
                <w:highlight w:val="none"/>
              </w:rPr>
              <w:t>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shd w:val="clear"/>
              <w:tabs>
                <w:tab w:val="left" w:pos="2309"/>
                <w:tab w:val="left" w:pos="3826"/>
              </w:tabs>
              <w:kinsoku/>
              <w:overflowPunct w:val="0"/>
              <w:topLinePunct/>
              <w:autoSpaceDE/>
              <w:autoSpaceDN/>
              <w:spacing w:beforeLines="0" w:afterLines="0" w:line="240" w:lineRule="auto"/>
              <w:ind w:left="6" w:leftChars="0" w:right="6" w:rightChars="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评标委员会构成：由招标人依法组建；</w:t>
            </w:r>
          </w:p>
          <w:p>
            <w:pPr>
              <w:pStyle w:val="32"/>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评标专家确定方式：除招标人代表外，其余专家均从广东省综合评标评审专家库中随机抽取</w:t>
            </w:r>
            <w:r>
              <w:rPr>
                <w:rFonts w:hint="eastAsia" w:ascii="宋体" w:hAnsi="宋体" w:eastAsia="宋体" w:cs="宋体"/>
                <w:color w:val="auto"/>
                <w:sz w:val="21"/>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highlight w:val="no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sz w:val="21"/>
                <w:szCs w:val="21"/>
                <w:highlight w:val="none"/>
                <w:lang w:val="zh-CN"/>
              </w:rPr>
              <w:t>广州交易集团有限公司（广州公共资源交易中心）网</w:t>
            </w:r>
          </w:p>
          <w:p>
            <w:pPr>
              <w:pStyle w:val="32"/>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是</w:t>
            </w:r>
          </w:p>
          <w:p>
            <w:pPr>
              <w:pStyle w:val="32"/>
              <w:kinsoku w:val="0"/>
              <w:overflowPunct w:val="0"/>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1"/>
                <w:szCs w:val="24"/>
                <w:highlight w:val="none"/>
              </w:rPr>
              <w:t>不要求</w:t>
            </w:r>
          </w:p>
          <w:p>
            <w:pPr>
              <w:pStyle w:val="32"/>
              <w:kinsoku w:val="0"/>
              <w:overflowPunct w:val="0"/>
              <w:spacing w:line="360" w:lineRule="auto"/>
              <w:jc w:val="both"/>
              <w:rPr>
                <w:rFonts w:hint="eastAsia" w:ascii="宋体" w:hAnsi="宋体" w:eastAsia="宋体" w:cs="宋体"/>
                <w:color w:val="auto"/>
                <w:sz w:val="21"/>
                <w:szCs w:val="24"/>
                <w:highlight w:val="none"/>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4"/>
                <w:highlight w:val="none"/>
              </w:rPr>
              <w:t>要求，履约保证金的形式：</w:t>
            </w:r>
            <w:r>
              <w:rPr>
                <w:rFonts w:hint="eastAsia" w:ascii="宋体" w:hAnsi="宋体" w:eastAsia="宋体" w:cs="宋体"/>
                <w:color w:val="auto"/>
                <w:sz w:val="21"/>
                <w:highlight w:val="none"/>
              </w:rPr>
              <w:t>银行保函、保证保险、担保保函</w:t>
            </w:r>
            <w:r>
              <w:rPr>
                <w:rFonts w:hint="eastAsia" w:ascii="宋体" w:hAnsi="宋体" w:eastAsia="宋体" w:cs="宋体"/>
                <w:color w:val="auto"/>
                <w:sz w:val="21"/>
                <w:highlight w:val="none"/>
                <w:lang w:eastAsia="zh-CN"/>
              </w:rPr>
              <w:t>。</w:t>
            </w:r>
          </w:p>
          <w:p>
            <w:pPr>
              <w:pStyle w:val="32"/>
              <w:kinsoku w:val="0"/>
              <w:overflowPunct w:val="0"/>
              <w:spacing w:line="360" w:lineRule="auto"/>
              <w:ind w:firstLine="840" w:firstLineChars="40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eastAsia="宋体" w:cs="宋体"/>
                <w:color w:val="auto"/>
                <w:sz w:val="21"/>
                <w:highlight w:val="none"/>
              </w:rPr>
              <w:t>中标价款的5%</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10.12 交易服务费</w:t>
            </w:r>
          </w:p>
          <w:p>
            <w:pPr>
              <w:jc w:val="both"/>
              <w:rPr>
                <w:rFonts w:hint="eastAsia" w:ascii="宋体" w:hAnsi="宋体" w:eastAsia="宋体" w:cs="宋体"/>
                <w:color w:val="auto"/>
                <w:sz w:val="21"/>
                <w:szCs w:val="24"/>
                <w:highlight w:val="none"/>
              </w:rPr>
            </w:pPr>
            <w:r>
              <w:rPr>
                <w:rFonts w:hint="eastAsia" w:ascii="宋体" w:hAnsi="宋体" w:eastAsia="宋体" w:cs="宋体"/>
                <w:color w:val="auto"/>
                <w:sz w:val="21"/>
                <w:highlight w:val="none"/>
              </w:rPr>
              <w:t>根据《广州交易集团有限公司（广州公共资源交易中心）关于建设工程项目公共资源交易服务收费有关事宜的通知》的规定，本项目交易服务费由</w:t>
            </w:r>
            <w:r>
              <w:rPr>
                <w:rFonts w:hint="eastAsia" w:ascii="宋体" w:hAnsi="宋体" w:cs="宋体"/>
                <w:color w:val="auto"/>
                <w:sz w:val="21"/>
                <w:highlight w:val="none"/>
                <w:lang w:val="en-US" w:eastAsia="zh-CN"/>
              </w:rPr>
              <w:t>中标</w:t>
            </w:r>
            <w:r>
              <w:rPr>
                <w:rFonts w:hint="eastAsia" w:ascii="宋体" w:hAnsi="宋体" w:eastAsia="宋体" w:cs="宋体"/>
                <w:color w:val="auto"/>
                <w:sz w:val="21"/>
                <w:highlight w:val="none"/>
              </w:rPr>
              <w:t>人缴纳。</w:t>
            </w:r>
          </w:p>
        </w:tc>
      </w:tr>
    </w:tbl>
    <w:p>
      <w:pPr>
        <w:pStyle w:val="7"/>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pgNumType w:fmt="decimal"/>
          <w:cols w:space="720" w:num="1"/>
        </w:sectPr>
      </w:pPr>
      <w:bookmarkStart w:id="40" w:name="bookmark20"/>
      <w:bookmarkEnd w:id="40"/>
    </w:p>
    <w:p>
      <w:pPr>
        <w:pStyle w:val="7"/>
        <w:outlineLvl w:val="1"/>
        <w:rPr>
          <w:rFonts w:hint="eastAsia" w:ascii="宋体" w:hAnsi="宋体" w:eastAsia="宋体" w:cs="宋体"/>
          <w:b w:val="0"/>
          <w:color w:val="auto"/>
          <w:sz w:val="24"/>
          <w:szCs w:val="24"/>
          <w:highlight w:val="none"/>
        </w:rPr>
      </w:pPr>
      <w:bookmarkStart w:id="41" w:name="_Toc28936"/>
      <w:r>
        <w:rPr>
          <w:rFonts w:hint="eastAsia" w:ascii="宋体" w:hAnsi="宋体" w:eastAsia="宋体" w:cs="宋体"/>
          <w:color w:val="auto"/>
          <w:sz w:val="24"/>
          <w:szCs w:val="24"/>
          <w:highlight w:val="none"/>
        </w:rPr>
        <w:t>1.总则</w:t>
      </w:r>
      <w:bookmarkEnd w:id="41"/>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2" w:name="bookmark21"/>
      <w:bookmarkEnd w:id="42"/>
      <w:r>
        <w:rPr>
          <w:rFonts w:hint="eastAsia" w:ascii="宋体" w:hAnsi="宋体" w:eastAsia="宋体" w:cs="宋体"/>
          <w:color w:val="auto"/>
          <w:highlight w:val="none"/>
        </w:rPr>
        <w:t>1.1 招标项目概况</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cs="宋体"/>
          <w:color w:val="auto"/>
          <w:sz w:val="24"/>
          <w:szCs w:val="24"/>
          <w:highlight w:val="none"/>
          <w:lang w:val="en-US" w:eastAsia="zh-CN"/>
        </w:rPr>
        <w:t>检测、监测</w:t>
      </w:r>
      <w:r>
        <w:rPr>
          <w:rFonts w:hint="eastAsia" w:ascii="宋体" w:hAnsi="宋体" w:eastAsia="宋体" w:cs="宋体"/>
          <w:color w:val="auto"/>
          <w:sz w:val="24"/>
          <w:szCs w:val="24"/>
          <w:highlight w:val="none"/>
        </w:rPr>
        <w:t>进行招标。</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招标人：见投标人须知前附表。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招标代理机构：见投标人须知前附表。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招标项目名称：见投标人须知前附表。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项目建设地点：见投标人须知前附表。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项目建设规模：见投标人须知前附表。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3" w:name="bookmark22"/>
      <w:bookmarkEnd w:id="43"/>
      <w:r>
        <w:rPr>
          <w:rFonts w:hint="eastAsia" w:ascii="宋体" w:hAnsi="宋体" w:eastAsia="宋体" w:cs="宋体"/>
          <w:color w:val="auto"/>
          <w:highlight w:val="none"/>
        </w:rPr>
        <w:t>1.2 招标项目的资金来源和落实情况</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4" w:name="bookmark23"/>
      <w:bookmarkEnd w:id="44"/>
      <w:r>
        <w:rPr>
          <w:rFonts w:hint="eastAsia" w:ascii="宋体" w:hAnsi="宋体" w:eastAsia="宋体" w:cs="宋体"/>
          <w:color w:val="auto"/>
          <w:highlight w:val="none"/>
        </w:rPr>
        <w:t>1.3 招标范围、服务期限和质量标准</w:t>
      </w:r>
    </w:p>
    <w:p>
      <w:pPr>
        <w:spacing w:line="360" w:lineRule="auto"/>
        <w:ind w:firstLine="537" w:firstLineChars="2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1.3.1 招标范围：见投标人须知前附表。</w:t>
      </w:r>
    </w:p>
    <w:p>
      <w:pPr>
        <w:spacing w:line="360" w:lineRule="auto"/>
        <w:ind w:firstLine="537" w:firstLineChars="2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1.3.2 服务期限：见投标人须知前附表。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1.3.3 质量标准：见投标人须知前附表。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5" w:name="bookmark24"/>
      <w:bookmarkEnd w:id="45"/>
      <w:r>
        <w:rPr>
          <w:rFonts w:hint="eastAsia" w:ascii="宋体" w:hAnsi="宋体" w:eastAsia="宋体" w:cs="宋体"/>
          <w:color w:val="auto"/>
          <w:highlight w:val="none"/>
        </w:rPr>
        <w:t>1.4 投标人资格要求</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投标人应具备承担本招标项目资质条件、能力和信誉：</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（6）其他主要人员要求：见投标人须知前附表。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（7）试验检测仪器设备要求：见投标人须知前附表。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（8）其他要求：见投标人须知前附表。需要提交的相关证明材料见本章第 3.5 款的规定。</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投标人须知前附表规定接受联合体投标的，联合体除应符合本章第 1.4.1 项和投标人须知前附表的要求外，还应遵守以下规定：</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z w:val="24"/>
          <w:szCs w:val="24"/>
          <w:highlight w:val="none"/>
        </w:rPr>
        <w:t>和各方权利义务，并承诺就中标项目向招标人承担连带责任；</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（3）联合体各方不得再以自己名义单独或参加其他联合体在本招标项目中投标，否则各相关投标均无效。</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投标人不得存在下列情形之一：</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（9）与本招标项目的建</w:t>
      </w:r>
      <w:r>
        <w:rPr>
          <w:rFonts w:hint="eastAsia" w:ascii="宋体" w:hAnsi="宋体" w:eastAsia="宋体" w:cs="宋体"/>
          <w:b w:val="0"/>
          <w:bCs/>
          <w:color w:val="auto"/>
          <w:sz w:val="24"/>
          <w:szCs w:val="24"/>
          <w:highlight w:val="none"/>
          <w:lang w:val="en-US" w:eastAsia="zh-CN"/>
        </w:rPr>
        <w:t>设、施工、监理单位，以及建筑材料、建筑构配件和设备供应商有隶属关系或者其他利害关系；参与本招标项目的招标文件编写、监理工作</w:t>
      </w:r>
      <w:r>
        <w:rPr>
          <w:rFonts w:hint="eastAsia" w:ascii="宋体" w:hAnsi="宋体" w:eastAsia="宋体" w:cs="宋体"/>
          <w:color w:val="auto"/>
          <w:sz w:val="24"/>
          <w:szCs w:val="24"/>
          <w:highlight w:val="none"/>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（10）被依法暂停或者取消投标资格；（本项实施应当以相关行政主管部门出具的正式文件为认定依据。文件中已经明确的暂停或取消投标资格的区域范围不包含本标段建设地点的，不受该项规定限制）；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（11）被责令停产停业、暂扣或者吊销许可证、暂扣或者吊销执照；（本项事实应当以根据《中华人民共和国行政处罚法》依法作出并已经生效的行政处罚决定为认定依据。）</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（12）进入清算程序，或被宣告破产，或其他丧失履约能力的情形；</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发生重大质量问题（以相关行业主管部门的行政处罚决定或司法机关出具的有关法律文书为准）；（“重大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（14）法律法规或投标人须知前附表规定的其他情形。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6" w:name="bookmark25"/>
      <w:bookmarkEnd w:id="46"/>
      <w:r>
        <w:rPr>
          <w:rFonts w:hint="eastAsia" w:ascii="宋体" w:hAnsi="宋体" w:eastAsia="宋体" w:cs="宋体"/>
          <w:color w:val="auto"/>
          <w:highlight w:val="none"/>
        </w:rPr>
        <w:t>1.5 费用承担</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7" w:name="bookmark26"/>
      <w:bookmarkEnd w:id="47"/>
      <w:r>
        <w:rPr>
          <w:rFonts w:hint="eastAsia" w:ascii="宋体" w:hAnsi="宋体" w:eastAsia="宋体" w:cs="宋体"/>
          <w:color w:val="auto"/>
          <w:highlight w:val="none"/>
        </w:rPr>
        <w:t>1.6 保密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 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8" w:name="bookmark27"/>
      <w:bookmarkEnd w:id="48"/>
      <w:r>
        <w:rPr>
          <w:rFonts w:hint="eastAsia" w:ascii="宋体" w:hAnsi="宋体" w:eastAsia="宋体" w:cs="宋体"/>
          <w:color w:val="auto"/>
          <w:highlight w:val="none"/>
        </w:rPr>
        <w:t>1.7 语言文字</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9" w:name="bookmark28"/>
      <w:bookmarkEnd w:id="49"/>
      <w:r>
        <w:rPr>
          <w:rFonts w:hint="eastAsia" w:ascii="宋体" w:hAnsi="宋体" w:eastAsia="宋体" w:cs="宋体"/>
          <w:color w:val="auto"/>
          <w:highlight w:val="none"/>
        </w:rPr>
        <w:t>1.8 计量单位</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0" w:name="bookmark29"/>
      <w:bookmarkEnd w:id="50"/>
      <w:r>
        <w:rPr>
          <w:rFonts w:hint="eastAsia" w:ascii="宋体" w:hAnsi="宋体" w:eastAsia="宋体" w:cs="宋体"/>
          <w:color w:val="auto"/>
          <w:highlight w:val="none"/>
        </w:rPr>
        <w:t>1.9 踏勘现场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 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1" w:name="bookmark30"/>
      <w:bookmarkEnd w:id="51"/>
      <w:r>
        <w:rPr>
          <w:rFonts w:hint="eastAsia" w:ascii="宋体" w:hAnsi="宋体" w:eastAsia="宋体" w:cs="宋体"/>
          <w:color w:val="auto"/>
          <w:highlight w:val="none"/>
        </w:rPr>
        <w:t>1.10 投标预备会</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val="en-US" w:eastAsia="zh-CN"/>
        </w:rPr>
        <w:t>本项目不召开投标预备会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2" w:name="bookmark31"/>
      <w:bookmarkEnd w:id="52"/>
      <w:r>
        <w:rPr>
          <w:rFonts w:hint="eastAsia" w:ascii="宋体" w:hAnsi="宋体" w:eastAsia="宋体" w:cs="宋体"/>
          <w:color w:val="auto"/>
          <w:highlight w:val="none"/>
        </w:rPr>
        <w:t>1.11 分包</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本项目严禁</w:t>
      </w:r>
      <w:r>
        <w:rPr>
          <w:rFonts w:hint="eastAsia" w:ascii="宋体" w:hAnsi="宋体" w:eastAsia="宋体" w:cs="宋体"/>
          <w:color w:val="auto"/>
          <w:sz w:val="24"/>
          <w:szCs w:val="24"/>
          <w:highlight w:val="none"/>
          <w:lang w:val="en-US" w:eastAsia="zh-CN"/>
        </w:rPr>
        <w:t>非法</w:t>
      </w:r>
      <w:r>
        <w:rPr>
          <w:rFonts w:hint="eastAsia" w:ascii="宋体" w:hAnsi="宋体" w:eastAsia="宋体" w:cs="宋体"/>
          <w:color w:val="auto"/>
          <w:sz w:val="24"/>
          <w:szCs w:val="24"/>
          <w:highlight w:val="none"/>
        </w:rPr>
        <w:t>分包。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3" w:name="bookmark32"/>
      <w:bookmarkEnd w:id="53"/>
      <w:r>
        <w:rPr>
          <w:rFonts w:hint="eastAsia" w:ascii="宋体" w:hAnsi="宋体" w:eastAsia="宋体" w:cs="宋体"/>
          <w:color w:val="auto"/>
          <w:highlight w:val="none"/>
        </w:rPr>
        <w:t>1.12 响应和偏差</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投标人应根据招标文件的要求提供</w:t>
      </w:r>
      <w:r>
        <w:rPr>
          <w:rFonts w:hint="eastAsia" w:ascii="宋体" w:hAnsi="宋体" w:eastAsia="宋体" w:cs="宋体"/>
          <w:color w:val="auto"/>
          <w:sz w:val="24"/>
          <w:szCs w:val="24"/>
          <w:highlight w:val="none"/>
          <w:lang w:val="en-US" w:eastAsia="zh-CN"/>
        </w:rPr>
        <w:t>技术服务方案</w:t>
      </w:r>
      <w:r>
        <w:rPr>
          <w:rFonts w:hint="eastAsia" w:ascii="宋体" w:hAnsi="宋体" w:eastAsia="宋体" w:cs="宋体"/>
          <w:color w:val="auto"/>
          <w:sz w:val="24"/>
          <w:szCs w:val="24"/>
          <w:highlight w:val="none"/>
        </w:rPr>
        <w:t>等内容以对招标文件作出响应。</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投标人须知前附表允许投标文件偏离招标文件某些要求的，偏差应当符合招标文件规定的偏差范围和幅度。</w:t>
      </w:r>
    </w:p>
    <w:p>
      <w:pPr>
        <w:pStyle w:val="7"/>
        <w:outlineLvl w:val="1"/>
        <w:rPr>
          <w:rFonts w:hint="eastAsia" w:ascii="宋体" w:hAnsi="宋体" w:eastAsia="宋体" w:cs="宋体"/>
          <w:color w:val="auto"/>
          <w:sz w:val="24"/>
          <w:szCs w:val="24"/>
          <w:highlight w:val="none"/>
        </w:rPr>
      </w:pPr>
      <w:bookmarkStart w:id="54" w:name="bookmark33"/>
      <w:bookmarkEnd w:id="54"/>
      <w:bookmarkStart w:id="55" w:name="_Toc8823"/>
      <w:r>
        <w:rPr>
          <w:rFonts w:hint="eastAsia" w:ascii="宋体" w:hAnsi="宋体" w:eastAsia="宋体" w:cs="宋体"/>
          <w:color w:val="auto"/>
          <w:sz w:val="24"/>
          <w:szCs w:val="24"/>
          <w:highlight w:val="none"/>
        </w:rPr>
        <w:t>2.招标文件</w:t>
      </w:r>
      <w:bookmarkEnd w:id="55"/>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6" w:name="bookmark34"/>
      <w:bookmarkEnd w:id="56"/>
      <w:r>
        <w:rPr>
          <w:rFonts w:hint="eastAsia" w:ascii="宋体" w:hAnsi="宋体" w:eastAsia="宋体" w:cs="宋体"/>
          <w:color w:val="auto"/>
          <w:highlight w:val="none"/>
        </w:rPr>
        <w:t>2.1 招标文件的组成</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（5）委托人要求；</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7" w:name="bookmark35"/>
      <w:bookmarkEnd w:id="57"/>
      <w:bookmarkStart w:id="58" w:name="bookmark38"/>
      <w:bookmarkEnd w:id="58"/>
      <w:r>
        <w:rPr>
          <w:rFonts w:hint="eastAsia" w:ascii="宋体" w:hAnsi="宋体" w:eastAsia="宋体" w:cs="宋体"/>
          <w:color w:val="auto"/>
          <w:highlight w:val="none"/>
        </w:rPr>
        <w:t>2.2  招标文件的</w:t>
      </w:r>
      <w:r>
        <w:rPr>
          <w:rFonts w:hint="eastAsia" w:ascii="宋体" w:hAnsi="宋体" w:eastAsia="宋体" w:cs="宋体"/>
          <w:color w:val="auto"/>
          <w:highlight w:val="none"/>
          <w:lang w:eastAsia="zh-CN"/>
        </w:rPr>
        <w:t>答疑</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招标答疑采用网上答疑方式进行。投标人若对招标文件有疑问的，</w:t>
      </w:r>
      <w:r>
        <w:rPr>
          <w:rFonts w:hint="eastAsia" w:ascii="宋体" w:hAnsi="宋体" w:eastAsia="宋体" w:cs="宋体"/>
          <w:color w:val="auto"/>
          <w:sz w:val="24"/>
          <w:szCs w:val="24"/>
          <w:highlight w:val="none"/>
          <w:lang w:eastAsia="zh-CN"/>
        </w:rPr>
        <w:t>通过广州交易集团有限公司（广州公共资源交易中心）网站提交，</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eastAsia="zh-CN"/>
        </w:rPr>
        <w:t>问</w:t>
      </w:r>
      <w:r>
        <w:rPr>
          <w:rFonts w:hint="eastAsia" w:ascii="宋体" w:hAnsi="宋体" w:eastAsia="宋体" w:cs="宋体"/>
          <w:color w:val="auto"/>
          <w:sz w:val="24"/>
          <w:szCs w:val="24"/>
          <w:highlight w:val="none"/>
        </w:rPr>
        <w:t>一律不得署名。</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2.2.3  招标答疑纪要将在提交投标文件截止时间 15 日前在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“项目答疑纪要”专区公开发布。答疑纪要一经在</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发布，视作已发放给所有投标人</w:t>
      </w:r>
      <w:r>
        <w:rPr>
          <w:rFonts w:hint="eastAsia" w:ascii="宋体" w:hAnsi="宋体" w:eastAsia="宋体" w:cs="宋体"/>
          <w:color w:val="auto"/>
          <w:sz w:val="24"/>
          <w:szCs w:val="24"/>
          <w:highlight w:val="none"/>
          <w:lang w:eastAsia="zh-CN"/>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rPr>
        <w:t>招标答疑纪要</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若招标答疑纪要与招标文件有矛盾时，以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最后发布的答疑纪要为准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招标文件的</w:t>
      </w:r>
      <w:r>
        <w:rPr>
          <w:rFonts w:hint="eastAsia" w:ascii="宋体" w:hAnsi="宋体" w:eastAsia="宋体" w:cs="宋体"/>
          <w:color w:val="auto"/>
          <w:highlight w:val="none"/>
          <w:lang w:eastAsia="zh-CN"/>
        </w:rPr>
        <w:t>澄清与</w:t>
      </w:r>
      <w:r>
        <w:rPr>
          <w:rFonts w:hint="eastAsia" w:ascii="宋体" w:hAnsi="宋体" w:eastAsia="宋体" w:cs="宋体"/>
          <w:color w:val="auto"/>
          <w:highlight w:val="none"/>
        </w:rPr>
        <w:t>修改</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2.3.1 </w:t>
      </w:r>
      <w:r>
        <w:rPr>
          <w:rFonts w:hint="eastAsia" w:ascii="宋体" w:hAnsi="宋体" w:eastAsia="宋体" w:cs="宋体"/>
          <w:color w:val="auto"/>
          <w:sz w:val="24"/>
          <w:szCs w:val="24"/>
          <w:highlight w:val="none"/>
          <w:lang w:val="en-US" w:eastAsia="zh-CN"/>
        </w:rPr>
        <w:t xml:space="preserve"> 招标文件发出后，在提交投标文件截止时间15日前，招标人可对招标文件进行必要的澄清或修改。</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2.3.2  </w:t>
      </w:r>
      <w:r>
        <w:rPr>
          <w:rFonts w:hint="eastAsia" w:ascii="宋体" w:hAnsi="宋体" w:eastAsia="宋体"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宋体" w:hAnsi="宋体" w:eastAsia="宋体" w:cs="宋体"/>
          <w:color w:val="auto"/>
          <w:sz w:val="24"/>
          <w:szCs w:val="24"/>
          <w:highlight w:val="none"/>
          <w:lang w:val="en-US" w:eastAsia="zh-CN"/>
        </w:rPr>
        <w:t>网站发布时间作为送达时间。</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2.3.3  </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文件的澄清或修改是</w:t>
      </w:r>
      <w:r>
        <w:rPr>
          <w:rFonts w:hint="eastAsia" w:ascii="宋体" w:hAnsi="宋体" w:eastAsia="宋体" w:cs="宋体"/>
          <w:color w:val="auto"/>
          <w:sz w:val="24"/>
          <w:szCs w:val="24"/>
          <w:highlight w:val="none"/>
        </w:rPr>
        <w:t>招标文件的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，对投标人起约束作用</w:t>
      </w:r>
      <w:r>
        <w:rPr>
          <w:rFonts w:hint="eastAsia" w:ascii="宋体" w:hAnsi="宋体" w:eastAsia="宋体" w:cs="宋体"/>
          <w:color w:val="auto"/>
          <w:sz w:val="24"/>
          <w:szCs w:val="24"/>
          <w:highlight w:val="none"/>
        </w:rPr>
        <w:t>。</w:t>
      </w:r>
    </w:p>
    <w:p>
      <w:pPr>
        <w:pStyle w:val="14"/>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 xml:space="preserve"> 招标文件的澄清或修</w:t>
      </w:r>
      <w:r>
        <w:rPr>
          <w:rFonts w:hint="eastAsia" w:ascii="宋体" w:hAnsi="宋体" w:eastAsia="宋体" w:cs="宋体"/>
          <w:color w:val="auto"/>
          <w:sz w:val="24"/>
          <w:szCs w:val="24"/>
          <w:highlight w:val="none"/>
        </w:rPr>
        <w:t>改均以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发布的内容为准。当招标文件的澄清、修改</w:t>
      </w:r>
      <w:r>
        <w:rPr>
          <w:rFonts w:hint="eastAsia" w:ascii="宋体" w:hAnsi="宋体" w:eastAsia="宋体" w:cs="宋体"/>
          <w:color w:val="auto"/>
          <w:sz w:val="24"/>
          <w:szCs w:val="24"/>
          <w:highlight w:val="none"/>
          <w:lang w:eastAsia="zh-CN"/>
        </w:rPr>
        <w:t>、补充等</w:t>
      </w:r>
      <w:r>
        <w:rPr>
          <w:rFonts w:hint="eastAsia" w:ascii="宋体" w:hAnsi="宋体" w:eastAsia="宋体" w:cs="宋体"/>
          <w:color w:val="auto"/>
          <w:sz w:val="24"/>
          <w:szCs w:val="24"/>
          <w:highlight w:val="none"/>
        </w:rPr>
        <w:t>在同一内容的表述不一致时，以</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最后发布的内容为准。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z w:val="24"/>
          <w:szCs w:val="24"/>
          <w:highlight w:val="none"/>
          <w:lang w:val="en-US" w:eastAsia="zh-CN"/>
        </w:rPr>
        <w:t xml:space="preserve">2.3.5  </w:t>
      </w:r>
      <w:r>
        <w:rPr>
          <w:rFonts w:hint="eastAsia" w:ascii="宋体" w:hAnsi="宋体" w:eastAsia="宋体"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宋体" w:hAnsi="宋体" w:eastAsia="宋体" w:cs="宋体"/>
          <w:color w:val="auto"/>
          <w:spacing w:val="-11"/>
          <w:sz w:val="24"/>
          <w:szCs w:val="24"/>
          <w:highlight w:val="none"/>
          <w:lang w:eastAsia="zh-CN"/>
        </w:rPr>
        <w:t>，即表示投标时间不延长。</w:t>
      </w:r>
    </w:p>
    <w:p>
      <w:pPr>
        <w:pStyle w:val="14"/>
        <w:tabs>
          <w:tab w:val="left" w:pos="1343"/>
          <w:tab w:val="left" w:pos="2697"/>
          <w:tab w:val="left" w:pos="3264"/>
          <w:tab w:val="left" w:pos="4896"/>
          <w:tab w:val="left" w:pos="6005"/>
          <w:tab w:val="left" w:pos="7085"/>
          <w:tab w:val="left" w:pos="7498"/>
        </w:tabs>
        <w:kinsoku w:val="0"/>
        <w:overflowPunct w:val="0"/>
        <w:spacing w:line="360" w:lineRule="auto"/>
        <w:ind w:left="0" w:firstLine="436"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2.</w:t>
      </w: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lang w:eastAsia="zh-CN"/>
        </w:rPr>
        <w:t xml:space="preserve">  招标文件的异议</w:t>
      </w:r>
    </w:p>
    <w:p>
      <w:pPr>
        <w:pStyle w:val="14"/>
        <w:tabs>
          <w:tab w:val="left" w:pos="1343"/>
          <w:tab w:val="left" w:pos="2697"/>
          <w:tab w:val="left" w:pos="3264"/>
          <w:tab w:val="left" w:pos="4896"/>
          <w:tab w:val="left" w:pos="6005"/>
          <w:tab w:val="left" w:pos="7085"/>
          <w:tab w:val="left" w:pos="7498"/>
        </w:tabs>
        <w:kinsoku w:val="0"/>
        <w:overflowPunct w:val="0"/>
        <w:spacing w:line="360" w:lineRule="auto"/>
        <w:ind w:left="0" w:firstLine="436" w:firstLineChars="200"/>
        <w:jc w:val="both"/>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投标人或者其他利害关系人对招标文件有异议的，应当在投标截止时间 10 日前通过线下或线上的形式提出异议。线上提出异议的，应通过交易平台提交，招标人也应通过交易平台答复线上提出的异议。具体按照交易平台相关指南进行操作。招标人将在收到异议之日起 3 日内作出答复；作出答复前，将暂停招标投标活动。</w:t>
      </w:r>
    </w:p>
    <w:p>
      <w:pPr>
        <w:pStyle w:val="7"/>
        <w:outlineLvl w:val="1"/>
        <w:rPr>
          <w:rFonts w:hint="eastAsia" w:ascii="宋体" w:hAnsi="宋体" w:eastAsia="宋体" w:cs="宋体"/>
          <w:color w:val="auto"/>
          <w:sz w:val="24"/>
          <w:szCs w:val="24"/>
          <w:highlight w:val="none"/>
        </w:rPr>
      </w:pPr>
      <w:bookmarkStart w:id="59" w:name="_Toc20483"/>
      <w:r>
        <w:rPr>
          <w:rFonts w:hint="eastAsia" w:ascii="宋体" w:hAnsi="宋体" w:eastAsia="宋体" w:cs="宋体"/>
          <w:color w:val="auto"/>
          <w:sz w:val="24"/>
          <w:szCs w:val="24"/>
          <w:highlight w:val="none"/>
        </w:rPr>
        <w:t>3.投标文件</w:t>
      </w:r>
      <w:bookmarkEnd w:id="59"/>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0" w:name="bookmark39"/>
      <w:bookmarkEnd w:id="60"/>
      <w:r>
        <w:rPr>
          <w:rFonts w:hint="eastAsia" w:ascii="宋体" w:hAnsi="宋体" w:eastAsia="宋体" w:cs="宋体"/>
          <w:color w:val="auto"/>
          <w:highlight w:val="none"/>
        </w:rPr>
        <w:t>3.1 投标文件的组成</w:t>
      </w:r>
    </w:p>
    <w:p>
      <w:pPr>
        <w:pStyle w:val="14"/>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（1）投标函及投标函附录；</w:t>
      </w:r>
    </w:p>
    <w:p>
      <w:pPr>
        <w:widowControl/>
        <w:pBdr>
          <w:top w:val="none" w:color="auto" w:sz="0" w:space="0"/>
          <w:left w:val="none" w:color="auto" w:sz="0" w:space="0"/>
          <w:bottom w:val="none" w:color="auto" w:sz="0" w:space="0"/>
          <w:right w:val="none" w:color="auto" w:sz="0" w:space="0"/>
          <w:between w:val="none" w:color="auto" w:sz="0" w:space="0"/>
        </w:pBdr>
        <w:autoSpaceDE/>
        <w:autoSpaceDN/>
        <w:adjustRightInd/>
        <w:spacing w:line="360" w:lineRule="auto"/>
        <w:ind w:left="0" w:firstLine="480" w:firstLineChars="200"/>
        <w:jc w:val="both"/>
        <w:rPr>
          <w:rFonts w:hint="eastAsia"/>
          <w:color w:val="auto"/>
          <w:highlight w:val="none"/>
          <w:lang w:val="en-US" w:eastAsia="zh-CN"/>
        </w:rPr>
      </w:pPr>
      <w:r>
        <w:rPr>
          <w:rFonts w:hint="eastAsia" w:ascii="宋体" w:hAnsi="宋体" w:eastAsia="宋体" w:cs="宋体"/>
          <w:color w:val="auto"/>
          <w:sz w:val="24"/>
          <w:szCs w:val="24"/>
          <w:highlight w:val="none"/>
          <w:lang w:val="en-US" w:eastAsia="zh-CN" w:bidi="ar-SA"/>
        </w:rPr>
        <w:t>（2）法定代表人身份证明；</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（3）授权委托书；（适用于有委托代理人的情况）</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（4）联合体协议书（如有）；</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（5）投标保证金；</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（6）资格审查资料；</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r>
        <w:rPr>
          <w:rFonts w:hint="eastAsia" w:ascii="宋体" w:hAnsi="宋体" w:cs="宋体"/>
          <w:color w:val="auto"/>
          <w:highlight w:val="none"/>
        </w:rPr>
        <w:t>投标报价表</w:t>
      </w:r>
      <w:r>
        <w:rPr>
          <w:rFonts w:hint="eastAsia" w:ascii="宋体" w:hAnsi="宋体" w:cs="宋体"/>
          <w:color w:val="auto"/>
          <w:highlight w:val="none"/>
          <w:lang w:eastAsia="zh-CN"/>
        </w:rPr>
        <w:t>；</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（8）服务方案；</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（9）</w:t>
      </w:r>
      <w:r>
        <w:rPr>
          <w:rFonts w:hint="eastAsia" w:ascii="宋体" w:hAnsi="宋体" w:eastAsia="宋体" w:cs="宋体"/>
          <w:color w:val="auto"/>
          <w:sz w:val="24"/>
          <w:szCs w:val="24"/>
          <w:highlight w:val="none"/>
          <w:lang w:val="en-US" w:eastAsia="zh-CN" w:bidi="ar-SA"/>
        </w:rPr>
        <w:t>投标人须知前附表规定的其他资料。投标人在评标过程中作出的符合法律法规和招标文件规定的澄清确认，构成投标文件的组成部分。</w:t>
      </w:r>
    </w:p>
    <w:p>
      <w:pPr>
        <w:widowControl/>
        <w:pBdr>
          <w:top w:val="none" w:color="auto" w:sz="0" w:space="0"/>
          <w:left w:val="none" w:color="auto" w:sz="0" w:space="0"/>
          <w:bottom w:val="none" w:color="auto" w:sz="0" w:space="0"/>
          <w:right w:val="none" w:color="auto" w:sz="0" w:space="0"/>
          <w:between w:val="none" w:color="auto" w:sz="0" w:space="0"/>
        </w:pBdr>
        <w:shd w:val="clea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3.1.2 投标人须知前附表规定不接受联合体投标的，或投标人没有组成联合体的，投标文件不包括本章第 3.1.1（3）目所指的联合体协议书。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60" w:lineRule="auto"/>
        <w:ind w:left="0" w:firstLine="240" w:firstLineChars="100"/>
        <w:textAlignment w:val="auto"/>
        <w:rPr>
          <w:rFonts w:hint="eastAsia" w:ascii="宋体" w:hAnsi="宋体" w:eastAsia="宋体" w:cs="宋体"/>
          <w:color w:val="auto"/>
          <w:highlight w:val="none"/>
        </w:rPr>
      </w:pPr>
      <w:bookmarkStart w:id="61" w:name="bookmark40"/>
      <w:bookmarkEnd w:id="61"/>
      <w:r>
        <w:rPr>
          <w:rFonts w:hint="eastAsia" w:ascii="宋体" w:hAnsi="宋体" w:eastAsia="宋体" w:cs="宋体"/>
          <w:color w:val="auto"/>
          <w:highlight w:val="none"/>
        </w:rPr>
        <w:t>3.2 投标报价</w:t>
      </w:r>
    </w:p>
    <w:p>
      <w:pPr>
        <w:pStyle w:val="14"/>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b w:val="0"/>
          <w:bCs/>
          <w:color w:val="auto"/>
          <w:sz w:val="24"/>
          <w:szCs w:val="24"/>
          <w:highlight w:val="none"/>
          <w:lang w:val="en-US" w:eastAsia="zh-CN" w:bidi="ar-SA"/>
        </w:rPr>
        <w:t>投标报价应包括国家规定的增值税税金，除投标人须知前附表另有规定外，增值税税金按一般计税方法计算。</w:t>
      </w:r>
      <w:r>
        <w:rPr>
          <w:rFonts w:hint="eastAsia" w:ascii="宋体" w:hAnsi="宋体" w:cs="宋体"/>
          <w:color w:val="auto"/>
          <w:sz w:val="24"/>
          <w:szCs w:val="24"/>
          <w:highlight w:val="none"/>
          <w:lang w:bidi="ar"/>
        </w:rPr>
        <w:t>投标人应按第六章“投标文件格式”的要求在投标函中进行报价并填写报价书。</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投标人应充分了解该项目的总体情况以及影响投标报价的其他要素。</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cs="宋体"/>
          <w:color w:val="auto"/>
          <w:sz w:val="24"/>
          <w:szCs w:val="24"/>
          <w:highlight w:val="none"/>
          <w:lang w:bidi="ar"/>
        </w:rPr>
        <w:t>本项目的报价方式见投标人须知前附表。投标人在投标截止时间前修改投标函中的投标报价总额，应同时修改投标文件“投标报价书”中的相应报价。此修改须符合本章第4.3款的有关要求。</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招标人设有最高投标限价的，投标人的投标报价不得超过最高投标限价，最高投标限价在投标人须知前附表中载明。</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2" w:name="bookmark41"/>
      <w:bookmarkEnd w:id="62"/>
      <w:r>
        <w:rPr>
          <w:rFonts w:hint="eastAsia" w:ascii="宋体" w:hAnsi="宋体" w:eastAsia="宋体" w:cs="宋体"/>
          <w:color w:val="auto"/>
          <w:highlight w:val="none"/>
        </w:rPr>
        <w:t>3.3 投标有效期</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 90 天。</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3" w:name="bookmark42"/>
      <w:bookmarkEnd w:id="63"/>
      <w:r>
        <w:rPr>
          <w:rFonts w:hint="eastAsia" w:ascii="宋体" w:hAnsi="宋体" w:eastAsia="宋体" w:cs="宋体"/>
          <w:color w:val="auto"/>
          <w:highlight w:val="none"/>
        </w:rPr>
        <w:t>3.4  投标保证金</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lang w:eastAsia="zh-CN"/>
        </w:rPr>
      </w:pPr>
      <w:r>
        <w:rPr>
          <w:rFonts w:hint="eastAsia" w:ascii="宋体" w:hAnsi="宋体" w:eastAsia="宋体" w:cs="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color w:val="auto"/>
          <w:sz w:val="24"/>
          <w:szCs w:val="24"/>
          <w:highlight w:val="none"/>
          <w:lang w:eastAsia="zh-CN"/>
        </w:rPr>
        <w:t>采用现金或者支票形式提交的，投标保证金须从投标人的银行基本账户转出。</w:t>
      </w:r>
      <w:r>
        <w:rPr>
          <w:rFonts w:hint="eastAsia" w:ascii="宋体" w:hAnsi="宋体" w:eastAsia="宋体" w:cs="宋体"/>
          <w:strike w:val="0"/>
          <w:color w:val="auto"/>
          <w:sz w:val="24"/>
          <w:szCs w:val="24"/>
          <w:highlight w:val="none"/>
        </w:rPr>
        <w:t>联合体投标的，其投标</w:t>
      </w:r>
      <w:r>
        <w:rPr>
          <w:rFonts w:hint="eastAsia" w:ascii="宋体" w:hAnsi="宋体" w:eastAsia="宋体" w:cs="宋体"/>
          <w:strike w:val="0"/>
          <w:color w:val="auto"/>
          <w:sz w:val="24"/>
          <w:szCs w:val="24"/>
          <w:highlight w:val="none"/>
          <w:lang w:eastAsia="zh-CN"/>
        </w:rPr>
        <w:t>保证金</w:t>
      </w:r>
      <w:r>
        <w:rPr>
          <w:rFonts w:hint="eastAsia" w:ascii="宋体" w:hAnsi="宋体" w:eastAsia="宋体" w:cs="宋体"/>
          <w:strike w:val="0"/>
          <w:color w:val="auto"/>
          <w:sz w:val="24"/>
          <w:szCs w:val="24"/>
          <w:highlight w:val="none"/>
        </w:rPr>
        <w:t>可以由</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递交，并应符合投标人须知前附表的规定</w:t>
      </w:r>
      <w:r>
        <w:rPr>
          <w:rFonts w:hint="eastAsia" w:ascii="宋体" w:hAnsi="宋体" w:eastAsia="宋体" w:cs="宋体"/>
          <w:strike w:val="0"/>
          <w:color w:val="auto"/>
          <w:sz w:val="24"/>
          <w:szCs w:val="24"/>
          <w:highlight w:val="none"/>
          <w:lang w:eastAsia="zh-CN"/>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开标时投标人没有按</w:t>
      </w:r>
      <w:r>
        <w:rPr>
          <w:rFonts w:hint="eastAsia" w:ascii="宋体" w:hAnsi="宋体" w:eastAsia="宋体" w:cs="宋体"/>
          <w:color w:val="auto"/>
          <w:sz w:val="24"/>
          <w:szCs w:val="24"/>
          <w:highlight w:val="none"/>
        </w:rPr>
        <w:t>要求提交投标保证金的，</w:t>
      </w:r>
      <w:r>
        <w:rPr>
          <w:rFonts w:hint="eastAsia" w:ascii="宋体" w:hAnsi="宋体" w:eastAsia="宋体" w:cs="宋体"/>
          <w:color w:val="auto"/>
          <w:sz w:val="24"/>
          <w:szCs w:val="24"/>
          <w:highlight w:val="none"/>
          <w:lang w:eastAsia="zh-CN"/>
        </w:rPr>
        <w:t>其投标文件将被否决</w:t>
      </w:r>
      <w:r>
        <w:rPr>
          <w:rFonts w:hint="eastAsia" w:ascii="宋体" w:hAnsi="宋体" w:eastAsia="宋体" w:cs="宋体"/>
          <w:color w:val="auto"/>
          <w:sz w:val="24"/>
          <w:szCs w:val="24"/>
          <w:highlight w:val="none"/>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中标候选人以外的投标人的投标保证金将尽快退还，最迟不超过中标通知书发出之日起五日内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中标人和其他中标候选人的投标保证金，在书面合同订立之日起五日内予以退还。</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投标人在规定的投标有效期内撤</w:t>
      </w:r>
      <w:r>
        <w:rPr>
          <w:rFonts w:hint="eastAsia" w:ascii="宋体" w:hAnsi="宋体" w:eastAsia="宋体" w:cs="宋体"/>
          <w:color w:val="auto"/>
          <w:sz w:val="24"/>
          <w:szCs w:val="24"/>
          <w:highlight w:val="none"/>
          <w:lang w:eastAsia="zh-CN"/>
        </w:rPr>
        <w:t>销</w:t>
      </w:r>
      <w:r>
        <w:rPr>
          <w:rFonts w:hint="eastAsia" w:ascii="宋体" w:hAnsi="宋体" w:eastAsia="宋体" w:cs="宋体"/>
          <w:color w:val="auto"/>
          <w:sz w:val="24"/>
          <w:szCs w:val="24"/>
          <w:highlight w:val="none"/>
        </w:rPr>
        <w:t>其投标文件；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中标人在收到中标通知书后，无正当理由不与招标人订立合同，在签订合同时向招标 人提出附加条件，或者不按照招标文件要求提交履约保证金</w:t>
      </w:r>
      <w:r>
        <w:rPr>
          <w:rFonts w:hint="eastAsia" w:ascii="宋体" w:hAnsi="宋体" w:eastAsia="宋体" w:cs="宋体"/>
          <w:color w:val="auto"/>
          <w:sz w:val="24"/>
          <w:szCs w:val="24"/>
          <w:highlight w:val="none"/>
          <w:lang w:eastAsia="zh-CN"/>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投标人在招标过程存在弄虚作假行为、虚报资料情况的</w:t>
      </w:r>
      <w:r>
        <w:rPr>
          <w:rFonts w:hint="eastAsia" w:ascii="宋体" w:hAnsi="宋体" w:eastAsia="宋体" w:cs="宋体"/>
          <w:color w:val="auto"/>
          <w:sz w:val="24"/>
          <w:szCs w:val="24"/>
          <w:highlight w:val="none"/>
          <w:lang w:eastAsia="zh-CN"/>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（4）投标人有串通投标或行贿等违法行为。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4" w:name="bookmark43"/>
      <w:bookmarkEnd w:id="64"/>
      <w:bookmarkStart w:id="65" w:name="bookmark44"/>
      <w:bookmarkEnd w:id="65"/>
      <w:r>
        <w:rPr>
          <w:rFonts w:hint="eastAsia" w:ascii="宋体" w:hAnsi="宋体" w:eastAsia="宋体" w:cs="宋体"/>
          <w:color w:val="auto"/>
          <w:highlight w:val="none"/>
        </w:rPr>
        <w:t>3.5 资格审查资料</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 1.4 款规定的资质、财务、业绩、信誉等要求。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3.5.1事业单位登记管理部门核发的事业单位法人证书或工商行政（或市场监督）管理部门核发的企业法人营业执照；</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3.5.2</w:t>
      </w:r>
      <w:r>
        <w:rPr>
          <w:rFonts w:hint="eastAsia" w:ascii="宋体" w:hAnsi="宋体" w:cs="宋体"/>
          <w:color w:val="auto"/>
          <w:sz w:val="24"/>
          <w:szCs w:val="24"/>
          <w:highlight w:val="none"/>
          <w:lang w:val="en-US" w:eastAsia="zh-CN"/>
        </w:rPr>
        <w:t>投标人基本情况表”应附投标人事业单位登记管理部门核发的事业单位法人证书或营业执照副本及其年检合格的证明材料、建设行政主管部门颁发的建设工程质量检测机构资质证书、质量技术监督部门颁发的CMA计量认证合格证书以及其他相关资料的扫描件</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3.5.3 </w:t>
      </w:r>
      <w:r>
        <w:rPr>
          <w:rFonts w:hint="default" w:cs="Times New Roman"/>
          <w:color w:val="auto"/>
          <w:sz w:val="24"/>
          <w:szCs w:val="24"/>
          <w:highlight w:val="none"/>
        </w:rPr>
        <w:t>投标人须知前附表规定接受联合体投标的，本章第3.5.1 项至第3.5.</w:t>
      </w:r>
      <w:r>
        <w:rPr>
          <w:rFonts w:hint="eastAsia" w:cs="Times New Roman"/>
          <w:color w:val="auto"/>
          <w:sz w:val="24"/>
          <w:szCs w:val="24"/>
          <w:highlight w:val="none"/>
          <w:lang w:val="en-US" w:eastAsia="zh-CN"/>
        </w:rPr>
        <w:t>2</w:t>
      </w:r>
      <w:r>
        <w:rPr>
          <w:rFonts w:hint="default" w:cs="Times New Roman"/>
          <w:color w:val="auto"/>
          <w:sz w:val="24"/>
          <w:szCs w:val="24"/>
          <w:highlight w:val="none"/>
        </w:rPr>
        <w:t>项规定的表格和资料应包括联合体各方相关情况</w:t>
      </w:r>
      <w:r>
        <w:rPr>
          <w:rFonts w:hint="eastAsia" w:cs="Times New Roman"/>
          <w:color w:val="auto"/>
          <w:sz w:val="24"/>
          <w:szCs w:val="24"/>
          <w:highlight w:val="none"/>
          <w:lang w:eastAsia="zh-CN"/>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3.5.</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投标人认为需提供的其他材料。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6" w:name="bookmark45"/>
      <w:bookmarkEnd w:id="66"/>
      <w:r>
        <w:rPr>
          <w:rFonts w:hint="eastAsia" w:ascii="宋体" w:hAnsi="宋体" w:eastAsia="宋体" w:cs="宋体"/>
          <w:color w:val="auto"/>
          <w:highlight w:val="none"/>
        </w:rPr>
        <w:t>3.6 备选投标方案</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 </w:t>
      </w:r>
      <w:r>
        <w:rPr>
          <w:rFonts w:hint="eastAsia" w:ascii="宋体" w:hAnsi="宋体" w:cs="宋体"/>
          <w:color w:val="auto"/>
          <w:sz w:val="24"/>
          <w:szCs w:val="24"/>
          <w:highlight w:val="none"/>
          <w:lang w:bidi="ar"/>
        </w:rPr>
        <w:t>投标人提供两个或两个以上投标报价，或者在投标文件中提供一个报价，但同时提供两个或两个以上</w:t>
      </w:r>
      <w:r>
        <w:rPr>
          <w:rFonts w:hint="eastAsia" w:ascii="宋体" w:hAnsi="宋体" w:cs="宋体"/>
          <w:color w:val="auto"/>
          <w:sz w:val="24"/>
          <w:szCs w:val="24"/>
          <w:highlight w:val="none"/>
          <w:lang w:val="en-US" w:eastAsia="zh-CN" w:bidi="ar"/>
        </w:rPr>
        <w:t>技术</w:t>
      </w:r>
      <w:r>
        <w:rPr>
          <w:rFonts w:hint="eastAsia" w:ascii="宋体" w:hAnsi="宋体" w:cs="宋体"/>
          <w:color w:val="auto"/>
          <w:sz w:val="24"/>
          <w:szCs w:val="24"/>
          <w:highlight w:val="none"/>
          <w:lang w:bidi="ar"/>
        </w:rPr>
        <w:t>服务方案的，视为提供备选方案。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7" w:name="bookmark46"/>
      <w:bookmarkEnd w:id="67"/>
      <w:r>
        <w:rPr>
          <w:rFonts w:hint="eastAsia" w:ascii="宋体" w:hAnsi="宋体" w:eastAsia="宋体" w:cs="宋体"/>
          <w:color w:val="auto"/>
          <w:highlight w:val="none"/>
        </w:rPr>
        <w:t>3.7 投标文件的编制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投标文件应当对招标文件有关服务期限、投标有效期、委托人要求、招标范围等实质性内容作出响应。</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投标文件全部采用电子文档，投标文件所附证书证件均为原件扫描件</w:t>
      </w:r>
      <w:r>
        <w:rPr>
          <w:rFonts w:hint="eastAsia" w:ascii="宋体" w:hAnsi="宋体" w:eastAsia="宋体" w:cs="宋体"/>
          <w:color w:val="auto"/>
          <w:sz w:val="24"/>
          <w:szCs w:val="24"/>
          <w:highlight w:val="none"/>
          <w:lang w:eastAsia="zh-CN"/>
        </w:rPr>
        <w:t>或电子证书</w:t>
      </w:r>
      <w:r>
        <w:rPr>
          <w:rFonts w:hint="eastAsia" w:ascii="宋体" w:hAnsi="宋体" w:eastAsia="宋体"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strike w:val="0"/>
          <w:color w:val="auto"/>
          <w:sz w:val="24"/>
          <w:szCs w:val="24"/>
          <w:highlight w:val="none"/>
        </w:rPr>
        <w:t>联合体投标时，</w:t>
      </w:r>
      <w:r>
        <w:rPr>
          <w:rFonts w:hint="eastAsia" w:ascii="宋体" w:hAnsi="宋体" w:eastAsia="宋体" w:cs="宋体"/>
          <w: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color w:val="auto"/>
          <w:sz w:val="24"/>
          <w:szCs w:val="24"/>
          <w:highlight w:val="none"/>
        </w:rPr>
        <w:t>联合体共同投标协议需联合体各方按要求共同盖章签字，其余可由联合体</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签字、盖章即可，由联合体</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法人签字的电子投标文件需提供</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法定代表人证明书，若由联合体</w:t>
      </w:r>
      <w:r>
        <w:rPr>
          <w:rFonts w:hint="eastAsia" w:ascii="宋体" w:hAnsi="宋体" w:eastAsia="宋体" w:cs="宋体"/>
          <w:strike w:val="0"/>
          <w:color w:val="auto"/>
          <w:sz w:val="24"/>
          <w:szCs w:val="24"/>
          <w:highlight w:val="none"/>
          <w:lang w:eastAsia="zh-CN"/>
        </w:rPr>
        <w:t>主办方</w:t>
      </w:r>
      <w:r>
        <w:rPr>
          <w:rFonts w:hint="eastAsia" w:ascii="宋体" w:hAnsi="宋体" w:eastAsia="宋体" w:cs="宋体"/>
          <w: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color w:val="auto"/>
          <w:sz w:val="24"/>
          <w:szCs w:val="24"/>
          <w:highlight w:val="none"/>
          <w:lang w:eastAsia="zh-CN"/>
        </w:rPr>
        <w:t>扫描</w:t>
      </w:r>
      <w:r>
        <w:rPr>
          <w:rFonts w:hint="eastAsia" w:ascii="宋体" w:hAnsi="宋体" w:eastAsia="宋体" w:cs="宋体"/>
          <w:strike w:val="0"/>
          <w:color w:val="auto"/>
          <w:sz w:val="24"/>
          <w:szCs w:val="24"/>
          <w:highlight w:val="none"/>
        </w:rPr>
        <w:t>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pPr>
        <w:pStyle w:val="7"/>
        <w:outlineLvl w:val="1"/>
        <w:rPr>
          <w:rFonts w:hint="eastAsia" w:ascii="宋体" w:hAnsi="宋体" w:eastAsia="宋体" w:cs="宋体"/>
          <w:color w:val="auto"/>
          <w:sz w:val="24"/>
          <w:szCs w:val="24"/>
          <w:highlight w:val="none"/>
        </w:rPr>
      </w:pPr>
      <w:bookmarkStart w:id="68" w:name="bookmark47"/>
      <w:bookmarkEnd w:id="68"/>
      <w:bookmarkStart w:id="69" w:name="_Toc18372"/>
      <w:r>
        <w:rPr>
          <w:rFonts w:hint="eastAsia" w:ascii="宋体" w:hAnsi="宋体" w:eastAsia="宋体" w:cs="宋体"/>
          <w:color w:val="auto"/>
          <w:sz w:val="24"/>
          <w:szCs w:val="24"/>
          <w:highlight w:val="none"/>
        </w:rPr>
        <w:t>4.投标</w:t>
      </w:r>
      <w:bookmarkEnd w:id="69"/>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en-US" w:eastAsia="zh-CN"/>
        </w:rPr>
      </w:pPr>
      <w:bookmarkStart w:id="70" w:name="bookmark48"/>
      <w:bookmarkEnd w:id="70"/>
      <w:r>
        <w:rPr>
          <w:rFonts w:hint="eastAsia" w:ascii="宋体" w:hAnsi="宋体" w:eastAsia="宋体" w:cs="宋体"/>
          <w:color w:val="auto"/>
          <w:highlight w:val="none"/>
        </w:rPr>
        <w:t>4.1  投标文件的</w:t>
      </w:r>
      <w:r>
        <w:rPr>
          <w:rFonts w:hint="eastAsia" w:ascii="宋体" w:hAnsi="宋体" w:eastAsia="宋体" w:cs="宋体"/>
          <w:color w:val="auto"/>
          <w:highlight w:val="none"/>
          <w:lang w:val="en-US" w:eastAsia="zh-CN"/>
        </w:rPr>
        <w:t>加密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bookmarkStart w:id="71" w:name="bookmark49"/>
      <w:bookmarkEnd w:id="71"/>
      <w:r>
        <w:rPr>
          <w:rFonts w:hint="eastAsia" w:ascii="宋体" w:hAnsi="宋体" w:eastAsia="宋体" w:cs="宋体"/>
          <w:color w:val="auto"/>
          <w:sz w:val="24"/>
          <w:szCs w:val="24"/>
          <w:highlight w:val="none"/>
        </w:rPr>
        <w:t xml:space="preserve">4.1.1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递交的电子投标文件（不含备用光盘）必须进行加密。按照</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关于全流程电子化项目的相关指南进行操作。</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未按要求加密的投标文件，</w:t>
      </w:r>
      <w:r>
        <w:rPr>
          <w:rFonts w:hint="eastAsia" w:ascii="宋体" w:hAnsi="宋体" w:eastAsia="宋体" w:cs="宋体"/>
          <w:color w:val="auto"/>
          <w:sz w:val="24"/>
          <w:szCs w:val="24"/>
          <w:highlight w:val="none"/>
          <w:lang w:eastAsia="zh-CN"/>
        </w:rPr>
        <w:t>广州交易集团有限公司（广州公共资源交易中心）网站交易</w:t>
      </w:r>
      <w:r>
        <w:rPr>
          <w:rFonts w:hint="eastAsia" w:ascii="宋体" w:hAnsi="宋体" w:eastAsia="宋体" w:cs="宋体"/>
          <w:color w:val="auto"/>
          <w:sz w:val="24"/>
          <w:szCs w:val="24"/>
          <w:highlight w:val="none"/>
        </w:rPr>
        <w:t>平台将予以拒收。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投标文件的递交</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bookmarkStart w:id="72" w:name="bookmark50"/>
      <w:bookmarkEnd w:id="72"/>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应在投标人须知前附表规定的投标截止时间前，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交易平台递交电子投标文件。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投标人完成电子投标文件上传后，</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逾期送达的电子投标文件，</w:t>
      </w:r>
      <w:r>
        <w:rPr>
          <w:rFonts w:hint="eastAsia" w:ascii="宋体" w:hAnsi="宋体" w:eastAsia="宋体" w:cs="宋体"/>
          <w:color w:val="auto"/>
          <w:sz w:val="24"/>
          <w:szCs w:val="24"/>
          <w:highlight w:val="none"/>
          <w:lang w:eastAsia="zh-CN"/>
        </w:rPr>
        <w:t>广州交易集团有限公司（广州公共资源交易中心）网站</w:t>
      </w:r>
      <w:r>
        <w:rPr>
          <w:rFonts w:hint="eastAsia" w:ascii="宋体" w:hAnsi="宋体" w:eastAsia="宋体" w:cs="宋体"/>
          <w:color w:val="auto"/>
          <w:sz w:val="24"/>
          <w:szCs w:val="24"/>
          <w:highlight w:val="none"/>
        </w:rPr>
        <w:t>交易平台将予以拒收。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4.2.4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投标截止前，招标人拒绝接收符合条件的投标文件，投标人可向招标监督机构投诉</w:t>
      </w:r>
      <w:r>
        <w:rPr>
          <w:rFonts w:hint="eastAsia" w:ascii="宋体" w:hAnsi="宋体" w:eastAsia="宋体" w:cs="宋体"/>
          <w:color w:val="auto"/>
          <w:sz w:val="24"/>
          <w:szCs w:val="24"/>
          <w:highlight w:val="none"/>
          <w:lang w:eastAsia="zh-CN"/>
        </w:rPr>
        <w:t>。</w:t>
      </w:r>
      <w:bookmarkStart w:id="73" w:name="_bookmark83"/>
      <w:bookmarkEnd w:id="73"/>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 投标人可以修改或撤回已递交的投标文件， 但应以书面形式通知招标人。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需在交易平台发出修改或撤回通知，并按要求加盖电子印章</w:t>
      </w:r>
      <w:r>
        <w:rPr>
          <w:rFonts w:hint="eastAsia" w:ascii="宋体" w:hAnsi="宋体" w:eastAsia="宋体" w:cs="宋体"/>
          <w:color w:val="auto"/>
          <w:sz w:val="24"/>
          <w:szCs w:val="24"/>
          <w:highlight w:val="none"/>
        </w:rPr>
        <w:t>。电子招标投标交易平台收到通知后，即时向投标人发出确认回执通知。</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修改后再次递交的，按第</w:t>
      </w:r>
      <w:r>
        <w:rPr>
          <w:rFonts w:hint="eastAsia" w:ascii="宋体" w:hAnsi="宋体" w:eastAsia="宋体" w:cs="宋体"/>
          <w:color w:val="auto"/>
          <w:sz w:val="24"/>
          <w:szCs w:val="24"/>
          <w:highlight w:val="none"/>
          <w:lang w:val="en-US" w:eastAsia="zh-CN"/>
        </w:rPr>
        <w:t>4.2项的规定执行</w:t>
      </w:r>
      <w:r>
        <w:rPr>
          <w:rFonts w:hint="eastAsia" w:ascii="宋体" w:hAnsi="宋体" w:eastAsia="宋体" w:cs="宋体"/>
          <w:color w:val="auto"/>
          <w:sz w:val="24"/>
          <w:szCs w:val="24"/>
          <w:highlight w:val="none"/>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在投标截止时间之后，投标人不得补充、修改和更换投标文件。</w:t>
      </w:r>
    </w:p>
    <w:p>
      <w:pPr>
        <w:pStyle w:val="7"/>
        <w:outlineLvl w:val="1"/>
        <w:rPr>
          <w:rFonts w:hint="eastAsia" w:ascii="宋体" w:hAnsi="宋体" w:eastAsia="宋体" w:cs="宋体"/>
          <w:color w:val="auto"/>
          <w:sz w:val="24"/>
          <w:szCs w:val="24"/>
          <w:highlight w:val="none"/>
        </w:rPr>
      </w:pPr>
      <w:bookmarkStart w:id="74" w:name="bookmark51"/>
      <w:bookmarkEnd w:id="74"/>
      <w:bookmarkStart w:id="75" w:name="_Toc19841"/>
      <w:r>
        <w:rPr>
          <w:rFonts w:hint="eastAsia" w:ascii="宋体" w:hAnsi="宋体" w:eastAsia="宋体" w:cs="宋体"/>
          <w:color w:val="auto"/>
          <w:sz w:val="24"/>
          <w:szCs w:val="24"/>
          <w:highlight w:val="none"/>
        </w:rPr>
        <w:t>5.开标</w:t>
      </w:r>
      <w:bookmarkEnd w:id="75"/>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6" w:name="bookmark52"/>
      <w:bookmarkEnd w:id="76"/>
      <w:bookmarkStart w:id="77" w:name="bookmark53"/>
      <w:bookmarkEnd w:id="77"/>
      <w:r>
        <w:rPr>
          <w:rFonts w:hint="eastAsia" w:ascii="宋体" w:hAnsi="宋体" w:eastAsia="宋体" w:cs="宋体"/>
          <w:color w:val="auto"/>
          <w:highlight w:val="none"/>
        </w:rPr>
        <w:t>5.1 开标时间和地点</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bookmarkStart w:id="78" w:name="bookmark54"/>
      <w:bookmarkEnd w:id="78"/>
      <w:r>
        <w:rPr>
          <w:rFonts w:hint="eastAsia" w:ascii="宋体" w:hAnsi="宋体" w:eastAsia="宋体" w:cs="宋体"/>
          <w:color w:val="auto"/>
          <w:sz w:val="24"/>
          <w:szCs w:val="24"/>
          <w:highlight w:val="none"/>
          <w:lang w:val="en-US" w:eastAsia="zh-CN"/>
        </w:rPr>
        <w:t xml:space="preserve">5.1.1  </w:t>
      </w:r>
      <w:r>
        <w:rPr>
          <w:rFonts w:hint="eastAsia" w:ascii="宋体" w:hAnsi="宋体" w:eastAsia="宋体"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5.1.2  </w:t>
      </w:r>
      <w:r>
        <w:rPr>
          <w:rFonts w:hint="eastAsia" w:ascii="宋体" w:hAnsi="宋体" w:eastAsia="宋体"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5.2 开标程序</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bookmarkStart w:id="79" w:name="bookmark55"/>
      <w:bookmarkEnd w:id="79"/>
      <w:r>
        <w:rPr>
          <w:rFonts w:hint="eastAsia" w:ascii="宋体" w:hAnsi="宋体" w:eastAsia="宋体" w:cs="宋体"/>
          <w:color w:val="auto"/>
          <w:sz w:val="24"/>
          <w:szCs w:val="24"/>
          <w:highlight w:val="none"/>
          <w:lang w:val="en-US" w:eastAsia="zh-CN"/>
        </w:rPr>
        <w:t>5.2.1   在投标截止时间后</w:t>
      </w:r>
      <w:r>
        <w:rPr>
          <w:rFonts w:hint="eastAsia" w:ascii="宋体" w:hAnsi="宋体" w:eastAsia="宋体" w:cs="宋体"/>
          <w:color w:val="auto"/>
          <w:sz w:val="24"/>
          <w:szCs w:val="24"/>
          <w:highlight w:val="none"/>
          <w:u w:val="none"/>
          <w:lang w:val="en-US" w:eastAsia="zh-CN"/>
        </w:rPr>
        <w:t>一个小时</w:t>
      </w:r>
      <w:r>
        <w:rPr>
          <w:rFonts w:hint="eastAsia" w:ascii="宋体" w:hAnsi="宋体" w:eastAsia="宋体"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项目负责人及其他内容。未在规定时间内解密的投标文件不参与开标、评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5.2.2  按开标记录表规定的内容进行唱标。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5.2.3  投标人代表、招标人代表、监标人、记录人等有关人员在开标记录上签字确认；若有关人员不签字的，不影响开标程序。</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5.2.4  开标结束。</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5.2.5  投标截止时间前未完成投标文件传输的或因投标人之外的原因造成投标文件未解密的，视为投标人撤回投标文件。因投标人原因造成投标文件未解密或未在规定的时间内解密的，视为撤销其投标文件。</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5.2.6  开标时，两个（含两个）以上的投标人加密打包投标文件电脑机器特征码一致的，不参与下一程序，并由评标委员会否决其投标。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5.3.1  参加现场开标的投标人对开标结果有异议的，应当在开标现场提出，招标人应当当场作出答复，并制作记录。</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5.3.3  投标人未参加开标或在规定的时间内未提出异议的，视为对开标无异议。</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5.3.4  异议成立的，招标人应当及时采取纠正措施，或者提交评标委员会评审确认；异议不成立的，招标人应当当场给予解释说明。招标人应当按照同一异议提起人一份记录的方式，对异议事项的处理应逐条进行书面记录，并由异议提起人、招标人签名确认。书面记录含义应清晰而明确，包括但不限于纠正的措施、解释说明的内容、相关依据等。招标人需将开标异议提交给评标委员会的评审确认时，评标委员会须进行评审确认，不得以任何理由拒绝。</w:t>
      </w:r>
    </w:p>
    <w:p>
      <w:pPr>
        <w:pStyle w:val="7"/>
        <w:outlineLvl w:val="1"/>
        <w:rPr>
          <w:rFonts w:hint="eastAsia" w:ascii="宋体" w:hAnsi="宋体" w:eastAsia="宋体" w:cs="宋体"/>
          <w:b w:val="0"/>
          <w:color w:val="auto"/>
          <w:sz w:val="30"/>
          <w:szCs w:val="24"/>
          <w:highlight w:val="none"/>
        </w:rPr>
      </w:pPr>
      <w:bookmarkStart w:id="80" w:name="bookmark56"/>
      <w:bookmarkEnd w:id="80"/>
      <w:bookmarkStart w:id="81" w:name="_Toc27326"/>
      <w:r>
        <w:rPr>
          <w:rFonts w:hint="eastAsia" w:ascii="宋体" w:hAnsi="宋体" w:eastAsia="宋体" w:cs="宋体"/>
          <w:color w:val="auto"/>
          <w:sz w:val="24"/>
          <w:szCs w:val="24"/>
          <w:highlight w:val="none"/>
        </w:rPr>
        <w:t>6.评标</w:t>
      </w:r>
      <w:bookmarkEnd w:id="81"/>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2" w:name="bookmark57"/>
      <w:bookmarkEnd w:id="82"/>
      <w:r>
        <w:rPr>
          <w:rFonts w:hint="eastAsia" w:ascii="宋体" w:hAnsi="宋体" w:eastAsia="宋体" w:cs="宋体"/>
          <w:color w:val="auto"/>
          <w:highlight w:val="none"/>
        </w:rPr>
        <w:t>6.1 评标委员会</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评标由招标人依法组建的评标委员会负责。评标委员会由有关技术、经济等方面的专家和招标人代表组成，专家</w:t>
      </w:r>
      <w:r>
        <w:rPr>
          <w:rFonts w:hint="eastAsia" w:ascii="宋体" w:hAnsi="宋体" w:eastAsia="宋体" w:cs="宋体"/>
          <w:color w:val="auto"/>
          <w:sz w:val="24"/>
          <w:szCs w:val="24"/>
          <w:highlight w:val="none"/>
          <w:lang w:eastAsia="zh-CN"/>
        </w:rPr>
        <w:t>从</w:t>
      </w:r>
      <w:r>
        <w:rPr>
          <w:rFonts w:hint="eastAsia" w:ascii="宋体" w:hAnsi="宋体" w:eastAsia="宋体" w:cs="宋体"/>
          <w:color w:val="auto"/>
          <w:sz w:val="24"/>
          <w:szCs w:val="24"/>
          <w:highlight w:val="none"/>
          <w:u w:val="single"/>
          <w:lang w:eastAsia="zh-CN"/>
        </w:rPr>
        <w:t>广东省综合评标评审</w:t>
      </w:r>
      <w:r>
        <w:rPr>
          <w:rFonts w:hint="eastAsia" w:ascii="宋体" w:hAnsi="宋体" w:eastAsia="宋体" w:cs="宋体"/>
          <w:color w:val="auto"/>
          <w:sz w:val="24"/>
          <w:szCs w:val="24"/>
          <w:highlight w:val="none"/>
          <w:u w:val="single"/>
        </w:rPr>
        <w:t>专家库</w:t>
      </w:r>
      <w:r>
        <w:rPr>
          <w:rFonts w:hint="eastAsia" w:ascii="宋体" w:hAnsi="宋体" w:eastAsia="宋体" w:cs="宋体"/>
          <w:color w:val="auto"/>
          <w:sz w:val="24"/>
          <w:szCs w:val="24"/>
          <w:highlight w:val="none"/>
        </w:rPr>
        <w:t>中抽取。评标委员会成员人数以及技术、经济等方面专家的确定方式见投标人须知前附表。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（3）招标人或投标人的工作人员、退休或离职未满3年的人员；</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）与投标人有经济利益关系，可能影响对投标公正评审的；</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）曾因在招标、评标以及其他与招标投标有关活动中从事违法行为而受过行政处罚或刑事处罚的；</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）与投标人有其他利害关系。</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6.1.4 招标人需将开标异议提交给评标委员会的评审确认时，评标委员会须进行评审确认，不得以任何理由拒绝。</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3" w:name="bookmark58"/>
      <w:bookmarkEnd w:id="83"/>
      <w:r>
        <w:rPr>
          <w:rFonts w:hint="eastAsia" w:ascii="宋体" w:hAnsi="宋体" w:eastAsia="宋体" w:cs="宋体"/>
          <w:color w:val="auto"/>
          <w:highlight w:val="none"/>
        </w:rPr>
        <w:t>6.2 评标原则</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4" w:name="bookmark59"/>
      <w:bookmarkEnd w:id="84"/>
      <w:r>
        <w:rPr>
          <w:rFonts w:hint="eastAsia" w:ascii="宋体" w:hAnsi="宋体" w:eastAsia="宋体" w:cs="宋体"/>
          <w:color w:val="auto"/>
          <w:highlight w:val="none"/>
        </w:rPr>
        <w:t>6.3 评标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 在评标过程中，当采用电子评标系统评标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在电子评标过程中，无论遇到任何系统异常或故障，评标委员会均应出具评标报告。</w:t>
      </w:r>
    </w:p>
    <w:p>
      <w:pPr>
        <w:pStyle w:val="7"/>
        <w:outlineLvl w:val="1"/>
        <w:rPr>
          <w:rFonts w:hint="eastAsia" w:ascii="宋体" w:hAnsi="宋体" w:eastAsia="宋体" w:cs="宋体"/>
          <w:color w:val="auto"/>
          <w:sz w:val="24"/>
          <w:szCs w:val="24"/>
          <w:highlight w:val="none"/>
        </w:rPr>
      </w:pPr>
      <w:bookmarkStart w:id="85" w:name="bookmark60"/>
      <w:bookmarkEnd w:id="85"/>
      <w:bookmarkStart w:id="86" w:name="_Toc26457"/>
      <w:r>
        <w:rPr>
          <w:rFonts w:hint="eastAsia" w:ascii="宋体" w:hAnsi="宋体" w:eastAsia="宋体" w:cs="宋体"/>
          <w:color w:val="auto"/>
          <w:sz w:val="24"/>
          <w:szCs w:val="24"/>
          <w:highlight w:val="none"/>
        </w:rPr>
        <w:t>7.合同授予</w:t>
      </w:r>
      <w:bookmarkEnd w:id="86"/>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7" w:name="bookmark61"/>
      <w:bookmarkEnd w:id="87"/>
      <w:r>
        <w:rPr>
          <w:rFonts w:hint="eastAsia" w:ascii="宋体" w:hAnsi="宋体" w:eastAsia="宋体" w:cs="宋体"/>
          <w:color w:val="auto"/>
          <w:highlight w:val="none"/>
        </w:rPr>
        <w:t>7.1 中标候选人公示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招标人在收到评标报告之日起3日内，按照投标人须知前附表规定的公示媒介和期限公示中标候选人，公示期不得少于3天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8" w:name="bookmark62"/>
      <w:bookmarkEnd w:id="88"/>
      <w:r>
        <w:rPr>
          <w:rFonts w:hint="eastAsia" w:ascii="宋体" w:hAnsi="宋体" w:eastAsia="宋体" w:cs="宋体"/>
          <w:color w:val="auto"/>
          <w:highlight w:val="none"/>
        </w:rPr>
        <w:t>7.2 评标结果异议</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89" w:name="bookmark63"/>
      <w:bookmarkEnd w:id="89"/>
      <w:r>
        <w:rPr>
          <w:rFonts w:hint="eastAsia" w:ascii="宋体" w:hAnsi="宋体" w:eastAsia="宋体" w:cs="宋体"/>
          <w:color w:val="auto"/>
          <w:highlight w:val="none"/>
        </w:rPr>
        <w:t>7.3 中标候选人履约能力审查</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0" w:name="bookmark64"/>
      <w:bookmarkEnd w:id="90"/>
      <w:r>
        <w:rPr>
          <w:rFonts w:hint="eastAsia" w:ascii="宋体" w:hAnsi="宋体" w:eastAsia="宋体" w:cs="宋体"/>
          <w:color w:val="auto"/>
          <w:highlight w:val="none"/>
        </w:rPr>
        <w:t>7.4 定标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1" w:name="bookmark65"/>
      <w:bookmarkEnd w:id="91"/>
      <w:r>
        <w:rPr>
          <w:rFonts w:hint="eastAsia" w:ascii="宋体" w:hAnsi="宋体" w:eastAsia="宋体" w:cs="宋体"/>
          <w:color w:val="auto"/>
          <w:highlight w:val="none"/>
        </w:rPr>
        <w:t>7.5 中标通知</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bookmarkStart w:id="92" w:name="bookmark66"/>
      <w:bookmarkEnd w:id="92"/>
      <w:r>
        <w:rPr>
          <w:rFonts w:hint="eastAsia" w:ascii="宋体" w:hAnsi="宋体" w:eastAsia="宋体" w:cs="宋体"/>
          <w:color w:val="auto"/>
          <w:sz w:val="24"/>
          <w:szCs w:val="24"/>
          <w:highlight w:val="none"/>
          <w:lang w:val="en-US" w:eastAsia="zh-CN"/>
        </w:rPr>
        <w:t>7.5.1  在法规规定的时间内，招标人以书面形式向中标人发出中标通知书。在广州交易集团有限公司（广州公共资源交易中心）网发布中标信息，视同将中标结果通知未中标的投标人。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7.6 履约保证金</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color w:val="auto"/>
          <w:sz w:val="24"/>
          <w:szCs w:val="24"/>
          <w:highlight w:val="none"/>
        </w:rPr>
        <w:t>7.6.1 在签订合同后30日内，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strike w:val="0"/>
          <w:color w:val="auto"/>
          <w:sz w:val="24"/>
          <w:szCs w:val="24"/>
          <w:highlight w:val="none"/>
        </w:rPr>
        <w:t>联合体中标的，其履约保证金以联合体各方或者联合体中</w:t>
      </w:r>
      <w:r>
        <w:rPr>
          <w:rFonts w:hint="eastAsia" w:ascii="宋体" w:hAnsi="宋体" w:eastAsia="宋体" w:cs="宋体"/>
          <w:strike w:val="0"/>
          <w:color w:val="auto"/>
          <w:spacing w:val="-2"/>
          <w:sz w:val="24"/>
          <w:szCs w:val="24"/>
          <w:highlight w:val="none"/>
          <w:lang w:eastAsia="zh-CN"/>
        </w:rPr>
        <w:t>主办方</w:t>
      </w:r>
      <w:r>
        <w:rPr>
          <w:rFonts w:hint="eastAsia" w:ascii="宋体" w:hAnsi="宋体" w:eastAsia="宋体" w:cs="宋体"/>
          <w:strike w:val="0"/>
          <w:color w:val="auto"/>
          <w:sz w:val="24"/>
          <w:szCs w:val="24"/>
          <w:highlight w:val="none"/>
        </w:rPr>
        <w:t>的名义提交。</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pPr>
        <w:pStyle w:val="14"/>
        <w:kinsoku w:val="0"/>
        <w:overflowPunct w:val="0"/>
        <w:spacing w:before="13"/>
        <w:ind w:left="0"/>
        <w:rPr>
          <w:rFonts w:hint="eastAsia" w:ascii="宋体" w:hAnsi="宋体" w:eastAsia="宋体" w:cs="宋体"/>
          <w:color w:val="auto"/>
          <w:sz w:val="13"/>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3" w:name="bookmark67"/>
      <w:bookmarkEnd w:id="93"/>
      <w:r>
        <w:rPr>
          <w:rFonts w:hint="eastAsia" w:ascii="宋体" w:hAnsi="宋体" w:eastAsia="宋体" w:cs="宋体"/>
          <w:color w:val="auto"/>
          <w:highlight w:val="none"/>
        </w:rPr>
        <w:t>7.7 签订合同</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招标人和中标人应当在中标通知书发出之日起30日内，根据招标文件和中标人的投标文件订立书面合同</w:t>
      </w:r>
      <w:r>
        <w:rPr>
          <w:rFonts w:hint="eastAsia" w:ascii="宋体" w:hAnsi="宋体" w:eastAsia="宋体" w:cs="宋体"/>
          <w:color w:val="auto"/>
          <w:sz w:val="24"/>
          <w:highlight w:val="none"/>
          <w:lang w:eastAsia="zh-CN"/>
        </w:rPr>
        <w:t>，并通过电子交易系统与中标人在线签订合同</w:t>
      </w:r>
      <w:r>
        <w:rPr>
          <w:rFonts w:hint="eastAsia" w:ascii="宋体" w:hAnsi="宋体" w:eastAsia="宋体"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7.7.3 联合体中标的，联合体各方应当共同与招标人签订合同，就中标项目向招标人承担连带责任。</w:t>
      </w:r>
    </w:p>
    <w:p>
      <w:pPr>
        <w:pStyle w:val="7"/>
        <w:outlineLvl w:val="1"/>
        <w:rPr>
          <w:rFonts w:hint="eastAsia" w:ascii="宋体" w:hAnsi="宋体" w:eastAsia="宋体" w:cs="宋体"/>
          <w:b w:val="0"/>
          <w:color w:val="auto"/>
          <w:sz w:val="30"/>
          <w:szCs w:val="24"/>
          <w:highlight w:val="none"/>
        </w:rPr>
      </w:pPr>
      <w:bookmarkStart w:id="94" w:name="bookmark68"/>
      <w:bookmarkEnd w:id="94"/>
      <w:bookmarkStart w:id="95" w:name="_Toc5503"/>
      <w:r>
        <w:rPr>
          <w:rFonts w:hint="eastAsia" w:ascii="宋体" w:hAnsi="宋体" w:eastAsia="宋体" w:cs="宋体"/>
          <w:color w:val="auto"/>
          <w:sz w:val="24"/>
          <w:szCs w:val="24"/>
          <w:highlight w:val="none"/>
        </w:rPr>
        <w:t>8.纪律和监督</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6" w:name="bookmark69"/>
      <w:bookmarkEnd w:id="96"/>
      <w:r>
        <w:rPr>
          <w:rFonts w:hint="eastAsia" w:ascii="宋体" w:hAnsi="宋体" w:eastAsia="宋体" w:cs="宋体"/>
          <w:color w:val="auto"/>
          <w:highlight w:val="none"/>
        </w:rPr>
        <w:t>8.1 对招标人的纪律要求</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7" w:name="bookmark70"/>
      <w:bookmarkEnd w:id="97"/>
      <w:r>
        <w:rPr>
          <w:rFonts w:hint="eastAsia" w:ascii="宋体" w:hAnsi="宋体" w:eastAsia="宋体" w:cs="宋体"/>
          <w:color w:val="auto"/>
          <w:highlight w:val="none"/>
        </w:rPr>
        <w:t>8.2 对投标人的纪律要求</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8" w:name="bookmark71"/>
      <w:bookmarkEnd w:id="98"/>
      <w:r>
        <w:rPr>
          <w:rFonts w:hint="eastAsia" w:ascii="宋体" w:hAnsi="宋体" w:eastAsia="宋体" w:cs="宋体"/>
          <w:color w:val="auto"/>
          <w:highlight w:val="none"/>
        </w:rPr>
        <w:t>8.3 对评标委员会成员的纪律要求</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99" w:name="bookmark72"/>
      <w:bookmarkEnd w:id="99"/>
      <w:r>
        <w:rPr>
          <w:rFonts w:hint="eastAsia" w:ascii="宋体" w:hAnsi="宋体" w:eastAsia="宋体" w:cs="宋体"/>
          <w:color w:val="auto"/>
          <w:highlight w:val="none"/>
        </w:rPr>
        <w:t>8.4 对与评标活动有关的工作人员的纪律要求</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0" w:name="bookmark73"/>
      <w:bookmarkEnd w:id="100"/>
      <w:r>
        <w:rPr>
          <w:rFonts w:hint="eastAsia" w:ascii="宋体" w:hAnsi="宋体" w:eastAsia="宋体" w:cs="宋体"/>
          <w:color w:val="auto"/>
          <w:highlight w:val="none"/>
        </w:rPr>
        <w:t>8.5 投诉</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投标人或者其他利害关系人对招标文件、开标和评标结果提出投诉的，应当按照投标人须知第5.3款和第7.2款的规定先向招标人提出异议。异议答复期间不计算在第8.5.1项规定的期限内。</w:t>
      </w:r>
    </w:p>
    <w:p>
      <w:pPr>
        <w:pStyle w:val="7"/>
        <w:outlineLvl w:val="1"/>
        <w:rPr>
          <w:rFonts w:hint="eastAsia" w:ascii="宋体" w:hAnsi="宋体" w:eastAsia="宋体" w:cs="宋体"/>
          <w:b w:val="0"/>
          <w:color w:val="auto"/>
          <w:sz w:val="19"/>
          <w:szCs w:val="24"/>
          <w:highlight w:val="none"/>
        </w:rPr>
      </w:pPr>
      <w:bookmarkStart w:id="101" w:name="bookmark74"/>
      <w:bookmarkEnd w:id="101"/>
      <w:bookmarkStart w:id="102" w:name="_Toc31836"/>
      <w:r>
        <w:rPr>
          <w:rFonts w:hint="eastAsia" w:ascii="宋体" w:hAnsi="宋体" w:eastAsia="宋体" w:cs="宋体"/>
          <w:color w:val="auto"/>
          <w:sz w:val="24"/>
          <w:szCs w:val="24"/>
          <w:highlight w:val="none"/>
        </w:rPr>
        <w:t>9.采用电子招标投标</w:t>
      </w:r>
      <w:bookmarkEnd w:id="102"/>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ascii="宋体" w:hAnsi="宋体" w:eastAsia="宋体" w:cs="宋体"/>
          <w:color w:val="auto"/>
          <w:sz w:val="24"/>
          <w:szCs w:val="24"/>
          <w:highlight w:val="none"/>
        </w:rPr>
        <w:t>。</w:t>
      </w:r>
    </w:p>
    <w:p>
      <w:pPr>
        <w:pStyle w:val="7"/>
        <w:outlineLvl w:val="1"/>
        <w:rPr>
          <w:rFonts w:hint="eastAsia" w:ascii="宋体" w:hAnsi="宋体" w:eastAsia="宋体" w:cs="宋体"/>
          <w:b w:val="0"/>
          <w:color w:val="auto"/>
          <w:sz w:val="19"/>
          <w:szCs w:val="24"/>
          <w:highlight w:val="none"/>
        </w:rPr>
      </w:pPr>
      <w:bookmarkStart w:id="103" w:name="bookmark75"/>
      <w:bookmarkEnd w:id="103"/>
      <w:bookmarkStart w:id="104" w:name="_Toc7238"/>
      <w:r>
        <w:rPr>
          <w:rFonts w:hint="eastAsia" w:ascii="宋体" w:hAnsi="宋体" w:eastAsia="宋体" w:cs="宋体"/>
          <w:color w:val="auto"/>
          <w:sz w:val="24"/>
          <w:szCs w:val="24"/>
          <w:highlight w:val="none"/>
        </w:rPr>
        <w:t>10.需要补充的其他内容</w:t>
      </w:r>
      <w:bookmarkEnd w:id="104"/>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color w:val="auto"/>
          <w:sz w:val="24"/>
          <w:highlight w:val="none"/>
        </w:rPr>
        <w:t>10.1</w:t>
      </w:r>
      <w:r>
        <w:rPr>
          <w:rFonts w:ascii="宋体" w:hAnsi="宋体"/>
          <w:color w:val="auto"/>
          <w:sz w:val="24"/>
          <w:highlight w:val="none"/>
        </w:rPr>
        <w:t xml:space="preserve"> </w:t>
      </w:r>
      <w:r>
        <w:rPr>
          <w:rFonts w:hint="eastAsia" w:ascii="宋体" w:hAnsi="宋体"/>
          <w:color w:val="auto"/>
          <w:sz w:val="24"/>
          <w:highlight w:val="none"/>
        </w:rPr>
        <w:t>需要补充的其他内容：见投标人须知前附表。</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pPr>
        <w:pStyle w:val="8"/>
        <w:outlineLvl w:val="0"/>
        <w:rPr>
          <w:rFonts w:hint="eastAsia" w:ascii="宋体" w:hAnsi="宋体" w:eastAsia="宋体" w:cs="宋体"/>
          <w:color w:val="auto"/>
          <w:sz w:val="28"/>
          <w:szCs w:val="24"/>
          <w:highlight w:val="none"/>
        </w:rPr>
      </w:pPr>
      <w:bookmarkStart w:id="105" w:name="bookmark76"/>
      <w:bookmarkEnd w:id="105"/>
      <w:bookmarkStart w:id="106" w:name="bookmark77"/>
      <w:bookmarkEnd w:id="106"/>
      <w:bookmarkStart w:id="107" w:name="_Toc1460"/>
      <w:bookmarkStart w:id="108" w:name="_Toc5057"/>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一</w:t>
      </w:r>
      <w:r>
        <w:rPr>
          <w:rFonts w:hint="eastAsia" w:ascii="宋体" w:hAnsi="宋体" w:eastAsia="宋体" w:cs="宋体"/>
          <w:color w:val="auto"/>
          <w:sz w:val="28"/>
          <w:szCs w:val="24"/>
          <w:highlight w:val="none"/>
        </w:rPr>
        <w:t>：问题澄清通知</w:t>
      </w:r>
      <w:bookmarkEnd w:id="107"/>
      <w:bookmarkEnd w:id="108"/>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4"/>
        <w:ind w:left="0"/>
        <w:rPr>
          <w:rFonts w:hint="eastAsia" w:ascii="宋体" w:hAnsi="宋体" w:eastAsia="宋体" w:cs="宋体"/>
          <w:color w:val="auto"/>
          <w:sz w:val="17"/>
          <w:szCs w:val="24"/>
          <w:highlight w:val="none"/>
        </w:rPr>
      </w:pPr>
    </w:p>
    <w:p>
      <w:pPr>
        <w:pStyle w:val="14"/>
        <w:kinsoku w:val="0"/>
        <w:overflowPunct w:val="0"/>
        <w:spacing w:before="14"/>
        <w:ind w:left="0" w:right="13"/>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问题澄清通知</w:t>
      </w:r>
    </w:p>
    <w:p>
      <w:pPr>
        <w:pStyle w:val="14"/>
        <w:tabs>
          <w:tab w:val="left" w:pos="2937"/>
        </w:tabs>
        <w:kinsoku w:val="0"/>
        <w:overflowPunct w:val="0"/>
        <w:spacing w:before="157"/>
        <w:ind w:left="0" w:right="20"/>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5"/>
        <w:ind w:left="0"/>
        <w:rPr>
          <w:rFonts w:hint="eastAsia" w:ascii="宋体" w:hAnsi="宋体" w:eastAsia="宋体" w:cs="宋体"/>
          <w:color w:val="auto"/>
          <w:sz w:val="23"/>
          <w:szCs w:val="24"/>
          <w:highlight w:val="none"/>
        </w:rPr>
      </w:pPr>
    </w:p>
    <w:p>
      <w:pPr>
        <w:pStyle w:val="14"/>
        <w:tabs>
          <w:tab w:val="left" w:pos="2305"/>
        </w:tabs>
        <w:kinsoku w:val="0"/>
        <w:overflowPunct w:val="0"/>
        <w:spacing w:before="36"/>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（投标人名称）：</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8"/>
        <w:ind w:left="0"/>
        <w:rPr>
          <w:rFonts w:hint="eastAsia" w:ascii="宋体" w:hAnsi="宋体" w:eastAsia="宋体" w:cs="宋体"/>
          <w:color w:val="auto"/>
          <w:sz w:val="23"/>
          <w:szCs w:val="24"/>
          <w:highlight w:val="none"/>
        </w:rPr>
      </w:pPr>
    </w:p>
    <w:p>
      <w:pPr>
        <w:pStyle w:val="14"/>
        <w:kinsoku w:val="0"/>
        <w:overflowPunct w:val="0"/>
        <w:spacing w:before="36" w:line="384" w:lineRule="auto"/>
        <w:ind w:left="100" w:right="113" w:firstLine="422"/>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评标委员会对你方的投标文件进行了仔细的审查，现需你方对下列问题以书面形式予以澄</w:t>
      </w:r>
      <w:r>
        <w:rPr>
          <w:rFonts w:hint="eastAsia" w:ascii="宋体" w:hAnsi="宋体" w:eastAsia="宋体" w:cs="宋体"/>
          <w:color w:val="auto"/>
          <w:sz w:val="21"/>
          <w:szCs w:val="24"/>
          <w:highlight w:val="none"/>
        </w:rPr>
        <w:t xml:space="preserve"> 清、说明或补正：</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6"/>
        <w:ind w:left="0"/>
        <w:rPr>
          <w:rFonts w:hint="eastAsia" w:ascii="宋体" w:hAnsi="宋体" w:eastAsia="宋体" w:cs="宋体"/>
          <w:color w:val="auto"/>
          <w:sz w:val="20"/>
          <w:szCs w:val="24"/>
          <w:highlight w:val="none"/>
        </w:rPr>
      </w:pPr>
    </w:p>
    <w:p>
      <w:pPr>
        <w:pStyle w:val="14"/>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pPr>
        <w:pStyle w:val="14"/>
        <w:kinsoku w:val="0"/>
        <w:overflowPunct w:val="0"/>
        <w:spacing w:before="2"/>
        <w:ind w:left="0"/>
        <w:rPr>
          <w:rFonts w:hint="eastAsia" w:ascii="宋体" w:hAnsi="宋体" w:eastAsia="宋体" w:cs="宋体"/>
          <w:color w:val="auto"/>
          <w:sz w:val="17"/>
          <w:szCs w:val="24"/>
          <w:highlight w:val="none"/>
        </w:rPr>
      </w:pPr>
    </w:p>
    <w:p>
      <w:pPr>
        <w:pStyle w:val="14"/>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pPr>
        <w:pStyle w:val="14"/>
        <w:kinsoku w:val="0"/>
        <w:overflowPunct w:val="0"/>
        <w:spacing w:before="5"/>
        <w:ind w:left="0"/>
        <w:rPr>
          <w:rFonts w:hint="eastAsia" w:ascii="宋体" w:hAnsi="宋体" w:eastAsia="宋体" w:cs="宋体"/>
          <w:color w:val="auto"/>
          <w:sz w:val="17"/>
          <w:szCs w:val="24"/>
          <w:highlight w:val="none"/>
        </w:rPr>
      </w:pPr>
    </w:p>
    <w:p>
      <w:pPr>
        <w:pStyle w:val="14"/>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tabs>
          <w:tab w:val="left" w:pos="4603"/>
          <w:tab w:val="left" w:pos="5549"/>
          <w:tab w:val="left" w:pos="6494"/>
          <w:tab w:val="left" w:pos="7438"/>
        </w:tabs>
        <w:kinsoku w:val="0"/>
        <w:overflowPunct w:val="0"/>
        <w:spacing w:before="127"/>
        <w:ind w:left="505"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pacing w:val="-2"/>
          <w:sz w:val="21"/>
          <w:szCs w:val="24"/>
          <w:highlight w:val="none"/>
        </w:rPr>
        <w:t>时前递交至</w:t>
      </w:r>
    </w:p>
    <w:p>
      <w:pPr>
        <w:pStyle w:val="14"/>
        <w:kinsoku w:val="0"/>
        <w:overflowPunct w:val="0"/>
        <w:spacing w:before="13"/>
        <w:ind w:left="0"/>
        <w:rPr>
          <w:rFonts w:hint="eastAsia" w:ascii="宋体" w:hAnsi="宋体" w:eastAsia="宋体" w:cs="宋体"/>
          <w:color w:val="auto"/>
          <w:sz w:val="9"/>
          <w:szCs w:val="24"/>
          <w:highlight w:val="none"/>
        </w:rPr>
      </w:pPr>
    </w:p>
    <w:p>
      <w:pPr>
        <w:pStyle w:val="14"/>
        <w:tabs>
          <w:tab w:val="left" w:pos="3040"/>
          <w:tab w:val="left" w:pos="7296"/>
        </w:tabs>
        <w:kinsoku w:val="0"/>
        <w:overflowPunct w:val="0"/>
        <w:spacing w:before="36"/>
        <w:ind w:left="100"/>
        <w:rPr>
          <w:rFonts w:hint="eastAsia" w:ascii="宋体" w:hAnsi="宋体" w:eastAsia="宋体"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ascii="宋体" w:hAnsi="宋体" w:eastAsia="宋体" w:cs="宋体"/>
          <w:color w:val="auto"/>
          <w:spacing w:val="-5"/>
          <w:sz w:val="21"/>
          <w:szCs w:val="24"/>
          <w:highlight w:val="none"/>
        </w:rPr>
        <w:t>（传真号码）或</w:t>
      </w:r>
    </w:p>
    <w:p>
      <w:pPr>
        <w:pStyle w:val="14"/>
        <w:kinsoku w:val="0"/>
        <w:overflowPunct w:val="0"/>
        <w:spacing w:before="10"/>
        <w:ind w:left="0"/>
        <w:rPr>
          <w:rFonts w:hint="eastAsia" w:ascii="宋体" w:hAnsi="宋体" w:eastAsia="宋体" w:cs="宋体"/>
          <w:color w:val="auto"/>
          <w:sz w:val="9"/>
          <w:szCs w:val="24"/>
          <w:highlight w:val="none"/>
        </w:rPr>
      </w:pPr>
    </w:p>
    <w:p>
      <w:pPr>
        <w:pStyle w:val="14"/>
        <w:tabs>
          <w:tab w:val="left" w:pos="7138"/>
          <w:tab w:val="left" w:pos="8084"/>
        </w:tabs>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月</w:t>
      </w:r>
    </w:p>
    <w:p>
      <w:pPr>
        <w:pStyle w:val="14"/>
        <w:kinsoku w:val="0"/>
        <w:overflowPunct w:val="0"/>
        <w:spacing w:before="10"/>
        <w:ind w:left="0"/>
        <w:rPr>
          <w:rFonts w:hint="eastAsia" w:ascii="宋体" w:hAnsi="宋体" w:eastAsia="宋体" w:cs="宋体"/>
          <w:color w:val="auto"/>
          <w:sz w:val="9"/>
          <w:szCs w:val="24"/>
          <w:highlight w:val="none"/>
        </w:rPr>
      </w:pPr>
    </w:p>
    <w:p>
      <w:pPr>
        <w:pStyle w:val="14"/>
        <w:tabs>
          <w:tab w:val="left" w:pos="837"/>
          <w:tab w:val="left" w:pos="1782"/>
          <w:tab w:val="left" w:pos="5669"/>
        </w:tabs>
        <w:kinsoku w:val="0"/>
        <w:overflowPunct w:val="0"/>
        <w:spacing w:before="36"/>
        <w:ind w:left="100" w:right="113"/>
        <w:rPr>
          <w:rFonts w:hint="eastAsia" w:ascii="宋体" w:hAnsi="宋体" w:eastAsia="宋体"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17"/>
          <w:sz w:val="21"/>
          <w:szCs w:val="24"/>
          <w:highlight w:val="none"/>
        </w:rPr>
        <w:t>（详细地址）。</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2"/>
        <w:ind w:left="0"/>
        <w:rPr>
          <w:rFonts w:hint="eastAsia" w:ascii="宋体" w:hAnsi="宋体" w:eastAsia="宋体" w:cs="宋体"/>
          <w:color w:val="auto"/>
          <w:sz w:val="17"/>
          <w:szCs w:val="24"/>
          <w:highlight w:val="none"/>
        </w:rPr>
      </w:pPr>
    </w:p>
    <w:p>
      <w:pPr>
        <w:pStyle w:val="14"/>
        <w:tabs>
          <w:tab w:val="left" w:pos="7032"/>
        </w:tabs>
        <w:kinsoku w:val="0"/>
        <w:overflowPunct w:val="0"/>
        <w:spacing w:before="36"/>
        <w:ind w:left="2200"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2"/>
          <w:sz w:val="21"/>
          <w:szCs w:val="24"/>
          <w:highlight w:val="none"/>
        </w:rPr>
        <w:t>评标委员会</w:t>
      </w:r>
      <w:r>
        <w:rPr>
          <w:rFonts w:hint="eastAsia" w:ascii="宋体" w:hAnsi="宋体" w:eastAsia="宋体" w:cs="宋体"/>
          <w:color w:val="auto"/>
          <w:spacing w:val="-2"/>
          <w:sz w:val="21"/>
          <w:szCs w:val="24"/>
          <w:highlight w:val="none"/>
          <w:lang w:eastAsia="zh-CN"/>
        </w:rPr>
        <w:t>签字</w:t>
      </w:r>
      <w:r>
        <w:rPr>
          <w:rFonts w:hint="eastAsia" w:ascii="宋体" w:hAnsi="宋体" w:eastAsia="宋体"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7"/>
        <w:ind w:left="0"/>
        <w:rPr>
          <w:rFonts w:hint="eastAsia" w:ascii="宋体" w:hAnsi="宋体" w:eastAsia="宋体" w:cs="宋体"/>
          <w:color w:val="auto"/>
          <w:sz w:val="23"/>
          <w:szCs w:val="24"/>
          <w:highlight w:val="none"/>
        </w:rPr>
      </w:pPr>
    </w:p>
    <w:p>
      <w:pPr>
        <w:pStyle w:val="14"/>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pPr>
        <w:pStyle w:val="14"/>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pgNumType w:fmt="decimal"/>
          <w:cols w:space="720" w:num="1"/>
        </w:sectPr>
      </w:pPr>
    </w:p>
    <w:p>
      <w:pPr>
        <w:pStyle w:val="8"/>
        <w:rPr>
          <w:rFonts w:hint="eastAsia" w:ascii="宋体" w:hAnsi="宋体" w:eastAsia="宋体" w:cs="宋体"/>
          <w:color w:val="auto"/>
          <w:sz w:val="28"/>
          <w:szCs w:val="24"/>
          <w:highlight w:val="none"/>
        </w:rPr>
      </w:pPr>
      <w:bookmarkStart w:id="109" w:name="bookmark78"/>
      <w:bookmarkEnd w:id="109"/>
      <w:r>
        <w:rPr>
          <w:rFonts w:hint="eastAsia" w:ascii="宋体" w:hAnsi="宋体" w:eastAsia="宋体" w:cs="宋体"/>
          <w:color w:val="auto"/>
          <w:sz w:val="28"/>
          <w:szCs w:val="24"/>
          <w:highlight w:val="none"/>
        </w:rPr>
        <w:t>附件</w:t>
      </w:r>
      <w:r>
        <w:rPr>
          <w:rFonts w:hint="eastAsia" w:ascii="宋体" w:hAnsi="宋体" w:eastAsia="宋体" w:cs="宋体"/>
          <w:color w:val="auto"/>
          <w:sz w:val="28"/>
          <w:szCs w:val="24"/>
          <w:highlight w:val="none"/>
          <w:lang w:eastAsia="zh-CN"/>
        </w:rPr>
        <w:t>二</w:t>
      </w:r>
      <w:r>
        <w:rPr>
          <w:rFonts w:hint="eastAsia" w:ascii="宋体" w:hAnsi="宋体" w:eastAsia="宋体" w:cs="宋体"/>
          <w:color w:val="auto"/>
          <w:sz w:val="28"/>
          <w:szCs w:val="24"/>
          <w:highlight w:val="none"/>
        </w:rPr>
        <w:t>：问题的澄清</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168"/>
        <w:ind w:left="0" w:right="16"/>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问题的澄清</w:t>
      </w:r>
    </w:p>
    <w:p>
      <w:pPr>
        <w:pStyle w:val="14"/>
        <w:tabs>
          <w:tab w:val="left" w:pos="5947"/>
        </w:tabs>
        <w:kinsoku w:val="0"/>
        <w:overflowPunct w:val="0"/>
        <w:spacing w:before="113"/>
        <w:ind w:left="3566" w:right="113"/>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z w:val="21"/>
          <w:szCs w:val="24"/>
          <w:highlight w:val="none"/>
        </w:rPr>
        <w:t>）</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1"/>
        <w:ind w:left="0"/>
        <w:rPr>
          <w:rFonts w:hint="eastAsia" w:ascii="宋体" w:hAnsi="宋体" w:eastAsia="宋体" w:cs="宋体"/>
          <w:color w:val="auto"/>
          <w:sz w:val="20"/>
          <w:szCs w:val="24"/>
          <w:highlight w:val="none"/>
        </w:rPr>
      </w:pPr>
    </w:p>
    <w:p>
      <w:pPr>
        <w:pStyle w:val="14"/>
        <w:kinsoku w:val="0"/>
        <w:overflowPunct w:val="0"/>
        <w:spacing w:before="36"/>
        <w:ind w:left="100"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2"/>
        <w:ind w:left="0"/>
        <w:rPr>
          <w:rFonts w:hint="eastAsia" w:ascii="宋体" w:hAnsi="宋体" w:eastAsia="宋体" w:cs="宋体"/>
          <w:color w:val="auto"/>
          <w:sz w:val="26"/>
          <w:szCs w:val="24"/>
          <w:highlight w:val="none"/>
        </w:rPr>
      </w:pPr>
    </w:p>
    <w:p>
      <w:pPr>
        <w:pStyle w:val="14"/>
        <w:tabs>
          <w:tab w:val="left" w:pos="3460"/>
        </w:tabs>
        <w:kinsoku w:val="0"/>
        <w:overflowPunct w:val="0"/>
        <w:ind w:left="522"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）已收悉，现澄清、说明或补正如下：</w:t>
      </w:r>
    </w:p>
    <w:p>
      <w:pPr>
        <w:pStyle w:val="14"/>
        <w:kinsoku w:val="0"/>
        <w:overflowPunct w:val="0"/>
        <w:spacing w:before="11"/>
        <w:ind w:left="0"/>
        <w:rPr>
          <w:rFonts w:hint="eastAsia" w:ascii="宋体" w:hAnsi="宋体" w:eastAsia="宋体" w:cs="宋体"/>
          <w:color w:val="auto"/>
          <w:sz w:val="10"/>
          <w:szCs w:val="24"/>
          <w:highlight w:val="none"/>
        </w:rPr>
      </w:pPr>
    </w:p>
    <w:p>
      <w:pPr>
        <w:pStyle w:val="14"/>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pPr>
        <w:pStyle w:val="14"/>
        <w:kinsoku w:val="0"/>
        <w:overflowPunct w:val="0"/>
        <w:spacing w:before="2"/>
        <w:ind w:left="0"/>
        <w:rPr>
          <w:rFonts w:hint="eastAsia" w:ascii="宋体" w:hAnsi="宋体" w:eastAsia="宋体" w:cs="宋体"/>
          <w:color w:val="auto"/>
          <w:sz w:val="17"/>
          <w:szCs w:val="24"/>
          <w:highlight w:val="none"/>
        </w:rPr>
      </w:pPr>
    </w:p>
    <w:p>
      <w:pPr>
        <w:pStyle w:val="14"/>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pPr>
        <w:pStyle w:val="14"/>
        <w:kinsoku w:val="0"/>
        <w:overflowPunct w:val="0"/>
        <w:spacing w:before="2"/>
        <w:ind w:left="0"/>
        <w:rPr>
          <w:rFonts w:hint="eastAsia" w:ascii="宋体" w:hAnsi="宋体" w:eastAsia="宋体" w:cs="宋体"/>
          <w:color w:val="auto"/>
          <w:sz w:val="17"/>
          <w:szCs w:val="24"/>
          <w:highlight w:val="none"/>
        </w:rPr>
      </w:pPr>
    </w:p>
    <w:p>
      <w:pPr>
        <w:pStyle w:val="14"/>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11"/>
        <w:ind w:left="0"/>
        <w:rPr>
          <w:rFonts w:hint="eastAsia" w:ascii="宋体" w:hAnsi="宋体" w:eastAsia="宋体" w:cs="宋体"/>
          <w:color w:val="auto"/>
          <w:sz w:val="27"/>
          <w:szCs w:val="24"/>
          <w:highlight w:val="none"/>
        </w:rPr>
      </w:pPr>
    </w:p>
    <w:p>
      <w:pPr>
        <w:pStyle w:val="14"/>
        <w:kinsoku w:val="0"/>
        <w:overflowPunct w:val="0"/>
        <w:spacing w:line="384" w:lineRule="auto"/>
        <w:ind w:left="100" w:right="113" w:firstLine="419"/>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4"/>
          <w:highlight w:val="none"/>
        </w:rPr>
        <w:t>上述问题澄清、说明或补正，不改变我方投标文件的实质性内容，构成我方投标文件的组</w:t>
      </w:r>
      <w:r>
        <w:rPr>
          <w:rFonts w:hint="eastAsia" w:ascii="宋体" w:hAnsi="宋体" w:eastAsia="宋体" w:cs="宋体"/>
          <w:color w:val="auto"/>
          <w:sz w:val="21"/>
          <w:szCs w:val="24"/>
          <w:highlight w:val="none"/>
        </w:rPr>
        <w:t xml:space="preserve"> 成部分。</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6"/>
        <w:ind w:left="0"/>
        <w:rPr>
          <w:rFonts w:hint="eastAsia" w:ascii="宋体" w:hAnsi="宋体" w:eastAsia="宋体" w:cs="宋体"/>
          <w:color w:val="auto"/>
          <w:sz w:val="19"/>
          <w:szCs w:val="24"/>
          <w:highlight w:val="none"/>
        </w:rPr>
      </w:pPr>
    </w:p>
    <w:p>
      <w:pPr>
        <w:pStyle w:val="14"/>
        <w:tabs>
          <w:tab w:val="left" w:pos="7382"/>
        </w:tabs>
        <w:kinsoku w:val="0"/>
        <w:overflowPunct w:val="0"/>
        <w:ind w:left="3043" w:right="113"/>
        <w:rPr>
          <w:rFonts w:hint="eastAsia" w:ascii="宋体" w:hAnsi="宋体" w:eastAsia="宋体" w:cs="宋体"/>
          <w:color w:val="auto"/>
          <w:spacing w:val="-1"/>
          <w:sz w:val="21"/>
          <w:szCs w:val="24"/>
          <w:highlight w:val="none"/>
        </w:rPr>
      </w:pPr>
      <w:r>
        <w:rPr>
          <w:rFonts w:hint="eastAsia" w:ascii="宋体" w:hAnsi="宋体" w:eastAsia="宋体"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ascii="宋体" w:hAnsi="宋体" w:eastAsia="宋体" w:cs="宋体"/>
          <w:color w:val="auto"/>
          <w:spacing w:val="-1"/>
          <w:sz w:val="21"/>
          <w:szCs w:val="24"/>
          <w:highlight w:val="none"/>
        </w:rPr>
        <w:t>（盖单位章）</w:t>
      </w:r>
    </w:p>
    <w:p>
      <w:pPr>
        <w:pStyle w:val="14"/>
        <w:kinsoku w:val="0"/>
        <w:overflowPunct w:val="0"/>
        <w:spacing w:before="11"/>
        <w:ind w:left="0"/>
        <w:rPr>
          <w:rFonts w:hint="eastAsia" w:ascii="宋体" w:hAnsi="宋体" w:eastAsia="宋体" w:cs="宋体"/>
          <w:color w:val="auto"/>
          <w:sz w:val="17"/>
          <w:szCs w:val="24"/>
          <w:highlight w:val="none"/>
        </w:rPr>
      </w:pPr>
    </w:p>
    <w:p>
      <w:pPr>
        <w:pStyle w:val="14"/>
        <w:tabs>
          <w:tab w:val="left" w:pos="6612"/>
        </w:tabs>
        <w:kinsoku w:val="0"/>
        <w:overflowPunct w:val="0"/>
        <w:spacing w:before="36"/>
        <w:ind w:left="3041" w:right="113"/>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ascii="宋体" w:hAnsi="宋体" w:eastAsia="宋体" w:cs="宋体"/>
          <w:color w:val="auto"/>
          <w:spacing w:val="-2"/>
          <w:sz w:val="21"/>
          <w:szCs w:val="24"/>
          <w:highlight w:val="none"/>
        </w:rPr>
        <w:t>（签字）</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4"/>
        <w:ind w:left="0"/>
        <w:rPr>
          <w:rFonts w:hint="eastAsia" w:ascii="宋体" w:hAnsi="宋体" w:eastAsia="宋体" w:cs="宋体"/>
          <w:color w:val="auto"/>
          <w:sz w:val="22"/>
          <w:szCs w:val="24"/>
          <w:highlight w:val="none"/>
        </w:rPr>
      </w:pPr>
    </w:p>
    <w:p>
      <w:pPr>
        <w:pStyle w:val="14"/>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ascii="宋体" w:hAnsi="宋体" w:eastAsia="宋体" w:cs="宋体"/>
          <w:color w:val="auto"/>
          <w:sz w:val="21"/>
          <w:szCs w:val="24"/>
          <w:highlight w:val="none"/>
        </w:rPr>
        <w:t>日</w:t>
      </w:r>
    </w:p>
    <w:p>
      <w:pPr>
        <w:pStyle w:val="6"/>
        <w:outlineLvl w:val="0"/>
        <w:rPr>
          <w:rFonts w:hint="eastAsia" w:ascii="宋体" w:hAnsi="宋体" w:eastAsia="宋体" w:cs="宋体"/>
          <w:b w:val="0"/>
          <w:color w:val="auto"/>
          <w:sz w:val="57"/>
          <w:szCs w:val="24"/>
          <w:highlight w:val="none"/>
        </w:rPr>
      </w:pPr>
      <w:bookmarkStart w:id="110" w:name="bookmark79"/>
      <w:bookmarkEnd w:id="110"/>
      <w:bookmarkStart w:id="111" w:name="bookmark82"/>
      <w:bookmarkEnd w:id="111"/>
      <w:bookmarkStart w:id="112" w:name="_Toc23003"/>
      <w:r>
        <w:rPr>
          <w:rFonts w:hint="eastAsia" w:ascii="宋体" w:hAnsi="宋体" w:eastAsia="宋体" w:cs="宋体"/>
          <w:color w:val="auto"/>
          <w:sz w:val="44"/>
          <w:szCs w:val="24"/>
          <w:highlight w:val="none"/>
        </w:rPr>
        <w:t>第三章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评标办法（综合评估法）</w:t>
      </w:r>
      <w:bookmarkEnd w:id="112"/>
    </w:p>
    <w:p>
      <w:pPr>
        <w:pStyle w:val="7"/>
        <w:kinsoku w:val="0"/>
        <w:overflowPunct w:val="0"/>
        <w:ind w:left="120"/>
        <w:jc w:val="center"/>
        <w:outlineLvl w:val="1"/>
        <w:rPr>
          <w:rFonts w:hint="eastAsia" w:ascii="宋体" w:hAnsi="宋体" w:eastAsia="宋体" w:cs="宋体"/>
          <w:color w:val="auto"/>
          <w:sz w:val="32"/>
          <w:szCs w:val="24"/>
          <w:highlight w:val="none"/>
        </w:rPr>
      </w:pPr>
      <w:bookmarkStart w:id="113" w:name="bookmark83"/>
      <w:bookmarkEnd w:id="113"/>
      <w:bookmarkStart w:id="114" w:name="_Toc10305"/>
      <w:r>
        <w:rPr>
          <w:rFonts w:hint="eastAsia" w:ascii="宋体" w:hAnsi="宋体" w:eastAsia="宋体" w:cs="宋体"/>
          <w:color w:val="auto"/>
          <w:sz w:val="32"/>
          <w:szCs w:val="24"/>
          <w:highlight w:val="none"/>
        </w:rPr>
        <w:t>评标办法前附表</w:t>
      </w:r>
      <w:bookmarkEnd w:id="114"/>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927"/>
        <w:gridCol w:w="1866"/>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候选人顺序确定方法如下：本次评标采用综合评估法。评标委员会对满足招标文件实质性要求的投标文件，按照本章第2.2款规定的评分标准进行打分，并按得分由高到低顺序推荐中标候选人，但投标报价低于其成本的除外。综合评分相同时，以投标报价低的优先；投标报价也相同的，以商务技术得分高的优先；如果商务技术得分也相同的，由评标委员会决定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095"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要求</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提交符合招标文件要求的联合体共同投标协议书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w:t>
            </w:r>
            <w:r>
              <w:rPr>
                <w:rFonts w:hint="eastAsia" w:ascii="宋体" w:hAnsi="宋体" w:cs="宋体"/>
                <w:color w:val="auto"/>
                <w:spacing w:val="-2"/>
                <w:sz w:val="21"/>
                <w:szCs w:val="21"/>
                <w:highlight w:val="none"/>
                <w:lang w:eastAsia="zh-CN"/>
              </w:rPr>
              <w:t>黑</w:t>
            </w:r>
            <w:r>
              <w:rPr>
                <w:rFonts w:hint="eastAsia" w:ascii="宋体" w:hAnsi="宋体" w:eastAsia="宋体" w:cs="宋体"/>
                <w:color w:val="auto"/>
                <w:spacing w:val="-2"/>
                <w:sz w:val="21"/>
                <w:szCs w:val="21"/>
                <w:highlight w:val="none"/>
                <w:lang w:eastAsia="zh-CN"/>
              </w:rPr>
              <w:t>名单且被限制参与相关项目投标的</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以“信用广州”网站公布的“</w:t>
            </w:r>
            <w:r>
              <w:rPr>
                <w:rFonts w:hint="eastAsia" w:ascii="宋体" w:hAnsi="宋体" w:eastAsia="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095"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10"/>
              <w:jc w:val="center"/>
              <w:rPr>
                <w:rFonts w:hint="eastAsia" w:ascii="宋体" w:hAnsi="宋体" w:eastAsia="宋体" w:cs="宋体"/>
                <w:color w:val="auto"/>
                <w:sz w:val="21"/>
                <w:szCs w:val="21"/>
                <w:highlight w:val="none"/>
              </w:rPr>
            </w:pPr>
            <w:bookmarkStart w:id="115" w:name="OLE_LINK3"/>
            <w:r>
              <w:rPr>
                <w:rFonts w:hint="eastAsia" w:ascii="宋体" w:hAnsi="宋体" w:eastAsia="宋体" w:cs="宋体"/>
                <w:color w:val="auto"/>
                <w:sz w:val="21"/>
                <w:szCs w:val="21"/>
                <w:highlight w:val="none"/>
              </w:rPr>
              <w:t>投标人名称</w:t>
            </w:r>
            <w:bookmarkEnd w:id="115"/>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63" w:type="dxa"/>
            <w:vMerge w:val="continue"/>
            <w:tcBorders>
              <w:left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p>
        </w:tc>
        <w:tc>
          <w:tcPr>
            <w:tcW w:w="1095" w:type="dxa"/>
            <w:gridSpan w:val="2"/>
            <w:vMerge w:val="continue"/>
            <w:tcBorders>
              <w:left w:val="single" w:color="auto" w:sz="4" w:space="0"/>
              <w:right w:val="single" w:color="auto" w:sz="4" w:space="0"/>
              <w:tl2br w:val="nil"/>
              <w:tr2bl w:val="nil"/>
            </w:tcBorders>
            <w:noWrap w:val="0"/>
            <w:vAlign w:val="center"/>
          </w:tcPr>
          <w:p>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联合体投标人</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107"/>
              <w:jc w:val="both"/>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提交符合招标文件要求的联合体协议书，明确各方承担连带责任，并明确联合体</w:t>
            </w:r>
            <w:r>
              <w:rPr>
                <w:rFonts w:hint="default" w:ascii="宋体" w:hAnsi="宋体" w:eastAsia="宋体" w:cs="宋体"/>
                <w:color w:val="auto"/>
                <w:sz w:val="21"/>
                <w:szCs w:val="21"/>
                <w:highlight w:val="none"/>
                <w:lang w:eastAsia="zh-CN"/>
              </w:rPr>
              <w:t>主办方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投标人机器码</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ind w:left="91" w:leftChars="38"/>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投标人与</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其他投标人加密打包投标文件电脑机器特征码</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一致的(以</w:t>
            </w:r>
            <w:r>
              <w:rPr>
                <w:rFonts w:hint="eastAsia" w:ascii="宋体" w:hAnsi="宋体" w:eastAsia="宋体" w:cs="宋体"/>
                <w:color w:val="auto"/>
                <w:sz w:val="21"/>
                <w:szCs w:val="21"/>
                <w:highlight w:val="none"/>
                <w:lang w:eastAsia="zh-CN"/>
              </w:rPr>
              <w:t>广州交易集团有限公司（广州公共资源交易中心）交易</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09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insoku w:val="0"/>
              <w:overflowPunct w:val="0"/>
              <w:jc w:val="both"/>
              <w:outlineLvl w:val="9"/>
              <w:rPr>
                <w:rFonts w:hint="eastAsia" w:ascii="宋体" w:hAnsi="宋体" w:eastAsia="宋体" w:cs="宋体"/>
                <w:color w:val="auto"/>
                <w:sz w:val="21"/>
                <w:szCs w:val="21"/>
                <w:highlight w:val="none"/>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投标保证金</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商务技术</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80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w:t>
            </w:r>
          </w:p>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通过资格评审和符合性评审的有效投标人中的最低（1-有效投标下浮率）作为评标基准价（即PC）。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3</w:t>
            </w:r>
          </w:p>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 w:type="dxa"/>
            <w:vMerge w:val="restart"/>
            <w:tcBorders>
              <w:top w:val="nil"/>
              <w:left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商务技术部分（80分）</w:t>
            </w:r>
          </w:p>
        </w:tc>
        <w:tc>
          <w:tcPr>
            <w:tcW w:w="1866" w:type="dxa"/>
            <w:tcBorders>
              <w:top w:val="single" w:color="auto" w:sz="4" w:space="0"/>
              <w:left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p>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第一标段：</w:t>
            </w:r>
            <w:r>
              <w:rPr>
                <w:rFonts w:hint="eastAsia" w:asciiTheme="minorEastAsia" w:hAnsiTheme="minorEastAsia" w:eastAsiaTheme="minorEastAsia" w:cstheme="minorEastAsia"/>
                <w:color w:val="auto"/>
                <w:kern w:val="0"/>
                <w:sz w:val="21"/>
                <w:szCs w:val="21"/>
                <w:highlight w:val="none"/>
              </w:rPr>
              <w:t>20</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年1月1日至今，投标人完成过</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lang w:val="en-US" w:eastAsia="zh-CN"/>
              </w:rPr>
              <w:t>合同金额为200万元及以上</w:t>
            </w:r>
            <w:r>
              <w:rPr>
                <w:rFonts w:hint="eastAsia" w:asciiTheme="minorEastAsia" w:hAnsiTheme="minorEastAsia" w:eastAsiaTheme="minorEastAsia" w:cstheme="minorEastAsia"/>
                <w:color w:val="auto"/>
                <w:kern w:val="0"/>
                <w:sz w:val="21"/>
                <w:szCs w:val="21"/>
                <w:highlight w:val="none"/>
              </w:rPr>
              <w:t>类似工程第三方检测</w:t>
            </w:r>
            <w:r>
              <w:rPr>
                <w:rFonts w:hint="eastAsia" w:asciiTheme="minorEastAsia" w:hAnsiTheme="minorEastAsia" w:eastAsiaTheme="minorEastAsia" w:cstheme="minorEastAsia"/>
                <w:color w:val="auto"/>
                <w:kern w:val="0"/>
                <w:sz w:val="21"/>
                <w:szCs w:val="21"/>
                <w:highlight w:val="none"/>
                <w:lang w:eastAsia="zh-CN"/>
              </w:rPr>
              <w:t>或</w:t>
            </w:r>
            <w:r>
              <w:rPr>
                <w:rFonts w:hint="eastAsia" w:asciiTheme="minorEastAsia" w:hAnsiTheme="minorEastAsia" w:eastAsiaTheme="minorEastAsia" w:cstheme="minorEastAsia"/>
                <w:color w:val="auto"/>
                <w:kern w:val="0"/>
                <w:sz w:val="21"/>
                <w:szCs w:val="21"/>
                <w:highlight w:val="none"/>
                <w:lang w:val="en-US" w:eastAsia="zh-CN"/>
              </w:rPr>
              <w:t>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val="en-US" w:eastAsia="zh-CN"/>
              </w:rPr>
              <w:t>业绩</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每项得</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分。本项最高得</w:t>
            </w:r>
            <w:r>
              <w:rPr>
                <w:rFonts w:hint="eastAsia" w:asciiTheme="minorEastAsia" w:hAnsiTheme="minorEastAsia" w:eastAsiaTheme="minorEastAsia" w:cstheme="minorEastAsia"/>
                <w:color w:val="auto"/>
                <w:kern w:val="0"/>
                <w:sz w:val="21"/>
                <w:szCs w:val="21"/>
                <w:highlight w:val="none"/>
                <w:lang w:val="en-US" w:eastAsia="zh-CN"/>
              </w:rPr>
              <w:t>24</w:t>
            </w:r>
            <w:r>
              <w:rPr>
                <w:rFonts w:hint="eastAsia" w:asciiTheme="minorEastAsia" w:hAnsiTheme="minorEastAsia" w:eastAsiaTheme="minorEastAsia" w:cstheme="minorEastAsia"/>
                <w:color w:val="auto"/>
                <w:kern w:val="0"/>
                <w:sz w:val="21"/>
                <w:szCs w:val="21"/>
                <w:highlight w:val="none"/>
              </w:rPr>
              <w:t>分。</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第二标段：</w:t>
            </w:r>
            <w:r>
              <w:rPr>
                <w:rFonts w:hint="eastAsia" w:asciiTheme="minorEastAsia" w:hAnsiTheme="minorEastAsia" w:eastAsiaTheme="minorEastAsia" w:cstheme="minorEastAsia"/>
                <w:color w:val="auto"/>
                <w:kern w:val="0"/>
                <w:sz w:val="21"/>
                <w:szCs w:val="21"/>
                <w:highlight w:val="none"/>
              </w:rPr>
              <w:t>20</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年1月1日至今，投标人完成过</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lang w:val="en-US" w:eastAsia="zh-CN"/>
              </w:rPr>
              <w:t>合同金额为80万元及以上</w:t>
            </w:r>
            <w:r>
              <w:rPr>
                <w:rFonts w:hint="eastAsia" w:asciiTheme="minorEastAsia" w:hAnsiTheme="minorEastAsia" w:eastAsiaTheme="minorEastAsia" w:cstheme="minorEastAsia"/>
                <w:color w:val="auto"/>
                <w:kern w:val="0"/>
                <w:sz w:val="21"/>
                <w:szCs w:val="21"/>
                <w:highlight w:val="none"/>
              </w:rPr>
              <w:t>类似工程第三方检测</w:t>
            </w:r>
            <w:r>
              <w:rPr>
                <w:rFonts w:hint="eastAsia" w:asciiTheme="minorEastAsia" w:hAnsiTheme="minorEastAsia" w:eastAsiaTheme="minorEastAsia" w:cstheme="minorEastAsia"/>
                <w:color w:val="auto"/>
                <w:kern w:val="0"/>
                <w:sz w:val="21"/>
                <w:szCs w:val="21"/>
                <w:highlight w:val="none"/>
                <w:lang w:eastAsia="zh-CN"/>
              </w:rPr>
              <w:t>或</w:t>
            </w:r>
            <w:r>
              <w:rPr>
                <w:rFonts w:hint="eastAsia" w:asciiTheme="minorEastAsia" w:hAnsiTheme="minorEastAsia" w:eastAsiaTheme="minorEastAsia" w:cstheme="minorEastAsia"/>
                <w:color w:val="auto"/>
                <w:kern w:val="0"/>
                <w:sz w:val="21"/>
                <w:szCs w:val="21"/>
                <w:highlight w:val="none"/>
                <w:lang w:val="en-US" w:eastAsia="zh-CN"/>
              </w:rPr>
              <w:t>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lang w:val="en-US" w:eastAsia="zh-CN"/>
              </w:rPr>
              <w:t>业绩</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kern w:val="0"/>
                <w:sz w:val="21"/>
                <w:szCs w:val="21"/>
                <w:highlight w:val="none"/>
              </w:rPr>
              <w:t>每项得</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分。本项最高得</w:t>
            </w:r>
            <w:r>
              <w:rPr>
                <w:rFonts w:hint="eastAsia" w:asciiTheme="minorEastAsia" w:hAnsiTheme="minorEastAsia" w:eastAsiaTheme="minorEastAsia" w:cstheme="minorEastAsia"/>
                <w:color w:val="auto"/>
                <w:kern w:val="0"/>
                <w:sz w:val="21"/>
                <w:szCs w:val="21"/>
                <w:highlight w:val="none"/>
                <w:lang w:val="en-US" w:eastAsia="zh-CN"/>
              </w:rPr>
              <w:t>24</w:t>
            </w:r>
            <w:r>
              <w:rPr>
                <w:rFonts w:hint="eastAsia" w:asciiTheme="minorEastAsia" w:hAnsiTheme="minorEastAsia" w:eastAsiaTheme="minorEastAsia" w:cstheme="minorEastAsia"/>
                <w:color w:val="auto"/>
                <w:kern w:val="0"/>
                <w:sz w:val="21"/>
                <w:szCs w:val="21"/>
                <w:highlight w:val="none"/>
              </w:rPr>
              <w:t>分。</w:t>
            </w:r>
          </w:p>
          <w:p>
            <w:pPr>
              <w:adjustRightInd w:val="0"/>
              <w:snapToGrid w:val="0"/>
              <w:jc w:val="left"/>
              <w:rPr>
                <w:rFonts w:hint="eastAsia" w:asciiTheme="minorEastAsia" w:hAnsiTheme="minorEastAsia" w:eastAsiaTheme="minorEastAsia" w:cstheme="minorEastAsia"/>
                <w:color w:val="auto"/>
                <w:kern w:val="0"/>
                <w:sz w:val="21"/>
                <w:szCs w:val="21"/>
                <w:highlight w:val="none"/>
              </w:rPr>
            </w:pPr>
          </w:p>
          <w:p>
            <w:pPr>
              <w:adjustRightInd w:val="0"/>
              <w:snapToGri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1"/>
                <w:szCs w:val="21"/>
                <w:highlight w:val="none"/>
              </w:rPr>
              <w:t>注：①类似工程是指</w:t>
            </w:r>
            <w:r>
              <w:rPr>
                <w:rFonts w:hint="eastAsia" w:asciiTheme="minorEastAsia" w:hAnsiTheme="minorEastAsia" w:eastAsiaTheme="minorEastAsia" w:cstheme="minorEastAsia"/>
                <w:color w:val="auto"/>
                <w:kern w:val="0"/>
                <w:sz w:val="21"/>
                <w:szCs w:val="21"/>
                <w:highlight w:val="none"/>
                <w:lang w:eastAsia="zh-CN"/>
              </w:rPr>
              <w:t>水务</w:t>
            </w:r>
            <w:r>
              <w:rPr>
                <w:rFonts w:hint="eastAsia" w:asciiTheme="minorEastAsia" w:hAnsiTheme="minorEastAsia" w:eastAsiaTheme="minorEastAsia" w:cstheme="minorEastAsia"/>
                <w:color w:val="auto"/>
                <w:kern w:val="0"/>
                <w:sz w:val="21"/>
                <w:szCs w:val="21"/>
                <w:highlight w:val="none"/>
              </w:rPr>
              <w:t>工程。②业绩证明须提供中标通知书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或成交通知书</w:t>
            </w:r>
            <w:r>
              <w:rPr>
                <w:rFonts w:hint="eastAsia" w:asciiTheme="minorEastAsia" w:hAnsiTheme="minorEastAsia" w:eastAsiaTheme="minorEastAsia" w:cstheme="minorEastAsia"/>
                <w:color w:val="auto"/>
                <w:kern w:val="0"/>
                <w:sz w:val="21"/>
                <w:szCs w:val="21"/>
                <w:highlight w:val="none"/>
              </w:rPr>
              <w:t>或免招标的相关证明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、技术服务合同</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报告等作为证明文件，否则不得分</w:t>
            </w:r>
            <w:r>
              <w:rPr>
                <w:rFonts w:hint="eastAsia" w:asciiTheme="minorEastAsia" w:hAnsiTheme="minorEastAsia" w:eastAsiaTheme="minorEastAsia" w:cstheme="minorEastAsia"/>
                <w:color w:val="auto"/>
                <w:kern w:val="0"/>
                <w:sz w:val="21"/>
                <w:szCs w:val="21"/>
                <w:highlight w:val="none"/>
                <w:lang w:eastAsia="zh-CN"/>
              </w:rPr>
              <w:t>。③</w:t>
            </w:r>
            <w:r>
              <w:rPr>
                <w:rFonts w:hint="eastAsia" w:asciiTheme="minorEastAsia" w:hAnsiTheme="minorEastAsia" w:eastAsiaTheme="minorEastAsia" w:cstheme="minorEastAsia"/>
                <w:color w:val="auto"/>
                <w:kern w:val="0"/>
                <w:sz w:val="21"/>
                <w:szCs w:val="21"/>
                <w:highlight w:val="none"/>
                <w:lang w:val="en-US" w:eastAsia="zh-CN"/>
              </w:rPr>
              <w:t>业绩</w:t>
            </w:r>
            <w:r>
              <w:rPr>
                <w:rFonts w:hint="eastAsia" w:asciiTheme="minorEastAsia" w:hAnsiTheme="minorEastAsia" w:eastAsiaTheme="minorEastAsia" w:cstheme="minorEastAsia"/>
                <w:color w:val="auto"/>
                <w:kern w:val="0"/>
                <w:sz w:val="21"/>
                <w:szCs w:val="21"/>
                <w:highlight w:val="none"/>
              </w:rPr>
              <w:t>时间以</w:t>
            </w:r>
            <w:r>
              <w:rPr>
                <w:rFonts w:hint="eastAsia" w:asciiTheme="minorEastAsia" w:hAnsiTheme="minorEastAsia" w:eastAsiaTheme="minorEastAsia" w:cstheme="minorEastAsia"/>
                <w:color w:val="auto"/>
                <w:kern w:val="0"/>
                <w:sz w:val="21"/>
                <w:szCs w:val="21"/>
                <w:highlight w:val="none"/>
                <w:lang w:val="en-US" w:eastAsia="zh-CN"/>
              </w:rPr>
              <w:t>中标通知书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或成交通知书</w:t>
            </w:r>
            <w:r>
              <w:rPr>
                <w:rFonts w:hint="eastAsia" w:asciiTheme="minorEastAsia" w:hAnsiTheme="minorEastAsia" w:eastAsiaTheme="minorEastAsia" w:cstheme="minorEastAsia"/>
                <w:color w:val="auto"/>
                <w:kern w:val="0"/>
                <w:sz w:val="21"/>
                <w:szCs w:val="21"/>
                <w:highlight w:val="none"/>
              </w:rPr>
              <w:t>或免招标的相关证明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时间</w:t>
            </w:r>
            <w:r>
              <w:rPr>
                <w:rFonts w:hint="eastAsia" w:asciiTheme="minorEastAsia" w:hAnsiTheme="minorEastAsia" w:eastAsiaTheme="minorEastAsia" w:cstheme="minorEastAsia"/>
                <w:color w:val="auto"/>
                <w:kern w:val="0"/>
                <w:sz w:val="21"/>
                <w:szCs w:val="21"/>
                <w:highlight w:val="none"/>
              </w:rPr>
              <w:t>为准。④如以上资料不能证明业绩规模的，须另提供可证明的其他资料。同一工程只计取一项得分。分包、转包或劳务合作项目无效。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restart"/>
            <w:tcBorders>
              <w:top w:val="single" w:color="auto" w:sz="4" w:space="0"/>
              <w:left w:val="single" w:color="auto" w:sz="4" w:space="0"/>
              <w:right w:val="single" w:color="auto" w:sz="4" w:space="0"/>
              <w:tl2br w:val="nil"/>
              <w:tr2bl w:val="nil"/>
            </w:tcBorders>
            <w:noWrap w:val="0"/>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投标人资信</w:t>
            </w:r>
          </w:p>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具有ISO质量体系认证、环境管理体系认证、职业健康安全管理体系认证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履约能力评价体系</w:t>
            </w:r>
            <w:r>
              <w:rPr>
                <w:rFonts w:hint="eastAsia" w:asciiTheme="minorEastAsia" w:hAnsiTheme="minorEastAsia" w:eastAsiaTheme="minorEastAsia" w:cstheme="minorEastAsia"/>
                <w:color w:val="auto"/>
                <w:kern w:val="0"/>
                <w:sz w:val="21"/>
                <w:szCs w:val="21"/>
                <w:highlight w:val="none"/>
                <w:lang w:eastAsia="zh-CN"/>
              </w:rPr>
              <w:t>认证</w:t>
            </w:r>
            <w:r>
              <w:rPr>
                <w:rFonts w:hint="eastAsia" w:asciiTheme="minorEastAsia" w:hAnsiTheme="minorEastAsia" w:eastAsiaTheme="minorEastAsia" w:cstheme="minorEastAsia"/>
                <w:color w:val="auto"/>
                <w:kern w:val="0"/>
                <w:sz w:val="21"/>
                <w:szCs w:val="21"/>
                <w:highlight w:val="none"/>
              </w:rPr>
              <w:t>、信息安全管理体系认证且在有效期限内的，每项得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分，本项最高得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sz w:val="21"/>
                <w:szCs w:val="21"/>
                <w:highlight w:val="none"/>
              </w:rPr>
              <w:t>没有不得分。</w:t>
            </w:r>
          </w:p>
          <w:p>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注：需提供证书。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lang w:val="en-US" w:eastAsia="zh-CN"/>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投标人具有CNAS的认可证书，且证书在有效期内的，得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分；其他不得分。</w:t>
            </w:r>
          </w:p>
          <w:p>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注：须提供相关证书及查询网页截图，否则不得分。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restart"/>
            <w:tcBorders>
              <w:top w:val="single" w:color="auto" w:sz="4" w:space="0"/>
              <w:left w:val="single" w:color="auto" w:sz="4" w:space="0"/>
              <w:right w:val="single" w:color="auto" w:sz="4" w:space="0"/>
              <w:tl2br w:val="nil"/>
              <w:tr2bl w:val="nil"/>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adjustRightInd/>
              <w:snapToGrid/>
              <w:spacing w:after="0" w:line="240" w:lineRule="auto"/>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1、项目负责人具有工程类相关专业高级工程师或以上职称的，得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分；具有工程类相关专业中级工程师职称的，得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分；其他不得分。</w:t>
            </w:r>
          </w:p>
          <w:p>
            <w:pPr>
              <w:keepNext/>
              <w:adjustRightInd/>
              <w:snapToGrid/>
              <w:spacing w:after="0" w:line="240" w:lineRule="auto"/>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keepNext/>
              <w:adjustRightInd/>
              <w:snapToGrid/>
              <w:spacing w:after="0" w:line="240" w:lineRule="auto"/>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、项目负责人20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年1月1日至今，担任过类似工程</w:t>
            </w:r>
            <w:r>
              <w:rPr>
                <w:rFonts w:hint="eastAsia" w:asciiTheme="minorEastAsia" w:hAnsiTheme="minorEastAsia" w:eastAsiaTheme="minorEastAsia" w:cstheme="minorEastAsia"/>
                <w:color w:val="auto"/>
                <w:kern w:val="0"/>
                <w:sz w:val="21"/>
                <w:szCs w:val="21"/>
                <w:highlight w:val="none"/>
              </w:rPr>
              <w:t>第三方检测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sz w:val="21"/>
                <w:szCs w:val="21"/>
                <w:highlight w:val="none"/>
              </w:rPr>
              <w:t>的项目负责人或技术负责人的，得</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分，其他不得分。</w:t>
            </w:r>
          </w:p>
          <w:p>
            <w:pPr>
              <w:keepNext/>
              <w:rPr>
                <w:rFonts w:hint="eastAsia" w:asciiTheme="minorEastAsia" w:hAnsiTheme="minorEastAsia" w:eastAsiaTheme="minorEastAsia" w:cstheme="minorEastAsia"/>
                <w:color w:val="auto"/>
                <w:kern w:val="0"/>
                <w:sz w:val="21"/>
                <w:szCs w:val="21"/>
                <w:highlight w:val="none"/>
              </w:rPr>
            </w:pPr>
          </w:p>
          <w:p>
            <w:pPr>
              <w:keepNext/>
              <w:adjustRightInd/>
              <w:snapToGrid/>
              <w:jc w:val="left"/>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注：①项目负责人应为主办方正式员工</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需提供项目负责人职称证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投标人为其购买的近</w:t>
            </w:r>
            <w:r>
              <w:rPr>
                <w:rFonts w:hint="eastAsia" w:asciiTheme="minorEastAsia" w:hAnsiTheme="minorEastAsia" w:eastAsiaTheme="minorEastAsia" w:cstheme="minorEastAsia"/>
                <w:color w:val="auto"/>
                <w:kern w:val="0"/>
                <w:sz w:val="21"/>
                <w:szCs w:val="21"/>
                <w:highlight w:val="none"/>
                <w:lang w:val="en-US" w:eastAsia="zh-CN"/>
              </w:rPr>
              <w:t>一</w:t>
            </w:r>
            <w:r>
              <w:rPr>
                <w:rFonts w:hint="eastAsia" w:asciiTheme="minorEastAsia" w:hAnsiTheme="minorEastAsia" w:eastAsiaTheme="minorEastAsia" w:cstheme="minorEastAsia"/>
                <w:color w:val="auto"/>
                <w:kern w:val="0"/>
                <w:sz w:val="21"/>
                <w:szCs w:val="21"/>
                <w:highlight w:val="none"/>
              </w:rPr>
              <w:t>个月社保证明。②类似工程是指</w:t>
            </w:r>
            <w:r>
              <w:rPr>
                <w:rFonts w:hint="eastAsia" w:asciiTheme="minorEastAsia" w:hAnsiTheme="minorEastAsia" w:eastAsiaTheme="minorEastAsia" w:cstheme="minorEastAsia"/>
                <w:color w:val="auto"/>
                <w:kern w:val="0"/>
                <w:sz w:val="21"/>
                <w:szCs w:val="21"/>
                <w:highlight w:val="none"/>
                <w:lang w:eastAsia="zh-CN"/>
              </w:rPr>
              <w:t>水务工程</w:t>
            </w:r>
            <w:r>
              <w:rPr>
                <w:rFonts w:hint="eastAsia" w:asciiTheme="minorEastAsia" w:hAnsiTheme="minorEastAsia" w:eastAsiaTheme="minorEastAsia" w:cstheme="minorEastAsia"/>
                <w:color w:val="auto"/>
                <w:kern w:val="0"/>
                <w:sz w:val="21"/>
                <w:szCs w:val="21"/>
                <w:highlight w:val="none"/>
              </w:rPr>
              <w:t>。③业绩证明须提供中标通知书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或成交通知书</w:t>
            </w:r>
            <w:r>
              <w:rPr>
                <w:rFonts w:hint="eastAsia" w:asciiTheme="minorEastAsia" w:hAnsiTheme="minorEastAsia" w:eastAsiaTheme="minorEastAsia" w:cstheme="minorEastAsia"/>
                <w:color w:val="auto"/>
                <w:kern w:val="0"/>
                <w:sz w:val="21"/>
                <w:szCs w:val="21"/>
                <w:highlight w:val="none"/>
              </w:rPr>
              <w:t>或免招标的相关证明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、技术服务合同</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报告等作为证明文件，否则不得分</w:t>
            </w:r>
            <w:r>
              <w:rPr>
                <w:rFonts w:hint="eastAsia" w:asciiTheme="minorEastAsia" w:hAnsiTheme="minorEastAsia" w:eastAsiaTheme="minorEastAsia" w:cstheme="minorEastAsia"/>
                <w:color w:val="auto"/>
                <w:kern w:val="0"/>
                <w:sz w:val="21"/>
                <w:szCs w:val="21"/>
                <w:highlight w:val="none"/>
                <w:lang w:eastAsia="zh-CN"/>
              </w:rPr>
              <w:t>。④</w:t>
            </w:r>
            <w:r>
              <w:rPr>
                <w:rFonts w:hint="eastAsia" w:asciiTheme="minorEastAsia" w:hAnsiTheme="minorEastAsia" w:eastAsiaTheme="minorEastAsia" w:cstheme="minorEastAsia"/>
                <w:color w:val="auto"/>
                <w:kern w:val="0"/>
                <w:sz w:val="21"/>
                <w:szCs w:val="21"/>
                <w:highlight w:val="none"/>
                <w:lang w:val="en-US" w:eastAsia="zh-CN"/>
              </w:rPr>
              <w:t>业绩</w:t>
            </w:r>
            <w:r>
              <w:rPr>
                <w:rFonts w:hint="eastAsia" w:asciiTheme="minorEastAsia" w:hAnsiTheme="minorEastAsia" w:eastAsiaTheme="minorEastAsia" w:cstheme="minorEastAsia"/>
                <w:color w:val="auto"/>
                <w:kern w:val="0"/>
                <w:sz w:val="21"/>
                <w:szCs w:val="21"/>
                <w:highlight w:val="none"/>
              </w:rPr>
              <w:t>时间以</w:t>
            </w:r>
            <w:r>
              <w:rPr>
                <w:rFonts w:hint="eastAsia" w:asciiTheme="minorEastAsia" w:hAnsiTheme="minorEastAsia" w:eastAsiaTheme="minorEastAsia" w:cstheme="minorEastAsia"/>
                <w:color w:val="auto"/>
                <w:kern w:val="0"/>
                <w:sz w:val="21"/>
                <w:szCs w:val="21"/>
                <w:highlight w:val="none"/>
                <w:lang w:val="en-US" w:eastAsia="zh-CN"/>
              </w:rPr>
              <w:t>中标通知书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或成交通知书</w:t>
            </w:r>
            <w:r>
              <w:rPr>
                <w:rFonts w:hint="eastAsia" w:asciiTheme="minorEastAsia" w:hAnsiTheme="minorEastAsia" w:eastAsiaTheme="minorEastAsia" w:cstheme="minorEastAsia"/>
                <w:color w:val="auto"/>
                <w:kern w:val="0"/>
                <w:sz w:val="21"/>
                <w:szCs w:val="21"/>
                <w:highlight w:val="none"/>
              </w:rPr>
              <w:t>或免招标的相关证明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时间</w:t>
            </w:r>
            <w:r>
              <w:rPr>
                <w:rFonts w:hint="eastAsia" w:asciiTheme="minorEastAsia" w:hAnsiTheme="minorEastAsia" w:eastAsiaTheme="minorEastAsia" w:cstheme="minorEastAsia"/>
                <w:color w:val="auto"/>
                <w:kern w:val="0"/>
                <w:sz w:val="21"/>
                <w:szCs w:val="21"/>
                <w:highlight w:val="none"/>
              </w:rPr>
              <w:t>为准。⑤如以上资料不能证明业绩规模的，须另提供可证明的其他资料。⑥项目技术负责人与项目负责人不能为同一人，否则不得分。⑦</w:t>
            </w:r>
            <w:r>
              <w:rPr>
                <w:rFonts w:hint="eastAsia" w:asciiTheme="minorEastAsia" w:hAnsiTheme="minorEastAsia" w:eastAsiaTheme="minorEastAsia" w:cstheme="minorEastAsia"/>
                <w:color w:val="auto"/>
                <w:kern w:val="0"/>
                <w:sz w:val="21"/>
                <w:szCs w:val="21"/>
                <w:highlight w:val="none"/>
                <w:lang w:eastAsia="zh-CN"/>
              </w:rPr>
              <w:t>同一个</w:t>
            </w:r>
            <w:r>
              <w:rPr>
                <w:rFonts w:hint="eastAsia" w:asciiTheme="minorEastAsia" w:hAnsiTheme="minorEastAsia" w:eastAsiaTheme="minorEastAsia" w:cstheme="minorEastAsia"/>
                <w:color w:val="auto"/>
                <w:kern w:val="0"/>
                <w:sz w:val="21"/>
                <w:szCs w:val="21"/>
                <w:highlight w:val="none"/>
              </w:rPr>
              <w:t>项目负责人</w:t>
            </w:r>
            <w:r>
              <w:rPr>
                <w:rFonts w:hint="eastAsia" w:asciiTheme="minorEastAsia" w:hAnsiTheme="minorEastAsia" w:eastAsiaTheme="minorEastAsia" w:cstheme="minorEastAsia"/>
                <w:color w:val="auto"/>
                <w:kern w:val="0"/>
                <w:sz w:val="21"/>
                <w:szCs w:val="21"/>
                <w:highlight w:val="none"/>
                <w:lang w:eastAsia="zh-CN"/>
              </w:rPr>
              <w:t>凭证书只计一次分，不重复计分。</w:t>
            </w:r>
            <w:r>
              <w:rPr>
                <w:rFonts w:hint="eastAsia" w:asciiTheme="minorEastAsia" w:hAnsiTheme="minorEastAsia" w:eastAsiaTheme="minorEastAsia" w:cstheme="minorEastAsia"/>
                <w:color w:val="auto"/>
                <w:kern w:val="0"/>
                <w:sz w:val="21"/>
                <w:szCs w:val="21"/>
                <w:highlight w:val="none"/>
              </w:rPr>
              <w:t>分包、转包或劳务合作项目无效。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right w:val="single" w:color="auto" w:sz="4" w:space="0"/>
              <w:tl2br w:val="nil"/>
              <w:tr2bl w:val="nil"/>
            </w:tcBorders>
            <w:noWrap w:val="0"/>
            <w:vAlign w:val="center"/>
          </w:tcPr>
          <w:p>
            <w:pPr>
              <w:snapToGrid w:val="0"/>
              <w:rPr>
                <w:rFonts w:hint="eastAsia" w:ascii="宋体" w:hAnsi="宋体" w:eastAsia="宋体" w:cs="宋体"/>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keepNext/>
              <w:spacing w:after="0" w:line="240" w:lineRule="auto"/>
              <w:ind w:lef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1、项目技术负责人具有工程类相关专业高级工程师或以上职称的，得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分；具有工程类相关专业中级工程师职称的，得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分；其他不得分。</w:t>
            </w:r>
          </w:p>
          <w:p>
            <w:pPr>
              <w:pStyle w:val="23"/>
              <w:keepNext/>
              <w:spacing w:after="0" w:line="240" w:lineRule="auto"/>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23"/>
              <w:keepNext/>
              <w:spacing w:after="0" w:line="240" w:lineRule="auto"/>
              <w:ind w:lef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、项目技术负责人20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年1月1日至今，担任过类似工程</w:t>
            </w:r>
            <w:r>
              <w:rPr>
                <w:rFonts w:hint="eastAsia" w:asciiTheme="minorEastAsia" w:hAnsiTheme="minorEastAsia" w:eastAsiaTheme="minorEastAsia" w:cstheme="minorEastAsia"/>
                <w:color w:val="auto"/>
                <w:kern w:val="0"/>
                <w:sz w:val="21"/>
                <w:szCs w:val="21"/>
                <w:highlight w:val="none"/>
              </w:rPr>
              <w:t>第三方检测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项目</w:t>
            </w:r>
            <w:r>
              <w:rPr>
                <w:rFonts w:hint="eastAsia" w:asciiTheme="minorEastAsia" w:hAnsiTheme="minorEastAsia" w:eastAsiaTheme="minorEastAsia" w:cstheme="minorEastAsia"/>
                <w:color w:val="auto"/>
                <w:sz w:val="21"/>
                <w:szCs w:val="21"/>
                <w:highlight w:val="none"/>
              </w:rPr>
              <w:t>的项目负责人或技术负责人的，得</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分，其他不得分。</w:t>
            </w:r>
          </w:p>
          <w:p>
            <w:pPr>
              <w:keepNext/>
              <w:adjustRightInd/>
              <w:snapToGrid/>
              <w:jc w:val="left"/>
              <w:rPr>
                <w:rFonts w:hint="eastAsia" w:asciiTheme="minorEastAsia" w:hAnsiTheme="minorEastAsia" w:eastAsiaTheme="minorEastAsia" w:cstheme="minorEastAsia"/>
                <w:color w:val="auto"/>
                <w:kern w:val="0"/>
                <w:sz w:val="21"/>
                <w:szCs w:val="21"/>
                <w:highlight w:val="none"/>
              </w:rPr>
            </w:pPr>
          </w:p>
          <w:p>
            <w:pPr>
              <w:keepNext/>
              <w:adjustRightInd/>
              <w:snapToGrid/>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注：①需提供项目技术负责人职称证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投标人为其购买的近</w:t>
            </w:r>
            <w:r>
              <w:rPr>
                <w:rFonts w:hint="eastAsia" w:asciiTheme="minorEastAsia" w:hAnsiTheme="minorEastAsia" w:eastAsiaTheme="minorEastAsia" w:cstheme="minorEastAsia"/>
                <w:color w:val="auto"/>
                <w:kern w:val="0"/>
                <w:sz w:val="21"/>
                <w:szCs w:val="21"/>
                <w:highlight w:val="none"/>
                <w:lang w:eastAsia="zh-CN"/>
              </w:rPr>
              <w:t>一</w:t>
            </w:r>
            <w:r>
              <w:rPr>
                <w:rFonts w:hint="eastAsia" w:asciiTheme="minorEastAsia" w:hAnsiTheme="minorEastAsia" w:eastAsiaTheme="minorEastAsia" w:cstheme="minorEastAsia"/>
                <w:color w:val="auto"/>
                <w:kern w:val="0"/>
                <w:sz w:val="21"/>
                <w:szCs w:val="21"/>
                <w:highlight w:val="none"/>
              </w:rPr>
              <w:t>个月社保证明。②类似工程是指</w:t>
            </w:r>
            <w:r>
              <w:rPr>
                <w:rFonts w:hint="eastAsia" w:asciiTheme="minorEastAsia" w:hAnsiTheme="minorEastAsia" w:eastAsiaTheme="minorEastAsia" w:cstheme="minorEastAsia"/>
                <w:color w:val="auto"/>
                <w:kern w:val="0"/>
                <w:sz w:val="21"/>
                <w:szCs w:val="21"/>
                <w:highlight w:val="none"/>
                <w:lang w:eastAsia="zh-CN"/>
              </w:rPr>
              <w:t>水务工程</w:t>
            </w:r>
            <w:r>
              <w:rPr>
                <w:rFonts w:hint="eastAsia" w:asciiTheme="minorEastAsia" w:hAnsiTheme="minorEastAsia" w:eastAsiaTheme="minorEastAsia" w:cstheme="minorEastAsia"/>
                <w:color w:val="auto"/>
                <w:kern w:val="0"/>
                <w:sz w:val="21"/>
                <w:szCs w:val="21"/>
                <w:highlight w:val="none"/>
              </w:rPr>
              <w:t>。③业绩证明须提供中标通知书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或成交通知书</w:t>
            </w:r>
            <w:r>
              <w:rPr>
                <w:rFonts w:hint="eastAsia" w:asciiTheme="minorEastAsia" w:hAnsiTheme="minorEastAsia" w:eastAsiaTheme="minorEastAsia" w:cstheme="minorEastAsia"/>
                <w:color w:val="auto"/>
                <w:kern w:val="0"/>
                <w:sz w:val="21"/>
                <w:szCs w:val="21"/>
                <w:highlight w:val="none"/>
              </w:rPr>
              <w:t>或免招标的相关证明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、技术服务合同</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检测</w:t>
            </w:r>
            <w:r>
              <w:rPr>
                <w:rFonts w:hint="eastAsia" w:asciiTheme="minorEastAsia" w:hAnsiTheme="minorEastAsia" w:eastAsiaTheme="minorEastAsia" w:cstheme="minorEastAsia"/>
                <w:color w:val="auto"/>
                <w:kern w:val="0"/>
                <w:sz w:val="21"/>
                <w:szCs w:val="21"/>
                <w:highlight w:val="none"/>
                <w:lang w:eastAsia="zh-CN"/>
              </w:rPr>
              <w:t>或监测</w:t>
            </w:r>
            <w:r>
              <w:rPr>
                <w:rFonts w:hint="eastAsia" w:asciiTheme="minorEastAsia" w:hAnsiTheme="minorEastAsia" w:eastAsiaTheme="minorEastAsia" w:cstheme="minorEastAsia"/>
                <w:color w:val="auto"/>
                <w:kern w:val="0"/>
                <w:sz w:val="21"/>
                <w:szCs w:val="21"/>
                <w:highlight w:val="none"/>
              </w:rPr>
              <w:t>报告等作为证明文件，否则不得分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如以上资料不能证明业绩规模的，须另提供可证明的其他资料。</w:t>
            </w:r>
            <w:r>
              <w:rPr>
                <w:rFonts w:hint="eastAsia" w:asciiTheme="minorEastAsia" w:hAnsiTheme="minorEastAsia" w:eastAsiaTheme="minorEastAsia" w:cstheme="minorEastAsia"/>
                <w:color w:val="auto"/>
                <w:kern w:val="0"/>
                <w:sz w:val="21"/>
                <w:szCs w:val="21"/>
                <w:highlight w:val="none"/>
                <w:lang w:eastAsia="zh-CN"/>
              </w:rPr>
              <w:t>④</w:t>
            </w:r>
            <w:r>
              <w:rPr>
                <w:rFonts w:hint="eastAsia" w:asciiTheme="minorEastAsia" w:hAnsiTheme="minorEastAsia" w:eastAsiaTheme="minorEastAsia" w:cstheme="minorEastAsia"/>
                <w:color w:val="auto"/>
                <w:kern w:val="0"/>
                <w:sz w:val="21"/>
                <w:szCs w:val="21"/>
                <w:highlight w:val="none"/>
                <w:lang w:val="en-US" w:eastAsia="zh-CN"/>
              </w:rPr>
              <w:t>业绩</w:t>
            </w:r>
            <w:r>
              <w:rPr>
                <w:rFonts w:hint="eastAsia" w:asciiTheme="minorEastAsia" w:hAnsiTheme="minorEastAsia" w:eastAsiaTheme="minorEastAsia" w:cstheme="minorEastAsia"/>
                <w:color w:val="auto"/>
                <w:kern w:val="0"/>
                <w:sz w:val="21"/>
                <w:szCs w:val="21"/>
                <w:highlight w:val="none"/>
              </w:rPr>
              <w:t>时间以</w:t>
            </w:r>
            <w:r>
              <w:rPr>
                <w:rFonts w:hint="eastAsia" w:asciiTheme="minorEastAsia" w:hAnsiTheme="minorEastAsia" w:eastAsiaTheme="minorEastAsia" w:cstheme="minorEastAsia"/>
                <w:color w:val="auto"/>
                <w:kern w:val="0"/>
                <w:sz w:val="21"/>
                <w:szCs w:val="21"/>
                <w:highlight w:val="none"/>
                <w:lang w:val="en-US" w:eastAsia="zh-CN"/>
              </w:rPr>
              <w:t>中标通知书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或成交通知书</w:t>
            </w:r>
            <w:r>
              <w:rPr>
                <w:rFonts w:hint="eastAsia" w:asciiTheme="minorEastAsia" w:hAnsiTheme="minorEastAsia" w:eastAsiaTheme="minorEastAsia" w:cstheme="minorEastAsia"/>
                <w:color w:val="auto"/>
                <w:kern w:val="0"/>
                <w:sz w:val="21"/>
                <w:szCs w:val="21"/>
                <w:highlight w:val="none"/>
              </w:rPr>
              <w:t>或免招标的相关证明</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时间</w:t>
            </w:r>
            <w:r>
              <w:rPr>
                <w:rFonts w:hint="eastAsia" w:asciiTheme="minorEastAsia" w:hAnsiTheme="minorEastAsia" w:eastAsiaTheme="minorEastAsia" w:cstheme="minorEastAsia"/>
                <w:color w:val="auto"/>
                <w:kern w:val="0"/>
                <w:sz w:val="21"/>
                <w:szCs w:val="21"/>
                <w:highlight w:val="none"/>
              </w:rPr>
              <w:t>为准。⑤项目技术负责人与项目负责人不能为同一人，否则不得分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⑥</w:t>
            </w:r>
            <w:r>
              <w:rPr>
                <w:rFonts w:hint="eastAsia" w:asciiTheme="minorEastAsia" w:hAnsiTheme="minorEastAsia" w:eastAsiaTheme="minorEastAsia" w:cstheme="minorEastAsia"/>
                <w:color w:val="auto"/>
                <w:kern w:val="0"/>
                <w:sz w:val="21"/>
                <w:szCs w:val="21"/>
                <w:highlight w:val="none"/>
                <w:lang w:eastAsia="zh-CN"/>
              </w:rPr>
              <w:t>同一个</w:t>
            </w:r>
            <w:r>
              <w:rPr>
                <w:rFonts w:hint="eastAsia" w:asciiTheme="minorEastAsia" w:hAnsiTheme="minorEastAsia" w:eastAsiaTheme="minorEastAsia" w:cstheme="minorEastAsia"/>
                <w:color w:val="auto"/>
                <w:kern w:val="0"/>
                <w:sz w:val="21"/>
                <w:szCs w:val="21"/>
                <w:highlight w:val="none"/>
              </w:rPr>
              <w:t>项目负责人</w:t>
            </w:r>
            <w:r>
              <w:rPr>
                <w:rFonts w:hint="eastAsia" w:asciiTheme="minorEastAsia" w:hAnsiTheme="minorEastAsia" w:eastAsiaTheme="minorEastAsia" w:cstheme="minorEastAsia"/>
                <w:color w:val="auto"/>
                <w:kern w:val="0"/>
                <w:sz w:val="21"/>
                <w:szCs w:val="21"/>
                <w:highlight w:val="none"/>
                <w:lang w:eastAsia="zh-CN"/>
              </w:rPr>
              <w:t>凭证书只计一次分，不重复计分。</w:t>
            </w:r>
            <w:r>
              <w:rPr>
                <w:rFonts w:hint="eastAsia" w:asciiTheme="minorEastAsia" w:hAnsiTheme="minorEastAsia" w:eastAsiaTheme="minorEastAsia" w:cstheme="minorEastAsia"/>
                <w:color w:val="auto"/>
                <w:sz w:val="21"/>
                <w:szCs w:val="21"/>
                <w:highlight w:val="none"/>
              </w:rPr>
              <w:t>分包、转包或劳务合作项目无效。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continue"/>
            <w:tcBorders>
              <w:top w:val="single" w:color="auto" w:sz="4" w:space="0"/>
              <w:left w:val="single" w:color="auto" w:sz="4" w:space="0"/>
              <w:bottom w:val="nil"/>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投标人有稳定的技术支撑队伍，拟投入本项目技术人员中（项目负责人和项目技术负责人除外）：</w:t>
            </w:r>
          </w:p>
          <w:p>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（1）投入本项目的工作人员中，具有工程类相关专业中级或以上专业技术职称的人数15人或以上，得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（2）投入本项目的工作人员中，具有工程类相关专业中级或以上专业技术职称的人数11～14人，得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（3）投入本项目的工作人员中，具有工程类相关专业中级或以上专业技术职称的人数7～10人，得4分； </w:t>
            </w:r>
          </w:p>
          <w:p>
            <w:pPr>
              <w:spacing w:after="0" w:line="24" w:lineRule="atLeast"/>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（4）投入本项目的工作人员中，具有工程类相关专业中级或以上专业技术职称的人数</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～6人，得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pPr>
              <w:spacing w:after="0" w:line="24" w:lineRule="atLeast"/>
              <w:ind w:firstLine="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）不提供，不得分。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注：本项最高得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分。需提供上述人员省级或以上培训机构（或行业协会）出具的试验检测师或检测员证、职称证及投标人为其购买的近一个月社保证明。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1" w:type="dxa"/>
            <w:gridSpan w:val="2"/>
            <w:vMerge w:val="restart"/>
            <w:tcBorders>
              <w:top w:val="nil"/>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restart"/>
            <w:tcBorders>
              <w:left w:val="single" w:color="auto" w:sz="4" w:space="0"/>
              <w:right w:val="single" w:color="auto" w:sz="4" w:space="0"/>
              <w:tl2br w:val="nil"/>
              <w:tr2bl w:val="nil"/>
            </w:tcBorders>
            <w:noWrap w:val="0"/>
            <w:vAlign w:val="center"/>
          </w:tcPr>
          <w:p>
            <w:pPr>
              <w:adjustRightInd w:val="0"/>
              <w:snapToGri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服务</w:t>
            </w:r>
            <w:r>
              <w:rPr>
                <w:rFonts w:hint="eastAsia" w:asciiTheme="minorEastAsia" w:hAnsiTheme="minorEastAsia" w:eastAsiaTheme="minorEastAsia" w:cstheme="minorEastAsia"/>
                <w:color w:val="auto"/>
                <w:sz w:val="21"/>
                <w:szCs w:val="21"/>
                <w:highlight w:val="none"/>
              </w:rPr>
              <w:t>方案</w:t>
            </w:r>
          </w:p>
          <w:p>
            <w:pPr>
              <w:pStyle w:val="32"/>
              <w:kinsoku w:val="0"/>
              <w:overflowPunct w:val="0"/>
              <w:autoSpaceDE/>
              <w:autoSpaceDN/>
              <w:spacing w:before="0" w:line="240" w:lineRule="auto"/>
              <w:jc w:val="center"/>
              <w:rPr>
                <w:rFonts w:hint="eastAsia" w:ascii="宋体" w:hAnsi="宋体" w:eastAsia="宋体" w:cs="宋体"/>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23分）</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left"/>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【优】</w:t>
            </w:r>
            <w:r>
              <w:rPr>
                <w:rFonts w:hint="eastAsia" w:asciiTheme="minorEastAsia" w:hAnsiTheme="minorEastAsia" w:eastAsiaTheme="minorEastAsia" w:cstheme="minorEastAsia"/>
                <w:strike w:val="0"/>
                <w:color w:val="auto"/>
                <w:sz w:val="21"/>
                <w:szCs w:val="21"/>
                <w:highlight w:val="none"/>
                <w:lang w:val="en-US" w:eastAsia="zh-CN"/>
              </w:rPr>
              <w:t>:</w:t>
            </w:r>
            <w:r>
              <w:rPr>
                <w:rFonts w:hint="eastAsia" w:asciiTheme="minorEastAsia" w:hAnsiTheme="minorEastAsia" w:eastAsiaTheme="minorEastAsia" w:cstheme="minorEastAsia"/>
                <w:strike w:val="0"/>
                <w:color w:val="auto"/>
                <w:sz w:val="21"/>
                <w:szCs w:val="21"/>
                <w:highlight w:val="none"/>
              </w:rPr>
              <w:t>合同管理、信息管理、档案管理方法、针对性强、措施具体，得</w:t>
            </w:r>
            <w:r>
              <w:rPr>
                <w:rFonts w:hint="eastAsia" w:asciiTheme="minorEastAsia" w:hAnsiTheme="minorEastAsia" w:eastAsiaTheme="minorEastAsia" w:cstheme="minorEastAsia"/>
                <w:strike w:val="0"/>
                <w:color w:val="auto"/>
                <w:sz w:val="21"/>
                <w:szCs w:val="21"/>
                <w:highlight w:val="none"/>
                <w:lang w:val="en-US" w:eastAsia="zh-CN"/>
              </w:rPr>
              <w:t>6</w:t>
            </w:r>
            <w:r>
              <w:rPr>
                <w:rFonts w:hint="eastAsia" w:asciiTheme="minorEastAsia" w:hAnsiTheme="minorEastAsia" w:eastAsiaTheme="minorEastAsia" w:cstheme="minorEastAsia"/>
                <w:strike w:val="0"/>
                <w:color w:val="auto"/>
                <w:sz w:val="21"/>
                <w:szCs w:val="21"/>
                <w:highlight w:val="none"/>
              </w:rPr>
              <w:t>分；</w:t>
            </w:r>
          </w:p>
          <w:p>
            <w:pPr>
              <w:adjustRightInd w:val="0"/>
              <w:snapToGrid w:val="0"/>
              <w:jc w:val="left"/>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【良】合同管理、信息管理、档案管理方法、针对性较强、措施较具体，得</w:t>
            </w:r>
            <w:r>
              <w:rPr>
                <w:rFonts w:hint="eastAsia" w:asciiTheme="minorEastAsia" w:hAnsiTheme="minorEastAsia" w:eastAsiaTheme="minorEastAsia" w:cstheme="minorEastAsia"/>
                <w:strike w:val="0"/>
                <w:color w:val="auto"/>
                <w:sz w:val="21"/>
                <w:szCs w:val="21"/>
                <w:highlight w:val="none"/>
                <w:lang w:val="en-US" w:eastAsia="zh-CN"/>
              </w:rPr>
              <w:t>4</w:t>
            </w:r>
            <w:r>
              <w:rPr>
                <w:rFonts w:hint="eastAsia" w:asciiTheme="minorEastAsia" w:hAnsiTheme="minorEastAsia" w:eastAsiaTheme="minorEastAsia" w:cstheme="minorEastAsia"/>
                <w:strike w:val="0"/>
                <w:color w:val="auto"/>
                <w:sz w:val="21"/>
                <w:szCs w:val="21"/>
                <w:highlight w:val="none"/>
              </w:rPr>
              <w:t>分；</w:t>
            </w:r>
          </w:p>
          <w:p>
            <w:pPr>
              <w:adjustRightInd w:val="0"/>
              <w:snapToGrid w:val="0"/>
              <w:jc w:val="left"/>
              <w:rPr>
                <w:rFonts w:hint="eastAsia" w:asciiTheme="minorEastAsia" w:hAnsiTheme="minorEastAsia" w:eastAsiaTheme="minorEastAsia" w:cstheme="minorEastAsia"/>
                <w:strike w:val="0"/>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【中】合同管理、信息管理、档案管理方法基本可行，得</w:t>
            </w:r>
            <w:r>
              <w:rPr>
                <w:rFonts w:hint="eastAsia" w:asciiTheme="minorEastAsia" w:hAnsiTheme="minorEastAsia" w:eastAsiaTheme="minorEastAsia" w:cstheme="minorEastAsia"/>
                <w:strike w:val="0"/>
                <w:color w:val="auto"/>
                <w:sz w:val="21"/>
                <w:szCs w:val="21"/>
                <w:highlight w:val="none"/>
                <w:lang w:val="en-US" w:eastAsia="zh-CN"/>
              </w:rPr>
              <w:t>2</w:t>
            </w:r>
            <w:r>
              <w:rPr>
                <w:rFonts w:hint="eastAsia" w:asciiTheme="minorEastAsia" w:hAnsiTheme="minorEastAsia" w:eastAsiaTheme="minorEastAsia" w:cstheme="minorEastAsia"/>
                <w:strike w:val="0"/>
                <w:color w:val="auto"/>
                <w:sz w:val="21"/>
                <w:szCs w:val="21"/>
                <w:highlight w:val="none"/>
              </w:rPr>
              <w:t>分；</w:t>
            </w:r>
          </w:p>
          <w:p>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【差】措施不得力，得</w:t>
            </w:r>
            <w:r>
              <w:rPr>
                <w:rFonts w:hint="eastAsia" w:asciiTheme="minorEastAsia" w:hAnsiTheme="minorEastAsia" w:eastAsiaTheme="minorEastAsia" w:cstheme="minorEastAsia"/>
                <w:strike w:val="0"/>
                <w:color w:val="auto"/>
                <w:sz w:val="21"/>
                <w:szCs w:val="21"/>
                <w:highlight w:val="none"/>
                <w:lang w:val="en-US" w:eastAsia="zh-CN"/>
              </w:rPr>
              <w:t>0</w:t>
            </w:r>
            <w:r>
              <w:rPr>
                <w:rFonts w:hint="eastAsia" w:asciiTheme="minorEastAsia" w:hAnsiTheme="minorEastAsia" w:eastAsiaTheme="minorEastAsia" w:cstheme="minorEastAsia"/>
                <w:strike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0" w:hRule="atLeast"/>
        </w:trPr>
        <w:tc>
          <w:tcPr>
            <w:tcW w:w="1131" w:type="dxa"/>
            <w:gridSpan w:val="2"/>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top"/>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【优】</w:t>
            </w:r>
            <w:r>
              <w:rPr>
                <w:rFonts w:hint="eastAsia" w:asciiTheme="minorEastAsia" w:hAnsiTheme="minorEastAsia" w:eastAsiaTheme="minorEastAsia" w:cstheme="minorEastAsia"/>
                <w:color w:val="auto"/>
                <w:sz w:val="21"/>
                <w:szCs w:val="21"/>
                <w:highlight w:val="none"/>
              </w:rPr>
              <w:t>：检测方案详细、思路清晰、合理，工作内容</w:t>
            </w:r>
            <w:r>
              <w:rPr>
                <w:rFonts w:hint="eastAsia" w:asciiTheme="minorEastAsia" w:hAnsiTheme="minorEastAsia" w:eastAsiaTheme="minorEastAsia" w:cstheme="minorEastAsia"/>
                <w:color w:val="auto"/>
                <w:sz w:val="21"/>
                <w:szCs w:val="21"/>
                <w:highlight w:val="none"/>
                <w:lang w:val="en-US" w:eastAsia="zh-CN"/>
              </w:rPr>
              <w:t>可行性强</w:t>
            </w:r>
            <w:r>
              <w:rPr>
                <w:rFonts w:hint="eastAsia" w:asciiTheme="minorEastAsia" w:hAnsiTheme="minorEastAsia" w:eastAsiaTheme="minorEastAsia" w:cstheme="minorEastAsia"/>
                <w:color w:val="auto"/>
                <w:sz w:val="21"/>
                <w:szCs w:val="21"/>
                <w:highlight w:val="none"/>
              </w:rPr>
              <w:t>，对采用的检测技术、工艺有深入的表述，对重点难点有先进、合理的解决方案，质量服务保证措施具体可行，可操作性强，通过相关验收，满足工程进度。得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p>
            <w:pPr>
              <w:adjustRightInd w:val="0"/>
              <w:snapToGrid w:val="0"/>
              <w:spacing w:after="0" w:line="24" w:lineRule="atLeast"/>
              <w:ind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strike w:val="0"/>
                <w:color w:val="auto"/>
                <w:sz w:val="21"/>
                <w:szCs w:val="21"/>
                <w:highlight w:val="none"/>
                <w:lang w:val="en-US" w:eastAsia="zh-CN"/>
              </w:rPr>
              <w:t>良</w:t>
            </w: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color w:val="auto"/>
                <w:sz w:val="21"/>
                <w:szCs w:val="21"/>
                <w:highlight w:val="none"/>
              </w:rPr>
              <w:t>：检测方案详细、思路清晰、合理，工作内容</w:t>
            </w:r>
            <w:r>
              <w:rPr>
                <w:rFonts w:hint="eastAsia" w:asciiTheme="minorEastAsia" w:hAnsiTheme="minorEastAsia" w:eastAsiaTheme="minorEastAsia" w:cstheme="minorEastAsia"/>
                <w:color w:val="auto"/>
                <w:sz w:val="21"/>
                <w:szCs w:val="21"/>
                <w:highlight w:val="none"/>
                <w:lang w:val="en-US" w:eastAsia="zh-CN"/>
              </w:rPr>
              <w:t>可行性较强</w:t>
            </w:r>
            <w:r>
              <w:rPr>
                <w:rFonts w:hint="eastAsia" w:asciiTheme="minorEastAsia" w:hAnsiTheme="minorEastAsia" w:eastAsiaTheme="minorEastAsia" w:cstheme="minorEastAsia"/>
                <w:color w:val="auto"/>
                <w:sz w:val="21"/>
                <w:szCs w:val="21"/>
                <w:highlight w:val="none"/>
              </w:rPr>
              <w:t>，对采用的检测技术、工艺的表述</w:t>
            </w:r>
            <w:r>
              <w:rPr>
                <w:rFonts w:hint="eastAsia" w:asciiTheme="minorEastAsia" w:hAnsiTheme="minorEastAsia" w:eastAsiaTheme="minorEastAsia" w:cstheme="minorEastAsia"/>
                <w:color w:val="auto"/>
                <w:sz w:val="21"/>
                <w:szCs w:val="21"/>
                <w:highlight w:val="none"/>
                <w:lang w:val="en-US" w:eastAsia="zh-CN"/>
              </w:rPr>
              <w:t>较深入</w:t>
            </w:r>
            <w:r>
              <w:rPr>
                <w:rFonts w:hint="eastAsia" w:asciiTheme="minorEastAsia" w:hAnsiTheme="minorEastAsia" w:eastAsiaTheme="minorEastAsia" w:cstheme="minorEastAsia"/>
                <w:color w:val="auto"/>
                <w:sz w:val="21"/>
                <w:szCs w:val="21"/>
                <w:highlight w:val="none"/>
              </w:rPr>
              <w:t>，对重点难点有</w:t>
            </w:r>
            <w:r>
              <w:rPr>
                <w:rFonts w:hint="eastAsia" w:asciiTheme="minorEastAsia" w:hAnsiTheme="minorEastAsia" w:eastAsiaTheme="minorEastAsia" w:cstheme="minorEastAsia"/>
                <w:color w:val="auto"/>
                <w:sz w:val="21"/>
                <w:szCs w:val="21"/>
                <w:highlight w:val="none"/>
                <w:lang w:val="en-US" w:eastAsia="zh-CN"/>
              </w:rPr>
              <w:t>较</w:t>
            </w:r>
            <w:r>
              <w:rPr>
                <w:rFonts w:hint="eastAsia" w:asciiTheme="minorEastAsia" w:hAnsiTheme="minorEastAsia" w:eastAsiaTheme="minorEastAsia" w:cstheme="minorEastAsia"/>
                <w:color w:val="auto"/>
                <w:sz w:val="21"/>
                <w:szCs w:val="21"/>
                <w:highlight w:val="none"/>
              </w:rPr>
              <w:t>先进、合理的解决方案，质量服务保证措施具体可行，可操作性</w:t>
            </w:r>
            <w:r>
              <w:rPr>
                <w:rFonts w:hint="eastAsia" w:asciiTheme="minorEastAsia" w:hAnsiTheme="minorEastAsia" w:eastAsiaTheme="minorEastAsia" w:cstheme="minorEastAsia"/>
                <w:color w:val="auto"/>
                <w:sz w:val="21"/>
                <w:szCs w:val="21"/>
                <w:highlight w:val="none"/>
                <w:lang w:val="en-US" w:eastAsia="zh-CN"/>
              </w:rPr>
              <w:t>较强</w:t>
            </w:r>
            <w:r>
              <w:rPr>
                <w:rFonts w:hint="eastAsia" w:asciiTheme="minorEastAsia" w:hAnsiTheme="minorEastAsia" w:eastAsiaTheme="minorEastAsia" w:cstheme="minorEastAsia"/>
                <w:color w:val="auto"/>
                <w:sz w:val="21"/>
                <w:szCs w:val="21"/>
                <w:highlight w:val="none"/>
              </w:rPr>
              <w:t>强，通过相关验收，满足工程进度。得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strike w:val="0"/>
                <w:color w:val="auto"/>
                <w:sz w:val="21"/>
                <w:szCs w:val="21"/>
                <w:highlight w:val="none"/>
                <w:lang w:val="en-US" w:eastAsia="zh-CN"/>
              </w:rPr>
              <w:t>中</w:t>
            </w: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color w:val="auto"/>
                <w:sz w:val="21"/>
                <w:szCs w:val="21"/>
                <w:highlight w:val="none"/>
              </w:rPr>
              <w:t>：检测方案较详细、思路较清晰、较合理，工作内容可行性一般，对采用的检测技术、工艺有表述，对重点难点有解决方案各项质量服务保证措施和可操作性一般，基本通过相关验收，满足工程进度。得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pPr>
              <w:adjustRightInd w:val="0"/>
              <w:snapToGrid w:val="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strike w:val="0"/>
                <w:color w:val="auto"/>
                <w:sz w:val="21"/>
                <w:szCs w:val="21"/>
                <w:highlight w:val="none"/>
                <w:lang w:val="en-US" w:eastAsia="zh-CN"/>
              </w:rPr>
              <w:t>差</w:t>
            </w:r>
            <w:r>
              <w:rPr>
                <w:rFonts w:hint="eastAsia" w:asciiTheme="minorEastAsia" w:hAnsiTheme="minorEastAsia" w:eastAsiaTheme="minorEastAsia" w:cstheme="minorEastAsia"/>
                <w:strike w:val="0"/>
                <w:color w:val="auto"/>
                <w:sz w:val="21"/>
                <w:szCs w:val="21"/>
                <w:highlight w:val="none"/>
              </w:rPr>
              <w:t>】</w:t>
            </w:r>
            <w:r>
              <w:rPr>
                <w:rFonts w:hint="eastAsia" w:asciiTheme="minorEastAsia" w:hAnsiTheme="minorEastAsia" w:eastAsiaTheme="minorEastAsia" w:cstheme="minorEastAsia"/>
                <w:color w:val="auto"/>
                <w:sz w:val="21"/>
                <w:szCs w:val="21"/>
                <w:highlight w:val="none"/>
              </w:rPr>
              <w:t>：检测方案基本内容阐述缺项，思路混乱、不合理，工作内容可行性较差，对采用的检测技术、工艺无详细表述，对重点难点无解决方案，质量服务保证措施具体不可行，可操作性不强。得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pPr>
              <w:adjustRightInd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注：本项最高得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131" w:type="dxa"/>
            <w:gridSpan w:val="2"/>
            <w:vMerge w:val="continue"/>
            <w:tcBorders>
              <w:left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b/>
                <w:color w:val="auto"/>
                <w:sz w:val="21"/>
                <w:szCs w:val="21"/>
                <w:highlight w:val="none"/>
              </w:rPr>
            </w:pPr>
          </w:p>
        </w:tc>
        <w:tc>
          <w:tcPr>
            <w:tcW w:w="927" w:type="dxa"/>
            <w:vMerge w:val="continue"/>
            <w:tcBorders>
              <w:left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p>
        </w:tc>
        <w:tc>
          <w:tcPr>
            <w:tcW w:w="1866" w:type="dxa"/>
            <w:vMerge w:val="continue"/>
            <w:tcBorders>
              <w:left w:val="single" w:color="auto" w:sz="4" w:space="0"/>
              <w:bottom w:val="single" w:color="auto" w:sz="4" w:space="0"/>
              <w:right w:val="single" w:color="auto" w:sz="4" w:space="0"/>
              <w:tl2br w:val="nil"/>
              <w:tr2bl w:val="nil"/>
            </w:tcBorders>
            <w:noWrap w:val="0"/>
            <w:vAlign w:val="center"/>
          </w:tcPr>
          <w:p>
            <w:pPr>
              <w:pStyle w:val="32"/>
              <w:kinsoku w:val="0"/>
              <w:overflowPunct w:val="0"/>
              <w:autoSpaceDE/>
              <w:autoSpaceDN/>
              <w:spacing w:before="0" w:line="240" w:lineRule="auto"/>
              <w:jc w:val="left"/>
              <w:rPr>
                <w:rFonts w:hint="eastAsia" w:ascii="宋体" w:hAnsi="宋体" w:eastAsia="宋体" w:cs="宋体"/>
                <w:b w:val="0"/>
                <w:bCs/>
                <w:color w:val="auto"/>
                <w:sz w:val="21"/>
                <w:szCs w:val="21"/>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投标人具备的检测能力(按附件《检测能力汇总表》所列的检测项目)的满足情况：</w:t>
            </w:r>
          </w:p>
          <w:p>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（1）满足80-83项的得9分。</w:t>
            </w:r>
          </w:p>
          <w:p>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（2）满足75-79项的得7分。</w:t>
            </w:r>
          </w:p>
          <w:p>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（3）满足70--74项的得5分。</w:t>
            </w:r>
          </w:p>
          <w:p>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（4）满足65-69项的得3分。</w:t>
            </w:r>
          </w:p>
          <w:p>
            <w:pPr>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（5）少于65项的不得分。</w:t>
            </w:r>
          </w:p>
          <w:p>
            <w:pPr>
              <w:adjustRightInd/>
              <w:snapToGrid/>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注：具体参与评分的检测项目按《检测能力汇总表》所列项目，须提供计量认证证书及附表扫描件，本项最高得9分。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3</w:t>
            </w:r>
          </w:p>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pPr>
              <w:pStyle w:val="32"/>
              <w:kinsoku w:val="0"/>
              <w:overflowPunct w:val="0"/>
              <w:jc w:val="center"/>
              <w:rPr>
                <w:rFonts w:hint="eastAsia" w:ascii="宋体" w:hAnsi="宋体" w:eastAsia="宋体" w:cs="宋体"/>
                <w:color w:val="auto"/>
                <w:sz w:val="21"/>
                <w:szCs w:val="21"/>
                <w:highlight w:val="none"/>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投标报价评分标准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lang w:eastAsia="zh-CN"/>
              </w:rPr>
              <w:t>）</w:t>
            </w:r>
          </w:p>
        </w:tc>
        <w:tc>
          <w:tcPr>
            <w:tcW w:w="1866" w:type="dxa"/>
            <w:tcBorders>
              <w:top w:val="single" w:color="auto" w:sz="4" w:space="0"/>
              <w:left w:val="single" w:color="auto" w:sz="4" w:space="0"/>
              <w:right w:val="single" w:color="auto"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以通过资格评审和符合性评审的有效投标人中的最低（1-有效投标下浮率）作为评标基准价（即PC），其价格分为满分。其他投标人的（1-有效投标下浮率）（即PT）价格分统一按照下列公式计算：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投标报价得分＝（PC/PT）×分值。</w:t>
            </w:r>
          </w:p>
        </w:tc>
      </w:tr>
    </w:tbl>
    <w:p>
      <w:pPr>
        <w:pStyle w:val="32"/>
        <w:kinsoku w:val="0"/>
        <w:overflowPunct w:val="0"/>
        <w:ind w:left="120"/>
        <w:jc w:val="left"/>
        <w:outlineLvl w:val="9"/>
        <w:rPr>
          <w:rFonts w:hint="eastAsia" w:ascii="宋体" w:hAnsi="宋体" w:eastAsia="宋体" w:cs="宋体"/>
          <w:color w:val="auto"/>
          <w:sz w:val="21"/>
          <w:szCs w:val="21"/>
          <w:highlight w:val="none"/>
          <w:lang w:eastAsia="zh-CN"/>
        </w:rPr>
        <w:sectPr>
          <w:headerReference r:id="rId6" w:type="default"/>
          <w:footerReference r:id="rId7" w:type="default"/>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z w:val="21"/>
          <w:szCs w:val="21"/>
          <w:highlight w:val="none"/>
          <w:lang w:eastAsia="zh-CN"/>
        </w:rPr>
        <w:t>注：投标人业绩、资信、</w:t>
      </w:r>
      <w:r>
        <w:rPr>
          <w:rFonts w:hint="eastAsia" w:ascii="宋体" w:hAnsi="宋体" w:eastAsia="宋体" w:cs="宋体"/>
          <w:color w:val="auto"/>
          <w:kern w:val="0"/>
          <w:sz w:val="21"/>
          <w:szCs w:val="21"/>
          <w:highlight w:val="none"/>
        </w:rPr>
        <w:t>检测能力</w:t>
      </w:r>
      <w:r>
        <w:rPr>
          <w:rFonts w:hint="eastAsia" w:ascii="宋体" w:hAnsi="宋体" w:eastAsia="宋体" w:cs="宋体"/>
          <w:color w:val="auto"/>
          <w:kern w:val="0"/>
          <w:sz w:val="21"/>
          <w:szCs w:val="21"/>
          <w:highlight w:val="none"/>
          <w:lang w:eastAsia="zh-CN"/>
        </w:rPr>
        <w:t>以联合体主办方为准。</w:t>
      </w:r>
    </w:p>
    <w:p>
      <w:pPr>
        <w:pStyle w:val="7"/>
        <w:outlineLvl w:val="1"/>
        <w:rPr>
          <w:rFonts w:hint="eastAsia" w:ascii="宋体" w:hAnsi="宋体" w:eastAsia="宋体" w:cs="宋体"/>
          <w:b w:val="0"/>
          <w:color w:val="auto"/>
          <w:sz w:val="30"/>
          <w:szCs w:val="24"/>
          <w:highlight w:val="none"/>
        </w:rPr>
      </w:pPr>
      <w:bookmarkStart w:id="116" w:name="bookmark84"/>
      <w:bookmarkEnd w:id="116"/>
      <w:bookmarkStart w:id="117" w:name="_Toc10219"/>
      <w:r>
        <w:rPr>
          <w:rFonts w:hint="eastAsia" w:ascii="宋体" w:hAnsi="宋体" w:eastAsia="宋体" w:cs="宋体"/>
          <w:color w:val="auto"/>
          <w:sz w:val="24"/>
          <w:szCs w:val="24"/>
          <w:highlight w:val="none"/>
        </w:rPr>
        <w:t>1.评标方法</w:t>
      </w:r>
      <w:bookmarkEnd w:id="117"/>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color w:val="auto"/>
          <w:sz w:val="24"/>
          <w:szCs w:val="24"/>
          <w:highlight w:val="none"/>
        </w:rPr>
        <w:t>综合评分相</w:t>
      </w:r>
      <w:r>
        <w:rPr>
          <w:rFonts w:hint="eastAsia" w:ascii="宋体" w:hAnsi="宋体"/>
          <w:color w:val="auto"/>
          <w:sz w:val="24"/>
          <w:szCs w:val="24"/>
          <w:highlight w:val="none"/>
          <w:lang w:eastAsia="zh-CN"/>
        </w:rPr>
        <w:t>同</w:t>
      </w:r>
      <w:r>
        <w:rPr>
          <w:rFonts w:hint="eastAsia" w:ascii="宋体" w:hAnsi="宋体"/>
          <w:color w:val="auto"/>
          <w:sz w:val="24"/>
          <w:szCs w:val="24"/>
          <w:highlight w:val="none"/>
        </w:rPr>
        <w:t>时，以</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报价低的优先；</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报价也相</w:t>
      </w:r>
      <w:r>
        <w:rPr>
          <w:rFonts w:hint="eastAsia" w:ascii="宋体" w:hAnsi="宋体"/>
          <w:color w:val="auto"/>
          <w:sz w:val="24"/>
          <w:szCs w:val="24"/>
          <w:highlight w:val="none"/>
          <w:lang w:eastAsia="zh-CN"/>
        </w:rPr>
        <w:t>同</w:t>
      </w:r>
      <w:r>
        <w:rPr>
          <w:rFonts w:hint="eastAsia" w:ascii="宋体" w:hAnsi="宋体"/>
          <w:color w:val="auto"/>
          <w:sz w:val="24"/>
          <w:szCs w:val="24"/>
          <w:highlight w:val="none"/>
        </w:rPr>
        <w:t>的，以</w:t>
      </w:r>
      <w:r>
        <w:rPr>
          <w:rFonts w:hint="eastAsia" w:ascii="宋体" w:hAnsi="宋体"/>
          <w:color w:val="auto"/>
          <w:sz w:val="24"/>
          <w:szCs w:val="24"/>
          <w:highlight w:val="none"/>
          <w:lang w:val="en-US" w:eastAsia="zh-CN"/>
        </w:rPr>
        <w:t>商务技术</w:t>
      </w:r>
      <w:r>
        <w:rPr>
          <w:rFonts w:hint="eastAsia" w:ascii="宋体" w:hAnsi="宋体"/>
          <w:color w:val="auto"/>
          <w:sz w:val="24"/>
          <w:szCs w:val="24"/>
          <w:highlight w:val="none"/>
        </w:rPr>
        <w:t>得分高的优先；如果</w:t>
      </w:r>
      <w:r>
        <w:rPr>
          <w:rFonts w:hint="eastAsia" w:ascii="宋体" w:hAnsi="宋体"/>
          <w:color w:val="auto"/>
          <w:sz w:val="24"/>
          <w:szCs w:val="24"/>
          <w:highlight w:val="none"/>
          <w:lang w:eastAsia="zh-CN"/>
        </w:rPr>
        <w:t>商务技术</w:t>
      </w:r>
      <w:r>
        <w:rPr>
          <w:rFonts w:hint="eastAsia" w:ascii="宋体" w:hAnsi="宋体"/>
          <w:color w:val="auto"/>
          <w:sz w:val="24"/>
          <w:szCs w:val="24"/>
          <w:highlight w:val="none"/>
        </w:rPr>
        <w:t>得分也相</w:t>
      </w:r>
      <w:r>
        <w:rPr>
          <w:rFonts w:hint="eastAsia" w:ascii="宋体" w:hAnsi="宋体"/>
          <w:color w:val="auto"/>
          <w:sz w:val="24"/>
          <w:szCs w:val="24"/>
          <w:highlight w:val="none"/>
          <w:lang w:eastAsia="zh-CN"/>
        </w:rPr>
        <w:t>同的</w:t>
      </w:r>
      <w:r>
        <w:rPr>
          <w:rFonts w:hint="eastAsia" w:ascii="宋体" w:hAnsi="宋体"/>
          <w:color w:val="auto"/>
          <w:sz w:val="24"/>
          <w:szCs w:val="24"/>
          <w:highlight w:val="none"/>
        </w:rPr>
        <w:t>，由评标委员会决定顺序。</w:t>
      </w:r>
    </w:p>
    <w:p>
      <w:pPr>
        <w:pStyle w:val="7"/>
        <w:outlineLvl w:val="1"/>
        <w:rPr>
          <w:rFonts w:hint="eastAsia" w:ascii="宋体" w:hAnsi="宋体" w:eastAsia="宋体" w:cs="宋体"/>
          <w:b w:val="0"/>
          <w:color w:val="auto"/>
          <w:sz w:val="30"/>
          <w:szCs w:val="24"/>
          <w:highlight w:val="none"/>
        </w:rPr>
      </w:pPr>
      <w:bookmarkStart w:id="118" w:name="bookmark85"/>
      <w:bookmarkEnd w:id="118"/>
      <w:bookmarkStart w:id="119" w:name="_Toc17929"/>
      <w:r>
        <w:rPr>
          <w:rFonts w:hint="eastAsia" w:ascii="宋体" w:hAnsi="宋体" w:eastAsia="宋体" w:cs="宋体"/>
          <w:color w:val="auto"/>
          <w:sz w:val="24"/>
          <w:szCs w:val="24"/>
          <w:highlight w:val="none"/>
        </w:rPr>
        <w:t>2.评审标准</w:t>
      </w:r>
      <w:bookmarkEnd w:id="119"/>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0" w:name="bookmark86"/>
      <w:bookmarkEnd w:id="120"/>
      <w:r>
        <w:rPr>
          <w:rFonts w:hint="eastAsia" w:ascii="宋体" w:hAnsi="宋体" w:eastAsia="宋体" w:cs="宋体"/>
          <w:color w:val="auto"/>
          <w:highlight w:val="none"/>
        </w:rPr>
        <w:t>2.1 初步评审标准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资格评审标准：见评标办法前附表。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eastAsia="zh-CN"/>
        </w:rPr>
        <w:t>符合性</w:t>
      </w:r>
      <w:r>
        <w:rPr>
          <w:rFonts w:hint="eastAsia" w:ascii="宋体" w:hAnsi="宋体" w:eastAsia="宋体" w:cs="宋体"/>
          <w:color w:val="auto"/>
          <w:sz w:val="24"/>
          <w:szCs w:val="24"/>
          <w:highlight w:val="none"/>
        </w:rPr>
        <w:t>评审标准：见评标办法前附表。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1" w:name="bookmark87"/>
      <w:bookmarkEnd w:id="121"/>
      <w:r>
        <w:rPr>
          <w:rFonts w:hint="eastAsia" w:ascii="宋体" w:hAnsi="宋体" w:eastAsia="宋体" w:cs="宋体"/>
          <w:color w:val="auto"/>
          <w:highlight w:val="none"/>
        </w:rPr>
        <w:t>2.2 分值构成与评分标准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商务技术</w:t>
      </w:r>
      <w:r>
        <w:rPr>
          <w:rFonts w:hint="eastAsia" w:ascii="宋体" w:hAnsi="宋体" w:eastAsia="宋体" w:cs="宋体"/>
          <w:color w:val="auto"/>
          <w:sz w:val="24"/>
          <w:szCs w:val="24"/>
          <w:highlight w:val="none"/>
        </w:rPr>
        <w:t>部分：见评标办法前附表；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（2）投标报价：见评标办法前附表；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评标基准价计算评标基准价计算方法：见评标办法前附表。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评分标准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（1）商务技术部分评分标准：见评标办法前附表；</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（2）投标报价评分标准：见评标办法前附表；</w:t>
      </w:r>
    </w:p>
    <w:p>
      <w:pPr>
        <w:pStyle w:val="7"/>
        <w:outlineLvl w:val="1"/>
        <w:rPr>
          <w:rFonts w:hint="eastAsia" w:ascii="宋体" w:hAnsi="宋体" w:eastAsia="宋体" w:cs="宋体"/>
          <w:color w:val="auto"/>
          <w:sz w:val="24"/>
          <w:szCs w:val="24"/>
          <w:highlight w:val="none"/>
        </w:rPr>
      </w:pPr>
      <w:bookmarkStart w:id="122" w:name="bookmark88"/>
      <w:bookmarkEnd w:id="122"/>
      <w:bookmarkStart w:id="123" w:name="_Toc15176"/>
      <w:r>
        <w:rPr>
          <w:rFonts w:hint="eastAsia" w:ascii="宋体" w:hAnsi="宋体" w:eastAsia="宋体" w:cs="宋体"/>
          <w:color w:val="auto"/>
          <w:sz w:val="24"/>
          <w:szCs w:val="24"/>
          <w:highlight w:val="none"/>
        </w:rPr>
        <w:t>3.评标程序</w:t>
      </w:r>
      <w:bookmarkEnd w:id="123"/>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4" w:name="bookmark89"/>
      <w:bookmarkEnd w:id="124"/>
      <w:r>
        <w:rPr>
          <w:rFonts w:hint="eastAsia" w:ascii="宋体" w:hAnsi="宋体" w:eastAsia="宋体" w:cs="宋体"/>
          <w:color w:val="auto"/>
          <w:highlight w:val="none"/>
        </w:rPr>
        <w:t>3.1  初步评审</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）两个（含两个）以上</w:t>
      </w:r>
      <w:r>
        <w:rPr>
          <w:rFonts w:hint="eastAsia" w:ascii="宋体" w:hAnsi="宋体" w:eastAsia="宋体" w:cs="宋体"/>
          <w:color w:val="auto"/>
          <w:sz w:val="24"/>
          <w:szCs w:val="24"/>
          <w:highlight w:val="none"/>
        </w:rPr>
        <w:t>投标人加密打包投标文件</w:t>
      </w:r>
      <w:r>
        <w:rPr>
          <w:rFonts w:hint="eastAsia" w:ascii="宋体" w:hAnsi="宋体" w:eastAsia="宋体" w:cs="宋体"/>
          <w:color w:val="auto"/>
          <w:sz w:val="24"/>
          <w:szCs w:val="24"/>
          <w:highlight w:val="none"/>
          <w:lang w:eastAsia="zh-CN"/>
        </w:rPr>
        <w:t>工程量清单编制</w:t>
      </w:r>
      <w:r>
        <w:rPr>
          <w:rFonts w:hint="eastAsia" w:ascii="宋体" w:hAnsi="宋体" w:eastAsia="宋体" w:cs="宋体"/>
          <w:color w:val="auto"/>
          <w:sz w:val="24"/>
          <w:szCs w:val="24"/>
          <w:highlight w:val="none"/>
        </w:rPr>
        <w:t>机器</w:t>
      </w:r>
      <w:r>
        <w:rPr>
          <w:rFonts w:hint="eastAsia" w:ascii="宋体" w:hAnsi="宋体" w:eastAsia="宋体" w:cs="宋体"/>
          <w:color w:val="auto"/>
          <w:sz w:val="24"/>
          <w:szCs w:val="24"/>
          <w:highlight w:val="none"/>
          <w:lang w:eastAsia="zh-CN"/>
        </w:rPr>
        <w:t>硬件信息</w:t>
      </w:r>
      <w:r>
        <w:rPr>
          <w:rFonts w:hint="eastAsia" w:ascii="宋体" w:hAnsi="宋体" w:eastAsia="宋体" w:cs="宋体"/>
          <w:color w:val="auto"/>
          <w:sz w:val="24"/>
          <w:szCs w:val="24"/>
          <w:highlight w:val="none"/>
        </w:rPr>
        <w:t>一致的</w:t>
      </w:r>
      <w:r>
        <w:rPr>
          <w:rFonts w:hint="eastAsia" w:ascii="宋体" w:hAnsi="宋体" w:eastAsia="宋体" w:cs="宋体"/>
          <w:color w:val="auto"/>
          <w:sz w:val="24"/>
          <w:szCs w:val="24"/>
          <w:highlight w:val="none"/>
          <w:lang w:eastAsia="zh-CN"/>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5" w:name="bookmark90"/>
      <w:bookmarkEnd w:id="125"/>
      <w:r>
        <w:rPr>
          <w:rFonts w:hint="eastAsia" w:ascii="宋体" w:hAnsi="宋体" w:eastAsia="宋体" w:cs="宋体"/>
          <w:color w:val="auto"/>
          <w:highlight w:val="none"/>
        </w:rPr>
        <w:t>3.2  详细评审</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 2.2 款规定的量化因素和分值进行打分，并计算出综合评估得分。</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 2.2.4（1）目规定的评审因素和分值对商务</w:t>
      </w:r>
      <w:r>
        <w:rPr>
          <w:rFonts w:hint="eastAsia" w:cs="宋体"/>
          <w:color w:val="auto"/>
          <w:sz w:val="24"/>
          <w:szCs w:val="24"/>
          <w:highlight w:val="none"/>
          <w:lang w:eastAsia="zh-CN"/>
        </w:rPr>
        <w:t>技术</w:t>
      </w:r>
      <w:r>
        <w:rPr>
          <w:rFonts w:hint="eastAsia" w:ascii="宋体" w:hAnsi="宋体" w:eastAsia="宋体" w:cs="宋体"/>
          <w:color w:val="auto"/>
          <w:sz w:val="24"/>
          <w:szCs w:val="24"/>
          <w:highlight w:val="none"/>
        </w:rPr>
        <w:t>部分计算出得分 A；</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right="-288" w:rightChars="-1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 2.2.4（2）目规定的评审因素和分值对投标报价部分计算出得分</w:t>
      </w:r>
      <w:r>
        <w:rPr>
          <w:rFonts w:hint="eastAsia" w:cs="宋体"/>
          <w:color w:val="auto"/>
          <w:sz w:val="24"/>
          <w:szCs w:val="24"/>
          <w:highlight w:val="none"/>
          <w:lang w:val="en-US" w:eastAsia="zh-CN"/>
        </w:rPr>
        <w:t>B</w:t>
      </w:r>
      <w:r>
        <w:rPr>
          <w:rFonts w:hint="eastAsia" w:ascii="宋体" w:hAnsi="宋体" w:eastAsia="宋体" w:cs="宋体"/>
          <w:color w:val="auto"/>
          <w:sz w:val="24"/>
          <w:szCs w:val="24"/>
          <w:highlight w:val="none"/>
        </w:rPr>
        <w:t>。</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投标人得分=A+B。</w:t>
      </w:r>
    </w:p>
    <w:p>
      <w:pPr>
        <w:pStyle w:val="14"/>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6" w:name="bookmark91"/>
      <w:bookmarkEnd w:id="126"/>
      <w:r>
        <w:rPr>
          <w:rFonts w:hint="eastAsia" w:ascii="宋体" w:hAnsi="宋体" w:eastAsia="宋体" w:cs="宋体"/>
          <w:color w:val="auto"/>
          <w:highlight w:val="none"/>
        </w:rPr>
        <w:t>3.3  投标文件的澄清</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w:t>
      </w:r>
      <w:r>
        <w:rPr>
          <w:rFonts w:hint="eastAsia" w:ascii="宋体" w:hAnsi="宋体" w:eastAsia="宋体" w:cs="宋体"/>
          <w:color w:val="auto"/>
          <w:sz w:val="24"/>
          <w:highlight w:val="none"/>
        </w:rPr>
        <w:t>经评标委员会中两人以上（含两人）以书面形式提出动议，评标委员会</w:t>
      </w:r>
      <w:r>
        <w:rPr>
          <w:rFonts w:hint="eastAsia" w:ascii="宋体" w:hAnsi="宋体" w:eastAsia="宋体"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27" w:name="bookmark92"/>
      <w:bookmarkEnd w:id="127"/>
      <w:r>
        <w:rPr>
          <w:rFonts w:hint="eastAsia" w:ascii="宋体" w:hAnsi="宋体" w:eastAsia="宋体" w:cs="宋体"/>
          <w:color w:val="auto"/>
          <w:highlight w:val="none"/>
        </w:rPr>
        <w:t>3.4  评标结果</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评标委员会完成评标后，应当向招标人提交书面评标报告和中标候选人名单。</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4"/>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8" w:type="default"/>
          <w:pgSz w:w="11905" w:h="16838"/>
          <w:pgMar w:top="1417" w:right="1417" w:bottom="1417" w:left="1417" w:header="992" w:footer="992" w:gutter="0"/>
          <w:lnNumType w:countBy="0" w:distance="360"/>
          <w:pgNumType w:fmt="decimal"/>
          <w:cols w:space="720" w:num="1"/>
        </w:sectPr>
      </w:pPr>
    </w:p>
    <w:p>
      <w:pPr>
        <w:pStyle w:val="6"/>
        <w:outlineLvl w:val="0"/>
        <w:rPr>
          <w:rFonts w:hint="eastAsia" w:ascii="宋体" w:hAnsi="宋体" w:eastAsia="宋体" w:cs="宋体"/>
          <w:color w:val="auto"/>
          <w:sz w:val="44"/>
          <w:szCs w:val="24"/>
          <w:highlight w:val="none"/>
        </w:rPr>
      </w:pPr>
      <w:bookmarkStart w:id="128" w:name="bookmark93"/>
      <w:bookmarkEnd w:id="128"/>
      <w:bookmarkStart w:id="129" w:name="_Toc14321"/>
      <w:r>
        <w:rPr>
          <w:rFonts w:hint="eastAsia" w:ascii="宋体" w:hAnsi="宋体" w:eastAsia="宋体" w:cs="宋体"/>
          <w:color w:val="auto"/>
          <w:sz w:val="44"/>
          <w:szCs w:val="24"/>
          <w:highlight w:val="none"/>
        </w:rPr>
        <w:t>第四章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合同条款及格式</w:t>
      </w:r>
      <w:bookmarkEnd w:id="129"/>
    </w:p>
    <w:p>
      <w:pPr>
        <w:pStyle w:val="14"/>
        <w:kinsoku w:val="0"/>
        <w:overflowPunct w:val="0"/>
        <w:ind w:left="0"/>
        <w:rPr>
          <w:rFonts w:hint="eastAsia" w:ascii="宋体" w:hAnsi="宋体" w:eastAsia="宋体" w:cs="宋体"/>
          <w:b/>
          <w:color w:val="auto"/>
          <w:sz w:val="20"/>
          <w:szCs w:val="24"/>
          <w:highlight w:val="none"/>
        </w:rPr>
      </w:pPr>
    </w:p>
    <w:p>
      <w:pPr>
        <w:pStyle w:val="14"/>
        <w:kinsoku w:val="0"/>
        <w:overflowPunct w:val="0"/>
        <w:ind w:left="0"/>
        <w:rPr>
          <w:rFonts w:hint="eastAsia" w:ascii="宋体" w:hAnsi="宋体" w:eastAsia="宋体" w:cs="宋体"/>
          <w:b/>
          <w:color w:val="auto"/>
          <w:sz w:val="20"/>
          <w:szCs w:val="24"/>
          <w:highlight w:val="none"/>
        </w:rPr>
      </w:pPr>
    </w:p>
    <w:p>
      <w:pPr>
        <w:wordWrap w:val="0"/>
        <w:spacing w:line="400" w:lineRule="exact"/>
        <w:jc w:val="right"/>
        <w:rPr>
          <w:rFonts w:hint="eastAsia" w:ascii="宋体" w:hAnsi="宋体" w:eastAsia="宋体" w:cs="宋体"/>
          <w:color w:val="auto"/>
          <w:highlight w:val="none"/>
        </w:rPr>
      </w:pPr>
    </w:p>
    <w:p>
      <w:pPr>
        <w:widowControl/>
        <w:wordWrap/>
        <w:spacing w:line="640" w:lineRule="exact"/>
        <w:jc w:val="right"/>
        <w:rPr>
          <w:rFonts w:ascii="方正楷体_GBK" w:hAnsi="方正楷体_GBK" w:eastAsia="方正楷体_GBK" w:cs="方正楷体_GBK"/>
          <w:color w:val="auto"/>
          <w:sz w:val="28"/>
          <w:szCs w:val="28"/>
          <w:highlight w:val="none"/>
          <w:u w:val="singl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【标准文本】合同-</w:t>
      </w:r>
      <w:r>
        <w:rPr>
          <w:rFonts w:hint="eastAsia" w:ascii="仿宋_GB2312" w:hAnsi="仿宋_GB2312" w:eastAsia="仿宋_GB2312" w:cs="仿宋_GB2312"/>
          <w:color w:val="auto"/>
          <w:sz w:val="28"/>
          <w:szCs w:val="28"/>
          <w:highlight w:val="none"/>
          <w:lang w:val="en-US" w:eastAsia="zh-CN"/>
        </w:rPr>
        <w:t>FW</w:t>
      </w:r>
      <w:r>
        <w:rPr>
          <w:rFonts w:hint="eastAsia" w:ascii="仿宋_GB2312" w:hAnsi="仿宋_GB2312" w:eastAsia="仿宋_GB2312" w:cs="仿宋_GB2312"/>
          <w:color w:val="auto"/>
          <w:sz w:val="28"/>
          <w:szCs w:val="28"/>
          <w:highlight w:val="none"/>
        </w:rPr>
        <w:t>-20240</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1</w:t>
      </w:r>
      <w:r>
        <w:rPr>
          <w:rFonts w:hint="eastAsia" w:ascii="方正楷体_GBK" w:hAnsi="方正楷体_GBK" w:eastAsia="方正楷体_GBK" w:cs="方正楷体_GBK"/>
          <w:color w:val="auto"/>
          <w:sz w:val="28"/>
          <w:szCs w:val="28"/>
          <w:highlight w:val="none"/>
        </w:rPr>
        <w:t xml:space="preserve">          </w:t>
      </w:r>
    </w:p>
    <w:p>
      <w:pPr>
        <w:tabs>
          <w:tab w:val="left" w:pos="3900"/>
          <w:tab w:val="right" w:pos="10245"/>
        </w:tabs>
        <w:wordWrap w:val="0"/>
        <w:spacing w:line="360" w:lineRule="auto"/>
        <w:jc w:val="left"/>
        <w:rPr>
          <w:rFonts w:ascii="宋体" w:hAnsi="Calibri" w:cs="Times New Roman"/>
          <w:color w:val="auto"/>
          <w:sz w:val="32"/>
          <w:szCs w:val="32"/>
          <w:highlight w:val="none"/>
          <w:u w:val="single"/>
        </w:rPr>
      </w:pPr>
    </w:p>
    <w:p>
      <w:pPr>
        <w:spacing w:line="360" w:lineRule="auto"/>
        <w:jc w:val="right"/>
        <w:rPr>
          <w:rFonts w:ascii="宋体" w:hAnsi="Calibri" w:cs="Times New Roman"/>
          <w:color w:val="auto"/>
          <w:spacing w:val="0"/>
          <w:sz w:val="32"/>
          <w:szCs w:val="32"/>
          <w:highlight w:val="none"/>
          <w:u w:val="single"/>
        </w:rPr>
      </w:pPr>
    </w:p>
    <w:p>
      <w:pPr>
        <w:spacing w:line="960" w:lineRule="exact"/>
        <w:jc w:val="center"/>
        <w:rPr>
          <w:rFonts w:ascii="方正小标宋简体" w:hAnsi="方正小标宋简体" w:eastAsia="方正小标宋简体" w:cs="方正小标宋简体"/>
          <w:color w:val="auto"/>
          <w:spacing w:val="0"/>
          <w:kern w:val="0"/>
          <w:sz w:val="72"/>
          <w:szCs w:val="72"/>
          <w:highlight w:val="none"/>
        </w:rPr>
      </w:pPr>
      <w:r>
        <w:rPr>
          <w:rFonts w:hint="eastAsia" w:ascii="方正小标宋简体" w:hAnsi="方正小标宋简体" w:eastAsia="方正小标宋简体" w:cs="方正小标宋简体"/>
          <w:color w:val="auto"/>
          <w:spacing w:val="0"/>
          <w:kern w:val="0"/>
          <w:sz w:val="72"/>
          <w:szCs w:val="72"/>
          <w:highlight w:val="none"/>
        </w:rPr>
        <w:t>广州市自来水有限公司</w:t>
      </w:r>
    </w:p>
    <w:p>
      <w:pPr>
        <w:spacing w:line="960" w:lineRule="exact"/>
        <w:jc w:val="center"/>
        <w:rPr>
          <w:rFonts w:ascii="方正小标宋简体" w:hAnsi="方正小标宋简体" w:eastAsia="方正小标宋简体" w:cs="方正小标宋简体"/>
          <w:color w:val="auto"/>
          <w:spacing w:val="0"/>
          <w:kern w:val="0"/>
          <w:sz w:val="72"/>
          <w:szCs w:val="72"/>
          <w:highlight w:val="none"/>
        </w:rPr>
      </w:pPr>
      <w:r>
        <w:rPr>
          <w:rFonts w:hint="eastAsia" w:ascii="方正小标宋简体" w:hAnsi="方正小标宋简体" w:eastAsia="方正小标宋简体" w:cs="方正小标宋简体"/>
          <w:color w:val="auto"/>
          <w:spacing w:val="0"/>
          <w:kern w:val="0"/>
          <w:sz w:val="72"/>
          <w:szCs w:val="72"/>
          <w:highlight w:val="none"/>
        </w:rPr>
        <w:t>建设工程</w:t>
      </w:r>
      <w:r>
        <w:rPr>
          <w:rFonts w:hint="eastAsia" w:ascii="方正小标宋简体" w:hAnsi="方正小标宋简体" w:eastAsia="方正小标宋简体" w:cs="方正小标宋简体"/>
          <w:color w:val="auto"/>
          <w:spacing w:val="0"/>
          <w:kern w:val="0"/>
          <w:sz w:val="72"/>
          <w:szCs w:val="72"/>
          <w:highlight w:val="none"/>
          <w:lang w:val="en-US" w:eastAsia="zh-CN"/>
        </w:rPr>
        <w:t>质量检测、监测</w:t>
      </w:r>
      <w:r>
        <w:rPr>
          <w:rFonts w:hint="eastAsia" w:ascii="方正小标宋简体" w:hAnsi="方正小标宋简体" w:eastAsia="方正小标宋简体" w:cs="方正小标宋简体"/>
          <w:color w:val="auto"/>
          <w:spacing w:val="0"/>
          <w:kern w:val="0"/>
          <w:sz w:val="72"/>
          <w:szCs w:val="72"/>
          <w:highlight w:val="none"/>
        </w:rPr>
        <w:t>合同</w:t>
      </w:r>
    </w:p>
    <w:p>
      <w:pPr>
        <w:widowControl/>
        <w:spacing w:line="640" w:lineRule="exact"/>
        <w:jc w:val="center"/>
        <w:rPr>
          <w:rFonts w:ascii="方正楷体_GBK" w:hAnsi="方正楷体_GBK" w:eastAsia="方正楷体_GBK" w:cs="方正楷体_GBK"/>
          <w:color w:val="auto"/>
          <w:sz w:val="28"/>
          <w:szCs w:val="28"/>
          <w:highlight w:val="none"/>
        </w:rPr>
      </w:pPr>
      <w:r>
        <w:rPr>
          <w:rFonts w:hint="eastAsia" w:ascii="仿宋_GB2312" w:hAnsi="仿宋_GB2312" w:eastAsia="仿宋_GB2312" w:cs="仿宋_GB2312"/>
          <w:color w:val="auto"/>
          <w:sz w:val="28"/>
          <w:szCs w:val="28"/>
          <w:highlight w:val="none"/>
        </w:rPr>
        <w:t>（2024年修订版标准文本）</w:t>
      </w:r>
    </w:p>
    <w:p>
      <w:pPr>
        <w:pStyle w:val="45"/>
        <w:spacing w:line="640" w:lineRule="exact"/>
        <w:ind w:left="298" w:leftChars="124" w:firstLine="835" w:firstLineChars="160"/>
        <w:rPr>
          <w:rFonts w:ascii="宋体" w:hAnsi="宋体"/>
          <w:b/>
          <w:bCs/>
          <w:color w:val="auto"/>
          <w:sz w:val="52"/>
          <w:szCs w:val="52"/>
          <w:highlight w:val="none"/>
        </w:rPr>
      </w:pPr>
    </w:p>
    <w:p>
      <w:pPr>
        <w:spacing w:line="640" w:lineRule="exact"/>
        <w:jc w:val="both"/>
        <w:rPr>
          <w:rFonts w:ascii="仿宋" w:hAnsi="仿宋" w:eastAsia="仿宋" w:cs="Times New Roman"/>
          <w:color w:val="auto"/>
          <w:sz w:val="32"/>
          <w:szCs w:val="32"/>
          <w:highlight w:val="none"/>
        </w:rPr>
      </w:pPr>
    </w:p>
    <w:p>
      <w:pPr>
        <w:spacing w:line="640" w:lineRule="exact"/>
        <w:jc w:val="center"/>
        <w:rPr>
          <w:rFonts w:ascii="仿宋" w:hAnsi="仿宋" w:eastAsia="仿宋" w:cs="Times New Roman"/>
          <w:color w:val="auto"/>
          <w:sz w:val="32"/>
          <w:szCs w:val="32"/>
          <w:highlight w:val="none"/>
        </w:rPr>
      </w:pPr>
    </w:p>
    <w:p>
      <w:pPr>
        <w:pStyle w:val="14"/>
        <w:rPr>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640" w:lineRule="exact"/>
        <w:ind w:left="2240" w:leftChars="350" w:hanging="1400" w:hangingChars="500"/>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u w:val="single"/>
        </w:rPr>
        <w:t>2025-2027年广州市自来水有限公司厂站建设工程检测、监测服务项目</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p>
    <w:p>
      <w:pPr>
        <w:spacing w:line="640" w:lineRule="exact"/>
        <w:ind w:firstLine="840" w:firstLineChars="3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广州市自来水有限公司     </w:t>
      </w:r>
    </w:p>
    <w:p>
      <w:pPr>
        <w:spacing w:line="640" w:lineRule="exact"/>
        <w:ind w:firstLine="840" w:firstLineChars="3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受托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p>
    <w:p>
      <w:pPr>
        <w:spacing w:line="640" w:lineRule="exact"/>
        <w:ind w:firstLine="840" w:firstLineChars="300"/>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合同编号：</w:t>
      </w:r>
      <w:r>
        <w:rPr>
          <w:rFonts w:hint="eastAsia" w:ascii="仿宋_GB2312" w:hAnsi="仿宋_GB2312" w:eastAsia="仿宋_GB2312" w:cs="仿宋_GB2312"/>
          <w:color w:val="auto"/>
          <w:sz w:val="28"/>
          <w:szCs w:val="28"/>
          <w:highlight w:val="none"/>
          <w:u w:val="single"/>
        </w:rPr>
        <w:t xml:space="preserve">                                   </w:t>
      </w:r>
    </w:p>
    <w:p>
      <w:pPr>
        <w:spacing w:line="640" w:lineRule="exact"/>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日</w:t>
      </w:r>
      <w:r>
        <w:rPr>
          <w:rFonts w:hint="eastAsia" w:ascii="仿宋_GB2312" w:hAnsi="仿宋_GB2312" w:eastAsia="仿宋_GB2312" w:cs="仿宋_GB2312"/>
          <w:color w:val="auto"/>
          <w:sz w:val="28"/>
          <w:szCs w:val="28"/>
          <w:highlight w:val="none"/>
          <w:u w:val="single"/>
        </w:rPr>
        <w:t xml:space="preserve"> </w:t>
      </w:r>
    </w:p>
    <w:p>
      <w:pPr>
        <w:pStyle w:val="20"/>
        <w:spacing w:before="120" w:after="120" w:line="240" w:lineRule="auto"/>
        <w:ind w:left="0" w:leftChars="0" w:right="0" w:rightChars="0"/>
        <w:rPr>
          <w:rFonts w:hint="default" w:ascii="Calibri" w:hAnsi="Calibri" w:eastAsia="宋体" w:cs="Times New Roman"/>
          <w:b/>
          <w:bCs/>
          <w:caps/>
          <w:color w:val="auto"/>
          <w:spacing w:val="0"/>
          <w:sz w:val="36"/>
          <w:szCs w:val="36"/>
          <w:highlight w:val="none"/>
          <w:lang w:val="en-US" w:eastAsia="zh-CN"/>
        </w:rPr>
      </w:pPr>
      <w:r>
        <w:rPr>
          <w:rFonts w:hint="eastAsia" w:ascii="Calibri" w:hAnsi="Calibri" w:eastAsia="宋体" w:cs="Times New Roman"/>
          <w:b/>
          <w:bCs/>
          <w:caps/>
          <w:color w:val="auto"/>
          <w:spacing w:val="0"/>
          <w:sz w:val="36"/>
          <w:szCs w:val="36"/>
          <w:highlight w:val="none"/>
          <w:lang w:val="en-US" w:eastAsia="zh-CN"/>
        </w:rPr>
        <w:t xml:space="preserve"> </w:t>
      </w:r>
    </w:p>
    <w:p>
      <w:pPr>
        <w:rPr>
          <w:rFonts w:hint="eastAsia"/>
          <w:color w:val="auto"/>
          <w:sz w:val="21"/>
          <w:szCs w:val="21"/>
          <w:highlight w:val="none"/>
        </w:rPr>
      </w:pPr>
    </w:p>
    <w:p>
      <w:pPr>
        <w:pStyle w:val="14"/>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br w:type="page"/>
      </w:r>
    </w:p>
    <w:p>
      <w:pPr>
        <w:pStyle w:val="14"/>
        <w:rPr>
          <w:rFonts w:hint="eastAsia"/>
          <w:color w:val="auto"/>
          <w:sz w:val="21"/>
          <w:szCs w:val="21"/>
          <w:highlight w:val="none"/>
        </w:rPr>
      </w:pPr>
    </w:p>
    <w:p>
      <w:pPr>
        <w:pStyle w:val="14"/>
        <w:rPr>
          <w:rFonts w:hint="eastAsia"/>
          <w:color w:val="auto"/>
          <w:sz w:val="21"/>
          <w:szCs w:val="21"/>
          <w:highlight w:val="none"/>
        </w:rPr>
      </w:pPr>
    </w:p>
    <w:p>
      <w:pPr>
        <w:spacing w:line="360" w:lineRule="auto"/>
        <w:jc w:val="center"/>
        <w:outlineLvl w:val="0"/>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填写说明</w:t>
      </w:r>
    </w:p>
    <w:p>
      <w:pPr>
        <w:spacing w:line="360" w:lineRule="auto"/>
        <w:rPr>
          <w:rFonts w:hint="eastAsia" w:ascii="宋体" w:hAnsi="宋体" w:eastAsia="仿宋_GB2312" w:cs="Times New Roman"/>
          <w:color w:val="auto"/>
          <w:sz w:val="28"/>
          <w:szCs w:val="32"/>
          <w:highlight w:val="none"/>
        </w:rPr>
      </w:pPr>
    </w:p>
    <w:p>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28"/>
          <w:szCs w:val="28"/>
          <w:highlight w:val="none"/>
        </w:rPr>
        <w:t xml:space="preserve"> 一、本合同参照广州市住房和城乡建设局</w:t>
      </w:r>
      <w:r>
        <w:rPr>
          <w:rFonts w:hint="eastAsia" w:ascii="仿宋_GB2312" w:hAnsi="宋体" w:eastAsia="仿宋_GB2312" w:cs="Times New Roman"/>
          <w:color w:val="auto"/>
          <w:sz w:val="28"/>
          <w:szCs w:val="28"/>
          <w:highlight w:val="none"/>
          <w:lang w:val="en-US" w:eastAsia="zh-CN"/>
        </w:rPr>
        <w:t>及广州市市场监督管理局</w:t>
      </w:r>
      <w:r>
        <w:rPr>
          <w:rFonts w:hint="eastAsia" w:ascii="仿宋_GB2312" w:hAnsi="宋体" w:eastAsia="仿宋_GB2312" w:cs="Times New Roman"/>
          <w:color w:val="auto"/>
          <w:sz w:val="28"/>
          <w:szCs w:val="28"/>
          <w:highlight w:val="none"/>
        </w:rPr>
        <w:t>联合制定的建设工程质量检测合同示范文本进行编制。</w:t>
      </w:r>
    </w:p>
    <w:p>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二、本合同书适用于一方当事人（受托方）为另一方（委托方）就建设工程的新建、扩建、改建、装修、修缮等项目</w:t>
      </w:r>
      <w:r>
        <w:rPr>
          <w:rFonts w:hint="eastAsia" w:ascii="仿宋_GB2312" w:hAnsi="宋体" w:eastAsia="仿宋_GB2312" w:cs="Times New Roman"/>
          <w:color w:val="auto"/>
          <w:sz w:val="28"/>
          <w:szCs w:val="28"/>
          <w:highlight w:val="none"/>
          <w:lang w:eastAsia="zh-CN"/>
        </w:rPr>
        <w:t>的</w:t>
      </w:r>
      <w:r>
        <w:rPr>
          <w:rFonts w:hint="eastAsia" w:ascii="仿宋_GB2312" w:hAnsi="宋体" w:eastAsia="仿宋_GB2312" w:cs="Times New Roman"/>
          <w:color w:val="auto"/>
          <w:sz w:val="28"/>
          <w:szCs w:val="28"/>
          <w:highlight w:val="none"/>
        </w:rPr>
        <w:t>检测</w:t>
      </w:r>
      <w:r>
        <w:rPr>
          <w:rFonts w:hint="eastAsia" w:ascii="仿宋_GB2312" w:hAnsi="宋体" w:eastAsia="仿宋_GB2312" w:cs="Times New Roman"/>
          <w:color w:val="auto"/>
          <w:sz w:val="28"/>
          <w:szCs w:val="28"/>
          <w:highlight w:val="none"/>
          <w:lang w:val="en-US" w:eastAsia="zh-CN"/>
        </w:rPr>
        <w:t>及监测</w:t>
      </w:r>
      <w:r>
        <w:rPr>
          <w:rFonts w:hint="eastAsia" w:ascii="仿宋_GB2312" w:hAnsi="宋体" w:eastAsia="仿宋_GB2312" w:cs="Times New Roman"/>
          <w:color w:val="auto"/>
          <w:sz w:val="28"/>
          <w:szCs w:val="28"/>
          <w:highlight w:val="none"/>
        </w:rPr>
        <w:t>服务所订立的合同。</w:t>
      </w:r>
    </w:p>
    <w:p>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三、签约一方为多个当事人的，可按各自在合同关系中的作用等，在“委托方”“受托方”项下（增页）分别排列为共同委托人或共同受托人。</w:t>
      </w:r>
    </w:p>
    <w:p>
      <w:pPr>
        <w:spacing w:line="560" w:lineRule="exac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四、本合同书未尽事项，可由当事人附页另行约定，并作为本合同的组成部分。</w:t>
      </w:r>
    </w:p>
    <w:p>
      <w:pPr>
        <w:widowControl/>
        <w:adjustRightInd w:val="0"/>
        <w:snapToGrid w:val="0"/>
        <w:spacing w:line="560" w:lineRule="exact"/>
        <w:ind w:firstLine="57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五、当事人使用本合同书时约定无需填写的条款，应在该条款处注明“无”等字样。</w:t>
      </w:r>
    </w:p>
    <w:p>
      <w:pPr>
        <w:widowControl/>
        <w:adjustRightInd w:val="0"/>
        <w:snapToGrid w:val="0"/>
        <w:spacing w:line="560" w:lineRule="exact"/>
        <w:ind w:firstLine="570"/>
        <w:jc w:val="left"/>
        <w:rPr>
          <w:rFonts w:hint="eastAsia" w:eastAsia="仿宋_GB2312"/>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六、文本开头带“</w:t>
      </w:r>
      <w:r>
        <w:rPr>
          <w:rFonts w:hint="eastAsia" w:ascii="仿宋_GB2312" w:hAnsi="仿宋_GB2312" w:eastAsia="仿宋_GB2312" w:cs="仿宋_GB2312"/>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”的条款为选择性条款，由合同承办单位根据项目的具体特点和实际在内打“</w:t>
      </w:r>
      <w:r>
        <w:rPr>
          <w:rFonts w:hint="default" w:ascii="Arial" w:hAnsi="Arial" w:eastAsia="仿宋_GB2312" w:cs="Arial"/>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”或打“</w:t>
      </w:r>
      <w:r>
        <w:rPr>
          <w:rFonts w:hint="default" w:ascii="Arial" w:hAnsi="Arial" w:eastAsia="仿宋_GB2312" w:cs="Arial"/>
          <w:color w:val="auto"/>
          <w:sz w:val="28"/>
          <w:szCs w:val="28"/>
          <w:highlight w:val="none"/>
          <w:lang w:val="en-US" w:eastAsia="zh-CN"/>
        </w:rPr>
        <w:t>×</w:t>
      </w:r>
      <w:r>
        <w:rPr>
          <w:rFonts w:hint="eastAsia" w:ascii="仿宋_GB2312" w:hAnsi="宋体" w:eastAsia="仿宋_GB2312" w:cs="Times New Roman"/>
          <w:color w:val="auto"/>
          <w:sz w:val="28"/>
          <w:szCs w:val="28"/>
          <w:highlight w:val="none"/>
          <w:lang w:val="en-US" w:eastAsia="zh-CN"/>
        </w:rPr>
        <w:t>”。</w:t>
      </w:r>
    </w:p>
    <w:p>
      <w:pPr>
        <w:rPr>
          <w:rFonts w:cs="Times New Roman"/>
          <w:color w:val="auto"/>
          <w:sz w:val="28"/>
          <w:szCs w:val="28"/>
          <w:highlight w:val="none"/>
        </w:rPr>
        <w:sectPr>
          <w:footerReference r:id="rId11" w:type="first"/>
          <w:headerReference r:id="rId9" w:type="default"/>
          <w:footerReference r:id="rId10" w:type="default"/>
          <w:pgSz w:w="11906" w:h="16838"/>
          <w:pgMar w:top="1440" w:right="1134" w:bottom="1440" w:left="1134" w:header="851" w:footer="992" w:gutter="0"/>
          <w:pgNumType w:fmt="decimal"/>
          <w:cols w:space="720" w:num="1"/>
          <w:titlePg/>
          <w:docGrid w:type="lines" w:linePitch="312" w:charSpace="0"/>
        </w:sectPr>
      </w:pPr>
    </w:p>
    <w:p>
      <w:pPr>
        <w:pStyle w:val="5"/>
        <w:pageBreakBefore w:val="0"/>
        <w:kinsoku/>
        <w:wordWrap/>
        <w:overflowPunct/>
        <w:topLinePunct w:val="0"/>
        <w:bidi w:val="0"/>
        <w:spacing w:line="560" w:lineRule="exact"/>
        <w:jc w:val="center"/>
        <w:textAlignment w:val="auto"/>
        <w:rPr>
          <w:rFonts w:ascii="仿宋" w:hAnsi="仿宋" w:eastAsia="仿宋" w:cs="Times New Roman"/>
          <w:b w:val="0"/>
          <w:bCs/>
          <w:color w:val="auto"/>
          <w:sz w:val="40"/>
          <w:szCs w:val="40"/>
          <w:highlight w:val="none"/>
        </w:rPr>
      </w:pPr>
      <w:bookmarkStart w:id="130" w:name="_Toc10627387"/>
      <w:r>
        <w:rPr>
          <w:rFonts w:hint="eastAsia" w:ascii="方正小标宋简体" w:hAnsi="方正小标宋简体" w:eastAsia="方正小标宋简体" w:cs="方正小标宋简体"/>
          <w:b w:val="0"/>
          <w:bCs/>
          <w:color w:val="auto"/>
          <w:kern w:val="2"/>
          <w:sz w:val="44"/>
          <w:szCs w:val="28"/>
          <w:highlight w:val="none"/>
        </w:rPr>
        <w:t xml:space="preserve">第一部分 </w:t>
      </w:r>
      <w:r>
        <w:rPr>
          <w:rFonts w:hint="eastAsia" w:ascii="方正小标宋简体" w:hAnsi="方正小标宋简体" w:eastAsia="方正小标宋简体" w:cs="方正小标宋简体"/>
          <w:b w:val="0"/>
          <w:bCs/>
          <w:color w:val="auto"/>
          <w:kern w:val="2"/>
          <w:sz w:val="44"/>
          <w:szCs w:val="28"/>
          <w:highlight w:val="none"/>
          <w:lang w:val="en-US" w:eastAsia="zh-CN"/>
        </w:rPr>
        <w:t>合同</w:t>
      </w:r>
      <w:r>
        <w:rPr>
          <w:rFonts w:hint="eastAsia" w:ascii="方正小标宋简体" w:hAnsi="方正小标宋简体" w:eastAsia="方正小标宋简体" w:cs="方正小标宋简体"/>
          <w:b w:val="0"/>
          <w:bCs/>
          <w:color w:val="auto"/>
          <w:kern w:val="2"/>
          <w:sz w:val="44"/>
          <w:szCs w:val="28"/>
          <w:highlight w:val="none"/>
        </w:rPr>
        <w:t>协议书</w:t>
      </w:r>
      <w:bookmarkEnd w:id="130"/>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rPr>
        <w:t>委托人（甲方）：</w:t>
      </w:r>
      <w:r>
        <w:rPr>
          <w:rFonts w:hint="eastAsia" w:ascii="仿宋_GB2312" w:hAnsi="仿宋_GB2312" w:eastAsia="仿宋_GB2312" w:cs="仿宋_GB2312"/>
          <w:color w:val="auto"/>
          <w:sz w:val="28"/>
          <w:szCs w:val="28"/>
          <w:highlight w:val="none"/>
          <w:u w:val="single"/>
        </w:rPr>
        <w:t xml:space="preserve">   广州市自来水有限公司  </w:t>
      </w:r>
      <w:r>
        <w:rPr>
          <w:rFonts w:hint="eastAsia" w:ascii="仿宋_GB2312" w:hAnsi="仿宋_GB2312" w:eastAsia="仿宋_GB2312" w:cs="仿宋_GB2312"/>
          <w:color w:val="auto"/>
          <w:sz w:val="28"/>
          <w:szCs w:val="28"/>
          <w:highlight w:val="none"/>
          <w:u w:val="single"/>
          <w:lang w:val="en-US" w:eastAsia="zh-CN"/>
        </w:rPr>
        <w:t xml:space="preserve"> </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受托人（乙方）：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根据《中华人民共和国</w:t>
      </w:r>
      <w:r>
        <w:rPr>
          <w:rFonts w:hint="eastAsia" w:ascii="仿宋_GB2312" w:hAnsi="仿宋_GB2312" w:eastAsia="仿宋_GB2312" w:cs="仿宋_GB2312"/>
          <w:color w:val="auto"/>
          <w:sz w:val="28"/>
          <w:szCs w:val="28"/>
          <w:highlight w:val="none"/>
          <w:lang w:eastAsia="zh-CN"/>
        </w:rPr>
        <w:t>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《中华人民共和国建筑法》、《建筑工程质量检测管理办法》及其他有关法律、法规，甲、乙双方在遵循平等、自愿、公平、互利和诚实信用的原则下，就下述建设工程委托质量</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及相关服务事项协商一致，订立本合同。</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1" w:name="_Toc10627388"/>
      <w:r>
        <w:rPr>
          <w:rFonts w:hint="eastAsia" w:ascii="黑体" w:hAnsi="黑体" w:eastAsia="黑体" w:cs="黑体"/>
          <w:b w:val="0"/>
          <w:bCs/>
          <w:color w:val="auto"/>
          <w:sz w:val="32"/>
          <w:szCs w:val="32"/>
          <w:highlight w:val="none"/>
        </w:rPr>
        <w:t>一、工程概况</w:t>
      </w:r>
      <w:bookmarkEnd w:id="131"/>
    </w:p>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2"/>
          <w:highlight w:val="none"/>
        </w:rPr>
        <w:t>项目名称：</w:t>
      </w:r>
      <w:r>
        <w:rPr>
          <w:rFonts w:hint="eastAsia" w:ascii="仿宋_GB2312" w:hAnsi="仿宋_GB2312" w:eastAsia="仿宋_GB2312" w:cs="仿宋_GB2312"/>
          <w:color w:val="auto"/>
          <w:sz w:val="28"/>
          <w:szCs w:val="28"/>
          <w:highlight w:val="none"/>
          <w:u w:val="single"/>
        </w:rPr>
        <w:t>2025-2027年广州市自来水有限公司厂站建设工程检测、监测服务项目</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p>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工程地点：</w:t>
      </w:r>
      <w:r>
        <w:rPr>
          <w:rFonts w:hint="eastAsia" w:ascii="仿宋_GB2312" w:hAnsi="仿宋_GB2312" w:eastAsia="仿宋_GB2312" w:cs="仿宋_GB2312"/>
          <w:color w:val="auto"/>
          <w:sz w:val="28"/>
          <w:szCs w:val="28"/>
          <w:highlight w:val="none"/>
          <w:u w:val="single"/>
          <w:lang w:eastAsia="zh-CN"/>
        </w:rPr>
        <w:t>广州市</w:t>
      </w:r>
    </w:p>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工程规模：</w:t>
      </w:r>
      <w:r>
        <w:rPr>
          <w:rFonts w:hint="eastAsia" w:ascii="仿宋_GB2312" w:hAnsi="仿宋_GB2312" w:eastAsia="仿宋_GB2312" w:cs="仿宋_GB2312"/>
          <w:color w:val="auto"/>
          <w:sz w:val="28"/>
          <w:szCs w:val="28"/>
          <w:highlight w:val="none"/>
          <w:u w:val="single"/>
        </w:rPr>
        <w:t>2025-2027年</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厂站建设工程检测、监测服务工作，涉及周边地表沉降、管线沉降等，基坑安全等级最高为一级</w:t>
      </w:r>
      <w:r>
        <w:rPr>
          <w:rFonts w:hint="eastAsia" w:ascii="仿宋_GB2312" w:hAnsi="仿宋_GB2312" w:eastAsia="仿宋_GB2312" w:cs="仿宋_GB2312"/>
          <w:color w:val="auto"/>
          <w:sz w:val="28"/>
          <w:szCs w:val="28"/>
          <w:highlight w:val="none"/>
          <w:u w:val="single"/>
          <w:lang w:eastAsia="zh-CN"/>
        </w:rPr>
        <w:t>。</w:t>
      </w:r>
    </w:p>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8"/>
          <w:highlight w:val="none"/>
        </w:rPr>
        <w:t>其他：</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2" w:name="_Toc10627389"/>
      <w:r>
        <w:rPr>
          <w:rFonts w:hint="eastAsia" w:ascii="黑体" w:hAnsi="黑体" w:eastAsia="黑体" w:cs="黑体"/>
          <w:b w:val="0"/>
          <w:bCs/>
          <w:color w:val="auto"/>
          <w:sz w:val="32"/>
          <w:szCs w:val="32"/>
          <w:highlight w:val="none"/>
        </w:rPr>
        <w:t>二、服务范围及工作内容</w:t>
      </w:r>
      <w:bookmarkEnd w:id="132"/>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受甲方委托，按照国家有关规范的要求，由乙方承担</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lang w:val="en-US" w:eastAsia="zh-CN"/>
        </w:rPr>
        <w:t>质量检测、</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lang w:val="en-US" w:eastAsia="zh-CN"/>
        </w:rPr>
        <w:t>质量监测的工作任务。</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双方约定的服务范围</w:t>
      </w:r>
      <w:r>
        <w:rPr>
          <w:rFonts w:hint="eastAsia" w:ascii="仿宋_GB2312" w:hAnsi="仿宋_GB2312" w:eastAsia="仿宋_GB2312" w:cs="仿宋_GB2312"/>
          <w:color w:val="auto"/>
          <w:sz w:val="28"/>
          <w:szCs w:val="22"/>
          <w:highlight w:val="none"/>
          <w:lang w:val="en-US" w:eastAsia="zh-CN"/>
        </w:rPr>
        <w:t>及</w:t>
      </w:r>
      <w:r>
        <w:rPr>
          <w:rFonts w:hint="eastAsia" w:ascii="仿宋_GB2312" w:hAnsi="仿宋_GB2312" w:eastAsia="仿宋_GB2312" w:cs="仿宋_GB2312"/>
          <w:color w:val="auto"/>
          <w:sz w:val="28"/>
          <w:szCs w:val="22"/>
          <w:highlight w:val="none"/>
        </w:rPr>
        <w:t>工作内容：</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eastAsia="zh-CN"/>
        </w:rPr>
        <w:t>负责</w:t>
      </w:r>
      <w:r>
        <w:rPr>
          <w:rFonts w:hint="eastAsia" w:ascii="仿宋_GB2312" w:hAnsi="仿宋_GB2312" w:eastAsia="仿宋_GB2312" w:cs="仿宋_GB2312"/>
          <w:color w:val="auto"/>
          <w:sz w:val="28"/>
          <w:szCs w:val="28"/>
          <w:highlight w:val="none"/>
          <w:u w:val="single"/>
        </w:rPr>
        <w:t>2025-2027年</w:t>
      </w:r>
      <w:r>
        <w:rPr>
          <w:rFonts w:hint="eastAsia" w:ascii="仿宋_GB2312" w:hAnsi="仿宋_GB2312" w:eastAsia="仿宋_GB2312" w:cs="仿宋_GB2312"/>
          <w:color w:val="auto"/>
          <w:sz w:val="28"/>
          <w:szCs w:val="28"/>
          <w:highlight w:val="none"/>
          <w:u w:val="single"/>
          <w:lang w:eastAsia="zh-CN"/>
        </w:rPr>
        <w:t>甲方第</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标段</w:t>
      </w:r>
      <w:r>
        <w:rPr>
          <w:rFonts w:hint="eastAsia" w:ascii="仿宋_GB2312" w:hAnsi="仿宋_GB2312" w:eastAsia="仿宋_GB2312" w:cs="仿宋_GB2312"/>
          <w:color w:val="auto"/>
          <w:sz w:val="28"/>
          <w:szCs w:val="28"/>
          <w:highlight w:val="none"/>
          <w:u w:val="single"/>
        </w:rPr>
        <w:t>厂站建设工程检测、监测服</w:t>
      </w:r>
      <w:r>
        <w:rPr>
          <w:rFonts w:hint="eastAsia" w:ascii="仿宋_GB2312" w:hAnsi="仿宋_GB2312" w:eastAsia="仿宋_GB2312" w:cs="仿宋_GB2312"/>
          <w:color w:val="auto"/>
          <w:sz w:val="28"/>
          <w:szCs w:val="28"/>
          <w:highlight w:val="none"/>
          <w:u w:val="single"/>
          <w:lang w:eastAsia="zh-CN"/>
        </w:rPr>
        <w:t>务工作</w:t>
      </w:r>
      <w:r>
        <w:rPr>
          <w:rFonts w:hint="eastAsia" w:ascii="仿宋_GB2312" w:hAnsi="仿宋_GB2312" w:eastAsia="仿宋_GB2312" w:cs="仿宋_GB2312"/>
          <w:color w:val="auto"/>
          <w:sz w:val="28"/>
          <w:szCs w:val="28"/>
          <w:highlight w:val="none"/>
          <w:u w:val="single"/>
          <w:lang w:eastAsia="zh-CN"/>
        </w:rPr>
        <w:t>，即</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检测监测工作包括但不限于：检测监测方案编制、方案送审（有关行政管理部门）、试验及相关需要的配套工作、编制并提交检测监测成果报告等全部工作。</w:t>
      </w:r>
    </w:p>
    <w:p>
      <w:pPr>
        <w:pageBreakBefore w:val="0"/>
        <w:kinsoku/>
        <w:wordWrap/>
        <w:overflowPunct/>
        <w:topLinePunct w:val="0"/>
        <w:bidi w:val="0"/>
        <w:adjustRightInd w:val="0"/>
        <w:snapToGrid w:val="0"/>
        <w:spacing w:line="560" w:lineRule="exact"/>
        <w:ind w:firstLine="554" w:firstLineChars="198"/>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（一）主要检测、监测内容包括：基坑监测、高支模监测、地基基础检测、结构实体检测（含焊缝超声波探伤、X射线检测及涂层厚度检测）、常规材料检测等水务工程主管部门、工程质监部门、</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要求检测的项目。</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（二）检测监测方案编制：</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1.根据项目特征及类型、相关标准及规范、施工图、施组方案、施工计划、检测监测技术要求等编制对应项目的第三方检测监测方案，报监理单位组织设计单位、施工单位审核确认后，在工作任务书发出后10日内向</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备案，并经监理单位下达执行指令方可实施。</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2.原则上单项工程检测监测方案预算不得高于该单项工程概算对应检测监测费用，若出现非</w:t>
      </w:r>
      <w:r>
        <w:rPr>
          <w:rFonts w:hint="eastAsia" w:ascii="仿宋_GB2312" w:hAnsi="仿宋_GB2312" w:eastAsia="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原因导致超概算对应检测监测费用情况，</w:t>
      </w:r>
      <w:r>
        <w:rPr>
          <w:rFonts w:hint="eastAsia" w:ascii="仿宋_GB2312" w:hAnsi="仿宋_GB2312" w:eastAsia="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必须分析查找原因，采取措施进行控制，并将方案报监理单位组织审核。</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3.编制的检测监测方案必须符合国家及地方现行有关技术规范或规定以及设计单位的技术要求，一经确认，不得随意更改，由</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留存，并根据需要向工程质量监管部门办理备案手续。如需调整方案，各方需按照原审批流程办理审核及确认手续，方可执行新方案。</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（三）在进行检测任务的过程中与该工程相关的施工单位、监理单位、设计单位、</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、建设主管部门等相关单位的协调工作。</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（四）检测数据的有关信息根据需要通过市水务监管系统进行传输报送。</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（五）确保施工阶段及验收阶段的各项验收及质量评定所必须的全部质量检测工作根据有关规范及规定按要求出具合法有效的检测成果报告，项目不因检测工作影响工程建设进度及验收。</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（六）自合同签订之日起至所有服务项目完成期间，每批次于现场取样后3天内提交检测初步报告，10天内提交正式检测报告。部分检测内容须待场地问题解决后方能开始实施，服务周期必须满足实际施工要求。</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（七）服务范围除上述检测、监测工作外，包括但不限于：</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①与工程所在行政区域的相关水务行政主管部门和监督部门进行检测工作的协调，申报检测技术成果的审批。保证技术成果能够通过相关部门认可，确保不因检测工作影响本工程项目的建设进度和竣工验收。</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②定期召开例会协调解决、汇报工作过程中存在的问题，并于每月25日提交月报、每三个月提交一次季报、工作小结等阶段性报告。</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③建立检测监测工作记录台账及不合格检验记录台账，主要应包括检测监测的时间、对应施工点、检测监测内容、报告出具时间、对应内容单价（合同单价）及合价、累计完成合同总价占比等情况，每月与施工、监理单位对数并更新。</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④当预估产生的检测监测费用与现场施工进度偏差超10%时，应触发预警动作，提醒监理单位及</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⑤对监测资料进行记录并存档以备查用，结合施工工况、天气情况、周围环境变化综合分析和判断，并提出相关建议。</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⑥严格按《广州市水务局关于严格规范落实水务工程建设质量终身责任制有关规定的通知》、《广州市水务局转发关于水利工程建设质量终身责任的管理办法（试行）的通知》（穗水质安〔2018〕139号）等文件要求，落实工程质量终身责任管理工作。</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u w:val="single"/>
          <w:lang w:eastAsia="zh-CN"/>
        </w:rPr>
        <w:t>（八）本次检测、监测招标内容如涉及在消防、公路、铁路、桥梁等其它行政管理部门管辖范围内的专项检测、监测服务，但乙方不具备专项专业检测、监测资质，经甲方审批同意后，乙方可将该部分检测、监测工作分包给具备相应消防、公路、铁路、桥梁等其它专业工程检测、监测资质的单位实施，并在分包合同签订之日起7天内向甲方和监理单位各提交一份分包合同。</w:t>
      </w:r>
    </w:p>
    <w:p>
      <w:pPr>
        <w:pageBreakBefore w:val="0"/>
        <w:kinsoku/>
        <w:wordWrap/>
        <w:overflowPunct/>
        <w:topLinePunct w:val="0"/>
        <w:bidi w:val="0"/>
        <w:adjustRightInd w:val="0"/>
        <w:snapToGrid w:val="0"/>
        <w:spacing w:line="560" w:lineRule="exact"/>
        <w:ind w:firstLine="554" w:firstLineChars="198"/>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2"/>
          <w:highlight w:val="none"/>
          <w:lang w:val="en-US" w:eastAsia="zh-CN"/>
        </w:rPr>
        <w:t>检测、监测</w:t>
      </w:r>
      <w:r>
        <w:rPr>
          <w:rFonts w:hint="eastAsia" w:ascii="仿宋_GB2312" w:hAnsi="仿宋_GB2312" w:eastAsia="仿宋_GB2312" w:cs="仿宋_GB2312"/>
          <w:color w:val="auto"/>
          <w:sz w:val="28"/>
          <w:szCs w:val="22"/>
          <w:highlight w:val="none"/>
        </w:rPr>
        <w:t>标准：</w:t>
      </w:r>
      <w:r>
        <w:rPr>
          <w:rFonts w:hint="eastAsia" w:ascii="仿宋_GB2312" w:hAnsi="仿宋_GB2312" w:eastAsia="仿宋_GB2312" w:cs="仿宋_GB2312"/>
          <w:color w:val="auto"/>
          <w:sz w:val="28"/>
          <w:szCs w:val="28"/>
          <w:highlight w:val="none"/>
          <w:u w:val="single"/>
        </w:rPr>
        <w:t>国家及地方现行有关技术规范或规定以及设计单位的技术要求。</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2"/>
          <w:highlight w:val="none"/>
          <w:u w:val="single"/>
        </w:rPr>
      </w:pPr>
      <w:r>
        <w:rPr>
          <w:rFonts w:hint="eastAsia" w:ascii="仿宋_GB2312" w:hAnsi="仿宋_GB2312" w:eastAsia="仿宋_GB2312" w:cs="仿宋_GB2312"/>
          <w:color w:val="auto"/>
          <w:sz w:val="28"/>
          <w:szCs w:val="22"/>
          <w:highlight w:val="none"/>
        </w:rPr>
        <w:t>服务要求：</w:t>
      </w:r>
      <w:r>
        <w:rPr>
          <w:rFonts w:hint="eastAsia" w:ascii="仿宋_GB2312" w:hAnsi="仿宋_GB2312" w:eastAsia="仿宋_GB2312" w:cs="仿宋_GB2312"/>
          <w:color w:val="auto"/>
          <w:sz w:val="28"/>
          <w:szCs w:val="22"/>
          <w:highlight w:val="none"/>
          <w:u w:val="single"/>
        </w:rPr>
        <w:t>确保施工阶段及验收阶段的各项验收及质量评定所必须的全部质量检测</w:t>
      </w:r>
      <w:r>
        <w:rPr>
          <w:rFonts w:hint="eastAsia" w:ascii="仿宋_GB2312" w:hAnsi="仿宋_GB2312" w:eastAsia="仿宋_GB2312" w:cs="仿宋_GB2312"/>
          <w:color w:val="auto"/>
          <w:sz w:val="28"/>
          <w:szCs w:val="22"/>
          <w:highlight w:val="none"/>
          <w:u w:val="single"/>
          <w:lang w:eastAsia="zh-CN"/>
        </w:rPr>
        <w:t>、</w:t>
      </w:r>
      <w:r>
        <w:rPr>
          <w:rFonts w:hint="eastAsia" w:ascii="仿宋_GB2312" w:hAnsi="仿宋_GB2312" w:eastAsia="仿宋_GB2312" w:cs="仿宋_GB2312"/>
          <w:color w:val="auto"/>
          <w:sz w:val="28"/>
          <w:szCs w:val="22"/>
          <w:highlight w:val="none"/>
          <w:u w:val="single"/>
        </w:rPr>
        <w:t>监测工作根据有关规范及规定按要求出具合法有效的检测</w:t>
      </w:r>
      <w:r>
        <w:rPr>
          <w:rFonts w:hint="eastAsia" w:ascii="仿宋_GB2312" w:hAnsi="仿宋_GB2312" w:eastAsia="仿宋_GB2312" w:cs="仿宋_GB2312"/>
          <w:color w:val="auto"/>
          <w:sz w:val="28"/>
          <w:szCs w:val="22"/>
          <w:highlight w:val="none"/>
          <w:u w:val="single"/>
          <w:lang w:eastAsia="zh-CN"/>
        </w:rPr>
        <w:t>、</w:t>
      </w:r>
      <w:r>
        <w:rPr>
          <w:rFonts w:hint="eastAsia" w:ascii="仿宋_GB2312" w:hAnsi="仿宋_GB2312" w:eastAsia="仿宋_GB2312" w:cs="仿宋_GB2312"/>
          <w:color w:val="auto"/>
          <w:sz w:val="28"/>
          <w:szCs w:val="22"/>
          <w:highlight w:val="none"/>
          <w:u w:val="single"/>
        </w:rPr>
        <w:t>监测成果报告，项目不因检测</w:t>
      </w:r>
      <w:r>
        <w:rPr>
          <w:rFonts w:hint="eastAsia" w:ascii="仿宋_GB2312" w:hAnsi="仿宋_GB2312" w:eastAsia="仿宋_GB2312" w:cs="仿宋_GB2312"/>
          <w:color w:val="auto"/>
          <w:sz w:val="28"/>
          <w:szCs w:val="22"/>
          <w:highlight w:val="none"/>
          <w:u w:val="single"/>
          <w:lang w:eastAsia="zh-CN"/>
        </w:rPr>
        <w:t>、</w:t>
      </w:r>
      <w:r>
        <w:rPr>
          <w:rFonts w:hint="eastAsia" w:ascii="仿宋_GB2312" w:hAnsi="仿宋_GB2312" w:eastAsia="仿宋_GB2312" w:cs="仿宋_GB2312"/>
          <w:color w:val="auto"/>
          <w:sz w:val="28"/>
          <w:szCs w:val="22"/>
          <w:highlight w:val="none"/>
          <w:u w:val="single"/>
        </w:rPr>
        <w:t>监测工作影响工程建设进度及验收。</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3" w:name="_Toc10627390"/>
      <w:r>
        <w:rPr>
          <w:rFonts w:hint="eastAsia" w:ascii="黑体" w:hAnsi="黑体" w:eastAsia="黑体" w:cs="黑体"/>
          <w:b w:val="0"/>
          <w:bCs/>
          <w:color w:val="auto"/>
          <w:sz w:val="32"/>
          <w:szCs w:val="32"/>
          <w:highlight w:val="none"/>
        </w:rPr>
        <w:t>三、服务期限</w:t>
      </w:r>
      <w:bookmarkEnd w:id="133"/>
    </w:p>
    <w:p>
      <w:pPr>
        <w:pageBreakBefore w:val="0"/>
        <w:kinsoku/>
        <w:wordWrap/>
        <w:overflowPunct/>
        <w:topLinePunct w:val="0"/>
        <w:bidi w:val="0"/>
        <w:adjustRightInd w:val="0"/>
        <w:snapToGrid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自合同签订之日起满两年或实际委托的金额达到暂定合同总额（二者以先到为准），</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终止向</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委托工程项目。</w:t>
      </w:r>
    </w:p>
    <w:p>
      <w:pPr>
        <w:pageBreakBefore w:val="0"/>
        <w:kinsoku/>
        <w:wordWrap/>
        <w:overflowPunct/>
        <w:topLinePunct w:val="0"/>
        <w:bidi w:val="0"/>
        <w:adjustRightInd w:val="0"/>
        <w:snapToGrid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单项工程的质量检测、监测服务期自委托后各工程竣工并验收合格两年，并且质量检测档案经档案馆验收合格，二者须同时满足并以后到者为准。</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rPr>
      </w:pPr>
      <w:bookmarkStart w:id="134" w:name="_Toc10627391"/>
      <w:r>
        <w:rPr>
          <w:rFonts w:hint="eastAsia" w:ascii="黑体" w:hAnsi="黑体" w:eastAsia="黑体" w:cs="黑体"/>
          <w:b w:val="0"/>
          <w:bCs/>
          <w:color w:val="auto"/>
          <w:sz w:val="32"/>
          <w:szCs w:val="32"/>
          <w:highlight w:val="none"/>
        </w:rPr>
        <w:t>四、</w:t>
      </w:r>
      <w:bookmarkEnd w:id="134"/>
      <w:r>
        <w:rPr>
          <w:rFonts w:hint="eastAsia" w:ascii="黑体" w:hAnsi="黑体" w:eastAsia="黑体" w:cs="黑体"/>
          <w:b w:val="0"/>
          <w:bCs/>
          <w:color w:val="auto"/>
          <w:sz w:val="32"/>
          <w:szCs w:val="32"/>
          <w:highlight w:val="none"/>
          <w:lang w:val="en-US" w:eastAsia="zh-CN"/>
        </w:rPr>
        <w:t>合同金额</w:t>
      </w:r>
    </w:p>
    <w:p>
      <w:pPr>
        <w:pageBreakBefore w:val="0"/>
        <w:kinsoku/>
        <w:wordWrap/>
        <w:overflowPunct/>
        <w:topLinePunct w:val="0"/>
        <w:bidi w:val="0"/>
        <w:adjustRightInd w:val="0"/>
        <w:snapToGrid w:val="0"/>
        <w:spacing w:before="156" w:beforeLines="50"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本合同暂定金额为</w:t>
      </w:r>
      <w:r>
        <w:rPr>
          <w:rFonts w:hint="eastAsia" w:ascii="仿宋_GB2312" w:hAnsi="仿宋_GB2312" w:eastAsia="仿宋_GB2312" w:cs="仿宋_GB2312"/>
          <w:color w:val="auto"/>
          <w:sz w:val="28"/>
          <w:szCs w:val="28"/>
          <w:highlight w:val="none"/>
        </w:rPr>
        <w:t>￥</w:t>
      </w:r>
      <w:r>
        <w:rPr>
          <w:rFonts w:hint="default"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其中暂列金为</w:t>
      </w:r>
      <w:r>
        <w:rPr>
          <w:rFonts w:hint="eastAsia" w:ascii="仿宋_GB2312" w:hAnsi="仿宋_GB2312" w:eastAsia="仿宋_GB2312" w:cs="仿宋_GB2312"/>
          <w:color w:val="auto"/>
          <w:sz w:val="28"/>
          <w:szCs w:val="28"/>
          <w:highlight w:val="none"/>
        </w:rPr>
        <w:t>￥</w:t>
      </w:r>
      <w:r>
        <w:rPr>
          <w:rFonts w:hint="default"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lang w:val="en-US" w:eastAsia="zh-CN"/>
        </w:rPr>
        <w:t>投标下浮率为</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计算方式</w:t>
      </w:r>
      <w:r>
        <w:rPr>
          <w:rFonts w:hint="eastAsia" w:ascii="仿宋_GB2312" w:hAnsi="仿宋_GB2312" w:eastAsia="仿宋_GB2312" w:cs="仿宋_GB2312"/>
          <w:color w:val="auto"/>
          <w:sz w:val="28"/>
          <w:szCs w:val="28"/>
          <w:highlight w:val="none"/>
          <w:lang w:val="en-US" w:eastAsia="zh-CN"/>
        </w:rPr>
        <w:t>为</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单价包干</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☒总价包干</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☒其它：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pPr>
        <w:pageBreakBefore w:val="0"/>
        <w:kinsoku/>
        <w:wordWrap/>
        <w:overflowPunct/>
        <w:topLinePunct w:val="0"/>
        <w:bidi w:val="0"/>
        <w:adjustRightInd w:val="0"/>
        <w:snapToGrid w:val="0"/>
        <w:spacing w:before="156" w:beforeLines="50" w:line="560" w:lineRule="exact"/>
        <w:ind w:firstLine="554" w:firstLineChars="198"/>
        <w:jc w:val="left"/>
        <w:textAlignment w:val="auto"/>
        <w:rPr>
          <w:rFonts w:hint="default"/>
          <w:color w:val="auto"/>
          <w:highlight w:val="none"/>
          <w:lang w:val="en-US" w:eastAsia="zh-CN"/>
        </w:rPr>
      </w:pPr>
      <w:bookmarkStart w:id="135" w:name="_Toc10627392"/>
      <w:r>
        <w:rPr>
          <w:rFonts w:hint="eastAsia" w:ascii="仿宋_GB2312" w:hAnsi="仿宋_GB2312" w:eastAsia="仿宋_GB2312" w:cs="仿宋_GB2312"/>
          <w:color w:val="auto"/>
          <w:sz w:val="28"/>
          <w:szCs w:val="28"/>
          <w:highlight w:val="none"/>
        </w:rPr>
        <w:t>具体</w:t>
      </w:r>
      <w:r>
        <w:rPr>
          <w:rFonts w:hint="eastAsia" w:ascii="仿宋_GB2312" w:hAnsi="仿宋_GB2312" w:eastAsia="仿宋_GB2312" w:cs="仿宋_GB2312"/>
          <w:color w:val="auto"/>
          <w:sz w:val="28"/>
          <w:szCs w:val="28"/>
          <w:highlight w:val="none"/>
          <w:lang w:val="en-US" w:eastAsia="zh-CN"/>
        </w:rPr>
        <w:t>检测、监测服务费用单价</w:t>
      </w:r>
      <w:r>
        <w:rPr>
          <w:rFonts w:hint="eastAsia" w:ascii="仿宋_GB2312" w:hAnsi="仿宋_GB2312" w:eastAsia="仿宋_GB2312" w:cs="仿宋_GB2312"/>
          <w:color w:val="auto"/>
          <w:sz w:val="28"/>
          <w:szCs w:val="28"/>
          <w:highlight w:val="none"/>
        </w:rPr>
        <w:t>清单详见</w:t>
      </w:r>
      <w:r>
        <w:rPr>
          <w:rFonts w:hint="eastAsia" w:ascii="仿宋_GB2312" w:hAnsi="仿宋_GB2312" w:eastAsia="仿宋_GB2312" w:cs="仿宋_GB2312"/>
          <w:color w:val="auto"/>
          <w:sz w:val="28"/>
          <w:szCs w:val="28"/>
          <w:highlight w:val="none"/>
          <w:lang w:val="en-US" w:eastAsia="zh-CN"/>
        </w:rPr>
        <w:t>附件1。</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五、合同文件的构成</w:t>
      </w:r>
      <w:bookmarkEnd w:id="135"/>
    </w:p>
    <w:p>
      <w:pPr>
        <w:pageBreakBefore w:val="0"/>
        <w:kinsoku/>
        <w:wordWrap/>
        <w:overflowPunct/>
        <w:topLinePunct w:val="0"/>
        <w:bidi w:val="0"/>
        <w:adjustRightInd w:val="0"/>
        <w:snapToGrid w:val="0"/>
        <w:spacing w:before="156" w:beforeLines="50"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合同文件的构成及其优先解释顺序与本合同第二部分《通用条款》第1.3款赋予的规定一致。</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bookmarkStart w:id="136" w:name="_Toc10627393"/>
      <w:r>
        <w:rPr>
          <w:rFonts w:hint="eastAsia" w:ascii="黑体" w:hAnsi="黑体" w:eastAsia="黑体" w:cs="黑体"/>
          <w:b w:val="0"/>
          <w:bCs/>
          <w:color w:val="auto"/>
          <w:sz w:val="32"/>
          <w:szCs w:val="32"/>
          <w:highlight w:val="none"/>
          <w:lang w:val="en-US" w:eastAsia="zh-CN"/>
        </w:rPr>
        <w:t>六、词语定义</w:t>
      </w:r>
      <w:bookmarkEnd w:id="136"/>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本协议书中相关词语的含义与本合同第二部分《通用条款》第1条赋予它们的定义相同。</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bookmarkStart w:id="137" w:name="_Toc10627394"/>
      <w:r>
        <w:rPr>
          <w:rFonts w:hint="eastAsia" w:ascii="黑体" w:hAnsi="黑体" w:eastAsia="黑体" w:cs="黑体"/>
          <w:b w:val="0"/>
          <w:bCs/>
          <w:color w:val="auto"/>
          <w:sz w:val="32"/>
          <w:szCs w:val="32"/>
          <w:highlight w:val="none"/>
          <w:lang w:val="en-US" w:eastAsia="zh-CN"/>
        </w:rPr>
        <w:t>七、合同生效</w:t>
      </w:r>
      <w:bookmarkEnd w:id="137"/>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本合同订立地点：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广州市</w:t>
      </w:r>
      <w:r>
        <w:rPr>
          <w:rFonts w:hint="eastAsia" w:ascii="仿宋_GB2312" w:hAnsi="仿宋_GB2312" w:eastAsia="仿宋_GB2312" w:cs="仿宋_GB2312"/>
          <w:color w:val="auto"/>
          <w:sz w:val="28"/>
          <w:szCs w:val="28"/>
          <w:highlight w:val="none"/>
          <w:u w:val="single"/>
        </w:rPr>
        <w:t xml:space="preserve">    </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合同双方当事人约定本合同自双方</w:t>
      </w:r>
      <w:r>
        <w:rPr>
          <w:rFonts w:hint="eastAsia" w:ascii="仿宋_GB2312" w:hAnsi="仿宋_GB2312" w:eastAsia="仿宋_GB2312" w:cs="仿宋_GB2312"/>
          <w:color w:val="auto"/>
          <w:sz w:val="28"/>
          <w:szCs w:val="22"/>
          <w:highlight w:val="none"/>
          <w:lang w:val="en-US" w:eastAsia="zh-CN"/>
        </w:rPr>
        <w:t>法定代表人或委托代理人</w:t>
      </w:r>
      <w:r>
        <w:rPr>
          <w:rFonts w:hint="eastAsia" w:ascii="仿宋_GB2312" w:hAnsi="仿宋_GB2312" w:eastAsia="仿宋_GB2312" w:cs="仿宋_GB2312"/>
          <w:color w:val="auto"/>
          <w:sz w:val="28"/>
          <w:szCs w:val="22"/>
          <w:highlight w:val="none"/>
        </w:rPr>
        <w:t>签字、盖章后生效。</w:t>
      </w:r>
    </w:p>
    <w:p>
      <w:pPr>
        <w:pStyle w:val="6"/>
        <w:pageBreakBefore w:val="0"/>
        <w:numPr>
          <w:ilvl w:val="0"/>
          <w:numId w:val="0"/>
        </w:numPr>
        <w:kinsoku/>
        <w:wordWrap/>
        <w:overflowPunct/>
        <w:topLinePunct w:val="0"/>
        <w:bidi w:val="0"/>
        <w:spacing w:line="560" w:lineRule="exact"/>
        <w:jc w:val="left"/>
        <w:textAlignment w:val="auto"/>
        <w:rPr>
          <w:rFonts w:hint="eastAsia" w:ascii="黑体" w:hAnsi="黑体" w:eastAsia="黑体" w:cs="黑体"/>
          <w:b w:val="0"/>
          <w:bCs/>
          <w:color w:val="auto"/>
          <w:sz w:val="32"/>
          <w:szCs w:val="32"/>
          <w:highlight w:val="none"/>
          <w:lang w:val="en-US" w:eastAsia="zh-CN"/>
        </w:rPr>
      </w:pPr>
      <w:bookmarkStart w:id="138" w:name="_Toc10627395"/>
      <w:r>
        <w:rPr>
          <w:rFonts w:hint="eastAsia" w:ascii="黑体" w:hAnsi="黑体" w:eastAsia="黑体" w:cs="黑体"/>
          <w:b w:val="0"/>
          <w:bCs/>
          <w:color w:val="auto"/>
          <w:sz w:val="32"/>
          <w:szCs w:val="32"/>
          <w:highlight w:val="none"/>
          <w:lang w:val="en-US" w:eastAsia="zh-CN"/>
        </w:rPr>
        <w:t>八、合同份数</w:t>
      </w:r>
      <w:bookmarkEnd w:id="138"/>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份，具有同等法律效力，其中甲方执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w:t>
      </w:r>
    </w:p>
    <w:tbl>
      <w:tblPr>
        <w:tblStyle w:val="25"/>
        <w:tblpPr w:leftFromText="180" w:rightFromText="180" w:vertAnchor="text" w:horzAnchor="page" w:tblpX="2035" w:tblpY="3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rPr>
            </w:pPr>
            <w:bookmarkStart w:id="139" w:name="_Toc10627396"/>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：（盖章）</w:t>
            </w:r>
          </w:p>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lang w:eastAsia="zh-CN"/>
              </w:rPr>
              <w:t>广州市自来水有限公司</w:t>
            </w:r>
          </w:p>
        </w:tc>
        <w:tc>
          <w:tcPr>
            <w:tcW w:w="4261" w:type="dxa"/>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pPr>
              <w:pageBreakBefore w:val="0"/>
              <w:kinsoku/>
              <w:wordWrap/>
              <w:overflowPunct/>
              <w:topLinePunct w:val="0"/>
              <w:bidi w:val="0"/>
              <w:adjustRightInd w:val="0"/>
              <w:snapToGrid w:val="0"/>
              <w:spacing w:line="560" w:lineRule="exact"/>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广州市中山一路</w:t>
            </w:r>
            <w:r>
              <w:rPr>
                <w:rFonts w:hint="eastAsia" w:ascii="仿宋_GB2312" w:hAnsi="仿宋_GB2312" w:eastAsia="仿宋_GB2312" w:cs="仿宋_GB2312"/>
                <w:color w:val="auto"/>
                <w:sz w:val="28"/>
                <w:szCs w:val="28"/>
                <w:highlight w:val="none"/>
                <w:lang w:val="en-US" w:eastAsia="zh-CN"/>
              </w:rPr>
              <w:t>12号</w:t>
            </w:r>
          </w:p>
        </w:tc>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261" w:type="dxa"/>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委托代理人：</w:t>
            </w:r>
          </w:p>
        </w:tc>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color w:val="auto"/>
                <w:sz w:val="28"/>
                <w:szCs w:val="28"/>
                <w:highlight w:val="none"/>
              </w:rPr>
              <w:t xml:space="preserve">： </w:t>
            </w:r>
          </w:p>
        </w:tc>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color w:val="auto"/>
                <w:sz w:val="28"/>
                <w:szCs w:val="2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lang w:val="en-US" w:eastAsia="zh-CN"/>
              </w:rPr>
              <w:t>联系人：</w:t>
            </w:r>
          </w:p>
        </w:tc>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p>
        </w:tc>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p>
        </w:tc>
        <w:tc>
          <w:tcPr>
            <w:tcW w:w="4261" w:type="dxa"/>
            <w:vAlign w:val="top"/>
          </w:tcPr>
          <w:p>
            <w:pPr>
              <w:pageBreakBefore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en-US" w:eastAsia="zh-CN"/>
              </w:rPr>
              <w:t>银行</w:t>
            </w:r>
            <w:r>
              <w:rPr>
                <w:rFonts w:hint="eastAsia" w:ascii="仿宋_GB2312" w:hAnsi="仿宋_GB2312" w:eastAsia="仿宋_GB2312" w:cs="仿宋_GB2312"/>
                <w:color w:val="auto"/>
                <w:sz w:val="28"/>
                <w:szCs w:val="28"/>
                <w:highlight w:val="none"/>
              </w:rPr>
              <w:t>账号：</w:t>
            </w:r>
          </w:p>
        </w:tc>
      </w:tr>
    </w:tbl>
    <w:p>
      <w:pPr>
        <w:rPr>
          <w:rFonts w:hint="eastAsia" w:ascii="方正小标宋简体" w:hAnsi="方正小标宋简体" w:eastAsia="方正小标宋简体" w:cs="方正小标宋简体"/>
          <w:b w:val="0"/>
          <w:bCs w:val="0"/>
          <w:color w:val="auto"/>
          <w:sz w:val="44"/>
          <w:szCs w:val="44"/>
          <w:highlight w:val="none"/>
        </w:rPr>
      </w:pPr>
    </w:p>
    <w:p>
      <w:pP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br w:type="page"/>
      </w:r>
    </w:p>
    <w:p>
      <w:pPr>
        <w:pStyle w:val="5"/>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方正小标宋简体" w:hAnsi="方正小标宋简体" w:eastAsia="方正小标宋简体" w:cs="方正小标宋简体"/>
          <w:b w:val="0"/>
          <w:bCs w:val="0"/>
          <w:color w:val="auto"/>
          <w:sz w:val="44"/>
          <w:szCs w:val="44"/>
          <w:highlight w:val="none"/>
        </w:rPr>
        <w:t>第二部分  通用条款</w:t>
      </w:r>
      <w:bookmarkEnd w:id="139"/>
    </w:p>
    <w:p>
      <w:pPr>
        <w:pStyle w:val="7"/>
        <w:pageBreakBefore w:val="0"/>
        <w:numPr>
          <w:ilvl w:val="0"/>
          <w:numId w:val="0"/>
        </w:numPr>
        <w:kinsoku/>
        <w:wordWrap/>
        <w:overflowPunct/>
        <w:topLinePunct w:val="0"/>
        <w:bidi w:val="0"/>
        <w:spacing w:line="560" w:lineRule="exact"/>
        <w:ind w:left="1150" w:hanging="720"/>
        <w:jc w:val="left"/>
        <w:textAlignment w:val="auto"/>
        <w:rPr>
          <w:rFonts w:hint="eastAsia" w:ascii="黑体" w:hAnsi="黑体" w:eastAsia="黑体" w:cs="黑体"/>
          <w:b w:val="0"/>
          <w:bCs w:val="0"/>
          <w:color w:val="auto"/>
          <w:sz w:val="32"/>
          <w:szCs w:val="32"/>
          <w:highlight w:val="none"/>
        </w:rPr>
      </w:pPr>
      <w:bookmarkStart w:id="140" w:name="_Toc10627397"/>
      <w:r>
        <w:rPr>
          <w:rFonts w:hint="eastAsia" w:ascii="黑体" w:hAnsi="黑体" w:eastAsia="黑体" w:cs="黑体"/>
          <w:b w:val="0"/>
          <w:bCs w:val="0"/>
          <w:color w:val="auto"/>
          <w:sz w:val="32"/>
          <w:szCs w:val="32"/>
          <w:highlight w:val="none"/>
        </w:rPr>
        <w:t>1. 词语定义、语言、解释顺序与适用法律</w:t>
      </w:r>
      <w:bookmarkEnd w:id="140"/>
      <w:bookmarkStart w:id="141" w:name="_Toc10627398"/>
    </w:p>
    <w:p>
      <w:pPr>
        <w:pStyle w:val="7"/>
        <w:pageBreakBefore w:val="0"/>
        <w:numPr>
          <w:ilvl w:val="0"/>
          <w:numId w:val="0"/>
        </w:numPr>
        <w:kinsoku/>
        <w:wordWrap/>
        <w:overflowPunct/>
        <w:topLinePunct w:val="0"/>
        <w:bidi w:val="0"/>
        <w:spacing w:line="560" w:lineRule="exact"/>
        <w:ind w:left="1150" w:hanging="720"/>
        <w:jc w:val="left"/>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1.1词语定义</w:t>
      </w:r>
      <w:bookmarkEnd w:id="141"/>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组成本合同的全部文件中的下列名词和用语应具有本款所赋予的含义：</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rPr>
        <w:t xml:space="preserve">1.1.1 </w:t>
      </w:r>
      <w:r>
        <w:rPr>
          <w:rFonts w:hint="eastAsia" w:ascii="仿宋_GB2312" w:hAnsi="仿宋_GB2312" w:eastAsia="仿宋_GB2312" w:cs="仿宋_GB2312"/>
          <w:color w:val="auto"/>
          <w:sz w:val="28"/>
          <w:szCs w:val="28"/>
          <w:highlight w:val="none"/>
        </w:rPr>
        <w:t>“工程”是指按照本合同约定实施质量</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服务的建设工程。</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 xml:space="preserve">1.1.2 </w:t>
      </w:r>
      <w:r>
        <w:rPr>
          <w:rFonts w:hint="eastAsia" w:ascii="仿宋_GB2312" w:hAnsi="仿宋_GB2312" w:eastAsia="仿宋_GB2312" w:cs="仿宋_GB2312"/>
          <w:color w:val="auto"/>
          <w:sz w:val="28"/>
          <w:szCs w:val="28"/>
          <w:highlight w:val="none"/>
        </w:rPr>
        <w:t>“工程质量检测”是指工程质量检测机构（以下简称机构）接受委托，依据国家有关法律、法规和工程建设强制性标准，对涉及结构安全项目的抽样检测和对进入施工现场的建筑材料、构配件的见证取样检测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工程质量</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是指机构</w:t>
      </w:r>
      <w:r>
        <w:rPr>
          <w:rFonts w:hint="eastAsia" w:ascii="仿宋_GB2312" w:hAnsi="仿宋_GB2312" w:eastAsia="仿宋_GB2312" w:cs="仿宋_GB2312"/>
          <w:color w:val="auto"/>
          <w:sz w:val="28"/>
          <w:szCs w:val="28"/>
          <w:highlight w:val="none"/>
        </w:rPr>
        <w:t>接受委托，依据国家有关法律、法规和工程建设强制性标准，</w:t>
      </w:r>
      <w:r>
        <w:rPr>
          <w:rFonts w:hint="eastAsia" w:ascii="仿宋_GB2312" w:hAnsi="仿宋_GB2312" w:eastAsia="仿宋_GB2312" w:cs="仿宋_GB2312"/>
          <w:color w:val="auto"/>
          <w:sz w:val="28"/>
          <w:szCs w:val="28"/>
          <w:highlight w:val="none"/>
          <w:lang w:val="en-US" w:eastAsia="zh-CN"/>
        </w:rPr>
        <w:t>在建构筑物施工、使用、维护及改建过程中，通过对工程结构和环境参数的连续观测和数据采集，利用相关仪器设备和技术手段，对工程质量、安全性、使用寿命等进行监测、分析和评估。</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1.1.3 </w:t>
      </w:r>
      <w:r>
        <w:rPr>
          <w:rFonts w:hint="eastAsia" w:ascii="仿宋_GB2312" w:hAnsi="仿宋_GB2312" w:eastAsia="仿宋_GB2312" w:cs="仿宋_GB2312"/>
          <w:color w:val="auto"/>
          <w:sz w:val="28"/>
          <w:szCs w:val="28"/>
          <w:highlight w:val="none"/>
        </w:rPr>
        <w:t>“甲方”是指委托单位，即本合同中委托质量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 xml:space="preserve">与其他服务的一方。 </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1.1.4 </w:t>
      </w:r>
      <w:r>
        <w:rPr>
          <w:rFonts w:hint="eastAsia" w:ascii="仿宋_GB2312" w:hAnsi="仿宋_GB2312" w:eastAsia="仿宋_GB2312" w:cs="仿宋_GB2312"/>
          <w:color w:val="auto"/>
          <w:sz w:val="28"/>
          <w:szCs w:val="28"/>
          <w:highlight w:val="none"/>
        </w:rPr>
        <w:t>“乙方”是指</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单位，即本合同中提供工程质量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与其他服务的一方。</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1.1.5 </w:t>
      </w:r>
      <w:r>
        <w:rPr>
          <w:rFonts w:hint="eastAsia" w:ascii="仿宋_GB2312" w:hAnsi="仿宋_GB2312" w:eastAsia="仿宋_GB2312" w:cs="仿宋_GB2312"/>
          <w:color w:val="auto"/>
          <w:sz w:val="28"/>
          <w:szCs w:val="28"/>
          <w:highlight w:val="none"/>
        </w:rPr>
        <w:t>“正常工作”是指本合同订立时通用条款和专用条款中约定的乙方的工作。</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 xml:space="preserve">1.1.6 </w:t>
      </w:r>
      <w:r>
        <w:rPr>
          <w:rFonts w:hint="eastAsia" w:ascii="仿宋_GB2312" w:hAnsi="仿宋_GB2312" w:eastAsia="仿宋_GB2312" w:cs="仿宋_GB2312"/>
          <w:color w:val="auto"/>
          <w:sz w:val="28"/>
          <w:szCs w:val="28"/>
          <w:highlight w:val="none"/>
        </w:rPr>
        <w:t>“项目负责人”是指由甲方和乙方的法定代表人书面授权，在授权范围内负责履行本合同、主持项目</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工作的负责人。</w:t>
      </w:r>
    </w:p>
    <w:p>
      <w:pPr>
        <w:pageBreakBefore w:val="0"/>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费用”是指乙方履行本合同义务，甲方按照本合同约定支付给乙方的金额。</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1.1.8</w:t>
      </w:r>
      <w:r>
        <w:rPr>
          <w:rFonts w:hint="eastAsia" w:ascii="仿宋_GB2312" w:hAnsi="仿宋_GB2312" w:eastAsia="仿宋_GB2312" w:cs="仿宋_GB2312"/>
          <w:color w:val="auto"/>
          <w:sz w:val="28"/>
          <w:szCs w:val="28"/>
          <w:highlight w:val="none"/>
        </w:rPr>
        <w:t>“书面形式”是指合同书、信件和数据电文（包括电报、电传、传真、电子数据交换和电子邮件）等可以有形地表现所载内容的形式。</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1.1.9</w:t>
      </w:r>
      <w:r>
        <w:rPr>
          <w:rFonts w:hint="eastAsia" w:ascii="仿宋_GB2312" w:hAnsi="仿宋_GB2312" w:eastAsia="仿宋_GB2312" w:cs="仿宋_GB2312"/>
          <w:color w:val="auto"/>
          <w:sz w:val="28"/>
          <w:szCs w:val="28"/>
          <w:highlight w:val="none"/>
        </w:rPr>
        <w:t xml:space="preserve"> “天”是指第一天零时至第二天零时的时间。</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1.1.10</w:t>
      </w:r>
      <w:r>
        <w:rPr>
          <w:rFonts w:hint="eastAsia" w:ascii="仿宋_GB2312" w:hAnsi="仿宋_GB2312" w:eastAsia="仿宋_GB2312" w:cs="仿宋_GB2312"/>
          <w:color w:val="auto"/>
          <w:sz w:val="28"/>
          <w:szCs w:val="28"/>
          <w:highlight w:val="none"/>
        </w:rPr>
        <w:t>“月”是指按公历从一个月中任何一天开始的一个公历月时间。</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1.1.11</w:t>
      </w:r>
      <w:r>
        <w:rPr>
          <w:rFonts w:hint="eastAsia" w:ascii="仿宋_GB2312" w:hAnsi="仿宋_GB2312" w:eastAsia="仿宋_GB2312" w:cs="仿宋_GB2312"/>
          <w:color w:val="auto"/>
          <w:kern w:val="0"/>
          <w:sz w:val="28"/>
          <w:szCs w:val="28"/>
          <w:highlight w:val="none"/>
        </w:rPr>
        <w:t>不可抗力是指合同当事人在签订合同时不可预见，在合同履行过程中不可避免且不能克服的自然灾害和社会性突发事件，如地震、海啸、瘟疫、骚乱、戒严、暴动、战争</w:t>
      </w:r>
      <w:r>
        <w:rPr>
          <w:rFonts w:hint="eastAsia" w:ascii="仿宋_GB2312" w:hAnsi="仿宋_GB2312" w:eastAsia="仿宋_GB2312" w:cs="仿宋_GB2312"/>
          <w:color w:val="auto"/>
          <w:sz w:val="28"/>
          <w:szCs w:val="28"/>
          <w:highlight w:val="none"/>
        </w:rPr>
        <w:t>等。</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2" w:name="_Toc10627399"/>
      <w:r>
        <w:rPr>
          <w:rFonts w:hint="eastAsia" w:ascii="黑体" w:hAnsi="黑体" w:eastAsia="黑体" w:cs="黑体"/>
          <w:b w:val="0"/>
          <w:bCs w:val="0"/>
          <w:color w:val="auto"/>
          <w:sz w:val="28"/>
          <w:szCs w:val="28"/>
          <w:highlight w:val="none"/>
        </w:rPr>
        <w:t>1.2语言</w:t>
      </w:r>
      <w:bookmarkEnd w:id="142"/>
    </w:p>
    <w:p>
      <w:pPr>
        <w:pageBreakBefore w:val="0"/>
        <w:kinsoku/>
        <w:wordWrap/>
        <w:overflowPunct/>
        <w:topLinePunct w:val="0"/>
        <w:bidi w:val="0"/>
        <w:adjustRightInd w:val="0"/>
        <w:snapToGrid w:val="0"/>
        <w:spacing w:line="560" w:lineRule="exact"/>
        <w:ind w:left="240" w:leftChars="10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本合同使用中文书写、解释和说明。如专用条款约定使用两种及以上语言文字时，应以中文为准。</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3" w:name="_Toc10627400"/>
      <w:r>
        <w:rPr>
          <w:rFonts w:hint="eastAsia" w:ascii="黑体" w:hAnsi="黑体" w:eastAsia="黑体" w:cs="黑体"/>
          <w:b w:val="0"/>
          <w:bCs w:val="0"/>
          <w:color w:val="auto"/>
          <w:sz w:val="28"/>
          <w:szCs w:val="28"/>
          <w:highlight w:val="none"/>
        </w:rPr>
        <w:t>1.3合同文件的优先顺序</w:t>
      </w:r>
      <w:bookmarkEnd w:id="143"/>
    </w:p>
    <w:p>
      <w:pPr>
        <w:pageBreakBefore w:val="0"/>
        <w:tabs>
          <w:tab w:val="left" w:pos="6140"/>
        </w:tabs>
        <w:kinsoku/>
        <w:wordWrap/>
        <w:overflowPunct/>
        <w:topLinePunct w:val="0"/>
        <w:bidi w:val="0"/>
        <w:adjustRightInd w:val="0"/>
        <w:snapToGrid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组成本合同的下列文件彼此应能相互解释、互为说明。本合同文件的解释顺序如下：</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(1)履行本合同的相关补充协议（含工程洽商记录、会议纪要、变更、现场签证、索赔和合同价款调整报告等修正文件）；</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(2)协议书；</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(3)中标通知书（适用于招标工程）或委托书（适用于非招标工程）；</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(4)投标函及投标函附录（适用于招标工程）或质量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服务建议书（适用于非招标工程）；</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(5)专用条款及附件；</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(6)通用条款；</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(7)招标文件（包括补充、修改、澄清的文件、答疑纪要及总说明等）；</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(8)专用条款约定的其他文件；</w:t>
      </w:r>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上述各项合同文件包括合同当事人就该项合同文件所作出的补充和修改，属于同一类内容的文件，应以最新签署的为准。</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4" w:name="_Toc10627401"/>
      <w:r>
        <w:rPr>
          <w:rFonts w:hint="eastAsia" w:ascii="黑体" w:hAnsi="黑体" w:eastAsia="黑体" w:cs="黑体"/>
          <w:b w:val="0"/>
          <w:bCs w:val="0"/>
          <w:color w:val="auto"/>
          <w:sz w:val="28"/>
          <w:szCs w:val="28"/>
          <w:highlight w:val="none"/>
        </w:rPr>
        <w:t>1.4适用法律</w:t>
      </w:r>
      <w:bookmarkEnd w:id="144"/>
    </w:p>
    <w:p>
      <w:pPr>
        <w:pageBreakBefore w:val="0"/>
        <w:tabs>
          <w:tab w:val="left" w:pos="6140"/>
        </w:tabs>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本合同适用中华人民共和国法律、行政法规、部门规章以及工程所在地的地方性法规、地方政府规章和地方规范性文件等。合同当事人可以在专用条款中约定本合同适用的其他规范、规程、技术标准等文件。</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45" w:name="_Toc10627402"/>
      <w:r>
        <w:rPr>
          <w:rFonts w:hint="eastAsia" w:ascii="黑体" w:hAnsi="黑体" w:eastAsia="黑体" w:cs="黑体"/>
          <w:b w:val="0"/>
          <w:bCs w:val="0"/>
          <w:color w:val="auto"/>
          <w:sz w:val="32"/>
          <w:szCs w:val="32"/>
          <w:highlight w:val="none"/>
        </w:rPr>
        <w:t>2. 甲方的权利、义务</w:t>
      </w:r>
      <w:bookmarkEnd w:id="145"/>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6" w:name="_Toc10627403"/>
      <w:r>
        <w:rPr>
          <w:rFonts w:hint="eastAsia" w:ascii="黑体" w:hAnsi="黑体" w:eastAsia="黑体" w:cs="黑体"/>
          <w:b w:val="0"/>
          <w:bCs w:val="0"/>
          <w:color w:val="auto"/>
          <w:sz w:val="28"/>
          <w:szCs w:val="28"/>
          <w:highlight w:val="none"/>
        </w:rPr>
        <w:t>2.1现场监督</w:t>
      </w:r>
      <w:bookmarkEnd w:id="146"/>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甲方有权亲自或派人在工程作业现场实施旁站监督。</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7" w:name="_Toc10627404"/>
      <w:r>
        <w:rPr>
          <w:rFonts w:hint="eastAsia" w:ascii="黑体" w:hAnsi="黑体" w:eastAsia="黑体" w:cs="黑体"/>
          <w:b w:val="0"/>
          <w:bCs w:val="0"/>
          <w:color w:val="auto"/>
          <w:sz w:val="28"/>
          <w:szCs w:val="28"/>
          <w:highlight w:val="none"/>
        </w:rPr>
        <w:t>2.2提供资料和工作条件</w:t>
      </w:r>
      <w:bookmarkEnd w:id="147"/>
    </w:p>
    <w:p>
      <w:pPr>
        <w:pageBreakBefore w:val="0"/>
        <w:kinsoku/>
        <w:wordWrap/>
        <w:overflowPunct/>
        <w:topLinePunct w:val="0"/>
        <w:bidi w:val="0"/>
        <w:adjustRightInd w:val="0"/>
        <w:snapToGrid w:val="0"/>
        <w:spacing w:line="560" w:lineRule="exact"/>
        <w:ind w:left="240" w:leftChars="100" w:firstLine="280" w:firstLineChars="1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2.2.1</w:t>
      </w:r>
      <w:r>
        <w:rPr>
          <w:rFonts w:hint="eastAsia" w:ascii="仿宋_GB2312" w:hAnsi="仿宋_GB2312" w:eastAsia="仿宋_GB2312" w:cs="仿宋_GB2312"/>
          <w:color w:val="auto"/>
          <w:sz w:val="28"/>
          <w:szCs w:val="28"/>
          <w:highlight w:val="none"/>
        </w:rPr>
        <w:t>甲方应当在专用条款约定范围内向乙方提供与本合同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业务有关的资料。在本合同履行过程中，甲方应及时向乙方提供最新的与本合同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业务有关的资料。</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2.2.2</w:t>
      </w:r>
      <w:r>
        <w:rPr>
          <w:rFonts w:hint="eastAsia" w:ascii="仿宋_GB2312" w:hAnsi="仿宋_GB2312" w:eastAsia="仿宋_GB2312" w:cs="仿宋_GB2312"/>
          <w:color w:val="auto"/>
          <w:sz w:val="28"/>
          <w:szCs w:val="28"/>
          <w:highlight w:val="none"/>
        </w:rPr>
        <w:t>甲方应提供监督抽检通知书或见证记录等相关资料，并指派专人填写送检委托单，确保样品的真实性；若样品信息发生变更时，应及时以书面形式通知乙方。</w:t>
      </w:r>
      <w:r>
        <w:rPr>
          <w:rFonts w:hint="eastAsia" w:ascii="仿宋_GB2312" w:hAnsi="仿宋_GB2312" w:eastAsia="仿宋_GB2312" w:cs="仿宋_GB2312"/>
          <w:color w:val="auto"/>
          <w:sz w:val="28"/>
          <w:szCs w:val="28"/>
          <w:highlight w:val="none"/>
        </w:rPr>
        <w:br w:type="textWrapping"/>
      </w:r>
      <w:r>
        <w:rPr>
          <w:rFonts w:hint="eastAsia" w:ascii="Times New Roman" w:hAnsi="Times New Roman" w:eastAsia="仿宋_GB2312" w:cs="Times New Roman"/>
          <w:color w:val="auto"/>
          <w:sz w:val="28"/>
          <w:szCs w:val="28"/>
          <w:highlight w:val="none"/>
        </w:rPr>
        <w:t xml:space="preserve">    2.2.3</w:t>
      </w:r>
      <w:r>
        <w:rPr>
          <w:rFonts w:hint="eastAsia" w:ascii="仿宋_GB2312" w:hAnsi="仿宋_GB2312" w:eastAsia="仿宋_GB2312" w:cs="仿宋_GB2312"/>
          <w:color w:val="auto"/>
          <w:sz w:val="28"/>
          <w:szCs w:val="28"/>
          <w:highlight w:val="none"/>
        </w:rPr>
        <w:t>甲方应在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前向乙方提供</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规范要求的有关工程资料，并对其准确性、可靠性、真实性负责。必要时提供经建设工程质量监督部门批复的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方案。对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有特别技术要求的，应以书面形式提出。</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2.2.4</w:t>
      </w:r>
      <w:r>
        <w:rPr>
          <w:rFonts w:hint="eastAsia" w:ascii="仿宋_GB2312" w:hAnsi="仿宋_GB2312" w:eastAsia="仿宋_GB2312" w:cs="仿宋_GB2312"/>
          <w:color w:val="auto"/>
          <w:sz w:val="28"/>
          <w:szCs w:val="28"/>
          <w:highlight w:val="none"/>
        </w:rPr>
        <w:t>甲方应为乙方完成质量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提供必要的现场条件，及时为乙方提供并解决</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现场的工作条件和出现的问题（包含但不限于拆除地上地下障碍物、处理扰民及影响</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正常进行的有关问题、平整作业现场、修好通行道路、接通电源水源等），并承担其费用。</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2.2.5</w:t>
      </w:r>
      <w:r>
        <w:rPr>
          <w:rFonts w:hint="eastAsia" w:ascii="仿宋_GB2312" w:hAnsi="仿宋_GB2312" w:eastAsia="仿宋_GB2312" w:cs="仿宋_GB2312"/>
          <w:color w:val="auto"/>
          <w:sz w:val="28"/>
          <w:szCs w:val="28"/>
          <w:highlight w:val="none"/>
        </w:rPr>
        <w:t>甲方负责确定</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项目、受检工程部位及数量，按</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方案做好进场</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的现场准备工作。</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2.2.6</w:t>
      </w:r>
      <w:r>
        <w:rPr>
          <w:rFonts w:hint="eastAsia" w:ascii="仿宋_GB2312" w:hAnsi="仿宋_GB2312" w:eastAsia="仿宋_GB2312" w:cs="仿宋_GB2312"/>
          <w:color w:val="auto"/>
          <w:sz w:val="28"/>
          <w:szCs w:val="28"/>
          <w:highlight w:val="none"/>
        </w:rPr>
        <w:t>甲方应及时将</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项目的进度、质量等要求书面通知乙方，以保证乙方正常开展</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 xml:space="preserve">工作。 </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8" w:name="_Toc10627405"/>
      <w:r>
        <w:rPr>
          <w:rFonts w:hint="eastAsia" w:ascii="黑体" w:hAnsi="黑体" w:eastAsia="黑体" w:cs="黑体"/>
          <w:b w:val="0"/>
          <w:bCs w:val="0"/>
          <w:color w:val="auto"/>
          <w:sz w:val="28"/>
          <w:szCs w:val="28"/>
          <w:highlight w:val="none"/>
        </w:rPr>
        <w:t>2.3成果确认及验收支付</w:t>
      </w:r>
      <w:bookmarkEnd w:id="148"/>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2.3.1</w:t>
      </w:r>
      <w:r>
        <w:rPr>
          <w:rFonts w:hint="eastAsia" w:ascii="仿宋_GB2312" w:hAnsi="仿宋_GB2312" w:eastAsia="仿宋_GB2312" w:cs="仿宋_GB2312"/>
          <w:color w:val="auto"/>
          <w:sz w:val="28"/>
          <w:szCs w:val="28"/>
          <w:highlight w:val="none"/>
        </w:rPr>
        <w:t>甲方项目负责人应对乙方按要求完成的工作量予以签字确认。</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2.3.2</w:t>
      </w:r>
      <w:r>
        <w:rPr>
          <w:rFonts w:hint="eastAsia" w:ascii="仿宋_GB2312" w:hAnsi="仿宋_GB2312" w:eastAsia="仿宋_GB2312" w:cs="仿宋_GB2312"/>
          <w:color w:val="auto"/>
          <w:sz w:val="28"/>
          <w:szCs w:val="28"/>
          <w:highlight w:val="none"/>
        </w:rPr>
        <w:t>若</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内容或工作量等要求发生变化时，甲方应及时以书面的形式通知乙方，否则乙方仍按原要求进行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，甲方应认可乙方在接到书面通知前所产生的工作量。上述变化导致本项目</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费用减少的，应征得乙方书面同意，否则乙方有权按本合同的约定收取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2.3.3</w:t>
      </w:r>
      <w:r>
        <w:rPr>
          <w:rFonts w:hint="eastAsia" w:ascii="仿宋_GB2312" w:hAnsi="仿宋_GB2312" w:eastAsia="仿宋_GB2312" w:cs="仿宋_GB2312"/>
          <w:color w:val="auto"/>
          <w:sz w:val="28"/>
          <w:szCs w:val="28"/>
          <w:highlight w:val="none"/>
        </w:rPr>
        <w:t>甲方应按约定的期限验收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成果报告，审核结算，支付乙方应得款项。</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49" w:name="_Toc10627406"/>
      <w:r>
        <w:rPr>
          <w:rFonts w:hint="eastAsia" w:ascii="黑体" w:hAnsi="黑体" w:eastAsia="黑体" w:cs="黑体"/>
          <w:b w:val="0"/>
          <w:bCs w:val="0"/>
          <w:color w:val="auto"/>
          <w:sz w:val="28"/>
          <w:szCs w:val="28"/>
          <w:highlight w:val="none"/>
        </w:rPr>
        <w:t>2.4 其它</w:t>
      </w:r>
      <w:bookmarkEnd w:id="149"/>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2.4.1</w:t>
      </w:r>
      <w:r>
        <w:rPr>
          <w:rFonts w:hint="eastAsia" w:ascii="仿宋_GB2312" w:hAnsi="仿宋_GB2312" w:eastAsia="仿宋_GB2312" w:cs="仿宋_GB2312"/>
          <w:color w:val="auto"/>
          <w:sz w:val="28"/>
          <w:szCs w:val="28"/>
          <w:highlight w:val="none"/>
        </w:rPr>
        <w:t>甲方应负责与本工程质量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业务有关的所有外部关系的协调，为乙方履行本合同提供必要的外部条件。</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2.4.2</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工作范围内，因甲方原因而发生安全事故，造成人员伤亡、</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设备损坏或造成经济损失时，由甲方承担相应的损害赔偿责任。</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28"/>
          <w:szCs w:val="28"/>
          <w:highlight w:val="none"/>
        </w:rPr>
        <w:t>2.4.3</w:t>
      </w:r>
      <w:r>
        <w:rPr>
          <w:rFonts w:hint="eastAsia" w:ascii="仿宋_GB2312" w:hAnsi="仿宋_GB2312" w:eastAsia="仿宋_GB2312" w:cs="仿宋_GB2312"/>
          <w:color w:val="auto"/>
          <w:sz w:val="28"/>
          <w:szCs w:val="28"/>
          <w:highlight w:val="none"/>
        </w:rPr>
        <w:t>甲方应保护乙方的投标书、</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技术方案、报告书、文件、资料图纸、数据、专利技术和合理化建议，未经乙方同意，不得泄露、不得擅自修改或向与该项目无关的人员转让或用于本合同外的项目。</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50" w:name="_Toc10627407"/>
      <w:r>
        <w:rPr>
          <w:rFonts w:hint="eastAsia" w:ascii="黑体" w:hAnsi="黑体" w:eastAsia="黑体" w:cs="黑体"/>
          <w:b w:val="0"/>
          <w:bCs w:val="0"/>
          <w:color w:val="auto"/>
          <w:sz w:val="32"/>
          <w:szCs w:val="32"/>
          <w:highlight w:val="none"/>
        </w:rPr>
        <w:t>3．乙方的权利、义务</w:t>
      </w:r>
      <w:bookmarkEnd w:id="150"/>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1" w:name="_Toc10627408"/>
      <w:r>
        <w:rPr>
          <w:rFonts w:hint="eastAsia" w:ascii="黑体" w:hAnsi="黑体" w:eastAsia="黑体" w:cs="黑体"/>
          <w:b w:val="0"/>
          <w:bCs w:val="0"/>
          <w:color w:val="auto"/>
          <w:sz w:val="28"/>
          <w:szCs w:val="28"/>
          <w:highlight w:val="none"/>
        </w:rPr>
        <w:t>3.1人员配备</w:t>
      </w:r>
      <w:bookmarkEnd w:id="151"/>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3.1.1</w:t>
      </w:r>
      <w:r>
        <w:rPr>
          <w:rFonts w:hint="eastAsia" w:ascii="仿宋_GB2312" w:hAnsi="仿宋_GB2312" w:eastAsia="仿宋_GB2312" w:cs="仿宋_GB2312"/>
          <w:color w:val="auto"/>
          <w:sz w:val="28"/>
          <w:szCs w:val="28"/>
          <w:highlight w:val="none"/>
        </w:rPr>
        <w:t>乙方应选派具备相应</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能力的人员作为项目负责人，负责本合同的履行，并跟进</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事宜。</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3.1.2</w:t>
      </w:r>
      <w:r>
        <w:rPr>
          <w:rFonts w:hint="eastAsia" w:ascii="仿宋_GB2312" w:hAnsi="仿宋_GB2312" w:eastAsia="仿宋_GB2312" w:cs="仿宋_GB2312"/>
          <w:color w:val="auto"/>
          <w:sz w:val="28"/>
          <w:szCs w:val="28"/>
          <w:highlight w:val="none"/>
        </w:rPr>
        <w:t>在本合同履行过程中，乙方人员应保持相对稳定，以保证</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工作正常进行。乙方可根据工程进展和工作需要等情形调整</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人员，更换项目负责人时应征得甲方同意后方可更换。</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2" w:name="_Toc10627409"/>
      <w:r>
        <w:rPr>
          <w:rFonts w:hint="eastAsia" w:ascii="黑体" w:hAnsi="黑体" w:eastAsia="黑体" w:cs="黑体"/>
          <w:b w:val="0"/>
          <w:bCs w:val="0"/>
          <w:color w:val="auto"/>
          <w:sz w:val="28"/>
          <w:szCs w:val="28"/>
          <w:highlight w:val="none"/>
        </w:rPr>
        <w:t>3.2 资质条件</w:t>
      </w:r>
      <w:bookmarkEnd w:id="152"/>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乙方须具有政府有关部门的资质，并向甲方提供相关资质复印件，以备查。</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3" w:name="_Toc10627410"/>
      <w:r>
        <w:rPr>
          <w:rFonts w:hint="eastAsia" w:ascii="黑体" w:hAnsi="黑体" w:eastAsia="黑体" w:cs="黑体"/>
          <w:b w:val="0"/>
          <w:bCs w:val="0"/>
          <w:color w:val="auto"/>
          <w:sz w:val="28"/>
          <w:szCs w:val="28"/>
          <w:highlight w:val="none"/>
        </w:rPr>
        <w:t>3.3工作要求</w:t>
      </w:r>
      <w:bookmarkEnd w:id="153"/>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3.3.1</w:t>
      </w:r>
      <w:r>
        <w:rPr>
          <w:rFonts w:hint="eastAsia" w:ascii="仿宋_GB2312" w:hAnsi="仿宋_GB2312" w:eastAsia="仿宋_GB2312" w:cs="仿宋_GB2312"/>
          <w:color w:val="auto"/>
          <w:sz w:val="28"/>
          <w:szCs w:val="28"/>
          <w:highlight w:val="none"/>
        </w:rPr>
        <w:t>乙方应按合同要求，接到</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通知后，及时将</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需做的准备工作提前通知甲方,以便甲方做好准备。</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3.3.2</w:t>
      </w:r>
      <w:r>
        <w:rPr>
          <w:rFonts w:hint="eastAsia" w:ascii="仿宋_GB2312" w:hAnsi="仿宋_GB2312" w:eastAsia="仿宋_GB2312" w:cs="仿宋_GB2312"/>
          <w:color w:val="auto"/>
          <w:sz w:val="28"/>
          <w:szCs w:val="28"/>
          <w:highlight w:val="none"/>
        </w:rPr>
        <w:t>乙方应组织具有相应</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资格的技术人员、经检定合格的仪器设备按约定的时间进场，并按合同要求及国家技术规范、标准、规程和甲方的任务委托书、技术要求按期进行工程质量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3.3.3</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过程中，发现初步结果异常时，乙方应及时告知甲方及监理单位，并根据结果异常的程度同时向建设工程监督部门报告。</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4" w:name="_Toc10627411"/>
      <w:r>
        <w:rPr>
          <w:rFonts w:hint="eastAsia" w:ascii="黑体" w:hAnsi="黑体" w:eastAsia="黑体" w:cs="黑体"/>
          <w:b w:val="0"/>
          <w:bCs w:val="0"/>
          <w:color w:val="auto"/>
          <w:sz w:val="28"/>
          <w:szCs w:val="28"/>
          <w:highlight w:val="none"/>
        </w:rPr>
        <w:t>3.4</w:t>
      </w:r>
      <w:r>
        <w:rPr>
          <w:rFonts w:hint="eastAsia" w:ascii="黑体" w:hAnsi="黑体" w:eastAsia="黑体" w:cs="黑体"/>
          <w:b w:val="0"/>
          <w:bCs w:val="0"/>
          <w:color w:val="auto"/>
          <w:sz w:val="28"/>
          <w:szCs w:val="28"/>
          <w:highlight w:val="none"/>
          <w:lang w:eastAsia="zh-CN"/>
        </w:rPr>
        <w:t>检测、监测</w:t>
      </w:r>
      <w:r>
        <w:rPr>
          <w:rFonts w:hint="eastAsia" w:ascii="黑体" w:hAnsi="黑体" w:eastAsia="黑体" w:cs="黑体"/>
          <w:b w:val="0"/>
          <w:bCs w:val="0"/>
          <w:color w:val="auto"/>
          <w:sz w:val="28"/>
          <w:szCs w:val="28"/>
          <w:highlight w:val="none"/>
        </w:rPr>
        <w:t>成果</w:t>
      </w:r>
      <w:bookmarkEnd w:id="154"/>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乙方应当按照专用条款约定的份数、组成，在单项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完成后，按照国家技术规范、标准、规程及任务委托书的有关要求出具书面</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成果，按本合同的约定提交甲方，并对其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结果和结论的真实性、正确性负责任。</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5" w:name="_Toc10627412"/>
      <w:r>
        <w:rPr>
          <w:rFonts w:hint="eastAsia" w:ascii="黑体" w:hAnsi="黑体" w:eastAsia="黑体" w:cs="黑体"/>
          <w:b w:val="0"/>
          <w:bCs w:val="0"/>
          <w:color w:val="auto"/>
          <w:sz w:val="28"/>
          <w:szCs w:val="28"/>
          <w:highlight w:val="none"/>
        </w:rPr>
        <w:t>3.5工期顺延</w:t>
      </w:r>
      <w:bookmarkEnd w:id="155"/>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在以下情况下，乙方进场日期可顺延：</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rPr>
        <w:t>因雷雨、台风、道路阻隔等情况；</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经由甲方确认的其它外部因素影响或现场不具备</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条件等。</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仿宋_GB2312" w:hAnsi="仿宋_GB2312" w:eastAsia="仿宋_GB2312" w:cs="仿宋_GB2312"/>
          <w:color w:val="auto"/>
          <w:sz w:val="28"/>
          <w:szCs w:val="28"/>
          <w:highlight w:val="none"/>
        </w:rPr>
        <w:t>出现不可抗力因素，或由于甲方无法提供必要</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工作面以及非乙方原因而使得本工程的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无法继续进行的，工期可以顺延，双方各自承担自己的损失，不得向对方索赔。</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6" w:name="_Toc10627413"/>
      <w:r>
        <w:rPr>
          <w:rFonts w:hint="eastAsia" w:ascii="黑体" w:hAnsi="黑体" w:eastAsia="黑体" w:cs="黑体"/>
          <w:b w:val="0"/>
          <w:bCs w:val="0"/>
          <w:color w:val="auto"/>
          <w:sz w:val="28"/>
          <w:szCs w:val="28"/>
          <w:highlight w:val="none"/>
        </w:rPr>
        <w:t>3.6其它</w:t>
      </w:r>
      <w:bookmarkEnd w:id="156"/>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3.6.1</w:t>
      </w:r>
      <w:r>
        <w:rPr>
          <w:rFonts w:hint="eastAsia" w:ascii="仿宋_GB2312" w:hAnsi="仿宋_GB2312" w:eastAsia="仿宋_GB2312" w:cs="仿宋_GB2312"/>
          <w:color w:val="auto"/>
          <w:sz w:val="28"/>
          <w:szCs w:val="28"/>
          <w:highlight w:val="none"/>
        </w:rPr>
        <w:t>在现场工作的乙方人员，应遵守甲方的安全保卫及其它有关的规章制度。</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3.6.2</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工作中，由于乙方原因发生安全事故，造成人员人身伤害、</w:t>
      </w:r>
      <w:r>
        <w:rPr>
          <w:rFonts w:hint="eastAsia" w:ascii="仿宋_GB2312" w:hAnsi="仿宋_GB2312" w:eastAsia="仿宋_GB2312" w:cs="仿宋_GB2312"/>
          <w:color w:val="auto"/>
          <w:sz w:val="28"/>
          <w:szCs w:val="28"/>
          <w:highlight w:val="none"/>
          <w:lang w:eastAsia="zh-CN"/>
        </w:rPr>
        <w:t>监测</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检测</w:t>
      </w:r>
      <w:r>
        <w:rPr>
          <w:rFonts w:hint="eastAsia" w:ascii="仿宋_GB2312" w:hAnsi="仿宋_GB2312" w:eastAsia="仿宋_GB2312" w:cs="仿宋_GB2312"/>
          <w:color w:val="auto"/>
          <w:sz w:val="28"/>
          <w:szCs w:val="28"/>
          <w:highlight w:val="none"/>
        </w:rPr>
        <w:t>设备损坏或造成经济损失时，由乙方承担相应的损害赔偿责任。</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3.6.3</w:t>
      </w:r>
      <w:r>
        <w:rPr>
          <w:rFonts w:hint="eastAsia" w:ascii="仿宋_GB2312" w:hAnsi="仿宋_GB2312" w:eastAsia="仿宋_GB2312" w:cs="仿宋_GB2312"/>
          <w:color w:val="auto"/>
          <w:sz w:val="28"/>
          <w:szCs w:val="28"/>
          <w:highlight w:val="none"/>
        </w:rPr>
        <w:t>双方可在专用条款中约定履约保函的具体内容。应</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需求，</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在合同签订期间向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提交银行金融机构出具的履约保函。如果</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日后未能在</w:t>
      </w:r>
      <w:r>
        <w:rPr>
          <w:rFonts w:hint="eastAsia" w:ascii="仿宋_GB2312" w:hAnsi="仿宋_GB2312" w:eastAsia="仿宋_GB2312" w:cs="仿宋_GB2312"/>
          <w:color w:val="auto"/>
          <w:sz w:val="28"/>
          <w:szCs w:val="28"/>
          <w:highlight w:val="none"/>
          <w:lang w:val="en-US" w:eastAsia="zh-CN"/>
        </w:rPr>
        <w:t>约定期限</w:t>
      </w:r>
      <w:r>
        <w:rPr>
          <w:rFonts w:hint="eastAsia" w:ascii="仿宋_GB2312" w:hAnsi="仿宋_GB2312" w:eastAsia="仿宋_GB2312" w:cs="仿宋_GB2312"/>
          <w:color w:val="auto"/>
          <w:sz w:val="28"/>
          <w:szCs w:val="28"/>
          <w:highlight w:val="none"/>
        </w:rPr>
        <w:t>内按合同约定完成其所</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的工作内容，则</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可根据责任情况与</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协商确认违约金，可从履约保函中扣除。</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Times New Roman" w:hAnsi="Times New Roman" w:eastAsia="仿宋_GB2312" w:cs="Times New Roman"/>
          <w:color w:val="auto"/>
          <w:sz w:val="28"/>
          <w:szCs w:val="28"/>
          <w:highlight w:val="none"/>
        </w:rPr>
        <w:t xml:space="preserve"> 3.6.4 </w:t>
      </w:r>
      <w:r>
        <w:rPr>
          <w:rFonts w:hint="eastAsia" w:ascii="仿宋_GB2312" w:hAnsi="仿宋_GB2312" w:eastAsia="仿宋_GB2312" w:cs="仿宋_GB2312"/>
          <w:color w:val="auto"/>
          <w:sz w:val="28"/>
          <w:szCs w:val="28"/>
          <w:highlight w:val="none"/>
        </w:rPr>
        <w:t>乙方应服从甲方或项目各施工单位的有关现场安全管理。</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57" w:name="_Toc10627414"/>
      <w:r>
        <w:rPr>
          <w:rFonts w:hint="eastAsia" w:ascii="黑体" w:hAnsi="黑体" w:eastAsia="黑体" w:cs="黑体"/>
          <w:b w:val="0"/>
          <w:bCs w:val="0"/>
          <w:color w:val="auto"/>
          <w:sz w:val="32"/>
          <w:szCs w:val="32"/>
          <w:highlight w:val="none"/>
        </w:rPr>
        <w:t>4. 违约责任</w:t>
      </w:r>
      <w:bookmarkEnd w:id="157"/>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w:t>
      </w:r>
      <w:r>
        <w:rPr>
          <w:rFonts w:hint="eastAsia" w:ascii="仿宋_GB2312" w:hAnsi="仿宋_GB2312" w:eastAsia="仿宋_GB2312" w:cs="仿宋_GB2312"/>
          <w:color w:val="auto"/>
          <w:sz w:val="28"/>
          <w:szCs w:val="28"/>
          <w:highlight w:val="none"/>
        </w:rPr>
        <w:t>由于甲方提供的资料、文件错误、不准确，造成工期延误或返工时，除工期顺延外，甲方应向乙方支付返工费，造成质量、安全事故时，由甲方承担相应的法律责任和经济责任。</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4.2</w:t>
      </w:r>
      <w:r>
        <w:rPr>
          <w:rFonts w:hint="eastAsia" w:ascii="仿宋_GB2312" w:hAnsi="仿宋_GB2312" w:eastAsia="仿宋_GB2312" w:cs="仿宋_GB2312"/>
          <w:color w:val="auto"/>
          <w:sz w:val="28"/>
          <w:szCs w:val="28"/>
          <w:highlight w:val="none"/>
        </w:rPr>
        <w:t>在合同履行期间，甲方要求终止或解除合同，乙方已进行工作的，甲方应按实际完成的工作量支付乙方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费用，并向乙方支付违约金，否则，乙方有权停发</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报告至费用缴清。</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4.3</w:t>
      </w:r>
      <w:r>
        <w:rPr>
          <w:rFonts w:hint="eastAsia" w:ascii="仿宋_GB2312" w:hAnsi="仿宋_GB2312" w:eastAsia="仿宋_GB2312" w:cs="仿宋_GB2312"/>
          <w:color w:val="auto"/>
          <w:sz w:val="28"/>
          <w:szCs w:val="28"/>
          <w:highlight w:val="none"/>
        </w:rPr>
        <w:t>甲方未按合同规定时间（日期）支付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费用，应按照拖欠金额的每日万分之五向乙方支付逾期违约金，甲方支付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费用时间以乙方收到甲方付款的时间为准。</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4.4</w:t>
      </w:r>
      <w:r>
        <w:rPr>
          <w:rFonts w:hint="eastAsia" w:ascii="仿宋_GB2312" w:hAnsi="仿宋_GB2312" w:eastAsia="仿宋_GB2312" w:cs="仿宋_GB2312"/>
          <w:color w:val="auto"/>
          <w:sz w:val="28"/>
          <w:szCs w:val="28"/>
          <w:highlight w:val="none"/>
        </w:rPr>
        <w:t>由于甲方原因，要求乙方紧急进场而发生的额外费用（包括但不限于设备转场费用）由甲方承担。</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4.5</w:t>
      </w:r>
      <w:r>
        <w:rPr>
          <w:rFonts w:hint="eastAsia" w:ascii="仿宋_GB2312" w:hAnsi="仿宋_GB2312" w:eastAsia="仿宋_GB2312" w:cs="仿宋_GB2312"/>
          <w:color w:val="auto"/>
          <w:sz w:val="28"/>
          <w:szCs w:val="28"/>
          <w:highlight w:val="none"/>
        </w:rPr>
        <w:t>由于乙方原因造成</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成果报告不符合国家技术规范、标准、规程及任务委托书的有关要求，乙方必须在甲方要求的时间内负责无偿给予修正、补充和完善。</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4.6</w:t>
      </w:r>
      <w:r>
        <w:rPr>
          <w:rFonts w:hint="eastAsia" w:ascii="仿宋_GB2312" w:hAnsi="仿宋_GB2312" w:eastAsia="仿宋_GB2312" w:cs="仿宋_GB2312"/>
          <w:color w:val="auto"/>
          <w:sz w:val="28"/>
          <w:szCs w:val="28"/>
          <w:highlight w:val="none"/>
        </w:rPr>
        <w:t>乙方未按照合同约定时间提交</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报告，应向甲方支付违约金。</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4.7</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报告信息错误、未按照约定</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依据进行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或者</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结论判断错误的，乙方应进行更正或免费重新进行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，给甲方造成损失的应予以赔偿，因甲方原因造成上述错误的除外。</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4.8</w:t>
      </w:r>
      <w:r>
        <w:rPr>
          <w:rFonts w:hint="eastAsia" w:ascii="仿宋_GB2312" w:hAnsi="仿宋_GB2312" w:eastAsia="仿宋_GB2312" w:cs="仿宋_GB2312"/>
          <w:color w:val="auto"/>
          <w:sz w:val="28"/>
          <w:szCs w:val="28"/>
          <w:highlight w:val="none"/>
        </w:rPr>
        <w:t>乙方未按照合同约定时间进场</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，应向甲方支付违约金。</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4.9</w:t>
      </w:r>
      <w:r>
        <w:rPr>
          <w:rFonts w:hint="eastAsia" w:ascii="仿宋_GB2312" w:hAnsi="仿宋_GB2312" w:eastAsia="仿宋_GB2312" w:cs="仿宋_GB2312"/>
          <w:color w:val="auto"/>
          <w:sz w:val="28"/>
          <w:szCs w:val="28"/>
          <w:highlight w:val="none"/>
        </w:rPr>
        <w:t>安全方面的违约责任</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由于乙方的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工作不及时或测量、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资料不准确而导致事故发生，给甲方造成损失的，应赔偿甲方损失。</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4.10</w:t>
      </w:r>
      <w:r>
        <w:rPr>
          <w:rFonts w:hint="eastAsia" w:ascii="仿宋_GB2312" w:hAnsi="仿宋_GB2312" w:eastAsia="仿宋_GB2312" w:cs="仿宋_GB2312"/>
          <w:color w:val="auto"/>
          <w:sz w:val="28"/>
          <w:szCs w:val="28"/>
          <w:highlight w:val="none"/>
        </w:rPr>
        <w:t>分包、转包方面的违约责任</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乙方擅自分包或者转包项目的，甲方有权解除合同，并要求乙方承担违约责任，若因此造成甲方损失还须赔偿相关损失。</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4.11</w:t>
      </w:r>
      <w:r>
        <w:rPr>
          <w:rFonts w:hint="eastAsia" w:ascii="仿宋_GB2312" w:hAnsi="仿宋_GB2312" w:eastAsia="仿宋_GB2312" w:cs="仿宋_GB2312"/>
          <w:color w:val="auto"/>
          <w:sz w:val="28"/>
          <w:szCs w:val="28"/>
          <w:highlight w:val="none"/>
        </w:rPr>
        <w:t>乙方投入的人员与本合同约定及其投标（或报价）文件、</w:t>
      </w:r>
      <w:r>
        <w:rPr>
          <w:rFonts w:hint="eastAsia" w:ascii="仿宋_GB2312" w:hAnsi="仿宋_GB2312" w:eastAsia="仿宋_GB2312" w:cs="仿宋_GB2312"/>
          <w:color w:val="auto"/>
          <w:sz w:val="28"/>
          <w:szCs w:val="28"/>
          <w:highlight w:val="none"/>
          <w:lang w:eastAsia="zh-CN"/>
        </w:rPr>
        <w:t>监测及检测</w:t>
      </w:r>
      <w:r>
        <w:rPr>
          <w:rFonts w:hint="eastAsia" w:ascii="仿宋_GB2312" w:hAnsi="仿宋_GB2312" w:eastAsia="仿宋_GB2312" w:cs="仿宋_GB2312"/>
          <w:color w:val="auto"/>
          <w:sz w:val="28"/>
          <w:szCs w:val="28"/>
          <w:highlight w:val="none"/>
        </w:rPr>
        <w:t>实施方案的承诺不符或未经甲方同意擅自更换的，乙方需支付违约金。</w:t>
      </w:r>
    </w:p>
    <w:p>
      <w:pPr>
        <w:pageBreakBefore w:val="0"/>
        <w:kinsoku/>
        <w:wordWrap/>
        <w:overflowPunct/>
        <w:topLinePunct w:val="0"/>
        <w:bidi w:val="0"/>
        <w:spacing w:before="156" w:beforeLines="50"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4.12</w:t>
      </w:r>
      <w:r>
        <w:rPr>
          <w:rFonts w:hint="eastAsia" w:ascii="仿宋_GB2312" w:hAnsi="仿宋_GB2312" w:eastAsia="仿宋_GB2312" w:cs="仿宋_GB2312"/>
          <w:color w:val="auto"/>
          <w:sz w:val="28"/>
          <w:szCs w:val="28"/>
          <w:highlight w:val="none"/>
        </w:rPr>
        <w:t>乙方人员对不合格工程出具合格</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报告或结论，甲方有权单方解除合同，并要求乙方承担违约责任，若因此造成甲方损失还须赔偿相关损失。</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rPr>
      </w:pPr>
      <w:bookmarkStart w:id="158" w:name="_Toc10627415"/>
      <w:r>
        <w:rPr>
          <w:rFonts w:hint="eastAsia" w:ascii="黑体" w:hAnsi="黑体" w:eastAsia="黑体" w:cs="黑体"/>
          <w:b w:val="0"/>
          <w:bCs w:val="0"/>
          <w:color w:val="auto"/>
          <w:sz w:val="32"/>
          <w:szCs w:val="32"/>
          <w:highlight w:val="none"/>
        </w:rPr>
        <w:t>5. 支付</w:t>
      </w:r>
      <w:bookmarkEnd w:id="158"/>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59" w:name="_Toc10627416"/>
      <w:r>
        <w:rPr>
          <w:rFonts w:hint="eastAsia" w:ascii="黑体" w:hAnsi="黑体" w:eastAsia="黑体" w:cs="黑体"/>
          <w:b w:val="0"/>
          <w:bCs w:val="0"/>
          <w:color w:val="auto"/>
          <w:sz w:val="28"/>
          <w:szCs w:val="28"/>
          <w:highlight w:val="none"/>
        </w:rPr>
        <w:t>5.1 支付货币</w:t>
      </w:r>
      <w:bookmarkEnd w:id="159"/>
    </w:p>
    <w:p>
      <w:pPr>
        <w:pageBreakBefore w:val="0"/>
        <w:kinsoku/>
        <w:wordWrap/>
        <w:overflowPunct/>
        <w:topLinePunct w:val="0"/>
        <w:bidi w:val="0"/>
        <w:snapToGrid w:val="0"/>
        <w:spacing w:line="560" w:lineRule="exact"/>
        <w:ind w:left="240" w:leftChars="10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除专用条款另有约定外，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费用均以人民币支付。</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rPr>
      </w:pPr>
      <w:bookmarkStart w:id="160" w:name="_Toc10627417"/>
      <w:r>
        <w:rPr>
          <w:rFonts w:hint="eastAsia" w:ascii="黑体" w:hAnsi="黑体" w:eastAsia="黑体" w:cs="黑体"/>
          <w:b w:val="0"/>
          <w:bCs w:val="0"/>
          <w:color w:val="auto"/>
          <w:sz w:val="28"/>
          <w:szCs w:val="28"/>
          <w:highlight w:val="none"/>
        </w:rPr>
        <w:t>5.2</w:t>
      </w:r>
      <w:r>
        <w:rPr>
          <w:rFonts w:hint="eastAsia" w:ascii="黑体" w:hAnsi="黑体" w:eastAsia="黑体" w:cs="黑体"/>
          <w:b w:val="0"/>
          <w:bCs w:val="0"/>
          <w:color w:val="auto"/>
          <w:sz w:val="28"/>
          <w:szCs w:val="28"/>
          <w:highlight w:val="none"/>
          <w:lang w:eastAsia="zh-CN"/>
        </w:rPr>
        <w:t>检测、监测</w:t>
      </w:r>
      <w:r>
        <w:rPr>
          <w:rFonts w:hint="eastAsia" w:ascii="黑体" w:hAnsi="黑体" w:eastAsia="黑体" w:cs="黑体"/>
          <w:b w:val="0"/>
          <w:bCs w:val="0"/>
          <w:color w:val="auto"/>
          <w:sz w:val="28"/>
          <w:szCs w:val="28"/>
          <w:highlight w:val="none"/>
        </w:rPr>
        <w:t>项目费用计算方式、金额</w:t>
      </w:r>
      <w:bookmarkEnd w:id="160"/>
    </w:p>
    <w:p>
      <w:pPr>
        <w:pageBreakBefore w:val="0"/>
        <w:kinsoku/>
        <w:wordWrap/>
        <w:overflowPunct/>
        <w:topLinePunct w:val="0"/>
        <w:bidi w:val="0"/>
        <w:snapToGrid w:val="0"/>
        <w:spacing w:line="560" w:lineRule="exact"/>
        <w:ind w:left="240" w:leftChars="10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5.2.1</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费用的计算方式可采用单价包干或总价包干，具体计算方式及结算金额在专用条款中明确。</w:t>
      </w:r>
    </w:p>
    <w:p>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5.2.2</w:t>
      </w:r>
      <w:r>
        <w:rPr>
          <w:rFonts w:hint="eastAsia" w:ascii="仿宋_GB2312" w:hAnsi="仿宋_GB2312" w:eastAsia="仿宋_GB2312" w:cs="仿宋_GB2312"/>
          <w:color w:val="auto"/>
          <w:sz w:val="28"/>
          <w:szCs w:val="28"/>
          <w:highlight w:val="none"/>
        </w:rPr>
        <w:t>计算方式为单价包干性质的，具体内容包括人工费、设备使用费、设备进出场费、检测试验费、报告编写费、各项管理费、利润、及所有因工程质量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应交纳的政府规费、税金等，不论实际费用有无发生，亦不论各项费用有无涨落，结算时均不再调整。</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现场不提供办公及住宿等条件，所有费用由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在投标报价中综合考虑。</w:t>
      </w:r>
    </w:p>
    <w:p>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5.2.3</w:t>
      </w:r>
      <w:r>
        <w:rPr>
          <w:rFonts w:hint="eastAsia" w:ascii="仿宋_GB2312" w:hAnsi="仿宋_GB2312" w:eastAsia="仿宋_GB2312" w:cs="仿宋_GB2312"/>
          <w:color w:val="auto"/>
          <w:sz w:val="28"/>
          <w:szCs w:val="28"/>
          <w:highlight w:val="none"/>
        </w:rPr>
        <w:t>计算方式为总价包干性质的，具体内容包括人工费、设备使用费、设备进出场费、检测试验费、报告编写费、各项管理费、利润、及所有因工程质量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应交纳的政府规费、税金等，不论实际费用有无发生，亦不论各项费用有无涨落，结算时均不再调整。</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现场不提供办公及住宿等条件，所有费用由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在投标报价中综合考虑。</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1" w:name="_Toc10627418"/>
      <w:r>
        <w:rPr>
          <w:rFonts w:hint="eastAsia" w:ascii="黑体" w:hAnsi="黑体" w:eastAsia="黑体" w:cs="黑体"/>
          <w:b w:val="0"/>
          <w:bCs w:val="0"/>
          <w:color w:val="auto"/>
          <w:sz w:val="28"/>
          <w:szCs w:val="28"/>
          <w:highlight w:val="none"/>
          <w:lang w:eastAsia="zh-CN"/>
        </w:rPr>
        <w:t>5.3支付方式</w:t>
      </w:r>
      <w:bookmarkEnd w:id="161"/>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费用支付方式在专用条款中约定。</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2" w:name="_Toc10627419"/>
      <w:r>
        <w:rPr>
          <w:rFonts w:hint="eastAsia" w:ascii="黑体" w:hAnsi="黑体" w:eastAsia="黑体" w:cs="黑体"/>
          <w:b w:val="0"/>
          <w:bCs w:val="0"/>
          <w:color w:val="auto"/>
          <w:sz w:val="28"/>
          <w:szCs w:val="28"/>
          <w:highlight w:val="none"/>
          <w:lang w:eastAsia="zh-CN"/>
        </w:rPr>
        <w:t>5.4 支付申请资料</w:t>
      </w:r>
      <w:bookmarkEnd w:id="162"/>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乙方向甲方申请进度款或结算款时，应提供以下资料：</w:t>
      </w:r>
    </w:p>
    <w:p>
      <w:pPr>
        <w:pageBreakBefore w:val="0"/>
        <w:kinsoku/>
        <w:wordWrap/>
        <w:overflowPunct/>
        <w:topLinePunct w:val="0"/>
        <w:bidi w:val="0"/>
        <w:spacing w:line="560" w:lineRule="exact"/>
        <w:ind w:firstLine="548" w:firstLineChars="196"/>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费用请款书；</w:t>
      </w:r>
    </w:p>
    <w:p>
      <w:pPr>
        <w:pageBreakBefore w:val="0"/>
        <w:kinsoku/>
        <w:wordWrap/>
        <w:overflowPunct/>
        <w:topLinePunct w:val="0"/>
        <w:bidi w:val="0"/>
        <w:spacing w:line="560" w:lineRule="exact"/>
        <w:ind w:firstLine="548" w:firstLineChars="196"/>
        <w:jc w:val="left"/>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经甲方现场代表或经甲方授权的现场监理代表签字确认</w:t>
      </w:r>
      <w:r>
        <w:rPr>
          <w:rFonts w:hint="eastAsia" w:ascii="Times New Roman" w:hAnsi="Times New Roman" w:eastAsia="仿宋_GB2312" w:cs="Times New Roman"/>
          <w:color w:val="auto"/>
          <w:sz w:val="28"/>
          <w:szCs w:val="28"/>
          <w:highlight w:val="none"/>
        </w:rPr>
        <w:t>的现场工程签证表；</w:t>
      </w:r>
    </w:p>
    <w:p>
      <w:pPr>
        <w:pageBreakBefore w:val="0"/>
        <w:kinsoku/>
        <w:wordWrap/>
        <w:overflowPunct/>
        <w:topLinePunct w:val="0"/>
        <w:bidi w:val="0"/>
        <w:spacing w:line="560" w:lineRule="exact"/>
        <w:ind w:firstLine="548" w:firstLineChars="196"/>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仿宋_GB2312" w:hAnsi="仿宋_GB2312" w:eastAsia="仿宋_GB2312" w:cs="仿宋_GB2312"/>
          <w:color w:val="auto"/>
          <w:kern w:val="0"/>
          <w:sz w:val="28"/>
          <w:szCs w:val="28"/>
          <w:highlight w:val="none"/>
        </w:rPr>
        <w:t>经甲方现场代表或经甲方授权的现场监理代表签字的</w:t>
      </w:r>
      <w:r>
        <w:rPr>
          <w:rFonts w:hint="eastAsia" w:ascii="仿宋_GB2312" w:hAnsi="仿宋_GB2312" w:eastAsia="仿宋_GB2312" w:cs="仿宋_GB2312"/>
          <w:color w:val="auto"/>
          <w:kern w:val="0"/>
          <w:sz w:val="28"/>
          <w:szCs w:val="28"/>
          <w:highlight w:val="none"/>
          <w:lang w:eastAsia="zh-CN"/>
        </w:rPr>
        <w:t>检测、监测</w:t>
      </w:r>
      <w:r>
        <w:rPr>
          <w:rFonts w:hint="eastAsia" w:ascii="仿宋_GB2312" w:hAnsi="仿宋_GB2312" w:eastAsia="仿宋_GB2312" w:cs="仿宋_GB2312"/>
          <w:color w:val="auto"/>
          <w:kern w:val="0"/>
          <w:sz w:val="28"/>
          <w:szCs w:val="28"/>
          <w:highlight w:val="none"/>
        </w:rPr>
        <w:t>工作量汇总表</w:t>
      </w:r>
      <w:r>
        <w:rPr>
          <w:rFonts w:hint="eastAsia" w:ascii="仿宋_GB2312" w:hAnsi="仿宋_GB2312" w:eastAsia="仿宋_GB2312" w:cs="仿宋_GB2312"/>
          <w:color w:val="auto"/>
          <w:sz w:val="28"/>
          <w:szCs w:val="28"/>
          <w:highlight w:val="none"/>
        </w:rPr>
        <w:t>（含报告编号，不提供</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w:t>
      </w:r>
      <w:r>
        <w:rPr>
          <w:rFonts w:hint="eastAsia" w:ascii="仿宋_GB2312" w:hAnsi="仿宋_GB2312" w:eastAsia="仿宋_GB2312" w:cs="仿宋_GB2312"/>
          <w:color w:val="auto"/>
          <w:sz w:val="28"/>
          <w:szCs w:val="28"/>
          <w:highlight w:val="none"/>
        </w:rPr>
        <w:t>双方约定的其它资料，可在专用条款中明确。</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3" w:name="_Toc10627420"/>
      <w:r>
        <w:rPr>
          <w:rFonts w:hint="eastAsia" w:ascii="黑体" w:hAnsi="黑体" w:eastAsia="黑体" w:cs="黑体"/>
          <w:b w:val="0"/>
          <w:bCs w:val="0"/>
          <w:color w:val="auto"/>
          <w:sz w:val="28"/>
          <w:szCs w:val="28"/>
          <w:highlight w:val="none"/>
          <w:lang w:eastAsia="zh-CN"/>
        </w:rPr>
        <w:t>5.5有异议部分的支付</w:t>
      </w:r>
      <w:bookmarkEnd w:id="163"/>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甲方对乙方提交的支付申请书有异议时，应当在收到乙方提交的支付申请书后 7天内，以书面形式向乙方发出异议通知。无异议部分的款项应按期支付，有异议部分的款项按通用条款第7条约定办理。</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64" w:name="_Toc10627421"/>
      <w:r>
        <w:rPr>
          <w:rFonts w:hint="eastAsia" w:ascii="黑体" w:hAnsi="黑体" w:eastAsia="黑体" w:cs="黑体"/>
          <w:b w:val="0"/>
          <w:bCs w:val="0"/>
          <w:color w:val="auto"/>
          <w:sz w:val="32"/>
          <w:szCs w:val="32"/>
          <w:highlight w:val="none"/>
          <w:lang w:eastAsia="zh-CN"/>
        </w:rPr>
        <w:t>6.合同变更、解除与终止</w:t>
      </w:r>
      <w:bookmarkEnd w:id="164"/>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5" w:name="_Toc10627422"/>
      <w:r>
        <w:rPr>
          <w:rFonts w:hint="eastAsia" w:ascii="黑体" w:hAnsi="黑体" w:eastAsia="黑体" w:cs="黑体"/>
          <w:b w:val="0"/>
          <w:bCs w:val="0"/>
          <w:color w:val="auto"/>
          <w:sz w:val="28"/>
          <w:szCs w:val="28"/>
          <w:highlight w:val="none"/>
          <w:lang w:eastAsia="zh-CN"/>
        </w:rPr>
        <w:t>6.1合同变更</w:t>
      </w:r>
      <w:bookmarkEnd w:id="165"/>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6.1.1</w:t>
      </w:r>
      <w:r>
        <w:rPr>
          <w:rFonts w:hint="eastAsia" w:ascii="仿宋_GB2312" w:hAnsi="仿宋_GB2312" w:eastAsia="仿宋_GB2312" w:cs="仿宋_GB2312"/>
          <w:color w:val="auto"/>
          <w:sz w:val="28"/>
          <w:szCs w:val="28"/>
          <w:highlight w:val="none"/>
        </w:rPr>
        <w:t>任何一方以书面形式提出变更请求时，双方经协商一致后可进行变更。</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6.1.2</w:t>
      </w:r>
      <w:r>
        <w:rPr>
          <w:rFonts w:hint="eastAsia" w:ascii="仿宋_GB2312" w:hAnsi="仿宋_GB2312" w:eastAsia="仿宋_GB2312" w:cs="仿宋_GB2312"/>
          <w:color w:val="auto"/>
          <w:sz w:val="28"/>
          <w:szCs w:val="28"/>
          <w:highlight w:val="none"/>
        </w:rPr>
        <w:t>除不可抗力外，因非乙方原因导致乙方履行合同新增工程量时，乙方应当将此情况与可能产生的影响及时通知甲方，增加的工程量甲方应予以确认。新增</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费用的确定方法由双方根据委托的服务范围及工作内容在专用条款中约定。</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6.1.3</w:t>
      </w:r>
      <w:r>
        <w:rPr>
          <w:rFonts w:hint="eastAsia" w:ascii="仿宋_GB2312" w:hAnsi="仿宋_GB2312" w:eastAsia="仿宋_GB2312" w:cs="仿宋_GB2312"/>
          <w:color w:val="auto"/>
          <w:sz w:val="28"/>
          <w:szCs w:val="28"/>
          <w:highlight w:val="none"/>
        </w:rPr>
        <w:t>合同履行过程中，遇国家、地方政府以及行业主管部门现行有效的规范、标准、规程和文件发生变化而引起质量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的服务范围及工程量变化的，双方应通过协商确定调整方法。</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6.1.4</w:t>
      </w:r>
      <w:r>
        <w:rPr>
          <w:rFonts w:hint="eastAsia" w:ascii="仿宋_GB2312" w:hAnsi="仿宋_GB2312" w:eastAsia="仿宋_GB2312" w:cs="仿宋_GB2312"/>
          <w:color w:val="auto"/>
          <w:sz w:val="28"/>
          <w:szCs w:val="28"/>
          <w:highlight w:val="none"/>
        </w:rPr>
        <w:t>因工程规模、服务范围及工作内容的变化等导致乙方的工作量增减时，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费用应作相应调整，调整方法由双方在专用条款中约定。</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6" w:name="_Toc10627423"/>
      <w:r>
        <w:rPr>
          <w:rFonts w:hint="eastAsia" w:ascii="黑体" w:hAnsi="黑体" w:eastAsia="黑体" w:cs="黑体"/>
          <w:b w:val="0"/>
          <w:bCs w:val="0"/>
          <w:color w:val="auto"/>
          <w:sz w:val="28"/>
          <w:szCs w:val="28"/>
          <w:highlight w:val="none"/>
          <w:lang w:eastAsia="zh-CN"/>
        </w:rPr>
        <w:t>6.2合同解除</w:t>
      </w:r>
      <w:bookmarkEnd w:id="166"/>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6.2.1</w:t>
      </w:r>
      <w:r>
        <w:rPr>
          <w:rFonts w:hint="eastAsia" w:ascii="仿宋_GB2312" w:hAnsi="仿宋_GB2312" w:eastAsia="仿宋_GB2312" w:cs="仿宋_GB2312"/>
          <w:color w:val="auto"/>
          <w:sz w:val="28"/>
          <w:szCs w:val="28"/>
          <w:highlight w:val="none"/>
        </w:rPr>
        <w:t>甲方与乙方协商一致，可以解除合同。</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6.2.2</w:t>
      </w:r>
      <w:r>
        <w:rPr>
          <w:rFonts w:hint="eastAsia" w:ascii="仿宋_GB2312" w:hAnsi="仿宋_GB2312" w:eastAsia="仿宋_GB2312" w:cs="仿宋_GB2312"/>
          <w:color w:val="auto"/>
          <w:sz w:val="28"/>
          <w:szCs w:val="28"/>
          <w:highlight w:val="none"/>
        </w:rPr>
        <w:t>有下列情形之一的，合同当事人一方或双方可以解除合同：</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rPr>
        <w:t>乙方提供的质量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服务不符合合同约定的要求，经甲方催告仍不能达到合同约定要求的，甲方可以解除合同；</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甲方未按合同约定支付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费用，经乙方催告后，在 28天内仍未支付的，乙方可以解除合同；</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3.</w:t>
      </w:r>
      <w:r>
        <w:rPr>
          <w:rFonts w:hint="eastAsia" w:ascii="仿宋_GB2312" w:hAnsi="仿宋_GB2312" w:eastAsia="仿宋_GB2312" w:cs="仿宋_GB2312"/>
          <w:color w:val="auto"/>
          <w:sz w:val="28"/>
          <w:szCs w:val="28"/>
          <w:highlight w:val="none"/>
        </w:rPr>
        <w:t>因不可抗力致使合同无法履行；</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4.</w:t>
      </w:r>
      <w:r>
        <w:rPr>
          <w:rFonts w:hint="eastAsia" w:ascii="仿宋_GB2312" w:hAnsi="仿宋_GB2312" w:eastAsia="仿宋_GB2312" w:cs="仿宋_GB2312"/>
          <w:color w:val="auto"/>
          <w:sz w:val="28"/>
          <w:szCs w:val="28"/>
          <w:highlight w:val="none"/>
        </w:rPr>
        <w:t>因一方违约致使合同无法实际履行或实际履行已无必要。</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除上述情形外，双方可以根据委托的服务范围及工作内容，在专用条款中约定解除合同的其他条件。</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6.2.3</w:t>
      </w:r>
      <w:r>
        <w:rPr>
          <w:rFonts w:hint="eastAsia" w:ascii="仿宋_GB2312" w:hAnsi="仿宋_GB2312" w:eastAsia="仿宋_GB2312" w:cs="仿宋_GB2312"/>
          <w:color w:val="auto"/>
          <w:sz w:val="28"/>
          <w:szCs w:val="28"/>
          <w:highlight w:val="none"/>
        </w:rPr>
        <w:t>因甲方原因导致合同解除的，甲方应按照合同约定向乙方支付已完成部分的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6.2.4</w:t>
      </w:r>
      <w:r>
        <w:rPr>
          <w:rFonts w:hint="eastAsia" w:ascii="仿宋_GB2312" w:hAnsi="仿宋_GB2312" w:eastAsia="仿宋_GB2312" w:cs="仿宋_GB2312"/>
          <w:color w:val="auto"/>
          <w:sz w:val="28"/>
          <w:szCs w:val="28"/>
          <w:highlight w:val="none"/>
        </w:rPr>
        <w:t>因不可抗力导致的合同解除，其损失的分担按照合理分担的原则由合同当事人在专用条款中自行约定。因乙方自身原因导致的合同解除，按照违约责任处理。</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6.2.</w:t>
      </w:r>
      <w:r>
        <w:rPr>
          <w:rFonts w:hint="eastAsia" w:ascii="Times New Roman" w:hAnsi="Times New Roman" w:eastAsia="仿宋_GB2312" w:cs="Times New Roman"/>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本合同解除后，本合同约定的有关结算、争议解决方式的条款仍然有效。</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7" w:name="_Toc10627424"/>
      <w:r>
        <w:rPr>
          <w:rFonts w:hint="eastAsia" w:ascii="黑体" w:hAnsi="黑体" w:eastAsia="黑体" w:cs="黑体"/>
          <w:b w:val="0"/>
          <w:bCs w:val="0"/>
          <w:color w:val="auto"/>
          <w:sz w:val="28"/>
          <w:szCs w:val="28"/>
          <w:highlight w:val="none"/>
          <w:lang w:eastAsia="zh-CN"/>
        </w:rPr>
        <w:t>6.3合同终止条件</w:t>
      </w:r>
      <w:bookmarkEnd w:id="167"/>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除合同解除外，以下条件全部满足时，本合同终止：</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rPr>
        <w:t>乙方完成本合同约定的全部工作；</w:t>
      </w:r>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w:t>
      </w:r>
      <w:r>
        <w:rPr>
          <w:rFonts w:hint="eastAsia" w:ascii="仿宋_GB2312" w:hAnsi="仿宋_GB2312" w:eastAsia="仿宋_GB2312" w:cs="仿宋_GB2312"/>
          <w:color w:val="auto"/>
          <w:sz w:val="28"/>
          <w:szCs w:val="28"/>
          <w:highlight w:val="none"/>
        </w:rPr>
        <w:t>甲方与乙方结清并支付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68" w:name="_Toc10627425"/>
      <w:r>
        <w:rPr>
          <w:rFonts w:hint="eastAsia" w:ascii="黑体" w:hAnsi="黑体" w:eastAsia="黑体" w:cs="黑体"/>
          <w:b w:val="0"/>
          <w:bCs w:val="0"/>
          <w:color w:val="auto"/>
          <w:sz w:val="32"/>
          <w:szCs w:val="32"/>
          <w:highlight w:val="none"/>
          <w:lang w:eastAsia="zh-CN"/>
        </w:rPr>
        <w:t>7. 争议解决</w:t>
      </w:r>
      <w:bookmarkEnd w:id="168"/>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69" w:name="_Toc10627426"/>
      <w:r>
        <w:rPr>
          <w:rFonts w:hint="eastAsia" w:ascii="黑体" w:hAnsi="黑体" w:eastAsia="黑体" w:cs="黑体"/>
          <w:b w:val="0"/>
          <w:bCs w:val="0"/>
          <w:color w:val="auto"/>
          <w:sz w:val="28"/>
          <w:szCs w:val="28"/>
          <w:highlight w:val="none"/>
          <w:lang w:eastAsia="zh-CN"/>
        </w:rPr>
        <w:t>7.1协商</w:t>
      </w:r>
      <w:bookmarkEnd w:id="169"/>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双方应本着诚实信用的原则协商解决本合同履行过程中发生的争议。</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0" w:name="_Toc10627427"/>
      <w:r>
        <w:rPr>
          <w:rFonts w:hint="eastAsia" w:ascii="黑体" w:hAnsi="黑体" w:eastAsia="黑体" w:cs="黑体"/>
          <w:b w:val="0"/>
          <w:bCs w:val="0"/>
          <w:color w:val="auto"/>
          <w:sz w:val="28"/>
          <w:szCs w:val="28"/>
          <w:highlight w:val="none"/>
          <w:lang w:eastAsia="zh-CN"/>
        </w:rPr>
        <w:t>7.2仲裁或诉讼</w:t>
      </w:r>
      <w:bookmarkEnd w:id="170"/>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协商不成时，双方有权向专用条款约定的仲裁机构申请仲裁或向有管辖权的人民法院提起诉讼。</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71" w:name="_Toc10627428"/>
      <w:r>
        <w:rPr>
          <w:rFonts w:hint="eastAsia" w:ascii="黑体" w:hAnsi="黑体" w:eastAsia="黑体" w:cs="黑体"/>
          <w:b w:val="0"/>
          <w:bCs w:val="0"/>
          <w:color w:val="auto"/>
          <w:sz w:val="32"/>
          <w:szCs w:val="32"/>
          <w:highlight w:val="none"/>
          <w:lang w:eastAsia="zh-CN"/>
        </w:rPr>
        <w:t>8. 其它</w:t>
      </w:r>
      <w:bookmarkEnd w:id="171"/>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2" w:name="_Toc10627429"/>
      <w:r>
        <w:rPr>
          <w:rFonts w:hint="eastAsia" w:ascii="黑体" w:hAnsi="黑体" w:eastAsia="黑体" w:cs="黑体"/>
          <w:b w:val="0"/>
          <w:bCs w:val="0"/>
          <w:color w:val="auto"/>
          <w:sz w:val="28"/>
          <w:szCs w:val="28"/>
          <w:highlight w:val="none"/>
          <w:lang w:eastAsia="zh-CN"/>
        </w:rPr>
        <w:t>8.1 保密</w:t>
      </w:r>
      <w:bookmarkEnd w:id="172"/>
    </w:p>
    <w:p>
      <w:pPr>
        <w:pageBreakBefore w:val="0"/>
        <w:tabs>
          <w:tab w:val="left" w:pos="540"/>
        </w:tabs>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在本合同履行期间或专用条款约定的期限内，双方不得泄露对方申明的保密资料，亦不得泄露与实施工程有关的第三人所提供的保密资料。保密事项在专用条款中约定。</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3" w:name="_Toc10627430"/>
      <w:r>
        <w:rPr>
          <w:rFonts w:hint="eastAsia" w:ascii="黑体" w:hAnsi="黑体" w:eastAsia="黑体" w:cs="黑体"/>
          <w:b w:val="0"/>
          <w:bCs w:val="0"/>
          <w:color w:val="auto"/>
          <w:sz w:val="28"/>
          <w:szCs w:val="28"/>
          <w:highlight w:val="none"/>
          <w:lang w:eastAsia="zh-CN"/>
        </w:rPr>
        <w:t>8.2 通知与送达</w:t>
      </w:r>
      <w:bookmarkEnd w:id="173"/>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8.2.1</w:t>
      </w:r>
      <w:r>
        <w:rPr>
          <w:rFonts w:hint="eastAsia" w:ascii="仿宋_GB2312" w:hAnsi="仿宋_GB2312" w:eastAsia="仿宋_GB2312" w:cs="仿宋_GB2312"/>
          <w:color w:val="auto"/>
          <w:sz w:val="28"/>
          <w:szCs w:val="28"/>
          <w:highlight w:val="none"/>
        </w:rPr>
        <w:t>与合同有关的通知、指示、要求、决定等，均应采用书面形式，并应在专用条款约定的期限内送达接收人和送达地点。</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8.2.2</w:t>
      </w:r>
      <w:r>
        <w:rPr>
          <w:rFonts w:hint="eastAsia" w:ascii="仿宋_GB2312" w:hAnsi="仿宋_GB2312" w:eastAsia="仿宋_GB2312" w:cs="仿宋_GB2312"/>
          <w:color w:val="auto"/>
          <w:sz w:val="28"/>
          <w:szCs w:val="28"/>
          <w:highlight w:val="none"/>
        </w:rPr>
        <w:t>甲方和乙方应在专用条款中约定各自的送达接收人、送达地点、电子邮箱。任何一方指定的接收人或送达地点或电子邮箱发生变动的，应提前 3天以书面形式通知对方，否则视为未发生变动。</w:t>
      </w:r>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8.2.3</w:t>
      </w:r>
      <w:r>
        <w:rPr>
          <w:rFonts w:hint="eastAsia" w:ascii="仿宋_GB2312" w:hAnsi="仿宋_GB2312" w:eastAsia="仿宋_GB2312" w:cs="仿宋_GB2312"/>
          <w:color w:val="auto"/>
          <w:sz w:val="28"/>
          <w:szCs w:val="28"/>
          <w:highlight w:val="none"/>
        </w:rPr>
        <w:t>甲方和乙方应当及时签收另一方送达至送达地点和指定接收人的往来函件，如逾期未答复或确有充分证据证明一方无正当理由拒签的，视为认可往来函件的内容。</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4" w:name="_Toc10627431"/>
      <w:r>
        <w:rPr>
          <w:rFonts w:hint="eastAsia" w:ascii="黑体" w:hAnsi="黑体" w:eastAsia="黑体" w:cs="黑体"/>
          <w:b w:val="0"/>
          <w:bCs w:val="0"/>
          <w:color w:val="auto"/>
          <w:sz w:val="28"/>
          <w:szCs w:val="28"/>
          <w:highlight w:val="none"/>
          <w:lang w:eastAsia="zh-CN"/>
        </w:rPr>
        <w:t>8.3知识产权</w:t>
      </w:r>
      <w:bookmarkEnd w:id="174"/>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合同涉及的知识产权的归属由双方在专用条款另行约定。</w:t>
      </w:r>
    </w:p>
    <w:p>
      <w:pPr>
        <w:pStyle w:val="5"/>
        <w:pageBreakBefore w:val="0"/>
        <w:tabs>
          <w:tab w:val="left" w:pos="420"/>
        </w:tabs>
        <w:kinsoku/>
        <w:wordWrap/>
        <w:overflowPunct/>
        <w:topLinePunct w:val="0"/>
        <w:bidi w:val="0"/>
        <w:spacing w:line="560" w:lineRule="exact"/>
        <w:ind w:left="494" w:leftChars="206" w:firstLine="177" w:firstLineChars="49"/>
        <w:jc w:val="center"/>
        <w:textAlignment w:val="auto"/>
        <w:rPr>
          <w:rFonts w:hint="eastAsia" w:ascii="仿宋_GB2312" w:hAnsi="仿宋_GB2312" w:eastAsia="仿宋_GB2312" w:cs="仿宋_GB2312"/>
          <w:b/>
          <w:bCs/>
          <w:color w:val="auto"/>
          <w:sz w:val="40"/>
          <w:szCs w:val="40"/>
          <w:highlight w:val="none"/>
        </w:rPr>
      </w:pPr>
      <w:r>
        <w:rPr>
          <w:rFonts w:hint="eastAsia" w:ascii="仿宋_GB2312" w:hAnsi="仿宋_GB2312" w:eastAsia="仿宋_GB2312" w:cs="仿宋_GB2312"/>
          <w:color w:val="auto"/>
          <w:sz w:val="36"/>
          <w:szCs w:val="36"/>
          <w:highlight w:val="none"/>
        </w:rPr>
        <w:br w:type="page"/>
      </w:r>
      <w:bookmarkStart w:id="175" w:name="_Toc10627432"/>
      <w:r>
        <w:rPr>
          <w:rFonts w:hint="eastAsia" w:ascii="方正小标宋简体" w:hAnsi="方正小标宋简体" w:eastAsia="方正小标宋简体" w:cs="方正小标宋简体"/>
          <w:b w:val="0"/>
          <w:bCs w:val="0"/>
          <w:color w:val="auto"/>
          <w:sz w:val="44"/>
          <w:szCs w:val="44"/>
          <w:highlight w:val="none"/>
        </w:rPr>
        <w:t>第三部分  专用条款</w:t>
      </w:r>
      <w:bookmarkEnd w:id="175"/>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76" w:name="_Toc10627433"/>
      <w:r>
        <w:rPr>
          <w:rFonts w:hint="eastAsia" w:ascii="黑体" w:hAnsi="黑体" w:eastAsia="黑体" w:cs="黑体"/>
          <w:b w:val="0"/>
          <w:bCs w:val="0"/>
          <w:color w:val="auto"/>
          <w:sz w:val="32"/>
          <w:szCs w:val="32"/>
          <w:highlight w:val="none"/>
          <w:lang w:eastAsia="zh-CN"/>
        </w:rPr>
        <w:t>1. 词语定义、语言、解释顺序与适用法律</w:t>
      </w:r>
      <w:bookmarkEnd w:id="176"/>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7" w:name="_Toc10627434"/>
      <w:r>
        <w:rPr>
          <w:rFonts w:hint="eastAsia" w:ascii="黑体" w:hAnsi="黑体" w:eastAsia="黑体" w:cs="黑体"/>
          <w:b w:val="0"/>
          <w:bCs w:val="0"/>
          <w:color w:val="auto"/>
          <w:sz w:val="28"/>
          <w:szCs w:val="28"/>
          <w:highlight w:val="none"/>
          <w:lang w:eastAsia="zh-CN"/>
        </w:rPr>
        <w:t>1.2语言</w:t>
      </w:r>
      <w:bookmarkEnd w:id="177"/>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本合同文件除使用中文外，还可用</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78" w:name="_Toc10627435"/>
      <w:r>
        <w:rPr>
          <w:rFonts w:hint="eastAsia" w:ascii="黑体" w:hAnsi="黑体" w:eastAsia="黑体" w:cs="黑体"/>
          <w:b w:val="0"/>
          <w:bCs w:val="0"/>
          <w:color w:val="auto"/>
          <w:sz w:val="28"/>
          <w:szCs w:val="28"/>
          <w:highlight w:val="none"/>
          <w:lang w:eastAsia="zh-CN"/>
        </w:rPr>
        <w:t>1.4适用法律</w:t>
      </w:r>
      <w:bookmarkEnd w:id="178"/>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本合同适用的其他规范性文件包括：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79" w:name="_Toc10627436"/>
      <w:r>
        <w:rPr>
          <w:rFonts w:hint="eastAsia" w:ascii="黑体" w:hAnsi="黑体" w:eastAsia="黑体" w:cs="黑体"/>
          <w:b w:val="0"/>
          <w:bCs w:val="0"/>
          <w:color w:val="auto"/>
          <w:sz w:val="32"/>
          <w:szCs w:val="32"/>
          <w:highlight w:val="none"/>
          <w:lang w:eastAsia="zh-CN"/>
        </w:rPr>
        <w:t>2. 甲方的权利、义务</w:t>
      </w:r>
      <w:bookmarkEnd w:id="179"/>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80" w:name="_Toc10627437"/>
      <w:r>
        <w:rPr>
          <w:rFonts w:hint="eastAsia" w:ascii="黑体" w:hAnsi="黑体" w:eastAsia="黑体" w:cs="黑体"/>
          <w:b w:val="0"/>
          <w:bCs w:val="0"/>
          <w:color w:val="auto"/>
          <w:sz w:val="28"/>
          <w:szCs w:val="28"/>
          <w:highlight w:val="none"/>
          <w:lang w:eastAsia="zh-CN"/>
        </w:rPr>
        <w:t>2.1现场监督</w:t>
      </w:r>
      <w:bookmarkEnd w:id="180"/>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甲方选派姓名：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为本项目负责人，负责本合同履行的有关事项，包括但不限于布置</w:t>
      </w:r>
      <w:r>
        <w:rPr>
          <w:rFonts w:hint="eastAsia" w:ascii="仿宋_GB2312" w:hAnsi="仿宋_GB2312" w:eastAsia="仿宋_GB2312" w:cs="仿宋_GB2312"/>
          <w:color w:val="auto"/>
          <w:sz w:val="28"/>
          <w:szCs w:val="28"/>
          <w:highlight w:val="none"/>
          <w:lang w:eastAsia="zh-CN"/>
        </w:rPr>
        <w:t>检测</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监测</w:t>
      </w:r>
      <w:r>
        <w:rPr>
          <w:rFonts w:hint="eastAsia" w:ascii="仿宋_GB2312" w:hAnsi="仿宋_GB2312" w:eastAsia="仿宋_GB2312" w:cs="仿宋_GB2312"/>
          <w:color w:val="auto"/>
          <w:sz w:val="28"/>
          <w:szCs w:val="28"/>
          <w:highlight w:val="none"/>
        </w:rPr>
        <w:t>任务、指挥联络、现场监督、确认</w:t>
      </w:r>
      <w:r>
        <w:rPr>
          <w:rFonts w:hint="eastAsia" w:ascii="仿宋_GB2312" w:hAnsi="仿宋_GB2312" w:eastAsia="仿宋_GB2312" w:cs="仿宋_GB2312"/>
          <w:color w:val="auto"/>
          <w:sz w:val="28"/>
          <w:szCs w:val="28"/>
          <w:highlight w:val="none"/>
          <w:lang w:eastAsia="zh-CN"/>
        </w:rPr>
        <w:t>检测</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监测</w:t>
      </w:r>
      <w:r>
        <w:rPr>
          <w:rFonts w:hint="eastAsia" w:ascii="仿宋_GB2312" w:hAnsi="仿宋_GB2312" w:eastAsia="仿宋_GB2312" w:cs="仿宋_GB2312"/>
          <w:color w:val="auto"/>
          <w:sz w:val="28"/>
          <w:szCs w:val="28"/>
          <w:highlight w:val="none"/>
        </w:rPr>
        <w:t>工作量、跟进送检等工作。</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81" w:name="_Toc10627438"/>
      <w:r>
        <w:rPr>
          <w:rFonts w:hint="eastAsia" w:ascii="黑体" w:hAnsi="黑体" w:eastAsia="黑体" w:cs="黑体"/>
          <w:b w:val="0"/>
          <w:bCs w:val="0"/>
          <w:color w:val="auto"/>
          <w:sz w:val="28"/>
          <w:szCs w:val="28"/>
          <w:highlight w:val="none"/>
          <w:lang w:eastAsia="zh-CN"/>
        </w:rPr>
        <w:t>2.2提供资料及工作条件</w:t>
      </w:r>
      <w:bookmarkEnd w:id="181"/>
    </w:p>
    <w:p>
      <w:pPr>
        <w:pageBreakBefore w:val="0"/>
        <w:kinsoku/>
        <w:wordWrap/>
        <w:overflowPunct/>
        <w:topLinePunct w:val="0"/>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2.2.6</w:t>
      </w:r>
      <w:r>
        <w:rPr>
          <w:rFonts w:hint="eastAsia" w:ascii="仿宋_GB2312" w:hAnsi="仿宋_GB2312" w:eastAsia="仿宋_GB2312" w:cs="仿宋_GB2312"/>
          <w:color w:val="auto"/>
          <w:sz w:val="28"/>
          <w:szCs w:val="28"/>
          <w:highlight w:val="none"/>
        </w:rPr>
        <w:t>甲方应至少提前</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天将</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项目的进度、质量等要求通知乙方，特殊情况不得少于</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w:t>
      </w:r>
    </w:p>
    <w:p>
      <w:pPr>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2.2.7</w:t>
      </w:r>
      <w:r>
        <w:rPr>
          <w:rFonts w:hint="eastAsia" w:ascii="仿宋_GB2312" w:hAnsi="仿宋_GB2312" w:eastAsia="仿宋_GB2312" w:cs="仿宋_GB2312"/>
          <w:color w:val="auto"/>
          <w:sz w:val="28"/>
          <w:szCs w:val="28"/>
          <w:highlight w:val="none"/>
          <w:lang w:val="en-US" w:eastAsia="zh-CN"/>
        </w:rPr>
        <w:t>现场检测、监测或者检测试样送检时，应当由检测、监测内容提供单位、送检单位等填写委托单。委托单应当由送检人员、见证人员等签字确认。</w:t>
      </w:r>
      <w:bookmarkStart w:id="182" w:name="_Toc10627439"/>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eastAsia="zh-CN"/>
        </w:rPr>
        <w:t>2.3成果确认及验收支付</w:t>
      </w:r>
      <w:bookmarkEnd w:id="182"/>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rPr>
        <w:t>2.3.3</w:t>
      </w:r>
      <w:r>
        <w:rPr>
          <w:rFonts w:hint="eastAsia" w:ascii="仿宋_GB2312" w:hAnsi="仿宋_GB2312" w:eastAsia="仿宋_GB2312" w:cs="仿宋_GB2312"/>
          <w:color w:val="auto"/>
          <w:sz w:val="28"/>
          <w:szCs w:val="28"/>
          <w:highlight w:val="none"/>
        </w:rPr>
        <w:t>甲方应自领取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报告之日起</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报告进行验收、审核结算并支付乙方应得款项，若有异议的，在收到报告之日起</w:t>
      </w:r>
      <w:r>
        <w:rPr>
          <w:rFonts w:hint="eastAsia" w:ascii="Times New Roman" w:hAnsi="Times New Roman" w:eastAsia="仿宋_GB2312" w:cs="Times New Roman"/>
          <w:color w:val="auto"/>
          <w:sz w:val="28"/>
          <w:szCs w:val="28"/>
          <w:highlight w:val="none"/>
          <w:u w:val="single"/>
          <w:lang w:val="en-US" w:eastAsia="zh-CN"/>
        </w:rPr>
        <w:t>15</w:t>
      </w:r>
      <w:r>
        <w:rPr>
          <w:rFonts w:hint="eastAsia" w:ascii="仿宋_GB2312" w:hAnsi="仿宋_GB2312" w:eastAsia="仿宋_GB2312" w:cs="仿宋_GB2312"/>
          <w:color w:val="auto"/>
          <w:sz w:val="28"/>
          <w:szCs w:val="28"/>
          <w:highlight w:val="none"/>
        </w:rPr>
        <w:t>天内以书面形式向乙方提出，由双方共同认可或相关行政主管部门制定的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机构复检。复检结论与原</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结论相同，由甲方支付复检费用；复检结论与原</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结论不相同，则由乙方承担复检费用。</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eastAsia="zh-CN"/>
        </w:rPr>
      </w:pPr>
      <w:bookmarkStart w:id="183" w:name="_Toc10627440"/>
      <w:r>
        <w:rPr>
          <w:rFonts w:hint="eastAsia" w:ascii="黑体" w:hAnsi="黑体" w:eastAsia="黑体" w:cs="黑体"/>
          <w:b w:val="0"/>
          <w:bCs w:val="0"/>
          <w:color w:val="auto"/>
          <w:sz w:val="32"/>
          <w:szCs w:val="32"/>
          <w:highlight w:val="none"/>
          <w:lang w:eastAsia="zh-CN"/>
        </w:rPr>
        <w:t>3. 乙方的权利、义务</w:t>
      </w:r>
      <w:bookmarkEnd w:id="183"/>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eastAsia="zh-CN"/>
        </w:rPr>
      </w:pPr>
      <w:bookmarkStart w:id="184" w:name="_Toc10627441"/>
      <w:r>
        <w:rPr>
          <w:rFonts w:hint="eastAsia" w:ascii="黑体" w:hAnsi="黑体" w:eastAsia="黑体" w:cs="黑体"/>
          <w:b w:val="0"/>
          <w:bCs w:val="0"/>
          <w:color w:val="auto"/>
          <w:sz w:val="28"/>
          <w:szCs w:val="28"/>
          <w:highlight w:val="none"/>
          <w:lang w:eastAsia="zh-CN"/>
        </w:rPr>
        <w:t>3.1人员配备</w:t>
      </w:r>
      <w:bookmarkEnd w:id="184"/>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Times New Roman" w:hAnsi="Times New Roman" w:eastAsia="仿宋_GB2312" w:cs="Times New Roman"/>
          <w:color w:val="auto"/>
          <w:sz w:val="28"/>
          <w:szCs w:val="28"/>
          <w:highlight w:val="none"/>
        </w:rPr>
        <w:t>3.1.1</w:t>
      </w:r>
      <w:r>
        <w:rPr>
          <w:rFonts w:hint="eastAsia" w:ascii="仿宋_GB2312" w:hAnsi="仿宋_GB2312" w:eastAsia="仿宋_GB2312" w:cs="仿宋_GB2312"/>
          <w:color w:val="auto"/>
          <w:kern w:val="0"/>
          <w:sz w:val="28"/>
          <w:szCs w:val="28"/>
          <w:highlight w:val="none"/>
        </w:rPr>
        <w:t>乙方</w:t>
      </w:r>
      <w:r>
        <w:rPr>
          <w:rFonts w:hint="eastAsia" w:ascii="仿宋_GB2312" w:hAnsi="仿宋_GB2312" w:eastAsia="仿宋_GB2312" w:cs="仿宋_GB2312"/>
          <w:color w:val="auto"/>
          <w:sz w:val="28"/>
          <w:szCs w:val="28"/>
          <w:highlight w:val="none"/>
        </w:rPr>
        <w:t>选派姓名：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为本项目负责人</w:t>
      </w:r>
      <w:r>
        <w:rPr>
          <w:rFonts w:hint="eastAsia" w:ascii="仿宋_GB2312" w:hAnsi="仿宋_GB2312" w:eastAsia="仿宋_GB2312" w:cs="仿宋_GB2312"/>
          <w:color w:val="auto"/>
          <w:sz w:val="28"/>
          <w:szCs w:val="28"/>
          <w:highlight w:val="none"/>
          <w:lang w:eastAsia="zh-CN"/>
        </w:rPr>
        <w:t>，且须与投标文件投报的项目负责人一致。</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3.1.2</w:t>
      </w:r>
      <w:r>
        <w:rPr>
          <w:rFonts w:hint="eastAsia" w:ascii="仿宋_GB2312" w:hAnsi="仿宋_GB2312" w:eastAsia="仿宋_GB2312" w:cs="仿宋_GB2312"/>
          <w:color w:val="auto"/>
          <w:sz w:val="28"/>
          <w:szCs w:val="28"/>
          <w:highlight w:val="none"/>
          <w:lang w:eastAsia="zh-CN"/>
        </w:rPr>
        <w:t>乙方更换负责人及主要技术人员的必须事先征得甲方的书面同意。甲方要求或同意更换的质量检测、监测技术人员，其代替的质量检测、监测技术人员的资质仍应不低于投标文件中的人员资质。</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3.1.3</w:t>
      </w:r>
      <w:r>
        <w:rPr>
          <w:rFonts w:hint="eastAsia" w:ascii="仿宋_GB2312" w:hAnsi="仿宋_GB2312" w:eastAsia="仿宋_GB2312" w:cs="仿宋_GB2312"/>
          <w:color w:val="auto"/>
          <w:sz w:val="28"/>
          <w:szCs w:val="28"/>
          <w:highlight w:val="none"/>
          <w:lang w:eastAsia="zh-CN"/>
        </w:rPr>
        <w:t>考虑本项目投资估算工程费及项目实施量，本项目可能会存在多个委托任务的检测监测点、检测监测数量和检测监测类别。乙方人员应确保在工期要求内按质按量完成检测、监测工作进行相应配置，不得以人手不足为由推迟服务交付时间。</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3.1.4由于</w:t>
      </w:r>
      <w:r>
        <w:rPr>
          <w:rFonts w:hint="eastAsia" w:ascii="仿宋_GB2312" w:hAnsi="仿宋_GB2312" w:eastAsia="仿宋_GB2312" w:cs="仿宋_GB2312"/>
          <w:color w:val="auto"/>
          <w:sz w:val="28"/>
          <w:szCs w:val="28"/>
          <w:highlight w:val="none"/>
          <w:lang w:eastAsia="zh-CN"/>
        </w:rPr>
        <w:t>本服务项目由多个工程项目组成，每个工程项目有多个施工点。实施期间每个工程项目乙方需配置1名检测监测单位项目负责人，每个施工点需配置1名技术人员，本项目若多片区多点开工，乙方需增加人员，确保按上述要求配备。</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3.3工作要求</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3.3.4</w:t>
      </w:r>
      <w:r>
        <w:rPr>
          <w:rFonts w:hint="eastAsia" w:ascii="仿宋_GB2312" w:hAnsi="仿宋_GB2312" w:eastAsia="仿宋_GB2312" w:cs="仿宋_GB2312"/>
          <w:color w:val="auto"/>
          <w:sz w:val="28"/>
          <w:szCs w:val="28"/>
          <w:highlight w:val="none"/>
          <w:lang w:val="en-US" w:eastAsia="zh-CN"/>
        </w:rPr>
        <w:t>为确保能提供可靠、连续的质量检测、监测资料，各质量检测、监测项目应能相互校验，以利于进行质量检测、监测数据的处理计算、变形分析和变形体的变形状态及规律的研究。</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3.3.5</w:t>
      </w:r>
      <w:r>
        <w:rPr>
          <w:rFonts w:hint="eastAsia" w:ascii="仿宋_GB2312" w:hAnsi="仿宋_GB2312" w:eastAsia="仿宋_GB2312" w:cs="仿宋_GB2312"/>
          <w:color w:val="auto"/>
          <w:sz w:val="28"/>
          <w:szCs w:val="28"/>
          <w:highlight w:val="none"/>
          <w:lang w:val="en-US" w:eastAsia="zh-CN"/>
        </w:rPr>
        <w:t>质量检测、监测方案应在满足质量检测性能和精度要求的前提下，力求减少质量检测、监测元件的数量和各测试用电缆的长度，</w:t>
      </w:r>
      <w:r>
        <w:rPr>
          <w:rFonts w:hint="eastAsia" w:ascii="Times New Roman" w:hAnsi="Times New Roman" w:eastAsia="仿宋_GB2312" w:cs="Times New Roman"/>
          <w:color w:val="auto"/>
          <w:sz w:val="28"/>
          <w:szCs w:val="28"/>
          <w:highlight w:val="none"/>
          <w:lang w:val="en-US" w:eastAsia="zh-CN"/>
        </w:rPr>
        <w:t>减低</w:t>
      </w:r>
      <w:r>
        <w:rPr>
          <w:rFonts w:hint="eastAsia" w:ascii="仿宋_GB2312" w:hAnsi="仿宋_GB2312" w:eastAsia="仿宋_GB2312" w:cs="仿宋_GB2312"/>
          <w:color w:val="auto"/>
          <w:sz w:val="28"/>
          <w:szCs w:val="28"/>
          <w:highlight w:val="none"/>
          <w:lang w:val="en-US" w:eastAsia="zh-CN"/>
        </w:rPr>
        <w:t>质量检测、监测频率，以降低质量检测、监测工作总费用成本。</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3.3.6</w:t>
      </w:r>
      <w:r>
        <w:rPr>
          <w:rFonts w:hint="eastAsia" w:ascii="仿宋_GB2312" w:hAnsi="仿宋_GB2312" w:eastAsia="仿宋_GB2312" w:cs="仿宋_GB2312"/>
          <w:color w:val="auto"/>
          <w:sz w:val="28"/>
          <w:szCs w:val="28"/>
          <w:highlight w:val="none"/>
        </w:rPr>
        <w:t>本项目需根据工程需求配置驻场检测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rPr>
        <w:t>技术人员，在施工期间必须全天</w:t>
      </w:r>
      <w:r>
        <w:rPr>
          <w:rFonts w:hint="eastAsia" w:ascii="Times New Roman" w:hAnsi="Times New Roman" w:eastAsia="仿宋_GB2312" w:cs="Times New Roman"/>
          <w:color w:val="auto"/>
          <w:sz w:val="28"/>
          <w:szCs w:val="28"/>
          <w:highlight w:val="none"/>
        </w:rPr>
        <w:t>24</w:t>
      </w:r>
      <w:r>
        <w:rPr>
          <w:rFonts w:hint="eastAsia" w:ascii="仿宋_GB2312" w:hAnsi="仿宋_GB2312" w:eastAsia="仿宋_GB2312" w:cs="仿宋_GB2312"/>
          <w:color w:val="auto"/>
          <w:sz w:val="28"/>
          <w:szCs w:val="28"/>
          <w:highlight w:val="none"/>
        </w:rPr>
        <w:t>小时保持通讯工具畅通，确保施工现场各方能及时与技术人员取得联系。</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3.3.7</w:t>
      </w:r>
      <w:r>
        <w:rPr>
          <w:rFonts w:hint="eastAsia" w:ascii="仿宋_GB2312" w:hAnsi="仿宋_GB2312" w:eastAsia="仿宋_GB2312" w:cs="仿宋_GB2312"/>
          <w:color w:val="auto"/>
          <w:sz w:val="28"/>
          <w:szCs w:val="28"/>
          <w:highlight w:val="none"/>
        </w:rPr>
        <w:t>本项目可能会存在多个检测监测点、检测监测数量和检测监测类别，乙方应确保在工期要求内按质按量完成检测、监测工作，不得以人手不足为由推迟服务交付时间。</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3.3.8</w:t>
      </w:r>
      <w:r>
        <w:rPr>
          <w:rFonts w:hint="eastAsia" w:ascii="仿宋_GB2312" w:hAnsi="仿宋_GB2312" w:eastAsia="仿宋_GB2312" w:cs="仿宋_GB2312"/>
          <w:b w:val="0"/>
          <w:bCs w:val="0"/>
          <w:color w:val="auto"/>
          <w:sz w:val="28"/>
          <w:szCs w:val="28"/>
          <w:highlight w:val="none"/>
          <w:lang w:val="en-US" w:eastAsia="zh-CN"/>
        </w:rPr>
        <w:t>乙方按第三部分3.4.2条款要求每批次于现场取样后3天内提交检测初步报告，每周定期向甲方提交本周所完成的质量检测、监测内容的成果资料（即正式报告），发现异常情况或观测数据接近警戒值时必须即时向甲方报告。部分检测内容须待场地问题解决后方能开始实施，服务周期必须满足实际施工要求。</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3.3.9</w:t>
      </w:r>
      <w:r>
        <w:rPr>
          <w:rFonts w:hint="eastAsia" w:ascii="Times New Roman" w:hAnsi="Times New Roman" w:eastAsia="仿宋_GB2312" w:cs="Times New Roman"/>
          <w:color w:val="auto"/>
          <w:sz w:val="28"/>
          <w:szCs w:val="28"/>
          <w:highlight w:val="none"/>
        </w:rPr>
        <w:t>甲</w:t>
      </w:r>
      <w:r>
        <w:rPr>
          <w:rFonts w:hint="eastAsia" w:ascii="仿宋_GB2312" w:hAnsi="仿宋_GB2312" w:eastAsia="仿宋_GB2312" w:cs="仿宋_GB2312"/>
          <w:color w:val="auto"/>
          <w:sz w:val="28"/>
          <w:szCs w:val="28"/>
          <w:highlight w:val="none"/>
        </w:rPr>
        <w:t>方对进度、工作量等有调整和新的工作要求时，乙方必须满足甲方要求，如：配合工程设计和施工的需要，提供相应的技术服务，以及质量检测、监测成果的解释、现场交接、现场实际问题的处理、施工过程的回访等，应及时沟通联系。</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3.3.10</w:t>
      </w:r>
      <w:r>
        <w:rPr>
          <w:rFonts w:hint="eastAsia" w:ascii="仿宋_GB2312" w:hAnsi="仿宋_GB2312" w:eastAsia="仿宋_GB2312" w:cs="仿宋_GB2312"/>
          <w:color w:val="auto"/>
          <w:sz w:val="28"/>
          <w:szCs w:val="28"/>
          <w:highlight w:val="none"/>
        </w:rPr>
        <w:t>乙方应及时与施工单位进行质量检测、监测数据交流。但甲方委托乙方进行质量检测、监测并不能免除施工单位自行质量管理的责任，亦不能免除施工单位任何施工安全或施工质量的责任。</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3.3.11</w:t>
      </w:r>
      <w:r>
        <w:rPr>
          <w:rFonts w:hint="eastAsia" w:ascii="仿宋_GB2312" w:hAnsi="仿宋_GB2312" w:eastAsia="仿宋_GB2312" w:cs="仿宋_GB2312"/>
          <w:color w:val="auto"/>
          <w:sz w:val="28"/>
          <w:szCs w:val="28"/>
          <w:highlight w:val="none"/>
        </w:rPr>
        <w:t>乙方严格按《广州市水务局关于严格规范落实水务工程建设质量终身责任制有关规定的通知》、《广州市水务局转发关于水利工程建设质量终身责任的管理办法（试行）的通知》(穗水质安〔2018〕139号)等文件要求,落实工程质量终身责任管理工作。</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3.3.12</w:t>
      </w:r>
      <w:r>
        <w:rPr>
          <w:rFonts w:hint="default" w:ascii="仿宋_GB2312" w:hAnsi="仿宋_GB2312" w:eastAsia="仿宋_GB2312" w:cs="仿宋_GB2312"/>
          <w:color w:val="auto"/>
          <w:sz w:val="28"/>
          <w:szCs w:val="28"/>
          <w:highlight w:val="none"/>
        </w:rPr>
        <w:t>建立检测监测工作记录台账及不合格检验记录台账，主要应包括检测监测的时间、对应施工点、检测监测内容、报告出具时间、对应内容单价（合同综合单价）及合价、累计完成合同总价占比等情况，每月与施工单位、监理单位对数并更新。</w:t>
      </w:r>
    </w:p>
    <w:p>
      <w:pPr>
        <w:tabs>
          <w:tab w:val="left" w:pos="420"/>
          <w:tab w:val="left" w:pos="630"/>
        </w:tabs>
        <w:snapToGrid w:val="0"/>
        <w:spacing w:line="560" w:lineRule="exact"/>
        <w:ind w:firstLine="554" w:firstLineChars="198"/>
        <w:jc w:val="left"/>
        <w:textAlignment w:val="auto"/>
        <w:rPr>
          <w:rFonts w:hint="default"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eastAsia="zh-CN"/>
        </w:rPr>
        <w:t>3</w:t>
      </w:r>
      <w:r>
        <w:rPr>
          <w:rFonts w:hint="eastAsia" w:ascii="Times New Roman" w:hAnsi="Times New Roman" w:eastAsia="仿宋_GB2312" w:cs="Times New Roman"/>
          <w:color w:val="auto"/>
          <w:sz w:val="28"/>
          <w:szCs w:val="28"/>
          <w:highlight w:val="none"/>
          <w:lang w:val="en-US" w:eastAsia="zh-CN"/>
        </w:rPr>
        <w:t>.3.13</w:t>
      </w:r>
      <w:r>
        <w:rPr>
          <w:rFonts w:hint="default" w:ascii="仿宋_GB2312" w:hAnsi="仿宋_GB2312" w:eastAsia="仿宋_GB2312" w:cs="仿宋_GB2312"/>
          <w:color w:val="auto"/>
          <w:sz w:val="28"/>
          <w:szCs w:val="28"/>
          <w:highlight w:val="none"/>
        </w:rPr>
        <w:t>当预估产生的检测监测费用与现场施工进度偏差超10%时，应触发预警动作，提醒监理单位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如有</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rPr>
        <w:t>及甲方。</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3.3.14</w:t>
      </w:r>
      <w:r>
        <w:rPr>
          <w:rFonts w:hint="eastAsia" w:ascii="仿宋_GB2312" w:hAnsi="仿宋_GB2312" w:eastAsia="仿宋_GB2312" w:cs="仿宋_GB2312"/>
          <w:color w:val="auto"/>
          <w:sz w:val="28"/>
          <w:szCs w:val="28"/>
          <w:highlight w:val="none"/>
        </w:rPr>
        <w:t>根据项目特征及类型、相关标准及规范、施工图、施组方案、施工计划、检测监测技术要求等编制对应项目的第三方检测监测方案，报监理单位组织设计单位、施工单位审核确认后，在甲方出具单项工程工作</w:t>
      </w:r>
      <w:r>
        <w:rPr>
          <w:rFonts w:hint="eastAsia" w:ascii="仿宋_GB2312" w:hAnsi="仿宋_GB2312" w:eastAsia="仿宋_GB2312" w:cs="仿宋_GB2312"/>
          <w:color w:val="auto"/>
          <w:sz w:val="28"/>
          <w:szCs w:val="28"/>
          <w:highlight w:val="none"/>
        </w:rPr>
        <w:t>任务书起10日内</w:t>
      </w:r>
      <w:r>
        <w:rPr>
          <w:rFonts w:hint="eastAsia" w:ascii="仿宋_GB2312" w:hAnsi="仿宋_GB2312" w:eastAsia="仿宋_GB2312" w:cs="仿宋_GB2312"/>
          <w:color w:val="auto"/>
          <w:sz w:val="28"/>
          <w:szCs w:val="28"/>
          <w:highlight w:val="none"/>
        </w:rPr>
        <w:t>向甲方备案，并经监理单位下达执行指令方可实施。乙方提交的质量检测、监测方案应符合以下要求：</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按照国家现行的有关规定、规范、技术要求编制质量检测、监测方案，不得与国家规定、规范相抵触。符合国家档案验收标准。一经确认，不得随意更改，由甲方留存并向工程质量监管部门办理备案手续。如需调整方案，各方需按照原审批流程办理审核及确认手续，方可执行新方案。</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rPr>
        <w:t>原则上各单项工程项目方案总价不得超过对应的《工作任务书》中的质量检测项目暂定价，若出现非乙方原因导致超过各单项工程质量检测项目暂定价</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情况，乙</w:t>
      </w:r>
      <w:r>
        <w:rPr>
          <w:rFonts w:hint="eastAsia" w:ascii="仿宋_GB2312" w:hAnsi="仿宋_GB2312" w:eastAsia="仿宋_GB2312" w:cs="仿宋_GB2312"/>
          <w:color w:val="auto"/>
          <w:sz w:val="28"/>
          <w:szCs w:val="28"/>
          <w:highlight w:val="none"/>
        </w:rPr>
        <w:t>方必须分析查找原因，采取措施进行控制，并将方案报监理单位组织审核。</w:t>
      </w:r>
    </w:p>
    <w:p>
      <w:pPr>
        <w:tabs>
          <w:tab w:val="left" w:pos="420"/>
          <w:tab w:val="left" w:pos="630"/>
        </w:tabs>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eastAsia" w:ascii="仿宋_GB2312" w:hAnsi="仿宋_GB2312" w:eastAsia="仿宋_GB2312" w:cs="仿宋_GB2312"/>
          <w:color w:val="auto"/>
          <w:sz w:val="28"/>
          <w:szCs w:val="28"/>
          <w:highlight w:val="none"/>
        </w:rPr>
        <w:t>质量检测、监测方案应在满足质量检测性能和精度要求的前提下，力求减少质量检测、监测元件的数量和各测试用电缆的长度，减低质量检测、</w:t>
      </w:r>
      <w:r>
        <w:rPr>
          <w:rFonts w:hint="eastAsia" w:ascii="仿宋_GB2312" w:hAnsi="仿宋_GB2312" w:eastAsia="仿宋_GB2312" w:cs="仿宋_GB2312"/>
          <w:color w:val="auto"/>
          <w:sz w:val="28"/>
          <w:szCs w:val="28"/>
          <w:highlight w:val="none"/>
        </w:rPr>
        <w:t>监测频率，以降低质量检测、监测工作总费用成本。</w:t>
      </w:r>
    </w:p>
    <w:p>
      <w:pPr>
        <w:keepNext w:val="0"/>
        <w:keepLines w:val="0"/>
        <w:pageBreakBefore w:val="0"/>
        <w:widowControl w:val="0"/>
        <w:tabs>
          <w:tab w:val="left" w:pos="420"/>
          <w:tab w:val="left" w:pos="630"/>
        </w:tabs>
        <w:kinsoku/>
        <w:wordWrap w:val="0"/>
        <w:overflowPunct/>
        <w:topLinePunct/>
        <w:autoSpaceDE/>
        <w:autoSpaceDN/>
        <w:bidi w:val="0"/>
        <w:adjustRightInd/>
        <w:snapToGrid w:val="0"/>
        <w:spacing w:line="560" w:lineRule="exact"/>
        <w:ind w:leftChars="0"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3.3.15</w:t>
      </w:r>
      <w:r>
        <w:rPr>
          <w:rFonts w:hint="eastAsia" w:ascii="仿宋_GB2312" w:hAnsi="仿宋_GB2312" w:eastAsia="仿宋_GB2312" w:cs="仿宋_GB2312"/>
          <w:b w:val="0"/>
          <w:bCs w:val="0"/>
          <w:color w:val="auto"/>
          <w:sz w:val="28"/>
          <w:szCs w:val="28"/>
          <w:highlight w:val="none"/>
          <w:lang w:val="en-US" w:eastAsia="zh-CN"/>
        </w:rPr>
        <w:t>定期召开例会协调解决、汇报工作过程中存在的问题，并每三个月提交一次季报、工作小结等阶段性报告。</w:t>
      </w:r>
    </w:p>
    <w:p>
      <w:pPr>
        <w:keepNext w:val="0"/>
        <w:keepLines w:val="0"/>
        <w:pageBreakBefore w:val="0"/>
        <w:widowControl w:val="0"/>
        <w:tabs>
          <w:tab w:val="left" w:pos="420"/>
          <w:tab w:val="left" w:pos="630"/>
        </w:tabs>
        <w:kinsoku/>
        <w:wordWrap w:val="0"/>
        <w:overflowPunct/>
        <w:topLinePunct/>
        <w:autoSpaceDE/>
        <w:autoSpaceDN/>
        <w:bidi w:val="0"/>
        <w:adjustRightInd/>
        <w:snapToGrid w:val="0"/>
        <w:spacing w:line="560" w:lineRule="exact"/>
        <w:ind w:leftChars="0"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3.3.16</w:t>
      </w:r>
      <w:r>
        <w:rPr>
          <w:rFonts w:hint="eastAsia" w:ascii="仿宋_GB2312" w:hAnsi="仿宋_GB2312" w:eastAsia="仿宋_GB2312" w:cs="仿宋_GB2312"/>
          <w:b w:val="0"/>
          <w:bCs w:val="0"/>
          <w:color w:val="auto"/>
          <w:sz w:val="28"/>
          <w:szCs w:val="28"/>
          <w:highlight w:val="none"/>
          <w:lang w:val="en-US" w:eastAsia="zh-CN"/>
        </w:rPr>
        <w:t>乙方应对其质量检测、监测报告及数据的真实性、准确性、完整性、科学性、预见性及法律效力负责，必要时应向甲方或相关方进行解释和答疑。</w:t>
      </w:r>
    </w:p>
    <w:p>
      <w:pPr>
        <w:tabs>
          <w:tab w:val="left" w:pos="420"/>
          <w:tab w:val="left" w:pos="630"/>
        </w:tabs>
        <w:wordWrap w:val="0"/>
        <w:topLinePunct/>
        <w:snapToGrid w:val="0"/>
        <w:spacing w:line="560" w:lineRule="exact"/>
        <w:ind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3.3.17</w:t>
      </w:r>
      <w:r>
        <w:rPr>
          <w:rFonts w:hint="eastAsia" w:ascii="仿宋_GB2312" w:hAnsi="仿宋_GB2312" w:eastAsia="仿宋_GB2312" w:cs="仿宋_GB2312"/>
          <w:b w:val="0"/>
          <w:bCs w:val="0"/>
          <w:color w:val="auto"/>
          <w:sz w:val="28"/>
          <w:szCs w:val="28"/>
          <w:highlight w:val="none"/>
          <w:lang w:val="en-US" w:eastAsia="zh-CN"/>
        </w:rPr>
        <w:t>乙方应在质量检测、监测工作结束之日起28日内按当地档案馆的要求将有关质量检测、监测资料整理归档。</w:t>
      </w:r>
    </w:p>
    <w:p>
      <w:pPr>
        <w:tabs>
          <w:tab w:val="left" w:pos="420"/>
          <w:tab w:val="left" w:pos="630"/>
        </w:tabs>
        <w:wordWrap w:val="0"/>
        <w:topLinePunct/>
        <w:snapToGrid w:val="0"/>
        <w:spacing w:line="560" w:lineRule="exact"/>
        <w:ind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3.3.18</w:t>
      </w:r>
      <w:r>
        <w:rPr>
          <w:rFonts w:hint="eastAsia" w:ascii="仿宋_GB2312" w:hAnsi="仿宋_GB2312" w:eastAsia="仿宋_GB2312" w:cs="仿宋_GB2312"/>
          <w:b w:val="0"/>
          <w:bCs w:val="0"/>
          <w:color w:val="auto"/>
          <w:sz w:val="28"/>
          <w:szCs w:val="28"/>
          <w:highlight w:val="none"/>
          <w:lang w:val="en-US" w:eastAsia="zh-CN"/>
        </w:rPr>
        <w:t>与工程所在行政区域的相关水务行政主管部门和监督部门进行检测工作的协调，申报检测技术成果的审批。保证技术成果能够通过相关部门认可，确保不因检测、监测工作影响本工程项目的建设进度和竣工验收。</w:t>
      </w:r>
    </w:p>
    <w:p>
      <w:pPr>
        <w:tabs>
          <w:tab w:val="left" w:pos="420"/>
          <w:tab w:val="left" w:pos="630"/>
        </w:tabs>
        <w:wordWrap w:val="0"/>
        <w:topLinePunct/>
        <w:snapToGrid w:val="0"/>
        <w:spacing w:line="560" w:lineRule="exact"/>
        <w:ind w:leftChars="0"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3.3.19在进行检测任务的过程中与该工程相关的施工单位、监理单位、设计单位、甲方、建设主管部门等相关单位的协调工作。</w:t>
      </w:r>
    </w:p>
    <w:p>
      <w:pPr>
        <w:tabs>
          <w:tab w:val="left" w:pos="420"/>
          <w:tab w:val="left" w:pos="630"/>
        </w:tabs>
        <w:wordWrap w:val="0"/>
        <w:topLinePunct/>
        <w:snapToGrid w:val="0"/>
        <w:spacing w:line="560" w:lineRule="exact"/>
        <w:ind w:leftChars="0" w:firstLine="560" w:firstLineChars="20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3.3.20检测数据的有关信息通过市水务监管系统进行传输报送。</w:t>
      </w:r>
    </w:p>
    <w:p>
      <w:pPr>
        <w:pStyle w:val="7"/>
        <w:pageBreakBefore w:val="0"/>
        <w:numPr>
          <w:ilvl w:val="-1"/>
          <w:numId w:val="0"/>
        </w:numPr>
        <w:kinsoku/>
        <w:wordWrap/>
        <w:overflowPunct/>
        <w:topLinePunct w:val="0"/>
        <w:bidi w:val="0"/>
        <w:spacing w:line="560" w:lineRule="exact"/>
        <w:ind w:left="567" w:leftChars="0" w:firstLine="0" w:firstLineChars="0"/>
        <w:jc w:val="left"/>
        <w:textAlignment w:val="auto"/>
        <w:rPr>
          <w:rFonts w:hint="eastAsia" w:ascii="黑体" w:hAnsi="黑体" w:eastAsia="黑体" w:cs="黑体"/>
          <w:b w:val="0"/>
          <w:bCs w:val="0"/>
          <w:color w:val="auto"/>
          <w:sz w:val="28"/>
          <w:szCs w:val="28"/>
          <w:highlight w:val="none"/>
          <w:lang w:val="en-US" w:eastAsia="zh-CN"/>
        </w:rPr>
      </w:pPr>
      <w:bookmarkStart w:id="185" w:name="_Toc10627442"/>
      <w:r>
        <w:rPr>
          <w:rFonts w:hint="eastAsia" w:ascii="黑体" w:hAnsi="黑体" w:eastAsia="黑体" w:cs="黑体"/>
          <w:b w:val="0"/>
          <w:bCs w:val="0"/>
          <w:color w:val="auto"/>
          <w:sz w:val="28"/>
          <w:szCs w:val="28"/>
          <w:highlight w:val="none"/>
          <w:lang w:val="en-US" w:eastAsia="zh-CN"/>
        </w:rPr>
        <w:t>3.4检测、监测成果</w:t>
      </w:r>
      <w:bookmarkEnd w:id="185"/>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3.4.1</w:t>
      </w:r>
      <w:r>
        <w:rPr>
          <w:rFonts w:hint="eastAsia" w:ascii="仿宋_GB2312" w:hAnsi="仿宋_GB2312" w:eastAsia="仿宋_GB2312" w:cs="仿宋_GB2312"/>
          <w:color w:val="auto"/>
          <w:sz w:val="28"/>
          <w:szCs w:val="28"/>
          <w:highlight w:val="none"/>
        </w:rPr>
        <w:t>按照国家、地方政府以及行业主管部门现行有效的规范、标准、规程和文件，本合同约定的质量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服务适用的技术标准、规范等依据为：</w:t>
      </w:r>
      <w:r>
        <w:rPr>
          <w:rFonts w:hint="eastAsia" w:ascii="仿宋_GB2312" w:hAnsi="仿宋_GB2312" w:eastAsia="仿宋_GB2312" w:cs="仿宋_GB2312"/>
          <w:color w:val="auto"/>
          <w:sz w:val="28"/>
          <w:szCs w:val="28"/>
          <w:highlight w:val="none"/>
          <w:u w:val="single"/>
        </w:rPr>
        <w:t>国家及地方现行有关技术规范或规定以及设计单位的技术要求</w:t>
      </w:r>
      <w:r>
        <w:rPr>
          <w:rFonts w:hint="eastAsia" w:ascii="仿宋_GB2312" w:hAnsi="仿宋_GB2312" w:eastAsia="仿宋_GB2312" w:cs="仿宋_GB2312"/>
          <w:color w:val="auto"/>
          <w:sz w:val="28"/>
          <w:szCs w:val="28"/>
          <w:highlight w:val="none"/>
        </w:rPr>
        <w:t>。</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3.4.2</w:t>
      </w:r>
      <w:r>
        <w:rPr>
          <w:rFonts w:hint="eastAsia" w:ascii="仿宋_GB2312" w:hAnsi="仿宋_GB2312" w:eastAsia="仿宋_GB2312" w:cs="仿宋_GB2312"/>
          <w:color w:val="auto"/>
          <w:sz w:val="28"/>
          <w:szCs w:val="28"/>
          <w:highlight w:val="none"/>
        </w:rPr>
        <w:t>在单项</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完成后，乙方按照国家技术规范、标准、规程及任务委托书的有关要求和</w:t>
      </w:r>
      <w:r>
        <w:rPr>
          <w:rFonts w:hint="eastAsia" w:ascii="仿宋_GB2312" w:hAnsi="仿宋_GB2312" w:eastAsia="仿宋_GB2312" w:cs="仿宋_GB2312"/>
          <w:color w:val="auto"/>
          <w:sz w:val="28"/>
          <w:szCs w:val="28"/>
          <w:highlight w:val="none"/>
          <w:lang w:eastAsia="zh-CN"/>
        </w:rPr>
        <w:t>在</w:t>
      </w:r>
      <w:r>
        <w:rPr>
          <w:rFonts w:hint="eastAsia" w:ascii="仿宋_GB2312" w:hAnsi="仿宋_GB2312" w:eastAsia="仿宋_GB2312" w:cs="仿宋_GB2312"/>
          <w:color w:val="auto"/>
          <w:sz w:val="28"/>
          <w:szCs w:val="28"/>
          <w:highlight w:val="none"/>
        </w:rPr>
        <w:t>规定的时间内提交具有法律效力的质量检测、监测成果报告，报告应当包括检测项目代表数量（批次）、检测依据、检测场所地址、检测数据、检测结果、见证人员单位及姓名等相关信息，经检测人员、审核人员、检测机构法定代表人或者其授权的签字人等签署，须盖有该乙方的“计量认证”（即CMA）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乙方须</w:t>
      </w:r>
      <w:r>
        <w:rPr>
          <w:rFonts w:hint="eastAsia" w:ascii="仿宋_GB2312" w:hAnsi="仿宋_GB2312" w:eastAsia="仿宋_GB2312" w:cs="仿宋_GB2312"/>
          <w:color w:val="auto"/>
          <w:sz w:val="28"/>
          <w:szCs w:val="28"/>
          <w:highlight w:val="none"/>
        </w:rPr>
        <w:t>出具书面</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十二</w:t>
      </w:r>
      <w:r>
        <w:rPr>
          <w:rFonts w:hint="eastAsia" w:ascii="仿宋_GB2312" w:hAnsi="仿宋_GB2312" w:eastAsia="仿宋_GB2312" w:cs="仿宋_GB2312"/>
          <w:color w:val="auto"/>
          <w:sz w:val="28"/>
          <w:szCs w:val="28"/>
          <w:highlight w:val="none"/>
        </w:rPr>
        <w:t>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光盘电子文件一份</w:t>
      </w:r>
      <w:r>
        <w:rPr>
          <w:rFonts w:hint="eastAsia" w:ascii="仿宋_GB2312" w:hAnsi="仿宋_GB2312" w:eastAsia="仿宋_GB2312" w:cs="仿宋_GB2312"/>
          <w:color w:val="auto"/>
          <w:sz w:val="28"/>
          <w:szCs w:val="28"/>
          <w:highlight w:val="none"/>
        </w:rPr>
        <w:t>。若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需要增加份数，增加报告份数的费用另行支付。按时提交质量检测、监测成果报告，负责文整、打印、复印、装订等工作。资料装订规格必须符合档案归档规定。</w:t>
      </w:r>
    </w:p>
    <w:p>
      <w:pPr>
        <w:pageBreakBefore w:val="0"/>
        <w:kinsoku/>
        <w:wordWrap/>
        <w:overflowPunct/>
        <w:topLinePunct w:val="0"/>
        <w:bidi w:val="0"/>
        <w:spacing w:line="560" w:lineRule="exact"/>
        <w:ind w:left="240" w:leftChars="100"/>
        <w:jc w:val="left"/>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bookmarkStart w:id="186" w:name="_Toc10627443"/>
      <w:r>
        <w:rPr>
          <w:rFonts w:hint="eastAsia" w:ascii="Times New Roman" w:hAnsi="Times New Roman" w:eastAsia="仿宋_GB2312" w:cs="Times New Roman"/>
          <w:color w:val="auto"/>
          <w:sz w:val="28"/>
          <w:szCs w:val="28"/>
          <w:highlight w:val="none"/>
          <w:lang w:val="en-US" w:eastAsia="zh-CN"/>
        </w:rPr>
        <w:t>3.6.3</w:t>
      </w:r>
      <w:r>
        <w:rPr>
          <w:rFonts w:hint="eastAsia" w:ascii="仿宋_GB2312" w:hAnsi="仿宋_GB2312" w:eastAsia="仿宋_GB2312" w:cs="仿宋_GB2312"/>
          <w:color w:val="auto"/>
          <w:sz w:val="28"/>
          <w:szCs w:val="28"/>
          <w:highlight w:val="none"/>
        </w:rPr>
        <w:t>履约保函</w:t>
      </w:r>
      <w:bookmarkEnd w:id="186"/>
    </w:p>
    <w:p>
      <w:pPr>
        <w:pageBreakBefore w:val="0"/>
        <w:kinsoku/>
        <w:wordWrap/>
        <w:overflowPunct/>
        <w:topLinePunct w:val="0"/>
        <w:bidi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履约保函按下列方式</w:t>
      </w:r>
      <w:r>
        <w:rPr>
          <w:rFonts w:hint="eastAsia" w:ascii="仿宋_GB2312" w:hAnsi="仿宋_GB2312" w:eastAsia="仿宋_GB2312" w:cs="仿宋_GB2312"/>
          <w:color w:val="auto"/>
          <w:sz w:val="28"/>
          <w:szCs w:val="28"/>
          <w:highlight w:val="none"/>
          <w:u w:val="single"/>
          <w:lang w:val="en-US" w:eastAsia="zh-CN"/>
        </w:rPr>
        <w:t xml:space="preserve">  2  </w:t>
      </w:r>
      <w:r>
        <w:rPr>
          <w:rFonts w:hint="eastAsia" w:ascii="仿宋_GB2312" w:hAnsi="仿宋_GB2312" w:eastAsia="仿宋_GB2312" w:cs="仿宋_GB2312"/>
          <w:color w:val="auto"/>
          <w:sz w:val="28"/>
          <w:szCs w:val="28"/>
          <w:highlight w:val="none"/>
        </w:rPr>
        <w:t>进行办理：</w:t>
      </w:r>
    </w:p>
    <w:p>
      <w:pPr>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不需要</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出具履约保函；</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需要</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出具履约保函的，</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应在签订本合同后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天内向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提交在中国注册的银行开出的担保金额为合同价款的</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rPr>
        <w:t>%（不高于10%）,即人民币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元的履约保函原件。保函期限以壹年为期限根据工期每年到期后再续开下一年度的保函，可连续出具。</w:t>
      </w:r>
    </w:p>
    <w:p>
      <w:pPr>
        <w:pageBreakBefore w:val="0"/>
        <w:tabs>
          <w:tab w:val="left" w:pos="420"/>
          <w:tab w:val="left" w:pos="630"/>
        </w:tabs>
        <w:kinsoku/>
        <w:wordWrap/>
        <w:overflowPunct/>
        <w:topLinePunct w:val="0"/>
        <w:bidi w:val="0"/>
        <w:adjustRightInd w:val="0"/>
        <w:snapToGrid w:val="0"/>
        <w:spacing w:line="560" w:lineRule="exact"/>
        <w:ind w:firstLine="554" w:firstLineChars="198"/>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28"/>
          <w:szCs w:val="28"/>
          <w:highlight w:val="none"/>
        </w:rPr>
        <w:t>如果乙方没有违约行为，在所有单项工程完工后180天内，发包人将履约保函一次性无息退还给乙方；如果乙方有违约行为，发包人有权从保函中扣除乙方应承担的违约赔偿部分后无息退还。</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87" w:name="_Toc10627444"/>
      <w:r>
        <w:rPr>
          <w:rFonts w:hint="eastAsia" w:ascii="黑体" w:hAnsi="黑体" w:eastAsia="黑体" w:cs="黑体"/>
          <w:b w:val="0"/>
          <w:bCs w:val="0"/>
          <w:color w:val="auto"/>
          <w:sz w:val="32"/>
          <w:szCs w:val="32"/>
          <w:highlight w:val="none"/>
          <w:lang w:val="en-US" w:eastAsia="zh-CN"/>
        </w:rPr>
        <w:t>4. 违约责任</w:t>
      </w:r>
      <w:bookmarkEnd w:id="187"/>
    </w:p>
    <w:p>
      <w:pPr>
        <w:pageBreakBefore w:val="0"/>
        <w:kinsoku/>
        <w:wordWrap/>
        <w:overflowPunct/>
        <w:topLinePunct w:val="0"/>
        <w:bidi w:val="0"/>
        <w:adjustRightInd w:val="0"/>
        <w:snapToGrid w:val="0"/>
        <w:spacing w:line="560" w:lineRule="exact"/>
        <w:ind w:firstLine="420" w:firstLineChars="150"/>
        <w:jc w:val="left"/>
        <w:textAlignment w:val="auto"/>
        <w:rPr>
          <w:rFonts w:hint="eastAsia" w:ascii="仿宋_GB2312" w:hAnsi="仿宋_GB2312" w:eastAsia="仿宋_GB2312" w:cs="仿宋_GB2312"/>
          <w:color w:val="auto"/>
          <w:kern w:val="0"/>
          <w:sz w:val="28"/>
          <w:szCs w:val="28"/>
          <w:highlight w:val="none"/>
          <w:u w:val="single"/>
        </w:rPr>
      </w:pPr>
      <w:r>
        <w:rPr>
          <w:rFonts w:hint="eastAsia" w:ascii="Times New Roman" w:hAnsi="Times New Roman" w:eastAsia="仿宋_GB2312" w:cs="Times New Roman"/>
          <w:color w:val="auto"/>
          <w:sz w:val="28"/>
          <w:szCs w:val="28"/>
          <w:highlight w:val="none"/>
          <w:lang w:val="en-US" w:eastAsia="zh-CN"/>
        </w:rPr>
        <w:t>4.1</w:t>
      </w:r>
      <w:r>
        <w:rPr>
          <w:rFonts w:hint="eastAsia" w:ascii="仿宋_GB2312" w:hAnsi="仿宋_GB2312" w:eastAsia="仿宋_GB2312" w:cs="仿宋_GB2312"/>
          <w:color w:val="auto"/>
          <w:kern w:val="0"/>
          <w:sz w:val="28"/>
          <w:szCs w:val="28"/>
          <w:highlight w:val="none"/>
        </w:rPr>
        <w:t>乙方返工费按下列方法确定并支付</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按需返工的工作内容结算价的</w:t>
      </w:r>
      <w:r>
        <w:rPr>
          <w:rFonts w:hint="eastAsia" w:ascii="Times New Roman" w:hAnsi="Times New Roman" w:eastAsia="仿宋_GB2312" w:cs="Times New Roman"/>
          <w:color w:val="auto"/>
          <w:sz w:val="28"/>
          <w:szCs w:val="28"/>
          <w:highlight w:val="none"/>
          <w:u w:val="single"/>
          <w:lang w:val="en-US" w:eastAsia="zh-CN"/>
        </w:rPr>
        <w:t>10%</w:t>
      </w:r>
      <w:r>
        <w:rPr>
          <w:rFonts w:hint="eastAsia" w:ascii="仿宋_GB2312" w:hAnsi="仿宋_GB2312" w:eastAsia="仿宋_GB2312" w:cs="仿宋_GB2312"/>
          <w:color w:val="auto"/>
          <w:kern w:val="0"/>
          <w:sz w:val="28"/>
          <w:szCs w:val="28"/>
          <w:highlight w:val="none"/>
          <w:u w:val="single"/>
          <w:lang w:val="en-US" w:eastAsia="zh-CN"/>
        </w:rPr>
        <w:t>计算。</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4.2</w:t>
      </w:r>
      <w:r>
        <w:rPr>
          <w:rFonts w:hint="eastAsia" w:ascii="仿宋_GB2312" w:hAnsi="仿宋_GB2312" w:eastAsia="仿宋_GB2312" w:cs="仿宋_GB2312"/>
          <w:color w:val="auto"/>
          <w:sz w:val="28"/>
          <w:szCs w:val="28"/>
          <w:highlight w:val="none"/>
        </w:rPr>
        <w:t>本合同履行期间，因甲方原因造成合同终止或解除，乙方已开始</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工作的，甲方应按实际完成的工作量支付乙方检测、监测费用。同时，乙方应将已完成的</w:t>
      </w:r>
      <w:r>
        <w:rPr>
          <w:rFonts w:hint="eastAsia" w:ascii="仿宋_GB2312" w:hAnsi="仿宋_GB2312" w:eastAsia="仿宋_GB2312" w:cs="仿宋_GB2312"/>
          <w:color w:val="auto"/>
          <w:sz w:val="28"/>
          <w:szCs w:val="28"/>
          <w:highlight w:val="none"/>
          <w:lang w:val="en-US" w:eastAsia="zh-CN"/>
        </w:rPr>
        <w:t>检测、监测</w:t>
      </w:r>
      <w:r>
        <w:rPr>
          <w:rFonts w:hint="eastAsia" w:ascii="仿宋_GB2312" w:hAnsi="仿宋_GB2312" w:eastAsia="仿宋_GB2312" w:cs="仿宋_GB2312"/>
          <w:color w:val="auto"/>
          <w:sz w:val="28"/>
          <w:szCs w:val="28"/>
          <w:highlight w:val="none"/>
        </w:rPr>
        <w:t>报告移交给甲方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且所有</w:t>
      </w:r>
      <w:r>
        <w:rPr>
          <w:rFonts w:hint="eastAsia" w:ascii="仿宋_GB2312" w:hAnsi="仿宋_GB2312" w:eastAsia="仿宋_GB2312" w:cs="仿宋_GB2312"/>
          <w:color w:val="auto"/>
          <w:sz w:val="28"/>
          <w:szCs w:val="28"/>
          <w:highlight w:val="none"/>
          <w:lang w:eastAsia="zh-CN"/>
        </w:rPr>
        <w:t>成果全部归</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所有</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4.3</w:t>
      </w:r>
      <w:r>
        <w:rPr>
          <w:rFonts w:hint="eastAsia" w:ascii="仿宋_GB2312" w:hAnsi="仿宋_GB2312" w:eastAsia="仿宋_GB2312" w:cs="仿宋_GB2312"/>
          <w:color w:val="auto"/>
          <w:sz w:val="28"/>
          <w:szCs w:val="28"/>
          <w:highlight w:val="none"/>
        </w:rPr>
        <w:t>甲方逾期违约金按下列方法确定并支付：每逾期一天，应向乙方偿付未支付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费的</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仿宋_GB2312" w:hAnsi="仿宋_GB2312" w:eastAsia="仿宋_GB2312" w:cs="仿宋_GB2312"/>
          <w:color w:val="auto"/>
          <w:sz w:val="28"/>
          <w:szCs w:val="28"/>
          <w:highlight w:val="none"/>
        </w:rPr>
        <w:t>作为逾期违约金。</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4.4</w:t>
      </w:r>
      <w:r>
        <w:rPr>
          <w:rFonts w:hint="eastAsia" w:ascii="仿宋_GB2312" w:hAnsi="仿宋_GB2312" w:eastAsia="仿宋_GB2312" w:cs="仿宋_GB2312"/>
          <w:color w:val="auto"/>
          <w:sz w:val="28"/>
          <w:szCs w:val="28"/>
          <w:highlight w:val="none"/>
          <w:lang w:val="en-US" w:eastAsia="zh-CN"/>
        </w:rPr>
        <w:t>不适用。</w:t>
      </w:r>
    </w:p>
    <w:p>
      <w:pPr>
        <w:pageBreakBefore w:val="0"/>
        <w:kinsoku/>
        <w:wordWrap/>
        <w:overflowPunct/>
        <w:topLinePunct w:val="0"/>
        <w:bidi w:val="0"/>
        <w:spacing w:before="156" w:beforeLines="50" w:line="560" w:lineRule="exact"/>
        <w:ind w:firstLine="420" w:firstLineChars="15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4.5</w:t>
      </w:r>
      <w:r>
        <w:rPr>
          <w:rFonts w:hint="eastAsia" w:ascii="仿宋_GB2312" w:hAnsi="仿宋_GB2312" w:eastAsia="仿宋_GB2312" w:cs="仿宋_GB2312"/>
          <w:color w:val="auto"/>
          <w:sz w:val="28"/>
          <w:szCs w:val="28"/>
          <w:highlight w:val="none"/>
          <w:lang w:val="en-US" w:eastAsia="zh-CN"/>
        </w:rPr>
        <w:t>由于乙方原因造成检测、监测成果报告不符合工程建设强制性标准、国家技术规范、标准、规程及任务委托书的有关要求，乙方必须在甲方要求的时间内负责无偿给予修正、补充和完善，</w:t>
      </w:r>
      <w:r>
        <w:rPr>
          <w:rFonts w:hint="eastAsia" w:ascii="仿宋_GB2312" w:hAnsi="仿宋_GB2312" w:eastAsia="仿宋_GB2312" w:cs="仿宋_GB2312"/>
          <w:color w:val="auto"/>
          <w:sz w:val="28"/>
          <w:szCs w:val="28"/>
          <w:highlight w:val="none"/>
        </w:rPr>
        <w:t>并向甲方支付本合同项下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1 %</w:t>
      </w:r>
      <w:r>
        <w:rPr>
          <w:rFonts w:hint="eastAsia" w:ascii="仿宋_GB2312" w:hAnsi="仿宋_GB2312" w:eastAsia="仿宋_GB2312" w:cs="仿宋_GB2312"/>
          <w:color w:val="auto"/>
          <w:sz w:val="28"/>
          <w:szCs w:val="28"/>
          <w:highlight w:val="none"/>
        </w:rPr>
        <w:t>的违约金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如乙方无法按</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val="en-US" w:eastAsia="zh-CN"/>
        </w:rPr>
        <w:t>要求完成工作，甲方</w:t>
      </w:r>
      <w:r>
        <w:rPr>
          <w:rFonts w:hint="eastAsia" w:ascii="仿宋_GB2312" w:hAnsi="仿宋_GB2312" w:eastAsia="仿宋_GB2312" w:cs="仿宋_GB2312"/>
          <w:color w:val="auto"/>
          <w:sz w:val="28"/>
          <w:szCs w:val="28"/>
          <w:highlight w:val="none"/>
          <w:lang w:eastAsia="zh-CN"/>
        </w:rPr>
        <w:t>有权解除合同，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应全额返还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已付款项并赔偿</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相关损失</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4.6</w:t>
      </w:r>
      <w:r>
        <w:rPr>
          <w:rFonts w:hint="eastAsia" w:ascii="仿宋_GB2312" w:hAnsi="仿宋_GB2312" w:eastAsia="仿宋_GB2312" w:cs="仿宋_GB2312"/>
          <w:color w:val="auto"/>
          <w:sz w:val="28"/>
          <w:szCs w:val="28"/>
          <w:highlight w:val="none"/>
        </w:rPr>
        <w:t>乙方未按照合同约定时间提交</w:t>
      </w:r>
      <w:r>
        <w:rPr>
          <w:rFonts w:hint="eastAsia" w:ascii="仿宋_GB2312" w:hAnsi="仿宋_GB2312" w:eastAsia="仿宋_GB2312" w:cs="仿宋_GB2312"/>
          <w:color w:val="auto"/>
          <w:sz w:val="28"/>
          <w:szCs w:val="28"/>
          <w:highlight w:val="none"/>
          <w:lang w:val="en-US" w:eastAsia="zh-CN"/>
        </w:rPr>
        <w:t>第三方检测方案或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报告，每逾期一天应按相关项目</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w:t>
      </w:r>
      <w:r>
        <w:rPr>
          <w:rFonts w:hint="eastAsia" w:ascii="仿宋_GB2312" w:hAnsi="仿宋_GB2312" w:eastAsia="仿宋_GB2312" w:cs="仿宋_GB2312"/>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US" w:eastAsia="zh-CN"/>
        </w:rPr>
        <w:t>0.1 %</w:t>
      </w:r>
      <w:r>
        <w:rPr>
          <w:rFonts w:hint="eastAsia" w:ascii="Times New Roman" w:hAnsi="Times New Roman" w:eastAsia="仿宋_GB2312" w:cs="Times New Roman"/>
          <w:color w:val="auto"/>
          <w:sz w:val="28"/>
          <w:szCs w:val="28"/>
          <w:highlight w:val="none"/>
          <w:u w:val="none"/>
          <w:lang w:val="en-US" w:eastAsia="zh-CN"/>
        </w:rPr>
        <w:t>向</w:t>
      </w:r>
      <w:r>
        <w:rPr>
          <w:rFonts w:hint="eastAsia" w:ascii="仿宋_GB2312" w:hAnsi="仿宋_GB2312" w:eastAsia="仿宋_GB2312" w:cs="仿宋_GB2312"/>
          <w:color w:val="auto"/>
          <w:sz w:val="28"/>
          <w:szCs w:val="28"/>
          <w:highlight w:val="none"/>
        </w:rPr>
        <w:t>甲方支付违约金，迟延超过</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天的，甲方有权解除合同，并有权将本项目另行委托其它</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应全额返还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已付款项并赔偿</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相关损失</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4.8</w:t>
      </w:r>
      <w:r>
        <w:rPr>
          <w:rFonts w:hint="eastAsia" w:ascii="仿宋_GB2312" w:hAnsi="仿宋_GB2312" w:eastAsia="仿宋_GB2312" w:cs="仿宋_GB2312"/>
          <w:color w:val="auto"/>
          <w:sz w:val="28"/>
          <w:szCs w:val="28"/>
          <w:highlight w:val="none"/>
        </w:rPr>
        <w:t>乙方无正当理由违反本合同约定延期进场的，每迟延进场1天，必须向甲方支付本合同项下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仿宋_GB2312" w:hAnsi="仿宋_GB2312" w:eastAsia="仿宋_GB2312" w:cs="仿宋_GB2312"/>
          <w:color w:val="auto"/>
          <w:sz w:val="28"/>
          <w:szCs w:val="28"/>
          <w:highlight w:val="none"/>
        </w:rPr>
        <w:t>的违约金；迟延进场超过</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天</w:t>
      </w:r>
      <w:r>
        <w:rPr>
          <w:rFonts w:hint="eastAsia" w:ascii="仿宋_GB2312" w:hAnsi="仿宋_GB2312" w:eastAsia="仿宋_GB2312" w:cs="仿宋_GB2312"/>
          <w:color w:val="auto"/>
          <w:sz w:val="28"/>
          <w:szCs w:val="28"/>
          <w:highlight w:val="none"/>
          <w:lang w:val="en-US" w:eastAsia="zh-CN"/>
        </w:rPr>
        <w:t>或进场后三次未能及时提交满足合同约定标准的检测、监测报告的</w:t>
      </w:r>
      <w:r>
        <w:rPr>
          <w:rFonts w:hint="eastAsia" w:ascii="仿宋_GB2312" w:hAnsi="仿宋_GB2312" w:eastAsia="仿宋_GB2312" w:cs="仿宋_GB2312"/>
          <w:color w:val="auto"/>
          <w:sz w:val="28"/>
          <w:szCs w:val="28"/>
          <w:highlight w:val="none"/>
        </w:rPr>
        <w:t>，甲方有权解除合同，并有权将本项目另行委托其它</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应全额返还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已付款项并赔偿</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相关损失</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4.9</w:t>
      </w:r>
      <w:r>
        <w:rPr>
          <w:rFonts w:hint="eastAsia" w:ascii="仿宋_GB2312" w:hAnsi="仿宋_GB2312" w:eastAsia="仿宋_GB2312" w:cs="仿宋_GB2312"/>
          <w:color w:val="auto"/>
          <w:sz w:val="28"/>
          <w:szCs w:val="28"/>
          <w:highlight w:val="none"/>
        </w:rPr>
        <w:t>安全方面的违约责任</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乙方提供的相关检测成果应真实可靠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若</w:t>
      </w:r>
      <w:r>
        <w:rPr>
          <w:rFonts w:hint="eastAsia" w:ascii="仿宋_GB2312" w:hAnsi="仿宋_GB2312" w:eastAsia="仿宋_GB2312" w:cs="仿宋_GB2312"/>
          <w:color w:val="auto"/>
          <w:sz w:val="28"/>
          <w:szCs w:val="28"/>
          <w:highlight w:val="none"/>
        </w:rPr>
        <w:t>由于乙方的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工作不及时或提供的检测</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rPr>
        <w:t>成果不准确或分析、报告不及时而导致事故发生，给甲方造成损失的，由乙方承担因此导致的所有经济与法律损失，并向甲方支付本合同项下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的违约金</w:t>
      </w:r>
      <w:r>
        <w:rPr>
          <w:rFonts w:hint="eastAsia" w:ascii="仿宋_GB2312" w:hAnsi="仿宋_GB2312" w:eastAsia="仿宋_GB2312" w:cs="仿宋_GB2312"/>
          <w:color w:val="auto"/>
          <w:sz w:val="28"/>
          <w:szCs w:val="28"/>
          <w:highlight w:val="none"/>
          <w:lang w:eastAsia="zh-CN"/>
        </w:rPr>
        <w:t>，且甲方有权解除合同</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before="156" w:beforeLines="50" w:line="560" w:lineRule="exact"/>
        <w:ind w:firstLine="420" w:firstLineChars="15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4.10分包、转包方面的违约责任</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乙方擅自分包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违法分包</w:t>
      </w:r>
      <w:r>
        <w:rPr>
          <w:rFonts w:hint="eastAsia" w:ascii="仿宋_GB2312" w:hAnsi="仿宋_GB2312" w:eastAsia="仿宋_GB2312" w:cs="仿宋_GB2312"/>
          <w:color w:val="auto"/>
          <w:sz w:val="28"/>
          <w:szCs w:val="28"/>
          <w:highlight w:val="none"/>
        </w:rPr>
        <w:t>或者转包项目的，甲方有权单方部分解除合同或全部解除合同，并要求乙方承担本合同项下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的违约金，若因此造成甲方损失还须赔偿相关损失。</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4.11在本工作验收前乙方不得更换项目负责人。如项目负责人发生人身意外、突发重大疾病、行政或刑事拘留等特殊情况，乙方确需更换项目负责人的，应至少提前7天以书面形式通知甲方，并征得甲方书面同意，通知中应当载明继任项目负责人的注册执业资格或职称、管理经验等资料，继任项目负责人继续履行合同约定的职责，拟更换人员的资质、学历、职称、业绩、实际工作能力不得低于原投标书中所承诺人员的综合素质。</w:t>
      </w:r>
      <w:r>
        <w:rPr>
          <w:rFonts w:hint="eastAsia" w:ascii="仿宋_GB2312" w:hAnsi="仿宋_GB2312" w:eastAsia="仿宋_GB2312" w:cs="仿宋_GB2312"/>
          <w:color w:val="auto"/>
          <w:sz w:val="28"/>
          <w:szCs w:val="28"/>
          <w:highlight w:val="none"/>
        </w:rPr>
        <w:t>如</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未经</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同意擅自更换项目负责人的，或由于项目负责人辞职、调换岗位等除</w:t>
      </w:r>
      <w:r>
        <w:rPr>
          <w:rFonts w:hint="eastAsia" w:ascii="仿宋_GB2312" w:hAnsi="仿宋_GB2312" w:eastAsia="仿宋_GB2312" w:cs="仿宋_GB2312"/>
          <w:color w:val="auto"/>
          <w:sz w:val="28"/>
          <w:szCs w:val="28"/>
          <w:highlight w:val="none"/>
          <w:lang w:val="en-US" w:eastAsia="zh-CN"/>
        </w:rPr>
        <w:t>上述</w:t>
      </w:r>
      <w:r>
        <w:rPr>
          <w:rFonts w:hint="eastAsia" w:ascii="仿宋_GB2312" w:hAnsi="仿宋_GB2312" w:eastAsia="仿宋_GB2312" w:cs="仿宋_GB2312"/>
          <w:color w:val="auto"/>
          <w:sz w:val="28"/>
          <w:szCs w:val="28"/>
          <w:highlight w:val="none"/>
        </w:rPr>
        <w:t>约定的情形以外的原因更换项目负责人的，或因项目负责人不称职</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要求更换而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拒不更换的，</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须按合同价款的</w:t>
      </w:r>
      <w:r>
        <w:rPr>
          <w:rFonts w:hint="eastAsia" w:ascii="仿宋_GB2312" w:hAnsi="仿宋_GB2312" w:eastAsia="仿宋_GB2312" w:cs="仿宋_GB2312"/>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（不高于</w:t>
      </w:r>
      <w:r>
        <w:rPr>
          <w:rFonts w:hint="eastAsia" w:ascii="Times New Roman" w:hAnsi="Times New Roman" w:eastAsia="仿宋_GB2312" w:cs="Times New Roman"/>
          <w:color w:val="auto"/>
          <w:sz w:val="28"/>
          <w:szCs w:val="28"/>
          <w:highlight w:val="none"/>
          <w:u w:val="single"/>
          <w:lang w:val="en-US" w:eastAsia="zh-CN"/>
        </w:rPr>
        <w:t>50</w:t>
      </w:r>
      <w:r>
        <w:rPr>
          <w:rFonts w:hint="eastAsia" w:ascii="仿宋_GB2312" w:hAnsi="仿宋_GB2312" w:eastAsia="仿宋_GB2312" w:cs="仿宋_GB2312"/>
          <w:color w:val="auto"/>
          <w:sz w:val="28"/>
          <w:szCs w:val="28"/>
          <w:highlight w:val="none"/>
          <w:u w:val="single"/>
        </w:rPr>
        <w:t xml:space="preserve">万元）/次/人 </w:t>
      </w:r>
      <w:r>
        <w:rPr>
          <w:rFonts w:hint="eastAsia" w:ascii="仿宋_GB2312" w:hAnsi="仿宋_GB2312" w:eastAsia="仿宋_GB2312" w:cs="仿宋_GB2312"/>
          <w:color w:val="auto"/>
          <w:sz w:val="28"/>
          <w:szCs w:val="28"/>
          <w:highlight w:val="none"/>
        </w:rPr>
        <w:t>的标准向发包人支付违约金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更换</w:t>
      </w:r>
      <w:r>
        <w:rPr>
          <w:rFonts w:hint="eastAsia" w:ascii="Times New Roman" w:hAnsi="Times New Roman" w:eastAsia="仿宋_GB2312" w:cs="Times New Roman"/>
          <w:color w:val="auto"/>
          <w:sz w:val="28"/>
          <w:szCs w:val="28"/>
          <w:highlight w:val="none"/>
          <w:lang w:val="en-US" w:eastAsia="zh-CN"/>
        </w:rPr>
        <w:t>项目负责人不得影响正常质量检测、监测工作</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4.12</w:t>
      </w:r>
      <w:r>
        <w:rPr>
          <w:rFonts w:hint="eastAsia" w:ascii="仿宋_GB2312" w:hAnsi="仿宋_GB2312" w:eastAsia="仿宋_GB2312" w:cs="仿宋_GB2312"/>
          <w:color w:val="auto"/>
          <w:sz w:val="28"/>
          <w:szCs w:val="28"/>
          <w:highlight w:val="none"/>
        </w:rPr>
        <w:t>发现乙方人员与施工单位串通，对不合格工程出具合格</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报告或结论，甲方有权单方解除合同，并要求乙方承担本合同项下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的违约金，若因此造成甲方损失还须赔偿相关损失。</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4.13</w:t>
      </w:r>
      <w:r>
        <w:rPr>
          <w:rFonts w:hint="eastAsia" w:ascii="仿宋_GB2312" w:hAnsi="仿宋_GB2312" w:eastAsia="仿宋_GB2312" w:cs="仿宋_GB2312"/>
          <w:color w:val="auto"/>
          <w:sz w:val="28"/>
          <w:szCs w:val="28"/>
          <w:highlight w:val="none"/>
          <w:lang w:val="en-US" w:eastAsia="zh-CN"/>
        </w:rPr>
        <w:t>由乙方原因造成，提交的检测、监测报告不能满足工程建设需要的，乙方应自负费用继续完善，直到满足甲方需求时为止。</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4.14</w:t>
      </w:r>
      <w:r>
        <w:rPr>
          <w:rFonts w:hint="eastAsia" w:ascii="仿宋_GB2312" w:hAnsi="仿宋_GB2312" w:eastAsia="仿宋_GB2312" w:cs="仿宋_GB2312"/>
          <w:color w:val="auto"/>
          <w:sz w:val="28"/>
          <w:szCs w:val="28"/>
          <w:highlight w:val="none"/>
          <w:lang w:val="en-US" w:eastAsia="zh-CN"/>
        </w:rPr>
        <w:t>乙方泄露甲方秘密或侵犯他人或甲方知识产权的，乙方应承担本合同项下检测、监测费用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的违约金，若因此造成甲方损失还须赔偿相关损失。情节严重的，甲方有权部分或全部解除合同。</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4.15</w:t>
      </w:r>
      <w:r>
        <w:rPr>
          <w:rFonts w:hint="eastAsia" w:ascii="仿宋_GB2312" w:hAnsi="仿宋_GB2312" w:eastAsia="仿宋_GB2312" w:cs="仿宋_GB2312"/>
          <w:color w:val="auto"/>
          <w:sz w:val="28"/>
          <w:szCs w:val="28"/>
          <w:highlight w:val="none"/>
          <w:lang w:val="en-US" w:eastAsia="zh-CN"/>
        </w:rPr>
        <w:t>乙方因吊销营业执照或破产的，甲方有权解除合同。乙方应承担本合同项下检测、监测费用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的违约金，乙方还须承诺放弃没有结算未付的服务报酬，不得异议。若造成损失，乙方还应赔偿损失。</w:t>
      </w:r>
    </w:p>
    <w:p>
      <w:pPr>
        <w:pageBreakBefore w:val="0"/>
        <w:kinsoku/>
        <w:wordWrap/>
        <w:overflowPunct/>
        <w:topLinePunct w:val="0"/>
        <w:bidi w:val="0"/>
        <w:spacing w:before="156" w:beforeLines="50" w:line="560" w:lineRule="exact"/>
        <w:ind w:firstLine="420"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4.16</w:t>
      </w:r>
      <w:r>
        <w:rPr>
          <w:rFonts w:hint="eastAsia" w:ascii="仿宋_GB2312" w:hAnsi="仿宋_GB2312" w:eastAsia="仿宋_GB2312" w:cs="仿宋_GB2312"/>
          <w:color w:val="auto"/>
          <w:sz w:val="28"/>
          <w:szCs w:val="28"/>
          <w:highlight w:val="none"/>
          <w:lang w:val="en-US" w:eastAsia="zh-CN"/>
        </w:rPr>
        <w:t>乙方无正当理由单方要求解除本合同，或以消极履行的方式变相不履行本合同的，甲方有权解除本合同，乙方应向甲方支付本合同项下检测、监测费用</w:t>
      </w:r>
      <w:r>
        <w:rPr>
          <w:rFonts w:hint="eastAsia" w:ascii="Times New Roman" w:hAnsi="Times New Roman" w:eastAsia="仿宋_GB2312" w:cs="Times New Roman"/>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lang w:val="en-US" w:eastAsia="zh-CN"/>
        </w:rPr>
        <w:t>的违约金。若造成损失，乙方还应赔偿损失。</w:t>
      </w:r>
    </w:p>
    <w:p>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4.17</w:t>
      </w:r>
      <w:r>
        <w:rPr>
          <w:rFonts w:hint="eastAsia" w:ascii="仿宋_GB2312" w:hAnsi="仿宋_GB2312" w:eastAsia="仿宋_GB2312" w:cs="仿宋_GB2312"/>
          <w:color w:val="auto"/>
          <w:sz w:val="28"/>
          <w:szCs w:val="28"/>
          <w:highlight w:val="none"/>
          <w:lang w:val="en-US" w:eastAsia="zh-CN"/>
        </w:rPr>
        <w:t>在甲方书面通知乙方进场后</w:t>
      </w:r>
      <w:r>
        <w:rPr>
          <w:rFonts w:hint="eastAsia" w:ascii="Times New Roman" w:hAnsi="Times New Roman" w:eastAsia="仿宋_GB2312" w:cs="Times New Roman"/>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日内，乙方的项目负责人或技术负责人不到位或到位后又离开，造成该岗位空缺，甲方一旦发现，将要求乙方做出书面解释并保证人员限期到位。人员未到位前，每逾期一天应按相关项目检测、监测费用的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0.2 %</w:t>
      </w:r>
      <w:r>
        <w:rPr>
          <w:rFonts w:hint="eastAsia" w:ascii="仿宋_GB2312" w:hAnsi="仿宋_GB2312" w:eastAsia="仿宋_GB2312" w:cs="仿宋_GB2312"/>
          <w:color w:val="auto"/>
          <w:sz w:val="28"/>
          <w:szCs w:val="28"/>
          <w:highlight w:val="none"/>
          <w:lang w:val="en-US" w:eastAsia="zh-CN"/>
        </w:rPr>
        <w:t>向甲方支付违约金；如果乙方拒不配合，未在甲方提出限期改正的期限内进行整改的，每逾期一天应按相关项目检测、监测费用的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0.4 %</w:t>
      </w:r>
      <w:r>
        <w:rPr>
          <w:rFonts w:hint="eastAsia" w:ascii="仿宋_GB2312" w:hAnsi="仿宋_GB2312" w:eastAsia="仿宋_GB2312" w:cs="仿宋_GB2312"/>
          <w:color w:val="auto"/>
          <w:sz w:val="28"/>
          <w:szCs w:val="28"/>
          <w:highlight w:val="none"/>
          <w:lang w:val="en-US" w:eastAsia="zh-CN"/>
        </w:rPr>
        <w:t>向甲方支付违约金，且甲方有权单方提出解除合同，并要求乙方承担由此造成的甲方损失。</w:t>
      </w:r>
    </w:p>
    <w:p>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4.18</w:t>
      </w:r>
      <w:r>
        <w:rPr>
          <w:rFonts w:hint="eastAsia" w:ascii="仿宋_GB2312" w:hAnsi="仿宋_GB2312" w:eastAsia="仿宋_GB2312" w:cs="仿宋_GB2312"/>
          <w:color w:val="auto"/>
          <w:sz w:val="28"/>
          <w:szCs w:val="28"/>
          <w:highlight w:val="none"/>
          <w:lang w:val="en-US" w:eastAsia="zh-CN"/>
        </w:rPr>
        <w:t>在甲方书面通知乙方进场后</w:t>
      </w:r>
      <w:r>
        <w:rPr>
          <w:rFonts w:hint="eastAsia" w:ascii="Times New Roman" w:hAnsi="Times New Roman" w:eastAsia="仿宋_GB2312" w:cs="Times New Roman"/>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内，乙方在投标文件中承诺的主要质量检测、监测技术人员未能足额到位，或到位后又离开，造成该岗位空缺，或同时受聘于两家或者两家以上检测机构，以及未按承诺依时足额投入有关设备，甲方一旦发现将要求乙方做出书面解释并保证人员、设备限期到位；上述情况每发生1次，乙方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仿宋_GB2312" w:hAnsi="仿宋_GB2312" w:eastAsia="仿宋_GB2312" w:cs="仿宋_GB2312"/>
          <w:color w:val="auto"/>
          <w:sz w:val="28"/>
          <w:szCs w:val="28"/>
          <w:highlight w:val="none"/>
          <w:lang w:val="en-US" w:eastAsia="zh-CN"/>
        </w:rPr>
        <w:t>向甲方支付违约金；如果乙方拒不配合，未在甲方提出限期改正的期限内进行整改的，乙方应按相关项目检测、监测费用的</w:t>
      </w:r>
      <w:r>
        <w:rPr>
          <w:rFonts w:hint="eastAsia" w:ascii="Times New Roman" w:hAnsi="Times New Roman" w:eastAsia="仿宋_GB2312" w:cs="Times New Roman"/>
          <w:color w:val="auto"/>
          <w:sz w:val="28"/>
          <w:szCs w:val="28"/>
          <w:highlight w:val="none"/>
          <w:u w:val="single"/>
          <w:lang w:val="en-US" w:eastAsia="zh-CN"/>
        </w:rPr>
        <w:t xml:space="preserve"> 0.2 %</w:t>
      </w:r>
      <w:r>
        <w:rPr>
          <w:rFonts w:hint="eastAsia" w:ascii="仿宋_GB2312" w:hAnsi="仿宋_GB2312" w:eastAsia="仿宋_GB2312" w:cs="仿宋_GB2312"/>
          <w:color w:val="auto"/>
          <w:sz w:val="28"/>
          <w:szCs w:val="28"/>
          <w:highlight w:val="none"/>
          <w:lang w:val="en-US" w:eastAsia="zh-CN"/>
        </w:rPr>
        <w:t>向甲方支付违约金，直至解除合同，乙方应承担由此造成的甲方损失。</w:t>
      </w:r>
    </w:p>
    <w:p>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4.19</w:t>
      </w:r>
      <w:r>
        <w:rPr>
          <w:rFonts w:hint="eastAsia" w:ascii="仿宋_GB2312" w:hAnsi="仿宋_GB2312" w:eastAsia="仿宋_GB2312" w:cs="仿宋_GB2312"/>
          <w:color w:val="auto"/>
          <w:sz w:val="28"/>
          <w:szCs w:val="28"/>
          <w:highlight w:val="none"/>
        </w:rPr>
        <w:t xml:space="preserve">甲方或甲方委托的监理单位召集工程会议书面通知乙方必须派出项目负责人或技术负责人依时参加会议时，乙方必须派员到会，未经甲方同意不到会者，每发生一次按本合同项下检测、监测费用 </w:t>
      </w:r>
      <w:r>
        <w:rPr>
          <w:rFonts w:hint="eastAsia" w:ascii="Times New Roman" w:hAnsi="Times New Roman" w:eastAsia="仿宋_GB2312" w:cs="Times New Roman"/>
          <w:color w:val="auto"/>
          <w:sz w:val="28"/>
          <w:szCs w:val="28"/>
          <w:highlight w:val="none"/>
          <w:u w:val="single"/>
        </w:rPr>
        <w:t xml:space="preserve">0.1 </w:t>
      </w:r>
      <w:r>
        <w:rPr>
          <w:rFonts w:hint="eastAsia" w:ascii="仿宋_GB2312" w:hAnsi="仿宋_GB2312" w:eastAsia="仿宋_GB2312" w:cs="仿宋_GB2312"/>
          <w:color w:val="auto"/>
          <w:sz w:val="28"/>
          <w:szCs w:val="28"/>
          <w:highlight w:val="none"/>
        </w:rPr>
        <w:t>%的计算违约金。</w:t>
      </w:r>
    </w:p>
    <w:p>
      <w:pPr>
        <w:spacing w:before="156" w:beforeLines="50" w:line="560" w:lineRule="exact"/>
        <w:ind w:firstLineChars="15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4.20</w:t>
      </w:r>
      <w:r>
        <w:rPr>
          <w:rFonts w:hint="eastAsia" w:ascii="仿宋_GB2312" w:hAnsi="仿宋_GB2312" w:eastAsia="仿宋_GB2312" w:cs="仿宋_GB2312"/>
          <w:b w:val="0"/>
          <w:bCs w:val="0"/>
          <w:color w:val="auto"/>
          <w:kern w:val="2"/>
          <w:sz w:val="28"/>
          <w:szCs w:val="28"/>
          <w:highlight w:val="none"/>
          <w:lang w:val="en-US" w:eastAsia="zh-CN" w:bidi="ar-SA"/>
        </w:rPr>
        <w:t>乙方在工程完成相应内容并收齐有关资料后的</w:t>
      </w:r>
      <w:r>
        <w:rPr>
          <w:rFonts w:hint="eastAsia" w:ascii="Times New Roman" w:hAnsi="Times New Roman" w:eastAsia="仿宋_GB2312" w:cs="Times New Roman"/>
          <w:b w:val="0"/>
          <w:bCs w:val="0"/>
          <w:color w:val="auto"/>
          <w:kern w:val="2"/>
          <w:sz w:val="28"/>
          <w:szCs w:val="28"/>
          <w:highlight w:val="none"/>
          <w:u w:val="single"/>
          <w:lang w:val="en-US" w:eastAsia="zh-CN" w:bidi="ar-SA"/>
        </w:rPr>
        <w:t>28</w:t>
      </w:r>
      <w:r>
        <w:rPr>
          <w:rFonts w:hint="eastAsia" w:ascii="仿宋_GB2312" w:hAnsi="仿宋_GB2312" w:eastAsia="仿宋_GB2312" w:cs="仿宋_GB2312"/>
          <w:b w:val="0"/>
          <w:bCs w:val="0"/>
          <w:color w:val="auto"/>
          <w:kern w:val="2"/>
          <w:sz w:val="28"/>
          <w:szCs w:val="28"/>
          <w:highlight w:val="none"/>
          <w:lang w:val="en-US" w:eastAsia="zh-CN" w:bidi="ar-SA"/>
        </w:rPr>
        <w:t>日内，必须完成应由乙方填写的各种资料归档。否则，每迟交一天，乙方应按服务报酬结算价总额的</w:t>
      </w:r>
      <w:r>
        <w:rPr>
          <w:rFonts w:hint="eastAsia" w:ascii="Times New Roman" w:hAnsi="Times New Roman" w:eastAsia="仿宋_GB2312" w:cs="Times New Roman"/>
          <w:color w:val="auto"/>
          <w:sz w:val="28"/>
          <w:szCs w:val="28"/>
          <w:highlight w:val="none"/>
          <w:u w:val="single"/>
          <w:lang w:val="en-US" w:eastAsia="zh-CN"/>
        </w:rPr>
        <w:t xml:space="preserve"> 0.1 %</w:t>
      </w:r>
      <w:r>
        <w:rPr>
          <w:rFonts w:hint="eastAsia" w:ascii="Times New Roman" w:hAnsi="Times New Roman" w:eastAsia="仿宋_GB2312" w:cs="Times New Roman"/>
          <w:color w:val="auto"/>
          <w:sz w:val="28"/>
          <w:szCs w:val="28"/>
          <w:highlight w:val="none"/>
          <w:u w:val="none"/>
          <w:lang w:val="en-US" w:eastAsia="zh-CN"/>
        </w:rPr>
        <w:t>/</w:t>
      </w:r>
      <w:r>
        <w:rPr>
          <w:rFonts w:hint="eastAsia" w:ascii="仿宋_GB2312" w:hAnsi="仿宋_GB2312" w:eastAsia="仿宋_GB2312" w:cs="仿宋_GB2312"/>
          <w:b w:val="0"/>
          <w:bCs w:val="0"/>
          <w:color w:val="auto"/>
          <w:kern w:val="2"/>
          <w:sz w:val="28"/>
          <w:szCs w:val="28"/>
          <w:highlight w:val="none"/>
          <w:lang w:val="en-US" w:eastAsia="zh-CN" w:bidi="ar-SA"/>
        </w:rPr>
        <w:t>日向甲方支付违约金。</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88" w:name="_Toc10627445"/>
      <w:r>
        <w:rPr>
          <w:rFonts w:hint="eastAsia" w:ascii="黑体" w:hAnsi="黑体" w:eastAsia="黑体" w:cs="黑体"/>
          <w:b w:val="0"/>
          <w:bCs w:val="0"/>
          <w:color w:val="auto"/>
          <w:sz w:val="32"/>
          <w:szCs w:val="32"/>
          <w:highlight w:val="none"/>
          <w:lang w:val="en-US" w:eastAsia="zh-CN"/>
        </w:rPr>
        <w:t>5.支付</w:t>
      </w:r>
      <w:bookmarkEnd w:id="188"/>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89" w:name="_Toc10627446"/>
      <w:r>
        <w:rPr>
          <w:rFonts w:hint="eastAsia" w:ascii="黑体" w:hAnsi="黑体" w:eastAsia="黑体" w:cs="黑体"/>
          <w:b w:val="0"/>
          <w:bCs w:val="0"/>
          <w:color w:val="auto"/>
          <w:sz w:val="28"/>
          <w:szCs w:val="28"/>
          <w:highlight w:val="none"/>
          <w:lang w:val="en-US" w:eastAsia="zh-CN"/>
        </w:rPr>
        <w:t>5.2检测、监测项目费用计算方式、金额</w:t>
      </w:r>
      <w:bookmarkEnd w:id="189"/>
    </w:p>
    <w:p>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5.2.1</w:t>
      </w:r>
      <w:r>
        <w:rPr>
          <w:rFonts w:hint="eastAsia" w:ascii="仿宋_GB2312" w:hAnsi="仿宋_GB2312" w:eastAsia="仿宋_GB2312" w:cs="仿宋_GB2312"/>
          <w:color w:val="auto"/>
          <w:sz w:val="28"/>
          <w:szCs w:val="28"/>
          <w:highlight w:val="none"/>
        </w:rPr>
        <w:t>本合同</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项目费用的计算方式为：</w:t>
      </w:r>
    </w:p>
    <w:p>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单价包干；☒总价包干；☒其它</w:t>
      </w:r>
    </w:p>
    <w:p>
      <w:pPr>
        <w:pageBreakBefore w:val="0"/>
        <w:kinsoku/>
        <w:wordWrap/>
        <w:overflowPunct/>
        <w:topLinePunct w:val="0"/>
        <w:bidi w:val="0"/>
        <w:adjustRightInd w:val="0"/>
        <w:snapToGrid w:val="0"/>
        <w:spacing w:line="560" w:lineRule="exact"/>
        <w:ind w:firstLine="700" w:firstLineChars="25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5.2.2</w:t>
      </w:r>
      <w:r>
        <w:rPr>
          <w:rFonts w:hint="eastAsia" w:ascii="仿宋_GB2312" w:hAnsi="仿宋_GB2312" w:eastAsia="仿宋_GB2312" w:cs="仿宋_GB2312"/>
          <w:color w:val="auto"/>
          <w:sz w:val="28"/>
          <w:szCs w:val="28"/>
          <w:highlight w:val="none"/>
        </w:rPr>
        <w:t>本项目检测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监测</w:t>
      </w:r>
      <w:r>
        <w:rPr>
          <w:rFonts w:hint="eastAsia" w:ascii="仿宋_GB2312" w:hAnsi="仿宋_GB2312" w:eastAsia="仿宋_GB2312" w:cs="仿宋_GB2312"/>
          <w:color w:val="auto"/>
          <w:sz w:val="28"/>
          <w:szCs w:val="28"/>
          <w:highlight w:val="none"/>
        </w:rPr>
        <w:t>费</w:t>
      </w:r>
      <w:r>
        <w:rPr>
          <w:rFonts w:hint="eastAsia" w:ascii="仿宋_GB2312" w:hAnsi="仿宋_GB2312" w:eastAsia="仿宋_GB2312" w:cs="仿宋_GB2312"/>
          <w:color w:val="auto"/>
          <w:sz w:val="28"/>
          <w:szCs w:val="28"/>
          <w:highlight w:val="none"/>
          <w:lang w:val="en-US" w:eastAsia="zh-CN"/>
        </w:rPr>
        <w:t>用</w:t>
      </w:r>
      <w:r>
        <w:rPr>
          <w:rFonts w:hint="eastAsia" w:ascii="仿宋_GB2312" w:hAnsi="仿宋_GB2312" w:eastAsia="仿宋_GB2312" w:cs="仿宋_GB2312"/>
          <w:color w:val="auto"/>
          <w:sz w:val="28"/>
          <w:szCs w:val="28"/>
          <w:highlight w:val="none"/>
        </w:rPr>
        <w:t>合计金额为：¥</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,金额大写(人民币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其中暂列金为</w:t>
      </w:r>
      <w:r>
        <w:rPr>
          <w:rFonts w:hint="eastAsia" w:ascii="仿宋_GB2312" w:hAnsi="仿宋_GB2312" w:eastAsia="仿宋_GB2312" w:cs="仿宋_GB2312"/>
          <w:color w:val="auto"/>
          <w:sz w:val="28"/>
          <w:szCs w:val="28"/>
          <w:highlight w:val="none"/>
        </w:rPr>
        <w:t>¥</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,金额大写(人民币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，投标下浮率为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本项目实行全费用含税综合单价包干，最终结算以经批准的检测监测方案为依据，按</w:t>
      </w:r>
      <w:r>
        <w:rPr>
          <w:rFonts w:hint="eastAsia" w:ascii="仿宋_GB2312" w:hAnsi="仿宋_GB2312" w:eastAsia="仿宋_GB2312" w:cs="仿宋_GB2312"/>
          <w:color w:val="auto"/>
          <w:sz w:val="28"/>
          <w:szCs w:val="28"/>
          <w:highlight w:val="none"/>
        </w:rPr>
        <w:t>经甲方确认的实际发生工程量*《投标报 价表》中的综合单价限价*（1-响应报价下浮率）</w:t>
      </w:r>
      <w:r>
        <w:rPr>
          <w:rFonts w:hint="eastAsia" w:ascii="仿宋_GB2312" w:hAnsi="仿宋_GB2312" w:eastAsia="仿宋_GB2312" w:cs="仿宋_GB2312"/>
          <w:color w:val="auto"/>
          <w:sz w:val="28"/>
          <w:szCs w:val="28"/>
          <w:highlight w:val="none"/>
        </w:rPr>
        <w:t>计算。各单项工程竣工验收合格后按单项工程办理检测监测费结算,</w:t>
      </w:r>
      <w:r>
        <w:rPr>
          <w:rFonts w:hint="eastAsia" w:ascii="仿宋_GB2312" w:hAnsi="仿宋_GB2312" w:eastAsia="仿宋_GB2312" w:cs="仿宋_GB2312"/>
          <w:color w:val="auto"/>
          <w:sz w:val="28"/>
          <w:szCs w:val="28"/>
          <w:highlight w:val="none"/>
          <w:lang w:eastAsia="zh-CN"/>
        </w:rPr>
        <w:t>最终结算价不得超该单项工程概算对应的检测监测费。</w:t>
      </w:r>
      <w:r>
        <w:rPr>
          <w:rFonts w:hint="eastAsia" w:ascii="仿宋_GB2312" w:hAnsi="仿宋_GB2312" w:eastAsia="仿宋_GB2312" w:cs="仿宋_GB2312"/>
          <w:color w:val="auto"/>
          <w:sz w:val="28"/>
          <w:szCs w:val="28"/>
          <w:highlight w:val="none"/>
          <w:lang w:eastAsia="zh-CN"/>
        </w:rPr>
        <w:t>最终</w:t>
      </w:r>
      <w:r>
        <w:rPr>
          <w:rFonts w:hint="eastAsia" w:ascii="仿宋_GB2312" w:hAnsi="仿宋_GB2312" w:eastAsia="仿宋_GB2312" w:cs="仿宋_GB2312"/>
          <w:color w:val="auto"/>
          <w:sz w:val="28"/>
          <w:szCs w:val="28"/>
          <w:highlight w:val="none"/>
          <w:lang w:eastAsia="zh-CN"/>
        </w:rPr>
        <w:t>结算</w:t>
      </w:r>
      <w:r>
        <w:rPr>
          <w:rFonts w:hint="eastAsia" w:ascii="仿宋_GB2312" w:hAnsi="仿宋_GB2312" w:eastAsia="仿宋_GB2312" w:cs="仿宋_GB2312"/>
          <w:color w:val="auto"/>
          <w:sz w:val="28"/>
          <w:szCs w:val="28"/>
          <w:highlight w:val="none"/>
          <w:lang w:eastAsia="zh-CN"/>
        </w:rPr>
        <w:t>价以</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eastAsia="zh-CN"/>
        </w:rPr>
        <w:t>委托的第三方审价机构或广州市财政局财政评审中心审定的结算价为准。</w:t>
      </w:r>
    </w:p>
    <w:p>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5.2.2.1</w:t>
      </w:r>
      <w:r>
        <w:rPr>
          <w:rFonts w:hint="eastAsia" w:ascii="仿宋_GB2312" w:hAnsi="仿宋_GB2312" w:eastAsia="仿宋_GB2312" w:cs="仿宋_GB2312"/>
          <w:color w:val="auto"/>
          <w:sz w:val="28"/>
          <w:szCs w:val="28"/>
          <w:highlight w:val="none"/>
        </w:rPr>
        <w:t>本合同服务报酬是由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按招标文件的规定、采用清单报价形式，根据</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自身的条件和能力，结合工程现场实际情况，考虑风险后编制，除</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对原设计要求或同意变更外，</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 xml:space="preserve">必须按综合单价形式报价。综合单价须包含但不限于质量检测监测方案设计和预算、质量检测监测方案优化及实施、质量检测监测设备安装施工、质量检测监测结果的及时反馈报告、包工期、包质量、包人工、包设备、包材料、包技术、采取有效措施不发生安全事故、包档案、包工作费用等一切费用。 </w:t>
      </w:r>
    </w:p>
    <w:p>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5.2.2.2</w:t>
      </w:r>
      <w:r>
        <w:rPr>
          <w:rFonts w:hint="eastAsia" w:ascii="仿宋_GB2312" w:hAnsi="仿宋_GB2312" w:eastAsia="仿宋_GB2312" w:cs="仿宋_GB2312"/>
          <w:color w:val="auto"/>
          <w:sz w:val="28"/>
          <w:szCs w:val="28"/>
          <w:highlight w:val="none"/>
        </w:rPr>
        <w:t>服务报酬中已包括质量检测、监测过程中全部费用</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除建设行政主管部门规定可调整外的所有风险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包括但不限于乙方的雇员费用及意外风险费用、设备仪器材料费用、质量检测、监测点设点费用、租赁费用、专家聘请费用、知识产权费用、交通通讯费用、赔偿费用、保险费用、文件费用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运输费用</w:t>
      </w:r>
      <w:r>
        <w:rPr>
          <w:rFonts w:hint="eastAsia" w:ascii="仿宋_GB2312" w:hAnsi="仿宋_GB2312" w:eastAsia="仿宋_GB2312" w:cs="仿宋_GB2312"/>
          <w:color w:val="auto"/>
          <w:sz w:val="28"/>
          <w:szCs w:val="28"/>
          <w:highlight w:val="none"/>
        </w:rPr>
        <w:t>等。</w:t>
      </w:r>
    </w:p>
    <w:p>
      <w:pPr>
        <w:pageBreakBefore w:val="0"/>
        <w:kinsoku/>
        <w:wordWrap/>
        <w:overflowPunct/>
        <w:topLinePunct w:val="0"/>
        <w:bidi w:val="0"/>
        <w:adjustRightInd w:val="0"/>
        <w:snapToGrid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5.2.2.3</w:t>
      </w:r>
      <w:r>
        <w:rPr>
          <w:rFonts w:hint="eastAsia" w:ascii="仿宋_GB2312" w:hAnsi="仿宋_GB2312" w:eastAsia="仿宋_GB2312" w:cs="仿宋_GB2312"/>
          <w:color w:val="auto"/>
          <w:sz w:val="28"/>
          <w:szCs w:val="28"/>
          <w:highlight w:val="none"/>
        </w:rPr>
        <w:t>暂列金额不作为结算依据，其使用须经过</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批准。除经</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批准使用部分外，其余部分结算时扣除。</w:t>
      </w:r>
    </w:p>
    <w:p>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5.2.3</w:t>
      </w:r>
      <w:r>
        <w:rPr>
          <w:rFonts w:hint="eastAsia" w:ascii="仿宋_GB2312" w:hAnsi="仿宋_GB2312" w:eastAsia="仿宋_GB2312" w:cs="仿宋_GB2312"/>
          <w:color w:val="auto"/>
          <w:sz w:val="28"/>
          <w:szCs w:val="28"/>
          <w:highlight w:val="none"/>
        </w:rPr>
        <w:t xml:space="preserve">本项目合同包干总价：￥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）。如有合同变更的内容，结算时另按专用条款6.1条计算。</w:t>
      </w:r>
    </w:p>
    <w:p>
      <w:pPr>
        <w:pageBreakBefore w:val="0"/>
        <w:kinsoku/>
        <w:wordWrap/>
        <w:overflowPunct/>
        <w:topLinePunct w:val="0"/>
        <w:bidi w:val="0"/>
        <w:spacing w:line="560" w:lineRule="exact"/>
        <w:ind w:firstLine="700" w:firstLineChars="25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5.2.4</w:t>
      </w:r>
      <w:r>
        <w:rPr>
          <w:rFonts w:hint="eastAsia" w:ascii="仿宋_GB2312" w:hAnsi="仿宋_GB2312" w:eastAsia="仿宋_GB2312" w:cs="仿宋_GB2312"/>
          <w:color w:val="auto"/>
          <w:sz w:val="28"/>
          <w:szCs w:val="28"/>
          <w:highlight w:val="none"/>
        </w:rPr>
        <w:t>其它：</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0" w:name="_Toc10627447"/>
      <w:r>
        <w:rPr>
          <w:rFonts w:hint="eastAsia" w:ascii="黑体" w:hAnsi="黑体" w:eastAsia="黑体" w:cs="黑体"/>
          <w:b w:val="0"/>
          <w:bCs w:val="0"/>
          <w:color w:val="auto"/>
          <w:sz w:val="28"/>
          <w:szCs w:val="28"/>
          <w:highlight w:val="none"/>
          <w:lang w:val="en-US" w:eastAsia="zh-CN"/>
        </w:rPr>
        <w:t>5.3支付方式</w:t>
      </w:r>
      <w:bookmarkEnd w:id="190"/>
    </w:p>
    <w:p>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经双方协商一致，双方约定本项目的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费用的采用以下</w:t>
      </w:r>
      <w:r>
        <w:rPr>
          <w:rFonts w:hint="eastAsia" w:ascii="仿宋_GB2312" w:hAnsi="仿宋_GB2312" w:eastAsia="仿宋_GB2312" w:cs="仿宋_GB2312"/>
          <w:color w:val="auto"/>
          <w:sz w:val="28"/>
          <w:szCs w:val="28"/>
          <w:highlight w:val="none"/>
          <w:lang w:val="en-US" w:eastAsia="zh-CN"/>
        </w:rPr>
        <w:t>方式</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四</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进行支付。</w:t>
      </w:r>
    </w:p>
    <w:p>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方式一：</w:t>
      </w:r>
      <w:r>
        <w:rPr>
          <w:rFonts w:hint="eastAsia" w:ascii="仿宋_GB2312" w:hAnsi="仿宋_GB2312" w:eastAsia="仿宋_GB2312" w:cs="仿宋_GB2312"/>
          <w:color w:val="auto"/>
          <w:sz w:val="28"/>
          <w:szCs w:val="28"/>
          <w:highlight w:val="none"/>
        </w:rPr>
        <w:t>合同签订生效且取得乙方提交的等额有效增值税普通发票后，在甲方领取全部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报告时一次性向乙方支付全部</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p>
    <w:p>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方式二：</w:t>
      </w:r>
      <w:r>
        <w:rPr>
          <w:rFonts w:hint="eastAsia" w:ascii="仿宋_GB2312" w:hAnsi="仿宋_GB2312" w:eastAsia="仿宋_GB2312" w:cs="仿宋_GB2312"/>
          <w:color w:val="auto"/>
          <w:sz w:val="28"/>
          <w:szCs w:val="28"/>
          <w:highlight w:val="none"/>
        </w:rPr>
        <w:t>按月结算，每月</w:t>
      </w:r>
      <w:r>
        <w:rPr>
          <w:rFonts w:hint="eastAsia" w:ascii="Times New Roman" w:hAnsi="Times New Roman" w:eastAsia="仿宋_GB2312" w:cs="Times New Roman"/>
          <w:color w:val="auto"/>
          <w:kern w:val="2"/>
          <w:sz w:val="28"/>
          <w:szCs w:val="28"/>
          <w:highlight w:val="none"/>
          <w:u w:val="single"/>
          <w:lang w:val="en-US" w:eastAsia="zh-CN" w:bidi="ar-SA"/>
        </w:rPr>
        <w:t>10</w:t>
      </w:r>
      <w:r>
        <w:rPr>
          <w:rFonts w:hint="eastAsia" w:ascii="仿宋_GB2312" w:hAnsi="仿宋_GB2312" w:eastAsia="仿宋_GB2312" w:cs="仿宋_GB2312"/>
          <w:color w:val="auto"/>
          <w:sz w:val="28"/>
          <w:szCs w:val="28"/>
          <w:highlight w:val="none"/>
        </w:rPr>
        <w:t>号之前结清上月发生费用。</w:t>
      </w:r>
    </w:p>
    <w:p>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方式三：</w:t>
      </w:r>
      <w:r>
        <w:rPr>
          <w:rFonts w:hint="eastAsia" w:ascii="仿宋_GB2312" w:hAnsi="仿宋_GB2312" w:eastAsia="仿宋_GB2312" w:cs="仿宋_GB2312"/>
          <w:color w:val="auto"/>
          <w:sz w:val="28"/>
          <w:szCs w:val="28"/>
          <w:highlight w:val="none"/>
        </w:rPr>
        <w:t>1.合同签订生效且取得乙方提交的等额有效增值税普通发票后，甲方在</w:t>
      </w:r>
      <w:r>
        <w:rPr>
          <w:rFonts w:hint="eastAsia" w:ascii="Times New Roman" w:eastAsia="仿宋_GB2312" w:cs="Times New Roman"/>
          <w:color w:val="auto"/>
          <w:kern w:val="2"/>
          <w:sz w:val="28"/>
          <w:szCs w:val="28"/>
          <w:highlight w:val="none"/>
          <w:u w:val="single"/>
          <w:lang w:val="en-US" w:eastAsia="zh-CN" w:bidi="ar-SA"/>
        </w:rPr>
        <w:t>7</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费用暂定总额（扣除暂列金）的</w:t>
      </w:r>
      <w:r>
        <w:rPr>
          <w:rFonts w:hint="eastAsia" w:ascii="Times New Roman" w:hAnsi="Times New Roman" w:eastAsia="仿宋_GB2312" w:cs="Times New Roman"/>
          <w:color w:val="auto"/>
          <w:kern w:val="2"/>
          <w:sz w:val="28"/>
          <w:szCs w:val="28"/>
          <w:highlight w:val="none"/>
          <w:u w:val="single"/>
          <w:lang w:val="en-US" w:eastAsia="zh-CN" w:bidi="ar-SA"/>
        </w:rPr>
        <w:t xml:space="preserve">  15%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15％</w:t>
      </w:r>
      <w:r>
        <w:rPr>
          <w:rFonts w:hint="eastAsia" w:ascii="仿宋_GB2312" w:hAnsi="仿宋_GB2312" w:eastAsia="仿宋_GB2312" w:cs="仿宋_GB2312"/>
          <w:color w:val="auto"/>
          <w:sz w:val="28"/>
          <w:szCs w:val="28"/>
          <w:highlight w:val="none"/>
        </w:rPr>
        <w:t>）作为预付款。</w:t>
      </w:r>
    </w:p>
    <w:p>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2.乙方在完成</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报告后，向甲方送达或邮寄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费用请款书，甲方应在</w:t>
      </w:r>
      <w:r>
        <w:rPr>
          <w:rFonts w:hint="eastAsia" w:ascii="仿宋_GB2312" w:hAnsi="仿宋_GB2312" w:eastAsia="仿宋_GB2312" w:cs="仿宋_GB2312"/>
          <w:color w:val="auto"/>
          <w:sz w:val="28"/>
          <w:szCs w:val="28"/>
          <w:highlight w:val="none"/>
          <w:lang w:val="en-US" w:eastAsia="zh-CN"/>
        </w:rPr>
        <w:t>项目完成结算后</w:t>
      </w:r>
      <w:r>
        <w:rPr>
          <w:rFonts w:hint="eastAsia" w:ascii="Times New Roman" w:hAnsi="Times New Roman" w:eastAsia="仿宋_GB2312" w:cs="Times New Roman"/>
          <w:color w:val="auto"/>
          <w:kern w:val="2"/>
          <w:sz w:val="28"/>
          <w:szCs w:val="28"/>
          <w:highlight w:val="none"/>
          <w:u w:val="single"/>
          <w:lang w:val="en-US" w:eastAsia="zh-CN" w:bidi="ar-SA"/>
        </w:rPr>
        <w:t>30</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内向乙方支付相关</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w:t>
      </w:r>
      <w:r>
        <w:rPr>
          <w:rFonts w:hint="eastAsia" w:ascii="仿宋_GB2312" w:hAnsi="仿宋_GB2312" w:eastAsia="仿宋_GB2312" w:cs="仿宋_GB2312"/>
          <w:color w:val="auto"/>
          <w:sz w:val="28"/>
          <w:szCs w:val="28"/>
          <w:highlight w:val="none"/>
          <w:lang w:val="en-US" w:eastAsia="zh-CN"/>
        </w:rPr>
        <w:t>结算尾款并</w:t>
      </w:r>
      <w:r>
        <w:rPr>
          <w:rFonts w:hint="eastAsia" w:ascii="仿宋_GB2312" w:hAnsi="仿宋_GB2312" w:eastAsia="仿宋_GB2312" w:cs="仿宋_GB2312"/>
          <w:color w:val="auto"/>
          <w:sz w:val="28"/>
          <w:szCs w:val="28"/>
          <w:highlight w:val="none"/>
        </w:rPr>
        <w:t>领取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p>
    <w:p>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方式四：</w:t>
      </w:r>
      <w:r>
        <w:rPr>
          <w:rFonts w:hint="eastAsia" w:ascii="仿宋_GB2312" w:hAnsi="仿宋_GB2312" w:eastAsia="仿宋_GB2312" w:cs="仿宋_GB2312"/>
          <w:color w:val="auto"/>
          <w:sz w:val="28"/>
          <w:szCs w:val="28"/>
          <w:highlight w:val="none"/>
        </w:rPr>
        <w:t>1.合同签订生效且取得乙方提交的等额有效增值税普通发票后，甲方在</w:t>
      </w:r>
      <w:r>
        <w:rPr>
          <w:rFonts w:hint="eastAsia" w:ascii="Times New Roman" w:hAnsi="Times New Roman" w:eastAsia="仿宋_GB2312" w:cs="Times New Roman"/>
          <w:color w:val="auto"/>
          <w:kern w:val="2"/>
          <w:sz w:val="28"/>
          <w:szCs w:val="28"/>
          <w:highlight w:val="none"/>
          <w:u w:val="single"/>
          <w:lang w:val="en-US" w:eastAsia="zh-CN" w:bidi="ar-SA"/>
        </w:rPr>
        <w:t>7</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费用暂定总额（扣除暂列金）的</w:t>
      </w:r>
      <w:r>
        <w:rPr>
          <w:rFonts w:hint="eastAsia" w:ascii="Times New Roman" w:hAnsi="Times New Roman" w:eastAsia="仿宋_GB2312" w:cs="Times New Roman"/>
          <w:color w:val="auto"/>
          <w:kern w:val="2"/>
          <w:sz w:val="28"/>
          <w:szCs w:val="28"/>
          <w:highlight w:val="none"/>
          <w:u w:val="single"/>
          <w:lang w:val="en-US" w:eastAsia="zh-CN" w:bidi="ar-SA"/>
        </w:rPr>
        <w:t xml:space="preserve">  15%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15％</w:t>
      </w:r>
      <w:r>
        <w:rPr>
          <w:rFonts w:hint="eastAsia" w:ascii="仿宋_GB2312" w:hAnsi="仿宋_GB2312" w:eastAsia="仿宋_GB2312" w:cs="仿宋_GB2312"/>
          <w:color w:val="auto"/>
          <w:sz w:val="28"/>
          <w:szCs w:val="28"/>
          <w:highlight w:val="none"/>
        </w:rPr>
        <w:t>）作为预付款。</w:t>
      </w:r>
    </w:p>
    <w:p>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费用原则上每季度按实际完成的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lang w:val="en-US" w:eastAsia="zh-CN"/>
        </w:rPr>
        <w:t>工作</w:t>
      </w:r>
      <w:r>
        <w:rPr>
          <w:rFonts w:hint="eastAsia" w:ascii="仿宋_GB2312" w:hAnsi="仿宋_GB2312" w:eastAsia="仿宋_GB2312" w:cs="仿宋_GB2312"/>
          <w:color w:val="auto"/>
          <w:sz w:val="28"/>
          <w:szCs w:val="28"/>
          <w:highlight w:val="none"/>
        </w:rPr>
        <w:t>量支付，可支付累计完成</w:t>
      </w:r>
      <w:r>
        <w:rPr>
          <w:rFonts w:hint="eastAsia" w:ascii="仿宋_GB2312" w:hAnsi="仿宋_GB2312" w:eastAsia="仿宋_GB2312" w:cs="仿宋_GB2312"/>
          <w:color w:val="auto"/>
          <w:sz w:val="28"/>
          <w:szCs w:val="28"/>
          <w:highlight w:val="none"/>
          <w:lang w:val="en-US" w:eastAsia="zh-CN"/>
        </w:rPr>
        <w:t>工作</w:t>
      </w:r>
      <w:r>
        <w:rPr>
          <w:rFonts w:hint="eastAsia" w:ascii="仿宋_GB2312" w:hAnsi="仿宋_GB2312" w:eastAsia="仿宋_GB2312" w:cs="仿宋_GB2312"/>
          <w:color w:val="auto"/>
          <w:sz w:val="28"/>
          <w:szCs w:val="28"/>
          <w:highlight w:val="none"/>
        </w:rPr>
        <w:t>量的</w:t>
      </w:r>
      <w:r>
        <w:rPr>
          <w:rFonts w:hint="eastAsia" w:ascii="Times New Roman" w:hAnsi="Times New Roman" w:eastAsia="仿宋_GB2312" w:cs="Times New Roman"/>
          <w:color w:val="auto"/>
          <w:kern w:val="2"/>
          <w:sz w:val="28"/>
          <w:szCs w:val="28"/>
          <w:highlight w:val="none"/>
          <w:u w:val="single"/>
          <w:lang w:val="en-US" w:eastAsia="zh-CN" w:bidi="ar-SA"/>
        </w:rPr>
        <w:t xml:space="preserve"> 80%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80％</w:t>
      </w:r>
      <w:r>
        <w:rPr>
          <w:rFonts w:hint="eastAsia" w:ascii="仿宋_GB2312" w:hAnsi="仿宋_GB2312" w:eastAsia="仿宋_GB2312" w:cs="仿宋_GB2312"/>
          <w:color w:val="auto"/>
          <w:sz w:val="28"/>
          <w:szCs w:val="28"/>
          <w:highlight w:val="none"/>
        </w:rPr>
        <w:t>）。合同价款为￥1000万元以下的，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在第一次进度款计价支付时一次性扣回预付款，合同价款为￥1000万元以上（含￥1000万元）的，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从第一次进度款计价支付时起分两次等额扣回预付款。</w:t>
      </w:r>
    </w:p>
    <w:p>
      <w:pPr>
        <w:pStyle w:val="3"/>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3.乙方在完成</w:t>
      </w:r>
      <w:r>
        <w:rPr>
          <w:rFonts w:hint="eastAsia" w:ascii="仿宋_GB2312" w:hAnsi="仿宋_GB2312" w:eastAsia="仿宋_GB2312" w:cs="仿宋_GB2312"/>
          <w:color w:val="auto"/>
          <w:sz w:val="28"/>
          <w:szCs w:val="28"/>
          <w:highlight w:val="none"/>
          <w:lang w:eastAsia="zh-CN"/>
        </w:rPr>
        <w:t>单项工程</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提交</w:t>
      </w:r>
      <w:r>
        <w:rPr>
          <w:rFonts w:hint="eastAsia" w:ascii="仿宋_GB2312" w:hAnsi="仿宋_GB2312" w:eastAsia="仿宋_GB2312" w:cs="仿宋_GB2312"/>
          <w:color w:val="auto"/>
          <w:sz w:val="28"/>
          <w:szCs w:val="28"/>
          <w:highlight w:val="none"/>
          <w:lang w:eastAsia="zh-CN"/>
        </w:rPr>
        <w:t>该单项工程</w:t>
      </w:r>
      <w:r>
        <w:rPr>
          <w:rFonts w:hint="eastAsia" w:ascii="仿宋_GB2312" w:hAnsi="仿宋_GB2312" w:eastAsia="仿宋_GB2312" w:cs="仿宋_GB2312"/>
          <w:color w:val="auto"/>
          <w:sz w:val="28"/>
          <w:szCs w:val="28"/>
          <w:highlight w:val="none"/>
        </w:rPr>
        <w:t>结算资料（结算资料包括且不限于费用请款书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本项目完整的检测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监测报告，通过相关质量监督部门的检测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监测审查备案资料等），项目完成结算后，甲方应在</w:t>
      </w:r>
      <w:r>
        <w:rPr>
          <w:rFonts w:hint="eastAsia" w:ascii="Times New Roman" w:hAnsi="Times New Roman" w:eastAsia="仿宋_GB2312" w:cs="Times New Roman"/>
          <w:color w:val="auto"/>
          <w:kern w:val="2"/>
          <w:sz w:val="28"/>
          <w:szCs w:val="28"/>
          <w:highlight w:val="none"/>
          <w:u w:val="single"/>
          <w:lang w:val="en-US" w:eastAsia="zh-CN" w:bidi="ar-SA"/>
        </w:rPr>
        <w:t>30</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内向乙方支付</w:t>
      </w:r>
      <w:r>
        <w:rPr>
          <w:rFonts w:hint="eastAsia" w:ascii="仿宋_GB2312" w:hAnsi="仿宋_GB2312" w:eastAsia="仿宋_GB2312" w:cs="仿宋_GB2312"/>
          <w:color w:val="auto"/>
          <w:sz w:val="28"/>
          <w:szCs w:val="28"/>
          <w:highlight w:val="none"/>
          <w:lang w:eastAsia="zh-CN"/>
        </w:rPr>
        <w:t>该单项工程</w:t>
      </w:r>
      <w:r>
        <w:rPr>
          <w:rFonts w:hint="eastAsia" w:ascii="仿宋_GB2312" w:hAnsi="仿宋_GB2312" w:eastAsia="仿宋_GB2312" w:cs="仿宋_GB2312"/>
          <w:color w:val="auto"/>
          <w:sz w:val="28"/>
          <w:szCs w:val="28"/>
          <w:highlight w:val="none"/>
        </w:rPr>
        <w:t>剩余</w:t>
      </w:r>
      <w:r>
        <w:rPr>
          <w:rFonts w:hint="eastAsia" w:ascii="仿宋_GB2312" w:hAnsi="仿宋_GB2312" w:eastAsia="仿宋_GB2312" w:cs="仿宋_GB2312"/>
          <w:color w:val="auto"/>
          <w:sz w:val="28"/>
          <w:szCs w:val="28"/>
          <w:highlight w:val="none"/>
          <w:lang w:eastAsia="zh-CN"/>
        </w:rPr>
        <w:t>的检测、监测</w:t>
      </w:r>
      <w:r>
        <w:rPr>
          <w:rFonts w:hint="eastAsia" w:ascii="仿宋_GB2312" w:hAnsi="仿宋_GB2312" w:eastAsia="仿宋_GB2312" w:cs="仿宋_GB2312"/>
          <w:color w:val="auto"/>
          <w:sz w:val="28"/>
          <w:szCs w:val="28"/>
          <w:highlight w:val="none"/>
        </w:rPr>
        <w:t>费用。</w:t>
      </w:r>
    </w:p>
    <w:p>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方式五：</w:t>
      </w:r>
      <w:r>
        <w:rPr>
          <w:rFonts w:hint="eastAsia" w:ascii="仿宋_GB2312" w:hAnsi="仿宋_GB2312" w:eastAsia="仿宋_GB2312" w:cs="仿宋_GB2312"/>
          <w:color w:val="auto"/>
          <w:sz w:val="28"/>
          <w:szCs w:val="28"/>
          <w:highlight w:val="none"/>
        </w:rPr>
        <w:t>1.每季度按实际完成的工程量支付，可支付累计完成工程量</w:t>
      </w:r>
      <w:r>
        <w:rPr>
          <w:rFonts w:hint="eastAsia" w:ascii="仿宋_GB2312" w:hAnsi="仿宋_GB2312" w:eastAsia="仿宋_GB2312" w:cs="仿宋_GB2312"/>
          <w:color w:val="auto"/>
          <w:sz w:val="28"/>
          <w:szCs w:val="28"/>
          <w:highlight w:val="none"/>
          <w:u w:val="single"/>
        </w:rPr>
        <w:t xml:space="preserve"> </w:t>
      </w:r>
      <w:r>
        <w:rPr>
          <w:rFonts w:hint="eastAsia" w:ascii="Times New Roman" w:hAnsi="Times New Roman" w:eastAsia="仿宋_GB2312" w:cs="Times New Roman"/>
          <w:color w:val="auto"/>
          <w:kern w:val="2"/>
          <w:sz w:val="28"/>
          <w:szCs w:val="28"/>
          <w:highlight w:val="none"/>
          <w:u w:val="single"/>
          <w:lang w:val="en-US" w:eastAsia="zh-CN" w:bidi="ar-SA"/>
        </w:rPr>
        <w:t xml:space="preserve">80% </w:t>
      </w:r>
      <w:r>
        <w:rPr>
          <w:rFonts w:hint="eastAsia" w:ascii="仿宋_GB2312" w:hAnsi="仿宋_GB2312" w:eastAsia="仿宋_GB2312" w:cs="仿宋_GB2312"/>
          <w:color w:val="auto"/>
          <w:sz w:val="28"/>
          <w:szCs w:val="28"/>
          <w:highlight w:val="none"/>
        </w:rPr>
        <w:t>（不低于</w:t>
      </w:r>
      <w:r>
        <w:rPr>
          <w:rFonts w:hint="eastAsia" w:ascii="Times New Roman" w:hAnsi="Times New Roman" w:eastAsia="仿宋_GB2312" w:cs="Times New Roman"/>
          <w:color w:val="auto"/>
          <w:kern w:val="2"/>
          <w:sz w:val="28"/>
          <w:szCs w:val="28"/>
          <w:highlight w:val="none"/>
          <w:u w:val="none"/>
          <w:lang w:val="en-US" w:eastAsia="zh-CN" w:bidi="ar-SA"/>
        </w:rPr>
        <w:t>80％</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2.乙方在完成</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报告后，向甲方送达或邮寄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费用请款书，甲方应在30天内向乙方支付剩余</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费用后领取</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报告。</w:t>
      </w:r>
    </w:p>
    <w:p>
      <w:pPr>
        <w:pStyle w:val="3"/>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方式六：</w:t>
      </w:r>
      <w:r>
        <w:rPr>
          <w:rFonts w:hint="eastAsia" w:ascii="仿宋_GB2312" w:hAnsi="仿宋_GB2312" w:eastAsia="仿宋_GB2312" w:cs="仿宋_GB2312"/>
          <w:color w:val="auto"/>
          <w:sz w:val="28"/>
          <w:szCs w:val="28"/>
          <w:highlight w:val="none"/>
        </w:rPr>
        <w:t>其它支付方式：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91" w:name="_Toc10627448"/>
      <w:r>
        <w:rPr>
          <w:rFonts w:hint="eastAsia" w:ascii="黑体" w:hAnsi="黑体" w:eastAsia="黑体" w:cs="黑体"/>
          <w:b w:val="0"/>
          <w:bCs w:val="0"/>
          <w:color w:val="auto"/>
          <w:sz w:val="32"/>
          <w:szCs w:val="32"/>
          <w:highlight w:val="none"/>
          <w:lang w:val="en-US" w:eastAsia="zh-CN"/>
        </w:rPr>
        <w:t>6. 合同变更、解除与终止</w:t>
      </w:r>
      <w:bookmarkEnd w:id="191"/>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2" w:name="_Toc10627449"/>
      <w:r>
        <w:rPr>
          <w:rFonts w:hint="eastAsia" w:ascii="黑体" w:hAnsi="黑体" w:eastAsia="黑体" w:cs="黑体"/>
          <w:b w:val="0"/>
          <w:bCs w:val="0"/>
          <w:color w:val="auto"/>
          <w:sz w:val="28"/>
          <w:szCs w:val="28"/>
          <w:highlight w:val="none"/>
          <w:lang w:val="en-US" w:eastAsia="zh-CN"/>
        </w:rPr>
        <w:t>6.1 合同变更</w:t>
      </w:r>
      <w:bookmarkEnd w:id="192"/>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6.1.2</w:t>
      </w:r>
      <w:r>
        <w:rPr>
          <w:rFonts w:hint="eastAsia" w:ascii="仿宋_GB2312" w:hAnsi="仿宋_GB2312" w:eastAsia="仿宋_GB2312" w:cs="仿宋_GB2312"/>
          <w:color w:val="auto"/>
          <w:sz w:val="28"/>
          <w:szCs w:val="28"/>
          <w:highlight w:val="none"/>
        </w:rPr>
        <w:t>除不可抗力外，因非乙方原因导致本合同履行新增工程量时，新增工程量的</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费用按下列方法确定：</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工程量的确定方法：</w:t>
      </w:r>
      <w:r>
        <w:rPr>
          <w:rFonts w:hint="eastAsia" w:ascii="仿宋_GB2312" w:hAnsi="仿宋_GB2312" w:eastAsia="仿宋_GB2312" w:cs="仿宋_GB2312"/>
          <w:color w:val="auto"/>
          <w:sz w:val="28"/>
          <w:szCs w:val="28"/>
          <w:highlight w:val="none"/>
          <w:u w:val="single"/>
        </w:rPr>
        <w:t xml:space="preserve">以经批准的检测监测方案为依据，按经甲方确认的实际发生工程量 </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line="560" w:lineRule="exact"/>
        <w:ind w:firstLine="560" w:firstLineChars="20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仿宋_GB2312" w:hAnsi="仿宋_GB2312" w:eastAsia="仿宋_GB2312" w:cs="仿宋_GB2312"/>
          <w:color w:val="auto"/>
          <w:sz w:val="28"/>
          <w:szCs w:val="28"/>
          <w:highlight w:val="none"/>
        </w:rPr>
        <w:t>价格的确定方法：新增项目综合单价依据国家发展计划委员会、建设部监测颁发的《工程勘察设计收费标准》（2002年修订本）与《广东省物价局关于建筑工程质量检测收费标准的复函》（粤价函[2004]428号）及《广东省房屋建筑和市政工程质量安全检测收费指导价》（粤建检协﹝2015﹞8号文）、《广东省建筑工程质量检测收费项目及标准表（2014年适用）》、《广东省交通建设工程现场检测和工程材料试验收费标准》（粤价函[2012]1490号）等的有关的检测收费规定并按约定“综合下浮”，按经确认的实际成果数量进行结算。其中，“综合下浮”通过“（1-标准下浮率）×（1-响应报价下浮率）”公式进行计算（标准下浮率为</w:t>
      </w:r>
      <w:r>
        <w:rPr>
          <w:rFonts w:hint="eastAsia" w:ascii="Times New Roman" w:hAnsi="Times New Roman" w:eastAsia="仿宋_GB2312" w:cs="Times New Roman"/>
          <w:color w:val="auto"/>
          <w:sz w:val="28"/>
          <w:szCs w:val="28"/>
          <w:highlight w:val="none"/>
          <w:u w:val="single"/>
        </w:rPr>
        <w:t>20%</w:t>
      </w:r>
      <w:r>
        <w:rPr>
          <w:rFonts w:hint="eastAsia" w:ascii="仿宋_GB2312" w:hAnsi="仿宋_GB2312" w:eastAsia="仿宋_GB2312" w:cs="仿宋_GB2312"/>
          <w:color w:val="auto"/>
          <w:sz w:val="28"/>
          <w:szCs w:val="28"/>
          <w:highlight w:val="none"/>
        </w:rPr>
        <w:t>，响应报价下浮率</w:t>
      </w:r>
      <w:r>
        <w:rPr>
          <w:rFonts w:hint="eastAsia"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，计算得综合下浮为</w:t>
      </w:r>
      <w:r>
        <w:rPr>
          <w:rFonts w:hint="eastAsia" w:ascii="Times New Roman" w:hAnsi="Times New Roman" w:eastAsia="仿宋_GB2312" w:cs="Times New Roman"/>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上述不同收费标准中有相同检测项目及内容的则以最低的费用标准作为依据，若无对应收费标准可参考，则双方结合市场价协商确定。</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6.1.3</w:t>
      </w:r>
      <w:r>
        <w:rPr>
          <w:rFonts w:hint="eastAsia" w:ascii="仿宋_GB2312" w:hAnsi="仿宋_GB2312" w:eastAsia="仿宋_GB2312" w:cs="仿宋_GB2312"/>
          <w:color w:val="auto"/>
          <w:sz w:val="28"/>
          <w:szCs w:val="28"/>
          <w:highlight w:val="none"/>
        </w:rPr>
        <w:t>因国家、地方政府以及行业主管部门现行有效的规范、标准、规程和文件等发生变化引起质量</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服务范围及工程量变化时的调整方法：</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6.1.4</w:t>
      </w:r>
      <w:r>
        <w:rPr>
          <w:rFonts w:hint="eastAsia" w:ascii="仿宋_GB2312" w:hAnsi="仿宋_GB2312" w:eastAsia="仿宋_GB2312" w:cs="仿宋_GB2312"/>
          <w:color w:val="auto"/>
          <w:sz w:val="28"/>
          <w:szCs w:val="28"/>
          <w:highlight w:val="none"/>
        </w:rPr>
        <w:t>因工程规模、服务范围及工作内容的变化等导致乙方的工作量增减时，</w:t>
      </w:r>
      <w:r>
        <w:rPr>
          <w:rFonts w:hint="eastAsia" w:ascii="仿宋_GB2312" w:hAnsi="仿宋_GB2312" w:eastAsia="仿宋_GB2312" w:cs="仿宋_GB2312"/>
          <w:color w:val="auto"/>
          <w:sz w:val="28"/>
          <w:szCs w:val="28"/>
          <w:highlight w:val="none"/>
          <w:lang w:eastAsia="zh-CN"/>
        </w:rPr>
        <w:t>检测、监测</w:t>
      </w:r>
      <w:r>
        <w:rPr>
          <w:rFonts w:hint="eastAsia" w:ascii="仿宋_GB2312" w:hAnsi="仿宋_GB2312" w:eastAsia="仿宋_GB2312" w:cs="仿宋_GB2312"/>
          <w:color w:val="auto"/>
          <w:sz w:val="28"/>
          <w:szCs w:val="28"/>
          <w:highlight w:val="none"/>
        </w:rPr>
        <w:t>费用的调整方法：</w:t>
      </w:r>
      <w:r>
        <w:rPr>
          <w:rFonts w:hint="eastAsia" w:ascii="仿宋_GB2312" w:hAnsi="仿宋_GB2312" w:eastAsia="仿宋_GB2312" w:cs="仿宋_GB2312"/>
          <w:color w:val="auto"/>
          <w:sz w:val="28"/>
          <w:szCs w:val="28"/>
          <w:highlight w:val="none"/>
          <w:u w:val="single"/>
        </w:rPr>
        <w:t>按实际发生量结算，以最终审定的结算价为准</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双方经协商一致后</w:t>
      </w:r>
      <w:r>
        <w:rPr>
          <w:rFonts w:hint="eastAsia" w:ascii="仿宋_GB2312" w:hAnsi="仿宋_GB2312" w:eastAsia="仿宋_GB2312" w:cs="仿宋_GB2312"/>
          <w:color w:val="auto"/>
          <w:sz w:val="28"/>
          <w:szCs w:val="28"/>
          <w:highlight w:val="none"/>
          <w:u w:val="single"/>
          <w:lang w:val="en-US" w:eastAsia="zh-CN"/>
        </w:rPr>
        <w:t>需签订补充协议确认变更</w:t>
      </w:r>
      <w:r>
        <w:rPr>
          <w:rFonts w:hint="eastAsia" w:ascii="仿宋_GB2312" w:hAnsi="仿宋_GB2312" w:eastAsia="仿宋_GB2312" w:cs="仿宋_GB2312"/>
          <w:color w:val="auto"/>
          <w:sz w:val="28"/>
          <w:szCs w:val="28"/>
          <w:highlight w:val="none"/>
        </w:rPr>
        <w:t>。</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3" w:name="_Toc10627450"/>
      <w:r>
        <w:rPr>
          <w:rFonts w:hint="eastAsia" w:ascii="黑体" w:hAnsi="黑体" w:eastAsia="黑体" w:cs="黑体"/>
          <w:b w:val="0"/>
          <w:bCs w:val="0"/>
          <w:color w:val="auto"/>
          <w:sz w:val="28"/>
          <w:szCs w:val="28"/>
          <w:highlight w:val="none"/>
          <w:lang w:val="en-US" w:eastAsia="zh-CN"/>
        </w:rPr>
        <w:t>6.2合同解除</w:t>
      </w:r>
      <w:bookmarkEnd w:id="193"/>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6.2.2</w:t>
      </w:r>
      <w:r>
        <w:rPr>
          <w:rFonts w:hint="eastAsia" w:ascii="仿宋_GB2312" w:hAnsi="仿宋_GB2312" w:eastAsia="仿宋_GB2312" w:cs="仿宋_GB2312"/>
          <w:color w:val="auto"/>
          <w:sz w:val="28"/>
          <w:szCs w:val="28"/>
          <w:highlight w:val="none"/>
        </w:rPr>
        <w:t>双方约定解除合同的条件还包括：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0"/>
          <w:szCs w:val="20"/>
          <w:highlight w:val="none"/>
        </w:rPr>
      </w:pPr>
      <w:r>
        <w:rPr>
          <w:rFonts w:hint="eastAsia" w:ascii="Times New Roman" w:hAnsi="Times New Roman" w:eastAsia="仿宋_GB2312" w:cs="Times New Roman"/>
          <w:color w:val="auto"/>
          <w:sz w:val="28"/>
          <w:szCs w:val="28"/>
          <w:highlight w:val="none"/>
          <w:lang w:val="en-US" w:eastAsia="zh-CN"/>
        </w:rPr>
        <w:t>6.2.6</w:t>
      </w:r>
      <w:r>
        <w:rPr>
          <w:rFonts w:hint="eastAsia" w:ascii="仿宋_GB2312" w:hAnsi="仿宋_GB2312" w:eastAsia="仿宋_GB2312" w:cs="仿宋_GB2312"/>
          <w:color w:val="auto"/>
          <w:sz w:val="28"/>
          <w:szCs w:val="28"/>
          <w:highlight w:val="none"/>
          <w:lang w:val="en-US" w:eastAsia="zh-CN"/>
        </w:rPr>
        <w:t>本合同若部分解除或全部解除后，乙方已经完成的且经甲方认可接收的检测监测成果在双方进行结算后，成果全部归甲方所有。</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bookmarkStart w:id="194" w:name="_Toc10627451"/>
      <w:r>
        <w:rPr>
          <w:rFonts w:hint="eastAsia" w:ascii="黑体" w:hAnsi="黑体" w:eastAsia="黑体" w:cs="黑体"/>
          <w:b w:val="0"/>
          <w:bCs w:val="0"/>
          <w:color w:val="auto"/>
          <w:sz w:val="32"/>
          <w:szCs w:val="32"/>
          <w:highlight w:val="none"/>
          <w:lang w:val="en-US" w:eastAsia="zh-CN"/>
        </w:rPr>
        <w:t>7. 争议解决</w:t>
      </w:r>
      <w:bookmarkEnd w:id="194"/>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5" w:name="_Toc10627452"/>
      <w:r>
        <w:rPr>
          <w:rFonts w:hint="eastAsia" w:ascii="黑体" w:hAnsi="黑体" w:eastAsia="黑体" w:cs="黑体"/>
          <w:b w:val="0"/>
          <w:bCs w:val="0"/>
          <w:color w:val="auto"/>
          <w:sz w:val="28"/>
          <w:szCs w:val="28"/>
          <w:highlight w:val="none"/>
          <w:lang w:val="en-US" w:eastAsia="zh-CN"/>
        </w:rPr>
        <w:t>7.2 仲裁或诉讼</w:t>
      </w:r>
      <w:bookmarkEnd w:id="195"/>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合同争议的最终解决方式为下列第</w:t>
      </w:r>
      <w:r>
        <w:rPr>
          <w:rFonts w:hint="eastAsia" w:ascii="仿宋_GB2312" w:hAnsi="仿宋_GB2312" w:eastAsia="仿宋_GB2312" w:cs="仿宋_GB2312"/>
          <w:color w:val="auto"/>
          <w:sz w:val="28"/>
          <w:szCs w:val="28"/>
          <w:highlight w:val="none"/>
          <w:u w:val="single"/>
        </w:rPr>
        <w:t xml:space="preserve"> （2） </w:t>
      </w:r>
      <w:r>
        <w:rPr>
          <w:rFonts w:hint="eastAsia" w:ascii="仿宋_GB2312" w:hAnsi="仿宋_GB2312" w:eastAsia="仿宋_GB2312" w:cs="仿宋_GB2312"/>
          <w:color w:val="auto"/>
          <w:sz w:val="28"/>
          <w:szCs w:val="28"/>
          <w:highlight w:val="none"/>
        </w:rPr>
        <w:t>种方式：</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（1）提请中国广州仲裁委员会进行仲裁。</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（2）向</w:t>
      </w:r>
      <w:r>
        <w:rPr>
          <w:rFonts w:hint="eastAsia" w:ascii="仿宋_GB2312" w:hAnsi="仿宋_GB2312" w:eastAsia="仿宋_GB2312" w:cs="仿宋_GB2312"/>
          <w:color w:val="auto"/>
          <w:sz w:val="28"/>
          <w:szCs w:val="28"/>
          <w:highlight w:val="none"/>
          <w:u w:val="single"/>
          <w:lang w:val="en-US" w:eastAsia="zh-CN"/>
        </w:rPr>
        <w:t>甲方住所地</w:t>
      </w:r>
      <w:r>
        <w:rPr>
          <w:rFonts w:hint="eastAsia" w:ascii="仿宋_GB2312" w:hAnsi="仿宋_GB2312" w:eastAsia="仿宋_GB2312" w:cs="仿宋_GB2312"/>
          <w:color w:val="auto"/>
          <w:sz w:val="28"/>
          <w:szCs w:val="28"/>
          <w:highlight w:val="none"/>
        </w:rPr>
        <w:t>人民法院提起诉讼。</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7.3</w:t>
      </w:r>
      <w:r>
        <w:rPr>
          <w:rFonts w:hint="eastAsia" w:ascii="仿宋_GB2312" w:hAnsi="仿宋_GB2312" w:eastAsia="仿宋_GB2312" w:cs="仿宋_GB2312"/>
          <w:color w:val="auto"/>
          <w:sz w:val="28"/>
          <w:szCs w:val="28"/>
          <w:highlight w:val="none"/>
          <w:lang w:val="en-US" w:eastAsia="zh-CN"/>
        </w:rPr>
        <w:t>上述争议发生期间以及协商、诉讼期间，除与争议有关的事项外，本合同双方仍应当行使各自在本合同项下的其他权利并履行各自在本合同项下的其他义务。</w:t>
      </w:r>
      <w:bookmarkStart w:id="196" w:name="_Toc10627453"/>
      <w:r>
        <w:rPr>
          <w:rFonts w:hint="eastAsia" w:ascii="仿宋_GB2312" w:hAnsi="仿宋_GB2312" w:eastAsia="仿宋_GB2312" w:cs="仿宋_GB2312"/>
          <w:color w:val="auto"/>
          <w:sz w:val="28"/>
          <w:szCs w:val="28"/>
          <w:highlight w:val="none"/>
          <w:lang w:val="en-US" w:eastAsia="zh-CN"/>
        </w:rPr>
        <w:t>但诉讼期间不影响甲方仍有权同其他乙方另行签订质量检测、监测合同。</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8. 其它</w:t>
      </w:r>
      <w:bookmarkEnd w:id="196"/>
      <w:bookmarkStart w:id="197" w:name="_Toc10627454"/>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8.1保密</w:t>
      </w:r>
      <w:bookmarkEnd w:id="197"/>
      <w:bookmarkStart w:id="198" w:name="_Toc10627455"/>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8.1.1</w:t>
      </w:r>
      <w:r>
        <w:rPr>
          <w:rFonts w:hint="eastAsia" w:ascii="仿宋_GB2312" w:hAnsi="仿宋_GB2312" w:eastAsia="仿宋_GB2312" w:cs="仿宋_GB2312"/>
          <w:b w:val="0"/>
          <w:bCs w:val="0"/>
          <w:color w:val="auto"/>
          <w:sz w:val="28"/>
          <w:szCs w:val="28"/>
          <w:highlight w:val="none"/>
        </w:rPr>
        <w:t>乙方应采取有效措施，保守甲方提供的</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资料及有关技术、数据及服务报告等资料的秘密，未经甲方书面同意，乙方不得将由甲方为履行本合同提供的条文、规格、计划、图纸、模型、样品、资料、报价、材料来源或工程的构思要求等提供给与本合同无关的任何第三方</w:t>
      </w:r>
      <w:r>
        <w:rPr>
          <w:rFonts w:hint="eastAsia" w:ascii="仿宋_GB2312" w:hAnsi="仿宋_GB2312" w:eastAsia="仿宋_GB2312" w:cs="仿宋_GB2312"/>
          <w:b w:val="0"/>
          <w:bCs w:val="0"/>
          <w:color w:val="auto"/>
          <w:sz w:val="28"/>
          <w:szCs w:val="28"/>
          <w:highlight w:val="none"/>
          <w:lang w:val="en-US" w:eastAsia="zh-CN"/>
        </w:rPr>
        <w:t>或公开披露</w:t>
      </w:r>
      <w:r>
        <w:rPr>
          <w:rFonts w:hint="eastAsia" w:ascii="仿宋_GB2312" w:hAnsi="仿宋_GB2312" w:eastAsia="仿宋_GB2312" w:cs="仿宋_GB2312"/>
          <w:b w:val="0"/>
          <w:bCs w:val="0"/>
          <w:color w:val="auto"/>
          <w:sz w:val="28"/>
          <w:szCs w:val="28"/>
          <w:highlight w:val="none"/>
        </w:rPr>
        <w:t>，不得将其用于履行本合同之外的其它用途。即使向与履行本合同有关的人员提供，也应注意保密并限于履行合同所必需的范围。</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但下列信息不属于保密信息：</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8.1.1.1</w:t>
      </w:r>
      <w:r>
        <w:rPr>
          <w:rFonts w:hint="eastAsia" w:ascii="仿宋_GB2312" w:hAnsi="仿宋_GB2312" w:eastAsia="仿宋_GB2312" w:cs="仿宋_GB2312"/>
          <w:b w:val="0"/>
          <w:bCs w:val="0"/>
          <w:color w:val="auto"/>
          <w:sz w:val="28"/>
          <w:szCs w:val="28"/>
          <w:highlight w:val="none"/>
        </w:rPr>
        <w:t>通过合法程序被公众所共知的信息，包括但不限于由甲方向不特定的公众公开的信息。</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8.1.1.2</w:t>
      </w:r>
      <w:r>
        <w:rPr>
          <w:rFonts w:hint="eastAsia" w:ascii="仿宋_GB2312" w:hAnsi="仿宋_GB2312" w:eastAsia="仿宋_GB2312" w:cs="仿宋_GB2312"/>
          <w:b w:val="0"/>
          <w:bCs w:val="0"/>
          <w:color w:val="auto"/>
          <w:sz w:val="28"/>
          <w:szCs w:val="28"/>
          <w:highlight w:val="none"/>
        </w:rPr>
        <w:t>经甲方书面同意可以公开的信息。</w:t>
      </w:r>
    </w:p>
    <w:p>
      <w:pPr>
        <w:pageBreakBefore w:val="0"/>
        <w:kinsoku/>
        <w:wordWrap/>
        <w:overflowPunct/>
        <w:topLinePunct w:val="0"/>
        <w:bidi w:val="0"/>
        <w:spacing w:line="560" w:lineRule="exact"/>
        <w:ind w:firstLine="560" w:firstLineChars="20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8.1.1.3</w:t>
      </w:r>
      <w:r>
        <w:rPr>
          <w:rFonts w:hint="eastAsia" w:ascii="仿宋_GB2312" w:hAnsi="仿宋_GB2312" w:eastAsia="仿宋_GB2312" w:cs="仿宋_GB2312"/>
          <w:b w:val="0"/>
          <w:bCs w:val="0"/>
          <w:color w:val="auto"/>
          <w:sz w:val="28"/>
          <w:szCs w:val="28"/>
          <w:highlight w:val="none"/>
        </w:rPr>
        <w:t>乙方通过其他方式从第三方获得的信息（就乙方所知，该第三方向乙方披露有关信息并不违反该第三方所负</w:t>
      </w:r>
      <w:r>
        <w:rPr>
          <w:rFonts w:hint="eastAsia" w:ascii="Times New Roman" w:hAnsi="Times New Roman" w:eastAsia="仿宋_GB2312" w:cs="Times New Roman"/>
          <w:color w:val="auto"/>
          <w:sz w:val="28"/>
          <w:szCs w:val="28"/>
          <w:highlight w:val="none"/>
          <w:lang w:val="en-US" w:eastAsia="zh-CN"/>
        </w:rPr>
        <w:t>有的法律或合同义务）。</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8.1.2</w:t>
      </w:r>
      <w:r>
        <w:rPr>
          <w:rFonts w:hint="eastAsia" w:ascii="仿宋_GB2312" w:hAnsi="仿宋_GB2312" w:eastAsia="仿宋_GB2312" w:cs="仿宋_GB2312"/>
          <w:b w:val="0"/>
          <w:bCs w:val="0"/>
          <w:color w:val="auto"/>
          <w:sz w:val="28"/>
          <w:szCs w:val="28"/>
          <w:highlight w:val="none"/>
        </w:rPr>
        <w:t>乙方在提交</w:t>
      </w:r>
      <w:r>
        <w:rPr>
          <w:rFonts w:hint="eastAsia" w:ascii="仿宋_GB2312" w:hAnsi="仿宋_GB2312" w:eastAsia="仿宋_GB2312" w:cs="仿宋_GB2312"/>
          <w:b w:val="0"/>
          <w:bCs w:val="0"/>
          <w:color w:val="auto"/>
          <w:sz w:val="28"/>
          <w:szCs w:val="28"/>
          <w:highlight w:val="none"/>
          <w:lang w:val="en-US" w:eastAsia="zh-CN"/>
        </w:rPr>
        <w:t>检测、监测</w:t>
      </w:r>
      <w:r>
        <w:rPr>
          <w:rFonts w:hint="eastAsia" w:ascii="仿宋_GB2312" w:hAnsi="仿宋_GB2312" w:eastAsia="仿宋_GB2312" w:cs="仿宋_GB2312"/>
          <w:b w:val="0"/>
          <w:bCs w:val="0"/>
          <w:color w:val="auto"/>
          <w:sz w:val="28"/>
          <w:szCs w:val="28"/>
          <w:highlight w:val="none"/>
        </w:rPr>
        <w:t>报告时，应将甲方提供的</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资料及有关技术、数据全部返还给甲方。</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8.1.3</w:t>
      </w:r>
      <w:r>
        <w:rPr>
          <w:rFonts w:hint="eastAsia" w:ascii="仿宋_GB2312" w:hAnsi="仿宋_GB2312" w:eastAsia="仿宋_GB2312" w:cs="仿宋_GB2312"/>
          <w:b w:val="0"/>
          <w:bCs w:val="0"/>
          <w:color w:val="auto"/>
          <w:sz w:val="28"/>
          <w:szCs w:val="28"/>
          <w:highlight w:val="none"/>
        </w:rPr>
        <w:t>未经乙方书面同意，甲方不得在本合同项目以外，使用乙方提供的</w:t>
      </w:r>
      <w:r>
        <w:rPr>
          <w:rFonts w:hint="eastAsia" w:ascii="仿宋_GB2312" w:hAnsi="仿宋_GB2312" w:eastAsia="仿宋_GB2312" w:cs="仿宋_GB2312"/>
          <w:b w:val="0"/>
          <w:bCs w:val="0"/>
          <w:color w:val="auto"/>
          <w:sz w:val="28"/>
          <w:szCs w:val="28"/>
          <w:highlight w:val="none"/>
          <w:lang w:val="en-US" w:eastAsia="zh-CN"/>
        </w:rPr>
        <w:t>项目</w:t>
      </w:r>
      <w:r>
        <w:rPr>
          <w:rFonts w:hint="eastAsia" w:ascii="仿宋_GB2312" w:hAnsi="仿宋_GB2312" w:eastAsia="仿宋_GB2312" w:cs="仿宋_GB2312"/>
          <w:b w:val="0"/>
          <w:bCs w:val="0"/>
          <w:color w:val="auto"/>
          <w:sz w:val="28"/>
          <w:szCs w:val="28"/>
          <w:highlight w:val="none"/>
        </w:rPr>
        <w:t>资料及有关技术、数据和乙方提交的</w:t>
      </w:r>
      <w:r>
        <w:rPr>
          <w:rFonts w:hint="eastAsia" w:ascii="仿宋_GB2312" w:hAnsi="仿宋_GB2312" w:eastAsia="仿宋_GB2312" w:cs="仿宋_GB2312"/>
          <w:b w:val="0"/>
          <w:bCs w:val="0"/>
          <w:color w:val="auto"/>
          <w:sz w:val="28"/>
          <w:szCs w:val="28"/>
          <w:highlight w:val="none"/>
          <w:lang w:val="en-US" w:eastAsia="zh-CN"/>
        </w:rPr>
        <w:t>检测、监测</w:t>
      </w:r>
      <w:r>
        <w:rPr>
          <w:rFonts w:hint="eastAsia" w:ascii="仿宋_GB2312" w:hAnsi="仿宋_GB2312" w:eastAsia="仿宋_GB2312" w:cs="仿宋_GB2312"/>
          <w:b w:val="0"/>
          <w:bCs w:val="0"/>
          <w:color w:val="auto"/>
          <w:sz w:val="28"/>
          <w:szCs w:val="28"/>
          <w:highlight w:val="none"/>
        </w:rPr>
        <w:t>报告，亦不得对上述资料进行复制、引用和发表。</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8.1.4</w:t>
      </w:r>
      <w:r>
        <w:rPr>
          <w:rFonts w:hint="eastAsia" w:ascii="仿宋_GB2312" w:hAnsi="仿宋_GB2312" w:eastAsia="仿宋_GB2312" w:cs="仿宋_GB2312"/>
          <w:b w:val="0"/>
          <w:bCs w:val="0"/>
          <w:color w:val="auto"/>
          <w:sz w:val="28"/>
          <w:szCs w:val="28"/>
          <w:highlight w:val="none"/>
        </w:rPr>
        <w:t>本保密条款不受合同有效期约束，在本合同终止后仍长期具有法律约束力。</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8.2通知与送达</w:t>
      </w:r>
      <w:bookmarkEnd w:id="198"/>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8.2.1</w:t>
      </w:r>
      <w:r>
        <w:rPr>
          <w:rFonts w:hint="eastAsia" w:ascii="仿宋_GB2312" w:hAnsi="仿宋_GB2312" w:eastAsia="仿宋_GB2312" w:cs="仿宋_GB2312"/>
          <w:color w:val="auto"/>
          <w:sz w:val="28"/>
          <w:szCs w:val="28"/>
          <w:highlight w:val="none"/>
        </w:rPr>
        <w:t>任何一方与合同有关的通知、指示、要求、决定等，均应在</w:t>
      </w:r>
      <w:r>
        <w:rPr>
          <w:rFonts w:hint="eastAsia" w:ascii="Times New Roman" w:hAnsi="Times New Roman" w:eastAsia="仿宋_GB2312" w:cs="Times New Roman"/>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sz w:val="28"/>
          <w:szCs w:val="28"/>
          <w:highlight w:val="none"/>
        </w:rPr>
        <w:t>天内送达对方指定的接收人和送达地点。</w:t>
      </w:r>
    </w:p>
    <w:p>
      <w:pPr>
        <w:pStyle w:val="45"/>
        <w:pageBreakBefore w:val="0"/>
        <w:kinsoku/>
        <w:wordWrap/>
        <w:overflowPunct/>
        <w:topLinePunct w:val="0"/>
        <w:bidi w:val="0"/>
        <w:spacing w:line="560" w:lineRule="exact"/>
        <w:ind w:left="206" w:leftChars="86" w:firstLine="420" w:firstLineChars="150"/>
        <w:jc w:val="left"/>
        <w:textAlignment w:val="auto"/>
        <w:rPr>
          <w:rFonts w:hint="eastAsia" w:ascii="仿宋_GB2312" w:hAnsi="仿宋_GB2312" w:eastAsia="仿宋_GB2312" w:cs="仿宋_GB2312"/>
          <w:color w:val="auto"/>
          <w:kern w:val="2"/>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8.2.2</w:t>
      </w:r>
      <w:r>
        <w:rPr>
          <w:rFonts w:hint="eastAsia" w:ascii="仿宋_GB2312" w:hAnsi="仿宋_GB2312" w:eastAsia="仿宋_GB2312" w:cs="仿宋_GB2312"/>
          <w:color w:val="auto"/>
          <w:kern w:val="2"/>
          <w:sz w:val="28"/>
          <w:szCs w:val="28"/>
          <w:highlight w:val="none"/>
        </w:rPr>
        <w:t>甲方指定的送达接收人：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，送达地点：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，电子邮箱：</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w:t>
      </w:r>
    </w:p>
    <w:p>
      <w:pPr>
        <w:pStyle w:val="46"/>
        <w:pageBreakBefore w:val="0"/>
        <w:kinsoku/>
        <w:wordWrap/>
        <w:overflowPunct/>
        <w:topLinePunct w:val="0"/>
        <w:bidi w:val="0"/>
        <w:spacing w:line="560" w:lineRule="exact"/>
        <w:ind w:firstLine="618" w:firstLineChars="221"/>
        <w:jc w:val="left"/>
        <w:textAlignment w:val="auto"/>
        <w:rPr>
          <w:rFonts w:hint="eastAsia" w:ascii="仿宋_GB2312" w:hAnsi="仿宋_GB2312" w:eastAsia="仿宋_GB2312" w:cs="仿宋_GB2312"/>
          <w:color w:val="auto"/>
          <w:kern w:val="2"/>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8.2.3</w:t>
      </w:r>
      <w:r>
        <w:rPr>
          <w:rFonts w:hint="eastAsia" w:ascii="仿宋_GB2312" w:hAnsi="仿宋_GB2312" w:eastAsia="仿宋_GB2312" w:cs="仿宋_GB2312"/>
          <w:color w:val="auto"/>
          <w:kern w:val="2"/>
          <w:sz w:val="28"/>
          <w:szCs w:val="28"/>
          <w:highlight w:val="none"/>
        </w:rPr>
        <w:t>乙方指定的送达接收人：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，送达地点：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，电子邮箱：</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kern w:val="2"/>
          <w:sz w:val="28"/>
          <w:szCs w:val="28"/>
          <w:highlight w:val="none"/>
        </w:rPr>
        <w:t>。</w:t>
      </w:r>
    </w:p>
    <w:p>
      <w:pPr>
        <w:pStyle w:val="7"/>
        <w:pageBreakBefore w:val="0"/>
        <w:numPr>
          <w:ilvl w:val="0"/>
          <w:numId w:val="0"/>
        </w:numPr>
        <w:kinsoku/>
        <w:wordWrap/>
        <w:overflowPunct/>
        <w:topLinePunct w:val="0"/>
        <w:bidi w:val="0"/>
        <w:spacing w:line="560" w:lineRule="exact"/>
        <w:ind w:left="1165" w:leftChars="320" w:hanging="397" w:hangingChars="142"/>
        <w:jc w:val="left"/>
        <w:textAlignment w:val="auto"/>
        <w:rPr>
          <w:rFonts w:hint="eastAsia" w:ascii="黑体" w:hAnsi="黑体" w:eastAsia="黑体" w:cs="黑体"/>
          <w:b w:val="0"/>
          <w:bCs w:val="0"/>
          <w:color w:val="auto"/>
          <w:sz w:val="28"/>
          <w:szCs w:val="28"/>
          <w:highlight w:val="none"/>
          <w:lang w:val="en-US" w:eastAsia="zh-CN"/>
        </w:rPr>
      </w:pPr>
      <w:bookmarkStart w:id="199" w:name="_Toc10627456"/>
      <w:r>
        <w:rPr>
          <w:rFonts w:hint="eastAsia" w:ascii="黑体" w:hAnsi="黑体" w:eastAsia="黑体" w:cs="黑体"/>
          <w:b w:val="0"/>
          <w:bCs w:val="0"/>
          <w:color w:val="auto"/>
          <w:sz w:val="28"/>
          <w:szCs w:val="28"/>
          <w:highlight w:val="none"/>
          <w:lang w:val="en-US" w:eastAsia="zh-CN"/>
        </w:rPr>
        <w:t>8.3知识产权</w:t>
      </w:r>
      <w:bookmarkEnd w:id="199"/>
    </w:p>
    <w:p>
      <w:pPr>
        <w:pageBreakBefore w:val="0"/>
        <w:kinsoku/>
        <w:wordWrap/>
        <w:overflowPunct/>
        <w:topLinePunct w:val="0"/>
        <w:bidi w:val="0"/>
        <w:adjustRightInd w:val="0"/>
        <w:snapToGrid w:val="0"/>
        <w:spacing w:before="156" w:beforeLines="50" w:after="156" w:afterLines="50"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8.3.1</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在质量检测、监测服务中所使用的专业技术若涉及他人知识产权的，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应取得相关权利人的授权，</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应保证</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不会遭受到相关权利人或其代理人警告或追索。若造成</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损失的，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应承担赔偿责任。</w:t>
      </w:r>
    </w:p>
    <w:p>
      <w:pPr>
        <w:pageBreakBefore w:val="0"/>
        <w:kinsoku/>
        <w:wordWrap/>
        <w:overflowPunct/>
        <w:topLinePunct w:val="0"/>
        <w:bidi w:val="0"/>
        <w:adjustRightInd w:val="0"/>
        <w:snapToGrid w:val="0"/>
        <w:spacing w:before="156" w:beforeLines="50" w:after="156" w:afterLines="50"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8.3.2</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提交的质量检测、监测报告及质量检测、监测数据归</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所有，相关知识产权或因此而演变出知识产权（版权和全部使用权）也归</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所有。</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未经</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同意，不得将有关质量检测、监测报告及质量检测、监测数据交任何第三方使用或参考。</w:t>
      </w:r>
    </w:p>
    <w:p>
      <w:pPr>
        <w:pageBreakBefore w:val="0"/>
        <w:kinsoku/>
        <w:wordWrap/>
        <w:overflowPunct/>
        <w:topLinePunct w:val="0"/>
        <w:bidi w:val="0"/>
        <w:adjustRightInd w:val="0"/>
        <w:snapToGrid w:val="0"/>
        <w:spacing w:before="156" w:beforeLines="50" w:after="156" w:afterLines="50"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8.3.3</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提交的质量检测、监测报告及质量检测、监测数据虽归</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所有，但</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及其主要质量检测、监测技术人员仍享有署名的权利。</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highlight w:val="none"/>
        </w:rPr>
      </w:pPr>
      <w:r>
        <w:rPr>
          <w:rFonts w:hint="eastAsia" w:ascii="黑体" w:hAnsi="黑体" w:eastAsia="黑体" w:cs="黑体"/>
          <w:b w:val="0"/>
          <w:bCs w:val="0"/>
          <w:color w:val="auto"/>
          <w:sz w:val="32"/>
          <w:szCs w:val="32"/>
          <w:highlight w:val="none"/>
          <w:lang w:val="en-US" w:eastAsia="zh-CN"/>
        </w:rPr>
        <w:t>9.</w:t>
      </w:r>
      <w:r>
        <w:rPr>
          <w:rFonts w:hint="eastAsia" w:ascii="黑体" w:hAnsi="黑体" w:eastAsia="黑体" w:cs="黑体"/>
          <w:b w:val="0"/>
          <w:bCs w:val="0"/>
          <w:color w:val="auto"/>
          <w:highlight w:val="none"/>
        </w:rPr>
        <w:t>转让和分包</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rPr>
        <w:t>.1</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不得将本质量检测、监测合同规定的权利、义务和责任予以转让。未经发包人书面同意的权利、义务和责任转让均无效。</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.2</w:t>
      </w:r>
      <w:r>
        <w:rPr>
          <w:rFonts w:hint="eastAsia" w:ascii="仿宋_GB2312" w:hAnsi="仿宋_GB2312" w:eastAsia="仿宋_GB2312" w:cs="仿宋_GB2312"/>
          <w:color w:val="auto"/>
          <w:sz w:val="28"/>
          <w:szCs w:val="28"/>
          <w:highlight w:val="none"/>
          <w:u w:val="none"/>
        </w:rPr>
        <w:t>没有发包人的同意，</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不得将质量检测、监测服务的任何部分予以分包。未经发包人同意的分包无效，</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应向发包人承担违约责任。</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.3</w:t>
      </w:r>
      <w:r>
        <w:rPr>
          <w:rFonts w:hint="eastAsia" w:ascii="仿宋_GB2312" w:hAnsi="仿宋_GB2312" w:eastAsia="仿宋_GB2312" w:cs="仿宋_GB2312"/>
          <w:color w:val="auto"/>
          <w:sz w:val="28"/>
          <w:szCs w:val="28"/>
          <w:highlight w:val="none"/>
          <w:u w:val="none"/>
        </w:rPr>
        <w:t>根据质量检测监测部门、水务管理部门、公路管理部门等要求，如</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不具备某项质量检测、监测服务资质</w:t>
      </w:r>
      <w:r>
        <w:rPr>
          <w:rFonts w:hint="eastAsia" w:ascii="仿宋_GB2312" w:hAnsi="仿宋_GB2312" w:eastAsia="仿宋_GB2312" w:cs="仿宋_GB2312"/>
          <w:b w:val="0"/>
          <w:bCs w:val="0"/>
          <w:color w:val="auto"/>
          <w:kern w:val="2"/>
          <w:sz w:val="28"/>
          <w:szCs w:val="28"/>
          <w:highlight w:val="none"/>
          <w:u w:val="none"/>
          <w:lang w:val="en-US" w:eastAsia="zh-CN" w:bidi="ar-SA"/>
        </w:rPr>
        <w:t>（涉及消防、公路、铁路、桥梁方面等）</w:t>
      </w:r>
      <w:r>
        <w:rPr>
          <w:rFonts w:hint="eastAsia" w:ascii="仿宋_GB2312" w:hAnsi="仿宋_GB2312" w:eastAsia="仿宋_GB2312" w:cs="仿宋_GB2312"/>
          <w:color w:val="auto"/>
          <w:sz w:val="28"/>
          <w:szCs w:val="28"/>
          <w:highlight w:val="none"/>
          <w:u w:val="none"/>
        </w:rPr>
        <w:t>，经发包人同意，可进行专业分包，</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应与分包人签订分包合同，并在分包合同签订之日起7天内向发包人和工程监理人</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如有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各提交一份分包合同。</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有义务禁止分包人将分包工程质量检测、监测再次分包。</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.3.1</w:t>
      </w:r>
      <w:r>
        <w:rPr>
          <w:rFonts w:hint="eastAsia" w:ascii="仿宋_GB2312" w:hAnsi="仿宋_GB2312" w:eastAsia="仿宋_GB2312" w:cs="仿宋_GB2312"/>
          <w:color w:val="auto"/>
          <w:sz w:val="28"/>
          <w:szCs w:val="28"/>
          <w:highlight w:val="none"/>
          <w:u w:val="none"/>
        </w:rPr>
        <w:t>分包工程质量检测、监测审批资料要求：</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要将分包人的技术力量、装备以及社会信誉等情况报送给发包人审批，经发包人书面同意后方可分包。</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.3.2</w:t>
      </w:r>
      <w:r>
        <w:rPr>
          <w:rFonts w:hint="eastAsia" w:ascii="仿宋_GB2312" w:hAnsi="仿宋_GB2312" w:eastAsia="仿宋_GB2312" w:cs="仿宋_GB2312"/>
          <w:color w:val="auto"/>
          <w:sz w:val="28"/>
          <w:szCs w:val="28"/>
          <w:highlight w:val="none"/>
          <w:u w:val="none"/>
        </w:rPr>
        <w:t>分包资质要求：分包人应具有分包服务所需的相应资质。</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.4</w:t>
      </w:r>
      <w:r>
        <w:rPr>
          <w:rFonts w:hint="eastAsia" w:ascii="仿宋_GB2312" w:hAnsi="仿宋_GB2312" w:eastAsia="仿宋_GB2312" w:cs="仿宋_GB2312"/>
          <w:color w:val="auto"/>
          <w:sz w:val="28"/>
          <w:szCs w:val="28"/>
          <w:highlight w:val="none"/>
          <w:u w:val="none"/>
        </w:rPr>
        <w:t>分包质量检测、监测服务报酬款由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与分包人结算。除合同另有约定或取得</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的同意外，发包人应将分包服务报酬款按合同条款约定的支付方式全部支付给</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，禁止发包人直接向分包人支付任何服务报酬款。</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如发包人有要求时，</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应提供能证明自己已向分包人支付其分包服务报酬款等证明资料。否则，发包人有权直接向分包人支付</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应支付而未支付的分包服务报酬款，并在</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得到的服务报酬款中扣除。</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.5</w:t>
      </w:r>
      <w:r>
        <w:rPr>
          <w:rFonts w:hint="eastAsia" w:ascii="仿宋_GB2312" w:hAnsi="仿宋_GB2312" w:eastAsia="仿宋_GB2312" w:cs="仿宋_GB2312"/>
          <w:color w:val="auto"/>
          <w:sz w:val="28"/>
          <w:szCs w:val="28"/>
          <w:highlight w:val="none"/>
          <w:u w:val="none"/>
        </w:rPr>
        <w:t>专业分包不能免除</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应承担的任何责任和应履行的任何义务。</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应在分包场地派驻相应管理人员保证本合同的履行。</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分包人应对分包服务负责。分包人的任何违约行为或疏忽导致工程损坏、损害或给发包人造成损失的，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应承担连带责任。</w:t>
      </w:r>
    </w:p>
    <w:p>
      <w:pPr>
        <w:adjustRightInd w:val="0"/>
        <w:snapToGrid w:val="0"/>
        <w:spacing w:before="156" w:beforeLines="50" w:after="156" w:afterLines="50" w:line="560" w:lineRule="exact"/>
        <w:ind w:firstLine="560" w:firstLineChars="200"/>
        <w:jc w:val="left"/>
        <w:rPr>
          <w:rFonts w:hint="eastAsia" w:ascii="仿宋_GB2312" w:hAnsi="仿宋_GB2312" w:eastAsia="仿宋_GB2312" w:cs="仿宋_GB2312"/>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eastAsia="zh-CN"/>
        </w:rPr>
        <w:t>9</w:t>
      </w:r>
      <w:r>
        <w:rPr>
          <w:rFonts w:hint="eastAsia" w:ascii="Times New Roman" w:hAnsi="Times New Roman" w:eastAsia="仿宋_GB2312" w:cs="Times New Roman"/>
          <w:color w:val="auto"/>
          <w:sz w:val="28"/>
          <w:szCs w:val="28"/>
          <w:highlight w:val="none"/>
          <w:u w:val="none"/>
        </w:rPr>
        <w:t>.6</w:t>
      </w:r>
      <w:r>
        <w:rPr>
          <w:rFonts w:hint="eastAsia" w:ascii="仿宋_GB2312" w:hAnsi="仿宋_GB2312" w:eastAsia="仿宋_GB2312" w:cs="仿宋_GB2312"/>
          <w:color w:val="auto"/>
          <w:sz w:val="28"/>
          <w:szCs w:val="28"/>
          <w:highlight w:val="none"/>
          <w:u w:val="none"/>
        </w:rPr>
        <w:t>无论何种原因，当本合同终止时，分包人与</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签订的分包合同也随即终止。</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应在本合同终止前向分包人支付分包人应得所有款项。</w:t>
      </w:r>
    </w:p>
    <w:p>
      <w:pPr>
        <w:pStyle w:val="7"/>
        <w:pageBreakBefore w:val="0"/>
        <w:numPr>
          <w:ilvl w:val="0"/>
          <w:numId w:val="0"/>
        </w:numPr>
        <w:kinsoku/>
        <w:wordWrap/>
        <w:overflowPunct/>
        <w:topLinePunct w:val="0"/>
        <w:bidi w:val="0"/>
        <w:spacing w:line="560" w:lineRule="exact"/>
        <w:ind w:left="1222" w:leftChars="320" w:hanging="454" w:hangingChars="142"/>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10.不可抗力</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10.1</w:t>
      </w:r>
      <w:r>
        <w:rPr>
          <w:rFonts w:hint="eastAsia" w:ascii="仿宋_GB2312" w:hAnsi="仿宋_GB2312" w:eastAsia="仿宋_GB2312" w:cs="仿宋_GB2312"/>
          <w:color w:val="auto"/>
          <w:sz w:val="28"/>
          <w:szCs w:val="28"/>
          <w:highlight w:val="none"/>
          <w:u w:val="none"/>
        </w:rPr>
        <w:t>本合同所称不可抗力事件，系指合同双方在缔结合同时无法预料或即使可预料到也不可避免且无法克服，并于本合同签订日之后出现的，使该方对本合同全部或部分的履行在客观上成为不可能或不实际的任何事件。此等事件包括但不限于水灾、火灾、旱灾、台风、暴雪、地震以及其他自然灾害、疫情防控等。</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Times New Roman" w:hAnsi="Times New Roman" w:eastAsia="仿宋_GB2312" w:cs="Times New Roman"/>
          <w:color w:val="auto"/>
          <w:kern w:val="2"/>
          <w:sz w:val="28"/>
          <w:szCs w:val="28"/>
          <w:highlight w:val="none"/>
          <w:lang w:val="en-US" w:eastAsia="zh-CN" w:bidi="ar-SA"/>
        </w:rPr>
        <w:t>10.2</w:t>
      </w:r>
      <w:r>
        <w:rPr>
          <w:rFonts w:hint="eastAsia" w:ascii="仿宋_GB2312" w:hAnsi="仿宋_GB2312" w:eastAsia="仿宋_GB2312" w:cs="仿宋_GB2312"/>
          <w:color w:val="auto"/>
          <w:sz w:val="28"/>
          <w:szCs w:val="28"/>
          <w:highlight w:val="none"/>
          <w:u w:val="none"/>
        </w:rPr>
        <w:t>由于不可抗力事件致使一方当事人不能履行本合同的，受不可抗力影响一方应在不可抗力事件发生后</w:t>
      </w:r>
      <w:r>
        <w:rPr>
          <w:rFonts w:hint="eastAsia" w:ascii="Times New Roman" w:hAnsi="Times New Roman" w:eastAsia="仿宋_GB2312" w:cs="Times New Roman"/>
          <w:color w:val="auto"/>
          <w:kern w:val="2"/>
          <w:sz w:val="28"/>
          <w:szCs w:val="28"/>
          <w:highlight w:val="none"/>
          <w:u w:val="none"/>
          <w:lang w:val="en-US" w:eastAsia="zh-CN" w:bidi="ar-SA"/>
        </w:rPr>
        <w:t>48</w:t>
      </w:r>
      <w:r>
        <w:rPr>
          <w:rFonts w:hint="eastAsia" w:ascii="仿宋_GB2312" w:hAnsi="仿宋_GB2312" w:eastAsia="仿宋_GB2312" w:cs="仿宋_GB2312"/>
          <w:color w:val="auto"/>
          <w:sz w:val="28"/>
          <w:szCs w:val="28"/>
          <w:highlight w:val="none"/>
          <w:u w:val="none"/>
        </w:rPr>
        <w:t>小时内通过书面形式将不可抗力事件的发生通知另一方，并在该不可抗力事件发生后</w:t>
      </w:r>
      <w:r>
        <w:rPr>
          <w:rFonts w:hint="eastAsia" w:ascii="Times New Roman" w:hAnsi="Times New Roman" w:eastAsia="仿宋_GB2312" w:cs="Times New Roman"/>
          <w:color w:val="auto"/>
          <w:kern w:val="2"/>
          <w:sz w:val="28"/>
          <w:szCs w:val="28"/>
          <w:highlight w:val="none"/>
          <w:u w:val="none"/>
          <w:lang w:val="en-US" w:eastAsia="zh-CN" w:bidi="ar-SA"/>
        </w:rPr>
        <w:t>15</w:t>
      </w:r>
      <w:r>
        <w:rPr>
          <w:rFonts w:hint="eastAsia" w:ascii="仿宋_GB2312" w:hAnsi="仿宋_GB2312" w:eastAsia="仿宋_GB2312" w:cs="仿宋_GB2312"/>
          <w:color w:val="auto"/>
          <w:sz w:val="28"/>
          <w:szCs w:val="28"/>
          <w:highlight w:val="none"/>
          <w:u w:val="none"/>
        </w:rPr>
        <w:t>日内以挂号或特快专递等形式向另一方提供有关机构关于此种不可抗力事件及其持续时间的书面证明。声称不可抗力事件导致其对本合同的履行在客观上成为不可能或不实际的一方应当向对方提供书面证明，并有责任尽一切合理的努力消除或减轻此等不可抗力事件的影响。</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eastAsia="zh-CN"/>
        </w:rPr>
      </w:pPr>
      <w:r>
        <w:rPr>
          <w:rFonts w:hint="eastAsia" w:ascii="Times New Roman" w:hAnsi="Times New Roman" w:eastAsia="仿宋_GB2312" w:cs="Times New Roman"/>
          <w:color w:val="auto"/>
          <w:kern w:val="2"/>
          <w:sz w:val="28"/>
          <w:szCs w:val="28"/>
          <w:highlight w:val="none"/>
          <w:lang w:val="en-US" w:eastAsia="zh-CN" w:bidi="ar-SA"/>
        </w:rPr>
        <w:t>10.3</w:t>
      </w:r>
      <w:r>
        <w:rPr>
          <w:rFonts w:hint="eastAsia" w:ascii="仿宋_GB2312" w:hAnsi="仿宋_GB2312" w:eastAsia="仿宋_GB2312" w:cs="仿宋_GB2312"/>
          <w:color w:val="auto"/>
          <w:sz w:val="28"/>
          <w:szCs w:val="28"/>
          <w:highlight w:val="none"/>
          <w:u w:val="none"/>
        </w:rPr>
        <w:t>受不可抗力影响一方未履行通知义务，</w:t>
      </w:r>
      <w:r>
        <w:rPr>
          <w:rFonts w:hint="eastAsia" w:ascii="仿宋_GB2312" w:hAnsi="仿宋_GB2312" w:eastAsia="仿宋_GB2312" w:cs="仿宋_GB2312"/>
          <w:color w:val="auto"/>
          <w:sz w:val="28"/>
          <w:szCs w:val="28"/>
          <w:highlight w:val="none"/>
          <w:u w:val="single"/>
        </w:rPr>
        <w:t>和/或</w:t>
      </w:r>
      <w:r>
        <w:rPr>
          <w:rFonts w:hint="eastAsia" w:ascii="仿宋_GB2312" w:hAnsi="仿宋_GB2312" w:eastAsia="仿宋_GB2312" w:cs="仿宋_GB2312"/>
          <w:color w:val="auto"/>
          <w:sz w:val="28"/>
          <w:szCs w:val="28"/>
          <w:highlight w:val="none"/>
          <w:u w:val="none"/>
        </w:rPr>
        <w:t>任一方未积极采取减损措施，致使损失扩大的，该方应就扩大的损失向另一方承担赔偿责任</w:t>
      </w:r>
      <w:r>
        <w:rPr>
          <w:rFonts w:hint="eastAsia" w:ascii="仿宋_GB2312" w:hAnsi="仿宋_GB2312" w:eastAsia="仿宋_GB2312" w:cs="仿宋_GB2312"/>
          <w:color w:val="auto"/>
          <w:sz w:val="28"/>
          <w:szCs w:val="28"/>
          <w:highlight w:val="none"/>
          <w:u w:val="none"/>
          <w:lang w:eastAsia="zh-CN"/>
        </w:rPr>
        <w:t>。</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10.4</w:t>
      </w:r>
      <w:r>
        <w:rPr>
          <w:rFonts w:hint="eastAsia" w:ascii="仿宋_GB2312" w:hAnsi="仿宋_GB2312" w:eastAsia="仿宋_GB2312" w:cs="仿宋_GB2312"/>
          <w:color w:val="auto"/>
          <w:sz w:val="28"/>
          <w:szCs w:val="28"/>
          <w:highlight w:val="none"/>
          <w:u w:val="none"/>
          <w:lang w:val="en-US" w:eastAsia="zh-CN"/>
        </w:rPr>
        <w:t>双方确定，发生不可抗力致使本合同的履行成为不必要或不可能的，可以解除本合同。因发生不可抗力导致违约的，不追究违约方的违约责任。</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Times New Roman" w:hAnsi="Times New Roman" w:eastAsia="仿宋_GB2312" w:cs="Times New Roman"/>
          <w:color w:val="auto"/>
          <w:kern w:val="2"/>
          <w:sz w:val="28"/>
          <w:szCs w:val="28"/>
          <w:highlight w:val="none"/>
          <w:lang w:val="en-US" w:eastAsia="zh-CN" w:bidi="ar-SA"/>
        </w:rPr>
        <w:t>10.5</w:t>
      </w:r>
      <w:r>
        <w:rPr>
          <w:rFonts w:hint="eastAsia" w:ascii="仿宋_GB2312" w:hAnsi="仿宋_GB2312" w:eastAsia="仿宋_GB2312" w:cs="仿宋_GB2312"/>
          <w:color w:val="auto"/>
          <w:sz w:val="28"/>
          <w:szCs w:val="28"/>
          <w:highlight w:val="none"/>
          <w:u w:val="none"/>
          <w:lang w:val="en-US" w:eastAsia="zh-CN"/>
        </w:rPr>
        <w:t>因不可抗力引起质量检测、监测暂停的费用按以下原则承担：</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（1）质量检测、监测工程本身的损害及因质量检测、监测工程损害导致第三方人员伤亡和财产损失由责任方各自承担。</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（2）甲方、乙方人员伤亡由其所单位负责，并承担相应费用；</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（3）乙方的设施、设备、仪器的损坏及停工损失，由乙方承担；</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（4）停工期间，乙方应按甲方的要求留有质量检测、监测场地的必要管理人员及保卫人员并承担费用；</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（5）质量检测、监测工程所需清理、修复费用由乙方承担；</w:t>
      </w:r>
    </w:p>
    <w:p>
      <w:pPr>
        <w:pStyle w:val="6"/>
        <w:pageBreakBefore w:val="0"/>
        <w:numPr>
          <w:ilvl w:val="1"/>
          <w:numId w:val="0"/>
        </w:numPr>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（6）由于政府部门举行特殊活动引起停工的，因停工产生的费用由乙方承担。</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br w:type="page"/>
      </w:r>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附件目录</w:t>
      </w:r>
    </w:p>
    <w:p>
      <w:pPr>
        <w:pStyle w:val="2"/>
        <w:rPr>
          <w:rFonts w:hint="eastAsia"/>
          <w:color w:val="auto"/>
          <w:highlight w:val="none"/>
          <w:lang w:val="en-US" w:eastAsia="zh-CN"/>
        </w:rPr>
      </w:pP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附件1：投标报价表（工程量清单）</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附件2：廉洁责任书</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附件3：服务安全生产协议书</w:t>
      </w:r>
    </w:p>
    <w:p>
      <w:pPr>
        <w:pageBreakBefore w:val="0"/>
        <w:kinsoku/>
        <w:wordWrap/>
        <w:overflowPunct/>
        <w:topLinePunct w:val="0"/>
        <w:bidi w:val="0"/>
        <w:spacing w:line="560" w:lineRule="exact"/>
        <w:jc w:val="left"/>
        <w:textAlignment w:val="auto"/>
        <w:outlineLvl w:val="1"/>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附件4：</w:t>
      </w:r>
      <w:r>
        <w:rPr>
          <w:rFonts w:hint="eastAsia" w:ascii="仿宋_GB2312" w:hAnsi="仿宋_GB2312" w:eastAsia="仿宋_GB2312" w:cs="仿宋_GB2312"/>
          <w:b w:val="0"/>
          <w:bCs/>
          <w:color w:val="auto"/>
          <w:sz w:val="32"/>
          <w:szCs w:val="32"/>
          <w:highlight w:val="none"/>
          <w:lang w:val="en-US" w:eastAsia="zh-CN"/>
        </w:rPr>
        <w:t>拟投入本项目的人员汇总表</w:t>
      </w:r>
    </w:p>
    <w:p>
      <w:pPr>
        <w:pageBreakBefore w:val="0"/>
        <w:kinsoku/>
        <w:wordWrap/>
        <w:overflowPunct/>
        <w:topLinePunct w:val="0"/>
        <w:bidi w:val="0"/>
        <w:spacing w:line="560" w:lineRule="exact"/>
        <w:jc w:val="left"/>
        <w:textAlignment w:val="auto"/>
        <w:outlineLvl w:val="1"/>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附件5：</w:t>
      </w:r>
      <w:r>
        <w:rPr>
          <w:rFonts w:hint="eastAsia" w:ascii="仿宋_GB2312" w:hAnsi="仿宋_GB2312" w:eastAsia="仿宋_GB2312" w:cs="仿宋_GB2312"/>
          <w:b w:val="0"/>
          <w:bCs/>
          <w:color w:val="auto"/>
          <w:sz w:val="32"/>
          <w:szCs w:val="32"/>
          <w:highlight w:val="none"/>
          <w:lang w:val="en-US" w:eastAsia="zh-CN"/>
        </w:rPr>
        <w:t>拟投入本项目的人员简历表</w:t>
      </w:r>
    </w:p>
    <w:p>
      <w:pPr>
        <w:pStyle w:val="2"/>
        <w:rPr>
          <w:rFonts w:hint="eastAsia" w:ascii="仿宋_GB2312" w:hAnsi="仿宋_GB2312" w:eastAsia="仿宋_GB2312" w:cs="仿宋_GB2312"/>
          <w:color w:val="auto"/>
          <w:highlight w:val="none"/>
          <w:lang w:val="en-US" w:eastAsia="zh-CN"/>
        </w:rPr>
      </w:pPr>
    </w:p>
    <w:p>
      <w:pPr>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br w:type="page"/>
      </w:r>
      <w:r>
        <w:rPr>
          <w:rFonts w:hint="eastAsia" w:ascii="黑体" w:hAnsi="黑体" w:eastAsia="黑体" w:cs="黑体"/>
          <w:b w:val="0"/>
          <w:bCs/>
          <w:color w:val="auto"/>
          <w:sz w:val="28"/>
          <w:szCs w:val="28"/>
          <w:highlight w:val="none"/>
          <w:lang w:val="en-US" w:eastAsia="zh-CN"/>
        </w:rPr>
        <w:t>附件1</w:t>
      </w:r>
    </w:p>
    <w:p>
      <w:pPr>
        <w:jc w:val="center"/>
        <w:rPr>
          <w:rFonts w:hint="eastAsia" w:ascii="方正小标宋简体" w:hAnsi="方正小标宋简体" w:eastAsia="方正小标宋简体" w:cs="方正小标宋简体"/>
          <w:b w:val="0"/>
          <w:bCs/>
          <w:color w:val="auto"/>
          <w:kern w:val="0"/>
          <w:sz w:val="40"/>
          <w:szCs w:val="40"/>
          <w:highlight w:val="none"/>
          <w:lang w:val="en-US" w:eastAsia="zh-CN" w:bidi="ar-SA"/>
        </w:rPr>
      </w:pPr>
      <w:r>
        <w:rPr>
          <w:rFonts w:hint="eastAsia" w:ascii="方正小标宋简体" w:hAnsi="方正小标宋简体" w:eastAsia="方正小标宋简体" w:cs="方正小标宋简体"/>
          <w:b w:val="0"/>
          <w:bCs/>
          <w:color w:val="auto"/>
          <w:kern w:val="0"/>
          <w:sz w:val="40"/>
          <w:szCs w:val="40"/>
          <w:highlight w:val="none"/>
          <w:lang w:val="en-US" w:eastAsia="zh-CN" w:bidi="ar-SA"/>
        </w:rPr>
        <w:t>投标报价表（工程量清单）</w:t>
      </w:r>
    </w:p>
    <w:p>
      <w:pPr>
        <w:pageBreakBefore w:val="0"/>
        <w:kinsoku/>
        <w:wordWrap/>
        <w:overflowPunct/>
        <w:topLinePunct w:val="0"/>
        <w:bidi w:val="0"/>
        <w:spacing w:line="560" w:lineRule="exact"/>
        <w:jc w:val="left"/>
        <w:textAlignment w:val="auto"/>
        <w:outlineLvl w:val="1"/>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（招标/采购文件中要求投标单位/供应商提供的投标报价表/工程量清单应作为此处附件）</w:t>
      </w:r>
    </w:p>
    <w:p>
      <w:pPr>
        <w:jc w:val="left"/>
        <w:rPr>
          <w:rFonts w:hint="eastAsia" w:ascii="宋体" w:hAnsi="宋体"/>
          <w:b/>
          <w:color w:val="auto"/>
          <w:sz w:val="44"/>
          <w:szCs w:val="44"/>
          <w:highlight w:val="none"/>
        </w:rPr>
      </w:pPr>
    </w:p>
    <w:p>
      <w:pPr>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br w:type="page"/>
      </w:r>
    </w:p>
    <w:p>
      <w:pPr>
        <w:rPr>
          <w:rFonts w:hint="default" w:ascii="宋体" w:hAnsi="宋体" w:eastAsia="宋体"/>
          <w:b/>
          <w:color w:val="auto"/>
          <w:sz w:val="44"/>
          <w:szCs w:val="44"/>
          <w:highlight w:val="none"/>
          <w:lang w:val="en-US" w:eastAsia="zh-CN"/>
        </w:rPr>
      </w:pPr>
      <w:r>
        <w:rPr>
          <w:rFonts w:hint="eastAsia" w:ascii="黑体" w:hAnsi="黑体" w:eastAsia="黑体" w:cs="黑体"/>
          <w:b w:val="0"/>
          <w:bCs/>
          <w:color w:val="auto"/>
          <w:sz w:val="28"/>
          <w:szCs w:val="28"/>
          <w:highlight w:val="none"/>
          <w:lang w:val="en-US" w:eastAsia="zh-CN"/>
        </w:rPr>
        <w:t>附件2</w:t>
      </w:r>
    </w:p>
    <w:p>
      <w:pPr>
        <w:tabs>
          <w:tab w:val="left" w:pos="709"/>
        </w:tabs>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廉洁责任书</w:t>
      </w:r>
    </w:p>
    <w:p>
      <w:pPr>
        <w:jc w:val="center"/>
        <w:rPr>
          <w:rFonts w:hAnsi="宋体"/>
          <w:color w:val="auto"/>
          <w:sz w:val="24"/>
          <w:szCs w:val="24"/>
          <w:highlight w:val="none"/>
        </w:rPr>
      </w:pPr>
      <w:r>
        <w:rPr>
          <w:rFonts w:hint="eastAsia" w:ascii="仿宋_GB2312" w:hAnsi="宋体" w:eastAsia="仿宋_GB2312"/>
          <w:color w:val="auto"/>
          <w:sz w:val="32"/>
          <w:szCs w:val="32"/>
          <w:highlight w:val="none"/>
        </w:rPr>
        <w:t>（20</w:t>
      </w:r>
      <w:r>
        <w:rPr>
          <w:rFonts w:hint="eastAsia" w:ascii="仿宋_GB2312" w:hAnsi="宋体" w:eastAsia="仿宋_GB2312"/>
          <w:color w:val="auto"/>
          <w:sz w:val="32"/>
          <w:szCs w:val="32"/>
          <w:highlight w:val="none"/>
          <w:lang w:val="en-US" w:eastAsia="zh-CN"/>
        </w:rPr>
        <w:t>23</w:t>
      </w:r>
      <w:r>
        <w:rPr>
          <w:rFonts w:hint="eastAsia" w:ascii="仿宋_GB2312" w:hAnsi="宋体" w:eastAsia="仿宋_GB2312"/>
          <w:color w:val="auto"/>
          <w:sz w:val="32"/>
          <w:szCs w:val="32"/>
          <w:highlight w:val="none"/>
        </w:rPr>
        <w:t>年修订版标准文本）</w:t>
      </w:r>
    </w:p>
    <w:p>
      <w:pPr>
        <w:spacing w:line="5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发包人（甲方）： 广州市自来水</w:t>
      </w:r>
      <w:r>
        <w:rPr>
          <w:rFonts w:hint="eastAsia" w:ascii="仿宋_GB2312" w:hAnsi="仿宋_GB2312" w:eastAsia="仿宋_GB2312" w:cs="仿宋_GB2312"/>
          <w:color w:val="auto"/>
          <w:sz w:val="24"/>
          <w:szCs w:val="24"/>
          <w:highlight w:val="none"/>
          <w:lang w:eastAsia="zh-CN"/>
        </w:rPr>
        <w:t>有限</w:t>
      </w:r>
      <w:r>
        <w:rPr>
          <w:rFonts w:hint="eastAsia" w:ascii="仿宋_GB2312" w:hAnsi="仿宋_GB2312" w:eastAsia="仿宋_GB2312" w:cs="仿宋_GB2312"/>
          <w:color w:val="auto"/>
          <w:sz w:val="24"/>
          <w:szCs w:val="24"/>
          <w:highlight w:val="none"/>
        </w:rPr>
        <w:t xml:space="preserve">公司                                              </w:t>
      </w:r>
    </w:p>
    <w:p>
      <w:pPr>
        <w:spacing w:line="54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承包人（乙方）：</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tabs>
          <w:tab w:val="left" w:pos="709"/>
        </w:tabs>
        <w:spacing w:line="54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为加强廉洁建设，防止主合同履约过程中发生各种谋取不正当利益的违法违纪行为，甲、乙双方经共同协商，在双方签订的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项目（以下简称“本项目”）合同（合同编号：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，以下简称“主合同”）约定条款的基础上，根据国家有关法律法规和廉政建设的有关规定，特订立本廉洁责任书，以资共同遵守。</w:t>
      </w:r>
    </w:p>
    <w:p>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一、双方的责任</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（一）严格遵守国家关于</w:t>
      </w: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u w:val="none"/>
        </w:rPr>
        <w:t>建设工程、☒物资采购、☒营运类服务</w:t>
      </w:r>
      <w:r>
        <w:rPr>
          <w:rFonts w:hint="eastAsia" w:ascii="仿宋_GB2312" w:hAnsi="仿宋_GB2312" w:eastAsia="仿宋_GB2312" w:cs="仿宋_GB2312"/>
          <w:color w:val="auto"/>
          <w:sz w:val="24"/>
          <w:szCs w:val="24"/>
          <w:highlight w:val="none"/>
        </w:rPr>
        <w:t>等有关法律法规、相关政策以及廉政建设的各项规定。</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（二）严格执行主合同条款，自觉按合同办事。</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（三）业务活动必须坚持公开、公平、公正、诚信的原则，</w:t>
      </w:r>
      <w:r>
        <w:rPr>
          <w:rFonts w:hint="eastAsia" w:ascii="仿宋_GB2312" w:hAnsi="仿宋_GB2312" w:eastAsia="仿宋_GB2312" w:cs="仿宋_GB2312"/>
          <w:color w:val="auto"/>
          <w:sz w:val="24"/>
          <w:szCs w:val="24"/>
          <w:highlight w:val="none"/>
          <w:lang w:val="en-US" w:eastAsia="zh-CN"/>
        </w:rPr>
        <w:t>不得</w:t>
      </w:r>
      <w:r>
        <w:rPr>
          <w:rFonts w:hint="eastAsia" w:ascii="仿宋_GB2312" w:hAnsi="仿宋_GB2312" w:eastAsia="仿宋_GB2312" w:cs="仿宋_GB2312"/>
          <w:color w:val="auto"/>
          <w:sz w:val="24"/>
          <w:szCs w:val="24"/>
          <w:highlight w:val="none"/>
        </w:rPr>
        <w:t>损害国家、集体和对方利益，不得违反</w:t>
      </w: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u w:val="none"/>
        </w:rPr>
        <w:t>建设工程、☒物资采购、☒营运类服务</w:t>
      </w:r>
      <w:r>
        <w:rPr>
          <w:rFonts w:hint="eastAsia" w:ascii="仿宋_GB2312" w:hAnsi="仿宋_GB2312" w:eastAsia="仿宋_GB2312" w:cs="仿宋_GB2312"/>
          <w:color w:val="auto"/>
          <w:sz w:val="24"/>
          <w:szCs w:val="24"/>
          <w:highlight w:val="none"/>
        </w:rPr>
        <w:t>管理的规章制度。</w:t>
      </w:r>
    </w:p>
    <w:p>
      <w:pPr>
        <w:tabs>
          <w:tab w:val="left" w:pos="709"/>
        </w:tabs>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（四）在业务活动中任何一方如发现单位或人员有违规、违纪、违法行为的，均有义务向其上级主管部门或纪检监察、司法等机关举报。</w:t>
      </w:r>
    </w:p>
    <w:p>
      <w:pPr>
        <w:tabs>
          <w:tab w:val="left" w:pos="709"/>
        </w:tabs>
        <w:spacing w:line="540" w:lineRule="exact"/>
        <w:ind w:firstLine="352" w:firstLineChars="147"/>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b w:val="0"/>
          <w:bCs w:val="0"/>
          <w:color w:val="auto"/>
          <w:sz w:val="24"/>
          <w:szCs w:val="24"/>
          <w:highlight w:val="none"/>
        </w:rPr>
        <w:t>建立健全廉洁从业制度，开展</w:t>
      </w:r>
      <w:r>
        <w:rPr>
          <w:rFonts w:hint="eastAsia" w:ascii="仿宋_GB2312" w:hAnsi="仿宋_GB2312" w:eastAsia="仿宋_GB2312" w:cs="仿宋_GB2312"/>
          <w:b w:val="0"/>
          <w:bCs w:val="0"/>
          <w:color w:val="auto"/>
          <w:sz w:val="24"/>
          <w:szCs w:val="24"/>
          <w:highlight w:val="none"/>
          <w:lang w:val="en-US" w:eastAsia="zh-CN"/>
        </w:rPr>
        <w:t>项目人员</w:t>
      </w:r>
      <w:r>
        <w:rPr>
          <w:rFonts w:hint="eastAsia" w:ascii="仿宋_GB2312" w:hAnsi="仿宋_GB2312" w:eastAsia="仿宋_GB2312" w:cs="仿宋_GB2312"/>
          <w:b w:val="0"/>
          <w:bCs w:val="0"/>
          <w:color w:val="auto"/>
          <w:sz w:val="24"/>
          <w:szCs w:val="24"/>
          <w:highlight w:val="none"/>
        </w:rPr>
        <w:t>廉洁教育，公布</w:t>
      </w:r>
      <w:r>
        <w:rPr>
          <w:rFonts w:hint="eastAsia" w:ascii="仿宋_GB2312" w:hAnsi="仿宋_GB2312" w:eastAsia="仿宋_GB2312" w:cs="仿宋_GB2312"/>
          <w:b w:val="0"/>
          <w:bCs w:val="0"/>
          <w:color w:val="auto"/>
          <w:sz w:val="24"/>
          <w:szCs w:val="24"/>
          <w:highlight w:val="none"/>
          <w:lang w:val="en-US" w:eastAsia="zh-CN"/>
        </w:rPr>
        <w:t>监督</w:t>
      </w:r>
      <w:r>
        <w:rPr>
          <w:rFonts w:hint="eastAsia" w:ascii="仿宋_GB2312" w:hAnsi="仿宋_GB2312" w:eastAsia="仿宋_GB2312" w:cs="仿宋_GB2312"/>
          <w:b w:val="0"/>
          <w:bCs w:val="0"/>
          <w:color w:val="auto"/>
          <w:sz w:val="24"/>
          <w:szCs w:val="24"/>
          <w:highlight w:val="none"/>
        </w:rPr>
        <w:t>举报电话，</w:t>
      </w:r>
      <w:r>
        <w:rPr>
          <w:rFonts w:hint="eastAsia" w:ascii="仿宋_GB2312" w:hAnsi="仿宋_GB2312" w:eastAsia="仿宋_GB2312" w:cs="仿宋_GB2312"/>
          <w:b w:val="0"/>
          <w:bCs w:val="0"/>
          <w:color w:val="auto"/>
          <w:sz w:val="24"/>
          <w:szCs w:val="24"/>
          <w:highlight w:val="none"/>
          <w:lang w:val="en-US" w:eastAsia="zh-CN"/>
        </w:rPr>
        <w:t>接受群众监督</w:t>
      </w:r>
      <w:r>
        <w:rPr>
          <w:rFonts w:hint="eastAsia" w:ascii="仿宋_GB2312" w:hAnsi="仿宋_GB2312" w:eastAsia="仿宋_GB2312" w:cs="仿宋_GB2312"/>
          <w:b w:val="0"/>
          <w:bCs w:val="0"/>
          <w:color w:val="auto"/>
          <w:sz w:val="24"/>
          <w:szCs w:val="24"/>
          <w:highlight w:val="none"/>
        </w:rPr>
        <w:t>。</w:t>
      </w:r>
    </w:p>
    <w:p>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二、甲方责任 </w:t>
      </w:r>
    </w:p>
    <w:p>
      <w:pPr>
        <w:spacing w:line="540" w:lineRule="exact"/>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（一）甲方须向乙方介绍本单位有关廉政建设的各项制度和规定，并有权监督乙方履行主合同的廉洁情况。</w:t>
      </w:r>
    </w:p>
    <w:p>
      <w:pPr>
        <w:spacing w:line="540" w:lineRule="exact"/>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（二）甲方须对本单位</w:t>
      </w:r>
      <w:r>
        <w:rPr>
          <w:rFonts w:hint="eastAsia" w:ascii="仿宋_GB2312" w:hAnsi="仿宋_GB2312" w:eastAsia="仿宋_GB2312" w:cs="仿宋_GB2312"/>
          <w:color w:val="auto"/>
          <w:sz w:val="24"/>
          <w:szCs w:val="24"/>
          <w:highlight w:val="none"/>
          <w:lang w:val="en-US" w:eastAsia="zh-CN"/>
        </w:rPr>
        <w:t>项目相关</w:t>
      </w:r>
      <w:r>
        <w:rPr>
          <w:rFonts w:hint="eastAsia" w:ascii="仿宋_GB2312" w:hAnsi="仿宋_GB2312" w:eastAsia="仿宋_GB2312" w:cs="仿宋_GB2312"/>
          <w:color w:val="auto"/>
          <w:sz w:val="24"/>
          <w:szCs w:val="24"/>
          <w:highlight w:val="none"/>
        </w:rPr>
        <w:t>人员开展廉洁</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"http://www.jianshe99.com/web/wangxiao/" \t "_blank" \o "教育"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教育</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t>,督促本单位从业人员遵守以下规定：</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1.不得利用职务之便向乙方索要或接受回扣、礼金、有价证券、贵重物品</w:t>
      </w:r>
      <w:r>
        <w:rPr>
          <w:rFonts w:hint="eastAsia" w:ascii="仿宋_GB2312" w:hAnsi="仿宋_GB2312" w:eastAsia="仿宋_GB2312" w:cs="仿宋_GB2312"/>
          <w:color w:val="auto"/>
          <w:sz w:val="24"/>
          <w:szCs w:val="24"/>
          <w:highlight w:val="none"/>
          <w:lang w:eastAsia="zh-CN"/>
        </w:rPr>
        <w:t>、手续费、加班费、咨询费、劳务费、协调费、辛苦费</w:t>
      </w:r>
      <w:r>
        <w:rPr>
          <w:rFonts w:hint="eastAsia" w:ascii="仿宋_GB2312" w:hAnsi="仿宋_GB2312" w:eastAsia="仿宋_GB2312" w:cs="仿宋_GB2312"/>
          <w:color w:val="auto"/>
          <w:sz w:val="24"/>
          <w:szCs w:val="24"/>
          <w:highlight w:val="none"/>
        </w:rPr>
        <w:t>等各种名义给予或赠送的钱物，难以拒收的，必须登记上交。</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2.不得要求乙方报销任何应由甲方或其工作人员支付的费用。</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3.不得要求、暗示或接受乙方为甲方工作人员的住房装修、婚丧嫁娶、配偶子女工作安排以及出国（境）、旅游等事项提供方便。</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4.不得参加有可能影响公正履行岗位职责</w:t>
      </w:r>
      <w:r>
        <w:rPr>
          <w:rFonts w:hint="eastAsia" w:ascii="仿宋_GB2312" w:hAnsi="仿宋_GB2312" w:eastAsia="仿宋_GB2312" w:cs="仿宋_GB2312"/>
          <w:color w:val="auto"/>
          <w:sz w:val="24"/>
          <w:szCs w:val="24"/>
          <w:highlight w:val="none"/>
          <w:lang w:val="en-US" w:eastAsia="zh-CN"/>
        </w:rPr>
        <w:t>或相关业务公平公正开展的</w:t>
      </w:r>
      <w:r>
        <w:rPr>
          <w:rFonts w:hint="eastAsia" w:ascii="仿宋_GB2312" w:hAnsi="仿宋_GB2312" w:eastAsia="仿宋_GB2312" w:cs="仿宋_GB2312"/>
          <w:color w:val="auto"/>
          <w:sz w:val="24"/>
          <w:szCs w:val="24"/>
          <w:highlight w:val="none"/>
        </w:rPr>
        <w:t>乙方安排的宴请、健身、娱乐等活动。</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5.不得向乙方推荐与主合同有关的劳务分包单位。</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6.不得向乙方推荐甲方工作人员的配偶、子女、亲属参与</w:t>
      </w:r>
      <w:r>
        <w:rPr>
          <w:rFonts w:hint="eastAsia" w:ascii="仿宋_GB2312" w:hAnsi="仿宋_GB2312" w:eastAsia="仿宋_GB2312" w:cs="仿宋_GB2312"/>
          <w:color w:val="auto"/>
          <w:sz w:val="24"/>
          <w:szCs w:val="24"/>
          <w:highlight w:val="none"/>
          <w:lang w:val="en-US" w:eastAsia="zh-CN"/>
        </w:rPr>
        <w:t>双方</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val="en-US" w:eastAsia="zh-CN"/>
        </w:rPr>
        <w:t>履行有关</w:t>
      </w:r>
      <w:r>
        <w:rPr>
          <w:rFonts w:hint="eastAsia" w:ascii="仿宋_GB2312" w:hAnsi="仿宋_GB2312" w:eastAsia="仿宋_GB2312" w:cs="仿宋_GB2312"/>
          <w:color w:val="auto"/>
          <w:sz w:val="24"/>
          <w:szCs w:val="24"/>
          <w:highlight w:val="none"/>
        </w:rPr>
        <w:t>的经济活动。</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7.不得参与任何形式的赌博，并通过赌博方式收受乙方财物；不得接受乙方提供的通讯工具、交通工具（合同约定除外）和高档办公用品等。</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不得有其他可能影响公正履行岗位职责的行为</w:t>
      </w:r>
      <w:r>
        <w:rPr>
          <w:rFonts w:hint="eastAsia" w:ascii="仿宋_GB2312" w:hAnsi="仿宋_GB2312" w:eastAsia="仿宋_GB2312" w:cs="仿宋_GB2312"/>
          <w:color w:val="auto"/>
          <w:sz w:val="24"/>
          <w:szCs w:val="24"/>
          <w:highlight w:val="none"/>
          <w:lang w:val="en-US" w:eastAsia="zh-CN"/>
        </w:rPr>
        <w:t>或其他违反廉洁的规定</w:t>
      </w:r>
      <w:r>
        <w:rPr>
          <w:rFonts w:hint="eastAsia" w:ascii="仿宋_GB2312" w:hAnsi="仿宋_GB2312" w:eastAsia="仿宋_GB2312" w:cs="仿宋_GB2312"/>
          <w:color w:val="auto"/>
          <w:sz w:val="24"/>
          <w:szCs w:val="24"/>
          <w:highlight w:val="none"/>
        </w:rPr>
        <w:t>。</w:t>
      </w:r>
    </w:p>
    <w:p>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三、乙方责任</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（一）乙方应了解并</w:t>
      </w:r>
      <w:r>
        <w:rPr>
          <w:rFonts w:hint="eastAsia" w:ascii="仿宋_GB2312" w:hAnsi="仿宋_GB2312" w:eastAsia="仿宋_GB2312" w:cs="仿宋_GB2312"/>
          <w:color w:val="auto"/>
          <w:sz w:val="24"/>
          <w:szCs w:val="24"/>
          <w:highlight w:val="none"/>
          <w:lang w:val="en-US" w:eastAsia="zh-CN"/>
        </w:rPr>
        <w:t>配合</w:t>
      </w:r>
      <w:r>
        <w:rPr>
          <w:rFonts w:hint="eastAsia" w:ascii="仿宋_GB2312" w:hAnsi="仿宋_GB2312" w:eastAsia="仿宋_GB2312" w:cs="仿宋_GB2312"/>
          <w:color w:val="auto"/>
          <w:sz w:val="24"/>
          <w:szCs w:val="24"/>
          <w:highlight w:val="none"/>
        </w:rPr>
        <w:t>执行甲方有关廉</w:t>
      </w:r>
      <w:r>
        <w:rPr>
          <w:rFonts w:hint="eastAsia" w:ascii="仿宋_GB2312" w:hAnsi="仿宋_GB2312" w:eastAsia="仿宋_GB2312" w:cs="仿宋_GB2312"/>
          <w:color w:val="auto"/>
          <w:sz w:val="24"/>
          <w:szCs w:val="24"/>
          <w:highlight w:val="none"/>
          <w:lang w:val="en-US" w:eastAsia="zh-CN"/>
        </w:rPr>
        <w:t>洁</w:t>
      </w:r>
      <w:r>
        <w:rPr>
          <w:rFonts w:hint="eastAsia" w:ascii="仿宋_GB2312" w:hAnsi="仿宋_GB2312" w:eastAsia="仿宋_GB2312" w:cs="仿宋_GB2312"/>
          <w:color w:val="auto"/>
          <w:sz w:val="24"/>
          <w:szCs w:val="24"/>
          <w:highlight w:val="none"/>
        </w:rPr>
        <w:t>建设的各项制度和规定。</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（二）乙方应对本单位工作人员开展廉洁教育（包括甲方制定的有关廉</w:t>
      </w:r>
      <w:r>
        <w:rPr>
          <w:rFonts w:hint="eastAsia" w:ascii="仿宋_GB2312" w:hAnsi="仿宋_GB2312" w:eastAsia="仿宋_GB2312" w:cs="仿宋_GB2312"/>
          <w:color w:val="auto"/>
          <w:sz w:val="24"/>
          <w:szCs w:val="24"/>
          <w:highlight w:val="none"/>
          <w:lang w:val="en-US" w:eastAsia="zh-CN"/>
        </w:rPr>
        <w:t>洁</w:t>
      </w:r>
      <w:r>
        <w:rPr>
          <w:rFonts w:hint="eastAsia" w:ascii="仿宋_GB2312" w:hAnsi="仿宋_GB2312" w:eastAsia="仿宋_GB2312" w:cs="仿宋_GB2312"/>
          <w:color w:val="auto"/>
          <w:sz w:val="24"/>
          <w:szCs w:val="24"/>
          <w:highlight w:val="none"/>
        </w:rPr>
        <w:t>建设方面的各项制度和规定），按时出席甲方召集的有关会议。</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（三）乙方应与甲方保持正常的业务交往，按照有关法律法规和程序开展业务工作，严格执行有关政策规定，并遵守以下规定：</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1.不得向甲方及其工作人员</w:t>
      </w:r>
      <w:r>
        <w:rPr>
          <w:rFonts w:hint="eastAsia" w:ascii="仿宋_GB2312" w:hAnsi="仿宋_GB2312" w:eastAsia="仿宋_GB2312" w:cs="仿宋_GB2312"/>
          <w:color w:val="auto"/>
          <w:sz w:val="24"/>
          <w:szCs w:val="24"/>
          <w:highlight w:val="none"/>
          <w:lang w:val="en-US" w:eastAsia="zh-CN"/>
        </w:rPr>
        <w:t>以</w:t>
      </w:r>
      <w:r>
        <w:rPr>
          <w:rFonts w:hint="eastAsia" w:ascii="仿宋_GB2312" w:hAnsi="仿宋_GB2312" w:eastAsia="仿宋_GB2312" w:cs="仿宋_GB2312"/>
          <w:color w:val="auto"/>
          <w:sz w:val="24"/>
          <w:szCs w:val="24"/>
          <w:highlight w:val="none"/>
        </w:rPr>
        <w:t>赠送回扣、礼金、有价证券、贵重物品</w:t>
      </w:r>
      <w:r>
        <w:rPr>
          <w:rFonts w:hint="eastAsia" w:ascii="仿宋_GB2312" w:hAnsi="仿宋_GB2312" w:eastAsia="仿宋_GB2312" w:cs="仿宋_GB2312"/>
          <w:color w:val="auto"/>
          <w:sz w:val="24"/>
          <w:szCs w:val="24"/>
          <w:highlight w:val="none"/>
          <w:lang w:eastAsia="zh-CN"/>
        </w:rPr>
        <w:t>、手续费、加班费、咨询费、劳务费、协调费、辛苦费</w:t>
      </w:r>
      <w:r>
        <w:rPr>
          <w:rFonts w:hint="eastAsia" w:ascii="仿宋_GB2312" w:hAnsi="仿宋_GB2312" w:eastAsia="仿宋_GB2312" w:cs="仿宋_GB2312"/>
          <w:color w:val="auto"/>
          <w:sz w:val="24"/>
          <w:szCs w:val="24"/>
          <w:highlight w:val="none"/>
        </w:rPr>
        <w:t>等各种名义给予或赠送的钱物。</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2.不得为甲方报销应由甲方或其工作人员支付的费用。</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3.不得接受为甲方工作人员的住房装修、婚丧嫁娶、配偶子女工作安排以及出国（境）、旅游等事项提供便</w:t>
      </w:r>
      <w:r>
        <w:rPr>
          <w:rFonts w:hint="eastAsia" w:ascii="仿宋_GB2312" w:hAnsi="仿宋_GB2312" w:eastAsia="仿宋_GB2312" w:cs="仿宋_GB2312"/>
          <w:color w:val="auto"/>
          <w:sz w:val="24"/>
          <w:szCs w:val="24"/>
          <w:highlight w:val="none"/>
          <w:lang w:val="en-US" w:eastAsia="zh-CN"/>
        </w:rPr>
        <w:t>利</w:t>
      </w:r>
      <w:r>
        <w:rPr>
          <w:rFonts w:hint="eastAsia" w:ascii="仿宋_GB2312" w:hAnsi="仿宋_GB2312" w:eastAsia="仿宋_GB2312" w:cs="仿宋_GB2312"/>
          <w:color w:val="auto"/>
          <w:sz w:val="24"/>
          <w:szCs w:val="24"/>
          <w:highlight w:val="none"/>
        </w:rPr>
        <w:t>。</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4.不得为甲方及其工作人员安排、组织有可能影响公正履行岗位职责的宴请、健身、娱乐等活动。</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5.不得接受甲方推荐的与主合同有关的劳务分包单位。</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6.不得接受甲方工作人员推荐其配偶、子女、亲属参与主合同的设备材料、劳务分包等经济活动。</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7.乙方不得为甲方单位和个人购置或提供通讯工具和高档办公用品等物品，也不得为甲方提供与工作无关的房屋、汽车等。</w:t>
      </w:r>
    </w:p>
    <w:p>
      <w:pPr>
        <w:spacing w:line="5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乙方不得擅自与甲方工作人员就主合同中的质量、数量、价格、工程量、验收等条款进行私下商谈或者达成默契。</w:t>
      </w:r>
    </w:p>
    <w:p>
      <w:pPr>
        <w:spacing w:line="5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乙方不得向甲方工作人员提供干股或红利。</w:t>
      </w:r>
    </w:p>
    <w:p>
      <w:pPr>
        <w:spacing w:line="5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不得有其他可能影响甲方工作人员公正履行岗位职责的行为</w:t>
      </w:r>
      <w:r>
        <w:rPr>
          <w:rFonts w:hint="eastAsia" w:ascii="仿宋_GB2312" w:hAnsi="仿宋_GB2312" w:eastAsia="仿宋_GB2312" w:cs="仿宋_GB2312"/>
          <w:color w:val="auto"/>
          <w:sz w:val="24"/>
          <w:szCs w:val="24"/>
          <w:highlight w:val="none"/>
          <w:lang w:val="en-US" w:eastAsia="zh-CN"/>
        </w:rPr>
        <w:t>或其他违反廉洁规定</w:t>
      </w:r>
      <w:r>
        <w:rPr>
          <w:rFonts w:hint="eastAsia" w:ascii="仿宋_GB2312" w:hAnsi="仿宋_GB2312" w:eastAsia="仿宋_GB2312" w:cs="仿宋_GB2312"/>
          <w:color w:val="auto"/>
          <w:sz w:val="24"/>
          <w:szCs w:val="24"/>
          <w:highlight w:val="none"/>
        </w:rPr>
        <w:t>。</w:t>
      </w:r>
    </w:p>
    <w:p>
      <w:pPr>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四、违约责任及处理</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（一）甲方工作人员有违反本责任书“一”“二”款约定的，视情节轻重，依据有关法律法规和甲方相关制度规定给予组织处理、党纪政纪处分；涉嫌犯罪的，移交司法机关追究刑事责任</w:t>
      </w:r>
      <w:r>
        <w:rPr>
          <w:rFonts w:hint="eastAsia" w:ascii="仿宋_GB2312" w:hAnsi="仿宋_GB2312" w:eastAsia="仿宋_GB2312" w:cs="仿宋_GB2312"/>
          <w:color w:val="auto"/>
          <w:sz w:val="24"/>
          <w:szCs w:val="24"/>
          <w:highlight w:val="none"/>
          <w:lang w:eastAsia="zh-CN"/>
        </w:rPr>
        <w:t>。</w:t>
      </w:r>
    </w:p>
    <w:p>
      <w:p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甲方举报投诉联系部门：</w:t>
      </w:r>
      <w:r>
        <w:rPr>
          <w:rFonts w:hint="eastAsia" w:ascii="仿宋_GB2312" w:hAnsi="仿宋_GB2312" w:eastAsia="仿宋_GB2312" w:cs="仿宋_GB2312"/>
          <w:color w:val="auto"/>
          <w:sz w:val="24"/>
          <w:szCs w:val="24"/>
          <w:highlight w:val="none"/>
          <w:lang w:val="en-US" w:eastAsia="zh-CN"/>
        </w:rPr>
        <w:t>广州市自来水</w:t>
      </w:r>
      <w:r>
        <w:rPr>
          <w:rFonts w:hint="eastAsia" w:ascii="仿宋_GB2312" w:hAnsi="仿宋_GB2312" w:eastAsia="仿宋_GB2312" w:cs="仿宋_GB2312"/>
          <w:color w:val="auto"/>
          <w:sz w:val="24"/>
          <w:szCs w:val="24"/>
          <w:highlight w:val="none"/>
        </w:rPr>
        <w:t>有限公司纪检室，联系电话：</w:t>
      </w:r>
      <w:r>
        <w:rPr>
          <w:rFonts w:hint="eastAsia" w:ascii="仿宋_GB2312" w:hAnsi="仿宋_GB2312" w:eastAsia="仿宋_GB2312" w:cs="仿宋_GB2312"/>
          <w:color w:val="auto"/>
          <w:sz w:val="24"/>
          <w:szCs w:val="24"/>
          <w:highlight w:val="none"/>
          <w:u w:val="single"/>
          <w:lang w:val="en-US" w:eastAsia="zh-CN"/>
        </w:rPr>
        <w:t>020-87159082</w:t>
      </w:r>
      <w:r>
        <w:rPr>
          <w:rFonts w:hint="eastAsia" w:ascii="仿宋_GB2312" w:hAnsi="仿宋_GB2312" w:eastAsia="仿宋_GB2312" w:cs="仿宋_GB2312"/>
          <w:color w:val="auto"/>
          <w:sz w:val="24"/>
          <w:szCs w:val="24"/>
          <w:highlight w:val="none"/>
          <w:lang w:val="en-US" w:eastAsia="zh-CN"/>
        </w:rPr>
        <w:t>，电子邮箱：</w:t>
      </w:r>
      <w:r>
        <w:rPr>
          <w:rFonts w:hint="eastAsia" w:ascii="仿宋_GB2312" w:hAnsi="仿宋_GB2312" w:eastAsia="仿宋_GB2312" w:cs="仿宋_GB2312"/>
          <w:color w:val="auto"/>
          <w:sz w:val="24"/>
          <w:szCs w:val="24"/>
          <w:highlight w:val="none"/>
          <w:u w:val="single"/>
        </w:rPr>
        <w:t>jjs@gzwatersupply.com</w:t>
      </w:r>
      <w:r>
        <w:rPr>
          <w:rFonts w:hint="eastAsia" w:ascii="仿宋_GB2312" w:hAnsi="仿宋_GB2312" w:eastAsia="仿宋_GB2312" w:cs="仿宋_GB2312"/>
          <w:color w:val="auto"/>
          <w:sz w:val="24"/>
          <w:szCs w:val="24"/>
          <w:highlight w:val="none"/>
          <w:lang w:val="en-US" w:eastAsia="zh-CN"/>
        </w:rPr>
        <w:t>。</w:t>
      </w:r>
    </w:p>
    <w:p>
      <w:pPr>
        <w:numPr>
          <w:ilvl w:val="0"/>
          <w:numId w:val="1"/>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乙方工作人员有违反本责任书“一”、“三”款约定的，甲方均有权根据具体情节和造成的后果，对乙方采取以下处理方式：</w:t>
      </w:r>
    </w:p>
    <w:p>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扣除主合同的全部履约保证金</w:t>
      </w:r>
      <w:r>
        <w:rPr>
          <w:rFonts w:hint="eastAsia" w:ascii="仿宋_GB2312" w:hAnsi="仿宋_GB2312" w:eastAsia="仿宋_GB2312" w:cs="仿宋_GB2312"/>
          <w:color w:val="auto"/>
          <w:sz w:val="24"/>
          <w:szCs w:val="24"/>
          <w:highlight w:val="none"/>
          <w:lang w:eastAsia="zh-CN"/>
        </w:rPr>
        <w:t>。</w:t>
      </w:r>
    </w:p>
    <w:p>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2.对违纪违法相关责任人依规依法进行处理和更换，并取消乙方单位服务资格。</w:t>
      </w:r>
    </w:p>
    <w:p>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追究乙方其他违约责任和损失赔偿。</w:t>
      </w:r>
    </w:p>
    <w:p>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trike w:val="0"/>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甲方有权向乙方单位上级纪检监察部门、有关行政管理部门等提出对乙方相关责任人进行责任追究和处罚；涉嫌犯罪的，移送司法机关追究刑事责任。</w:t>
      </w:r>
    </w:p>
    <w:p>
      <w:pPr>
        <w:numPr>
          <w:ilvl w:val="0"/>
          <w:numId w:val="0"/>
        </w:numPr>
        <w:adjustRightInd w:val="0"/>
        <w:snapToGrid w:val="0"/>
        <w:spacing w:line="560" w:lineRule="exact"/>
        <w:ind w:firstLine="420" w:firstLineChars="17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5.针对典型案例，形成廉洁问题专报，视情节严重程度上报上级管理部门，或在甲乙双方单位进行情况通报。</w:t>
      </w:r>
    </w:p>
    <w:p>
      <w:pPr>
        <w:tabs>
          <w:tab w:val="left" w:pos="709"/>
        </w:tabs>
        <w:spacing w:line="540" w:lineRule="exact"/>
        <w:ind w:firstLine="592" w:firstLineChars="247"/>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sym w:font="Wingdings 2" w:char="0052"/>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工程建设项目选择此项</w:t>
      </w:r>
    </w:p>
    <w:p>
      <w:pPr>
        <w:tabs>
          <w:tab w:val="left" w:pos="709"/>
        </w:tabs>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应严格执行有关勘察设计、建筑施工安装的强制性标准和规范，以及监理法规，根据广州市及甲方关于水务工程勘察设计、施工和监理企业诚信评价的有关规定，如乙方存在被纪检监察部门认定有行贿行为、被法院判决犯有行贿罪记录等违反廉政规定的，甲方书面提请水务行政主管部门处理。</w:t>
      </w:r>
    </w:p>
    <w:p>
      <w:pPr>
        <w:tabs>
          <w:tab w:val="left" w:pos="7513"/>
        </w:tabs>
        <w:spacing w:beforeLines="30" w:line="540" w:lineRule="exact"/>
        <w:ind w:firstLine="477" w:firstLineChars="19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五、责任书有效期</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（一）本责任书作为主合同组成部分，与主合同具有同等法律效力。经双方签署后立即生效。</w:t>
      </w:r>
    </w:p>
    <w:p>
      <w:pPr>
        <w:spacing w:line="540" w:lineRule="exact"/>
        <w:ind w:firstLine="352" w:firstLineChars="14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（二）本责任书的有效期为合同生效之日起至主合同履约结束时止。</w:t>
      </w:r>
    </w:p>
    <w:p>
      <w:pPr>
        <w:spacing w:line="560" w:lineRule="exact"/>
        <w:rPr>
          <w:rFonts w:hint="eastAsia" w:ascii="仿宋_GB2312" w:hAnsi="仿宋_GB2312" w:eastAsia="仿宋_GB2312" w:cs="仿宋_GB2312"/>
          <w:color w:val="auto"/>
          <w:sz w:val="24"/>
          <w:szCs w:val="24"/>
          <w:highlight w:val="none"/>
        </w:rPr>
      </w:pPr>
    </w:p>
    <w:p>
      <w:pPr>
        <w:spacing w:line="5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bl>
      <w:tblPr>
        <w:tblStyle w:val="25"/>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0"/>
        <w:gridCol w:w="4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70" w:type="dxa"/>
          </w:tcPr>
          <w:p>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甲方单位：（盖章）</w:t>
            </w:r>
          </w:p>
        </w:tc>
        <w:tc>
          <w:tcPr>
            <w:tcW w:w="4270" w:type="dxa"/>
          </w:tcPr>
          <w:p>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乙方单位：（盖章）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4270" w:type="dxa"/>
          </w:tcPr>
          <w:p>
            <w:pPr>
              <w:spacing w:line="560" w:lineRule="exact"/>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甲方监督单位：广州市自来水</w:t>
            </w:r>
            <w:r>
              <w:rPr>
                <w:rFonts w:hint="eastAsia" w:ascii="仿宋_GB2312" w:hAnsi="仿宋_GB2312" w:eastAsia="仿宋_GB2312" w:cs="仿宋_GB2312"/>
                <w:color w:val="auto"/>
                <w:sz w:val="24"/>
                <w:szCs w:val="24"/>
                <w:highlight w:val="none"/>
                <w:lang w:eastAsia="zh-CN"/>
              </w:rPr>
              <w:t>有限</w:t>
            </w:r>
            <w:r>
              <w:rPr>
                <w:rFonts w:hint="eastAsia" w:ascii="仿宋_GB2312" w:hAnsi="仿宋_GB2312" w:eastAsia="仿宋_GB2312" w:cs="仿宋_GB2312"/>
                <w:color w:val="auto"/>
                <w:sz w:val="24"/>
                <w:szCs w:val="24"/>
                <w:highlight w:val="none"/>
              </w:rPr>
              <w:t>公司纪检室</w:t>
            </w:r>
          </w:p>
        </w:tc>
        <w:tc>
          <w:tcPr>
            <w:tcW w:w="4270" w:type="dxa"/>
          </w:tcPr>
          <w:p>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乙方监督单位：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270" w:type="dxa"/>
          </w:tcPr>
          <w:p>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甲方监督电话：020-87159082</w:t>
            </w:r>
          </w:p>
        </w:tc>
        <w:tc>
          <w:tcPr>
            <w:tcW w:w="4270" w:type="dxa"/>
          </w:tcPr>
          <w:p>
            <w:pPr>
              <w:jc w:val="both"/>
              <w:rPr>
                <w:rFonts w:hint="eastAsia" w:ascii="仿宋_GB2312" w:hAnsi="仿宋" w:eastAsia="仿宋_GB2312" w:cs="仿宋"/>
                <w:color w:val="auto"/>
                <w:sz w:val="24"/>
                <w:szCs w:val="24"/>
                <w:highlight w:val="none"/>
                <w:vertAlign w:val="baseline"/>
              </w:rPr>
            </w:pPr>
            <w:r>
              <w:rPr>
                <w:rFonts w:hint="eastAsia" w:ascii="仿宋_GB2312" w:hAnsi="仿宋_GB2312" w:eastAsia="仿宋_GB2312" w:cs="仿宋_GB2312"/>
                <w:color w:val="auto"/>
                <w:sz w:val="24"/>
                <w:szCs w:val="24"/>
                <w:highlight w:val="none"/>
              </w:rPr>
              <w:t>乙方监督电话：</w:t>
            </w:r>
          </w:p>
        </w:tc>
      </w:tr>
    </w:tbl>
    <w:p>
      <w:pPr>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br w:type="page"/>
      </w:r>
    </w:p>
    <w:p>
      <w:pPr>
        <w:spacing w:line="50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附件3</w:t>
      </w:r>
    </w:p>
    <w:p>
      <w:pPr>
        <w:spacing w:line="500" w:lineRule="exact"/>
        <w:jc w:val="right"/>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【标准文本】合同-FW-</w:t>
      </w:r>
      <w:r>
        <w:rPr>
          <w:rFonts w:hint="eastAsia" w:ascii="仿宋_GB2312" w:hAnsi="仿宋_GB2312" w:eastAsia="仿宋_GB2312" w:cs="仿宋_GB2312"/>
          <w:color w:val="auto"/>
          <w:sz w:val="30"/>
          <w:szCs w:val="30"/>
          <w:highlight w:val="none"/>
          <w:lang w:val="en-US" w:eastAsia="zh-CN"/>
        </w:rPr>
        <w:t>202201</w:t>
      </w:r>
    </w:p>
    <w:p>
      <w:pPr>
        <w:spacing w:line="500" w:lineRule="exact"/>
        <w:jc w:val="right"/>
        <w:rPr>
          <w:rFonts w:hint="eastAsia" w:ascii="仿宋_GB2312" w:hAnsi="仿宋_GB2312" w:eastAsia="仿宋_GB2312" w:cs="仿宋_GB2312"/>
          <w:color w:val="auto"/>
          <w:sz w:val="30"/>
          <w:szCs w:val="30"/>
          <w:highlight w:val="none"/>
        </w:rPr>
      </w:pPr>
    </w:p>
    <w:p>
      <w:pPr>
        <w:spacing w:line="500" w:lineRule="exact"/>
        <w:jc w:val="center"/>
        <w:rPr>
          <w:rFonts w:ascii="宋体" w:hAnsi="宋体" w:eastAsia="仿宋_GB2312" w:cs="Times New Roman"/>
          <w:b/>
          <w:bCs/>
          <w:color w:val="auto"/>
          <w:kern w:val="0"/>
          <w:sz w:val="44"/>
          <w:szCs w:val="44"/>
          <w:highlight w:val="none"/>
        </w:rPr>
      </w:pPr>
      <w:r>
        <w:rPr>
          <w:rFonts w:hint="eastAsia" w:ascii="宋体" w:hAnsi="宋体" w:eastAsia="仿宋_GB2312" w:cs="Times New Roman"/>
          <w:b/>
          <w:bCs/>
          <w:color w:val="auto"/>
          <w:kern w:val="0"/>
          <w:sz w:val="44"/>
          <w:szCs w:val="44"/>
          <w:highlight w:val="none"/>
        </w:rPr>
        <w:t>服务安全生产协议书</w:t>
      </w:r>
    </w:p>
    <w:p>
      <w:pPr>
        <w:spacing w:line="500" w:lineRule="exact"/>
        <w:jc w:val="center"/>
        <w:rPr>
          <w:rFonts w:ascii="宋体" w:hAnsi="宋体" w:eastAsia="仿宋_GB2312" w:cs="Times New Roman"/>
          <w:b/>
          <w:bCs/>
          <w:color w:val="auto"/>
          <w:kern w:val="0"/>
          <w:sz w:val="44"/>
          <w:szCs w:val="44"/>
          <w:highlight w:val="none"/>
        </w:rPr>
      </w:pPr>
    </w:p>
    <w:p>
      <w:pPr>
        <w:spacing w:line="400" w:lineRule="exact"/>
        <w:ind w:firstLine="480" w:firstLineChars="200"/>
        <w:rPr>
          <w:rFonts w:ascii="宋体" w:hAnsi="宋体" w:eastAsia="仿宋_GB2312" w:cs="Times New Roman"/>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宋体" w:eastAsia="仿宋_GB2312" w:cs="Times New Roman"/>
          <w:b/>
          <w:color w:val="auto"/>
          <w:sz w:val="24"/>
          <w:szCs w:val="32"/>
          <w:highlight w:val="none"/>
          <w:u w:val="single"/>
          <w:lang w:val="en-US" w:eastAsia="zh-CN"/>
        </w:rPr>
      </w:pPr>
      <w:r>
        <w:rPr>
          <w:rFonts w:hint="eastAsia" w:ascii="宋体" w:hAnsi="宋体" w:eastAsia="仿宋_GB2312" w:cs="Times New Roman"/>
          <w:b/>
          <w:color w:val="auto"/>
          <w:sz w:val="24"/>
          <w:szCs w:val="32"/>
          <w:highlight w:val="none"/>
        </w:rPr>
        <w:t>发包方：</w:t>
      </w:r>
      <w:r>
        <w:rPr>
          <w:rFonts w:hint="eastAsia" w:ascii="宋体" w:hAnsi="宋体" w:eastAsia="仿宋_GB2312" w:cs="Times New Roman"/>
          <w:b/>
          <w:color w:val="auto"/>
          <w:sz w:val="24"/>
          <w:szCs w:val="32"/>
          <w:highlight w:val="none"/>
          <w:u w:val="single"/>
          <w:lang w:val="en-US" w:eastAsia="zh-CN"/>
        </w:rPr>
        <w:t xml:space="preserve">   </w:t>
      </w:r>
      <w:r>
        <w:rPr>
          <w:rFonts w:hint="eastAsia" w:ascii="宋体" w:hAnsi="宋体" w:eastAsia="仿宋_GB2312" w:cs="Times New Roman"/>
          <w:b w:val="0"/>
          <w:bCs/>
          <w:color w:val="auto"/>
          <w:sz w:val="24"/>
          <w:szCs w:val="32"/>
          <w:highlight w:val="none"/>
          <w:u w:val="single"/>
          <w:lang w:val="en-US" w:eastAsia="zh-CN"/>
        </w:rPr>
        <w:t xml:space="preserve">广州市自来水有限公司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仿宋_GB2312" w:cs="Times New Roman"/>
          <w:b/>
          <w:color w:val="auto"/>
          <w:sz w:val="24"/>
          <w:szCs w:val="32"/>
          <w:highlight w:val="none"/>
          <w:u w:val="single"/>
        </w:rPr>
      </w:pPr>
      <w:r>
        <w:rPr>
          <w:rFonts w:hint="eastAsia" w:ascii="宋体" w:hAnsi="宋体" w:eastAsia="仿宋_GB2312" w:cs="Times New Roman"/>
          <w:b/>
          <w:color w:val="auto"/>
          <w:sz w:val="24"/>
          <w:szCs w:val="32"/>
          <w:highlight w:val="none"/>
        </w:rPr>
        <w:t>承包方：</w:t>
      </w:r>
      <w:r>
        <w:rPr>
          <w:rFonts w:hint="eastAsia" w:ascii="宋体" w:hAnsi="宋体" w:eastAsia="仿宋_GB2312" w:cs="Times New Roman"/>
          <w:b/>
          <w:color w:val="auto"/>
          <w:sz w:val="24"/>
          <w:szCs w:val="32"/>
          <w:highlight w:val="none"/>
          <w:u w:val="single"/>
        </w:rPr>
        <w:t xml:space="preserve">              </w:t>
      </w:r>
      <w:r>
        <w:rPr>
          <w:rFonts w:hint="eastAsia" w:ascii="宋体" w:hAnsi="宋体" w:eastAsia="仿宋_GB2312" w:cs="Times New Roman"/>
          <w:b/>
          <w:color w:val="auto"/>
          <w:sz w:val="24"/>
          <w:szCs w:val="32"/>
          <w:highlight w:val="none"/>
          <w:u w:val="single"/>
          <w:lang w:val="en-US" w:eastAsia="zh-CN"/>
        </w:rPr>
        <w:t xml:space="preserve">       </w:t>
      </w:r>
      <w:r>
        <w:rPr>
          <w:rFonts w:hint="eastAsia" w:ascii="宋体" w:hAnsi="宋体" w:eastAsia="仿宋_GB2312" w:cs="Times New Roman"/>
          <w:b/>
          <w:color w:val="auto"/>
          <w:sz w:val="24"/>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eastAsia="仿宋_GB2312" w:cs="Times New Roman"/>
          <w:b/>
          <w:color w:val="auto"/>
          <w:sz w:val="24"/>
          <w:szCs w:val="32"/>
          <w:highlight w:val="none"/>
          <w:u w:val="single"/>
        </w:rPr>
      </w:pPr>
      <w:r>
        <w:rPr>
          <w:rFonts w:hint="eastAsia" w:ascii="宋体" w:hAnsi="宋体" w:eastAsia="仿宋_GB2312" w:cs="Times New Roman"/>
          <w:b/>
          <w:color w:val="auto"/>
          <w:sz w:val="24"/>
          <w:szCs w:val="32"/>
          <w:highlight w:val="none"/>
        </w:rPr>
        <w:t>项目名称：</w:t>
      </w:r>
      <w:r>
        <w:rPr>
          <w:rFonts w:hint="eastAsia" w:ascii="宋体" w:hAnsi="宋体" w:eastAsia="仿宋_GB2312" w:cs="Times New Roman"/>
          <w:b/>
          <w:color w:val="auto"/>
          <w:sz w:val="24"/>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为贯彻“安全第一，预防为主，综合治理”、“百年大计，质量第一”的方针，努力提高服务安全管理水平，根据《中华人民共和国安全生产法》，结合本工程具体情况，为确保该项目的实施安全，</w:t>
      </w:r>
      <w:r>
        <w:rPr>
          <w:rFonts w:ascii="宋体" w:hAnsi="宋体" w:eastAsia="仿宋_GB2312" w:cs="Times New Roman"/>
          <w:color w:val="auto"/>
          <w:sz w:val="24"/>
          <w:szCs w:val="32"/>
          <w:highlight w:val="none"/>
        </w:rPr>
        <w:t>双方协商一致，特制定本协议书。</w:t>
      </w:r>
      <w:r>
        <w:rPr>
          <w:rFonts w:hint="eastAsia" w:ascii="宋体" w:hAnsi="宋体" w:eastAsia="仿宋_GB2312" w:cs="Times New Roman"/>
          <w:color w:val="auto"/>
          <w:sz w:val="24"/>
          <w:szCs w:val="32"/>
          <w:highlight w:val="none"/>
        </w:rPr>
        <w:t xml:space="preserve"> </w:t>
      </w:r>
      <w:r>
        <w:rPr>
          <w:rFonts w:ascii="宋体" w:hAnsi="宋体" w:eastAsia="仿宋_GB2312" w:cs="Times New Roman"/>
          <w:color w:val="auto"/>
          <w:sz w:val="24"/>
          <w:szCs w:val="32"/>
          <w:highlight w:val="none"/>
        </w:rPr>
        <w:br w:type="textWrapping"/>
      </w:r>
      <w:r>
        <w:rPr>
          <w:rFonts w:hint="eastAsia" w:ascii="宋体" w:hAnsi="宋体" w:eastAsia="仿宋_GB2312" w:cs="Times New Roman"/>
          <w:color w:val="auto"/>
          <w:sz w:val="24"/>
          <w:szCs w:val="32"/>
          <w:highlight w:val="none"/>
        </w:rPr>
        <w:t xml:space="preserve">    </w:t>
      </w:r>
      <w:r>
        <w:rPr>
          <w:rFonts w:hint="eastAsia" w:ascii="黑体" w:hAnsi="黑体" w:eastAsia="黑体" w:cs="黑体"/>
          <w:color w:val="auto"/>
          <w:sz w:val="24"/>
          <w:szCs w:val="32"/>
          <w:highlight w:val="none"/>
        </w:rPr>
        <w:t>一、发包方的责任、权利和义务</w:t>
      </w:r>
      <w:r>
        <w:rPr>
          <w:rFonts w:hint="eastAsia" w:ascii="宋体" w:hAnsi="宋体" w:eastAsia="仿宋_GB2312" w:cs="黑体"/>
          <w:color w:val="auto"/>
          <w:sz w:val="24"/>
          <w:szCs w:val="32"/>
          <w:highlight w:val="none"/>
        </w:rPr>
        <w:br w:type="textWrapping"/>
      </w:r>
      <w:r>
        <w:rPr>
          <w:rFonts w:hint="eastAsia" w:ascii="宋体" w:hAnsi="宋体" w:eastAsia="仿宋_GB2312" w:cs="Times New Roman"/>
          <w:color w:val="auto"/>
          <w:sz w:val="24"/>
          <w:szCs w:val="32"/>
          <w:highlight w:val="none"/>
        </w:rPr>
        <w:t xml:space="preserve">    （一）贯彻执行国家和地方有关安全生产、文明施工、法律法规，支持和监督</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依法履行安全生产工作。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（二）定期或不定期组织检查</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安全生产、文明施工状况，提出对存在隐患的整改措施，</w:t>
      </w:r>
      <w:r>
        <w:rPr>
          <w:rFonts w:ascii="宋体" w:hAnsi="宋体" w:eastAsia="仿宋_GB2312" w:cs="Times New Roman"/>
          <w:color w:val="auto"/>
          <w:sz w:val="24"/>
          <w:szCs w:val="32"/>
          <w:highlight w:val="none"/>
        </w:rPr>
        <w:t>对存在的</w:t>
      </w:r>
      <w:r>
        <w:rPr>
          <w:rFonts w:hint="eastAsia" w:ascii="宋体" w:hAnsi="宋体" w:eastAsia="仿宋_GB2312" w:cs="Times New Roman"/>
          <w:color w:val="auto"/>
          <w:sz w:val="24"/>
          <w:szCs w:val="32"/>
          <w:highlight w:val="none"/>
        </w:rPr>
        <w:t>重大</w:t>
      </w:r>
      <w:r>
        <w:rPr>
          <w:rFonts w:ascii="宋体" w:hAnsi="宋体" w:eastAsia="仿宋_GB2312" w:cs="Times New Roman"/>
          <w:color w:val="auto"/>
          <w:sz w:val="24"/>
          <w:szCs w:val="32"/>
          <w:highlight w:val="none"/>
        </w:rPr>
        <w:t>安全隐患</w:t>
      </w:r>
      <w:r>
        <w:rPr>
          <w:rFonts w:hint="eastAsia" w:ascii="宋体" w:hAnsi="宋体" w:eastAsia="仿宋_GB2312" w:cs="Times New Roman"/>
          <w:color w:val="auto"/>
          <w:sz w:val="24"/>
          <w:szCs w:val="32"/>
          <w:highlight w:val="none"/>
        </w:rPr>
        <w:t>或</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对一般隐患</w:t>
      </w:r>
      <w:r>
        <w:rPr>
          <w:rFonts w:ascii="宋体" w:hAnsi="宋体" w:eastAsia="仿宋_GB2312" w:cs="Times New Roman"/>
          <w:color w:val="auto"/>
          <w:sz w:val="24"/>
          <w:szCs w:val="32"/>
          <w:highlight w:val="none"/>
        </w:rPr>
        <w:t>整改</w:t>
      </w:r>
      <w:r>
        <w:rPr>
          <w:rFonts w:hint="eastAsia" w:ascii="宋体" w:hAnsi="宋体" w:eastAsia="仿宋_GB2312" w:cs="Times New Roman"/>
          <w:color w:val="auto"/>
          <w:sz w:val="24"/>
          <w:szCs w:val="32"/>
          <w:highlight w:val="none"/>
        </w:rPr>
        <w:t>不力，</w:t>
      </w: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有权责令</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停工整改，直至隐患排除。</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黑体" w:hAnsi="黑体" w:eastAsia="黑体" w:cs="黑体"/>
          <w:color w:val="auto"/>
          <w:sz w:val="24"/>
          <w:szCs w:val="32"/>
          <w:highlight w:val="none"/>
        </w:rPr>
      </w:pPr>
      <w:r>
        <w:rPr>
          <w:rFonts w:hint="eastAsia" w:ascii="黑体" w:hAnsi="黑体" w:eastAsia="黑体" w:cs="黑体"/>
          <w:color w:val="auto"/>
          <w:sz w:val="24"/>
          <w:szCs w:val="32"/>
          <w:highlight w:val="none"/>
        </w:rPr>
        <w:t>二、承包方的责任、权利和义务</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承包方应当具备《安全生产法》和有关</w:t>
      </w:r>
      <w:r>
        <w:rPr>
          <w:rFonts w:ascii="Calibri" w:hAnsi="Calibri" w:eastAsia="仿宋_GB2312" w:cs="Times New Roman"/>
          <w:color w:val="auto"/>
          <w:kern w:val="0"/>
          <w:sz w:val="22"/>
          <w:szCs w:val="22"/>
          <w:highlight w:val="none"/>
          <w:lang w:eastAsia="en-US"/>
        </w:rPr>
        <w:fldChar w:fldCharType="begin"/>
      </w:r>
      <w:r>
        <w:rPr>
          <w:rFonts w:ascii="Calibri" w:hAnsi="Calibri" w:eastAsia="仿宋_GB2312" w:cs="Times New Roman"/>
          <w:color w:val="auto"/>
          <w:kern w:val="0"/>
          <w:sz w:val="22"/>
          <w:szCs w:val="22"/>
          <w:highlight w:val="none"/>
        </w:rPr>
        <w:instrText xml:space="preserve"> HYPERLINK "http://www.govyi.com/html/gongwenxiezuo/gongjianfa/Index.shtml" </w:instrText>
      </w:r>
      <w:r>
        <w:rPr>
          <w:rFonts w:ascii="Calibri" w:hAnsi="Calibri" w:eastAsia="仿宋_GB2312" w:cs="Times New Roman"/>
          <w:color w:val="auto"/>
          <w:kern w:val="0"/>
          <w:sz w:val="22"/>
          <w:szCs w:val="22"/>
          <w:highlight w:val="none"/>
          <w:lang w:eastAsia="en-US"/>
        </w:rPr>
        <w:fldChar w:fldCharType="separate"/>
      </w:r>
      <w:r>
        <w:rPr>
          <w:rFonts w:ascii="宋体" w:hAnsi="宋体" w:eastAsia="仿宋_GB2312" w:cs="Times New Roman"/>
          <w:color w:val="auto"/>
          <w:sz w:val="24"/>
          <w:szCs w:val="32"/>
          <w:highlight w:val="none"/>
        </w:rPr>
        <w:t>法律</w:t>
      </w:r>
      <w:r>
        <w:rPr>
          <w:rFonts w:ascii="宋体" w:hAnsi="宋体" w:eastAsia="仿宋_GB2312" w:cs="Times New Roman"/>
          <w:color w:val="auto"/>
          <w:sz w:val="24"/>
          <w:szCs w:val="32"/>
          <w:highlight w:val="none"/>
        </w:rPr>
        <w:fldChar w:fldCharType="end"/>
      </w:r>
      <w:r>
        <w:rPr>
          <w:rFonts w:ascii="宋体" w:hAnsi="宋体" w:eastAsia="仿宋_GB2312" w:cs="Times New Roman"/>
          <w:color w:val="auto"/>
          <w:sz w:val="24"/>
          <w:szCs w:val="32"/>
          <w:highlight w:val="none"/>
        </w:rPr>
        <w:t>、行政法规和国家标准规定的安全生产条件，不具备安全条件的不得进行施工作业。</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严格执行《</w:t>
      </w:r>
      <w:r>
        <w:rPr>
          <w:rFonts w:hint="eastAsia" w:ascii="宋体" w:hAnsi="宋体" w:eastAsia="仿宋_GB2312" w:cs="Times New Roman"/>
          <w:color w:val="auto"/>
          <w:sz w:val="24"/>
          <w:szCs w:val="32"/>
          <w:highlight w:val="none"/>
        </w:rPr>
        <w:t>国家和地方有关</w:t>
      </w:r>
      <w:r>
        <w:rPr>
          <w:rFonts w:ascii="宋体" w:hAnsi="宋体" w:eastAsia="仿宋_GB2312" w:cs="Times New Roman"/>
          <w:color w:val="auto"/>
          <w:sz w:val="24"/>
          <w:szCs w:val="32"/>
          <w:highlight w:val="none"/>
        </w:rPr>
        <w:t>安全生产、文明施工</w:t>
      </w:r>
      <w:r>
        <w:rPr>
          <w:rFonts w:hint="eastAsia" w:ascii="宋体" w:hAnsi="宋体" w:eastAsia="仿宋_GB2312" w:cs="Times New Roman"/>
          <w:color w:val="auto"/>
          <w:sz w:val="24"/>
          <w:szCs w:val="32"/>
          <w:highlight w:val="none"/>
        </w:rPr>
        <w:t>法律法规</w:t>
      </w:r>
      <w:r>
        <w:rPr>
          <w:rFonts w:ascii="宋体" w:hAnsi="宋体" w:eastAsia="仿宋_GB2312" w:cs="Times New Roman"/>
          <w:color w:val="auto"/>
          <w:sz w:val="24"/>
          <w:szCs w:val="32"/>
          <w:highlight w:val="none"/>
        </w:rPr>
        <w:t>》，并接受发包方和</w:t>
      </w:r>
      <w:r>
        <w:rPr>
          <w:rFonts w:hint="eastAsia" w:ascii="宋体" w:hAnsi="宋体" w:eastAsia="仿宋_GB2312" w:cs="Times New Roman"/>
          <w:color w:val="auto"/>
          <w:sz w:val="24"/>
          <w:szCs w:val="32"/>
          <w:highlight w:val="none"/>
        </w:rPr>
        <w:t>政府相关</w:t>
      </w:r>
      <w:r>
        <w:rPr>
          <w:rFonts w:ascii="宋体" w:hAnsi="宋体" w:eastAsia="仿宋_GB2312" w:cs="Times New Roman"/>
          <w:color w:val="auto"/>
          <w:sz w:val="24"/>
          <w:szCs w:val="32"/>
          <w:highlight w:val="none"/>
        </w:rPr>
        <w:t>部门的检查考核。</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承包方应进一步</w:t>
      </w:r>
      <w:r>
        <w:rPr>
          <w:rFonts w:ascii="宋体" w:hAnsi="宋体" w:eastAsia="仿宋_GB2312" w:cs="Times New Roman"/>
          <w:color w:val="auto"/>
          <w:sz w:val="24"/>
          <w:szCs w:val="32"/>
          <w:highlight w:val="none"/>
        </w:rPr>
        <w:t>建立、健全</w:t>
      </w:r>
      <w:r>
        <w:rPr>
          <w:rFonts w:hint="eastAsia" w:ascii="宋体" w:hAnsi="宋体" w:eastAsia="仿宋_GB2312" w:cs="Times New Roman"/>
          <w:color w:val="auto"/>
          <w:sz w:val="24"/>
          <w:szCs w:val="32"/>
          <w:highlight w:val="none"/>
        </w:rPr>
        <w:t>本工程安全生产管理架构和</w:t>
      </w:r>
      <w:r>
        <w:rPr>
          <w:rFonts w:ascii="宋体" w:hAnsi="宋体" w:eastAsia="仿宋_GB2312" w:cs="Times New Roman"/>
          <w:color w:val="auto"/>
          <w:sz w:val="24"/>
          <w:szCs w:val="32"/>
          <w:highlight w:val="none"/>
        </w:rPr>
        <w:t>安全生产责任制，制定</w:t>
      </w:r>
      <w:r>
        <w:rPr>
          <w:rFonts w:hint="eastAsia" w:ascii="宋体" w:hAnsi="宋体" w:eastAsia="仿宋_GB2312" w:cs="Times New Roman"/>
          <w:color w:val="auto"/>
          <w:sz w:val="24"/>
          <w:szCs w:val="32"/>
          <w:highlight w:val="none"/>
        </w:rPr>
        <w:t>和完善各项</w:t>
      </w:r>
      <w:r>
        <w:rPr>
          <w:rFonts w:ascii="宋体" w:hAnsi="宋体" w:eastAsia="仿宋_GB2312" w:cs="Times New Roman"/>
          <w:color w:val="auto"/>
          <w:sz w:val="24"/>
          <w:szCs w:val="32"/>
          <w:highlight w:val="none"/>
        </w:rPr>
        <w:t>安全生产</w:t>
      </w:r>
      <w:r>
        <w:rPr>
          <w:rFonts w:ascii="Calibri" w:hAnsi="Calibri" w:eastAsia="仿宋_GB2312" w:cs="Times New Roman"/>
          <w:color w:val="auto"/>
          <w:kern w:val="0"/>
          <w:sz w:val="22"/>
          <w:szCs w:val="22"/>
          <w:highlight w:val="none"/>
          <w:lang w:eastAsia="en-US"/>
        </w:rPr>
        <w:fldChar w:fldCharType="begin"/>
      </w:r>
      <w:r>
        <w:rPr>
          <w:rFonts w:ascii="Calibri" w:hAnsi="Calibri" w:eastAsia="仿宋_GB2312" w:cs="Times New Roman"/>
          <w:color w:val="auto"/>
          <w:kern w:val="0"/>
          <w:sz w:val="22"/>
          <w:szCs w:val="22"/>
          <w:highlight w:val="none"/>
        </w:rPr>
        <w:instrText xml:space="preserve"> HYPERLINK "http://www.govyi.com/html/gongwenxiezuo/guanlizhidu/Index.shtml" </w:instrText>
      </w:r>
      <w:r>
        <w:rPr>
          <w:rFonts w:ascii="Calibri" w:hAnsi="Calibri" w:eastAsia="仿宋_GB2312" w:cs="Times New Roman"/>
          <w:color w:val="auto"/>
          <w:kern w:val="0"/>
          <w:sz w:val="22"/>
          <w:szCs w:val="22"/>
          <w:highlight w:val="none"/>
          <w:lang w:eastAsia="en-US"/>
        </w:rPr>
        <w:fldChar w:fldCharType="separate"/>
      </w:r>
      <w:r>
        <w:rPr>
          <w:rFonts w:ascii="宋体" w:hAnsi="宋体" w:eastAsia="仿宋_GB2312" w:cs="Times New Roman"/>
          <w:color w:val="auto"/>
          <w:sz w:val="24"/>
          <w:szCs w:val="32"/>
          <w:highlight w:val="none"/>
        </w:rPr>
        <w:t>规章</w:t>
      </w:r>
      <w:r>
        <w:rPr>
          <w:rFonts w:ascii="宋体" w:hAnsi="宋体" w:eastAsia="仿宋_GB2312" w:cs="Times New Roman"/>
          <w:color w:val="auto"/>
          <w:sz w:val="24"/>
          <w:szCs w:val="32"/>
          <w:highlight w:val="none"/>
        </w:rPr>
        <w:fldChar w:fldCharType="end"/>
      </w:r>
      <w:r>
        <w:rPr>
          <w:rFonts w:ascii="Calibri" w:hAnsi="Calibri" w:eastAsia="仿宋_GB2312" w:cs="Times New Roman"/>
          <w:color w:val="auto"/>
          <w:kern w:val="0"/>
          <w:sz w:val="22"/>
          <w:szCs w:val="22"/>
          <w:highlight w:val="none"/>
          <w:lang w:eastAsia="en-US"/>
        </w:rPr>
        <w:fldChar w:fldCharType="begin"/>
      </w:r>
      <w:r>
        <w:rPr>
          <w:rFonts w:ascii="Calibri" w:hAnsi="Calibri" w:eastAsia="仿宋_GB2312" w:cs="Times New Roman"/>
          <w:color w:val="auto"/>
          <w:kern w:val="0"/>
          <w:sz w:val="22"/>
          <w:szCs w:val="22"/>
          <w:highlight w:val="none"/>
        </w:rPr>
        <w:instrText xml:space="preserve"> HYPERLINK "http://www.govyi.com/html/gongwenxiezuo/guanlizhidu/Index.shtml" </w:instrText>
      </w:r>
      <w:r>
        <w:rPr>
          <w:rFonts w:ascii="Calibri" w:hAnsi="Calibri" w:eastAsia="仿宋_GB2312" w:cs="Times New Roman"/>
          <w:color w:val="auto"/>
          <w:kern w:val="0"/>
          <w:sz w:val="22"/>
          <w:szCs w:val="22"/>
          <w:highlight w:val="none"/>
          <w:lang w:eastAsia="en-US"/>
        </w:rPr>
        <w:fldChar w:fldCharType="separate"/>
      </w:r>
      <w:r>
        <w:rPr>
          <w:rFonts w:ascii="宋体" w:hAnsi="宋体" w:eastAsia="仿宋_GB2312" w:cs="Times New Roman"/>
          <w:color w:val="auto"/>
          <w:sz w:val="24"/>
          <w:szCs w:val="32"/>
          <w:highlight w:val="none"/>
        </w:rPr>
        <w:t>制度</w:t>
      </w:r>
      <w:r>
        <w:rPr>
          <w:rFonts w:ascii="宋体" w:hAnsi="宋体" w:eastAsia="仿宋_GB2312" w:cs="Times New Roman"/>
          <w:color w:val="auto"/>
          <w:sz w:val="24"/>
          <w:szCs w:val="32"/>
          <w:highlight w:val="none"/>
        </w:rPr>
        <w:fldChar w:fldCharType="end"/>
      </w:r>
      <w:r>
        <w:rPr>
          <w:rFonts w:ascii="宋体" w:hAnsi="宋体" w:eastAsia="仿宋_GB2312" w:cs="Times New Roman"/>
          <w:color w:val="auto"/>
          <w:sz w:val="24"/>
          <w:szCs w:val="32"/>
          <w:highlight w:val="none"/>
        </w:rPr>
        <w:t>和操作规程</w:t>
      </w:r>
      <w:r>
        <w:rPr>
          <w:rFonts w:hint="eastAsia" w:ascii="宋体" w:hAnsi="宋体" w:eastAsia="仿宋_GB2312" w:cs="Times New Roman"/>
          <w:color w:val="auto"/>
          <w:sz w:val="24"/>
          <w:szCs w:val="32"/>
          <w:highlight w:val="none"/>
        </w:rPr>
        <w:t>，落实施工安全责任</w:t>
      </w:r>
      <w:r>
        <w:rPr>
          <w:rFonts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应当按照《安全生产法》规定建立安全风险分级管控制度，针对所承建工程可能发生的生产安全事故的特点和危害，自行组织或委托第三方服务机构、专家进行风险评估，全面开展危险源辨识和风险评价，落实安全风险管控措施，做好安全风险管控各项工作；建立健全并落实生产安全事故隐患排查治理制度，采取技术、管理措施，及时发现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发包方或第三方安全监督机构将全面排查安全隐患，</w:t>
      </w:r>
      <w:r>
        <w:rPr>
          <w:rFonts w:ascii="宋体" w:hAnsi="宋体" w:eastAsia="仿宋_GB2312" w:cs="Times New Roman"/>
          <w:color w:val="auto"/>
          <w:sz w:val="24"/>
          <w:szCs w:val="32"/>
          <w:highlight w:val="none"/>
        </w:rPr>
        <w:t>督促、检查本</w:t>
      </w:r>
      <w:r>
        <w:rPr>
          <w:rFonts w:hint="eastAsia" w:ascii="宋体" w:hAnsi="宋体" w:eastAsia="仿宋_GB2312" w:cs="Times New Roman"/>
          <w:color w:val="auto"/>
          <w:sz w:val="24"/>
          <w:szCs w:val="32"/>
          <w:highlight w:val="none"/>
        </w:rPr>
        <w:t>工程</w:t>
      </w:r>
      <w:r>
        <w:rPr>
          <w:rFonts w:ascii="宋体" w:hAnsi="宋体" w:eastAsia="仿宋_GB2312" w:cs="Times New Roman"/>
          <w:color w:val="auto"/>
          <w:sz w:val="24"/>
          <w:szCs w:val="32"/>
          <w:highlight w:val="none"/>
        </w:rPr>
        <w:t>的安全生产工作，</w:t>
      </w:r>
      <w:r>
        <w:rPr>
          <w:rFonts w:hint="eastAsia" w:ascii="宋体" w:hAnsi="宋体" w:eastAsia="仿宋_GB2312" w:cs="Times New Roman"/>
          <w:color w:val="auto"/>
          <w:sz w:val="24"/>
          <w:szCs w:val="32"/>
          <w:highlight w:val="none"/>
        </w:rPr>
        <w:t>检查时发现的隐患问题，承包方必须在规定的时限内整改完毕，无条件服从发包方或第三方安全监督机构的整改指令，对于隐患整改不及时，现场管理未到位或反复出现同性质的整改问题的，发包方将严格按合同约定进行违约处罚，同时报送行政主管部门进行通报批评和诚信扣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承包方必须建立和健全事故应急救援机制，根据本工程项目特点，制定事故应急救援预案并开展演练，告知从业人员和相关人员在紧急情况下应当采取的应急措施。</w:t>
      </w:r>
      <w:r>
        <w:rPr>
          <w:rFonts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保证对具备安全生产条件所必需资金的投入，并对由于安全生产所必须的资金投入不足</w:t>
      </w:r>
      <w:r>
        <w:rPr>
          <w:rFonts w:hint="eastAsia" w:ascii="宋体" w:hAnsi="宋体" w:eastAsia="仿宋_GB2312" w:cs="Times New Roman"/>
          <w:color w:val="auto"/>
          <w:sz w:val="24"/>
          <w:szCs w:val="32"/>
          <w:highlight w:val="none"/>
        </w:rPr>
        <w:t>而</w:t>
      </w:r>
      <w:r>
        <w:rPr>
          <w:rFonts w:ascii="宋体" w:hAnsi="宋体" w:eastAsia="仿宋_GB2312" w:cs="Times New Roman"/>
          <w:color w:val="auto"/>
          <w:sz w:val="24"/>
          <w:szCs w:val="32"/>
          <w:highlight w:val="none"/>
        </w:rPr>
        <w:t>导致的后果承担</w:t>
      </w:r>
      <w:r>
        <w:rPr>
          <w:rFonts w:hint="eastAsia" w:ascii="宋体" w:hAnsi="宋体" w:eastAsia="仿宋_GB2312" w:cs="Times New Roman"/>
          <w:color w:val="auto"/>
          <w:sz w:val="24"/>
          <w:szCs w:val="32"/>
          <w:highlight w:val="none"/>
        </w:rPr>
        <w:t>全部</w:t>
      </w:r>
      <w:r>
        <w:rPr>
          <w:rFonts w:ascii="宋体" w:hAnsi="宋体" w:eastAsia="仿宋_GB2312" w:cs="Times New Roman"/>
          <w:color w:val="auto"/>
          <w:sz w:val="24"/>
          <w:szCs w:val="32"/>
          <w:highlight w:val="none"/>
        </w:rPr>
        <w:t>责任。</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承包方按照国家规定配备专职或兼职的安全管理人员。</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jc w:val="left"/>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承包方主要负责人和安全生产管理人员必须具备与本</w:t>
      </w:r>
      <w:r>
        <w:rPr>
          <w:rFonts w:hint="eastAsia" w:ascii="宋体" w:hAnsi="宋体" w:eastAsia="仿宋_GB2312" w:cs="Times New Roman"/>
          <w:color w:val="auto"/>
          <w:sz w:val="24"/>
          <w:szCs w:val="32"/>
          <w:highlight w:val="none"/>
        </w:rPr>
        <w:t>工程项目</w:t>
      </w:r>
      <w:r>
        <w:rPr>
          <w:rFonts w:ascii="宋体" w:hAnsi="宋体" w:eastAsia="仿宋_GB2312" w:cs="Times New Roman"/>
          <w:color w:val="auto"/>
          <w:sz w:val="24"/>
          <w:szCs w:val="32"/>
          <w:highlight w:val="none"/>
        </w:rPr>
        <w:t>相适应的安全生产知识和管理能力，并</w:t>
      </w:r>
      <w:r>
        <w:rPr>
          <w:rFonts w:hint="eastAsia" w:ascii="宋体" w:hAnsi="宋体" w:eastAsia="仿宋_GB2312" w:cs="Times New Roman"/>
          <w:color w:val="auto"/>
          <w:sz w:val="24"/>
          <w:szCs w:val="32"/>
          <w:highlight w:val="none"/>
        </w:rPr>
        <w:t>经专门培训</w:t>
      </w:r>
      <w:r>
        <w:rPr>
          <w:rFonts w:ascii="宋体" w:hAnsi="宋体" w:eastAsia="仿宋_GB2312" w:cs="Times New Roman"/>
          <w:color w:val="auto"/>
          <w:sz w:val="24"/>
          <w:szCs w:val="32"/>
          <w:highlight w:val="none"/>
        </w:rPr>
        <w:t>考核合格后方可</w:t>
      </w:r>
      <w:r>
        <w:rPr>
          <w:rFonts w:hint="eastAsia" w:ascii="宋体" w:hAnsi="宋体" w:eastAsia="仿宋_GB2312" w:cs="Times New Roman"/>
          <w:color w:val="auto"/>
          <w:sz w:val="24"/>
          <w:szCs w:val="32"/>
          <w:highlight w:val="none"/>
        </w:rPr>
        <w:t>上岗</w:t>
      </w:r>
      <w:r>
        <w:rPr>
          <w:rFonts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根据《安全生产法》的规定，</w:t>
      </w:r>
      <w:r>
        <w:rPr>
          <w:rFonts w:hint="eastAsia" w:ascii="宋体" w:hAnsi="宋体" w:eastAsia="仿宋_GB2312" w:cs="Times New Roman"/>
          <w:color w:val="auto"/>
          <w:sz w:val="24"/>
          <w:szCs w:val="32"/>
          <w:highlight w:val="none"/>
        </w:rPr>
        <w:t>承包方务必加大从业人员的安全教育，确保全体施工人员均参加安全教育培训，</w:t>
      </w:r>
      <w:r>
        <w:rPr>
          <w:rFonts w:ascii="宋体" w:hAnsi="宋体" w:eastAsia="仿宋_GB2312" w:cs="Times New Roman"/>
          <w:color w:val="auto"/>
          <w:sz w:val="24"/>
          <w:szCs w:val="32"/>
          <w:highlight w:val="none"/>
        </w:rPr>
        <w:t>保证从业人员具备安全生产知识，熟悉安全生产规章制度和安全操作规程，掌握本岗位的安全操作技能，未经安全生产教育培训合格的人员不得上岗作业。</w:t>
      </w:r>
      <w:r>
        <w:rPr>
          <w:rFonts w:hint="eastAsia" w:ascii="宋体" w:hAnsi="宋体" w:eastAsia="仿宋_GB2312" w:cs="Times New Roman"/>
          <w:color w:val="auto"/>
          <w:sz w:val="24"/>
          <w:szCs w:val="32"/>
          <w:highlight w:val="none"/>
        </w:rPr>
        <w:t>培训时承包方应通知发包方到场指导、见证，培训结束后2个工作日内，承包方应将安全教育的方案、培训时的签到表、培训现场照片等相关资料，报发包方备案。</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黑体"/>
          <w:color w:val="auto"/>
          <w:sz w:val="24"/>
          <w:szCs w:val="32"/>
          <w:highlight w:val="none"/>
        </w:rPr>
        <w:t>特种作业人员必须按照国家有关规定经专门的安全作业培训，取得相应资格，方可上岗作业。特种作业人员的范围由国务院应急管理部门会同国务院有关部门确定，特种作业大致包括：电工作业、焊接与热切割作业、高处作业、制冷与空调作业、危险化学品安全作业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黑体"/>
          <w:color w:val="auto"/>
          <w:sz w:val="24"/>
          <w:szCs w:val="32"/>
          <w:highlight w:val="none"/>
          <w:lang w:val="en-US" w:eastAsia="zh-CN"/>
        </w:rPr>
        <w:t>承包方进行爆破、吊装、动火、临时用电、有限空间作业以及国务院应急管理部门会同国务院有关部门规定的其他危险作业，应当安排专门人员进行现场安全管理，确保操作规程的遵守和安全措施的落实。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黑体"/>
          <w:color w:val="auto"/>
          <w:sz w:val="24"/>
          <w:szCs w:val="32"/>
          <w:highlight w:val="none"/>
          <w:lang w:val="en-US" w:eastAsia="zh-CN"/>
        </w:rPr>
        <w:t>承包方</w:t>
      </w:r>
      <w:r>
        <w:rPr>
          <w:rFonts w:hint="eastAsia" w:ascii="宋体" w:hAnsi="宋体" w:eastAsia="仿宋_GB2312" w:cs="黑体"/>
          <w:color w:val="auto"/>
          <w:sz w:val="24"/>
          <w:szCs w:val="32"/>
          <w:highlight w:val="none"/>
        </w:rPr>
        <w:t>按照国家有关规定配备特种设备安全管理人员和作业人员，并对其进行必要的安全教育和技能培训。</w:t>
      </w:r>
      <w:r>
        <w:rPr>
          <w:rFonts w:hint="eastAsia" w:ascii="宋体" w:hAnsi="宋体" w:eastAsia="仿宋_GB2312" w:cs="黑体"/>
          <w:color w:val="auto"/>
          <w:sz w:val="24"/>
          <w:szCs w:val="32"/>
          <w:highlight w:val="none"/>
          <w:lang w:val="en-US" w:eastAsia="zh-CN"/>
        </w:rPr>
        <w:t>承包方需提供特种作业人员花名册、操作证复印件和培训记录。</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施工人员进场作业时，承包方应对其进行安全教育培训及安全技术交底，没有进行安全教育或进场施工人员与安全交底时签署的人员姓名不一致时，一律禁止该作业人员进场施工。</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发包方有权不定期监督或检查现场施工人员的安全教育培训情况，对现场施工人员进行安全保护知识、岗位技能知识的抽查。如发现现场施工人员</w:t>
      </w:r>
      <w:r>
        <w:rPr>
          <w:rFonts w:hint="eastAsia" w:ascii="宋体" w:hAnsi="宋体" w:eastAsia="仿宋_GB2312" w:cs="黑体"/>
          <w:color w:val="auto"/>
          <w:sz w:val="24"/>
          <w:szCs w:val="32"/>
          <w:highlight w:val="none"/>
          <w:lang w:eastAsia="zh-CN"/>
        </w:rPr>
        <w:t>未经安全教育培训或安全教育培训不合格</w:t>
      </w:r>
      <w:r>
        <w:rPr>
          <w:rFonts w:hint="eastAsia" w:ascii="宋体" w:hAnsi="宋体" w:eastAsia="仿宋_GB2312" w:cs="Times New Roman"/>
          <w:color w:val="auto"/>
          <w:sz w:val="24"/>
          <w:szCs w:val="32"/>
          <w:highlight w:val="none"/>
        </w:rPr>
        <w:t>，将责令承包方在2个工作日内再次组织现场施工人员进行安全教育培训。</w:t>
      </w:r>
      <w:r>
        <w:rPr>
          <w:rFonts w:ascii="宋体" w:hAnsi="宋体" w:eastAsia="仿宋_GB2312" w:cs="Times New Roman"/>
          <w:color w:val="auto"/>
          <w:sz w:val="24"/>
          <w:szCs w:val="32"/>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对有较大危险因素的作业场所和有关设施、设备要设置明显的安全警示标志</w:t>
      </w:r>
      <w:r>
        <w:rPr>
          <w:rFonts w:hint="eastAsia" w:ascii="宋体" w:hAnsi="宋体" w:eastAsia="仿宋_GB2312" w:cs="Times New Roman"/>
          <w:color w:val="auto"/>
          <w:sz w:val="24"/>
          <w:szCs w:val="32"/>
          <w:highlight w:val="none"/>
        </w:rPr>
        <w:t>及其相应的安全防护措施</w:t>
      </w:r>
      <w:r>
        <w:rPr>
          <w:rFonts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应对员工配备相应劳动防护用品，施工负责人和安全检查员应随时检查劳动防护用品的穿戴情况，不按规定穿戴防护用品的人员不得上岗。</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或</w:t>
      </w:r>
      <w:r>
        <w:rPr>
          <w:rFonts w:ascii="宋体" w:hAnsi="宋体" w:eastAsia="仿宋_GB2312" w:cs="Times New Roman"/>
          <w:color w:val="auto"/>
          <w:sz w:val="24"/>
          <w:szCs w:val="32"/>
          <w:highlight w:val="none"/>
        </w:rPr>
        <w:t>安全生产监督</w:t>
      </w:r>
      <w:r>
        <w:rPr>
          <w:rFonts w:hint="eastAsia" w:ascii="宋体" w:hAnsi="宋体" w:eastAsia="仿宋_GB2312" w:cs="Times New Roman"/>
          <w:color w:val="auto"/>
          <w:sz w:val="24"/>
          <w:szCs w:val="32"/>
          <w:highlight w:val="none"/>
        </w:rPr>
        <w:t>管理部门</w:t>
      </w:r>
      <w:r>
        <w:rPr>
          <w:rFonts w:ascii="宋体" w:hAnsi="宋体" w:eastAsia="仿宋_GB2312" w:cs="Times New Roman"/>
          <w:color w:val="auto"/>
          <w:sz w:val="24"/>
          <w:szCs w:val="32"/>
          <w:highlight w:val="none"/>
        </w:rPr>
        <w:t>进行安全监督检查时，承包方要主动接受检查，并积极配合，不得拒绝</w:t>
      </w:r>
      <w:r>
        <w:rPr>
          <w:rFonts w:hint="eastAsia" w:ascii="宋体" w:hAnsi="宋体" w:eastAsia="仿宋_GB2312" w:cs="Times New Roman"/>
          <w:color w:val="auto"/>
          <w:sz w:val="24"/>
          <w:szCs w:val="32"/>
          <w:highlight w:val="none"/>
        </w:rPr>
        <w:t>、</w:t>
      </w:r>
      <w:r>
        <w:rPr>
          <w:rFonts w:ascii="宋体" w:hAnsi="宋体" w:eastAsia="仿宋_GB2312" w:cs="Times New Roman"/>
          <w:color w:val="auto"/>
          <w:sz w:val="24"/>
          <w:szCs w:val="32"/>
          <w:highlight w:val="none"/>
        </w:rPr>
        <w:t>阻挠和拖延，并在检查记录上签字</w:t>
      </w:r>
      <w:r>
        <w:rPr>
          <w:rFonts w:hint="eastAsia" w:ascii="宋体" w:hAnsi="宋体" w:eastAsia="仿宋_GB2312" w:cs="Times New Roman"/>
          <w:color w:val="auto"/>
          <w:sz w:val="24"/>
          <w:szCs w:val="32"/>
          <w:highlight w:val="none"/>
        </w:rPr>
        <w:t>确认</w:t>
      </w:r>
      <w:r>
        <w:rPr>
          <w:rFonts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定期</w:t>
      </w:r>
      <w:r>
        <w:rPr>
          <w:rFonts w:ascii="宋体" w:hAnsi="宋体" w:eastAsia="仿宋_GB2312" w:cs="Times New Roman"/>
          <w:color w:val="auto"/>
          <w:sz w:val="24"/>
          <w:szCs w:val="32"/>
          <w:highlight w:val="none"/>
        </w:rPr>
        <w:t>召开一次安全文明生产会议，自查自纠不安全因素及隐患，保证工程顺利进行，会议记录上报发包方备案。</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用电必须符合《施工现场临时用电安全技术规范》的要求。</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工程安全管理架构、审核(或专家评审)通过后施工方案、事故应急抢险预案等资料要工程施工前报</w:t>
      </w:r>
      <w:r>
        <w:rPr>
          <w:rFonts w:ascii="宋体" w:hAnsi="宋体" w:eastAsia="仿宋_GB2312" w:cs="Times New Roman"/>
          <w:color w:val="auto"/>
          <w:sz w:val="24"/>
          <w:szCs w:val="32"/>
          <w:highlight w:val="none"/>
        </w:rPr>
        <w:t>发包方备案</w:t>
      </w:r>
      <w:r>
        <w:rPr>
          <w:rFonts w:hint="eastAsia"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作业人员要严格遵守</w:t>
      </w: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出入生产场所的管理规定，未经许可，严禁闯入。</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实施过程中遇不明的地下设施时，必须报</w:t>
      </w:r>
      <w:r>
        <w:rPr>
          <w:rFonts w:ascii="宋体" w:hAnsi="宋体" w:eastAsia="仿宋_GB2312" w:cs="Times New Roman"/>
          <w:color w:val="auto"/>
          <w:sz w:val="24"/>
          <w:szCs w:val="32"/>
          <w:highlight w:val="none"/>
        </w:rPr>
        <w:t>发包方</w:t>
      </w:r>
      <w:r>
        <w:rPr>
          <w:rFonts w:hint="eastAsia" w:ascii="宋体" w:hAnsi="宋体" w:eastAsia="仿宋_GB2312" w:cs="Times New Roman"/>
          <w:color w:val="auto"/>
          <w:sz w:val="24"/>
          <w:szCs w:val="32"/>
          <w:highlight w:val="none"/>
        </w:rPr>
        <w:t>人员鉴别后，才能继续施工。</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在实施过程</w:t>
      </w:r>
      <w:r>
        <w:rPr>
          <w:rFonts w:ascii="宋体" w:hAnsi="宋体" w:eastAsia="仿宋_GB2312" w:cs="Times New Roman"/>
          <w:color w:val="auto"/>
          <w:sz w:val="24"/>
          <w:szCs w:val="32"/>
          <w:highlight w:val="none"/>
        </w:rPr>
        <w:t>中</w:t>
      </w:r>
      <w:r>
        <w:rPr>
          <w:rFonts w:hint="eastAsia" w:ascii="宋体" w:hAnsi="宋体" w:eastAsia="仿宋_GB2312" w:cs="Times New Roman"/>
          <w:color w:val="auto"/>
          <w:sz w:val="24"/>
          <w:szCs w:val="32"/>
          <w:highlight w:val="none"/>
        </w:rPr>
        <w:t>，对</w:t>
      </w:r>
      <w:r>
        <w:rPr>
          <w:rFonts w:ascii="宋体" w:hAnsi="宋体" w:eastAsia="仿宋_GB2312" w:cs="Times New Roman"/>
          <w:color w:val="auto"/>
          <w:sz w:val="24"/>
          <w:szCs w:val="32"/>
          <w:highlight w:val="none"/>
        </w:rPr>
        <w:t>检查出的违法、违规、违章行为，</w:t>
      </w:r>
      <w:r>
        <w:rPr>
          <w:rFonts w:hint="eastAsia" w:ascii="宋体" w:hAnsi="宋体" w:eastAsia="仿宋_GB2312" w:cs="Times New Roman"/>
          <w:color w:val="auto"/>
          <w:sz w:val="24"/>
          <w:szCs w:val="32"/>
          <w:highlight w:val="none"/>
        </w:rPr>
        <w:t>将</w:t>
      </w:r>
      <w:r>
        <w:rPr>
          <w:rFonts w:ascii="宋体" w:hAnsi="宋体" w:eastAsia="仿宋_GB2312" w:cs="Times New Roman"/>
          <w:color w:val="auto"/>
          <w:sz w:val="24"/>
          <w:szCs w:val="32"/>
          <w:highlight w:val="none"/>
        </w:rPr>
        <w:t>按</w:t>
      </w:r>
      <w:r>
        <w:rPr>
          <w:rFonts w:hint="eastAsia" w:ascii="宋体" w:hAnsi="宋体" w:eastAsia="仿宋_GB2312" w:cs="Times New Roman"/>
          <w:color w:val="auto"/>
          <w:sz w:val="24"/>
          <w:szCs w:val="32"/>
          <w:highlight w:val="none"/>
        </w:rPr>
        <w:t>合同相关条款扣罚</w:t>
      </w:r>
      <w:r>
        <w:rPr>
          <w:rFonts w:ascii="宋体" w:hAnsi="宋体" w:eastAsia="仿宋_GB2312" w:cs="Times New Roman"/>
          <w:color w:val="auto"/>
          <w:sz w:val="24"/>
          <w:szCs w:val="32"/>
          <w:highlight w:val="none"/>
        </w:rPr>
        <w:t>违约责任金，承包方</w:t>
      </w:r>
      <w:r>
        <w:rPr>
          <w:rFonts w:hint="eastAsia" w:ascii="宋体" w:hAnsi="宋体" w:eastAsia="仿宋_GB2312" w:cs="Times New Roman"/>
          <w:color w:val="auto"/>
          <w:sz w:val="24"/>
          <w:szCs w:val="32"/>
          <w:highlight w:val="none"/>
        </w:rPr>
        <w:t>承担因</w:t>
      </w:r>
      <w:r>
        <w:rPr>
          <w:rFonts w:ascii="宋体" w:hAnsi="宋体" w:eastAsia="仿宋_GB2312" w:cs="Times New Roman"/>
          <w:color w:val="auto"/>
          <w:sz w:val="24"/>
          <w:szCs w:val="32"/>
          <w:highlight w:val="none"/>
        </w:rPr>
        <w:t>承包方的</w:t>
      </w:r>
      <w:r>
        <w:rPr>
          <w:rFonts w:hint="eastAsia" w:ascii="宋体" w:hAnsi="宋体" w:eastAsia="仿宋_GB2312" w:cs="Times New Roman"/>
          <w:color w:val="auto"/>
          <w:sz w:val="24"/>
          <w:szCs w:val="32"/>
          <w:highlight w:val="none"/>
        </w:rPr>
        <w:t>原因</w:t>
      </w:r>
      <w:r>
        <w:rPr>
          <w:rFonts w:ascii="宋体" w:hAnsi="宋体" w:eastAsia="仿宋_GB2312" w:cs="Times New Roman"/>
          <w:color w:val="auto"/>
          <w:sz w:val="24"/>
          <w:szCs w:val="32"/>
          <w:highlight w:val="none"/>
        </w:rPr>
        <w:t>造成</w:t>
      </w:r>
      <w:r>
        <w:rPr>
          <w:rFonts w:hint="eastAsia" w:ascii="宋体" w:hAnsi="宋体" w:eastAsia="仿宋_GB2312" w:cs="Times New Roman"/>
          <w:color w:val="auto"/>
          <w:sz w:val="24"/>
          <w:szCs w:val="32"/>
          <w:highlight w:val="none"/>
        </w:rPr>
        <w:t>的法律责任和经济责任</w:t>
      </w:r>
      <w:r>
        <w:rPr>
          <w:rFonts w:ascii="宋体" w:hAnsi="宋体" w:eastAsia="仿宋_GB2312" w:cs="Times New Roman"/>
          <w:color w:val="auto"/>
          <w:sz w:val="24"/>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严格执行《生产安全事故报告和调查处理条例》。如承包方发生生产安全事故时，必须立即向发包方和政府有关部门报告，并启动事故应急救援预案，全力抢救伤员，保护事故现场。如因施救伤员必须移动现场设备、设施时，要做好记录和拍照，不得破坏事故现场；做好善后工作，积极配合相关部门做好事故调整及取证；并负责工伤统计、安全事故指标及处理费用，发包方视事故程度，提供必要的协助。</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不得将工程项目层层转包，专业分包必须具备相应的资质及安全生产条件。</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Times New Roman"/>
          <w:color w:val="auto"/>
          <w:sz w:val="24"/>
          <w:szCs w:val="32"/>
          <w:highlight w:val="none"/>
        </w:rPr>
      </w:pP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根据项目的特点，编制各项安全技术方案，完善方案审批手续，并在实施过程中严格执行。</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Times New Roman"/>
          <w:color w:val="auto"/>
          <w:sz w:val="24"/>
          <w:szCs w:val="32"/>
          <w:highlight w:val="none"/>
          <w:lang w:val="en-US" w:eastAsia="zh-CN"/>
        </w:rPr>
      </w:pPr>
      <w:r>
        <w:rPr>
          <w:rFonts w:hint="eastAsia" w:ascii="宋体" w:hAnsi="宋体" w:eastAsia="仿宋_GB2312" w:cs="Times New Roman"/>
          <w:color w:val="auto"/>
          <w:sz w:val="24"/>
          <w:szCs w:val="32"/>
          <w:highlight w:val="none"/>
          <w:lang w:val="en-US" w:eastAsia="zh-CN"/>
        </w:rPr>
        <w:t>承包方使用发包方场地内的特种设备需经过发包方同意，并在发包方特种设备管理人员的监管下使用。</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黑体"/>
          <w:color w:val="auto"/>
          <w:sz w:val="24"/>
          <w:szCs w:val="32"/>
          <w:highlight w:val="none"/>
          <w:lang w:val="en-US" w:eastAsia="zh-CN"/>
        </w:rPr>
      </w:pPr>
      <w:r>
        <w:rPr>
          <w:rFonts w:hint="eastAsia" w:ascii="宋体" w:hAnsi="宋体" w:eastAsia="仿宋_GB2312" w:cs="黑体"/>
          <w:color w:val="auto"/>
          <w:sz w:val="24"/>
          <w:szCs w:val="32"/>
          <w:highlight w:val="none"/>
        </w:rPr>
        <w:t>进</w:t>
      </w:r>
      <w:r>
        <w:rPr>
          <w:rFonts w:hint="eastAsia" w:ascii="宋体" w:hAnsi="宋体" w:eastAsia="仿宋_GB2312" w:cs="黑体"/>
          <w:color w:val="auto"/>
          <w:sz w:val="24"/>
          <w:szCs w:val="32"/>
          <w:highlight w:val="none"/>
          <w:lang w:val="en-US" w:eastAsia="zh-CN"/>
        </w:rPr>
        <w:t>场</w:t>
      </w:r>
      <w:r>
        <w:rPr>
          <w:rFonts w:hint="eastAsia" w:ascii="宋体" w:hAnsi="宋体" w:eastAsia="仿宋_GB2312" w:cs="黑体"/>
          <w:color w:val="auto"/>
          <w:sz w:val="24"/>
          <w:szCs w:val="32"/>
          <w:highlight w:val="none"/>
        </w:rPr>
        <w:t>的特种设备应当符合我国安全技术规范的要求，并经检验合格</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具有专业资质的检测、检验单位出具的安全技术检验证明，否则，不得投入使用。承包方应建立特种设备安全技术档案。安全技术档案应当包括以下内容</w:t>
      </w:r>
      <w:r>
        <w:rPr>
          <w:rFonts w:hint="eastAsia" w:ascii="仿宋" w:hAnsi="仿宋" w:eastAsia="仿宋" w:cs="仿宋"/>
          <w:color w:val="auto"/>
          <w:sz w:val="24"/>
          <w:szCs w:val="32"/>
          <w:highlight w:val="none"/>
          <w:lang w:val="en-US" w:eastAsia="zh-CN"/>
        </w:rPr>
        <w:t>：</w:t>
      </w:r>
      <w:r>
        <w:rPr>
          <w:rFonts w:hint="eastAsia" w:ascii="宋体" w:hAnsi="宋体" w:eastAsia="仿宋_GB2312" w:cs="Times New Roman"/>
          <w:color w:val="auto"/>
          <w:sz w:val="24"/>
          <w:szCs w:val="32"/>
          <w:highlight w:val="none"/>
          <w:lang w:val="en-US" w:eastAsia="zh-CN"/>
        </w:rPr>
        <w:t>1、特种设备的设计文件、产品质量合格证明、安装及使用维护保养说明、监督检验证明等相关技术资料和文件；2、特种设备的定期检验和定期自行检查记录；3、特种设备的日常使用状况记录；4、特种设备及其附属仪器仪表的维护保养记录；5、特种设备的运行故障和事</w:t>
      </w:r>
      <w:r>
        <w:rPr>
          <w:rFonts w:hint="eastAsia" w:ascii="宋体" w:hAnsi="宋体" w:eastAsia="仿宋_GB2312" w:cs="黑体"/>
          <w:color w:val="auto"/>
          <w:sz w:val="24"/>
          <w:szCs w:val="32"/>
          <w:highlight w:val="none"/>
          <w:lang w:val="en-US" w:eastAsia="zh-CN"/>
        </w:rPr>
        <w:t>故记录。</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黑体"/>
          <w:color w:val="auto"/>
          <w:sz w:val="24"/>
          <w:szCs w:val="32"/>
          <w:highlight w:val="none"/>
          <w:lang w:val="en-US" w:eastAsia="zh-CN"/>
        </w:rPr>
      </w:pPr>
      <w:r>
        <w:rPr>
          <w:rFonts w:hint="eastAsia" w:ascii="宋体" w:hAnsi="宋体" w:eastAsia="仿宋_GB2312" w:cs="黑体"/>
          <w:color w:val="auto"/>
          <w:sz w:val="24"/>
          <w:szCs w:val="32"/>
          <w:highlight w:val="none"/>
          <w:lang w:val="en-US" w:eastAsia="zh-CN"/>
        </w:rPr>
        <w:t>禁止使用国家明令淘汰和已经报废的特种设备。承包方对其使用的特种设备进行经常性维护保养和定期自行检查，并作出记录。承包方对其使用的特种设备的安全附件、安全保护装置进行定期校验、检修，并作出记录。对于达不到安全要求又不能修复的特种设备必须停用，撤离施工现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rPr>
          <w:rFonts w:hint="eastAsia" w:ascii="宋体" w:hAnsi="宋体" w:eastAsia="仿宋_GB2312" w:cs="黑体"/>
          <w:color w:val="auto"/>
          <w:sz w:val="24"/>
          <w:szCs w:val="32"/>
          <w:highlight w:val="none"/>
          <w:lang w:val="en-US" w:eastAsia="zh-CN"/>
        </w:rPr>
      </w:pPr>
      <w:r>
        <w:rPr>
          <w:rFonts w:hint="eastAsia" w:ascii="宋体" w:hAnsi="宋体" w:eastAsia="仿宋_GB2312" w:cs="黑体"/>
          <w:color w:val="auto"/>
          <w:sz w:val="24"/>
          <w:szCs w:val="32"/>
          <w:highlight w:val="none"/>
          <w:lang w:val="en-US" w:eastAsia="zh-CN"/>
        </w:rPr>
        <w:t>必须为进场人员购买工伤保险，必须向发包方提供购买工伤保险情况的材料。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sz w:val="24"/>
          <w:szCs w:val="32"/>
          <w:highlight w:val="none"/>
        </w:rPr>
      </w:pPr>
      <w:r>
        <w:rPr>
          <w:rFonts w:hint="eastAsia" w:ascii="黑体" w:hAnsi="黑体" w:eastAsia="黑体" w:cs="黑体"/>
          <w:color w:val="auto"/>
          <w:sz w:val="24"/>
          <w:szCs w:val="32"/>
          <w:highlight w:val="none"/>
        </w:rPr>
        <w:t>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（一）</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必须保证发包方免于受到或承担应由</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负责的因未按规定做好安全文明施工所引起的或与之有关的索赔、诉讼、行政处罚以及其他费用的开支；若因</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未按规定做好安全文明施工牵连发包方受到行政处罚或对发包方造成严重社会影响的，由</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承担全部的经济和法律责任。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（二）</w:t>
      </w:r>
      <w:r>
        <w:rPr>
          <w:rFonts w:hint="eastAsia" w:ascii="宋体" w:hAnsi="宋体" w:eastAsia="仿宋_GB2312" w:cs="黑体"/>
          <w:color w:val="auto"/>
          <w:sz w:val="24"/>
          <w:szCs w:val="32"/>
          <w:highlight w:val="none"/>
          <w:lang w:val="en-US" w:eastAsia="zh-CN"/>
        </w:rPr>
        <w:t>承包方出现以下情形时，发包方有权按规定进行处罚：</w:t>
      </w:r>
    </w:p>
    <w:p>
      <w:pPr>
        <w:spacing w:line="460" w:lineRule="exact"/>
        <w:ind w:firstLine="480" w:firstLineChars="200"/>
        <w:rPr>
          <w:rFonts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1.</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在上级行政主管部门组织的质量安全或文明施工检查中，被发现存在安全隐患，或施工场地被评为不合格工地，或被通报批评，或被新闻媒体曝光造成不良影响的，承包方应立即采取切实有效措施予以整改，并承担违约责任，按合同金额的</w:t>
      </w:r>
      <w:r>
        <w:rPr>
          <w:rFonts w:hint="eastAsia" w:ascii="宋体" w:hAnsi="宋体" w:eastAsia="仿宋_GB2312" w:cs="黑体"/>
          <w:color w:val="auto"/>
          <w:sz w:val="24"/>
          <w:szCs w:val="32"/>
          <w:highlight w:val="none"/>
          <w:lang w:val="en-US" w:eastAsia="zh-CN"/>
        </w:rPr>
        <w:t>6</w:t>
      </w:r>
      <w:r>
        <w:rPr>
          <w:rFonts w:hint="eastAsia" w:ascii="宋体" w:hAnsi="宋体" w:eastAsia="仿宋_GB2312" w:cs="黑体"/>
          <w:color w:val="auto"/>
          <w:sz w:val="24"/>
          <w:szCs w:val="32"/>
          <w:highlight w:val="none"/>
        </w:rPr>
        <w:t>‰/次向发包方支付违约金，由发包方在当期应付的工程进度款内直接扣除。</w:t>
      </w:r>
    </w:p>
    <w:p>
      <w:pPr>
        <w:spacing w:line="460" w:lineRule="exact"/>
        <w:ind w:firstLine="480" w:firstLineChars="200"/>
        <w:rPr>
          <w:rFonts w:hint="eastAsia"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2.</w:t>
      </w:r>
      <w:r>
        <w:rPr>
          <w:rFonts w:hint="eastAsia" w:ascii="宋体" w:hAnsi="宋体" w:eastAsia="仿宋_GB2312" w:cs="黑体"/>
          <w:color w:val="auto"/>
          <w:sz w:val="24"/>
          <w:szCs w:val="32"/>
          <w:highlight w:val="none"/>
        </w:rPr>
        <w:t>从业人员未按照使用规则正确佩戴、使用劳动防护用品，发现立即处罚，例如安全帽（100元/人.次）、安全带（200元/人.次）、防疫口罩（50元/人.次）、电工焊工绝缘手套（100元/人.次）、电工焊工绝缘鞋（200元/人.次）等。</w:t>
      </w:r>
    </w:p>
    <w:p>
      <w:pPr>
        <w:spacing w:line="460" w:lineRule="exact"/>
        <w:ind w:firstLine="480" w:firstLineChars="200"/>
        <w:rPr>
          <w:rFonts w:hint="eastAsia"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3.</w:t>
      </w:r>
      <w:r>
        <w:rPr>
          <w:rFonts w:hint="eastAsia" w:ascii="宋体" w:hAnsi="宋体" w:eastAsia="仿宋_GB2312" w:cs="黑体"/>
          <w:color w:val="auto"/>
          <w:sz w:val="24"/>
          <w:szCs w:val="32"/>
          <w:highlight w:val="none"/>
        </w:rPr>
        <w:t>承包方在建设过程中须严格按要求落实安全文明施工管理措施，若因承包方工作管理不到位造成被发包方上级管理单位（如：市水投集团、水务质监站等）在检查中发现较大问题，导致发包方被通报批评、考核扣分，相关责任人员被扣罚的，发包方可对承包方连带扣罚。</w:t>
      </w:r>
    </w:p>
    <w:p>
      <w:pPr>
        <w:spacing w:line="460" w:lineRule="exact"/>
        <w:ind w:firstLine="480" w:firstLineChars="200"/>
        <w:rPr>
          <w:rFonts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val="en-US" w:eastAsia="zh-CN"/>
        </w:rPr>
        <w:t>4.</w:t>
      </w:r>
      <w:r>
        <w:rPr>
          <w:rFonts w:hint="eastAsia" w:ascii="宋体" w:hAnsi="宋体" w:eastAsia="仿宋_GB2312" w:cs="黑体"/>
          <w:color w:val="auto"/>
          <w:sz w:val="24"/>
          <w:szCs w:val="32"/>
          <w:highlight w:val="none"/>
        </w:rPr>
        <w:t>承包方应立即采取切实有效措施予以整改，并承担违约责任，向发包方支付相应金额的处罚金，由发包方在当期应付的工程进度款内直接扣除。对</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拒不采取切实有效的措施整改的，或整改效果不明显的，或造成严重社会影响，或被检查两次（含本数）仍不合格而被通报或被曝光的，发包方有权解除部分或全部合同，并追究</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的违约赔偿责任，发包方全部解除合同后可将本工程另行发包。</w:t>
      </w:r>
    </w:p>
    <w:p>
      <w:pPr>
        <w:spacing w:line="460" w:lineRule="exact"/>
        <w:ind w:firstLine="480" w:firstLineChars="200"/>
        <w:rPr>
          <w:rFonts w:ascii="宋体" w:hAnsi="宋体" w:eastAsia="仿宋_GB2312" w:cs="黑体"/>
          <w:color w:val="auto"/>
          <w:sz w:val="24"/>
          <w:szCs w:val="32"/>
          <w:highlight w:val="none"/>
        </w:rPr>
      </w:pP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三）</w:t>
      </w:r>
      <w:r>
        <w:rPr>
          <w:rFonts w:hint="eastAsia" w:ascii="宋体" w:hAnsi="宋体" w:eastAsia="仿宋_GB2312" w:cs="黑体"/>
          <w:color w:val="auto"/>
          <w:sz w:val="24"/>
          <w:szCs w:val="32"/>
          <w:highlight w:val="none"/>
        </w:rPr>
        <w:t>发包方在日常检查中发现</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存在安全隐患、违章行为</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文明施工措施未落实</w:t>
      </w:r>
      <w:r>
        <w:rPr>
          <w:rFonts w:hint="eastAsia" w:ascii="宋体" w:hAnsi="宋体" w:eastAsia="仿宋_GB2312" w:cs="黑体"/>
          <w:color w:val="auto"/>
          <w:sz w:val="24"/>
          <w:szCs w:val="32"/>
          <w:highlight w:val="none"/>
        </w:rPr>
        <w:t>或管理不到位现象的，由发包方及时发出书面整改通知书，承包方应立即采取切实有效措施</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lang w:val="en-US" w:eastAsia="zh-CN"/>
        </w:rPr>
        <w:t>在整改期限内</w:t>
      </w:r>
      <w:r>
        <w:rPr>
          <w:rFonts w:hint="eastAsia" w:ascii="宋体" w:hAnsi="宋体" w:eastAsia="仿宋_GB2312" w:cs="黑体"/>
          <w:color w:val="auto"/>
          <w:sz w:val="24"/>
          <w:szCs w:val="32"/>
          <w:highlight w:val="none"/>
        </w:rPr>
        <w:t>予以整改，发包方复检时发现仍未整改或整改不及格的，</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除无条件进行整改外</w:t>
      </w:r>
      <w:r>
        <w:rPr>
          <w:rFonts w:hint="eastAsia" w:ascii="宋体" w:hAnsi="宋体" w:eastAsia="仿宋_GB2312" w:cs="黑体"/>
          <w:color w:val="auto"/>
          <w:sz w:val="24"/>
          <w:szCs w:val="32"/>
          <w:highlight w:val="none"/>
          <w:lang w:eastAsia="zh-CN"/>
        </w:rPr>
        <w:t>，</w:t>
      </w:r>
      <w:r>
        <w:rPr>
          <w:rFonts w:hint="eastAsia" w:ascii="宋体" w:hAnsi="宋体" w:eastAsia="仿宋_GB2312" w:cs="黑体"/>
          <w:color w:val="auto"/>
          <w:sz w:val="24"/>
          <w:szCs w:val="32"/>
          <w:highlight w:val="none"/>
        </w:rPr>
        <w:t>发包方可按实际情况给予1000元/项次的处罚，</w:t>
      </w:r>
      <w:r>
        <w:rPr>
          <w:rFonts w:hint="eastAsia" w:ascii="宋体" w:hAnsi="宋体" w:eastAsia="仿宋_GB2312" w:cs="黑体"/>
          <w:color w:val="auto"/>
          <w:sz w:val="24"/>
          <w:szCs w:val="32"/>
          <w:highlight w:val="none"/>
          <w:lang w:val="en-US" w:eastAsia="zh-CN"/>
        </w:rPr>
        <w:t>由</w:t>
      </w:r>
      <w:r>
        <w:rPr>
          <w:rFonts w:hint="eastAsia" w:ascii="宋体" w:hAnsi="宋体" w:eastAsia="仿宋_GB2312" w:cs="黑体"/>
          <w:color w:val="auto"/>
          <w:sz w:val="24"/>
          <w:szCs w:val="32"/>
          <w:highlight w:val="none"/>
        </w:rPr>
        <w:t>发包方在当期应付给</w:t>
      </w:r>
      <w:r>
        <w:rPr>
          <w:rFonts w:ascii="宋体" w:hAnsi="宋体" w:eastAsia="仿宋_GB2312" w:cs="黑体"/>
          <w:color w:val="auto"/>
          <w:sz w:val="24"/>
          <w:szCs w:val="32"/>
          <w:highlight w:val="none"/>
        </w:rPr>
        <w:t>承包方</w:t>
      </w:r>
      <w:r>
        <w:rPr>
          <w:rFonts w:hint="eastAsia" w:ascii="宋体" w:hAnsi="宋体" w:eastAsia="仿宋_GB2312" w:cs="黑体"/>
          <w:color w:val="auto"/>
          <w:sz w:val="24"/>
          <w:szCs w:val="32"/>
          <w:highlight w:val="none"/>
        </w:rPr>
        <w:t>的工程进度款内直接扣除。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（四）</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在发包方或政府行政主管部门组织的质量安全或文明施工检查中，被发现现场施工人员的安全意识薄弱或安全防护知识严重不足的，承包方须按合同金额的3‰/次向发包方支付违约金（由发包方在当期应付的工程进度款内直接扣除）外，还应采取以下整改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1.对第一次经查问，安全意识薄弱或安全防护知识严重不足的施工人员进行安全教育培训；第二次抽查时，如发现同一施工人员仍存在安全意识薄弱或安全防护知识严重不足的，应立即暂停其作业并再次进行安全教育培训；如同一施工人员被抽查3次及以上，均存在安全意识薄弱或安全防护知识严重不足的，承包方应立即将该施工人员撤离施工现场，并进行人员撤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2.对</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拒不采取切实有效的措施整改的，发包方有权解除部分或全部合同，并追究</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的违约赔偿责任，发包方全部解除合同后可将本工程另行发包。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（五）</w:t>
      </w:r>
      <w:r>
        <w:rPr>
          <w:rFonts w:ascii="宋体" w:hAnsi="宋体" w:eastAsia="仿宋_GB2312" w:cs="Times New Roman"/>
          <w:color w:val="auto"/>
          <w:sz w:val="24"/>
          <w:szCs w:val="32"/>
          <w:highlight w:val="none"/>
        </w:rPr>
        <w:t>承包方</w:t>
      </w:r>
      <w:r>
        <w:rPr>
          <w:rFonts w:hint="eastAsia" w:ascii="宋体" w:hAnsi="宋体" w:eastAsia="仿宋_GB2312" w:cs="Times New Roman"/>
          <w:color w:val="auto"/>
          <w:sz w:val="24"/>
          <w:szCs w:val="32"/>
          <w:highlight w:val="none"/>
        </w:rPr>
        <w:t>因自身原因造成</w:t>
      </w:r>
      <w:r>
        <w:rPr>
          <w:rFonts w:hint="eastAsia" w:ascii="宋体" w:hAnsi="宋体" w:eastAsia="仿宋_GB2312" w:cs="Times New Roman"/>
          <w:color w:val="auto"/>
          <w:sz w:val="24"/>
          <w:szCs w:val="32"/>
          <w:highlight w:val="none"/>
          <w:lang w:val="en-US" w:eastAsia="zh-CN"/>
        </w:rPr>
        <w:t>的</w:t>
      </w:r>
      <w:r>
        <w:rPr>
          <w:rFonts w:hint="eastAsia" w:ascii="宋体" w:hAnsi="宋体" w:eastAsia="仿宋_GB2312" w:cs="Times New Roman"/>
          <w:color w:val="auto"/>
          <w:sz w:val="24"/>
          <w:szCs w:val="32"/>
          <w:highlight w:val="none"/>
        </w:rPr>
        <w:t>安全事故（含工程质量事故），按国家规定由相关主管部门处罚，发包方视情况严重性，有权解除部分或全部合同，按合同专用条款中关于合同解除的规定执行。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四</w:t>
      </w:r>
      <w:r>
        <w:rPr>
          <w:rFonts w:ascii="宋体" w:hAnsi="宋体" w:eastAsia="仿宋_GB2312" w:cs="Times New Roman"/>
          <w:color w:val="auto"/>
          <w:sz w:val="24"/>
          <w:szCs w:val="32"/>
          <w:highlight w:val="none"/>
        </w:rPr>
        <w:t>、本协议双方签字</w:t>
      </w:r>
      <w:r>
        <w:rPr>
          <w:rFonts w:hint="eastAsia" w:ascii="宋体" w:hAnsi="宋体" w:eastAsia="仿宋_GB2312" w:cs="Times New Roman"/>
          <w:color w:val="auto"/>
          <w:sz w:val="24"/>
          <w:szCs w:val="32"/>
          <w:highlight w:val="none"/>
        </w:rPr>
        <w:t>盖章</w:t>
      </w:r>
      <w:r>
        <w:rPr>
          <w:rFonts w:ascii="宋体" w:hAnsi="宋体" w:eastAsia="仿宋_GB2312" w:cs="Times New Roman"/>
          <w:color w:val="auto"/>
          <w:sz w:val="24"/>
          <w:szCs w:val="32"/>
          <w:highlight w:val="none"/>
        </w:rPr>
        <w:t>生效，</w:t>
      </w:r>
      <w:r>
        <w:rPr>
          <w:rFonts w:hint="eastAsia" w:ascii="宋体" w:hAnsi="宋体" w:eastAsia="仿宋_GB2312" w:cs="Times New Roman"/>
          <w:color w:val="auto"/>
          <w:sz w:val="24"/>
          <w:szCs w:val="32"/>
          <w:highlight w:val="none"/>
        </w:rPr>
        <w:t>具有与施工合同同等法律效力，</w:t>
      </w:r>
      <w:r>
        <w:rPr>
          <w:rFonts w:ascii="宋体" w:hAnsi="宋体" w:eastAsia="仿宋_GB2312" w:cs="Times New Roman"/>
          <w:color w:val="auto"/>
          <w:sz w:val="24"/>
          <w:szCs w:val="32"/>
          <w:highlight w:val="none"/>
        </w:rPr>
        <w:t>工程竣工验收后失效。未尽事宜，双方协商解决。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仿宋_GB2312" w:cs="Times New Roman"/>
          <w:color w:val="auto"/>
          <w:sz w:val="24"/>
          <w:szCs w:val="32"/>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 xml:space="preserve">发包方：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仿宋_GB2312" w:cs="Times New Roman"/>
                <w:color w:val="auto"/>
                <w:sz w:val="24"/>
                <w:szCs w:val="32"/>
                <w:highlight w:val="none"/>
                <w:vertAlign w:val="baseline"/>
              </w:rPr>
            </w:pPr>
            <w:r>
              <w:rPr>
                <w:rFonts w:hint="eastAsia" w:ascii="宋体" w:hAnsi="宋体" w:eastAsia="仿宋_GB2312" w:cs="Times New Roman"/>
                <w:color w:val="auto"/>
                <w:sz w:val="24"/>
                <w:szCs w:val="32"/>
                <w:highlight w:val="none"/>
              </w:rPr>
              <w:t>（</w:t>
            </w:r>
            <w:r>
              <w:rPr>
                <w:rFonts w:hint="eastAsia" w:ascii="宋体" w:hAnsi="宋体" w:eastAsia="仿宋_GB2312" w:cs="Times New Roman"/>
                <w:color w:val="auto"/>
                <w:sz w:val="24"/>
                <w:szCs w:val="32"/>
                <w:highlight w:val="none"/>
                <w:lang w:val="en-US" w:eastAsia="zh-CN"/>
              </w:rPr>
              <w:t>盖</w:t>
            </w:r>
            <w:r>
              <w:rPr>
                <w:rFonts w:hint="eastAsia" w:ascii="宋体" w:hAnsi="宋体" w:eastAsia="仿宋_GB2312" w:cs="Times New Roman"/>
                <w:color w:val="auto"/>
                <w:sz w:val="24"/>
                <w:szCs w:val="32"/>
                <w:highlight w:val="none"/>
              </w:rPr>
              <w:t xml:space="preserve">章）   </w:t>
            </w:r>
          </w:p>
        </w:tc>
        <w:tc>
          <w:tcPr>
            <w:tcW w:w="4261" w:type="dxa"/>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仿宋_GB2312" w:cs="Times New Roman"/>
                <w:color w:val="auto"/>
                <w:sz w:val="24"/>
                <w:szCs w:val="32"/>
                <w:highlight w:val="none"/>
              </w:rPr>
            </w:pPr>
            <w:r>
              <w:rPr>
                <w:rFonts w:hint="eastAsia" w:ascii="宋体" w:hAnsi="宋体" w:eastAsia="仿宋_GB2312" w:cs="Times New Roman"/>
                <w:color w:val="auto"/>
                <w:sz w:val="24"/>
                <w:szCs w:val="32"/>
                <w:highlight w:val="none"/>
              </w:rPr>
              <w:t>承包方：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宋体" w:hAnsi="宋体" w:eastAsia="仿宋_GB2312" w:cs="Times New Roman"/>
                <w:color w:val="auto"/>
                <w:sz w:val="24"/>
                <w:szCs w:val="32"/>
                <w:highlight w:val="none"/>
                <w:vertAlign w:val="baseline"/>
              </w:rPr>
            </w:pPr>
            <w:r>
              <w:rPr>
                <w:rFonts w:hint="eastAsia" w:ascii="宋体" w:hAnsi="宋体" w:eastAsia="仿宋_GB2312" w:cs="Times New Roman"/>
                <w:color w:val="auto"/>
                <w:sz w:val="24"/>
                <w:szCs w:val="32"/>
                <w:highlight w:val="none"/>
              </w:rPr>
              <w:t>（</w:t>
            </w:r>
            <w:r>
              <w:rPr>
                <w:rFonts w:hint="eastAsia" w:ascii="宋体" w:hAnsi="宋体" w:eastAsia="仿宋_GB2312" w:cs="Times New Roman"/>
                <w:color w:val="auto"/>
                <w:sz w:val="24"/>
                <w:szCs w:val="32"/>
                <w:highlight w:val="none"/>
                <w:lang w:val="en-US" w:eastAsia="zh-CN"/>
              </w:rPr>
              <w:t>盖</w:t>
            </w:r>
            <w:r>
              <w:rPr>
                <w:rFonts w:hint="eastAsia" w:ascii="宋体" w:hAnsi="宋体" w:eastAsia="仿宋_GB2312" w:cs="Times New Roman"/>
                <w:color w:val="auto"/>
                <w:sz w:val="24"/>
                <w:szCs w:val="32"/>
                <w:highlight w:val="none"/>
              </w:rPr>
              <w:t>章）</w:t>
            </w:r>
          </w:p>
        </w:tc>
      </w:tr>
    </w:tbl>
    <w:p>
      <w:pPr>
        <w:rPr>
          <w:rFonts w:hint="default" w:eastAsia="宋体"/>
          <w:color w:val="auto"/>
          <w:highlight w:val="none"/>
          <w:lang w:val="en-US" w:eastAsia="zh-CN"/>
        </w:rPr>
      </w:pPr>
    </w:p>
    <w:p>
      <w:pPr>
        <w:pStyle w:val="14"/>
        <w:rPr>
          <w:color w:val="auto"/>
          <w:highlight w:val="none"/>
        </w:rPr>
      </w:pPr>
    </w:p>
    <w:p>
      <w:pPr>
        <w:rPr>
          <w:color w:val="auto"/>
          <w:highlight w:val="none"/>
        </w:rPr>
      </w:pPr>
      <w:r>
        <w:rPr>
          <w:color w:val="auto"/>
          <w:highlight w:val="none"/>
        </w:rPr>
        <w:br w:type="page"/>
      </w:r>
    </w:p>
    <w:p>
      <w:pPr>
        <w:spacing w:line="50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附件4</w:t>
      </w:r>
    </w:p>
    <w:p>
      <w:pPr>
        <w:pStyle w:val="2"/>
        <w:ind w:left="0" w:leftChars="0" w:firstLine="0" w:firstLineChars="0"/>
        <w:jc w:val="left"/>
        <w:rPr>
          <w:rFonts w:hint="eastAsia" w:ascii="仿宋_GB2312" w:hAnsi="仿宋_GB2312" w:eastAsia="仿宋_GB2312" w:cs="仿宋_GB2312"/>
          <w:b w:val="0"/>
          <w:bCs/>
          <w:color w:val="auto"/>
          <w:sz w:val="28"/>
          <w:szCs w:val="28"/>
          <w:highlight w:val="none"/>
          <w:lang w:val="en-US" w:eastAsia="zh-CN"/>
        </w:rPr>
      </w:pPr>
    </w:p>
    <w:p>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pPr>
        <w:spacing w:line="500" w:lineRule="exact"/>
        <w:jc w:val="left"/>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附件5</w:t>
      </w:r>
    </w:p>
    <w:p>
      <w:pPr>
        <w:spacing w:line="400" w:lineRule="exact"/>
        <w:rPr>
          <w:rFonts w:hint="eastAsia" w:ascii="宋体" w:hAnsi="宋体" w:eastAsia="宋体" w:cs="宋体"/>
          <w:b/>
          <w:bCs/>
          <w:color w:val="auto"/>
          <w:highlight w:val="none"/>
        </w:rPr>
      </w:pPr>
    </w:p>
    <w:p>
      <w:pP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br w:type="page"/>
      </w:r>
    </w:p>
    <w:p>
      <w:pPr>
        <w:rPr>
          <w:rFonts w:hint="eastAsia"/>
          <w:color w:val="auto"/>
          <w:highlight w:val="none"/>
        </w:rPr>
      </w:pPr>
    </w:p>
    <w:p>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200" w:name="bookmark161"/>
      <w:bookmarkEnd w:id="200"/>
      <w:bookmarkStart w:id="201" w:name="_Toc2872"/>
      <w:r>
        <w:rPr>
          <w:rFonts w:hint="eastAsia" w:ascii="宋体" w:hAnsi="宋体" w:eastAsia="宋体" w:cs="宋体"/>
          <w:color w:val="auto"/>
          <w:sz w:val="52"/>
          <w:szCs w:val="52"/>
          <w:highlight w:val="none"/>
        </w:rPr>
        <w:t>第二卷</w:t>
      </w:r>
      <w:bookmarkEnd w:id="201"/>
    </w:p>
    <w:p>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headerReference r:id="rId12" w:type="default"/>
          <w:footerReference r:id="rId13" w:type="default"/>
          <w:pgSz w:w="11905" w:h="16838"/>
          <w:pgMar w:top="1417" w:right="1417" w:bottom="1417" w:left="1417" w:header="992" w:footer="992" w:gutter="0"/>
          <w:lnNumType w:countBy="0" w:distance="360"/>
          <w:pgNumType w:fmt="decimal"/>
          <w:cols w:space="720" w:num="1"/>
        </w:sectPr>
      </w:pPr>
    </w:p>
    <w:p>
      <w:pPr>
        <w:pStyle w:val="6"/>
        <w:spacing w:line="360" w:lineRule="auto"/>
        <w:outlineLvl w:val="0"/>
        <w:rPr>
          <w:rFonts w:hint="eastAsia" w:ascii="宋体" w:hAnsi="宋体" w:eastAsia="宋体" w:cs="宋体"/>
          <w:color w:val="auto"/>
          <w:sz w:val="44"/>
          <w:szCs w:val="24"/>
          <w:highlight w:val="none"/>
        </w:rPr>
      </w:pPr>
      <w:bookmarkStart w:id="202" w:name="bookmark162"/>
      <w:bookmarkEnd w:id="202"/>
      <w:bookmarkStart w:id="203" w:name="_Toc23118"/>
      <w:r>
        <w:rPr>
          <w:rFonts w:hint="eastAsia" w:ascii="宋体" w:hAnsi="宋体" w:eastAsia="宋体" w:cs="宋体"/>
          <w:color w:val="auto"/>
          <w:sz w:val="44"/>
          <w:szCs w:val="24"/>
          <w:highlight w:val="none"/>
        </w:rPr>
        <w:t>第五章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委托人要求</w:t>
      </w:r>
      <w:bookmarkEnd w:id="203"/>
    </w:p>
    <w:p>
      <w:pPr>
        <w:autoSpaceDE w:val="0"/>
        <w:autoSpaceDN w:val="0"/>
        <w:adjustRightInd w:val="0"/>
        <w:spacing w:line="300" w:lineRule="auto"/>
        <w:jc w:val="both"/>
        <w:rPr>
          <w:rFonts w:hint="eastAsia" w:ascii="黑体" w:hAnsi="黑体" w:eastAsia="黑体" w:cs="黑体"/>
          <w:color w:val="auto"/>
          <w:sz w:val="32"/>
          <w:szCs w:val="32"/>
          <w:highlight w:val="none"/>
          <w:lang w:val="en-US" w:eastAsia="zh-CN"/>
        </w:rPr>
      </w:pPr>
      <w:bookmarkStart w:id="204" w:name="_Toc25658"/>
    </w:p>
    <w:p>
      <w:pPr>
        <w:pStyle w:val="47"/>
        <w:rPr>
          <w:rFonts w:hint="default" w:ascii="Times New Roman" w:hAnsi="Times New Roman" w:cs="Times New Roman"/>
          <w:color w:val="auto"/>
          <w:sz w:val="48"/>
          <w:szCs w:val="48"/>
          <w:highlight w:val="none"/>
        </w:rPr>
      </w:pPr>
    </w:p>
    <w:p>
      <w:pPr>
        <w:pStyle w:val="47"/>
        <w:rPr>
          <w:rFonts w:hint="default" w:ascii="Times New Roman" w:hAnsi="Times New Roman" w:cs="Times New Roman"/>
          <w:color w:val="auto"/>
          <w:sz w:val="48"/>
          <w:szCs w:val="48"/>
          <w:highlight w:val="none"/>
        </w:rPr>
      </w:pPr>
    </w:p>
    <w:p>
      <w:pPr>
        <w:jc w:val="center"/>
        <w:rPr>
          <w:rFonts w:hint="default" w:ascii="Times New Roman" w:hAnsi="Times New Roman" w:cs="Times New Roman"/>
          <w:color w:val="auto"/>
          <w:w w:val="80"/>
          <w:kern w:val="0"/>
          <w:sz w:val="40"/>
          <w:szCs w:val="32"/>
          <w:highlight w:val="none"/>
          <w:lang w:val="zh-CN"/>
        </w:rPr>
      </w:pPr>
      <w:r>
        <w:rPr>
          <w:rFonts w:hint="eastAsia" w:ascii="宋体" w:hAnsi="宋体" w:eastAsia="宋体" w:cs="宋体"/>
          <w:b/>
          <w:bCs/>
          <w:color w:val="auto"/>
          <w:sz w:val="52"/>
          <w:szCs w:val="52"/>
          <w:highlight w:val="none"/>
        </w:rPr>
        <w:t>2025-2027年广州市自来水有限公司厂站建设工程检测、监测服务项目技术要求</w:t>
      </w:r>
    </w:p>
    <w:p>
      <w:pPr>
        <w:jc w:val="center"/>
        <w:rPr>
          <w:rFonts w:hint="default" w:ascii="Times New Roman" w:hAnsi="Times New Roman" w:cs="Times New Roman"/>
          <w:b/>
          <w:color w:val="auto"/>
          <w:sz w:val="48"/>
          <w:szCs w:val="48"/>
          <w:highlight w:val="none"/>
        </w:rPr>
      </w:pPr>
    </w:p>
    <w:p>
      <w:pPr>
        <w:jc w:val="center"/>
        <w:rPr>
          <w:rFonts w:hint="default" w:ascii="Times New Roman" w:hAnsi="Times New Roman" w:cs="Times New Roman"/>
          <w:b/>
          <w:color w:val="auto"/>
          <w:sz w:val="48"/>
          <w:szCs w:val="48"/>
          <w:highlight w:val="none"/>
        </w:rPr>
      </w:pPr>
    </w:p>
    <w:p>
      <w:pPr>
        <w:jc w:val="center"/>
        <w:rPr>
          <w:rFonts w:hint="default" w:ascii="Times New Roman" w:hAnsi="Times New Roman" w:cs="Times New Roman"/>
          <w:b/>
          <w:color w:val="auto"/>
          <w:sz w:val="48"/>
          <w:szCs w:val="48"/>
          <w:highlight w:val="none"/>
        </w:rPr>
      </w:pPr>
    </w:p>
    <w:p>
      <w:pPr>
        <w:rPr>
          <w:rFonts w:hint="default" w:ascii="Times New Roman" w:hAnsi="Times New Roman" w:cs="Times New Roman"/>
          <w:b/>
          <w:color w:val="auto"/>
          <w:sz w:val="48"/>
          <w:szCs w:val="48"/>
          <w:highlight w:val="none"/>
        </w:rPr>
      </w:pPr>
    </w:p>
    <w:p>
      <w:pPr>
        <w:rPr>
          <w:rFonts w:hint="default" w:ascii="Times New Roman" w:hAnsi="Times New Roman" w:cs="Times New Roman"/>
          <w:b/>
          <w:color w:val="auto"/>
          <w:sz w:val="48"/>
          <w:szCs w:val="48"/>
          <w:highlight w:val="none"/>
        </w:rPr>
      </w:pPr>
    </w:p>
    <w:p>
      <w:pPr>
        <w:jc w:val="center"/>
        <w:rPr>
          <w:rFonts w:hint="default" w:ascii="Times New Roman" w:hAnsi="Times New Roman" w:cs="Times New Roman"/>
          <w:color w:val="auto"/>
          <w:kern w:val="0"/>
          <w:sz w:val="40"/>
          <w:szCs w:val="32"/>
          <w:highlight w:val="none"/>
        </w:rPr>
      </w:pPr>
    </w:p>
    <w:p>
      <w:pPr>
        <w:jc w:val="center"/>
        <w:rPr>
          <w:rFonts w:hint="default" w:ascii="Times New Roman" w:hAnsi="Times New Roman" w:cs="Times New Roman"/>
          <w:color w:val="auto"/>
          <w:kern w:val="0"/>
          <w:sz w:val="40"/>
          <w:szCs w:val="32"/>
          <w:highlight w:val="none"/>
          <w:lang w:val="zh-CN"/>
        </w:rPr>
      </w:pPr>
      <w:r>
        <w:rPr>
          <w:rFonts w:hint="default" w:ascii="Times New Roman" w:hAnsi="Times New Roman" w:cs="Times New Roman"/>
          <w:color w:val="auto"/>
          <w:kern w:val="0"/>
          <w:sz w:val="40"/>
          <w:szCs w:val="32"/>
          <w:highlight w:val="none"/>
        </w:rPr>
        <w:t>202</w:t>
      </w:r>
      <w:r>
        <w:rPr>
          <w:rFonts w:hint="eastAsia" w:ascii="Times New Roman" w:hAnsi="Times New Roman" w:cs="Times New Roman"/>
          <w:color w:val="auto"/>
          <w:kern w:val="0"/>
          <w:sz w:val="40"/>
          <w:szCs w:val="32"/>
          <w:highlight w:val="none"/>
          <w:lang w:val="en-US" w:eastAsia="zh-CN"/>
        </w:rPr>
        <w:t>5</w:t>
      </w:r>
      <w:r>
        <w:rPr>
          <w:rFonts w:hint="default" w:ascii="Times New Roman" w:hAnsi="Times New Roman" w:cs="Times New Roman"/>
          <w:color w:val="auto"/>
          <w:kern w:val="0"/>
          <w:sz w:val="40"/>
          <w:szCs w:val="32"/>
          <w:highlight w:val="none"/>
          <w:lang w:val="zh-CN"/>
        </w:rPr>
        <w:t>年</w:t>
      </w:r>
      <w:r>
        <w:rPr>
          <w:rFonts w:hint="eastAsia" w:cs="Times New Roman"/>
          <w:color w:val="auto"/>
          <w:kern w:val="0"/>
          <w:sz w:val="40"/>
          <w:szCs w:val="32"/>
          <w:highlight w:val="none"/>
          <w:lang w:val="en-US" w:eastAsia="zh-CN"/>
        </w:rPr>
        <w:t>2</w:t>
      </w:r>
      <w:r>
        <w:rPr>
          <w:rFonts w:hint="default" w:ascii="Times New Roman" w:hAnsi="Times New Roman" w:cs="Times New Roman"/>
          <w:color w:val="auto"/>
          <w:kern w:val="0"/>
          <w:sz w:val="40"/>
          <w:szCs w:val="32"/>
          <w:highlight w:val="none"/>
          <w:lang w:val="zh-CN"/>
        </w:rPr>
        <w:t>月</w:t>
      </w:r>
    </w:p>
    <w:p>
      <w:pPr>
        <w:jc w:val="center"/>
        <w:rPr>
          <w:rFonts w:hint="default" w:ascii="Times New Roman" w:hAnsi="Times New Roman" w:cs="Times New Roman"/>
          <w:b/>
          <w:color w:val="auto"/>
          <w:sz w:val="32"/>
          <w:highlight w:val="none"/>
        </w:rPr>
      </w:pPr>
    </w:p>
    <w:p>
      <w:pPr>
        <w:jc w:val="center"/>
        <w:rPr>
          <w:rFonts w:hint="default" w:ascii="Times New Roman" w:hAnsi="Times New Roman" w:cs="Times New Roman"/>
          <w:b/>
          <w:color w:val="auto"/>
          <w:sz w:val="32"/>
          <w:highlight w:val="none"/>
        </w:rPr>
        <w:sectPr>
          <w:footerReference r:id="rId15" w:type="firs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26" w:charSpace="0"/>
        </w:sectPr>
      </w:pPr>
    </w:p>
    <w:p>
      <w:pPr>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编制说明</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本招标技术要求是参考《广州市北部水厂一期工程配水管网第三方检测、监测招标技术要求》编制。</w:t>
      </w:r>
      <w:r>
        <w:rPr>
          <w:rFonts w:hint="default" w:ascii="Times New Roman" w:hAnsi="Times New Roman" w:eastAsia="宋体" w:cs="Times New Roman"/>
          <w:color w:val="auto"/>
          <w:kern w:val="0"/>
          <w:sz w:val="24"/>
          <w:szCs w:val="24"/>
          <w:highlight w:val="none"/>
          <w:lang w:val="en-US" w:eastAsia="zh-CN"/>
        </w:rPr>
        <w:t xml:space="preserve">  </w:t>
      </w:r>
    </w:p>
    <w:p>
      <w:pPr>
        <w:ind w:firstLine="480" w:firstLineChars="200"/>
        <w:jc w:val="left"/>
        <w:rPr>
          <w:rFonts w:hint="default" w:ascii="Times New Roman" w:hAnsi="Times New Roman" w:cs="Times New Roman"/>
          <w:b/>
          <w:color w:val="auto"/>
          <w:sz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26" w:charSpace="0"/>
        </w:sectPr>
      </w:pPr>
      <w:r>
        <w:rPr>
          <w:rFonts w:hint="default" w:ascii="Times New Roman" w:hAnsi="Times New Roman" w:eastAsia="宋体" w:cs="Times New Roman"/>
          <w:color w:val="auto"/>
          <w:kern w:val="0"/>
          <w:sz w:val="24"/>
          <w:szCs w:val="24"/>
          <w:highlight w:val="none"/>
        </w:rPr>
        <w:t>本技术要求的主要技术内容是：1</w:t>
      </w:r>
      <w:r>
        <w:rPr>
          <w:rFonts w:hint="default" w:ascii="Times New Roman" w:hAnsi="Times New Roman" w:eastAsia="宋体" w:cs="Times New Roman"/>
          <w:color w:val="auto"/>
          <w:kern w:val="0"/>
          <w:sz w:val="24"/>
          <w:szCs w:val="24"/>
          <w:highlight w:val="none"/>
          <w:lang w:val="en-US" w:eastAsia="zh-CN"/>
        </w:rPr>
        <w:t>基坑、高支模</w:t>
      </w:r>
      <w:r>
        <w:rPr>
          <w:rFonts w:hint="default" w:ascii="Times New Roman" w:hAnsi="Times New Roman" w:eastAsia="宋体" w:cs="Times New Roman"/>
          <w:color w:val="auto"/>
          <w:kern w:val="0"/>
          <w:sz w:val="24"/>
          <w:szCs w:val="24"/>
          <w:highlight w:val="none"/>
        </w:rPr>
        <w:t>监测技术要求；2地基基础检测技术要求；3结构实体检测技术要求；4常规材料检测技术要求。</w:t>
      </w:r>
    </w:p>
    <w:p>
      <w:pPr>
        <w:widowControl w:val="0"/>
        <w:autoSpaceDE w:val="0"/>
        <w:autoSpaceDN w:val="0"/>
        <w:bidi w:val="0"/>
        <w:adjustRightInd w:val="0"/>
        <w:ind w:left="3"/>
        <w:jc w:val="center"/>
        <w:outlineLvl w:val="0"/>
        <w:rPr>
          <w:rFonts w:hint="default" w:ascii="Times New Roman" w:hAnsi="Times New Roman" w:eastAsia="Microsoft JhengHei" w:cs="Times New Roman"/>
          <w:b w:val="0"/>
          <w:color w:val="auto"/>
          <w:sz w:val="44"/>
          <w:szCs w:val="28"/>
          <w:highlight w:val="none"/>
        </w:rPr>
      </w:pPr>
      <w:bookmarkStart w:id="205" w:name="_Toc14074"/>
      <w:bookmarkStart w:id="206" w:name="_Toc142057520"/>
      <w:r>
        <w:rPr>
          <w:rFonts w:hint="default" w:ascii="Times New Roman" w:hAnsi="Times New Roman" w:eastAsia="Microsoft JhengHei" w:cs="Times New Roman"/>
          <w:b/>
          <w:color w:val="auto"/>
          <w:sz w:val="44"/>
          <w:szCs w:val="24"/>
          <w:highlight w:val="none"/>
        </w:rPr>
        <w:t>第</w:t>
      </w:r>
      <w:r>
        <w:rPr>
          <w:rFonts w:hint="default" w:ascii="Times New Roman" w:hAnsi="Times New Roman" w:eastAsia="Microsoft JhengHei" w:cs="Times New Roman"/>
          <w:b/>
          <w:color w:val="auto"/>
          <w:sz w:val="44"/>
          <w:szCs w:val="24"/>
          <w:highlight w:val="none"/>
          <w:lang w:val="en-US" w:eastAsia="zh-CN"/>
        </w:rPr>
        <w:t xml:space="preserve">1章 </w:t>
      </w:r>
      <w:r>
        <w:rPr>
          <w:rFonts w:hint="default" w:ascii="Times New Roman" w:hAnsi="Times New Roman" w:eastAsia="Microsoft JhengHei" w:cs="Times New Roman"/>
          <w:b/>
          <w:color w:val="auto"/>
          <w:sz w:val="44"/>
          <w:szCs w:val="24"/>
          <w:highlight w:val="none"/>
        </w:rPr>
        <w:t>监测技术要求</w:t>
      </w:r>
      <w:bookmarkEnd w:id="205"/>
      <w:bookmarkEnd w:id="206"/>
    </w:p>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lang w:val="en-US" w:eastAsia="zh-CN"/>
        </w:rPr>
      </w:pPr>
      <w:bookmarkStart w:id="207" w:name="_Toc142057521"/>
      <w:bookmarkStart w:id="208" w:name="_Toc9793"/>
      <w:r>
        <w:rPr>
          <w:rFonts w:hint="default" w:ascii="Times New Roman" w:hAnsi="Times New Roman" w:eastAsia="宋体" w:cs="Times New Roman"/>
          <w:color w:val="auto"/>
          <w:sz w:val="30"/>
          <w:szCs w:val="24"/>
          <w:highlight w:val="none"/>
          <w:lang w:val="en-US" w:eastAsia="zh-CN"/>
        </w:rPr>
        <w:t>1.1</w:t>
      </w:r>
      <w:bookmarkEnd w:id="207"/>
      <w:r>
        <w:rPr>
          <w:rFonts w:hint="default" w:ascii="Times New Roman" w:hAnsi="Times New Roman" w:eastAsia="宋体" w:cs="Times New Roman"/>
          <w:color w:val="auto"/>
          <w:sz w:val="30"/>
          <w:szCs w:val="24"/>
          <w:highlight w:val="none"/>
          <w:lang w:val="en-US" w:eastAsia="zh-CN"/>
        </w:rPr>
        <w:t>基坑监测</w:t>
      </w:r>
      <w:bookmarkEnd w:id="208"/>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09" w:name="_Toc16007"/>
      <w:r>
        <w:rPr>
          <w:rFonts w:hint="default" w:ascii="Times New Roman" w:hAnsi="Times New Roman" w:eastAsia="宋体" w:cs="Times New Roman"/>
          <w:b/>
          <w:color w:val="auto"/>
          <w:sz w:val="24"/>
          <w:szCs w:val="24"/>
          <w:highlight w:val="none"/>
          <w:lang w:val="en-US" w:eastAsia="zh-CN"/>
        </w:rPr>
        <w:t>1.1.1监测内容</w:t>
      </w:r>
      <w:bookmarkEnd w:id="209"/>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基坑监测采用工程测量、工程测试两种手段相结合的方法进行，并对相关数据进行综合分析，排除外界因素和监测系统的偶然性误差，提供可靠的、科学的监测数据。监测内容包括但不限于</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具体按施工图设计要求为准</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w:t>
      </w:r>
    </w:p>
    <w:p>
      <w:pPr>
        <w:autoSpaceDE w:val="0"/>
        <w:autoSpaceDN w:val="0"/>
        <w:adjustRightInd w:val="0"/>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三级基坑及支护结构段：</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1、支护结构</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边坡</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顶部水平位移；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2、支护结构</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边坡</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顶部竖向位移；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3、地下水位；</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周边建筑物沉降</w:t>
      </w:r>
      <w:r>
        <w:rPr>
          <w:rFonts w:hint="eastAsia" w:ascii="Times New Roman" w:hAnsi="Times New Roman" w:eastAsia="宋体" w:cs="Times New Roman"/>
          <w:color w:val="auto"/>
          <w:kern w:val="0"/>
          <w:sz w:val="24"/>
          <w:szCs w:val="24"/>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周边管线沉降</w:t>
      </w:r>
      <w:r>
        <w:rPr>
          <w:rFonts w:hint="default" w:ascii="Times New Roman" w:hAnsi="Times New Roman" w:eastAsia="宋体" w:cs="Times New Roman"/>
          <w:color w:val="auto"/>
          <w:kern w:val="0"/>
          <w:sz w:val="24"/>
          <w:szCs w:val="24"/>
          <w:highlight w:val="none"/>
          <w:lang w:eastAsia="zh-CN"/>
        </w:rPr>
        <w:t>。</w:t>
      </w:r>
    </w:p>
    <w:p>
      <w:pPr>
        <w:widowControl w:val="0"/>
        <w:autoSpaceDE w:val="0"/>
        <w:autoSpaceDN w:val="0"/>
        <w:adjustRightInd w:val="0"/>
        <w:spacing w:after="120"/>
        <w:ind w:left="0" w:leftChars="0" w:firstLine="0" w:firstLineChars="0"/>
        <w:jc w:val="both"/>
        <w:rPr>
          <w:rFonts w:hint="default" w:ascii="Times New Roman" w:hAnsi="Times New Roman" w:eastAsia="宋体" w:cs="Times New Roman"/>
          <w:b/>
          <w:color w:val="auto"/>
          <w:kern w:val="2"/>
          <w:sz w:val="24"/>
          <w:szCs w:val="22"/>
          <w:highlight w:val="none"/>
          <w:lang w:val="en-US" w:eastAsia="zh-CN" w:bidi="ar-SA"/>
        </w:rPr>
      </w:pPr>
      <w:r>
        <w:rPr>
          <w:rFonts w:hint="default" w:ascii="Times New Roman" w:hAnsi="Times New Roman" w:eastAsia="宋体" w:cs="Times New Roman"/>
          <w:b/>
          <w:color w:val="auto"/>
          <w:kern w:val="2"/>
          <w:sz w:val="24"/>
          <w:szCs w:val="22"/>
          <w:highlight w:val="none"/>
          <w:lang w:val="en-US" w:eastAsia="zh-CN" w:bidi="ar-SA"/>
        </w:rPr>
        <w:t>二级基坑及支护结构段：</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1、支护结构</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边坡</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顶部水平位移；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2、支护结构</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边坡</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顶部竖向位移；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3、深层水平位移；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val="en-US" w:eastAsia="zh-CN"/>
        </w:rPr>
        <w:t>立柱沉降</w:t>
      </w:r>
      <w:r>
        <w:rPr>
          <w:rFonts w:hint="default" w:ascii="Times New Roman" w:hAnsi="Times New Roman" w:eastAsia="宋体" w:cs="Times New Roman"/>
          <w:color w:val="auto"/>
          <w:kern w:val="0"/>
          <w:sz w:val="24"/>
          <w:szCs w:val="24"/>
          <w:highlight w:val="none"/>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、支撑轴力；</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en-US" w:bidi="ar-SA"/>
        </w:rPr>
        <w:t>地下水位</w:t>
      </w:r>
      <w:r>
        <w:rPr>
          <w:rFonts w:hint="default" w:ascii="Times New Roman" w:hAnsi="Times New Roman" w:eastAsia="宋体" w:cs="Times New Roman"/>
          <w:color w:val="auto"/>
          <w:kern w:val="2"/>
          <w:sz w:val="24"/>
          <w:szCs w:val="24"/>
          <w:highlight w:val="none"/>
          <w:lang w:val="en-US" w:eastAsia="zh-CN" w:bidi="ar-SA"/>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、周边地表竖向位移</w:t>
      </w:r>
      <w:r>
        <w:rPr>
          <w:rFonts w:hint="default" w:ascii="Times New Roman" w:hAnsi="Times New Roman" w:eastAsia="宋体" w:cs="Times New Roman"/>
          <w:color w:val="auto"/>
          <w:kern w:val="0"/>
          <w:sz w:val="24"/>
          <w:szCs w:val="24"/>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、周边建筑物沉降；</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、周边管线沉降</w:t>
      </w:r>
      <w:r>
        <w:rPr>
          <w:rFonts w:hint="eastAsia" w:ascii="Times New Roman" w:hAnsi="Times New Roman" w:eastAsia="宋体" w:cs="Times New Roman"/>
          <w:color w:val="auto"/>
          <w:kern w:val="0"/>
          <w:sz w:val="24"/>
          <w:szCs w:val="24"/>
          <w:highlight w:val="none"/>
          <w:lang w:val="en-US" w:eastAsia="zh-CN"/>
        </w:rPr>
        <w:t>；</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10、坡顶（边坡）地表水平位移；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11、坡顶（边坡）地表竖向位移</w:t>
      </w:r>
      <w:r>
        <w:rPr>
          <w:rFonts w:hint="default" w:ascii="Times New Roman" w:hAnsi="Times New Roman" w:eastAsia="宋体" w:cs="Times New Roman"/>
          <w:color w:val="auto"/>
          <w:kern w:val="0"/>
          <w:sz w:val="24"/>
          <w:szCs w:val="24"/>
          <w:highlight w:val="none"/>
          <w:lang w:eastAsia="zh-CN"/>
        </w:rPr>
        <w:t>。</w:t>
      </w:r>
    </w:p>
    <w:p>
      <w:pPr>
        <w:autoSpaceDE w:val="0"/>
        <w:autoSpaceDN w:val="0"/>
        <w:adjustRightInd w:val="0"/>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lang w:val="en-US" w:eastAsia="zh-CN"/>
        </w:rPr>
        <w:t>一</w:t>
      </w:r>
      <w:r>
        <w:rPr>
          <w:rFonts w:hint="default" w:ascii="Times New Roman" w:hAnsi="Times New Roman" w:eastAsia="宋体" w:cs="Times New Roman"/>
          <w:b/>
          <w:color w:val="auto"/>
          <w:kern w:val="0"/>
          <w:sz w:val="24"/>
          <w:szCs w:val="24"/>
          <w:highlight w:val="none"/>
        </w:rPr>
        <w:t>级基坑及支护结构段：</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1、支护结构</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边坡</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顶部水平位移；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2、支护结构</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边坡</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顶部竖向位移；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3、深层水平位移；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val="en-US" w:eastAsia="zh-CN"/>
        </w:rPr>
        <w:t>立柱沉降</w:t>
      </w:r>
      <w:r>
        <w:rPr>
          <w:rFonts w:hint="default" w:ascii="Times New Roman" w:hAnsi="Times New Roman" w:eastAsia="宋体" w:cs="Times New Roman"/>
          <w:color w:val="auto"/>
          <w:kern w:val="0"/>
          <w:sz w:val="24"/>
          <w:szCs w:val="24"/>
          <w:highlight w:val="none"/>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lang w:val="en-US" w:eastAsia="zh-CN"/>
        </w:rPr>
        <w:t>、支撑轴力；</w:t>
      </w:r>
    </w:p>
    <w:p>
      <w:pPr>
        <w:widowControl w:val="0"/>
        <w:autoSpaceDE w:val="0"/>
        <w:autoSpaceDN w:val="0"/>
        <w:adjustRightInd w:val="0"/>
        <w:spacing w:beforeLines="0" w:after="0" w:afterLines="0"/>
        <w:ind w:left="0" w:leftChars="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锚杆轴力</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en-US" w:bidi="ar-SA"/>
        </w:rPr>
        <w:t>地下水位</w:t>
      </w:r>
      <w:r>
        <w:rPr>
          <w:rFonts w:hint="default" w:ascii="Times New Roman" w:hAnsi="Times New Roman" w:eastAsia="宋体" w:cs="Times New Roman"/>
          <w:color w:val="auto"/>
          <w:kern w:val="2"/>
          <w:sz w:val="24"/>
          <w:szCs w:val="24"/>
          <w:highlight w:val="none"/>
          <w:lang w:val="en-US" w:eastAsia="zh-CN" w:bidi="ar-SA"/>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、周边地表竖向位移</w:t>
      </w:r>
      <w:r>
        <w:rPr>
          <w:rFonts w:hint="default" w:ascii="Times New Roman" w:hAnsi="Times New Roman" w:eastAsia="宋体" w:cs="Times New Roman"/>
          <w:color w:val="auto"/>
          <w:kern w:val="0"/>
          <w:sz w:val="24"/>
          <w:szCs w:val="24"/>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、周边建筑物沉降；</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、周边管线沉降</w:t>
      </w:r>
      <w:r>
        <w:rPr>
          <w:rFonts w:hint="eastAsia" w:ascii="Times New Roman" w:hAnsi="Times New Roman" w:eastAsia="宋体" w:cs="Times New Roman"/>
          <w:color w:val="auto"/>
          <w:kern w:val="0"/>
          <w:sz w:val="24"/>
          <w:szCs w:val="24"/>
          <w:highlight w:val="none"/>
          <w:lang w:eastAsia="zh-CN"/>
        </w:rPr>
        <w:t>；</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11、坡顶（边坡）地表水平位移；</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12、坡顶（边坡）地表竖向位移</w:t>
      </w:r>
      <w:r>
        <w:rPr>
          <w:rFonts w:hint="default" w:ascii="Times New Roman" w:hAnsi="Times New Roman" w:eastAsia="宋体" w:cs="Times New Roman"/>
          <w:color w:val="auto"/>
          <w:kern w:val="0"/>
          <w:sz w:val="24"/>
          <w:szCs w:val="24"/>
          <w:highlight w:val="none"/>
          <w:lang w:eastAsia="zh-CN"/>
        </w:rPr>
        <w:t>。</w:t>
      </w:r>
    </w:p>
    <w:p>
      <w:pPr>
        <w:widowControl w:val="0"/>
        <w:autoSpaceDE w:val="0"/>
        <w:autoSpaceDN w:val="0"/>
        <w:adjustRightInd w:val="0"/>
        <w:spacing w:after="120"/>
        <w:ind w:left="0" w:leftChars="0" w:firstLine="0" w:firstLineChars="0"/>
        <w:jc w:val="both"/>
        <w:rPr>
          <w:rFonts w:hint="default" w:ascii="Times New Roman" w:hAnsi="Times New Roman" w:eastAsia="宋体" w:cs="Times New Roman"/>
          <w:b/>
          <w:color w:val="auto"/>
          <w:kern w:val="2"/>
          <w:sz w:val="24"/>
          <w:szCs w:val="22"/>
          <w:highlight w:val="none"/>
          <w:lang w:val="en-US" w:eastAsia="zh-CN" w:bidi="ar-SA"/>
        </w:rPr>
      </w:pPr>
      <w:r>
        <w:rPr>
          <w:rFonts w:hint="default" w:ascii="Times New Roman" w:hAnsi="Times New Roman" w:eastAsia="宋体" w:cs="Times New Roman"/>
          <w:b/>
          <w:color w:val="auto"/>
          <w:kern w:val="2"/>
          <w:sz w:val="24"/>
          <w:szCs w:val="22"/>
          <w:highlight w:val="none"/>
          <w:lang w:val="en-US" w:eastAsia="zh-CN" w:bidi="ar-SA"/>
        </w:rPr>
        <w:t>基准网联测：</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1、监测基准网（水平）；</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2、监测基准网（垂直）。</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10" w:name="_Toc143007362"/>
      <w:bookmarkStart w:id="211" w:name="_Toc7765"/>
      <w:bookmarkStart w:id="212" w:name="_Toc24960"/>
      <w:r>
        <w:rPr>
          <w:rFonts w:hint="default" w:ascii="Times New Roman" w:hAnsi="Times New Roman" w:eastAsia="宋体" w:cs="Times New Roman"/>
          <w:b/>
          <w:color w:val="auto"/>
          <w:sz w:val="24"/>
          <w:szCs w:val="24"/>
          <w:highlight w:val="none"/>
          <w:lang w:val="en-US" w:eastAsia="zh-CN"/>
        </w:rPr>
        <w:t>1.1.2基坑监测依据</w:t>
      </w:r>
      <w:bookmarkEnd w:id="210"/>
      <w:bookmarkEnd w:id="211"/>
      <w:bookmarkEnd w:id="212"/>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1、《建筑基坑支护技术规程》JGJ120-2012；</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2、《建筑地基基础设计规范》GB50007-2011；</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3、《工程测量</w:t>
      </w:r>
      <w:r>
        <w:rPr>
          <w:rFonts w:hint="eastAsia" w:ascii="Times New Roman" w:hAnsi="Times New Roman" w:eastAsia="宋体" w:cs="Times New Roman"/>
          <w:color w:val="auto"/>
          <w:kern w:val="0"/>
          <w:sz w:val="24"/>
          <w:szCs w:val="28"/>
          <w:highlight w:val="none"/>
          <w:lang w:val="en-US" w:eastAsia="zh-CN"/>
        </w:rPr>
        <w:t>标准</w:t>
      </w:r>
      <w:r>
        <w:rPr>
          <w:rFonts w:hint="default" w:ascii="Times New Roman" w:hAnsi="Times New Roman" w:eastAsia="宋体" w:cs="Times New Roman"/>
          <w:color w:val="auto"/>
          <w:kern w:val="0"/>
          <w:sz w:val="24"/>
          <w:szCs w:val="28"/>
          <w:highlight w:val="none"/>
        </w:rPr>
        <w:t>》GB50026-2020；</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4、《建筑基坑工程监测技术</w:t>
      </w:r>
      <w:r>
        <w:rPr>
          <w:rFonts w:hint="eastAsia" w:ascii="Times New Roman" w:hAnsi="Times New Roman" w:eastAsia="宋体" w:cs="Times New Roman"/>
          <w:color w:val="auto"/>
          <w:kern w:val="0"/>
          <w:sz w:val="24"/>
          <w:szCs w:val="28"/>
          <w:highlight w:val="none"/>
          <w:lang w:val="en-US" w:eastAsia="zh-CN"/>
        </w:rPr>
        <w:t>标准</w:t>
      </w:r>
      <w:r>
        <w:rPr>
          <w:rFonts w:hint="default" w:ascii="Times New Roman" w:hAnsi="Times New Roman" w:eastAsia="宋体" w:cs="Times New Roman"/>
          <w:color w:val="auto"/>
          <w:kern w:val="0"/>
          <w:sz w:val="24"/>
          <w:szCs w:val="28"/>
          <w:highlight w:val="none"/>
        </w:rPr>
        <w:t>》GB50497-2019；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5、《建筑变形测量规范》JGJ 8-2016；</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6、《深圳市基坑支护技术规范》SJG05-2011；</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7、其他现行国家规范、地区规定及政府相关部门之要求；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8、本工程基坑支护设计文件及委托方提出的要求；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9、广州市城乡建设委员会——穗建质〔2014〕750号。</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13" w:name="_Toc143007363"/>
      <w:bookmarkStart w:id="214" w:name="_Toc1327"/>
      <w:bookmarkStart w:id="215" w:name="_Toc13366"/>
      <w:r>
        <w:rPr>
          <w:rFonts w:hint="default" w:ascii="Times New Roman" w:hAnsi="Times New Roman" w:eastAsia="宋体" w:cs="Times New Roman"/>
          <w:b/>
          <w:color w:val="auto"/>
          <w:sz w:val="24"/>
          <w:szCs w:val="24"/>
          <w:highlight w:val="none"/>
          <w:lang w:val="en-US" w:eastAsia="zh-CN"/>
        </w:rPr>
        <w:t>1.1.3监测项目</w:t>
      </w:r>
      <w:bookmarkEnd w:id="213"/>
      <w:r>
        <w:rPr>
          <w:rFonts w:hint="eastAsia" w:ascii="Times New Roman" w:hAnsi="Times New Roman" w:eastAsia="宋体" w:cs="Times New Roman"/>
          <w:b/>
          <w:color w:val="auto"/>
          <w:sz w:val="24"/>
          <w:szCs w:val="24"/>
          <w:highlight w:val="none"/>
          <w:lang w:val="en-US" w:eastAsia="zh-CN"/>
        </w:rPr>
        <w:t>及预警值</w:t>
      </w:r>
      <w:bookmarkEnd w:id="214"/>
      <w:bookmarkEnd w:id="215"/>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根据基坑等级、周边环境及施工方法等实际工程状况，确定相应监测项目，及相应监测项目的预警值、控制值及变化速率等。本监测技术要求中的的监测各项目预警值、控制值及变化速率等均为参考值，具体各项目预警值、控制值及变化速率等在满足相关规范及规定的前提下，以业主与项目相关部门协调后的要求值为准。</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根据基坑</w:t>
      </w:r>
      <w:r>
        <w:rPr>
          <w:rFonts w:hint="default" w:ascii="Times New Roman" w:hAnsi="Times New Roman" w:eastAsia="宋体" w:cs="Times New Roman"/>
          <w:color w:val="auto"/>
          <w:kern w:val="0"/>
          <w:sz w:val="24"/>
          <w:szCs w:val="28"/>
          <w:highlight w:val="none"/>
          <w:lang w:val="en-US" w:eastAsia="zh-CN"/>
        </w:rPr>
        <w:t>深度、基坑安全、周边建筑环境和基坑塌陷造成的负面影响将基坑安全等级分为</w:t>
      </w:r>
      <w:r>
        <w:rPr>
          <w:rFonts w:hint="default" w:ascii="Times New Roman" w:hAnsi="Times New Roman" w:eastAsia="宋体" w:cs="Times New Roman"/>
          <w:color w:val="auto"/>
          <w:kern w:val="0"/>
          <w:sz w:val="24"/>
          <w:szCs w:val="28"/>
          <w:highlight w:val="none"/>
        </w:rPr>
        <w:t>三级。为确保基坑土方开挖、基坑开挖及周边建筑物和市政设施的安全，要求对本基坑进行临时性支护</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基坑及支护结构监测预警值应根据基坑设计安全等级、工程地质条件、设计计算结果及当地工程经验等因素确定；当无当地工程经验时，土质基坑可按下表确定</w:t>
      </w:r>
      <w:r>
        <w:rPr>
          <w:rFonts w:hint="default" w:ascii="Times New Roman" w:hAnsi="Times New Roman" w:eastAsia="宋体" w:cs="Times New Roman"/>
          <w:color w:val="auto"/>
          <w:kern w:val="0"/>
          <w:sz w:val="24"/>
          <w:szCs w:val="28"/>
          <w:highlight w:val="none"/>
        </w:rPr>
        <w:t>。</w:t>
      </w:r>
    </w:p>
    <w:p>
      <w:pPr>
        <w:autoSpaceDE w:val="0"/>
        <w:autoSpaceDN w:val="0"/>
        <w:adjustRightInd w:val="0"/>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基坑安全等级为三级段：</w:t>
      </w:r>
    </w:p>
    <w:tbl>
      <w:tblPr>
        <w:tblStyle w:val="24"/>
        <w:tblW w:w="8323" w:type="dxa"/>
        <w:jc w:val="center"/>
        <w:tblLayout w:type="fixed"/>
        <w:tblCellMar>
          <w:top w:w="0" w:type="dxa"/>
          <w:left w:w="10" w:type="dxa"/>
          <w:bottom w:w="0" w:type="dxa"/>
          <w:right w:w="10" w:type="dxa"/>
        </w:tblCellMar>
      </w:tblPr>
      <w:tblGrid>
        <w:gridCol w:w="1502"/>
        <w:gridCol w:w="1302"/>
        <w:gridCol w:w="1302"/>
        <w:gridCol w:w="888"/>
        <w:gridCol w:w="1337"/>
        <w:gridCol w:w="1992"/>
      </w:tblGrid>
      <w:tr>
        <w:tblPrEx>
          <w:tblCellMar>
            <w:top w:w="0" w:type="dxa"/>
            <w:left w:w="10" w:type="dxa"/>
            <w:bottom w:w="0" w:type="dxa"/>
            <w:right w:w="10" w:type="dxa"/>
          </w:tblCellMar>
        </w:tblPrEx>
        <w:trPr>
          <w:trHeight w:val="454" w:hRule="atLeast"/>
          <w:jc w:val="center"/>
        </w:trPr>
        <w:tc>
          <w:tcPr>
            <w:tcW w:w="1502" w:type="dxa"/>
            <w:vMerge w:val="restart"/>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监测项目</w:t>
            </w:r>
          </w:p>
        </w:tc>
        <w:tc>
          <w:tcPr>
            <w:tcW w:w="2604" w:type="dxa"/>
            <w:gridSpan w:val="2"/>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支护类型</w:t>
            </w:r>
          </w:p>
        </w:tc>
        <w:tc>
          <w:tcPr>
            <w:tcW w:w="2225"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累计值</w:t>
            </w:r>
          </w:p>
        </w:tc>
        <w:tc>
          <w:tcPr>
            <w:tcW w:w="1992" w:type="dxa"/>
            <w:vMerge w:val="restart"/>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变化速率（mm/d）</w:t>
            </w:r>
          </w:p>
        </w:tc>
      </w:tr>
      <w:tr>
        <w:tblPrEx>
          <w:tblCellMar>
            <w:top w:w="0" w:type="dxa"/>
            <w:left w:w="10" w:type="dxa"/>
            <w:bottom w:w="0" w:type="dxa"/>
            <w:right w:w="10" w:type="dxa"/>
          </w:tblCellMar>
        </w:tblPrEx>
        <w:trPr>
          <w:trHeight w:val="454" w:hRule="atLeast"/>
          <w:jc w:val="center"/>
        </w:trPr>
        <w:tc>
          <w:tcPr>
            <w:tcW w:w="1502" w:type="dxa"/>
            <w:vMerge w:val="continue"/>
            <w:tcBorders>
              <w:top w:val="single" w:color="auto" w:sz="4" w:space="0"/>
              <w:left w:val="single" w:color="auto" w:sz="4" w:space="0"/>
              <w:bottom w:val="single" w:color="auto" w:sz="4" w:space="0"/>
              <w:right w:val="nil"/>
            </w:tcBorders>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c>
          <w:tcPr>
            <w:tcW w:w="2604" w:type="dxa"/>
            <w:gridSpan w:val="2"/>
            <w:vMerge w:val="continue"/>
            <w:tcBorders>
              <w:left w:val="single" w:color="auto" w:sz="4" w:space="0"/>
              <w:bottom w:val="single" w:color="auto" w:sz="4" w:space="0"/>
              <w:right w:val="nil"/>
            </w:tcBorders>
            <w:shd w:val="clear" w:color="auto" w:fill="FFFFFF"/>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c>
          <w:tcPr>
            <w:tcW w:w="888" w:type="dxa"/>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绝对值</w:t>
            </w:r>
          </w:p>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（mm）</w:t>
            </w:r>
          </w:p>
        </w:tc>
        <w:tc>
          <w:tcPr>
            <w:tcW w:w="1337" w:type="dxa"/>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相对基坑深度</w:t>
            </w:r>
          </w:p>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H</w:t>
            </w:r>
            <w:r>
              <w:rPr>
                <w:rFonts w:hint="default" w:ascii="Times New Roman" w:hAnsi="Times New Roman" w:eastAsia="宋体" w:cs="Times New Roman"/>
                <w:color w:val="auto"/>
                <w:kern w:val="0"/>
                <w:sz w:val="22"/>
                <w:szCs w:val="22"/>
                <w:highlight w:val="none"/>
              </w:rPr>
              <w:t>控制值</w:t>
            </w:r>
          </w:p>
        </w:tc>
        <w:tc>
          <w:tcPr>
            <w:tcW w:w="199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CellMar>
            <w:top w:w="0" w:type="dxa"/>
            <w:left w:w="10" w:type="dxa"/>
            <w:bottom w:w="0" w:type="dxa"/>
            <w:right w:w="10" w:type="dxa"/>
          </w:tblCellMar>
        </w:tblPrEx>
        <w:trPr>
          <w:trHeight w:val="454" w:hRule="atLeast"/>
          <w:jc w:val="center"/>
        </w:trPr>
        <w:tc>
          <w:tcPr>
            <w:tcW w:w="1502"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支护结构顶部水平位移</w:t>
            </w:r>
          </w:p>
        </w:tc>
        <w:tc>
          <w:tcPr>
            <w:tcW w:w="2604"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土钉墙、复合土钉墙、锚喷支护、水泥土墙</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rPr>
              <w:t>50</w:t>
            </w:r>
            <w:r>
              <w:rPr>
                <w:rFonts w:hint="default" w:ascii="Times New Roman" w:hAnsi="Times New Roman" w:eastAsia="宋体" w:cs="Times New Roman"/>
                <w:color w:val="auto"/>
                <w:kern w:val="0"/>
                <w:sz w:val="22"/>
                <w:szCs w:val="22"/>
                <w:highlight w:val="none"/>
                <w:lang w:val="en-US" w:eastAsia="zh-CN"/>
              </w:rPr>
              <w:t>~60</w:t>
            </w:r>
          </w:p>
        </w:tc>
        <w:tc>
          <w:tcPr>
            <w:tcW w:w="1337"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0.7%</w:t>
            </w:r>
            <w:r>
              <w:rPr>
                <w:rFonts w:hint="default" w:ascii="Times New Roman" w:hAnsi="Times New Roman" w:eastAsia="宋体" w:cs="Times New Roman"/>
                <w:color w:val="auto"/>
                <w:kern w:val="0"/>
                <w:sz w:val="22"/>
                <w:szCs w:val="22"/>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rPr>
              <w:t>5</w:t>
            </w:r>
            <w:r>
              <w:rPr>
                <w:rFonts w:hint="default" w:ascii="Times New Roman" w:hAnsi="Times New Roman" w:eastAsia="宋体" w:cs="Times New Roman"/>
                <w:color w:val="auto"/>
                <w:kern w:val="0"/>
                <w:sz w:val="22"/>
                <w:szCs w:val="22"/>
                <w:highlight w:val="none"/>
                <w:lang w:val="en-US" w:eastAsia="zh-CN"/>
              </w:rPr>
              <w:t>~6</w:t>
            </w:r>
          </w:p>
        </w:tc>
      </w:tr>
      <w:tr>
        <w:tblPrEx>
          <w:tblCellMar>
            <w:top w:w="0" w:type="dxa"/>
            <w:left w:w="10" w:type="dxa"/>
            <w:bottom w:w="0" w:type="dxa"/>
            <w:right w:w="10" w:type="dxa"/>
          </w:tblCellMar>
        </w:tblPrEx>
        <w:trPr>
          <w:trHeight w:val="454" w:hRule="atLeast"/>
          <w:jc w:val="center"/>
        </w:trPr>
        <w:tc>
          <w:tcPr>
            <w:tcW w:w="1502"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604"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灌注桩、地下连续墙、钢板桩、型钢水泥土墙</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40~60</w:t>
            </w:r>
          </w:p>
        </w:tc>
        <w:tc>
          <w:tcPr>
            <w:tcW w:w="1337"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0.6%~0.8%</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3~5</w:t>
            </w:r>
          </w:p>
        </w:tc>
      </w:tr>
      <w:tr>
        <w:tblPrEx>
          <w:tblCellMar>
            <w:top w:w="0" w:type="dxa"/>
            <w:left w:w="10" w:type="dxa"/>
            <w:bottom w:w="0" w:type="dxa"/>
            <w:right w:w="10" w:type="dxa"/>
          </w:tblCellMar>
        </w:tblPrEx>
        <w:trPr>
          <w:trHeight w:val="454" w:hRule="atLeast"/>
          <w:jc w:val="center"/>
        </w:trPr>
        <w:tc>
          <w:tcPr>
            <w:tcW w:w="1502"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支护结构顶部竖向位移</w:t>
            </w:r>
          </w:p>
        </w:tc>
        <w:tc>
          <w:tcPr>
            <w:tcW w:w="2604"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土钉墙、复合土钉墙、锚喷支护</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40~60</w:t>
            </w:r>
          </w:p>
        </w:tc>
        <w:tc>
          <w:tcPr>
            <w:tcW w:w="1337"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0.6%~0.8%</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rPr>
              <w:t>4</w:t>
            </w:r>
            <w:r>
              <w:rPr>
                <w:rFonts w:hint="default" w:ascii="Times New Roman" w:hAnsi="Times New Roman" w:eastAsia="宋体" w:cs="Times New Roman"/>
                <w:color w:val="auto"/>
                <w:kern w:val="0"/>
                <w:sz w:val="22"/>
                <w:szCs w:val="22"/>
                <w:highlight w:val="none"/>
                <w:lang w:val="en-US" w:eastAsia="zh-CN"/>
              </w:rPr>
              <w:t>~5</w:t>
            </w:r>
          </w:p>
        </w:tc>
      </w:tr>
      <w:tr>
        <w:tblPrEx>
          <w:tblCellMar>
            <w:top w:w="0" w:type="dxa"/>
            <w:left w:w="10" w:type="dxa"/>
            <w:bottom w:w="0" w:type="dxa"/>
            <w:right w:w="10" w:type="dxa"/>
          </w:tblCellMar>
        </w:tblPrEx>
        <w:trPr>
          <w:trHeight w:val="454" w:hRule="atLeast"/>
          <w:jc w:val="center"/>
        </w:trPr>
        <w:tc>
          <w:tcPr>
            <w:tcW w:w="1502"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604"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水泥土墙、型钢水泥土墙</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40~60</w:t>
            </w:r>
          </w:p>
        </w:tc>
        <w:tc>
          <w:tcPr>
            <w:tcW w:w="1337"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0.8%~1.0%</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4</w:t>
            </w:r>
            <w:r>
              <w:rPr>
                <w:rFonts w:hint="default" w:ascii="Times New Roman" w:hAnsi="Times New Roman" w:eastAsia="宋体" w:cs="Times New Roman"/>
                <w:color w:val="auto"/>
                <w:kern w:val="0"/>
                <w:sz w:val="22"/>
                <w:szCs w:val="22"/>
                <w:highlight w:val="none"/>
                <w:lang w:val="en-US" w:eastAsia="zh-CN"/>
              </w:rPr>
              <w:t>~5</w:t>
            </w:r>
          </w:p>
        </w:tc>
      </w:tr>
      <w:tr>
        <w:tblPrEx>
          <w:tblCellMar>
            <w:top w:w="0" w:type="dxa"/>
            <w:left w:w="10" w:type="dxa"/>
            <w:bottom w:w="0" w:type="dxa"/>
            <w:right w:w="10" w:type="dxa"/>
          </w:tblCellMar>
        </w:tblPrEx>
        <w:trPr>
          <w:trHeight w:val="454" w:hRule="atLeast"/>
          <w:jc w:val="center"/>
        </w:trPr>
        <w:tc>
          <w:tcPr>
            <w:tcW w:w="1502"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604"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灌注桩、地下连续墙、钢板桩</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30~40</w:t>
            </w:r>
          </w:p>
        </w:tc>
        <w:tc>
          <w:tcPr>
            <w:tcW w:w="1337"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0.5%~0.6%</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3~4</w:t>
            </w:r>
          </w:p>
        </w:tc>
      </w:tr>
      <w:tr>
        <w:tblPrEx>
          <w:tblCellMar>
            <w:top w:w="0" w:type="dxa"/>
            <w:left w:w="10" w:type="dxa"/>
            <w:bottom w:w="0" w:type="dxa"/>
            <w:right w:w="10" w:type="dxa"/>
          </w:tblCellMar>
        </w:tblPrEx>
        <w:trPr>
          <w:trHeight w:val="454" w:hRule="atLeast"/>
          <w:jc w:val="center"/>
        </w:trPr>
        <w:tc>
          <w:tcPr>
            <w:tcW w:w="4106" w:type="dxa"/>
            <w:gridSpan w:val="3"/>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地下水位</w:t>
            </w:r>
          </w:p>
        </w:tc>
        <w:tc>
          <w:tcPr>
            <w:tcW w:w="2225"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1000~2000（常年变幅以外）</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500</w:t>
            </w:r>
          </w:p>
        </w:tc>
      </w:tr>
      <w:tr>
        <w:tblPrEx>
          <w:tblCellMar>
            <w:top w:w="0" w:type="dxa"/>
            <w:left w:w="10" w:type="dxa"/>
            <w:bottom w:w="0" w:type="dxa"/>
            <w:right w:w="10" w:type="dxa"/>
          </w:tblCellMar>
        </w:tblPrEx>
        <w:trPr>
          <w:trHeight w:val="454" w:hRule="atLeast"/>
          <w:jc w:val="center"/>
        </w:trPr>
        <w:tc>
          <w:tcPr>
            <w:tcW w:w="1502"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周边管线沉降</w:t>
            </w:r>
          </w:p>
        </w:tc>
        <w:tc>
          <w:tcPr>
            <w:tcW w:w="1302"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刚性管道</w:t>
            </w:r>
          </w:p>
        </w:tc>
        <w:tc>
          <w:tcPr>
            <w:tcW w:w="1302"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压力</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10~20</w:t>
            </w:r>
          </w:p>
        </w:tc>
        <w:tc>
          <w:tcPr>
            <w:tcW w:w="1337" w:type="dxa"/>
            <w:tcBorders>
              <w:top w:val="single" w:color="auto" w:sz="4" w:space="0"/>
              <w:left w:val="single" w:color="auto" w:sz="4" w:space="0"/>
              <w:bottom w:val="single" w:color="auto" w:sz="4" w:space="0"/>
              <w:right w:val="nil"/>
            </w:tcBorders>
            <w:shd w:val="clear" w:color="auto" w:fill="FFFFFF"/>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eastAsia="zh-CN"/>
              </w:rPr>
            </w:pPr>
            <w:r>
              <w:rPr>
                <w:rFonts w:hint="default" w:ascii="Times New Roman" w:hAnsi="Times New Roman" w:eastAsia="宋体" w:cs="Times New Roman"/>
                <w:color w:val="auto"/>
                <w:kern w:val="0"/>
                <w:sz w:val="22"/>
                <w:szCs w:val="22"/>
                <w:highlight w:val="none"/>
                <w:lang w:val="en-US" w:eastAsia="zh-CN"/>
              </w:rPr>
              <w:t>2</w:t>
            </w:r>
          </w:p>
        </w:tc>
      </w:tr>
      <w:tr>
        <w:tblPrEx>
          <w:tblCellMar>
            <w:top w:w="0" w:type="dxa"/>
            <w:left w:w="10" w:type="dxa"/>
            <w:bottom w:w="0" w:type="dxa"/>
            <w:right w:w="10" w:type="dxa"/>
          </w:tblCellMar>
        </w:tblPrEx>
        <w:trPr>
          <w:trHeight w:val="454" w:hRule="atLeast"/>
          <w:jc w:val="center"/>
        </w:trPr>
        <w:tc>
          <w:tcPr>
            <w:tcW w:w="1502"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1302"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1302"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非压力</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10~30</w:t>
            </w:r>
          </w:p>
        </w:tc>
        <w:tc>
          <w:tcPr>
            <w:tcW w:w="1337" w:type="dxa"/>
            <w:tcBorders>
              <w:top w:val="single" w:color="auto" w:sz="4" w:space="0"/>
              <w:left w:val="single" w:color="auto" w:sz="4" w:space="0"/>
              <w:bottom w:val="single" w:color="auto" w:sz="4" w:space="0"/>
              <w:right w:val="nil"/>
            </w:tcBorders>
            <w:shd w:val="clear" w:color="auto" w:fill="FFFFFF"/>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w:t>
            </w:r>
          </w:p>
        </w:tc>
      </w:tr>
      <w:tr>
        <w:tblPrEx>
          <w:tblCellMar>
            <w:top w:w="0" w:type="dxa"/>
            <w:left w:w="10" w:type="dxa"/>
            <w:bottom w:w="0" w:type="dxa"/>
            <w:right w:w="10" w:type="dxa"/>
          </w:tblCellMar>
        </w:tblPrEx>
        <w:trPr>
          <w:trHeight w:val="454" w:hRule="atLeast"/>
          <w:jc w:val="center"/>
        </w:trPr>
        <w:tc>
          <w:tcPr>
            <w:tcW w:w="1502"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604"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柔性管线</w:t>
            </w:r>
          </w:p>
        </w:tc>
        <w:tc>
          <w:tcPr>
            <w:tcW w:w="888" w:type="dxa"/>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10~40</w:t>
            </w:r>
          </w:p>
        </w:tc>
        <w:tc>
          <w:tcPr>
            <w:tcW w:w="1337" w:type="dxa"/>
            <w:tcBorders>
              <w:top w:val="single" w:color="auto" w:sz="4" w:space="0"/>
              <w:left w:val="single" w:color="auto" w:sz="4" w:space="0"/>
              <w:bottom w:val="single" w:color="auto" w:sz="4" w:space="0"/>
              <w:right w:val="nil"/>
            </w:tcBorders>
            <w:shd w:val="clear" w:color="auto" w:fill="FFFFFF"/>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3~5</w:t>
            </w:r>
          </w:p>
        </w:tc>
      </w:tr>
      <w:tr>
        <w:tblPrEx>
          <w:tblCellMar>
            <w:top w:w="0" w:type="dxa"/>
            <w:left w:w="10" w:type="dxa"/>
            <w:bottom w:w="0" w:type="dxa"/>
            <w:right w:w="10" w:type="dxa"/>
          </w:tblCellMar>
        </w:tblPrEx>
        <w:trPr>
          <w:trHeight w:val="454" w:hRule="atLeast"/>
          <w:jc w:val="center"/>
        </w:trPr>
        <w:tc>
          <w:tcPr>
            <w:tcW w:w="4106" w:type="dxa"/>
            <w:gridSpan w:val="3"/>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周边建筑物沉降</w:t>
            </w:r>
          </w:p>
        </w:tc>
        <w:tc>
          <w:tcPr>
            <w:tcW w:w="2225"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小于建筑物地基变形允许值</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2~3</w:t>
            </w:r>
          </w:p>
        </w:tc>
      </w:tr>
    </w:tbl>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备注：1、</w:t>
      </w:r>
      <w:r>
        <w:rPr>
          <w:rFonts w:hint="default" w:ascii="Times New Roman" w:hAnsi="Times New Roman" w:eastAsia="宋体" w:cs="Times New Roman"/>
          <w:color w:val="auto"/>
          <w:kern w:val="0"/>
          <w:sz w:val="24"/>
          <w:szCs w:val="24"/>
          <w:highlight w:val="none"/>
          <w:lang w:val="en-US" w:eastAsia="zh-CN"/>
        </w:rPr>
        <w:t>H——基坑设计深度；f</w:t>
      </w:r>
      <w:r>
        <w:rPr>
          <w:rFonts w:hint="default" w:ascii="Times New Roman" w:hAnsi="Times New Roman" w:eastAsia="宋体" w:cs="Times New Roman"/>
          <w:color w:val="auto"/>
          <w:kern w:val="0"/>
          <w:sz w:val="24"/>
          <w:szCs w:val="24"/>
          <w:highlight w:val="none"/>
          <w:vertAlign w:val="subscript"/>
          <w:lang w:val="en-US" w:eastAsia="zh-CN"/>
        </w:rPr>
        <w:t>z</w:t>
      </w:r>
      <w:r>
        <w:rPr>
          <w:rFonts w:hint="default" w:ascii="Times New Roman" w:hAnsi="Times New Roman" w:eastAsia="宋体" w:cs="Times New Roman"/>
          <w:color w:val="auto"/>
          <w:kern w:val="0"/>
          <w:sz w:val="24"/>
          <w:szCs w:val="24"/>
          <w:highlight w:val="none"/>
          <w:lang w:val="en-US" w:eastAsia="zh-CN"/>
        </w:rPr>
        <w:t>——构件承载能力设计值，锚杆为极限抗拔承载力；</w:t>
      </w:r>
    </w:p>
    <w:p>
      <w:pPr>
        <w:autoSpaceDE w:val="0"/>
        <w:autoSpaceDN w:val="0"/>
        <w:adjustRightInd w:val="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累计值取绝对值和相对基坑深度</w:t>
      </w:r>
      <w:r>
        <w:rPr>
          <w:rFonts w:hint="default" w:ascii="Times New Roman" w:hAnsi="Times New Roman" w:eastAsia="宋体" w:cs="Times New Roman"/>
          <w:color w:val="auto"/>
          <w:kern w:val="0"/>
          <w:sz w:val="24"/>
          <w:szCs w:val="24"/>
          <w:highlight w:val="none"/>
          <w:lang w:val="en-US" w:eastAsia="zh-CN"/>
        </w:rPr>
        <w:t>H</w:t>
      </w:r>
      <w:r>
        <w:rPr>
          <w:rFonts w:hint="default" w:ascii="Times New Roman" w:hAnsi="Times New Roman" w:eastAsia="宋体" w:cs="Times New Roman"/>
          <w:color w:val="auto"/>
          <w:kern w:val="0"/>
          <w:sz w:val="24"/>
          <w:szCs w:val="24"/>
          <w:highlight w:val="none"/>
        </w:rPr>
        <w:t>控制值两者的小值；</w:t>
      </w:r>
    </w:p>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3、监测频率1次/（</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）天，当监测项目的变化速率达到表中规定值或连续3d超过该值的70%，应报警且监测频率要求</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lang w:val="en-US" w:eastAsia="zh-CN"/>
        </w:rPr>
        <w:t>次/天。</w:t>
      </w:r>
      <w:r>
        <w:rPr>
          <w:rFonts w:hint="default" w:ascii="Times New Roman" w:hAnsi="Times New Roman" w:eastAsia="宋体" w:cs="Times New Roman"/>
          <w:color w:val="auto"/>
          <w:kern w:val="0"/>
          <w:sz w:val="24"/>
          <w:szCs w:val="24"/>
          <w:highlight w:val="none"/>
          <w:lang w:val="en-US" w:eastAsia="zh-CN"/>
        </w:rPr>
        <w:tab/>
      </w:r>
    </w:p>
    <w:p>
      <w:pPr>
        <w:autoSpaceDE w:val="0"/>
        <w:autoSpaceDN w:val="0"/>
        <w:adjustRightInd w:val="0"/>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基坑安全等级为二级段：</w:t>
      </w:r>
    </w:p>
    <w:tbl>
      <w:tblPr>
        <w:tblStyle w:val="24"/>
        <w:tblW w:w="8323" w:type="dxa"/>
        <w:jc w:val="center"/>
        <w:tblLayout w:type="fixed"/>
        <w:tblCellMar>
          <w:top w:w="0" w:type="dxa"/>
          <w:left w:w="10" w:type="dxa"/>
          <w:bottom w:w="0" w:type="dxa"/>
          <w:right w:w="10" w:type="dxa"/>
        </w:tblCellMar>
      </w:tblPr>
      <w:tblGrid>
        <w:gridCol w:w="1480"/>
        <w:gridCol w:w="1284"/>
        <w:gridCol w:w="1121"/>
        <w:gridCol w:w="1142"/>
        <w:gridCol w:w="1321"/>
        <w:gridCol w:w="1975"/>
      </w:tblGrid>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监测项目</w:t>
            </w:r>
          </w:p>
        </w:tc>
        <w:tc>
          <w:tcPr>
            <w:tcW w:w="2405" w:type="dxa"/>
            <w:gridSpan w:val="2"/>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支护类型</w:t>
            </w:r>
          </w:p>
        </w:tc>
        <w:tc>
          <w:tcPr>
            <w:tcW w:w="2463"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累计值</w:t>
            </w:r>
          </w:p>
        </w:tc>
        <w:tc>
          <w:tcPr>
            <w:tcW w:w="1975" w:type="dxa"/>
            <w:vMerge w:val="restart"/>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变化速率（mm/d）</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nil"/>
              <w:right w:val="nil"/>
            </w:tcBorders>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c>
          <w:tcPr>
            <w:tcW w:w="2405" w:type="dxa"/>
            <w:gridSpan w:val="2"/>
            <w:vMerge w:val="continue"/>
            <w:tcBorders>
              <w:left w:val="single" w:color="auto" w:sz="4" w:space="0"/>
              <w:bottom w:val="nil"/>
              <w:right w:val="nil"/>
            </w:tcBorders>
            <w:shd w:val="clear" w:color="auto" w:fill="FFFFFF"/>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c>
          <w:tcPr>
            <w:tcW w:w="1142"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绝对值</w:t>
            </w:r>
          </w:p>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（mm）</w:t>
            </w:r>
          </w:p>
        </w:tc>
        <w:tc>
          <w:tcPr>
            <w:tcW w:w="1321"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相对基坑深度</w:t>
            </w:r>
          </w:p>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H</w:t>
            </w:r>
            <w:r>
              <w:rPr>
                <w:rFonts w:hint="default" w:ascii="Times New Roman" w:hAnsi="Times New Roman" w:eastAsia="宋体" w:cs="Times New Roman"/>
                <w:color w:val="auto"/>
                <w:kern w:val="0"/>
                <w:sz w:val="22"/>
                <w:szCs w:val="22"/>
                <w:highlight w:val="none"/>
              </w:rPr>
              <w:t>控制值</w:t>
            </w:r>
          </w:p>
        </w:tc>
        <w:tc>
          <w:tcPr>
            <w:tcW w:w="1975" w:type="dxa"/>
            <w:vMerge w:val="continue"/>
            <w:tcBorders>
              <w:top w:val="single" w:color="auto" w:sz="4" w:space="0"/>
              <w:left w:val="single" w:color="auto" w:sz="4" w:space="0"/>
              <w:bottom w:val="nil"/>
              <w:right w:val="single" w:color="auto" w:sz="4" w:space="0"/>
            </w:tcBorders>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支护结构顶部水平位移</w:t>
            </w:r>
          </w:p>
        </w:tc>
        <w:tc>
          <w:tcPr>
            <w:tcW w:w="2405"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土钉墙、复合土钉墙、锚喷支护、水泥土墙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rPr>
              <w:t>0</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5</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0.</w:t>
            </w:r>
            <w:r>
              <w:rPr>
                <w:rFonts w:hint="eastAsia" w:ascii="Times New Roman" w:hAnsi="Times New Roman" w:eastAsia="宋体" w:cs="Times New Roman"/>
                <w:color w:val="auto"/>
                <w:kern w:val="0"/>
                <w:sz w:val="22"/>
                <w:szCs w:val="22"/>
                <w:highlight w:val="none"/>
                <w:lang w:val="en-US" w:eastAsia="zh-CN"/>
              </w:rPr>
              <w:t>5</w:t>
            </w:r>
            <w:r>
              <w:rPr>
                <w:rFonts w:hint="default" w:ascii="Times New Roman" w:hAnsi="Times New Roman" w:eastAsia="宋体" w:cs="Times New Roman"/>
                <w:color w:val="auto"/>
                <w:kern w:val="0"/>
                <w:sz w:val="22"/>
                <w:szCs w:val="22"/>
                <w:highlight w:val="none"/>
              </w:rPr>
              <w:t>%</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0.8</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5</w:t>
            </w:r>
          </w:p>
        </w:tc>
      </w:tr>
      <w:tr>
        <w:tblPrEx>
          <w:tblCellMar>
            <w:top w:w="0" w:type="dxa"/>
            <w:left w:w="10" w:type="dxa"/>
            <w:bottom w:w="0" w:type="dxa"/>
            <w:right w:w="10" w:type="dxa"/>
          </w:tblCellMar>
        </w:tblPrEx>
        <w:trPr>
          <w:trHeight w:val="454" w:hRule="atLeast"/>
          <w:jc w:val="center"/>
        </w:trPr>
        <w:tc>
          <w:tcPr>
            <w:tcW w:w="1480" w:type="dxa"/>
            <w:vMerge w:val="continue"/>
            <w:tcBorders>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灌注桩、地下连续墙、钢板桩、型钢水泥土墙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5</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4</w:t>
            </w: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支护结构顶部竖向位移</w:t>
            </w: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土钉墙、复合土钉墙、锚喷支护</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4</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水泥土墙、型钢水泥土墙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0.8</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4</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灌注桩、地下连续墙、钢板桩</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5</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深层水平位移</w:t>
            </w: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复合土钉墙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7</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8</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5</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型钢水泥土墙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rPr>
              <w:t>50</w:t>
            </w:r>
            <w:r>
              <w:rPr>
                <w:rFonts w:hint="default" w:ascii="Times New Roman" w:hAnsi="Times New Roman" w:eastAsia="宋体" w:cs="Times New Roman"/>
                <w:color w:val="auto"/>
                <w:kern w:val="0"/>
                <w:sz w:val="22"/>
                <w:szCs w:val="22"/>
                <w:highlight w:val="none"/>
                <w:lang w:val="en-US" w:eastAsia="zh-CN"/>
              </w:rPr>
              <w:t>~60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0.6%~0.</w:t>
            </w:r>
            <w:r>
              <w:rPr>
                <w:rFonts w:hint="eastAsia" w:ascii="Times New Roman" w:hAnsi="Times New Roman" w:eastAsia="宋体" w:cs="Times New Roman"/>
                <w:color w:val="auto"/>
                <w:kern w:val="0"/>
                <w:sz w:val="22"/>
                <w:szCs w:val="22"/>
                <w:highlight w:val="none"/>
                <w:lang w:val="en-US" w:eastAsia="zh-CN"/>
              </w:rPr>
              <w:t>8</w:t>
            </w: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5</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钢板桩</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rPr>
              <w:t>0</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8</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7</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8</w:t>
            </w:r>
            <w:r>
              <w:rPr>
                <w:rFonts w:hint="default" w:ascii="Times New Roman" w:hAnsi="Times New Roman" w:eastAsia="宋体" w:cs="Times New Roman"/>
                <w:color w:val="auto"/>
                <w:kern w:val="0"/>
                <w:sz w:val="22"/>
                <w:szCs w:val="22"/>
                <w:highlight w:val="none"/>
                <w:lang w:val="en-US" w:eastAsia="zh-CN"/>
              </w:rPr>
              <w:t>%</w:t>
            </w:r>
          </w:p>
        </w:tc>
        <w:tc>
          <w:tcPr>
            <w:tcW w:w="1975" w:type="dxa"/>
            <w:vMerge w:val="restart"/>
            <w:tcBorders>
              <w:top w:val="single" w:color="auto" w:sz="4" w:space="0"/>
              <w:left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w:t>
            </w:r>
            <w:r>
              <w:rPr>
                <w:rFonts w:hint="eastAsia" w:ascii="Times New Roman" w:hAnsi="Times New Roman" w:eastAsia="宋体" w:cs="Times New Roman"/>
                <w:color w:val="auto"/>
                <w:kern w:val="0"/>
                <w:sz w:val="22"/>
                <w:szCs w:val="22"/>
                <w:highlight w:val="none"/>
                <w:lang w:val="en-US" w:eastAsia="zh-CN"/>
              </w:rPr>
              <w:t>5</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灌注桩、地下连续墙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6</w:t>
            </w:r>
            <w:r>
              <w:rPr>
                <w:rFonts w:hint="default" w:ascii="Times New Roman" w:hAnsi="Times New Roman" w:eastAsia="宋体" w:cs="Times New Roman"/>
                <w:color w:val="auto"/>
                <w:kern w:val="0"/>
                <w:sz w:val="22"/>
                <w:szCs w:val="22"/>
                <w:highlight w:val="none"/>
                <w:lang w:val="en-US" w:eastAsia="zh-CN"/>
              </w:rPr>
              <w:t>%</w:t>
            </w:r>
          </w:p>
        </w:tc>
        <w:tc>
          <w:tcPr>
            <w:tcW w:w="1975" w:type="dxa"/>
            <w:vMerge w:val="continue"/>
            <w:tcBorders>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val="en-US" w:eastAsia="zh-CN"/>
              </w:rPr>
            </w:pP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地下水位</w:t>
            </w:r>
          </w:p>
        </w:tc>
        <w:tc>
          <w:tcPr>
            <w:tcW w:w="2463"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1000~2000（常年变幅以外）</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500</w:t>
            </w: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支撑轴力</w:t>
            </w:r>
          </w:p>
        </w:tc>
        <w:tc>
          <w:tcPr>
            <w:tcW w:w="4438" w:type="dxa"/>
            <w:gridSpan w:val="3"/>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vertAlign w:val="subscript"/>
                <w:lang w:val="en-US" w:eastAsia="zh-CN"/>
              </w:rPr>
            </w:pPr>
            <w:r>
              <w:rPr>
                <w:rFonts w:hint="default" w:ascii="Times New Roman" w:hAnsi="Times New Roman" w:eastAsia="宋体" w:cs="Times New Roman"/>
                <w:color w:val="auto"/>
                <w:kern w:val="0"/>
                <w:sz w:val="22"/>
                <w:szCs w:val="22"/>
                <w:highlight w:val="none"/>
                <w:lang w:val="en-US" w:eastAsia="zh-CN"/>
              </w:rPr>
              <w:t>最大值：（</w:t>
            </w:r>
            <w:r>
              <w:rPr>
                <w:rFonts w:hint="eastAsia" w:ascii="Times New Roman" w:hAnsi="Times New Roman" w:eastAsia="宋体" w:cs="Times New Roman"/>
                <w:color w:val="auto"/>
                <w:kern w:val="0"/>
                <w:sz w:val="22"/>
                <w:szCs w:val="22"/>
                <w:highlight w:val="none"/>
                <w:lang w:val="en-US" w:eastAsia="zh-CN"/>
              </w:rPr>
              <w:t>7</w:t>
            </w:r>
            <w:r>
              <w:rPr>
                <w:rFonts w:hint="default" w:ascii="Times New Roman" w:hAnsi="Times New Roman" w:eastAsia="宋体" w:cs="Times New Roman"/>
                <w:color w:val="auto"/>
                <w:kern w:val="0"/>
                <w:sz w:val="22"/>
                <w:szCs w:val="22"/>
                <w:highlight w:val="none"/>
                <w:lang w:val="en-US" w:eastAsia="zh-CN"/>
              </w:rPr>
              <w:t>0%~80%）f</w:t>
            </w:r>
            <w:r>
              <w:rPr>
                <w:rFonts w:hint="eastAsia" w:ascii="Times New Roman" w:hAnsi="Times New Roman" w:eastAsia="宋体" w:cs="Times New Roman"/>
                <w:color w:val="auto"/>
                <w:kern w:val="0"/>
                <w:sz w:val="22"/>
                <w:szCs w:val="22"/>
                <w:highlight w:val="none"/>
                <w:vertAlign w:val="subscript"/>
                <w:lang w:val="en-US" w:eastAsia="zh-CN"/>
              </w:rPr>
              <w:t>2</w:t>
            </w:r>
          </w:p>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vertAlign w:val="baseline"/>
                <w:lang w:val="en-US" w:eastAsia="zh-CN"/>
              </w:rPr>
              <w:t>最小值：（80%~100%）</w:t>
            </w:r>
            <w:r>
              <w:rPr>
                <w:rFonts w:hint="default" w:ascii="Times New Roman" w:hAnsi="Times New Roman" w:eastAsia="宋体" w:cs="Times New Roman"/>
                <w:color w:val="auto"/>
                <w:kern w:val="0"/>
                <w:sz w:val="22"/>
                <w:szCs w:val="22"/>
                <w:highlight w:val="none"/>
                <w:lang w:val="en-US" w:eastAsia="zh-CN"/>
              </w:rPr>
              <w:t>f</w:t>
            </w:r>
            <w:r>
              <w:rPr>
                <w:rFonts w:hint="eastAsia" w:ascii="Times New Roman" w:hAnsi="Times New Roman" w:eastAsia="宋体" w:cs="Times New Roman"/>
                <w:color w:val="auto"/>
                <w:kern w:val="0"/>
                <w:sz w:val="22"/>
                <w:szCs w:val="22"/>
                <w:highlight w:val="none"/>
                <w:vertAlign w:val="subscript"/>
                <w:lang w:val="en-US" w:eastAsia="zh-CN"/>
              </w:rPr>
              <w:t>y</w:t>
            </w: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立柱沉降</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20~30</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2~3</w:t>
            </w: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周边地表沉降</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35~45</w:t>
            </w:r>
          </w:p>
        </w:tc>
        <w:tc>
          <w:tcPr>
            <w:tcW w:w="1321"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975"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3~4</w:t>
            </w: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周边管线沉降</w:t>
            </w:r>
          </w:p>
        </w:tc>
        <w:tc>
          <w:tcPr>
            <w:tcW w:w="1284"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刚性管道</w:t>
            </w: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压力</w:t>
            </w:r>
          </w:p>
        </w:tc>
        <w:tc>
          <w:tcPr>
            <w:tcW w:w="2463"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10~20</w:t>
            </w:r>
          </w:p>
        </w:tc>
        <w:tc>
          <w:tcPr>
            <w:tcW w:w="1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eastAsia="zh-CN"/>
              </w:rPr>
            </w:pPr>
            <w:r>
              <w:rPr>
                <w:rFonts w:hint="default" w:ascii="Times New Roman" w:hAnsi="Times New Roman" w:eastAsia="宋体" w:cs="Times New Roman"/>
                <w:color w:val="auto"/>
                <w:kern w:val="0"/>
                <w:sz w:val="22"/>
                <w:szCs w:val="22"/>
                <w:highlight w:val="none"/>
                <w:lang w:val="en-US" w:eastAsia="zh-CN"/>
              </w:rPr>
              <w:t>2</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1284"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非压力</w:t>
            </w:r>
          </w:p>
        </w:tc>
        <w:tc>
          <w:tcPr>
            <w:tcW w:w="2463" w:type="dxa"/>
            <w:gridSpan w:val="2"/>
            <w:tcBorders>
              <w:top w:val="single" w:color="auto" w:sz="4" w:space="0"/>
              <w:left w:val="single" w:color="auto" w:sz="4" w:space="0"/>
              <w:bottom w:val="single" w:color="auto" w:sz="4" w:space="0"/>
              <w:right w:val="nil"/>
            </w:tcBorders>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10~30</w:t>
            </w:r>
          </w:p>
        </w:tc>
        <w:tc>
          <w:tcPr>
            <w:tcW w:w="1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柔性管线</w:t>
            </w:r>
          </w:p>
        </w:tc>
        <w:tc>
          <w:tcPr>
            <w:tcW w:w="2463" w:type="dxa"/>
            <w:gridSpan w:val="2"/>
            <w:tcBorders>
              <w:top w:val="single" w:color="auto" w:sz="4" w:space="0"/>
              <w:left w:val="single" w:color="auto" w:sz="4" w:space="0"/>
              <w:bottom w:val="single" w:color="auto" w:sz="4" w:space="0"/>
              <w:right w:val="nil"/>
            </w:tcBorders>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10~40</w:t>
            </w:r>
          </w:p>
        </w:tc>
        <w:tc>
          <w:tcPr>
            <w:tcW w:w="1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3~5</w:t>
            </w: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lang w:val="en-US" w:eastAsia="zh-CN"/>
              </w:rPr>
              <w:t>周边建筑物沉降</w:t>
            </w:r>
          </w:p>
        </w:tc>
        <w:tc>
          <w:tcPr>
            <w:tcW w:w="2463"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lang w:val="en-US" w:eastAsia="zh-CN"/>
              </w:rPr>
              <w:t>小于建筑物地基变形允许值</w:t>
            </w:r>
          </w:p>
        </w:tc>
        <w:tc>
          <w:tcPr>
            <w:tcW w:w="19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lang w:val="en-US" w:eastAsia="zh-CN"/>
              </w:rPr>
              <w:t>2~3</w:t>
            </w:r>
          </w:p>
        </w:tc>
      </w:tr>
    </w:tbl>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备注：1、</w:t>
      </w:r>
      <w:r>
        <w:rPr>
          <w:rFonts w:hint="default" w:ascii="Times New Roman" w:hAnsi="Times New Roman" w:eastAsia="宋体" w:cs="Times New Roman"/>
          <w:color w:val="auto"/>
          <w:kern w:val="0"/>
          <w:sz w:val="24"/>
          <w:szCs w:val="24"/>
          <w:highlight w:val="none"/>
          <w:lang w:val="en-US" w:eastAsia="zh-CN"/>
        </w:rPr>
        <w:t>H——基坑设计深度；f</w:t>
      </w:r>
      <w:r>
        <w:rPr>
          <w:rFonts w:hint="eastAsia" w:ascii="Times New Roman" w:hAnsi="Times New Roman" w:eastAsia="宋体" w:cs="Times New Roman"/>
          <w:color w:val="auto"/>
          <w:kern w:val="0"/>
          <w:sz w:val="24"/>
          <w:szCs w:val="24"/>
          <w:highlight w:val="none"/>
          <w:vertAlign w:val="subscript"/>
          <w:lang w:val="en-US" w:eastAsia="zh-CN"/>
        </w:rPr>
        <w:t>2</w:t>
      </w:r>
      <w:r>
        <w:rPr>
          <w:rFonts w:hint="default" w:ascii="Times New Roman" w:hAnsi="Times New Roman" w:eastAsia="宋体" w:cs="Times New Roman"/>
          <w:color w:val="auto"/>
          <w:kern w:val="0"/>
          <w:sz w:val="24"/>
          <w:szCs w:val="24"/>
          <w:highlight w:val="none"/>
          <w:lang w:val="en-US" w:eastAsia="zh-CN"/>
        </w:rPr>
        <w:t>——构件承载能力设计值，锚杆为极限抗拔承载力；f</w:t>
      </w:r>
      <w:r>
        <w:rPr>
          <w:rFonts w:hint="eastAsia" w:ascii="Times New Roman" w:hAnsi="Times New Roman" w:eastAsia="宋体" w:cs="Times New Roman"/>
          <w:color w:val="auto"/>
          <w:kern w:val="0"/>
          <w:sz w:val="24"/>
          <w:szCs w:val="24"/>
          <w:highlight w:val="none"/>
          <w:vertAlign w:val="subscript"/>
          <w:lang w:val="en-US" w:eastAsia="zh-CN"/>
        </w:rPr>
        <w:t>y</w:t>
      </w:r>
      <w:r>
        <w:rPr>
          <w:rFonts w:hint="default" w:ascii="Times New Roman" w:hAnsi="Times New Roman" w:eastAsia="宋体" w:cs="Times New Roman"/>
          <w:color w:val="auto"/>
          <w:kern w:val="0"/>
          <w:sz w:val="24"/>
          <w:szCs w:val="24"/>
          <w:highlight w:val="none"/>
          <w:lang w:val="en-US" w:eastAsia="zh-CN"/>
        </w:rPr>
        <w:t>——钢支撑、锚杆预应力设计值</w:t>
      </w:r>
      <w:r>
        <w:rPr>
          <w:rFonts w:hint="eastAsia" w:ascii="Times New Roman" w:hAnsi="Times New Roman" w:eastAsia="宋体" w:cs="Times New Roman"/>
          <w:color w:val="auto"/>
          <w:kern w:val="0"/>
          <w:sz w:val="24"/>
          <w:szCs w:val="24"/>
          <w:highlight w:val="none"/>
          <w:lang w:val="en-US" w:eastAsia="zh-CN"/>
        </w:rPr>
        <w:t>。</w:t>
      </w:r>
    </w:p>
    <w:p>
      <w:pPr>
        <w:autoSpaceDE w:val="0"/>
        <w:autoSpaceDN w:val="0"/>
        <w:adjustRightInd w:val="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累计值取绝对值和相对基坑深度</w:t>
      </w:r>
      <w:r>
        <w:rPr>
          <w:rFonts w:hint="default" w:ascii="Times New Roman" w:hAnsi="Times New Roman" w:eastAsia="宋体" w:cs="Times New Roman"/>
          <w:color w:val="auto"/>
          <w:kern w:val="0"/>
          <w:sz w:val="24"/>
          <w:szCs w:val="24"/>
          <w:highlight w:val="none"/>
          <w:lang w:val="en-US" w:eastAsia="zh-CN"/>
        </w:rPr>
        <w:t>H</w:t>
      </w:r>
      <w:r>
        <w:rPr>
          <w:rFonts w:hint="default" w:ascii="Times New Roman" w:hAnsi="Times New Roman" w:eastAsia="宋体" w:cs="Times New Roman"/>
          <w:color w:val="auto"/>
          <w:kern w:val="0"/>
          <w:sz w:val="24"/>
          <w:szCs w:val="24"/>
          <w:highlight w:val="none"/>
        </w:rPr>
        <w:t>控制值两者的小值；</w:t>
      </w:r>
    </w:p>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3、监测频率1次/（1~</w:t>
      </w: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）天，当监测项目的变化速率达到表中规定值或连续3d超过该值的70%，应报警且监测频率要求2次/天。</w:t>
      </w:r>
      <w:r>
        <w:rPr>
          <w:rFonts w:hint="default" w:ascii="Times New Roman" w:hAnsi="Times New Roman" w:eastAsia="宋体" w:cs="Times New Roman"/>
          <w:color w:val="auto"/>
          <w:kern w:val="0"/>
          <w:sz w:val="24"/>
          <w:szCs w:val="24"/>
          <w:highlight w:val="none"/>
          <w:lang w:val="en-US" w:eastAsia="zh-CN"/>
        </w:rPr>
        <w:tab/>
      </w:r>
    </w:p>
    <w:p>
      <w:pPr>
        <w:autoSpaceDE w:val="0"/>
        <w:autoSpaceDN w:val="0"/>
        <w:adjustRightInd w:val="0"/>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基坑安全等级为</w:t>
      </w:r>
      <w:r>
        <w:rPr>
          <w:rFonts w:hint="default" w:ascii="Times New Roman" w:hAnsi="Times New Roman" w:eastAsia="宋体" w:cs="Times New Roman"/>
          <w:b/>
          <w:color w:val="auto"/>
          <w:kern w:val="0"/>
          <w:sz w:val="24"/>
          <w:szCs w:val="24"/>
          <w:highlight w:val="none"/>
          <w:lang w:val="en-US" w:eastAsia="zh-CN"/>
        </w:rPr>
        <w:t>一</w:t>
      </w:r>
      <w:r>
        <w:rPr>
          <w:rFonts w:hint="default" w:ascii="Times New Roman" w:hAnsi="Times New Roman" w:eastAsia="宋体" w:cs="Times New Roman"/>
          <w:b/>
          <w:color w:val="auto"/>
          <w:kern w:val="0"/>
          <w:sz w:val="24"/>
          <w:szCs w:val="24"/>
          <w:highlight w:val="none"/>
        </w:rPr>
        <w:t>级段：</w:t>
      </w:r>
    </w:p>
    <w:tbl>
      <w:tblPr>
        <w:tblStyle w:val="24"/>
        <w:tblW w:w="8323" w:type="dxa"/>
        <w:jc w:val="center"/>
        <w:tblLayout w:type="fixed"/>
        <w:tblCellMar>
          <w:top w:w="0" w:type="dxa"/>
          <w:left w:w="10" w:type="dxa"/>
          <w:bottom w:w="0" w:type="dxa"/>
          <w:right w:w="10" w:type="dxa"/>
        </w:tblCellMar>
      </w:tblPr>
      <w:tblGrid>
        <w:gridCol w:w="1480"/>
        <w:gridCol w:w="1284"/>
        <w:gridCol w:w="1121"/>
        <w:gridCol w:w="1142"/>
        <w:gridCol w:w="1640"/>
        <w:gridCol w:w="1656"/>
      </w:tblGrid>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监测项目</w:t>
            </w:r>
          </w:p>
        </w:tc>
        <w:tc>
          <w:tcPr>
            <w:tcW w:w="2405" w:type="dxa"/>
            <w:gridSpan w:val="2"/>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支护类型</w:t>
            </w:r>
          </w:p>
        </w:tc>
        <w:tc>
          <w:tcPr>
            <w:tcW w:w="2782"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累计值</w:t>
            </w:r>
          </w:p>
        </w:tc>
        <w:tc>
          <w:tcPr>
            <w:tcW w:w="1656" w:type="dxa"/>
            <w:vMerge w:val="restart"/>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变化速率（mm/d）</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nil"/>
              <w:right w:val="nil"/>
            </w:tcBorders>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c>
          <w:tcPr>
            <w:tcW w:w="2405" w:type="dxa"/>
            <w:gridSpan w:val="2"/>
            <w:vMerge w:val="continue"/>
            <w:tcBorders>
              <w:left w:val="single" w:color="auto" w:sz="4" w:space="0"/>
              <w:bottom w:val="nil"/>
              <w:right w:val="nil"/>
            </w:tcBorders>
            <w:shd w:val="clear" w:color="auto" w:fill="FFFFFF"/>
            <w:vAlign w:val="top"/>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c>
          <w:tcPr>
            <w:tcW w:w="1142" w:type="dxa"/>
            <w:tcBorders>
              <w:top w:val="single" w:color="auto" w:sz="4" w:space="0"/>
              <w:left w:val="single" w:color="auto" w:sz="4" w:space="0"/>
              <w:bottom w:val="nil"/>
              <w:right w:val="nil"/>
            </w:tcBorders>
            <w:shd w:val="clear" w:color="auto" w:fill="FFFFFF"/>
            <w:vAlign w:val="top"/>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绝对值</w:t>
            </w:r>
          </w:p>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（mm）</w:t>
            </w:r>
          </w:p>
        </w:tc>
        <w:tc>
          <w:tcPr>
            <w:tcW w:w="1640" w:type="dxa"/>
            <w:tcBorders>
              <w:top w:val="single" w:color="auto" w:sz="4" w:space="0"/>
              <w:left w:val="single" w:color="auto" w:sz="4" w:space="0"/>
              <w:bottom w:val="nil"/>
              <w:right w:val="nil"/>
            </w:tcBorders>
            <w:shd w:val="clear" w:color="auto" w:fill="FFFFFF"/>
            <w:vAlign w:val="top"/>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相对基坑深度</w:t>
            </w:r>
          </w:p>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H</w:t>
            </w:r>
            <w:r>
              <w:rPr>
                <w:rFonts w:hint="default" w:ascii="Times New Roman" w:hAnsi="Times New Roman" w:eastAsia="宋体" w:cs="Times New Roman"/>
                <w:color w:val="auto"/>
                <w:kern w:val="0"/>
                <w:sz w:val="22"/>
                <w:szCs w:val="22"/>
                <w:highlight w:val="none"/>
              </w:rPr>
              <w:t>控制值</w:t>
            </w:r>
          </w:p>
        </w:tc>
        <w:tc>
          <w:tcPr>
            <w:tcW w:w="1656" w:type="dxa"/>
            <w:vMerge w:val="continue"/>
            <w:tcBorders>
              <w:top w:val="single" w:color="auto" w:sz="4" w:space="0"/>
              <w:left w:val="single" w:color="auto" w:sz="4" w:space="0"/>
              <w:bottom w:val="nil"/>
              <w:right w:val="single" w:color="auto" w:sz="4" w:space="0"/>
            </w:tcBorders>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支护结构顶部水平位移</w:t>
            </w:r>
          </w:p>
        </w:tc>
        <w:tc>
          <w:tcPr>
            <w:tcW w:w="2405"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土钉墙、复合土钉墙、锚喷支护、水泥土墙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rPr>
              <w:t>0</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rPr>
              <w:t>%</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0.4</w:t>
            </w: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3~5</w:t>
            </w:r>
          </w:p>
        </w:tc>
      </w:tr>
      <w:tr>
        <w:tblPrEx>
          <w:tblCellMar>
            <w:top w:w="0" w:type="dxa"/>
            <w:left w:w="10" w:type="dxa"/>
            <w:bottom w:w="0" w:type="dxa"/>
            <w:right w:w="10" w:type="dxa"/>
          </w:tblCellMar>
        </w:tblPrEx>
        <w:trPr>
          <w:trHeight w:val="454" w:hRule="atLeast"/>
          <w:jc w:val="center"/>
        </w:trPr>
        <w:tc>
          <w:tcPr>
            <w:tcW w:w="1480" w:type="dxa"/>
            <w:vMerge w:val="continue"/>
            <w:tcBorders>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灌注桩、地下连续墙、钢板桩、型钢水泥土墙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支护结构顶部竖向位移</w:t>
            </w: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土钉墙、复合土钉墙、锚喷支护</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4</w:t>
            </w: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p>
        </w:tc>
      </w:tr>
      <w:tr>
        <w:tblPrEx>
          <w:tblCellMar>
            <w:top w:w="0" w:type="dxa"/>
            <w:left w:w="10" w:type="dxa"/>
            <w:bottom w:w="0" w:type="dxa"/>
            <w:right w:w="10" w:type="dxa"/>
          </w:tblCellMar>
        </w:tblPrEx>
        <w:trPr>
          <w:trHeight w:val="435"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水泥土墙、型钢水泥土墙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eastAsia" w:ascii="Times New Roman" w:hAnsi="Times New Roman" w:eastAsia="宋体" w:cs="Times New Roman"/>
                <w:color w:val="auto"/>
                <w:kern w:val="0"/>
                <w:sz w:val="22"/>
                <w:szCs w:val="22"/>
                <w:highlight w:val="none"/>
                <w:lang w:val="en-US" w:eastAsia="zh-CN"/>
              </w:rPr>
              <w:t>/</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color w:val="auto"/>
                <w:kern w:val="0"/>
                <w:sz w:val="22"/>
                <w:szCs w:val="22"/>
                <w:highlight w:val="none"/>
                <w:lang w:eastAsia="zh-CN"/>
              </w:rPr>
            </w:pPr>
            <w:r>
              <w:rPr>
                <w:rFonts w:hint="eastAsia" w:ascii="Times New Roman" w:hAnsi="Times New Roman" w:eastAsia="宋体" w:cs="Times New Roman"/>
                <w:color w:val="auto"/>
                <w:kern w:val="0"/>
                <w:sz w:val="22"/>
                <w:szCs w:val="22"/>
                <w:highlight w:val="none"/>
                <w:lang w:val="en-US" w:eastAsia="zh-CN"/>
              </w:rPr>
              <w:t>/</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灌注桩、地下连续墙、钢板桩</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1</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1</w:t>
            </w:r>
            <w:r>
              <w:rPr>
                <w:rFonts w:hint="default" w:ascii="Times New Roman" w:hAnsi="Times New Roman" w:eastAsia="宋体" w:cs="Times New Roman"/>
                <w:color w:val="auto"/>
                <w:kern w:val="0"/>
                <w:sz w:val="22"/>
                <w:szCs w:val="22"/>
                <w:highlight w:val="none"/>
                <w:lang w:val="en-US" w:eastAsia="zh-CN"/>
              </w:rPr>
              <w:t>%~0.</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3</w:t>
            </w:r>
          </w:p>
        </w:tc>
      </w:tr>
      <w:tr>
        <w:tblPrEx>
          <w:tblCellMar>
            <w:top w:w="0" w:type="dxa"/>
            <w:left w:w="10" w:type="dxa"/>
            <w:bottom w:w="0" w:type="dxa"/>
            <w:right w:w="10" w:type="dxa"/>
          </w:tblCellMar>
        </w:tblPrEx>
        <w:trPr>
          <w:trHeight w:val="454" w:hRule="atLeast"/>
          <w:jc w:val="center"/>
        </w:trPr>
        <w:tc>
          <w:tcPr>
            <w:tcW w:w="1480" w:type="dxa"/>
            <w:vMerge w:val="restart"/>
            <w:tcBorders>
              <w:top w:val="single" w:color="auto" w:sz="4" w:space="0"/>
              <w:left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深层水平位移</w:t>
            </w: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复合土钉墙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40~60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0.4%~0.6%</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3~4</w:t>
            </w:r>
          </w:p>
        </w:tc>
      </w:tr>
      <w:tr>
        <w:tblPrEx>
          <w:tblCellMar>
            <w:top w:w="0" w:type="dxa"/>
            <w:left w:w="10" w:type="dxa"/>
            <w:bottom w:w="0" w:type="dxa"/>
            <w:right w:w="10" w:type="dxa"/>
          </w:tblCellMar>
        </w:tblPrEx>
        <w:trPr>
          <w:trHeight w:val="370" w:hRule="atLeast"/>
          <w:jc w:val="center"/>
        </w:trPr>
        <w:tc>
          <w:tcPr>
            <w:tcW w:w="1480" w:type="dxa"/>
            <w:vMerge w:val="continue"/>
            <w:tcBorders>
              <w:left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型钢水泥土墙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r>
      <w:tr>
        <w:tblPrEx>
          <w:tblCellMar>
            <w:top w:w="0" w:type="dxa"/>
            <w:left w:w="10" w:type="dxa"/>
            <w:bottom w:w="0" w:type="dxa"/>
            <w:right w:w="10" w:type="dxa"/>
          </w:tblCellMar>
        </w:tblPrEx>
        <w:trPr>
          <w:trHeight w:val="408" w:hRule="atLeast"/>
          <w:jc w:val="center"/>
        </w:trPr>
        <w:tc>
          <w:tcPr>
            <w:tcW w:w="1480" w:type="dxa"/>
            <w:vMerge w:val="continue"/>
            <w:tcBorders>
              <w:left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钢板桩</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rPr>
              <w:t>50</w:t>
            </w:r>
            <w:r>
              <w:rPr>
                <w:rFonts w:hint="default" w:ascii="Times New Roman" w:hAnsi="Times New Roman" w:eastAsia="宋体" w:cs="Times New Roman"/>
                <w:color w:val="auto"/>
                <w:kern w:val="0"/>
                <w:sz w:val="22"/>
                <w:szCs w:val="22"/>
                <w:highlight w:val="none"/>
                <w:lang w:val="en-US" w:eastAsia="zh-CN"/>
              </w:rPr>
              <w:t>~60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0.6%~0.7%</w:t>
            </w:r>
          </w:p>
        </w:tc>
        <w:tc>
          <w:tcPr>
            <w:tcW w:w="1656" w:type="dxa"/>
            <w:vMerge w:val="restart"/>
            <w:tcBorders>
              <w:top w:val="single" w:color="auto" w:sz="4" w:space="0"/>
              <w:left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2~3</w:t>
            </w:r>
          </w:p>
        </w:tc>
      </w:tr>
      <w:tr>
        <w:tblPrEx>
          <w:tblCellMar>
            <w:top w:w="0" w:type="dxa"/>
            <w:left w:w="10" w:type="dxa"/>
            <w:bottom w:w="0" w:type="dxa"/>
            <w:right w:w="10" w:type="dxa"/>
          </w:tblCellMar>
        </w:tblPrEx>
        <w:trPr>
          <w:trHeight w:val="454" w:hRule="atLeast"/>
          <w:jc w:val="center"/>
        </w:trPr>
        <w:tc>
          <w:tcPr>
            <w:tcW w:w="1480" w:type="dxa"/>
            <w:vMerge w:val="continue"/>
            <w:tcBorders>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灌注桩、地下连续墙</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30~50</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0.3%~0.4%</w:t>
            </w:r>
          </w:p>
        </w:tc>
        <w:tc>
          <w:tcPr>
            <w:tcW w:w="1656" w:type="dxa"/>
            <w:vMerge w:val="continue"/>
            <w:tcBorders>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地下水位</w:t>
            </w:r>
          </w:p>
        </w:tc>
        <w:tc>
          <w:tcPr>
            <w:tcW w:w="2782"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1000~2000（常年变幅以外）</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500</w:t>
            </w:r>
          </w:p>
        </w:tc>
      </w:tr>
      <w:tr>
        <w:tblPrEx>
          <w:tblCellMar>
            <w:top w:w="0" w:type="dxa"/>
            <w:left w:w="10" w:type="dxa"/>
            <w:bottom w:w="0" w:type="dxa"/>
            <w:right w:w="10" w:type="dxa"/>
          </w:tblCellMar>
        </w:tblPrEx>
        <w:trPr>
          <w:trHeight w:val="382"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支撑轴力</w:t>
            </w:r>
          </w:p>
        </w:tc>
        <w:tc>
          <w:tcPr>
            <w:tcW w:w="4438" w:type="dxa"/>
            <w:gridSpan w:val="3"/>
            <w:vMerge w:val="restart"/>
            <w:tcBorders>
              <w:top w:val="single" w:color="auto" w:sz="4" w:space="0"/>
              <w:left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vertAlign w:val="subscript"/>
                <w:lang w:val="en-US" w:eastAsia="zh-CN"/>
              </w:rPr>
            </w:pPr>
            <w:r>
              <w:rPr>
                <w:rFonts w:hint="default" w:ascii="Times New Roman" w:hAnsi="Times New Roman" w:eastAsia="宋体" w:cs="Times New Roman"/>
                <w:color w:val="auto"/>
                <w:kern w:val="0"/>
                <w:sz w:val="22"/>
                <w:szCs w:val="22"/>
                <w:highlight w:val="none"/>
                <w:lang w:val="en-US" w:eastAsia="zh-CN"/>
              </w:rPr>
              <w:t>最大值：（60%~80%）f</w:t>
            </w:r>
            <w:r>
              <w:rPr>
                <w:rFonts w:hint="eastAsia" w:ascii="Times New Roman" w:hAnsi="Times New Roman" w:eastAsia="宋体" w:cs="Times New Roman"/>
                <w:color w:val="auto"/>
                <w:kern w:val="0"/>
                <w:sz w:val="22"/>
                <w:szCs w:val="22"/>
                <w:highlight w:val="none"/>
                <w:vertAlign w:val="subscript"/>
                <w:lang w:val="en-US" w:eastAsia="zh-CN"/>
              </w:rPr>
              <w:t>2</w:t>
            </w:r>
          </w:p>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vertAlign w:val="subscript"/>
                <w:lang w:val="en-US" w:eastAsia="zh-CN"/>
              </w:rPr>
            </w:pPr>
            <w:r>
              <w:rPr>
                <w:rFonts w:hint="default" w:ascii="Times New Roman" w:hAnsi="Times New Roman" w:eastAsia="宋体" w:cs="Times New Roman"/>
                <w:color w:val="auto"/>
                <w:kern w:val="0"/>
                <w:sz w:val="22"/>
                <w:szCs w:val="22"/>
                <w:highlight w:val="none"/>
                <w:vertAlign w:val="baseline"/>
                <w:lang w:val="en-US" w:eastAsia="zh-CN"/>
              </w:rPr>
              <w:t>最小值：（80%~100%）</w:t>
            </w:r>
            <w:r>
              <w:rPr>
                <w:rFonts w:hint="default" w:ascii="Times New Roman" w:hAnsi="Times New Roman" w:eastAsia="宋体" w:cs="Times New Roman"/>
                <w:color w:val="auto"/>
                <w:kern w:val="0"/>
                <w:sz w:val="22"/>
                <w:szCs w:val="22"/>
                <w:highlight w:val="none"/>
                <w:lang w:val="en-US" w:eastAsia="zh-CN"/>
              </w:rPr>
              <w:t>f</w:t>
            </w:r>
            <w:r>
              <w:rPr>
                <w:rFonts w:hint="eastAsia" w:ascii="Times New Roman" w:hAnsi="Times New Roman" w:eastAsia="宋体" w:cs="Times New Roman"/>
                <w:color w:val="auto"/>
                <w:kern w:val="0"/>
                <w:sz w:val="22"/>
                <w:szCs w:val="22"/>
                <w:highlight w:val="none"/>
                <w:vertAlign w:val="subscript"/>
                <w:lang w:val="en-US" w:eastAsia="zh-CN"/>
              </w:rPr>
              <w:t>y</w:t>
            </w:r>
          </w:p>
        </w:tc>
      </w:tr>
      <w:tr>
        <w:tblPrEx>
          <w:tblCellMar>
            <w:top w:w="0" w:type="dxa"/>
            <w:left w:w="10" w:type="dxa"/>
            <w:bottom w:w="0" w:type="dxa"/>
            <w:right w:w="10" w:type="dxa"/>
          </w:tblCellMar>
        </w:tblPrEx>
        <w:trPr>
          <w:trHeight w:val="421"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锚杆轴力</w:t>
            </w:r>
          </w:p>
        </w:tc>
        <w:tc>
          <w:tcPr>
            <w:tcW w:w="4438" w:type="dxa"/>
            <w:gridSpan w:val="3"/>
            <w:vMerge w:val="continue"/>
            <w:tcBorders>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立柱沉降</w:t>
            </w:r>
          </w:p>
        </w:tc>
        <w:tc>
          <w:tcPr>
            <w:tcW w:w="1142"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vertAlign w:val="baseline"/>
                <w:lang w:val="en-US" w:eastAsia="zh-CN"/>
              </w:rPr>
            </w:pPr>
            <w:r>
              <w:rPr>
                <w:rFonts w:hint="default" w:ascii="Times New Roman" w:hAnsi="Times New Roman" w:eastAsia="宋体" w:cs="Times New Roman"/>
                <w:color w:val="auto"/>
                <w:kern w:val="0"/>
                <w:sz w:val="22"/>
                <w:szCs w:val="22"/>
                <w:highlight w:val="none"/>
                <w:lang w:val="en-US" w:eastAsia="zh-CN"/>
              </w:rPr>
              <w:t>20~30</w:t>
            </w:r>
          </w:p>
        </w:tc>
        <w:tc>
          <w:tcPr>
            <w:tcW w:w="1640"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2~3</w:t>
            </w: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周边地表沉降</w:t>
            </w:r>
          </w:p>
        </w:tc>
        <w:tc>
          <w:tcPr>
            <w:tcW w:w="1142"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5~</w:t>
            </w:r>
            <w:r>
              <w:rPr>
                <w:rFonts w:hint="eastAsia" w:ascii="Times New Roman" w:hAnsi="Times New Roman" w:eastAsia="宋体"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5</w:t>
            </w:r>
          </w:p>
        </w:tc>
        <w:tc>
          <w:tcPr>
            <w:tcW w:w="1640" w:type="dxa"/>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2~3</w:t>
            </w:r>
          </w:p>
        </w:tc>
      </w:tr>
      <w:tr>
        <w:tblPrEx>
          <w:tblCellMar>
            <w:top w:w="0" w:type="dxa"/>
            <w:left w:w="10" w:type="dxa"/>
            <w:bottom w:w="0" w:type="dxa"/>
            <w:right w:w="10" w:type="dxa"/>
          </w:tblCellMar>
        </w:tblPrEx>
        <w:trPr>
          <w:trHeight w:val="435" w:hRule="atLeast"/>
          <w:jc w:val="center"/>
        </w:trPr>
        <w:tc>
          <w:tcPr>
            <w:tcW w:w="1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rPr>
              <w:t>周边管线沉降</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刚性管道</w:t>
            </w: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lang w:val="en-US" w:eastAsia="zh-CN"/>
              </w:rPr>
              <w:t>压力</w:t>
            </w:r>
          </w:p>
        </w:tc>
        <w:tc>
          <w:tcPr>
            <w:tcW w:w="2782" w:type="dxa"/>
            <w:gridSpan w:val="2"/>
            <w:tcBorders>
              <w:top w:val="single" w:color="auto" w:sz="4" w:space="0"/>
              <w:left w:val="single" w:color="auto" w:sz="4" w:space="0"/>
              <w:bottom w:val="nil"/>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10~20</w:t>
            </w:r>
          </w:p>
        </w:tc>
        <w:tc>
          <w:tcPr>
            <w:tcW w:w="1656" w:type="dxa"/>
            <w:tcBorders>
              <w:top w:val="single" w:color="auto" w:sz="4" w:space="0"/>
              <w:left w:val="single" w:color="auto" w:sz="4" w:space="0"/>
              <w:bottom w:val="nil"/>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1284"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非压力</w:t>
            </w:r>
          </w:p>
        </w:tc>
        <w:tc>
          <w:tcPr>
            <w:tcW w:w="2782" w:type="dxa"/>
            <w:gridSpan w:val="2"/>
            <w:tcBorders>
              <w:top w:val="single" w:color="auto" w:sz="4" w:space="0"/>
              <w:left w:val="single" w:color="auto" w:sz="4" w:space="0"/>
              <w:bottom w:val="single" w:color="auto" w:sz="4" w:space="0"/>
              <w:right w:val="nil"/>
            </w:tcBorders>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10~30</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eastAsia="zh-CN"/>
              </w:rPr>
            </w:pPr>
            <w:r>
              <w:rPr>
                <w:rFonts w:hint="default" w:ascii="Times New Roman" w:hAnsi="Times New Roman" w:eastAsia="宋体" w:cs="Times New Roman"/>
                <w:color w:val="auto"/>
                <w:kern w:val="0"/>
                <w:sz w:val="22"/>
                <w:szCs w:val="22"/>
                <w:highlight w:val="none"/>
                <w:lang w:val="en-US" w:eastAsia="zh-CN"/>
              </w:rPr>
              <w:t>2</w:t>
            </w:r>
          </w:p>
        </w:tc>
      </w:tr>
      <w:tr>
        <w:tblPrEx>
          <w:tblCellMar>
            <w:top w:w="0" w:type="dxa"/>
            <w:left w:w="10" w:type="dxa"/>
            <w:bottom w:w="0" w:type="dxa"/>
            <w:right w:w="10" w:type="dxa"/>
          </w:tblCellMar>
        </w:tblPrEx>
        <w:trPr>
          <w:trHeight w:val="454" w:hRule="atLeast"/>
          <w:jc w:val="center"/>
        </w:trPr>
        <w:tc>
          <w:tcPr>
            <w:tcW w:w="1480" w:type="dxa"/>
            <w:vMerge w:val="continue"/>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rPr>
            </w:pPr>
          </w:p>
        </w:tc>
        <w:tc>
          <w:tcPr>
            <w:tcW w:w="2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柔性管线</w:t>
            </w:r>
          </w:p>
        </w:tc>
        <w:tc>
          <w:tcPr>
            <w:tcW w:w="2782" w:type="dxa"/>
            <w:gridSpan w:val="2"/>
            <w:tcBorders>
              <w:top w:val="single" w:color="auto" w:sz="4" w:space="0"/>
              <w:left w:val="single" w:color="auto" w:sz="4" w:space="0"/>
              <w:bottom w:val="single" w:color="auto" w:sz="4" w:space="0"/>
              <w:right w:val="nil"/>
            </w:tcBorders>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10~40</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3~5</w:t>
            </w:r>
          </w:p>
        </w:tc>
      </w:tr>
      <w:tr>
        <w:tblPrEx>
          <w:tblCellMar>
            <w:top w:w="0" w:type="dxa"/>
            <w:left w:w="10" w:type="dxa"/>
            <w:bottom w:w="0" w:type="dxa"/>
            <w:right w:w="10" w:type="dxa"/>
          </w:tblCellMar>
        </w:tblPrEx>
        <w:trPr>
          <w:trHeight w:val="454"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周边建筑物沉降</w:t>
            </w:r>
          </w:p>
        </w:tc>
        <w:tc>
          <w:tcPr>
            <w:tcW w:w="2782" w:type="dxa"/>
            <w:gridSpan w:val="2"/>
            <w:tcBorders>
              <w:top w:val="single" w:color="auto" w:sz="4" w:space="0"/>
              <w:left w:val="single" w:color="auto" w:sz="4" w:space="0"/>
              <w:bottom w:val="single" w:color="auto" w:sz="4" w:space="0"/>
              <w:right w:val="nil"/>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小于建筑物地基变形允许值</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autoSpaceDE w:val="0"/>
              <w:autoSpaceDN w:val="0"/>
              <w:adjustRightInd w:val="0"/>
              <w:spacing w:line="240" w:lineRule="auto"/>
              <w:ind w:firstLine="0" w:firstLineChars="0"/>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2~3</w:t>
            </w:r>
          </w:p>
        </w:tc>
      </w:tr>
    </w:tbl>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备注：1、</w:t>
      </w:r>
      <w:r>
        <w:rPr>
          <w:rFonts w:hint="default" w:ascii="Times New Roman" w:hAnsi="Times New Roman" w:eastAsia="宋体" w:cs="Times New Roman"/>
          <w:color w:val="auto"/>
          <w:kern w:val="0"/>
          <w:sz w:val="24"/>
          <w:szCs w:val="24"/>
          <w:highlight w:val="none"/>
          <w:lang w:val="en-US" w:eastAsia="zh-CN"/>
        </w:rPr>
        <w:t>H——基坑设计深度；f</w:t>
      </w:r>
      <w:r>
        <w:rPr>
          <w:rFonts w:hint="eastAsia" w:ascii="Times New Roman" w:hAnsi="Times New Roman" w:eastAsia="宋体" w:cs="Times New Roman"/>
          <w:color w:val="auto"/>
          <w:kern w:val="0"/>
          <w:sz w:val="24"/>
          <w:szCs w:val="24"/>
          <w:highlight w:val="none"/>
          <w:vertAlign w:val="subscript"/>
          <w:lang w:val="en-US" w:eastAsia="zh-CN"/>
        </w:rPr>
        <w:t>2</w:t>
      </w:r>
      <w:r>
        <w:rPr>
          <w:rFonts w:hint="default" w:ascii="Times New Roman" w:hAnsi="Times New Roman" w:eastAsia="宋体" w:cs="Times New Roman"/>
          <w:color w:val="auto"/>
          <w:kern w:val="0"/>
          <w:sz w:val="24"/>
          <w:szCs w:val="24"/>
          <w:highlight w:val="none"/>
          <w:lang w:val="en-US" w:eastAsia="zh-CN"/>
        </w:rPr>
        <w:t>——构件承载能力设计值，锚杆为极限抗拔承载力；f</w:t>
      </w:r>
      <w:r>
        <w:rPr>
          <w:rFonts w:hint="eastAsia" w:ascii="Times New Roman" w:hAnsi="Times New Roman" w:eastAsia="宋体" w:cs="Times New Roman"/>
          <w:color w:val="auto"/>
          <w:kern w:val="0"/>
          <w:sz w:val="24"/>
          <w:szCs w:val="24"/>
          <w:highlight w:val="none"/>
          <w:vertAlign w:val="subscript"/>
          <w:lang w:val="en-US" w:eastAsia="zh-CN"/>
        </w:rPr>
        <w:t>y</w:t>
      </w:r>
      <w:r>
        <w:rPr>
          <w:rFonts w:hint="default" w:ascii="Times New Roman" w:hAnsi="Times New Roman" w:eastAsia="宋体" w:cs="Times New Roman"/>
          <w:color w:val="auto"/>
          <w:kern w:val="0"/>
          <w:sz w:val="24"/>
          <w:szCs w:val="24"/>
          <w:highlight w:val="none"/>
          <w:lang w:val="en-US" w:eastAsia="zh-CN"/>
        </w:rPr>
        <w:t>——钢支撑、锚杆预应力设计值</w:t>
      </w:r>
      <w:r>
        <w:rPr>
          <w:rFonts w:hint="eastAsia" w:ascii="Times New Roman" w:hAnsi="Times New Roman" w:eastAsia="宋体" w:cs="Times New Roman"/>
          <w:color w:val="auto"/>
          <w:kern w:val="0"/>
          <w:sz w:val="24"/>
          <w:szCs w:val="24"/>
          <w:highlight w:val="none"/>
          <w:lang w:val="en-US" w:eastAsia="zh-CN"/>
        </w:rPr>
        <w:t>。</w:t>
      </w:r>
    </w:p>
    <w:p>
      <w:pPr>
        <w:autoSpaceDE w:val="0"/>
        <w:autoSpaceDN w:val="0"/>
        <w:adjustRightInd w:val="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累计值取绝对值和相对基坑深度</w:t>
      </w:r>
      <w:r>
        <w:rPr>
          <w:rFonts w:hint="default" w:ascii="Times New Roman" w:hAnsi="Times New Roman" w:eastAsia="宋体" w:cs="Times New Roman"/>
          <w:color w:val="auto"/>
          <w:kern w:val="0"/>
          <w:sz w:val="24"/>
          <w:szCs w:val="24"/>
          <w:highlight w:val="none"/>
          <w:lang w:val="en-US" w:eastAsia="zh-CN"/>
        </w:rPr>
        <w:t>H</w:t>
      </w:r>
      <w:r>
        <w:rPr>
          <w:rFonts w:hint="default" w:ascii="Times New Roman" w:hAnsi="Times New Roman" w:eastAsia="宋体" w:cs="Times New Roman"/>
          <w:color w:val="auto"/>
          <w:kern w:val="0"/>
          <w:sz w:val="24"/>
          <w:szCs w:val="24"/>
          <w:highlight w:val="none"/>
        </w:rPr>
        <w:t>控制值两者的小值；</w:t>
      </w:r>
    </w:p>
    <w:p>
      <w:pPr>
        <w:autoSpaceDE w:val="0"/>
        <w:autoSpaceDN w:val="0"/>
        <w:adjustRightInd w:val="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lang w:val="en-US" w:eastAsia="zh-CN"/>
        </w:rPr>
        <w:t>3、监测频率1次/（1~2）天，当监测项目的变化速率达到表中规定值或连续3d超过该值的70%，应报警且监测频率要求2次/天。</w:t>
      </w:r>
      <w:r>
        <w:rPr>
          <w:rFonts w:hint="default" w:ascii="Times New Roman" w:hAnsi="Times New Roman" w:eastAsia="宋体" w:cs="Times New Roman"/>
          <w:color w:val="auto"/>
          <w:kern w:val="0"/>
          <w:sz w:val="24"/>
          <w:szCs w:val="24"/>
          <w:highlight w:val="none"/>
          <w:lang w:val="en-US" w:eastAsia="zh-CN"/>
        </w:rPr>
        <w:tab/>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16" w:name="_Toc142057524"/>
      <w:bookmarkStart w:id="217" w:name="_Toc1318"/>
      <w:r>
        <w:rPr>
          <w:rFonts w:hint="default" w:ascii="Times New Roman" w:hAnsi="Times New Roman" w:eastAsia="宋体" w:cs="Times New Roman"/>
          <w:b/>
          <w:color w:val="auto"/>
          <w:sz w:val="24"/>
          <w:szCs w:val="24"/>
          <w:highlight w:val="none"/>
          <w:lang w:val="en-US" w:eastAsia="zh-CN"/>
        </w:rPr>
        <w:t>1.1.4</w:t>
      </w:r>
      <w:r>
        <w:rPr>
          <w:rFonts w:hint="default" w:ascii="Times New Roman" w:hAnsi="Times New Roman" w:eastAsia="宋体" w:cs="Times New Roman"/>
          <w:b/>
          <w:color w:val="auto"/>
          <w:sz w:val="24"/>
          <w:szCs w:val="24"/>
          <w:highlight w:val="none"/>
        </w:rPr>
        <w:t>监测工程布置</w:t>
      </w:r>
      <w:bookmarkEnd w:id="216"/>
      <w:bookmarkEnd w:id="217"/>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工程施工前，监测单位应编制监测方案。监测方案应经建设、设计、监理等单位同意，必要时还需征求市政道路、河涌堤围、地下管线、人防、铁路、建筑物所有者等有关部门意见后方可实施。</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编写监测方案前，委托方应向监测单位提供下列资料：</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①岩土工程勘察</w:t>
      </w:r>
      <w:r>
        <w:rPr>
          <w:rFonts w:hint="eastAsia" w:ascii="Times New Roman" w:hAnsi="Times New Roman" w:eastAsia="宋体" w:cs="Times New Roman"/>
          <w:color w:val="auto"/>
          <w:kern w:val="0"/>
          <w:sz w:val="24"/>
          <w:szCs w:val="28"/>
          <w:highlight w:val="none"/>
          <w:lang w:val="en-US" w:eastAsia="zh-CN"/>
        </w:rPr>
        <w:t>报告</w:t>
      </w:r>
      <w:r>
        <w:rPr>
          <w:rFonts w:hint="default" w:ascii="Times New Roman" w:hAnsi="Times New Roman" w:eastAsia="宋体" w:cs="Times New Roman"/>
          <w:color w:val="auto"/>
          <w:kern w:val="0"/>
          <w:sz w:val="24"/>
          <w:szCs w:val="28"/>
          <w:highlight w:val="none"/>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②基坑</w:t>
      </w:r>
      <w:r>
        <w:rPr>
          <w:rFonts w:hint="eastAsia" w:ascii="Times New Roman" w:hAnsi="Times New Roman" w:eastAsia="宋体" w:cs="Times New Roman"/>
          <w:color w:val="auto"/>
          <w:kern w:val="0"/>
          <w:sz w:val="24"/>
          <w:szCs w:val="28"/>
          <w:highlight w:val="none"/>
          <w:lang w:val="en-US" w:eastAsia="zh-CN"/>
        </w:rPr>
        <w:t>支护</w:t>
      </w:r>
      <w:r>
        <w:rPr>
          <w:rFonts w:hint="default" w:ascii="Times New Roman" w:hAnsi="Times New Roman" w:eastAsia="宋体" w:cs="Times New Roman"/>
          <w:color w:val="auto"/>
          <w:kern w:val="0"/>
          <w:sz w:val="24"/>
          <w:szCs w:val="28"/>
          <w:highlight w:val="none"/>
        </w:rPr>
        <w:t>设计</w:t>
      </w:r>
      <w:r>
        <w:rPr>
          <w:rFonts w:hint="eastAsia" w:ascii="Times New Roman" w:hAnsi="Times New Roman" w:eastAsia="宋体" w:cs="Times New Roman"/>
          <w:color w:val="auto"/>
          <w:kern w:val="0"/>
          <w:sz w:val="24"/>
          <w:szCs w:val="28"/>
          <w:highlight w:val="none"/>
          <w:lang w:val="en-US" w:eastAsia="zh-CN"/>
        </w:rPr>
        <w:t>文件</w:t>
      </w:r>
      <w:r>
        <w:rPr>
          <w:rFonts w:hint="default" w:ascii="Times New Roman" w:hAnsi="Times New Roman" w:eastAsia="宋体" w:cs="Times New Roman"/>
          <w:color w:val="auto"/>
          <w:kern w:val="0"/>
          <w:sz w:val="24"/>
          <w:szCs w:val="28"/>
          <w:highlight w:val="none"/>
        </w:rPr>
        <w:t>；</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③</w:t>
      </w:r>
      <w:r>
        <w:rPr>
          <w:rFonts w:hint="eastAsia" w:ascii="Times New Roman" w:hAnsi="Times New Roman" w:eastAsia="宋体" w:cs="Times New Roman"/>
          <w:color w:val="auto"/>
          <w:kern w:val="0"/>
          <w:sz w:val="24"/>
          <w:szCs w:val="28"/>
          <w:highlight w:val="none"/>
          <w:lang w:val="en-US" w:eastAsia="zh-CN"/>
        </w:rPr>
        <w:t>基坑工程施工方案或施工组织设计；</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eastAsia" w:ascii="Times New Roman" w:hAnsi="Times New Roman" w:eastAsia="宋体" w:cs="Times New Roman"/>
          <w:color w:val="auto"/>
          <w:kern w:val="0"/>
          <w:sz w:val="24"/>
          <w:szCs w:val="28"/>
          <w:highlight w:val="none"/>
          <w:lang w:val="en-US" w:eastAsia="zh-CN"/>
        </w:rPr>
        <w:t>④</w:t>
      </w:r>
      <w:r>
        <w:rPr>
          <w:rFonts w:hint="default" w:ascii="Times New Roman" w:hAnsi="Times New Roman" w:eastAsia="宋体" w:cs="Times New Roman"/>
          <w:color w:val="auto"/>
          <w:kern w:val="0"/>
          <w:sz w:val="24"/>
          <w:szCs w:val="28"/>
          <w:highlight w:val="none"/>
        </w:rPr>
        <w:t>基坑工程影响范围内的道路、桥梁、地下管线、河涌分布、建筑物、地下设施等的周边环境有关资料。</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 xml:space="preserve"> 基准点应设置在变形影响范围以外且位置稳定、易于长期保存的地方，宜避开高压线。基准点应埋设标石或标志，且应在埋设达到稳定后方可开始进行变形测量。稳定期应根据观测要求与地质条件确定，不宜少于7d。</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基准点可分为沉降基准点和位移基准点。当需同时测定建筑的沉降和位移或三维变形时，宜设置同时满足沉降基准点和位移基准点布设要求的基准点。</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当基准点与所测建筑距离较远致使变形测量作业不方便时，宜设置工作基点，并应符合下列规定:</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eastAsia" w:ascii="Times New Roman" w:hAnsi="Times New Roman" w:eastAsia="宋体" w:cs="Times New Roman"/>
          <w:color w:val="auto"/>
          <w:kern w:val="0"/>
          <w:sz w:val="24"/>
          <w:szCs w:val="28"/>
          <w:highlight w:val="none"/>
          <w:lang w:eastAsia="zh-CN"/>
        </w:rPr>
        <w:t>（</w:t>
      </w:r>
      <w:r>
        <w:rPr>
          <w:rFonts w:hint="eastAsia" w:ascii="Times New Roman" w:hAnsi="Times New Roman" w:eastAsia="宋体" w:cs="Times New Roman"/>
          <w:color w:val="auto"/>
          <w:kern w:val="0"/>
          <w:sz w:val="24"/>
          <w:szCs w:val="28"/>
          <w:highlight w:val="none"/>
          <w:lang w:val="en-US" w:eastAsia="zh-CN"/>
        </w:rPr>
        <w:t>1</w:t>
      </w:r>
      <w:r>
        <w:rPr>
          <w:rFonts w:hint="eastAsia"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工作基点应设在相对稳定且便于进行作业的地方，并应设置相应的标志。</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eastAsia" w:ascii="Times New Roman" w:hAnsi="Times New Roman" w:eastAsia="宋体" w:cs="Times New Roman"/>
          <w:color w:val="auto"/>
          <w:kern w:val="0"/>
          <w:sz w:val="24"/>
          <w:szCs w:val="28"/>
          <w:highlight w:val="none"/>
          <w:lang w:eastAsia="zh-CN"/>
        </w:rPr>
        <w:t>（</w:t>
      </w:r>
      <w:r>
        <w:rPr>
          <w:rFonts w:hint="eastAsia" w:ascii="Times New Roman" w:hAnsi="Times New Roman" w:eastAsia="宋体" w:cs="Times New Roman"/>
          <w:color w:val="auto"/>
          <w:kern w:val="0"/>
          <w:sz w:val="24"/>
          <w:szCs w:val="28"/>
          <w:highlight w:val="none"/>
          <w:lang w:val="en-US" w:eastAsia="zh-CN"/>
        </w:rPr>
        <w:t>2</w:t>
      </w:r>
      <w:r>
        <w:rPr>
          <w:rFonts w:hint="eastAsia"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每期变形测量作业开始时，应先将工作基点与基准点进行联测，再利用工作基点对监测点进行观测。</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eastAsia="zh-CN"/>
        </w:rPr>
        <w:t>（</w:t>
      </w:r>
      <w:r>
        <w:rPr>
          <w:rFonts w:hint="eastAsia" w:ascii="Times New Roman" w:hAnsi="Times New Roman" w:eastAsia="宋体" w:cs="Times New Roman"/>
          <w:color w:val="auto"/>
          <w:kern w:val="0"/>
          <w:sz w:val="24"/>
          <w:szCs w:val="28"/>
          <w:highlight w:val="none"/>
          <w:lang w:val="en-US" w:eastAsia="zh-CN"/>
        </w:rPr>
        <w:t>3</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基准点测量及基准点与工作基点之间联测的精度等级对四等变形测量，应采用三等沉降或位移观测精度;对其他等级变形测量，不应低于所选沉降或位移观测精度等级。</w:t>
      </w:r>
      <w:r>
        <w:rPr>
          <w:rFonts w:hint="default" w:ascii="Times New Roman" w:hAnsi="Times New Roman" w:eastAsia="宋体" w:cs="Times New Roman"/>
          <w:color w:val="auto"/>
          <w:kern w:val="0"/>
          <w:sz w:val="24"/>
          <w:szCs w:val="28"/>
          <w:highlight w:val="none"/>
          <w:lang w:val="en-US" w:eastAsia="zh-CN"/>
        </w:rPr>
        <w:t>（建筑变形测量规范 JGJ 8-2016）</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基坑工程监测点的布置应能反映监测对象的实际状态及其变化趋势，临近河堤、房屋、电塔及构筑物需增加变形观测点。观测点位置可视周边环境及重要性作适当调整，并应满足监控要求。监测标志应稳固、明显、结构合理，监测点的位置应避开障碍物，便于观测。</w:t>
      </w:r>
    </w:p>
    <w:p>
      <w:pPr>
        <w:numPr>
          <w:ilvl w:val="0"/>
          <w:numId w:val="0"/>
        </w:num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1）</w:t>
      </w:r>
      <w:r>
        <w:rPr>
          <w:rFonts w:hint="default" w:ascii="Times New Roman" w:hAnsi="Times New Roman" w:eastAsia="宋体" w:cs="Times New Roman"/>
          <w:color w:val="auto"/>
          <w:kern w:val="0"/>
          <w:sz w:val="24"/>
          <w:szCs w:val="28"/>
          <w:highlight w:val="none"/>
        </w:rPr>
        <w:t>支护结构(坡)顶部水平和竖向位移监测：监测点应沿着基坑周边布置，基坑各测边中部、阳角处、邻近被保护对象的部位应布置监测点。监测点水平间距不宜大于20m，每边监测点数目不少于3个。水平和竖向位移监测点宜为共用点，监测点宜设置在围护结构顶或基坑坡顶上。</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80" w:leftChars="200" w:firstLine="480" w:firstLineChars="200"/>
        <w:jc w:val="both"/>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4"/>
          <w:szCs w:val="28"/>
          <w:highlight w:val="none"/>
          <w:lang w:val="en-US" w:eastAsia="zh-CN" w:bidi="ar-SA"/>
        </w:rPr>
        <w:t>（2）深层水平位移监测：监测点宜布置在基坑周边的中部、阳角处及有代表性的部位。监测点水平间距宜为20m~60m，每侧边监测点数目不应少于1个。用测斜仪观测深层水平位移时，侧斜管埋设深度应符合下列规定：</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0" w:leftChars="0" w:firstLine="420" w:firstLineChars="200"/>
        <w:jc w:val="both"/>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1"/>
          <w:szCs w:val="28"/>
          <w:highlight w:val="none"/>
          <w:lang w:val="en-US" w:eastAsia="zh-CN" w:bidi="ar-SA"/>
        </w:rPr>
        <w:t>①</w:t>
      </w:r>
      <w:r>
        <w:rPr>
          <w:rFonts w:hint="default" w:ascii="Times New Roman" w:hAnsi="Times New Roman" w:eastAsia="宋体" w:cs="Times New Roman"/>
          <w:color w:val="auto"/>
          <w:kern w:val="2"/>
          <w:sz w:val="24"/>
          <w:szCs w:val="28"/>
          <w:highlight w:val="none"/>
          <w:lang w:val="en-US" w:eastAsia="zh-CN" w:bidi="ar-SA"/>
        </w:rPr>
        <w:t xml:space="preserve"> 埋设在围护墙体内的侧斜管，布置深度宜与围护墙入土深度相同；</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0" w:leftChars="0" w:firstLine="420" w:firstLineChars="200"/>
        <w:jc w:val="both"/>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1"/>
          <w:szCs w:val="28"/>
          <w:highlight w:val="none"/>
          <w:lang w:val="en-US" w:eastAsia="zh-CN" w:bidi="ar-SA"/>
        </w:rPr>
        <w:t>②</w:t>
      </w:r>
      <w:r>
        <w:rPr>
          <w:rFonts w:hint="default" w:ascii="Times New Roman" w:hAnsi="Times New Roman" w:eastAsia="宋体" w:cs="Times New Roman"/>
          <w:color w:val="auto"/>
          <w:kern w:val="2"/>
          <w:sz w:val="24"/>
          <w:szCs w:val="28"/>
          <w:highlight w:val="none"/>
          <w:lang w:val="en-US" w:eastAsia="zh-CN" w:bidi="ar-SA"/>
        </w:rPr>
        <w:t xml:space="preserve"> 埋设在土体中的测斜管，长度不宜小于基坑深度的1.5倍，并应大于围护墙的深度，以测斜管底为固定起算点时，管底应嵌入到稳定的土体或岩体中。</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3）</w:t>
      </w:r>
      <w:r>
        <w:rPr>
          <w:rFonts w:hint="default" w:ascii="Times New Roman" w:hAnsi="Times New Roman" w:eastAsia="宋体" w:cs="Times New Roman"/>
          <w:color w:val="auto"/>
          <w:kern w:val="0"/>
          <w:sz w:val="24"/>
          <w:szCs w:val="28"/>
          <w:highlight w:val="none"/>
        </w:rPr>
        <w:t>地下水位</w:t>
      </w:r>
      <w:r>
        <w:rPr>
          <w:rFonts w:hint="default" w:ascii="Times New Roman" w:hAnsi="Times New Roman" w:eastAsia="宋体" w:cs="Times New Roman"/>
          <w:color w:val="auto"/>
          <w:kern w:val="0"/>
          <w:sz w:val="24"/>
          <w:szCs w:val="28"/>
          <w:highlight w:val="none"/>
          <w:lang w:val="en-US" w:eastAsia="zh-CN"/>
        </w:rPr>
        <w:t>监测</w:t>
      </w:r>
      <w:r>
        <w:rPr>
          <w:rFonts w:hint="default" w:ascii="Times New Roman" w:hAnsi="Times New Roman" w:eastAsia="宋体" w:cs="Times New Roman"/>
          <w:color w:val="auto"/>
          <w:kern w:val="0"/>
          <w:sz w:val="24"/>
          <w:szCs w:val="28"/>
          <w:highlight w:val="none"/>
        </w:rPr>
        <w:t>：基坑外地下水位监测点应沿基坑、被保护对象的周边或在基坑，与被保护对象之间布置，监测点间距宜为20</w:t>
      </w:r>
      <w:r>
        <w:rPr>
          <w:rFonts w:hint="default" w:ascii="Times New Roman" w:hAnsi="Times New Roman" w:eastAsia="宋体" w:cs="Times New Roman"/>
          <w:color w:val="auto"/>
          <w:kern w:val="0"/>
          <w:sz w:val="24"/>
          <w:szCs w:val="28"/>
          <w:highlight w:val="none"/>
          <w:lang w:val="en-US" w:eastAsia="zh-CN"/>
        </w:rPr>
        <w:t>~</w:t>
      </w:r>
      <w:r>
        <w:rPr>
          <w:rFonts w:hint="default" w:ascii="Times New Roman" w:hAnsi="Times New Roman" w:eastAsia="宋体" w:cs="Times New Roman"/>
          <w:color w:val="auto"/>
          <w:kern w:val="0"/>
          <w:sz w:val="24"/>
          <w:szCs w:val="28"/>
          <w:highlight w:val="none"/>
        </w:rPr>
        <w:t>50m。相邻建筑、重要的管线或管线密集处应布置水位监测点，当有止水帷幕时，宜布置在止水帷幕的外侧约2m处。水位观测管的管底埋设深度应在最低设计水位或最低允许地下水位之下3m</w:t>
      </w:r>
      <w:r>
        <w:rPr>
          <w:rFonts w:hint="default" w:ascii="Times New Roman" w:hAnsi="Times New Roman" w:eastAsia="宋体" w:cs="Times New Roman"/>
          <w:color w:val="auto"/>
          <w:kern w:val="0"/>
          <w:sz w:val="24"/>
          <w:szCs w:val="28"/>
          <w:highlight w:val="none"/>
          <w:lang w:val="en-US" w:eastAsia="zh-CN"/>
        </w:rPr>
        <w:t>~</w:t>
      </w:r>
      <w:r>
        <w:rPr>
          <w:rFonts w:hint="default" w:ascii="Times New Roman" w:hAnsi="Times New Roman" w:eastAsia="宋体" w:cs="Times New Roman"/>
          <w:color w:val="auto"/>
          <w:kern w:val="0"/>
          <w:sz w:val="24"/>
          <w:szCs w:val="28"/>
          <w:highlight w:val="none"/>
        </w:rPr>
        <w:t>5m。承压水水位监测管的虑管应埋置在所测的承压含水层中。</w:t>
      </w:r>
    </w:p>
    <w:p>
      <w:pPr>
        <w:widowControl w:val="0"/>
        <w:numPr>
          <w:ilvl w:val="0"/>
          <w:numId w:val="0"/>
        </w:numPr>
        <w:autoSpaceDE w:val="0"/>
        <w:autoSpaceDN w:val="0"/>
        <w:adjustRightInd w:val="0"/>
        <w:spacing w:beforeLines="0" w:after="0" w:afterLines="0"/>
        <w:ind w:left="120" w:firstLine="480" w:firstLineChars="200"/>
        <w:jc w:val="left"/>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8"/>
          <w:highlight w:val="none"/>
          <w:lang w:val="en-US" w:eastAsia="zh-CN" w:bidi="ar-SA"/>
        </w:rPr>
        <w:t>支撑轴力监测：监测断面的平面位置宜设置在支撑设计计算内力较大、基坑阳角处或在整个支撑系统中起控制作用的杆件上；每层支撑的轴力监测点不应少于3个，各层支撑的监测点位置宜在竖向保持一致；钢支撑的监测断面宜选择在支撑的端头或两支点间1/3部位，混凝土支撑的监测断面宜选择在两点间1/3部位，并避开节点位置；每个监测点传感器的设置数量及布置应满足不同传感器的测试要求。</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4"/>
          <w:szCs w:val="28"/>
          <w:highlight w:val="none"/>
          <w:lang w:val="en-US" w:eastAsia="zh-CN" w:bidi="ar-SA"/>
        </w:rPr>
        <w:t>（5）立柱的竖向位移监测：宜布置在基坑中部多根支撑交汇处、地质条件复杂处的立柱上;监测点不应少于立柱总根数的5%，逆作法施工的基坑不应少于10%，且均不应少于3根。立柱的内力监测点宜布置在设计计算受力较大的立柱上，位置宜设在坑底以上各层立柱下部的 1/3 部位，每个截面传感器理设不应少于4个。</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4"/>
          <w:szCs w:val="28"/>
          <w:highlight w:val="none"/>
          <w:lang w:val="en-US" w:eastAsia="zh-CN" w:bidi="ar-SA"/>
        </w:rPr>
        <w:t>（6）</w:t>
      </w:r>
      <w:r>
        <w:rPr>
          <w:rFonts w:hint="eastAsia" w:ascii="Times New Roman" w:hAnsi="Times New Roman" w:eastAsia="宋体" w:cs="Times New Roman"/>
          <w:color w:val="auto"/>
          <w:kern w:val="2"/>
          <w:sz w:val="24"/>
          <w:szCs w:val="28"/>
          <w:highlight w:val="none"/>
          <w:lang w:val="en-US" w:eastAsia="zh-CN" w:bidi="ar-SA"/>
        </w:rPr>
        <w:t>锚杆轴力监测：监测断面的平面位置应选择在设计计算受力较大且有代表性的位置,基坑每侧边中部、阳角处和地质条件复杂的区段内宜布置监测点。每层锚杆的内力监测点数量应为该层锚杆总数的1%~3%,且基坑每边不应少于1根。各层监测点位置在竖向上宜保持一致。每根杆体上的测试点宜设置在锚头附近和受力有代表性的位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val="en-US" w:eastAsia="zh-CN"/>
        </w:rPr>
        <w:t>（</w:t>
      </w:r>
      <w:r>
        <w:rPr>
          <w:rFonts w:hint="eastAsia" w:ascii="Times New Roman" w:hAnsi="Times New Roman" w:eastAsia="宋体" w:cs="Times New Roman"/>
          <w:color w:val="auto"/>
          <w:kern w:val="0"/>
          <w:sz w:val="24"/>
          <w:szCs w:val="28"/>
          <w:highlight w:val="none"/>
          <w:lang w:val="en-US" w:eastAsia="zh-CN"/>
        </w:rPr>
        <w:t>7</w:t>
      </w:r>
      <w:r>
        <w:rPr>
          <w:rFonts w:hint="default" w:ascii="Times New Roman" w:hAnsi="Times New Roman" w:eastAsia="宋体" w:cs="Times New Roman"/>
          <w:color w:val="auto"/>
          <w:kern w:val="0"/>
          <w:sz w:val="24"/>
          <w:szCs w:val="28"/>
          <w:highlight w:val="none"/>
          <w:lang w:val="en-US" w:eastAsia="zh-CN"/>
        </w:rPr>
        <w:t>）</w:t>
      </w:r>
      <w:r>
        <w:rPr>
          <w:rFonts w:hint="default" w:ascii="Times New Roman" w:hAnsi="Times New Roman" w:eastAsia="宋体" w:cs="Times New Roman"/>
          <w:color w:val="auto"/>
          <w:kern w:val="0"/>
          <w:sz w:val="24"/>
          <w:szCs w:val="28"/>
          <w:highlight w:val="none"/>
        </w:rPr>
        <w:t>周边</w:t>
      </w:r>
      <w:r>
        <w:rPr>
          <w:rFonts w:hint="eastAsia" w:ascii="Times New Roman" w:hAnsi="Times New Roman" w:eastAsia="宋体" w:cs="Times New Roman"/>
          <w:color w:val="auto"/>
          <w:kern w:val="0"/>
          <w:sz w:val="24"/>
          <w:szCs w:val="28"/>
          <w:highlight w:val="none"/>
          <w:lang w:val="en-US" w:eastAsia="zh-CN"/>
        </w:rPr>
        <w:t>/</w:t>
      </w:r>
      <w:r>
        <w:rPr>
          <w:rFonts w:hint="eastAsia" w:ascii="Times New Roman" w:hAnsi="Times New Roman" w:eastAsia="宋体" w:cs="Times New Roman"/>
          <w:color w:val="auto"/>
          <w:kern w:val="0"/>
          <w:sz w:val="24"/>
          <w:szCs w:val="24"/>
          <w:highlight w:val="none"/>
          <w:lang w:val="en-US" w:eastAsia="zh-CN"/>
        </w:rPr>
        <w:t>坡顶（边坡）地表水平位移</w:t>
      </w:r>
      <w:r>
        <w:rPr>
          <w:rFonts w:hint="eastAsia" w:ascii="Times New Roman" w:hAnsi="Times New Roman" w:eastAsia="宋体" w:cs="Times New Roman"/>
          <w:color w:val="auto"/>
          <w:kern w:val="0"/>
          <w:sz w:val="24"/>
          <w:szCs w:val="28"/>
          <w:highlight w:val="none"/>
          <w:lang w:val="en-US" w:eastAsia="zh-CN"/>
        </w:rPr>
        <w:t>和</w:t>
      </w:r>
      <w:r>
        <w:rPr>
          <w:rFonts w:hint="default" w:ascii="Times New Roman" w:hAnsi="Times New Roman" w:eastAsia="宋体" w:cs="Times New Roman"/>
          <w:color w:val="auto"/>
          <w:kern w:val="0"/>
          <w:sz w:val="24"/>
          <w:szCs w:val="28"/>
          <w:highlight w:val="none"/>
        </w:rPr>
        <w:t>沉降监测：监测点宜按道路等级设在基坑边缘以外1~3倍基坑开挖深度范围内的有代表性的部位，监测点水平间距宜为20</w:t>
      </w:r>
      <w:r>
        <w:rPr>
          <w:rFonts w:hint="default" w:ascii="Times New Roman" w:hAnsi="Times New Roman" w:eastAsia="MS Mincho" w:cs="Times New Roman"/>
          <w:color w:val="auto"/>
          <w:kern w:val="0"/>
          <w:sz w:val="24"/>
          <w:szCs w:val="28"/>
          <w:highlight w:val="none"/>
        </w:rPr>
        <w:t>〜</w:t>
      </w:r>
      <w:r>
        <w:rPr>
          <w:rFonts w:hint="eastAsia" w:ascii="Times New Roman" w:hAnsi="Times New Roman" w:eastAsia="宋体" w:cs="Times New Roman"/>
          <w:color w:val="auto"/>
          <w:kern w:val="0"/>
          <w:sz w:val="24"/>
          <w:szCs w:val="28"/>
          <w:highlight w:val="none"/>
          <w:lang w:val="en-US" w:eastAsia="zh-CN"/>
        </w:rPr>
        <w:t>5</w:t>
      </w:r>
      <w:r>
        <w:rPr>
          <w:rFonts w:hint="default" w:ascii="Times New Roman" w:hAnsi="Times New Roman" w:eastAsia="宋体" w:cs="Times New Roman"/>
          <w:color w:val="auto"/>
          <w:kern w:val="0"/>
          <w:sz w:val="24"/>
          <w:szCs w:val="28"/>
          <w:highlight w:val="none"/>
        </w:rPr>
        <w:t>0m。</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eastAsia="zh-CN"/>
        </w:rPr>
        <w:t>（</w:t>
      </w:r>
      <w:r>
        <w:rPr>
          <w:rFonts w:hint="eastAsia" w:ascii="Times New Roman" w:hAnsi="Times New Roman" w:eastAsia="宋体" w:cs="Times New Roman"/>
          <w:color w:val="auto"/>
          <w:kern w:val="0"/>
          <w:sz w:val="24"/>
          <w:szCs w:val="28"/>
          <w:highlight w:val="none"/>
          <w:lang w:val="en-US" w:eastAsia="zh-CN"/>
        </w:rPr>
        <w:t>8</w:t>
      </w:r>
      <w:r>
        <w:rPr>
          <w:rFonts w:hint="default" w:ascii="Times New Roman" w:hAnsi="Times New Roman" w:eastAsia="宋体" w:cs="Times New Roman"/>
          <w:color w:val="auto"/>
          <w:kern w:val="0"/>
          <w:sz w:val="24"/>
          <w:szCs w:val="28"/>
          <w:highlight w:val="none"/>
          <w:lang w:val="en-US" w:eastAsia="zh-CN"/>
        </w:rPr>
        <w:t>）</w:t>
      </w:r>
      <w:r>
        <w:rPr>
          <w:rFonts w:hint="default" w:ascii="Times New Roman" w:hAnsi="Times New Roman" w:eastAsia="宋体" w:cs="Times New Roman"/>
          <w:color w:val="auto"/>
          <w:kern w:val="0"/>
          <w:sz w:val="24"/>
          <w:szCs w:val="28"/>
          <w:highlight w:val="none"/>
        </w:rPr>
        <w:t>周边管线沉降位移监测：监测点布置在管线的节点、转折点、变坡点、变径点等特征点和变形曲率较大的部位，监测点水平间距宜为15</w:t>
      </w:r>
      <w:r>
        <w:rPr>
          <w:rFonts w:hint="default" w:ascii="Times New Roman" w:hAnsi="Times New Roman" w:eastAsia="MS Mincho"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rPr>
        <w:t>25m,本项目暂以25m计算，并宜延伸至基坑边缘以外1~3倍基坑开挖深度范围内的管线；供水、煤气、暖气等压力管线和电塔宜设置直接监测点，在无法埋设直接监测点的部位，可设置间接监测点。</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eastAsia" w:ascii="Times New Roman" w:hAnsi="Times New Roman" w:eastAsia="宋体" w:cs="Times New Roman"/>
          <w:color w:val="auto"/>
          <w:kern w:val="0"/>
          <w:sz w:val="24"/>
          <w:szCs w:val="28"/>
          <w:highlight w:val="none"/>
          <w:lang w:val="en-US" w:eastAsia="zh-CN"/>
        </w:rPr>
        <w:t>9</w:t>
      </w:r>
      <w:r>
        <w:rPr>
          <w:rFonts w:hint="default" w:ascii="Times New Roman" w:hAnsi="Times New Roman" w:eastAsia="宋体" w:cs="Times New Roman"/>
          <w:color w:val="auto"/>
          <w:kern w:val="0"/>
          <w:sz w:val="24"/>
          <w:szCs w:val="28"/>
          <w:highlight w:val="none"/>
        </w:rPr>
        <w:t>）周边建筑物沉降位移</w:t>
      </w:r>
      <w:r>
        <w:rPr>
          <w:rFonts w:hint="default" w:ascii="Times New Roman" w:hAnsi="Times New Roman" w:eastAsia="宋体" w:cs="Times New Roman"/>
          <w:color w:val="auto"/>
          <w:kern w:val="0"/>
          <w:sz w:val="24"/>
          <w:szCs w:val="28"/>
          <w:highlight w:val="none"/>
          <w:lang w:val="en-US" w:eastAsia="zh-CN"/>
        </w:rPr>
        <w:t>监测</w:t>
      </w:r>
      <w:r>
        <w:rPr>
          <w:rFonts w:hint="default" w:ascii="Times New Roman" w:hAnsi="Times New Roman" w:eastAsia="宋体" w:cs="Times New Roman"/>
          <w:color w:val="auto"/>
          <w:kern w:val="0"/>
          <w:sz w:val="24"/>
          <w:szCs w:val="28"/>
          <w:highlight w:val="none"/>
        </w:rPr>
        <w:t>：布设在建筑四角、沿外墙每10m~15m处或每隔2根~3根柱的柱基或柱子上，且每侧不少于3个监测点。</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eastAsia" w:ascii="Times New Roman" w:hAnsi="Times New Roman" w:eastAsia="宋体" w:cs="Times New Roman"/>
          <w:color w:val="auto"/>
          <w:kern w:val="0"/>
          <w:sz w:val="24"/>
          <w:szCs w:val="28"/>
          <w:highlight w:val="none"/>
          <w:lang w:val="en-US" w:eastAsia="zh-CN"/>
        </w:rPr>
        <w:t>10</w:t>
      </w:r>
      <w:r>
        <w:rPr>
          <w:rFonts w:hint="default" w:ascii="Times New Roman" w:hAnsi="Times New Roman" w:eastAsia="宋体" w:cs="Times New Roman"/>
          <w:color w:val="auto"/>
          <w:kern w:val="0"/>
          <w:sz w:val="24"/>
          <w:szCs w:val="28"/>
          <w:highlight w:val="none"/>
        </w:rPr>
        <w:t>）施工时应对临近房屋（构筑物）进行房屋倾斜（含水平位移及沉降）监测，监测点布设在毗邻管道一侧的房屋（构筑物）角点。当水平位移超过5mm/d或累计值超过30mm、沉降位移超过5mm/d或累计值超过30mm时，应立即停止施工并通知业主、设计单位、监理单位。同时须满足房屋（构筑物）产权方要求的内容。</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18" w:name="_Toc847"/>
      <w:bookmarkStart w:id="219" w:name="_Toc142057525"/>
      <w:r>
        <w:rPr>
          <w:rFonts w:hint="default" w:ascii="Times New Roman" w:hAnsi="Times New Roman" w:eastAsia="宋体" w:cs="Times New Roman"/>
          <w:b/>
          <w:color w:val="auto"/>
          <w:sz w:val="24"/>
          <w:szCs w:val="24"/>
          <w:highlight w:val="none"/>
          <w:lang w:val="en-US" w:eastAsia="zh-CN"/>
        </w:rPr>
        <w:t>1.1.5</w:t>
      </w:r>
      <w:r>
        <w:rPr>
          <w:rFonts w:hint="default" w:ascii="Times New Roman" w:hAnsi="Times New Roman" w:eastAsia="宋体" w:cs="Times New Roman"/>
          <w:b/>
          <w:color w:val="auto"/>
          <w:sz w:val="24"/>
          <w:szCs w:val="24"/>
          <w:highlight w:val="none"/>
        </w:rPr>
        <w:t>巡视检查</w:t>
      </w:r>
      <w:bookmarkEnd w:id="218"/>
      <w:bookmarkEnd w:id="219"/>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基坑工程在整个施工期内，每天应有专人（施工和监理方）进行巡视检查。基坑工程巡视检查应包括以下主要内容：</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20" w:name="_Toc31707"/>
      <w:r>
        <w:rPr>
          <w:rFonts w:hint="default" w:ascii="Times New Roman" w:hAnsi="Times New Roman" w:eastAsia="宋体"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5.1支护结构</w:t>
      </w:r>
      <w:bookmarkEnd w:id="220"/>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1</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支护结构成型质量</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2</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冠梁、支撑</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围</w:t>
      </w:r>
      <w:r>
        <w:rPr>
          <w:rFonts w:hint="default" w:ascii="Times New Roman" w:hAnsi="Times New Roman" w:eastAsia="宋体" w:cs="Times New Roman"/>
          <w:color w:val="auto"/>
          <w:kern w:val="0"/>
          <w:sz w:val="24"/>
          <w:szCs w:val="28"/>
          <w:highlight w:val="none"/>
          <w:lang w:val="en-US" w:eastAsia="zh-CN"/>
        </w:rPr>
        <w:t>檩</w:t>
      </w:r>
      <w:r>
        <w:rPr>
          <w:rFonts w:hint="default" w:ascii="Times New Roman" w:hAnsi="Times New Roman" w:eastAsia="宋体" w:cs="Times New Roman"/>
          <w:color w:val="auto"/>
          <w:kern w:val="0"/>
          <w:sz w:val="24"/>
          <w:szCs w:val="28"/>
          <w:highlight w:val="none"/>
        </w:rPr>
        <w:t>或腰梁是否有</w:t>
      </w:r>
      <w:r>
        <w:rPr>
          <w:rFonts w:hint="default" w:ascii="Times New Roman" w:hAnsi="Times New Roman" w:eastAsia="宋体" w:cs="Times New Roman"/>
          <w:color w:val="auto"/>
          <w:kern w:val="0"/>
          <w:sz w:val="24"/>
          <w:szCs w:val="28"/>
          <w:highlight w:val="none"/>
          <w:lang w:val="en-US" w:eastAsia="zh-CN"/>
        </w:rPr>
        <w:t>裂</w:t>
      </w:r>
      <w:r>
        <w:rPr>
          <w:rFonts w:hint="default" w:ascii="Times New Roman" w:hAnsi="Times New Roman" w:eastAsia="宋体" w:cs="Times New Roman"/>
          <w:color w:val="auto"/>
          <w:kern w:val="0"/>
          <w:sz w:val="24"/>
          <w:szCs w:val="28"/>
          <w:highlight w:val="none"/>
        </w:rPr>
        <w:t>缝</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3</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冠梁</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围檩</w:t>
      </w:r>
      <w:r>
        <w:rPr>
          <w:rFonts w:hint="default" w:ascii="Times New Roman" w:hAnsi="Times New Roman" w:eastAsia="宋体" w:cs="Times New Roman"/>
          <w:color w:val="auto"/>
          <w:kern w:val="0"/>
          <w:sz w:val="24"/>
          <w:szCs w:val="28"/>
          <w:highlight w:val="none"/>
        </w:rPr>
        <w:t>或腰梁的连续性，有无过大变形</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4</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围檩</w:t>
      </w:r>
      <w:r>
        <w:rPr>
          <w:rFonts w:hint="default" w:ascii="Times New Roman" w:hAnsi="Times New Roman" w:eastAsia="宋体" w:cs="Times New Roman"/>
          <w:color w:val="auto"/>
          <w:kern w:val="0"/>
          <w:sz w:val="24"/>
          <w:szCs w:val="28"/>
          <w:highlight w:val="none"/>
        </w:rPr>
        <w:t>或腰梁与围护桩的密贴性，</w:t>
      </w:r>
      <w:r>
        <w:rPr>
          <w:rFonts w:hint="default" w:ascii="Times New Roman" w:hAnsi="Times New Roman" w:eastAsia="宋体" w:cs="Times New Roman"/>
          <w:color w:val="auto"/>
          <w:kern w:val="0"/>
          <w:sz w:val="24"/>
          <w:szCs w:val="28"/>
          <w:highlight w:val="none"/>
          <w:lang w:val="en-US" w:eastAsia="zh-CN"/>
        </w:rPr>
        <w:t>围檩</w:t>
      </w:r>
      <w:r>
        <w:rPr>
          <w:rFonts w:hint="default" w:ascii="Times New Roman" w:hAnsi="Times New Roman" w:eastAsia="宋体" w:cs="Times New Roman"/>
          <w:color w:val="auto"/>
          <w:kern w:val="0"/>
          <w:sz w:val="24"/>
          <w:szCs w:val="28"/>
          <w:highlight w:val="none"/>
        </w:rPr>
        <w:t>与支撑的防坠落措施</w:t>
      </w:r>
      <w:r>
        <w:rPr>
          <w:rFonts w:hint="default" w:ascii="Times New Roman" w:hAnsi="Times New Roman" w:eastAsia="宋体" w:cs="Times New Roman"/>
          <w:color w:val="auto"/>
          <w:kern w:val="0"/>
          <w:sz w:val="24"/>
          <w:szCs w:val="28"/>
          <w:highlight w:val="none"/>
          <w:lang w:eastAsia="zh-CN"/>
        </w:rPr>
        <w:t>；</w:t>
      </w:r>
    </w:p>
    <w:p>
      <w:pPr>
        <w:tabs>
          <w:tab w:val="left" w:pos="500"/>
        </w:tabs>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5）</w:t>
      </w:r>
      <w:r>
        <w:rPr>
          <w:rFonts w:hint="default" w:ascii="Times New Roman" w:hAnsi="Times New Roman" w:eastAsia="宋体" w:cs="Times New Roman"/>
          <w:color w:val="auto"/>
          <w:kern w:val="0"/>
          <w:sz w:val="24"/>
          <w:szCs w:val="28"/>
          <w:highlight w:val="none"/>
        </w:rPr>
        <w:t>锚杆垫板有无松动</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变形</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6</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立柱有无倾斜</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沉</w:t>
      </w:r>
      <w:r>
        <w:rPr>
          <w:rFonts w:hint="default" w:ascii="Times New Roman" w:hAnsi="Times New Roman" w:eastAsia="宋体" w:cs="Times New Roman"/>
          <w:color w:val="auto"/>
          <w:kern w:val="0"/>
          <w:sz w:val="24"/>
          <w:szCs w:val="28"/>
          <w:highlight w:val="none"/>
        </w:rPr>
        <w:t>陷或隆起</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7</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止水帷幕有无开裂</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渗漏水</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8</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基坑有无涌土</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流砂</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管</w:t>
      </w:r>
      <w:r>
        <w:rPr>
          <w:rFonts w:hint="default" w:ascii="Times New Roman" w:hAnsi="Times New Roman" w:eastAsia="宋体" w:cs="Times New Roman"/>
          <w:color w:val="auto"/>
          <w:kern w:val="0"/>
          <w:sz w:val="24"/>
          <w:szCs w:val="28"/>
          <w:highlight w:val="none"/>
        </w:rPr>
        <w:t>涌</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9</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面层有无开裂</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脱落。</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21" w:name="_Toc10069"/>
      <w:r>
        <w:rPr>
          <w:rFonts w:hint="default" w:ascii="Times New Roman" w:hAnsi="Times New Roman" w:eastAsia="宋体"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5.2施工工况</w:t>
      </w:r>
      <w:bookmarkEnd w:id="221"/>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（1）开挖后暴露的土质情况与岩土勘察报告有无差异；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（2）开挖分段长度</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分层厚度</w:t>
      </w:r>
      <w:r>
        <w:rPr>
          <w:rFonts w:hint="default" w:ascii="Times New Roman" w:hAnsi="Times New Roman" w:eastAsia="宋体" w:cs="Times New Roman"/>
          <w:color w:val="auto"/>
          <w:kern w:val="0"/>
          <w:sz w:val="24"/>
          <w:szCs w:val="28"/>
          <w:highlight w:val="none"/>
          <w:lang w:val="en-US" w:eastAsia="zh-CN"/>
        </w:rPr>
        <w:t>及支撑（锚杆）设置</w:t>
      </w:r>
      <w:r>
        <w:rPr>
          <w:rFonts w:hint="default" w:ascii="Times New Roman" w:hAnsi="Times New Roman" w:eastAsia="宋体" w:cs="Times New Roman"/>
          <w:color w:val="auto"/>
          <w:kern w:val="0"/>
          <w:sz w:val="24"/>
          <w:szCs w:val="28"/>
          <w:highlight w:val="none"/>
        </w:rPr>
        <w:t>是否与设计要求一致；</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（3）</w:t>
      </w:r>
      <w:r>
        <w:rPr>
          <w:rFonts w:hint="default" w:ascii="Times New Roman" w:hAnsi="Times New Roman" w:eastAsia="宋体" w:cs="Times New Roman"/>
          <w:color w:val="auto"/>
          <w:kern w:val="0"/>
          <w:sz w:val="24"/>
          <w:szCs w:val="28"/>
          <w:highlight w:val="none"/>
          <w:lang w:val="en-US" w:eastAsia="zh-CN"/>
        </w:rPr>
        <w:t>基坑侧壁开挖暴露面是否及时封闭；</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4）支撑、锚杆是否施工及时；</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（5）边坡、侧壁及周边地表的截水、排水措施是否到位，坑边或坑底有无积水；</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val="en-US" w:eastAsia="zh-CN"/>
        </w:rPr>
        <w:t>（6）</w:t>
      </w:r>
      <w:r>
        <w:rPr>
          <w:rFonts w:hint="default" w:ascii="Times New Roman" w:hAnsi="Times New Roman" w:eastAsia="宋体" w:cs="Times New Roman"/>
          <w:color w:val="auto"/>
          <w:kern w:val="0"/>
          <w:sz w:val="24"/>
          <w:szCs w:val="28"/>
          <w:highlight w:val="none"/>
        </w:rPr>
        <w:t>基坑降水、回灌设施运转是否正常；</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7</w:t>
      </w:r>
      <w:r>
        <w:rPr>
          <w:rFonts w:hint="default" w:ascii="Times New Roman" w:hAnsi="Times New Roman" w:eastAsia="宋体" w:cs="Times New Roman"/>
          <w:color w:val="auto"/>
          <w:kern w:val="0"/>
          <w:sz w:val="24"/>
          <w:szCs w:val="28"/>
          <w:highlight w:val="none"/>
        </w:rPr>
        <w:t>）基坑周</w:t>
      </w:r>
      <w:r>
        <w:rPr>
          <w:rFonts w:hint="default" w:ascii="Times New Roman" w:hAnsi="Times New Roman" w:eastAsia="宋体" w:cs="Times New Roman"/>
          <w:color w:val="auto"/>
          <w:kern w:val="0"/>
          <w:sz w:val="24"/>
          <w:szCs w:val="28"/>
          <w:highlight w:val="none"/>
          <w:lang w:val="en-US" w:eastAsia="zh-CN"/>
        </w:rPr>
        <w:t>边</w:t>
      </w:r>
      <w:r>
        <w:rPr>
          <w:rFonts w:hint="default" w:ascii="Times New Roman" w:hAnsi="Times New Roman" w:eastAsia="宋体" w:cs="Times New Roman"/>
          <w:color w:val="auto"/>
          <w:kern w:val="0"/>
          <w:sz w:val="24"/>
          <w:szCs w:val="28"/>
          <w:highlight w:val="none"/>
        </w:rPr>
        <w:t>地面有无超载。</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22" w:name="_Toc23290"/>
      <w:r>
        <w:rPr>
          <w:rFonts w:hint="default" w:ascii="Times New Roman" w:hAnsi="Times New Roman" w:eastAsia="宋体"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5.3基坑周边环境</w:t>
      </w:r>
      <w:bookmarkEnd w:id="222"/>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w:t>
      </w:r>
      <w:r>
        <w:rPr>
          <w:rFonts w:hint="default" w:ascii="Times New Roman" w:hAnsi="Times New Roman" w:eastAsia="宋体" w:cs="Times New Roman"/>
          <w:color w:val="auto"/>
          <w:kern w:val="0"/>
          <w:sz w:val="24"/>
          <w:szCs w:val="28"/>
          <w:highlight w:val="none"/>
          <w:lang w:val="en-US" w:eastAsia="zh-CN"/>
        </w:rPr>
        <w:t>周边</w:t>
      </w:r>
      <w:r>
        <w:rPr>
          <w:rFonts w:hint="default" w:ascii="Times New Roman" w:hAnsi="Times New Roman" w:eastAsia="宋体" w:cs="Times New Roman"/>
          <w:color w:val="auto"/>
          <w:kern w:val="0"/>
          <w:sz w:val="24"/>
          <w:szCs w:val="28"/>
          <w:highlight w:val="none"/>
        </w:rPr>
        <w:t>管道有无破损、泄露情况；</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（2）</w:t>
      </w:r>
      <w:r>
        <w:rPr>
          <w:rFonts w:hint="default" w:ascii="Times New Roman" w:hAnsi="Times New Roman" w:eastAsia="宋体" w:cs="Times New Roman"/>
          <w:color w:val="auto"/>
          <w:kern w:val="0"/>
          <w:sz w:val="24"/>
          <w:szCs w:val="28"/>
          <w:highlight w:val="none"/>
          <w:lang w:val="en-US" w:eastAsia="zh-CN"/>
        </w:rPr>
        <w:t>围护墙后土体有无沉陷、裂缝及滑移现象；</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（3）周边建筑有无</w:t>
      </w:r>
      <w:r>
        <w:rPr>
          <w:rFonts w:hint="default" w:ascii="Times New Roman" w:hAnsi="Times New Roman" w:eastAsia="宋体" w:cs="Times New Roman"/>
          <w:color w:val="auto"/>
          <w:kern w:val="0"/>
          <w:sz w:val="24"/>
          <w:szCs w:val="28"/>
          <w:highlight w:val="none"/>
          <w:lang w:val="en-US" w:eastAsia="zh-CN"/>
        </w:rPr>
        <w:t>新增</w:t>
      </w:r>
      <w:r>
        <w:rPr>
          <w:rFonts w:hint="default" w:ascii="Times New Roman" w:hAnsi="Times New Roman" w:eastAsia="宋体" w:cs="Times New Roman"/>
          <w:color w:val="auto"/>
          <w:kern w:val="0"/>
          <w:sz w:val="24"/>
          <w:szCs w:val="28"/>
          <w:highlight w:val="none"/>
        </w:rPr>
        <w:t>裂缝出现；</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（4）周边道路（地面）有无裂缝、沉陷；</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5）</w:t>
      </w:r>
      <w:r>
        <w:rPr>
          <w:rFonts w:hint="default" w:ascii="Times New Roman" w:hAnsi="Times New Roman" w:eastAsia="宋体" w:cs="Times New Roman"/>
          <w:color w:val="auto"/>
          <w:kern w:val="0"/>
          <w:sz w:val="24"/>
          <w:szCs w:val="28"/>
          <w:highlight w:val="none"/>
        </w:rPr>
        <w:t>邻近基坑</w:t>
      </w:r>
      <w:r>
        <w:rPr>
          <w:rFonts w:hint="default" w:ascii="Times New Roman" w:hAnsi="Times New Roman" w:eastAsia="宋体" w:cs="Times New Roman"/>
          <w:color w:val="auto"/>
          <w:kern w:val="0"/>
          <w:sz w:val="24"/>
          <w:szCs w:val="28"/>
          <w:highlight w:val="none"/>
          <w:lang w:val="en-US" w:eastAsia="zh-CN"/>
        </w:rPr>
        <w:t>施工（堆载、开挖、降水或回灌、打桩等）变化</w:t>
      </w:r>
      <w:r>
        <w:rPr>
          <w:rFonts w:hint="default" w:ascii="Times New Roman" w:hAnsi="Times New Roman" w:eastAsia="宋体" w:cs="Times New Roman"/>
          <w:color w:val="auto"/>
          <w:kern w:val="0"/>
          <w:sz w:val="24"/>
          <w:szCs w:val="28"/>
          <w:highlight w:val="none"/>
        </w:rPr>
        <w:t>情况</w:t>
      </w:r>
      <w:r>
        <w:rPr>
          <w:rFonts w:hint="default" w:ascii="Times New Roman" w:hAnsi="Times New Roman" w:eastAsia="宋体" w:cs="Times New Roman"/>
          <w:color w:val="auto"/>
          <w:kern w:val="0"/>
          <w:sz w:val="24"/>
          <w:szCs w:val="28"/>
          <w:highlight w:val="none"/>
          <w:lang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lang w:val="en-US" w:eastAsia="zh-CN"/>
        </w:rPr>
        <w:t>6）存在水力联系的邻近水体（湖泊、河流、水库等）的水位变化情况。</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23" w:name="_Toc32125"/>
      <w:r>
        <w:rPr>
          <w:rFonts w:hint="default" w:ascii="Times New Roman" w:hAnsi="Times New Roman" w:eastAsia="宋体"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5.4监测设施</w:t>
      </w:r>
      <w:bookmarkEnd w:id="223"/>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（1）基准点、</w:t>
      </w:r>
      <w:r>
        <w:rPr>
          <w:rFonts w:hint="default" w:ascii="Times New Roman" w:hAnsi="Times New Roman" w:eastAsia="宋体" w:cs="Times New Roman"/>
          <w:color w:val="auto"/>
          <w:kern w:val="0"/>
          <w:sz w:val="24"/>
          <w:szCs w:val="28"/>
          <w:highlight w:val="none"/>
          <w:lang w:val="en-US" w:eastAsia="zh-CN"/>
        </w:rPr>
        <w:t>监测</w:t>
      </w:r>
      <w:r>
        <w:rPr>
          <w:rFonts w:hint="default" w:ascii="Times New Roman" w:hAnsi="Times New Roman" w:eastAsia="宋体" w:cs="Times New Roman"/>
          <w:color w:val="auto"/>
          <w:kern w:val="0"/>
          <w:sz w:val="24"/>
          <w:szCs w:val="28"/>
          <w:highlight w:val="none"/>
        </w:rPr>
        <w:t>点完好状况；</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（2）监测元件的完好及保护情况；</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（3）有无影响观测工作的障碍物。</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巡视检查的检查方法以目测为主，可辅以锤、钎、量尺、放大镜等工器具以及摄像、摄影等设备进行。巡视检查应对自然条件、支护结构、施工工况、周边环境、监测设施等的检查情况进行详细记录。如发现异常，应及时通知委托方及相关单位。巡视检查记录应及时整理，并与仪器监测数据综合分析。</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巡视检查重点对周边建筑物，道路（特别是纵向裂缝）及沉陷进行观测，并且应在施工前进行全面观测。如观测对象已有裂缝，应立即向甲方及相关单位汇报，待相关单位认定后再施工。如在施工过程中发现裂缝，应立即报告相关单位，并视情况采取相关措施或启动应急预案。</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基坑工程监测应贯穿基坑工程和地下工程施工全过程。监测期从基坑工程施工前开始，直到地下工程完成为止。对有特殊要求的基坑周边环境的监测应根据需要延续至变形趋于稳定后结束。</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24" w:name="_Toc32393"/>
      <w:bookmarkStart w:id="225" w:name="_Toc142057526"/>
      <w:r>
        <w:rPr>
          <w:rFonts w:hint="default" w:ascii="Times New Roman" w:hAnsi="Times New Roman" w:eastAsia="宋体" w:cs="Times New Roman"/>
          <w:b/>
          <w:color w:val="auto"/>
          <w:sz w:val="24"/>
          <w:szCs w:val="24"/>
          <w:highlight w:val="none"/>
          <w:lang w:val="en-US" w:eastAsia="zh-CN"/>
        </w:rPr>
        <w:t>1.1.6</w:t>
      </w:r>
      <w:r>
        <w:rPr>
          <w:rFonts w:hint="default" w:ascii="Times New Roman" w:hAnsi="Times New Roman" w:eastAsia="宋体" w:cs="Times New Roman"/>
          <w:b/>
          <w:color w:val="auto"/>
          <w:sz w:val="24"/>
          <w:szCs w:val="24"/>
          <w:highlight w:val="none"/>
        </w:rPr>
        <w:t>监测频率</w:t>
      </w:r>
      <w:bookmarkEnd w:id="224"/>
      <w:bookmarkEnd w:id="225"/>
    </w:p>
    <w:p>
      <w:pPr>
        <w:autoSpaceDE w:val="0"/>
        <w:autoSpaceDN w:val="0"/>
        <w:adjustRightInd w:val="0"/>
        <w:ind w:firstLine="480" w:firstLineChars="200"/>
        <w:jc w:val="left"/>
        <w:rPr>
          <w:rFonts w:hint="eastAsia"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1基准点应每期检测、定期复测，并应符合下列规定:</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（1） 基准点复测周期应视其所在位置的稳定情况确定，在建筑施工过程中宜1月~2月复测1次，施工结束后宜每季度或每半年复测1次。</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（2）当某期检测发现基准点有可能变动时，应立即进行复测。</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（3）当某期变形测量中多数监测点观测成果出现异常，或当测区受到地震、洪水、爆破等外界因素影响时，应立即进行复测。（建筑变形测量规范 JGJ 8-2016）</w:t>
      </w:r>
    </w:p>
    <w:p>
      <w:pPr>
        <w:autoSpaceDE w:val="0"/>
        <w:autoSpaceDN w:val="0"/>
        <w:adjustRightInd w:val="0"/>
        <w:ind w:firstLine="480" w:firstLineChars="200"/>
        <w:jc w:val="left"/>
        <w:rPr>
          <w:rFonts w:hint="eastAsia"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2仪器监测频率应符合下列规定：</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（1）</w:t>
      </w:r>
      <w:r>
        <w:rPr>
          <w:rFonts w:hint="default" w:ascii="Times New Roman" w:hAnsi="Times New Roman" w:eastAsia="宋体" w:cs="Times New Roman"/>
          <w:color w:val="auto"/>
          <w:kern w:val="0"/>
          <w:sz w:val="24"/>
          <w:szCs w:val="28"/>
          <w:highlight w:val="none"/>
          <w:lang w:val="en-US" w:eastAsia="zh-CN"/>
        </w:rPr>
        <w:t xml:space="preserve"> 应综合考虑基坑支护、基坑及地下工程的不同施工阶段以及周边环境、自然条件的变化和当地经验确定。</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（2）</w:t>
      </w:r>
      <w:r>
        <w:rPr>
          <w:rFonts w:hint="default" w:ascii="Times New Roman" w:hAnsi="Times New Roman" w:eastAsia="宋体" w:cs="Times New Roman"/>
          <w:color w:val="auto"/>
          <w:kern w:val="0"/>
          <w:sz w:val="24"/>
          <w:szCs w:val="28"/>
          <w:highlight w:val="none"/>
          <w:lang w:val="en-US" w:eastAsia="zh-CN"/>
        </w:rPr>
        <w:t xml:space="preserve"> 对于应测项目，在无一场和无事故征兆的情况下，开挖后监测频率可按下表确定。</w:t>
      </w:r>
    </w:p>
    <w:p>
      <w:pPr>
        <w:widowControl w:val="0"/>
        <w:autoSpaceDE w:val="0"/>
        <w:autoSpaceDN w:val="0"/>
        <w:adjustRightInd w:val="0"/>
        <w:spacing w:after="120"/>
        <w:ind w:left="480" w:leftChars="200" w:firstLine="480" w:firstLineChars="200"/>
        <w:jc w:val="center"/>
        <w:rPr>
          <w:rFonts w:hint="default" w:ascii="Times New Roman" w:hAnsi="Times New Roman" w:eastAsia="宋体" w:cs="Times New Roman"/>
          <w:color w:val="auto"/>
          <w:kern w:val="2"/>
          <w:sz w:val="24"/>
          <w:szCs w:val="28"/>
          <w:highlight w:val="none"/>
          <w:lang w:val="en-US" w:eastAsia="zh-CN" w:bidi="ar-SA"/>
        </w:rPr>
      </w:pPr>
    </w:p>
    <w:p>
      <w:pPr>
        <w:widowControl w:val="0"/>
        <w:autoSpaceDE w:val="0"/>
        <w:autoSpaceDN w:val="0"/>
        <w:adjustRightInd w:val="0"/>
        <w:spacing w:after="120"/>
        <w:ind w:left="480" w:leftChars="200" w:firstLine="480" w:firstLineChars="200"/>
        <w:jc w:val="center"/>
        <w:rPr>
          <w:rFonts w:hint="default" w:ascii="Times New Roman" w:hAnsi="Times New Roman" w:eastAsia="宋体" w:cs="Times New Roman"/>
          <w:color w:val="auto"/>
          <w:kern w:val="2"/>
          <w:sz w:val="24"/>
          <w:szCs w:val="28"/>
          <w:highlight w:val="none"/>
          <w:lang w:val="en-US" w:eastAsia="zh-CN" w:bidi="ar-SA"/>
        </w:rPr>
      </w:pPr>
    </w:p>
    <w:p>
      <w:pPr>
        <w:widowControl w:val="0"/>
        <w:autoSpaceDE w:val="0"/>
        <w:autoSpaceDN w:val="0"/>
        <w:adjustRightInd w:val="0"/>
        <w:spacing w:after="120"/>
        <w:ind w:left="480" w:leftChars="200" w:firstLine="480" w:firstLineChars="200"/>
        <w:jc w:val="center"/>
        <w:rPr>
          <w:rFonts w:hint="default" w:ascii="Times New Roman" w:hAnsi="Times New Roman" w:eastAsia="宋体" w:cs="Times New Roman"/>
          <w:color w:val="auto"/>
          <w:kern w:val="2"/>
          <w:sz w:val="24"/>
          <w:szCs w:val="28"/>
          <w:highlight w:val="none"/>
          <w:lang w:val="en-US" w:eastAsia="zh-CN" w:bidi="ar-SA"/>
        </w:rPr>
      </w:pPr>
    </w:p>
    <w:p>
      <w:pPr>
        <w:widowControl w:val="0"/>
        <w:autoSpaceDE w:val="0"/>
        <w:autoSpaceDN w:val="0"/>
        <w:adjustRightInd w:val="0"/>
        <w:spacing w:after="120"/>
        <w:ind w:left="480" w:leftChars="200" w:firstLine="480" w:firstLineChars="200"/>
        <w:jc w:val="center"/>
        <w:rPr>
          <w:rFonts w:hint="default" w:ascii="Times New Roman" w:hAnsi="Times New Roman" w:eastAsia="宋体" w:cs="Times New Roman"/>
          <w:color w:val="auto"/>
          <w:kern w:val="2"/>
          <w:sz w:val="24"/>
          <w:szCs w:val="28"/>
          <w:highlight w:val="none"/>
          <w:lang w:val="en-US" w:eastAsia="zh-CN" w:bidi="ar-SA"/>
        </w:rPr>
      </w:pPr>
    </w:p>
    <w:p>
      <w:pPr>
        <w:widowControl w:val="0"/>
        <w:autoSpaceDE w:val="0"/>
        <w:autoSpaceDN w:val="0"/>
        <w:adjustRightInd w:val="0"/>
        <w:spacing w:after="120"/>
        <w:ind w:left="480" w:leftChars="200" w:firstLine="480" w:firstLineChars="200"/>
        <w:jc w:val="center"/>
        <w:rPr>
          <w:rFonts w:hint="default" w:ascii="Times New Roman" w:hAnsi="Times New Roman" w:eastAsia="宋体" w:cs="Times New Roman"/>
          <w:color w:val="auto"/>
          <w:kern w:val="2"/>
          <w:sz w:val="24"/>
          <w:szCs w:val="28"/>
          <w:highlight w:val="none"/>
          <w:lang w:val="en-US" w:eastAsia="zh-CN" w:bidi="ar-SA"/>
        </w:rPr>
      </w:pPr>
    </w:p>
    <w:p>
      <w:pPr>
        <w:widowControl w:val="0"/>
        <w:autoSpaceDE w:val="0"/>
        <w:autoSpaceDN w:val="0"/>
        <w:adjustRightInd w:val="0"/>
        <w:spacing w:after="120"/>
        <w:ind w:left="480" w:leftChars="200" w:firstLine="480" w:firstLineChars="200"/>
        <w:jc w:val="center"/>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4"/>
          <w:szCs w:val="28"/>
          <w:highlight w:val="none"/>
          <w:lang w:val="en-US" w:eastAsia="zh-CN" w:bidi="ar-SA"/>
        </w:rPr>
        <w:t>现场仪器监测的监测频率</w:t>
      </w:r>
    </w:p>
    <w:tbl>
      <w:tblPr>
        <w:tblStyle w:val="25"/>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2873"/>
        <w:gridCol w:w="138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基坑设计安全等级</w:t>
            </w:r>
          </w:p>
        </w:tc>
        <w:tc>
          <w:tcPr>
            <w:tcW w:w="4261" w:type="dxa"/>
            <w:gridSpan w:val="2"/>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施工进程</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restart"/>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一级</w:t>
            </w:r>
          </w:p>
        </w:tc>
        <w:tc>
          <w:tcPr>
            <w:tcW w:w="2873" w:type="dxa"/>
            <w:vMerge w:val="restart"/>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开挖深度h</w:t>
            </w: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≤H/3</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H/3~2H/3</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1次/（1~2）d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2H/3~H</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（1~2）次/d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restart"/>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底板浇筑后时间（d）</w:t>
            </w: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≤7</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7~14</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14~28</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＞28</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restart"/>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二级</w:t>
            </w:r>
          </w:p>
        </w:tc>
        <w:tc>
          <w:tcPr>
            <w:tcW w:w="2873" w:type="dxa"/>
            <w:vMerge w:val="restart"/>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开挖深度h</w:t>
            </w: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≤H/3</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H/3~2H/3</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2H/3~H</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restart"/>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底板浇筑后时间（d）</w:t>
            </w: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≤7</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7~14</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14~28</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461"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2873" w:type="dxa"/>
            <w:vMerge w:val="continue"/>
            <w:vAlign w:val="center"/>
          </w:tcPr>
          <w:p>
            <w:pPr>
              <w:widowControl w:val="0"/>
              <w:autoSpaceDE w:val="0"/>
              <w:autoSpaceDN w:val="0"/>
              <w:adjustRightInd w:val="0"/>
              <w:spacing w:after="120" w:line="240" w:lineRule="auto"/>
              <w:ind w:left="480" w:leftChars="200" w:firstLine="440" w:firstLineChars="200"/>
              <w:jc w:val="center"/>
              <w:rPr>
                <w:rFonts w:hint="default" w:ascii="Times New Roman" w:hAnsi="Times New Roman" w:eastAsia="宋体" w:cs="Times New Roman"/>
                <w:color w:val="auto"/>
                <w:kern w:val="2"/>
                <w:sz w:val="22"/>
                <w:szCs w:val="22"/>
                <w:highlight w:val="none"/>
                <w:vertAlign w:val="baseline"/>
                <w:lang w:val="en-US" w:eastAsia="zh-CN" w:bidi="ar-SA"/>
              </w:rPr>
            </w:pPr>
          </w:p>
        </w:tc>
        <w:tc>
          <w:tcPr>
            <w:tcW w:w="1388"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＞28</w:t>
            </w:r>
          </w:p>
        </w:tc>
        <w:tc>
          <w:tcPr>
            <w:tcW w:w="1936" w:type="dxa"/>
            <w:vAlign w:val="center"/>
          </w:tcPr>
          <w:p>
            <w:pPr>
              <w:widowControl w:val="0"/>
              <w:autoSpaceDE w:val="0"/>
              <w:autoSpaceDN w:val="0"/>
              <w:adjustRightInd w:val="0"/>
              <w:spacing w:after="120" w:line="240" w:lineRule="auto"/>
              <w:ind w:left="0" w:leftChars="0" w:firstLine="0" w:firstLineChars="0"/>
              <w:jc w:val="center"/>
              <w:rPr>
                <w:rFonts w:hint="default" w:ascii="Times New Roman" w:hAnsi="Times New Roman" w:eastAsia="宋体" w:cs="Times New Roman"/>
                <w:color w:val="auto"/>
                <w:kern w:val="2"/>
                <w:sz w:val="22"/>
                <w:szCs w:val="22"/>
                <w:highlight w:val="none"/>
                <w:vertAlign w:val="baseline"/>
                <w:lang w:val="en-US" w:eastAsia="zh-CN" w:bidi="ar-SA"/>
              </w:rPr>
            </w:pPr>
            <w:r>
              <w:rPr>
                <w:rFonts w:hint="default" w:ascii="Times New Roman" w:hAnsi="Times New Roman" w:eastAsia="宋体" w:cs="Times New Roman"/>
                <w:color w:val="auto"/>
                <w:kern w:val="2"/>
                <w:sz w:val="22"/>
                <w:szCs w:val="22"/>
                <w:highlight w:val="none"/>
                <w:vertAlign w:val="baseline"/>
                <w:lang w:val="en-US" w:eastAsia="zh-CN" w:bidi="ar-SA"/>
              </w:rPr>
              <w:t>1次/10d</w:t>
            </w:r>
          </w:p>
        </w:tc>
      </w:tr>
    </w:tbl>
    <w:p>
      <w:pPr>
        <w:widowControl w:val="0"/>
        <w:autoSpaceDE w:val="0"/>
        <w:autoSpaceDN w:val="0"/>
        <w:adjustRightInd w:val="0"/>
        <w:spacing w:after="120" w:line="240" w:lineRule="auto"/>
        <w:ind w:left="480" w:leftChars="200" w:firstLine="480" w:firstLineChars="20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注：1 h——基坑开挖深度；H——基坑设计深度。</w:t>
      </w:r>
    </w:p>
    <w:p>
      <w:pPr>
        <w:widowControl w:val="0"/>
        <w:autoSpaceDE w:val="0"/>
        <w:autoSpaceDN w:val="0"/>
        <w:adjustRightInd w:val="0"/>
        <w:spacing w:after="120" w:line="240" w:lineRule="auto"/>
        <w:ind w:left="480" w:leftChars="200" w:firstLine="900" w:firstLineChars="375"/>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 支撑结构开始拆除到拆除完成后3d内监测频率加密为1次/d。</w:t>
      </w:r>
    </w:p>
    <w:p>
      <w:pPr>
        <w:widowControl w:val="0"/>
        <w:autoSpaceDE w:val="0"/>
        <w:autoSpaceDN w:val="0"/>
        <w:adjustRightInd w:val="0"/>
        <w:spacing w:after="120" w:line="240" w:lineRule="auto"/>
        <w:ind w:left="480" w:leftChars="200" w:firstLine="900" w:firstLineChars="375"/>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 基坑工程施工至开挖前的监测频率视具体情况确定。</w:t>
      </w:r>
    </w:p>
    <w:p>
      <w:pPr>
        <w:widowControl w:val="0"/>
        <w:autoSpaceDE w:val="0"/>
        <w:autoSpaceDN w:val="0"/>
        <w:adjustRightInd w:val="0"/>
        <w:spacing w:after="120" w:line="240" w:lineRule="auto"/>
        <w:ind w:left="480" w:leftChars="200" w:firstLine="900" w:firstLineChars="375"/>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 当基坑设计安全等级为三级时，监测频率可视具体情况适当降低。</w:t>
      </w:r>
    </w:p>
    <w:p>
      <w:pPr>
        <w:widowControl w:val="0"/>
        <w:autoSpaceDE w:val="0"/>
        <w:autoSpaceDN w:val="0"/>
        <w:adjustRightInd w:val="0"/>
        <w:spacing w:after="120" w:line="240" w:lineRule="auto"/>
        <w:ind w:left="480" w:leftChars="200" w:firstLine="900" w:firstLineChars="375"/>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 宜测、可测项目的仪器监测频率可视具体情况适当降低。</w:t>
      </w:r>
    </w:p>
    <w:p>
      <w:pPr>
        <w:widowControl w:val="0"/>
        <w:autoSpaceDE w:val="0"/>
        <w:autoSpaceDN w:val="0"/>
        <w:adjustRightInd w:val="0"/>
        <w:spacing w:after="120" w:line="240" w:lineRule="auto"/>
        <w:ind w:left="480" w:leftChars="200" w:firstLine="900" w:firstLineChars="375"/>
        <w:jc w:val="left"/>
        <w:rPr>
          <w:rFonts w:hint="default" w:ascii="Times New Roman" w:hAnsi="Times New Roman" w:eastAsia="宋体" w:cs="Times New Roman"/>
          <w:color w:val="auto"/>
          <w:kern w:val="2"/>
          <w:sz w:val="24"/>
          <w:szCs w:val="24"/>
          <w:highlight w:val="none"/>
          <w:lang w:val="en-US" w:eastAsia="zh-CN" w:bidi="ar-SA"/>
        </w:rPr>
      </w:pP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3、</w:t>
      </w:r>
      <w:r>
        <w:rPr>
          <w:rFonts w:hint="default" w:ascii="Times New Roman" w:hAnsi="Times New Roman" w:eastAsia="宋体" w:cs="Times New Roman"/>
          <w:color w:val="auto"/>
          <w:kern w:val="0"/>
          <w:sz w:val="24"/>
          <w:szCs w:val="28"/>
          <w:highlight w:val="none"/>
          <w:lang w:val="en-US" w:eastAsia="zh-CN"/>
        </w:rPr>
        <w:t>道路修复段基坑周边地表竖向位移监测隔20〜40m布设一路面沉降监测点。监测频率1次/2d。临近房屋或特殊节点段应加密布置。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当出现下列情况之一时，应加强监测，提高监测频率，并及时向委托方及相关单位报告监测结果：</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①监测数据达到报警值；</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②监测数据变化量较大或者速率加快；</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③存在勘察中未发现的不良地质条件；</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④超深、超长开挖或未及时加撑等未按设计施工；</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⑤基坑及周边大量积水、长时间连续降雨、市政管道出现泄漏；</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⑥基坑附近地面荷载突然增大或超过设计限值；</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⑦支护结构出现开裂；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⑧周边地面出现突然较大沉降或严重开裂；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⑨邻近的建（构）筑物出现突然较大沉降、不均匀沉降或严重开裂;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⑩基坑底部、坡体或支护结构出现管涌、渗漏或流砂等现象；</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lang w:val="en-US" w:eastAsia="zh-CN"/>
        </w:rPr>
        <w:t>⑪基坑工程发生事故后重新组织施工；</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val="en-US" w:eastAsia="zh-CN"/>
        </w:rPr>
        <w:t>⑫出现其他影响基坑及周边环境安全的异常情况。</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26" w:name="_Toc7893"/>
      <w:bookmarkStart w:id="227" w:name="_Toc142057527"/>
      <w:r>
        <w:rPr>
          <w:rFonts w:hint="default" w:ascii="Times New Roman" w:hAnsi="Times New Roman" w:eastAsia="宋体" w:cs="Times New Roman"/>
          <w:b/>
          <w:color w:val="auto"/>
          <w:sz w:val="24"/>
          <w:szCs w:val="24"/>
          <w:highlight w:val="none"/>
          <w:lang w:val="en-US" w:eastAsia="zh-CN"/>
        </w:rPr>
        <w:t>1.1.7</w:t>
      </w:r>
      <w:r>
        <w:rPr>
          <w:rFonts w:hint="default" w:ascii="Times New Roman" w:hAnsi="Times New Roman" w:eastAsia="宋体" w:cs="Times New Roman"/>
          <w:b/>
          <w:color w:val="auto"/>
          <w:sz w:val="24"/>
          <w:szCs w:val="24"/>
          <w:highlight w:val="none"/>
        </w:rPr>
        <w:t>监测仪器及技术要求</w:t>
      </w:r>
      <w:bookmarkEnd w:id="226"/>
      <w:bookmarkEnd w:id="227"/>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28" w:name="_Toc23300"/>
      <w:bookmarkStart w:id="229" w:name="_Toc31765"/>
      <w:r>
        <w:rPr>
          <w:rFonts w:hint="default" w:ascii="Times New Roman" w:hAnsi="Times New Roman" w:eastAsia="宋体"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7.1监测仪器、设备和监测元件应符合下列要求</w:t>
      </w:r>
      <w:bookmarkEnd w:id="228"/>
      <w:bookmarkEnd w:id="229"/>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①满足观测精度和量程的要求；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②具有良好的稳定性和可靠性；</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③经过校准或标定，且校核记录和标定资料齐全，并在规定的校准有效期内。</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1、水平位移监测精度要求（mm）</w:t>
      </w:r>
    </w:p>
    <w:tbl>
      <w:tblPr>
        <w:tblStyle w:val="24"/>
        <w:tblW w:w="8326" w:type="dxa"/>
        <w:jc w:val="center"/>
        <w:tblLayout w:type="fixed"/>
        <w:tblCellMar>
          <w:top w:w="0" w:type="dxa"/>
          <w:left w:w="10" w:type="dxa"/>
          <w:bottom w:w="0" w:type="dxa"/>
          <w:right w:w="10" w:type="dxa"/>
        </w:tblCellMar>
      </w:tblPr>
      <w:tblGrid>
        <w:gridCol w:w="991"/>
        <w:gridCol w:w="2135"/>
        <w:gridCol w:w="1137"/>
        <w:gridCol w:w="1039"/>
        <w:gridCol w:w="1509"/>
        <w:gridCol w:w="1515"/>
      </w:tblGrid>
      <w:tr>
        <w:tblPrEx>
          <w:tblCellMar>
            <w:top w:w="0" w:type="dxa"/>
            <w:left w:w="10" w:type="dxa"/>
            <w:bottom w:w="0" w:type="dxa"/>
            <w:right w:w="10" w:type="dxa"/>
          </w:tblCellMar>
        </w:tblPrEx>
        <w:trPr>
          <w:trHeight w:val="397" w:hRule="atLeast"/>
          <w:jc w:val="center"/>
        </w:trPr>
        <w:tc>
          <w:tcPr>
            <w:tcW w:w="991" w:type="dxa"/>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水平位移预警值</w:t>
            </w:r>
          </w:p>
        </w:tc>
        <w:tc>
          <w:tcPr>
            <w:tcW w:w="213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累计值D（mm）</w:t>
            </w:r>
          </w:p>
        </w:tc>
        <w:tc>
          <w:tcPr>
            <w:tcW w:w="2176" w:type="dxa"/>
            <w:gridSpan w:val="2"/>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D≤40</w:t>
            </w:r>
          </w:p>
        </w:tc>
        <w:tc>
          <w:tcPr>
            <w:tcW w:w="1509"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40＜D≤60</w:t>
            </w:r>
          </w:p>
        </w:tc>
        <w:tc>
          <w:tcPr>
            <w:tcW w:w="151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D&gt;60</w:t>
            </w:r>
          </w:p>
        </w:tc>
      </w:tr>
      <w:tr>
        <w:tblPrEx>
          <w:tblCellMar>
            <w:top w:w="0" w:type="dxa"/>
            <w:left w:w="10" w:type="dxa"/>
            <w:bottom w:w="0" w:type="dxa"/>
            <w:right w:w="10" w:type="dxa"/>
          </w:tblCellMar>
        </w:tblPrEx>
        <w:trPr>
          <w:trHeight w:val="397" w:hRule="atLeast"/>
          <w:jc w:val="center"/>
        </w:trPr>
        <w:tc>
          <w:tcPr>
            <w:tcW w:w="991" w:type="dxa"/>
            <w:vMerge w:val="continue"/>
            <w:tcBorders>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p>
        </w:tc>
        <w:tc>
          <w:tcPr>
            <w:tcW w:w="213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变化速率v</w:t>
            </w:r>
            <w:r>
              <w:rPr>
                <w:rFonts w:hint="default" w:ascii="Times New Roman" w:hAnsi="Times New Roman" w:eastAsia="宋体" w:cs="Times New Roman"/>
                <w:color w:val="auto"/>
                <w:kern w:val="0"/>
                <w:sz w:val="21"/>
                <w:szCs w:val="21"/>
                <w:highlight w:val="none"/>
                <w:vertAlign w:val="subscript"/>
              </w:rPr>
              <w:t>D</w:t>
            </w:r>
            <w:r>
              <w:rPr>
                <w:rFonts w:hint="default" w:ascii="Times New Roman" w:hAnsi="Times New Roman" w:eastAsia="宋体" w:cs="Times New Roman"/>
                <w:color w:val="auto"/>
                <w:kern w:val="0"/>
                <w:sz w:val="21"/>
                <w:szCs w:val="21"/>
                <w:highlight w:val="none"/>
              </w:rPr>
              <w:t>（mm/d）</w:t>
            </w:r>
          </w:p>
        </w:tc>
        <w:tc>
          <w:tcPr>
            <w:tcW w:w="1137"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v</w:t>
            </w:r>
            <w:r>
              <w:rPr>
                <w:rFonts w:hint="default" w:ascii="Times New Roman" w:hAnsi="Times New Roman" w:eastAsia="宋体" w:cs="Times New Roman"/>
                <w:color w:val="auto"/>
                <w:kern w:val="0"/>
                <w:sz w:val="21"/>
                <w:szCs w:val="21"/>
                <w:highlight w:val="none"/>
                <w:vertAlign w:val="subscript"/>
              </w:rPr>
              <w:t>D</w:t>
            </w:r>
            <w:r>
              <w:rPr>
                <w:rFonts w:hint="default" w:ascii="Times New Roman" w:hAnsi="Times New Roman" w:eastAsia="宋体" w:cs="Times New Roman"/>
                <w:color w:val="auto"/>
                <w:kern w:val="0"/>
                <w:sz w:val="21"/>
                <w:szCs w:val="21"/>
                <w:highlight w:val="none"/>
              </w:rPr>
              <w:t>≤2</w:t>
            </w:r>
          </w:p>
        </w:tc>
        <w:tc>
          <w:tcPr>
            <w:tcW w:w="1039"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2＜v</w:t>
            </w:r>
            <w:r>
              <w:rPr>
                <w:rFonts w:hint="default" w:ascii="Times New Roman" w:hAnsi="Times New Roman" w:eastAsia="宋体" w:cs="Times New Roman"/>
                <w:color w:val="auto"/>
                <w:kern w:val="0"/>
                <w:sz w:val="21"/>
                <w:szCs w:val="21"/>
                <w:highlight w:val="none"/>
                <w:vertAlign w:val="subscript"/>
              </w:rPr>
              <w:t>D</w:t>
            </w:r>
            <w:r>
              <w:rPr>
                <w:rFonts w:hint="default" w:ascii="Times New Roman" w:hAnsi="Times New Roman" w:eastAsia="宋体" w:cs="Times New Roman"/>
                <w:color w:val="auto"/>
                <w:kern w:val="0"/>
                <w:sz w:val="21"/>
                <w:szCs w:val="21"/>
                <w:highlight w:val="none"/>
              </w:rPr>
              <w:t>≤4</w:t>
            </w:r>
          </w:p>
        </w:tc>
        <w:tc>
          <w:tcPr>
            <w:tcW w:w="1509"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4＜v</w:t>
            </w:r>
            <w:r>
              <w:rPr>
                <w:rFonts w:hint="default" w:ascii="Times New Roman" w:hAnsi="Times New Roman" w:eastAsia="宋体" w:cs="Times New Roman"/>
                <w:color w:val="auto"/>
                <w:kern w:val="0"/>
                <w:sz w:val="21"/>
                <w:szCs w:val="21"/>
                <w:highlight w:val="none"/>
                <w:vertAlign w:val="subscript"/>
              </w:rPr>
              <w:t>D</w:t>
            </w:r>
            <w:r>
              <w:rPr>
                <w:rFonts w:hint="default" w:ascii="Times New Roman" w:hAnsi="Times New Roman" w:eastAsia="宋体" w:cs="Times New Roman"/>
                <w:color w:val="auto"/>
                <w:kern w:val="0"/>
                <w:sz w:val="21"/>
                <w:szCs w:val="21"/>
                <w:highlight w:val="none"/>
              </w:rPr>
              <w:t>≤6</w:t>
            </w:r>
          </w:p>
        </w:tc>
        <w:tc>
          <w:tcPr>
            <w:tcW w:w="151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v</w:t>
            </w:r>
            <w:r>
              <w:rPr>
                <w:rFonts w:hint="default" w:ascii="Times New Roman" w:hAnsi="Times New Roman" w:eastAsia="宋体" w:cs="Times New Roman"/>
                <w:color w:val="auto"/>
                <w:kern w:val="0"/>
                <w:sz w:val="21"/>
                <w:szCs w:val="21"/>
                <w:highlight w:val="none"/>
                <w:vertAlign w:val="subscript"/>
              </w:rPr>
              <w:t>D</w:t>
            </w:r>
            <w:r>
              <w:rPr>
                <w:rFonts w:hint="default" w:ascii="Times New Roman" w:hAnsi="Times New Roman" w:eastAsia="宋体" w:cs="Times New Roman"/>
                <w:color w:val="auto"/>
                <w:kern w:val="0"/>
                <w:sz w:val="21"/>
                <w:szCs w:val="21"/>
                <w:highlight w:val="none"/>
              </w:rPr>
              <w:t xml:space="preserve"> &gt;6</w:t>
            </w:r>
          </w:p>
        </w:tc>
      </w:tr>
      <w:tr>
        <w:tblPrEx>
          <w:tblCellMar>
            <w:top w:w="0" w:type="dxa"/>
            <w:left w:w="10" w:type="dxa"/>
            <w:bottom w:w="0" w:type="dxa"/>
            <w:right w:w="10" w:type="dxa"/>
          </w:tblCellMar>
        </w:tblPrEx>
        <w:trPr>
          <w:trHeight w:val="397" w:hRule="atLeast"/>
          <w:jc w:val="center"/>
        </w:trPr>
        <w:tc>
          <w:tcPr>
            <w:tcW w:w="3126" w:type="dxa"/>
            <w:gridSpan w:val="2"/>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监测点坐标中误差（mm）</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039" w:type="dxa"/>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≤1.5</w:t>
            </w:r>
          </w:p>
        </w:tc>
        <w:tc>
          <w:tcPr>
            <w:tcW w:w="1509" w:type="dxa"/>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≤2.0</w:t>
            </w:r>
          </w:p>
        </w:tc>
        <w:tc>
          <w:tcPr>
            <w:tcW w:w="1515" w:type="dxa"/>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≤3.0</w:t>
            </w:r>
          </w:p>
        </w:tc>
      </w:tr>
    </w:tbl>
    <w:p>
      <w:pPr>
        <w:autoSpaceDE w:val="0"/>
        <w:autoSpaceDN w:val="0"/>
        <w:adjustRightInd w:val="0"/>
        <w:ind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注：监测点坐标中误差，系指监测点相对测站点（如工作基点等）的坐标中误差。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2、竖向位移监测精度（mm）</w:t>
      </w:r>
    </w:p>
    <w:tbl>
      <w:tblPr>
        <w:tblStyle w:val="24"/>
        <w:tblW w:w="8326" w:type="dxa"/>
        <w:jc w:val="center"/>
        <w:tblLayout w:type="fixed"/>
        <w:tblCellMar>
          <w:top w:w="0" w:type="dxa"/>
          <w:left w:w="10" w:type="dxa"/>
          <w:bottom w:w="0" w:type="dxa"/>
          <w:right w:w="10" w:type="dxa"/>
        </w:tblCellMar>
      </w:tblPr>
      <w:tblGrid>
        <w:gridCol w:w="991"/>
        <w:gridCol w:w="2135"/>
        <w:gridCol w:w="1137"/>
        <w:gridCol w:w="1039"/>
        <w:gridCol w:w="1509"/>
        <w:gridCol w:w="1515"/>
      </w:tblGrid>
      <w:tr>
        <w:tblPrEx>
          <w:tblCellMar>
            <w:top w:w="0" w:type="dxa"/>
            <w:left w:w="10" w:type="dxa"/>
            <w:bottom w:w="0" w:type="dxa"/>
            <w:right w:w="10" w:type="dxa"/>
          </w:tblCellMar>
        </w:tblPrEx>
        <w:trPr>
          <w:trHeight w:val="397" w:hRule="atLeast"/>
          <w:jc w:val="center"/>
        </w:trPr>
        <w:tc>
          <w:tcPr>
            <w:tcW w:w="991" w:type="dxa"/>
            <w:vMerge w:val="restart"/>
            <w:tcBorders>
              <w:top w:val="single" w:color="auto" w:sz="4" w:space="0"/>
              <w:left w:val="single" w:color="auto" w:sz="4" w:space="0"/>
              <w:right w:val="nil"/>
            </w:tcBorders>
            <w:shd w:val="clear" w:color="auto" w:fill="FFFFFF"/>
            <w:vAlign w:val="center"/>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竖向位移预警值</w:t>
            </w:r>
          </w:p>
        </w:tc>
        <w:tc>
          <w:tcPr>
            <w:tcW w:w="213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累计值S（mm）</w:t>
            </w:r>
          </w:p>
        </w:tc>
        <w:tc>
          <w:tcPr>
            <w:tcW w:w="1137"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S≤20</w:t>
            </w:r>
          </w:p>
        </w:tc>
        <w:tc>
          <w:tcPr>
            <w:tcW w:w="1039"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20＜S≤60</w:t>
            </w:r>
          </w:p>
        </w:tc>
        <w:tc>
          <w:tcPr>
            <w:tcW w:w="1509"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40＜S≤60</w:t>
            </w:r>
          </w:p>
        </w:tc>
        <w:tc>
          <w:tcPr>
            <w:tcW w:w="151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S&gt;60</w:t>
            </w:r>
          </w:p>
        </w:tc>
      </w:tr>
      <w:tr>
        <w:tblPrEx>
          <w:tblCellMar>
            <w:top w:w="0" w:type="dxa"/>
            <w:left w:w="10" w:type="dxa"/>
            <w:bottom w:w="0" w:type="dxa"/>
            <w:right w:w="10" w:type="dxa"/>
          </w:tblCellMar>
        </w:tblPrEx>
        <w:trPr>
          <w:trHeight w:val="397" w:hRule="atLeast"/>
          <w:jc w:val="center"/>
        </w:trPr>
        <w:tc>
          <w:tcPr>
            <w:tcW w:w="991" w:type="dxa"/>
            <w:vMerge w:val="continue"/>
            <w:tcBorders>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p>
        </w:tc>
        <w:tc>
          <w:tcPr>
            <w:tcW w:w="213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变化速率v</w:t>
            </w:r>
            <w:r>
              <w:rPr>
                <w:rFonts w:hint="default" w:ascii="Times New Roman" w:hAnsi="Times New Roman" w:eastAsia="宋体" w:cs="Times New Roman"/>
                <w:color w:val="auto"/>
                <w:kern w:val="0"/>
                <w:sz w:val="21"/>
                <w:szCs w:val="21"/>
                <w:highlight w:val="none"/>
                <w:vertAlign w:val="subscript"/>
              </w:rPr>
              <w:t>S</w:t>
            </w:r>
            <w:r>
              <w:rPr>
                <w:rFonts w:hint="default" w:ascii="Times New Roman" w:hAnsi="Times New Roman" w:eastAsia="宋体" w:cs="Times New Roman"/>
                <w:color w:val="auto"/>
                <w:kern w:val="0"/>
                <w:sz w:val="21"/>
                <w:szCs w:val="21"/>
                <w:highlight w:val="none"/>
              </w:rPr>
              <w:t>（mm/d）</w:t>
            </w:r>
          </w:p>
        </w:tc>
        <w:tc>
          <w:tcPr>
            <w:tcW w:w="1137"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v</w:t>
            </w:r>
            <w:r>
              <w:rPr>
                <w:rFonts w:hint="default" w:ascii="Times New Roman" w:hAnsi="Times New Roman" w:eastAsia="宋体" w:cs="Times New Roman"/>
                <w:color w:val="auto"/>
                <w:kern w:val="0"/>
                <w:sz w:val="21"/>
                <w:szCs w:val="21"/>
                <w:highlight w:val="none"/>
                <w:vertAlign w:val="subscript"/>
              </w:rPr>
              <w:t>S</w:t>
            </w:r>
            <w:r>
              <w:rPr>
                <w:rFonts w:hint="default" w:ascii="Times New Roman" w:hAnsi="Times New Roman" w:eastAsia="宋体" w:cs="Times New Roman"/>
                <w:color w:val="auto"/>
                <w:kern w:val="0"/>
                <w:sz w:val="21"/>
                <w:szCs w:val="21"/>
                <w:highlight w:val="none"/>
              </w:rPr>
              <w:t>≤2</w:t>
            </w:r>
          </w:p>
        </w:tc>
        <w:tc>
          <w:tcPr>
            <w:tcW w:w="1039"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2＜v</w:t>
            </w:r>
            <w:r>
              <w:rPr>
                <w:rFonts w:hint="default" w:ascii="Times New Roman" w:hAnsi="Times New Roman" w:eastAsia="宋体" w:cs="Times New Roman"/>
                <w:color w:val="auto"/>
                <w:kern w:val="0"/>
                <w:sz w:val="21"/>
                <w:szCs w:val="21"/>
                <w:highlight w:val="none"/>
                <w:vertAlign w:val="subscript"/>
              </w:rPr>
              <w:t>S</w:t>
            </w:r>
            <w:r>
              <w:rPr>
                <w:rFonts w:hint="default" w:ascii="Times New Roman" w:hAnsi="Times New Roman" w:eastAsia="宋体" w:cs="Times New Roman"/>
                <w:color w:val="auto"/>
                <w:kern w:val="0"/>
                <w:sz w:val="21"/>
                <w:szCs w:val="21"/>
                <w:highlight w:val="none"/>
              </w:rPr>
              <w:t>≤4</w:t>
            </w:r>
          </w:p>
        </w:tc>
        <w:tc>
          <w:tcPr>
            <w:tcW w:w="1509" w:type="dxa"/>
            <w:tcBorders>
              <w:top w:val="single" w:color="auto" w:sz="4" w:space="0"/>
              <w:left w:val="single" w:color="auto" w:sz="4" w:space="0"/>
              <w:bottom w:val="nil"/>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4＜v</w:t>
            </w:r>
            <w:r>
              <w:rPr>
                <w:rFonts w:hint="default" w:ascii="Times New Roman" w:hAnsi="Times New Roman" w:eastAsia="宋体" w:cs="Times New Roman"/>
                <w:color w:val="auto"/>
                <w:kern w:val="0"/>
                <w:sz w:val="21"/>
                <w:szCs w:val="21"/>
                <w:highlight w:val="none"/>
                <w:vertAlign w:val="subscript"/>
              </w:rPr>
              <w:t>S</w:t>
            </w:r>
            <w:r>
              <w:rPr>
                <w:rFonts w:hint="default" w:ascii="Times New Roman" w:hAnsi="Times New Roman" w:eastAsia="宋体" w:cs="Times New Roman"/>
                <w:color w:val="auto"/>
                <w:kern w:val="0"/>
                <w:sz w:val="21"/>
                <w:szCs w:val="21"/>
                <w:highlight w:val="none"/>
              </w:rPr>
              <w:t>≤6</w:t>
            </w:r>
          </w:p>
        </w:tc>
        <w:tc>
          <w:tcPr>
            <w:tcW w:w="1515" w:type="dxa"/>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v</w:t>
            </w:r>
            <w:r>
              <w:rPr>
                <w:rFonts w:hint="default" w:ascii="Times New Roman" w:hAnsi="Times New Roman" w:eastAsia="宋体" w:cs="Times New Roman"/>
                <w:color w:val="auto"/>
                <w:kern w:val="0"/>
                <w:sz w:val="21"/>
                <w:szCs w:val="21"/>
                <w:highlight w:val="none"/>
                <w:vertAlign w:val="subscript"/>
              </w:rPr>
              <w:t>S</w:t>
            </w:r>
            <w:r>
              <w:rPr>
                <w:rFonts w:hint="default" w:ascii="Times New Roman" w:hAnsi="Times New Roman" w:eastAsia="宋体" w:cs="Times New Roman"/>
                <w:color w:val="auto"/>
                <w:kern w:val="0"/>
                <w:sz w:val="21"/>
                <w:szCs w:val="21"/>
                <w:highlight w:val="none"/>
              </w:rPr>
              <w:t xml:space="preserve"> &gt;6</w:t>
            </w:r>
          </w:p>
        </w:tc>
      </w:tr>
      <w:tr>
        <w:tblPrEx>
          <w:tblCellMar>
            <w:top w:w="0" w:type="dxa"/>
            <w:left w:w="10" w:type="dxa"/>
            <w:bottom w:w="0" w:type="dxa"/>
            <w:right w:w="10" w:type="dxa"/>
          </w:tblCellMar>
        </w:tblPrEx>
        <w:trPr>
          <w:trHeight w:val="397" w:hRule="atLeast"/>
          <w:jc w:val="center"/>
        </w:trPr>
        <w:tc>
          <w:tcPr>
            <w:tcW w:w="3126" w:type="dxa"/>
            <w:gridSpan w:val="2"/>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监测点测站高差中误差（mm）</w:t>
            </w:r>
          </w:p>
        </w:tc>
        <w:tc>
          <w:tcPr>
            <w:tcW w:w="1137" w:type="dxa"/>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≤0.15</w:t>
            </w:r>
          </w:p>
        </w:tc>
        <w:tc>
          <w:tcPr>
            <w:tcW w:w="1039" w:type="dxa"/>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≤0.5</w:t>
            </w:r>
          </w:p>
        </w:tc>
        <w:tc>
          <w:tcPr>
            <w:tcW w:w="1509" w:type="dxa"/>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515" w:type="dxa"/>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spacing w:line="240" w:lineRule="auto"/>
              <w:ind w:firstLine="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≤1.5</w:t>
            </w:r>
          </w:p>
        </w:tc>
      </w:tr>
    </w:tbl>
    <w:p>
      <w:pPr>
        <w:autoSpaceDE w:val="0"/>
        <w:autoSpaceDN w:val="0"/>
        <w:adjustRightInd w:val="0"/>
        <w:ind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注：监测点测站高差中误差系指相应精度与视距的几何水准测量单程一测站的高差中误差。</w:t>
      </w:r>
    </w:p>
    <w:p>
      <w:pPr>
        <w:numPr>
          <w:ilvl w:val="0"/>
          <w:numId w:val="0"/>
        </w:num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3、深层水平位移监测宜采用在</w:t>
      </w:r>
      <w:r>
        <w:rPr>
          <w:rFonts w:hint="eastAsia" w:ascii="Times New Roman" w:hAnsi="Times New Roman" w:eastAsia="宋体" w:cs="Times New Roman"/>
          <w:color w:val="auto"/>
          <w:kern w:val="0"/>
          <w:sz w:val="24"/>
          <w:szCs w:val="24"/>
          <w:highlight w:val="none"/>
          <w:lang w:val="en-US" w:eastAsia="zh-CN"/>
        </w:rPr>
        <w:t>围</w:t>
      </w:r>
      <w:r>
        <w:rPr>
          <w:rFonts w:hint="default" w:ascii="Times New Roman" w:hAnsi="Times New Roman" w:eastAsia="宋体" w:cs="Times New Roman"/>
          <w:color w:val="auto"/>
          <w:kern w:val="0"/>
          <w:sz w:val="24"/>
          <w:szCs w:val="24"/>
          <w:highlight w:val="none"/>
          <w:lang w:val="en-US" w:eastAsia="zh-CN"/>
        </w:rPr>
        <w:t>护墙体或土体中预埋测斜管，通过测斜仪观测各深度处水平位移的方法。测斜仪的系统精度不易低于0.25mm/m，分辨率不易低于0.02mm/500mm。</w:t>
      </w:r>
    </w:p>
    <w:p>
      <w:pPr>
        <w:numPr>
          <w:ilvl w:val="0"/>
          <w:numId w:val="0"/>
        </w:num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地下水位监测宜通过孔内设置水位管，采用水位计等方法进行测量，水位孔深度宜在最低设计水位下2~3m。地下水位监测精度不宜低于10mm。</w:t>
      </w:r>
    </w:p>
    <w:p>
      <w:pPr>
        <w:numPr>
          <w:ilvl w:val="0"/>
          <w:numId w:val="0"/>
        </w:num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5、支护结构内力监测适用于围护墙内力、支撑轴力、立柱内力、围或腰梁内力监测等，宜采用安装在结构内部或表面的应力、应变传感器进行量测。</w:t>
      </w:r>
    </w:p>
    <w:p>
      <w:pPr>
        <w:numPr>
          <w:ilvl w:val="0"/>
          <w:numId w:val="0"/>
        </w:num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应根据监测对象的结构形式、施工方法选择相应类型的传感器。混凝土支撑、围护桩(墙)宜在钢筋笼制作的同时，在主筋上安装钢筋应力计；钢支撑宜采用轴力计或表面应力计；钢立柱、钢围檩(腰梁)宜采用表面应变计。</w:t>
      </w:r>
    </w:p>
    <w:p>
      <w:pPr>
        <w:numPr>
          <w:ilvl w:val="0"/>
          <w:numId w:val="0"/>
        </w:num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应力计或应变计的量程不宜小于设计值的1.5倍，精度不宜低于0.5%F·S，分辨率不宜低于0.2%F·S。</w:t>
      </w:r>
    </w:p>
    <w:p>
      <w:pPr>
        <w:numPr>
          <w:ilvl w:val="0"/>
          <w:numId w:val="3"/>
        </w:numPr>
        <w:autoSpaceDE w:val="0"/>
        <w:autoSpaceDN w:val="0"/>
        <w:adjustRightInd w:val="0"/>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锚杆轴力监测宜采用轴力计、钢筋应力计或应变计，当使用钢筋束时宜监测每根钢筋的受力。</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轴力计、钢筋应力计和应变计的量程宜为锚杆极限抗拔承载力的1.5倍，量测精度不宜低于0.5%F·S，分辨率不宜低于0.2%F·S。</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30" w:name="_Toc28832"/>
      <w:r>
        <w:rPr>
          <w:rFonts w:hint="default" w:ascii="Times New Roman" w:hAnsi="Times New Roman" w:eastAsia="宋体" w:cs="Times New Roman"/>
          <w:b/>
          <w:color w:val="auto"/>
          <w:sz w:val="24"/>
          <w:szCs w:val="24"/>
          <w:highlight w:val="none"/>
          <w:lang w:val="en-US" w:eastAsia="zh-CN"/>
        </w:rPr>
        <w:t>1.1.</w:t>
      </w:r>
      <w:r>
        <w:rPr>
          <w:rFonts w:hint="default" w:ascii="Times New Roman" w:hAnsi="Times New Roman" w:eastAsia="宋体" w:cs="Times New Roman"/>
          <w:b/>
          <w:color w:val="auto"/>
          <w:sz w:val="24"/>
          <w:szCs w:val="24"/>
          <w:highlight w:val="none"/>
        </w:rPr>
        <w:t>7.</w:t>
      </w: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监测点技术要求</w:t>
      </w:r>
      <w:bookmarkEnd w:id="230"/>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①基坑工程监测点的布置应最大程度地反映监测对象的实际状态及其变化趋势，并应满足监控要求。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②基坑工程监测点的布置应不妨碍监测对象的正常工作，并尽量减少对施工作业的不利影响。</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③监测标志应稳固、明显、结构合理，监测点的位置应避开障碍物，便于观测。</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④在监测对象内力和变形变化大的代表性部位及周边重点监护部位，监测点应适当加密。</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⑤应加强对监测点的保护，必要时应设置监侧点的保护装置或保护设施。</w:t>
      </w:r>
    </w:p>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lang w:val="en-US" w:eastAsia="zh-CN"/>
        </w:rPr>
      </w:pPr>
      <w:bookmarkStart w:id="231" w:name="_Toc8941"/>
      <w:bookmarkStart w:id="232" w:name="_Toc23056"/>
      <w:r>
        <w:rPr>
          <w:rFonts w:hint="default" w:ascii="Times New Roman" w:hAnsi="Times New Roman" w:eastAsia="宋体" w:cs="Times New Roman"/>
          <w:color w:val="auto"/>
          <w:sz w:val="30"/>
          <w:szCs w:val="24"/>
          <w:highlight w:val="none"/>
          <w:lang w:val="en-US" w:eastAsia="zh-CN"/>
        </w:rPr>
        <w:t>1.2高支模监测</w:t>
      </w:r>
      <w:bookmarkEnd w:id="231"/>
      <w:bookmarkEnd w:id="232"/>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33" w:name="_Toc15800"/>
      <w:bookmarkStart w:id="234" w:name="_Toc17596"/>
      <w:r>
        <w:rPr>
          <w:rFonts w:hint="default" w:ascii="Times New Roman" w:hAnsi="Times New Roman" w:eastAsia="宋体" w:cs="Times New Roman"/>
          <w:b/>
          <w:color w:val="auto"/>
          <w:sz w:val="24"/>
          <w:szCs w:val="24"/>
          <w:highlight w:val="none"/>
          <w:lang w:val="en-US" w:eastAsia="zh-CN"/>
        </w:rPr>
        <w:t>1.2.1</w:t>
      </w:r>
      <w:r>
        <w:rPr>
          <w:rFonts w:hint="eastAsia" w:ascii="Times New Roman" w:hAnsi="Times New Roman" w:eastAsia="宋体" w:cs="Times New Roman"/>
          <w:b/>
          <w:color w:val="auto"/>
          <w:sz w:val="24"/>
          <w:szCs w:val="24"/>
          <w:highlight w:val="none"/>
          <w:lang w:val="en-US" w:eastAsia="zh-CN"/>
        </w:rPr>
        <w:t>基本</w:t>
      </w:r>
      <w:r>
        <w:rPr>
          <w:rFonts w:hint="default" w:ascii="Times New Roman" w:hAnsi="Times New Roman" w:eastAsia="宋体" w:cs="Times New Roman"/>
          <w:b/>
          <w:color w:val="auto"/>
          <w:sz w:val="24"/>
          <w:szCs w:val="24"/>
          <w:highlight w:val="none"/>
          <w:lang w:val="en-US" w:eastAsia="zh-CN"/>
        </w:rPr>
        <w:t>规定</w:t>
      </w:r>
      <w:bookmarkEnd w:id="233"/>
      <w:bookmarkEnd w:id="234"/>
    </w:p>
    <w:p>
      <w:pPr>
        <w:widowControl w:val="0"/>
        <w:autoSpaceDE w:val="0"/>
        <w:autoSpaceDN w:val="0"/>
        <w:adjustRightInd w:val="0"/>
        <w:spacing w:beforeLines="0" w:after="0" w:afterLines="0"/>
        <w:ind w:left="0" w:leftChars="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高大支模是指房屋建筑与市政基础设施等施工现场搭设高度8m及以上，或搭设跨度18m及以上，或施工总荷载(设计值)15kN/m</w:t>
      </w:r>
      <w:r>
        <w:rPr>
          <w:rFonts w:hint="eastAsia" w:ascii="Times New Roman" w:hAnsi="Times New Roman" w:eastAsia="宋体" w:cs="Times New Roman"/>
          <w:color w:val="auto"/>
          <w:kern w:val="2"/>
          <w:sz w:val="24"/>
          <w:szCs w:val="24"/>
          <w:highlight w:val="none"/>
          <w:lang w:val="en-US" w:eastAsia="zh-CN" w:bidi="ar-SA"/>
        </w:rPr>
        <w:t>²</w:t>
      </w:r>
      <w:r>
        <w:rPr>
          <w:rFonts w:hint="default" w:ascii="Times New Roman" w:hAnsi="Times New Roman" w:eastAsia="宋体" w:cs="Times New Roman"/>
          <w:color w:val="auto"/>
          <w:kern w:val="2"/>
          <w:sz w:val="24"/>
          <w:szCs w:val="24"/>
          <w:highlight w:val="none"/>
          <w:lang w:val="en-US" w:eastAsia="zh-CN" w:bidi="ar-SA"/>
        </w:rPr>
        <w:t>及以上，或集中线荷载(设计值)20kN/m 及以上的混凝土模板支撑工程</w:t>
      </w:r>
      <w:r>
        <w:rPr>
          <w:rFonts w:hint="eastAsia" w:ascii="Times New Roman" w:hAnsi="Times New Roman" w:eastAsia="宋体" w:cs="Times New Roman"/>
          <w:color w:val="auto"/>
          <w:kern w:val="2"/>
          <w:sz w:val="24"/>
          <w:szCs w:val="24"/>
          <w:highlight w:val="none"/>
          <w:lang w:val="en-US" w:eastAsia="zh-CN" w:bidi="ar-SA"/>
        </w:rPr>
        <w:t>。</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35" w:name="_Toc30484"/>
      <w:bookmarkStart w:id="236" w:name="_Toc23347"/>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lang w:val="en-US" w:eastAsia="zh-CN"/>
        </w:rPr>
        <w:t>一般规定</w:t>
      </w:r>
      <w:bookmarkEnd w:id="235"/>
      <w:bookmarkEnd w:id="236"/>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监测项目应根据高大支模的工程规模、搭设形式、基础形式、周边环境及监测方法的适用性综合确定，现场监测应采用仪器监测与巡视检查相结合的方法</w:t>
      </w:r>
      <w:r>
        <w:rPr>
          <w:rFonts w:hint="eastAsia" w:ascii="Times New Roman" w:hAnsi="Times New Roman" w:eastAsia="宋体" w:cs="Times New Roman"/>
          <w:color w:val="auto"/>
          <w:kern w:val="2"/>
          <w:sz w:val="24"/>
          <w:szCs w:val="24"/>
          <w:highlight w:val="none"/>
          <w:lang w:val="en-US" w:eastAsia="zh-CN" w:bidi="ar-SA"/>
        </w:rPr>
        <w:t>。</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高大支模工程现场监测的对象包括：支撑结构；立杆基础；其他应监测的对象。</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监测项目应与专项施工方案及施工进度相匹配，针对监测对象的关键部位能做到重点监测、项目配套，形成有效的、完整的监测系统。</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37" w:name="_Toc29195"/>
      <w:bookmarkStart w:id="238" w:name="_Toc17716"/>
      <w:bookmarkStart w:id="239" w:name="_Toc2960"/>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val="en-US" w:eastAsia="zh-CN"/>
        </w:rPr>
        <w:t>高支模监测依据</w:t>
      </w:r>
      <w:bookmarkEnd w:id="237"/>
      <w:bookmarkEnd w:id="238"/>
      <w:bookmarkEnd w:id="239"/>
    </w:p>
    <w:p>
      <w:pPr>
        <w:widowControl w:val="0"/>
        <w:autoSpaceDE w:val="0"/>
        <w:autoSpaceDN w:val="0"/>
        <w:adjustRightInd w:val="0"/>
        <w:spacing w:beforeLines="0" w:after="0" w:afterLines="0"/>
        <w:ind w:left="12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《高大模板支撑系统实时安全监测技术规范》DBJ/15-197-2020</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40" w:name="_Toc26093"/>
      <w:bookmarkStart w:id="241" w:name="_Toc17852"/>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监测项目</w:t>
      </w:r>
      <w:bookmarkEnd w:id="240"/>
      <w:bookmarkEnd w:id="241"/>
    </w:p>
    <w:p>
      <w:pPr>
        <w:autoSpaceDE w:val="0"/>
        <w:autoSpaceDN w:val="0"/>
        <w:adjustRightInd w:val="0"/>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高大支模监测项目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监测对象</w:t>
            </w:r>
          </w:p>
        </w:tc>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支撑结构</w:t>
            </w:r>
          </w:p>
        </w:tc>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立杆轴力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rPr>
            </w:pPr>
          </w:p>
        </w:tc>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水平位移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rPr>
            </w:pPr>
          </w:p>
        </w:tc>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rPr>
            </w:pPr>
          </w:p>
        </w:tc>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倾斜（立杆倾角）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立杆基础</w:t>
            </w:r>
          </w:p>
        </w:tc>
        <w:tc>
          <w:tcPr>
            <w:tcW w:w="4261"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沉降</w:t>
            </w:r>
          </w:p>
        </w:tc>
      </w:tr>
    </w:tbl>
    <w:p>
      <w:pPr>
        <w:autoSpaceDE w:val="0"/>
        <w:autoSpaceDN w:val="0"/>
        <w:adjustRightInd w:val="0"/>
        <w:ind w:firstLine="420" w:firstLineChars="200"/>
        <w:jc w:val="left"/>
        <w:rPr>
          <w:rFonts w:hint="default" w:ascii="Times New Roman" w:hAnsi="Times New Roman" w:eastAsia="宋体" w:cs="Times New Roman"/>
          <w:color w:val="auto"/>
          <w:kern w:val="0"/>
          <w:sz w:val="21"/>
          <w:szCs w:val="22"/>
          <w:highlight w:val="none"/>
          <w:lang w:eastAsia="zh-CN"/>
        </w:rPr>
      </w:pPr>
      <w:r>
        <w:rPr>
          <w:rFonts w:hint="default" w:ascii="Times New Roman" w:hAnsi="Times New Roman" w:eastAsia="宋体" w:cs="Times New Roman"/>
          <w:color w:val="auto"/>
          <w:kern w:val="0"/>
          <w:sz w:val="21"/>
          <w:szCs w:val="22"/>
          <w:highlight w:val="none"/>
        </w:rPr>
        <w:t>注:1</w:t>
      </w:r>
      <w:r>
        <w:rPr>
          <w:rFonts w:hint="default" w:ascii="Times New Roman" w:hAnsi="Times New Roman" w:eastAsia="宋体" w:cs="Times New Roman"/>
          <w:color w:val="auto"/>
          <w:kern w:val="0"/>
          <w:sz w:val="21"/>
          <w:szCs w:val="22"/>
          <w:highlight w:val="none"/>
          <w:lang w:val="en-US" w:eastAsia="zh-CN"/>
        </w:rPr>
        <w:t xml:space="preserve"> </w:t>
      </w:r>
      <w:r>
        <w:rPr>
          <w:rFonts w:hint="default" w:ascii="Times New Roman" w:hAnsi="Times New Roman" w:eastAsia="宋体" w:cs="Times New Roman"/>
          <w:color w:val="auto"/>
          <w:kern w:val="0"/>
          <w:sz w:val="21"/>
          <w:szCs w:val="22"/>
          <w:highlight w:val="none"/>
        </w:rPr>
        <w:t>基础沉降包含绝对沉降及相邻测点差异沉降</w:t>
      </w:r>
      <w:r>
        <w:rPr>
          <w:rFonts w:hint="default" w:ascii="Times New Roman" w:hAnsi="Times New Roman" w:eastAsia="宋体" w:cs="Times New Roman"/>
          <w:color w:val="auto"/>
          <w:kern w:val="0"/>
          <w:sz w:val="21"/>
          <w:szCs w:val="22"/>
          <w:highlight w:val="none"/>
          <w:lang w:eastAsia="zh-CN"/>
        </w:rPr>
        <w:t>；</w:t>
      </w:r>
    </w:p>
    <w:p>
      <w:pPr>
        <w:autoSpaceDE w:val="0"/>
        <w:autoSpaceDN w:val="0"/>
        <w:adjustRightInd w:val="0"/>
        <w:ind w:firstLine="630" w:firstLineChars="300"/>
        <w:jc w:val="left"/>
        <w:rPr>
          <w:rFonts w:hint="default" w:ascii="Times New Roman" w:hAnsi="Times New Roman" w:eastAsia="宋体" w:cs="Times New Roman"/>
          <w:color w:val="auto"/>
          <w:kern w:val="0"/>
          <w:sz w:val="21"/>
          <w:szCs w:val="22"/>
          <w:highlight w:val="none"/>
          <w:lang w:eastAsia="zh-CN"/>
        </w:rPr>
      </w:pPr>
      <w:r>
        <w:rPr>
          <w:rFonts w:hint="default" w:ascii="Times New Roman" w:hAnsi="Times New Roman" w:eastAsia="宋体" w:cs="Times New Roman"/>
          <w:color w:val="auto"/>
          <w:kern w:val="0"/>
          <w:sz w:val="21"/>
          <w:szCs w:val="22"/>
          <w:highlight w:val="none"/>
          <w:lang w:val="en-US" w:eastAsia="zh-CN"/>
        </w:rPr>
        <w:t xml:space="preserve">2 </w:t>
      </w:r>
      <w:r>
        <w:rPr>
          <w:rFonts w:hint="default" w:ascii="Times New Roman" w:hAnsi="Times New Roman" w:eastAsia="宋体" w:cs="Times New Roman"/>
          <w:color w:val="auto"/>
          <w:kern w:val="0"/>
          <w:sz w:val="21"/>
          <w:szCs w:val="22"/>
          <w:highlight w:val="none"/>
        </w:rPr>
        <w:t>当施工荷载较大或基础可能产生较大变形时，应进行基础沉降监测</w:t>
      </w:r>
      <w:r>
        <w:rPr>
          <w:rFonts w:hint="default" w:ascii="Times New Roman" w:hAnsi="Times New Roman" w:eastAsia="宋体" w:cs="Times New Roman"/>
          <w:color w:val="auto"/>
          <w:kern w:val="0"/>
          <w:sz w:val="21"/>
          <w:szCs w:val="22"/>
          <w:highlight w:val="none"/>
          <w:lang w:eastAsia="zh-CN"/>
        </w:rPr>
        <w:t>；</w:t>
      </w:r>
    </w:p>
    <w:p>
      <w:pPr>
        <w:autoSpaceDE w:val="0"/>
        <w:autoSpaceDN w:val="0"/>
        <w:adjustRightInd w:val="0"/>
        <w:ind w:firstLine="630" w:firstLineChars="300"/>
        <w:jc w:val="left"/>
        <w:rPr>
          <w:rFonts w:hint="default" w:ascii="Times New Roman" w:hAnsi="Times New Roman" w:eastAsia="宋体" w:cs="Times New Roman"/>
          <w:color w:val="auto"/>
          <w:kern w:val="0"/>
          <w:sz w:val="21"/>
          <w:szCs w:val="22"/>
          <w:highlight w:val="none"/>
          <w:lang w:eastAsia="zh-CN"/>
        </w:rPr>
      </w:pPr>
      <w:r>
        <w:rPr>
          <w:rFonts w:hint="default" w:ascii="Times New Roman" w:hAnsi="Times New Roman" w:eastAsia="宋体" w:cs="Times New Roman"/>
          <w:color w:val="auto"/>
          <w:kern w:val="0"/>
          <w:sz w:val="21"/>
          <w:szCs w:val="22"/>
          <w:highlight w:val="none"/>
          <w:lang w:val="en-US" w:eastAsia="zh-CN"/>
        </w:rPr>
        <w:t xml:space="preserve">3 </w:t>
      </w:r>
      <w:r>
        <w:rPr>
          <w:rFonts w:hint="default" w:ascii="Times New Roman" w:hAnsi="Times New Roman" w:eastAsia="宋体" w:cs="Times New Roman"/>
          <w:color w:val="auto"/>
          <w:kern w:val="0"/>
          <w:sz w:val="21"/>
          <w:szCs w:val="22"/>
          <w:highlight w:val="none"/>
        </w:rPr>
        <w:t>当采用贝雷架、外支型钢等可能产生水平位移的结构作为基础时，除应进行沉降观测外，还应进行水平位移监测</w:t>
      </w:r>
      <w:r>
        <w:rPr>
          <w:rFonts w:hint="default" w:ascii="Times New Roman" w:hAnsi="Times New Roman" w:eastAsia="宋体" w:cs="Times New Roman"/>
          <w:color w:val="auto"/>
          <w:kern w:val="0"/>
          <w:sz w:val="21"/>
          <w:szCs w:val="22"/>
          <w:highlight w:val="none"/>
          <w:lang w:eastAsia="zh-CN"/>
        </w:rPr>
        <w:t>；</w:t>
      </w:r>
    </w:p>
    <w:p>
      <w:pPr>
        <w:autoSpaceDE w:val="0"/>
        <w:autoSpaceDN w:val="0"/>
        <w:adjustRightInd w:val="0"/>
        <w:ind w:firstLine="630" w:firstLineChars="300"/>
        <w:jc w:val="left"/>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lang w:val="en-US" w:eastAsia="zh-CN"/>
        </w:rPr>
        <w:t xml:space="preserve">4 </w:t>
      </w:r>
      <w:r>
        <w:rPr>
          <w:rFonts w:hint="default" w:ascii="Times New Roman" w:hAnsi="Times New Roman" w:eastAsia="宋体" w:cs="Times New Roman"/>
          <w:color w:val="auto"/>
          <w:kern w:val="0"/>
          <w:sz w:val="21"/>
          <w:szCs w:val="22"/>
          <w:highlight w:val="none"/>
        </w:rPr>
        <w:t>对于门洞支架，应根据支架搭设形式、周边环境选择合适的方法，加强监测。</w:t>
      </w:r>
    </w:p>
    <w:p>
      <w:pPr>
        <w:widowControl w:val="0"/>
        <w:autoSpaceDE w:val="0"/>
        <w:autoSpaceDN w:val="0"/>
        <w:adjustRightInd w:val="0"/>
        <w:spacing w:beforeLines="0" w:after="0" w:afterLines="0"/>
        <w:ind w:left="120" w:firstLine="240" w:firstLineChars="100"/>
        <w:jc w:val="center"/>
        <w:rPr>
          <w:rFonts w:hint="default" w:ascii="Times New Roman" w:hAnsi="Times New Roman" w:eastAsia="宋体" w:cs="Times New Roman"/>
          <w:color w:val="auto"/>
          <w:kern w:val="2"/>
          <w:sz w:val="24"/>
          <w:szCs w:val="28"/>
          <w:highlight w:val="none"/>
          <w:lang w:val="en-US" w:eastAsia="zh-CN" w:bidi="ar-SA"/>
        </w:rPr>
      </w:pPr>
      <w:r>
        <w:rPr>
          <w:rFonts w:hint="default" w:ascii="Times New Roman" w:hAnsi="Times New Roman" w:eastAsia="宋体" w:cs="Times New Roman"/>
          <w:color w:val="auto"/>
          <w:kern w:val="2"/>
          <w:sz w:val="24"/>
          <w:szCs w:val="28"/>
          <w:highlight w:val="none"/>
          <w:lang w:val="en-US" w:eastAsia="zh-CN" w:bidi="ar-SA"/>
        </w:rPr>
        <w:t>高大支模工程监测报警值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监测对象</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监测项目</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报警值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支撑结构</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立杆轴力</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后加荷载设计值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rPr>
            </w:pP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水平位移</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rPr>
            </w:pP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沉降</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rPr>
            </w:pP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倾斜（立杆倾角）</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立杆基础</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差异沉降</w:t>
            </w:r>
          </w:p>
        </w:tc>
        <w:tc>
          <w:tcPr>
            <w:tcW w:w="2840" w:type="dxa"/>
          </w:tcPr>
          <w:p>
            <w:pPr>
              <w:autoSpaceDE w:val="0"/>
              <w:autoSpaceDN w:val="0"/>
              <w:adjustRightInd w:val="0"/>
              <w:jc w:val="center"/>
              <w:rPr>
                <w:rFonts w:hint="default" w:ascii="Times New Roman" w:hAnsi="Times New Roman" w:eastAsia="宋体" w:cs="Times New Roman"/>
                <w:color w:val="auto"/>
                <w:kern w:val="0"/>
                <w:sz w:val="22"/>
                <w:szCs w:val="24"/>
                <w:highlight w:val="none"/>
                <w:vertAlign w:val="baseline"/>
                <w:lang w:val="en-US" w:eastAsia="zh-CN"/>
              </w:rPr>
            </w:pPr>
            <w:r>
              <w:rPr>
                <w:rFonts w:hint="default" w:ascii="Times New Roman" w:hAnsi="Times New Roman" w:eastAsia="宋体" w:cs="Times New Roman"/>
                <w:color w:val="auto"/>
                <w:kern w:val="0"/>
                <w:sz w:val="22"/>
                <w:szCs w:val="24"/>
                <w:highlight w:val="none"/>
                <w:vertAlign w:val="baseline"/>
                <w:lang w:val="en-US" w:eastAsia="zh-CN"/>
              </w:rPr>
              <w:t>L/1000</w:t>
            </w:r>
          </w:p>
        </w:tc>
      </w:tr>
    </w:tbl>
    <w:p>
      <w:pPr>
        <w:widowControl w:val="0"/>
        <w:autoSpaceDE w:val="0"/>
        <w:autoSpaceDN w:val="0"/>
        <w:adjustRightInd w:val="0"/>
        <w:spacing w:beforeLines="0" w:after="0" w:afterLines="0"/>
        <w:ind w:left="0" w:leftChars="0" w:firstLine="420" w:firstLineChars="2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注:1“后加荷载设计值”为轴力传感器安装调试完成并初始化后增加的荷载，一般包括混凝土、施工人员、振捣机械、冲击荷载及风荷载等；</w:t>
      </w:r>
    </w:p>
    <w:p>
      <w:pPr>
        <w:widowControl w:val="0"/>
        <w:autoSpaceDE w:val="0"/>
        <w:autoSpaceDN w:val="0"/>
        <w:adjustRightInd w:val="0"/>
        <w:spacing w:beforeLines="0" w:after="0" w:afterLines="0"/>
        <w:ind w:left="120" w:firstLine="630" w:firstLineChars="3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2“L”为相邻测点距离；</w:t>
      </w:r>
    </w:p>
    <w:p>
      <w:pPr>
        <w:widowControl w:val="0"/>
        <w:autoSpaceDE w:val="0"/>
        <w:autoSpaceDN w:val="0"/>
        <w:adjustRightInd w:val="0"/>
        <w:spacing w:beforeLines="0" w:after="0" w:afterLines="0"/>
        <w:ind w:left="120" w:firstLine="630" w:firstLineChars="3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3根据项目具体情况，支撑结构变形监测项目 (水平位移、沉降、倾斜)报警值可适当调整，调节系数为 0.7~1.5；</w:t>
      </w:r>
    </w:p>
    <w:p>
      <w:pPr>
        <w:widowControl w:val="0"/>
        <w:autoSpaceDE w:val="0"/>
        <w:autoSpaceDN w:val="0"/>
        <w:adjustRightInd w:val="0"/>
        <w:spacing w:beforeLines="0" w:after="0" w:afterLines="0"/>
        <w:ind w:left="0" w:leftChars="0" w:firstLine="630" w:firstLineChars="3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4对于门洞支架、悬挑支架等特殊支撑结构，需与设计方沟通确定报警指标；</w:t>
      </w:r>
    </w:p>
    <w:p>
      <w:pPr>
        <w:widowControl w:val="0"/>
        <w:autoSpaceDE w:val="0"/>
        <w:autoSpaceDN w:val="0"/>
        <w:adjustRightInd w:val="0"/>
        <w:spacing w:beforeLines="0" w:after="0" w:afterLines="0"/>
        <w:ind w:left="0" w:leftChars="0" w:firstLine="630" w:firstLineChars="3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5当使用既有梁板为立杆基础时，需综合考虑梁板的挠度变形；</w:t>
      </w:r>
    </w:p>
    <w:p>
      <w:pPr>
        <w:widowControl w:val="0"/>
        <w:autoSpaceDE w:val="0"/>
        <w:autoSpaceDN w:val="0"/>
        <w:adjustRightInd w:val="0"/>
        <w:spacing w:beforeLines="0" w:after="0" w:afterLines="0"/>
        <w:ind w:left="0" w:leftChars="0" w:firstLine="630" w:firstLineChars="3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6当监测项目的累计变化量达到报警值的 80%，应预警。</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42" w:name="_Toc19756"/>
      <w:bookmarkStart w:id="243" w:name="_Toc13673"/>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监测工程布置</w:t>
      </w:r>
      <w:bookmarkEnd w:id="242"/>
      <w:bookmarkEnd w:id="243"/>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高大支模工程监测点的布置应能反映高大支模的受力状态、变形特征和变化趋势，监测点应布设在支架薄弱、荷载较大等关键部位。</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高大支模工程监测点平面位置宜按网格形式布设，水平间距宜为 10m~15m。同部位各监测项目宜布设于同一构件或邻近构件，以便数据分析、相互验证。</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监测点布置应分布合理、标识明显且安装稳固。</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监测点的布置应不妨碍高大支模工程的正常施工，减少对施工作业的影响，且利于监测点的保护和仪器调试。</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监测点安装完成后，应记录监测点实际位置，绘制监测点布置图。</w:t>
      </w:r>
    </w:p>
    <w:p>
      <w:pPr>
        <w:widowControl w:val="0"/>
        <w:autoSpaceDE w:val="0"/>
        <w:autoSpaceDN w:val="0"/>
        <w:adjustRightInd w:val="0"/>
        <w:spacing w:beforeLines="0" w:after="0" w:afterLines="0"/>
        <w:ind w:left="12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（1）支撑结构</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点宜布设在荷载较大、自由边中部或其他具有代表性的部位，对于长宽比较大、荷载较大、计算变形较大和内力变化显著的部位，应增加监测点。当有连墙件与稳定的既有结构做可靠连接时，可适当减少监测点。</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立杆轴力监测点宜布置在立杆可调托撑与主楞之间，轴力计与立杆、面板或楞梁间应保持紧密接触，接触面应平整，以保证接触均匀。</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水平位移及倾斜（立杆倾角）监测点应在高大支模的不同高度设置监测点，监测点竖向间距宜根据水平剪刀撑高度布设，但不宜大于6m；水平位移及倾斜（立杆倾角）监测宜量测水平面上两个相互垂直方向的位移变化。</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沉降监测点的布设位置应与水平位移、倾斜（立杆倾角）监测点的平面位置相对应。</w:t>
      </w:r>
    </w:p>
    <w:p>
      <w:pPr>
        <w:widowControl w:val="0"/>
        <w:numPr>
          <w:ilvl w:val="0"/>
          <w:numId w:val="0"/>
        </w:numPr>
        <w:autoSpaceDE w:val="0"/>
        <w:autoSpaceDN w:val="0"/>
        <w:adjustRightInd w:val="0"/>
        <w:spacing w:beforeLines="0" w:after="0" w:afterLines="0"/>
        <w:ind w:left="480" w:leftChars="20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（2）立杆基础</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立杆基础沉降监测点宜布设在支架的四角、设计荷载较大、基础承载力较低的部位及其他具有代表性的部位，监测点的水平间距宜为 10m~15m，且每边不少于2个。在基础条件变化处及支架搭设形式变化处，宜增加监测点；基础稳定、可靠时，可适当减少监测点。</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立杆基础沉降监测点宜结合支架沉降监测点和立杆轴力监测点的位置布设，并能反映基础的整体沉降和不均匀沉降，便于监测数据的综合分析。</w:t>
      </w:r>
    </w:p>
    <w:p>
      <w:pPr>
        <w:widowControl w:val="0"/>
        <w:autoSpaceDE w:val="0"/>
        <w:autoSpaceDN w:val="0"/>
        <w:adjustRightInd w:val="0"/>
        <w:spacing w:beforeLines="0" w:after="0" w:afterLines="0"/>
        <w:ind w:left="12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测点安装布设可参考《高大模板支撑系统实时安全监测技术规范》DBJ/15-197-2020附录 B。</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44" w:name="_Toc31021"/>
      <w:bookmarkStart w:id="245" w:name="_Toc3519"/>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巡视检查</w:t>
      </w:r>
      <w:bookmarkEnd w:id="244"/>
      <w:bookmarkEnd w:id="245"/>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首次巡视检查宜在仪器安装调试前实施，监测过程中应定期进行巡视检查，记录高大支模施工工况、监测设施工作状态等情况。</w:t>
      </w:r>
    </w:p>
    <w:p>
      <w:pPr>
        <w:widowControl w:val="0"/>
        <w:numPr>
          <w:ilvl w:val="0"/>
          <w:numId w:val="0"/>
        </w:numPr>
        <w:autoSpaceDE w:val="0"/>
        <w:autoSpaceDN w:val="0"/>
        <w:adjustRightInd w:val="0"/>
        <w:spacing w:beforeLines="0" w:after="0" w:afterLines="0"/>
        <w:ind w:left="480" w:leftChars="20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巡视检查以目测检查为主，可辅助摄像、摄影设备或其他工具等进行。</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巡视检查如发现异常或危险情况，应及时通知现场负责人和相关单位负责人。</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46" w:name="_Toc426"/>
      <w:bookmarkStart w:id="247" w:name="_Toc27666"/>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lang w:val="en-US" w:eastAsia="zh-CN"/>
        </w:rPr>
        <w:t>监测频率</w:t>
      </w:r>
      <w:bookmarkEnd w:id="246"/>
      <w:bookmarkEnd w:id="247"/>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1高大支模工程监测频率应满足能连续反映监测对象变化过程的要求。</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2高大支模实时安全监测应贯穿混凝土浇筑施工全过程监测周期应从混凝土浇筑施工前进行初始值采集，至混凝土施工完成后，施工机械、人员清场，且监测数据无持续增大趋势为止。</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3监测项目的监测频率应综合高大支模工程的规模、周边环境、自然条件、施工阶段等因素确定:在无数据异常和事故征兆的情况下，混凝土浇筑期间监测频率不宜低于2次/min</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注:若部分监测项目受现场条件限制无法实施时，可采用满足监测精度的相关仪器进行辅助监测及对比测量，但监测频率不宜低于 1 次/10min</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同时应加密其他监测项目的测点布设</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4当出现下列情况之一时，应提高监测频率：</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①基础条件差异较大，采用门洞、型钢悬挑支架等作为基础时</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②采用跨空或悬挑支撑结构时，或支架的高度大于横向宽度的3 倍时</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③周边环境复杂、人流较多、交通繁忙、存在重要保护建(构) 筑物等情况</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④监测数据达到报警值或监测数据变化较大时；</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⑤存在可能影响基础安全的沟槽开挖等施工情况时</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⑥出现其他影响监测对象及周边环境安全的异常情况。</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48" w:name="_Toc17124"/>
      <w:bookmarkStart w:id="249" w:name="_Toc28040"/>
      <w:r>
        <w:rPr>
          <w:rFonts w:hint="default" w:ascii="Times New Roman" w:hAnsi="Times New Roman" w:eastAsia="宋体" w:cs="Times New Roman"/>
          <w:b/>
          <w:color w:val="auto"/>
          <w:sz w:val="24"/>
          <w:szCs w:val="24"/>
          <w:highlight w:val="none"/>
          <w:lang w:val="en-US" w:eastAsia="zh-CN"/>
        </w:rPr>
        <w:t>1.2.</w:t>
      </w:r>
      <w:r>
        <w:rPr>
          <w:rFonts w:hint="eastAsia" w:ascii="Times New Roman" w:hAnsi="Times New Roman" w:eastAsia="宋体" w:cs="Times New Roman"/>
          <w:b/>
          <w:color w:val="auto"/>
          <w:sz w:val="24"/>
          <w:szCs w:val="24"/>
          <w:highlight w:val="none"/>
          <w:lang w:val="en-US" w:eastAsia="zh-CN"/>
        </w:rPr>
        <w:t>8</w:t>
      </w:r>
      <w:r>
        <w:rPr>
          <w:rFonts w:hint="default" w:ascii="Times New Roman" w:hAnsi="Times New Roman" w:eastAsia="宋体" w:cs="Times New Roman"/>
          <w:b/>
          <w:color w:val="auto"/>
          <w:sz w:val="24"/>
          <w:szCs w:val="24"/>
          <w:highlight w:val="none"/>
        </w:rPr>
        <w:t>监测仪器及技术要求</w:t>
      </w:r>
      <w:bookmarkEnd w:id="248"/>
      <w:bookmarkEnd w:id="249"/>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1满足观测精度、量程和线性度的要求，且具有良好的稳定性、可靠性和可替换性；</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2监测仪器宜配备后备电源，监测传感器应具备身份识别功能</w:t>
      </w:r>
      <w:r>
        <w:rPr>
          <w:rFonts w:hint="eastAsia" w:ascii="Times New Roman" w:hAnsi="Times New Roman" w:eastAsia="宋体" w:cs="Times New Roman"/>
          <w:color w:val="auto"/>
          <w:kern w:val="0"/>
          <w:sz w:val="24"/>
          <w:szCs w:val="24"/>
          <w:highlight w:val="none"/>
          <w:lang w:val="en-US" w:eastAsia="zh-CN"/>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3监测软件应能接收、处理、显示现场各项监测数据，应具备超限预警功能及数据存储、传输功能；</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4监测仪器应在校准或检定有效期内；</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5监测过程中宜适时进行监测仪器、传感器和软件的检查和维护。</w:t>
      </w:r>
    </w:p>
    <w:p>
      <w:pPr>
        <w:widowControl w:val="0"/>
        <w:numPr>
          <w:ilvl w:val="0"/>
          <w:numId w:val="4"/>
        </w:numPr>
        <w:autoSpaceDE w:val="0"/>
        <w:autoSpaceDN w:val="0"/>
        <w:adjustRightInd w:val="0"/>
        <w:spacing w:beforeLines="0" w:after="0" w:afterLines="0"/>
        <w:ind w:left="12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立杆轴力监测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1立杆轴力监测宜采用荷载传感器进行自动化监测，在满足监测要求的前提下，可采用不改变高大支模原受力状态的其他监测方法。</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2荷载传感器量程应大于荷载设计计算值的2倍~3 倍，其精度不宜低于0.5%F·S，分辨率不宜低于0.2%F·S</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3荷载传感器的设置应符合以下规定</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①立杆受压的轴心力与传感器受力重合，确保受力面与压力方向垂直并紧贴被监测对象；</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②传感器安装完成后应处于受压状态。</w:t>
      </w:r>
    </w:p>
    <w:p>
      <w:pPr>
        <w:widowControl w:val="0"/>
        <w:numPr>
          <w:ilvl w:val="0"/>
          <w:numId w:val="4"/>
        </w:numPr>
        <w:autoSpaceDE w:val="0"/>
        <w:autoSpaceDN w:val="0"/>
        <w:adjustRightInd w:val="0"/>
        <w:spacing w:beforeLines="0" w:after="0" w:afterLines="0"/>
        <w:ind w:left="120" w:leftChars="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水平位移监测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1水平位移监测宜采用位移传感器进行自动化观测</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当无固定既有稳定结构作为参考点时，在满足监测要求的前提下可采用其他方法进行观测。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2水平位移传感器量程宜为报警值的3倍~6 倍，监测精度不低于1.0mm。</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3水平位移传感器的参考点宜选取既有稳定的混凝土梁柱、剪力墙或桥墩等稳定结构构件。</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4水平位移传感器的设置应符合以下规定：</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①水平位移传感器宜稳定安装在能反映支架整体变形的部位；</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②水平位移宜监测支架水平杆两个相互垂直方向的变形；</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③水平位移传感器初始安装位移值应根据支架水平位移的变形控制值及位移方向综合确定，量程余量应满足监测要求。</w:t>
      </w:r>
    </w:p>
    <w:p>
      <w:pPr>
        <w:widowControl w:val="0"/>
        <w:numPr>
          <w:ilvl w:val="0"/>
          <w:numId w:val="4"/>
        </w:numPr>
        <w:autoSpaceDE w:val="0"/>
        <w:autoSpaceDN w:val="0"/>
        <w:adjustRightInd w:val="0"/>
        <w:spacing w:beforeLines="0" w:after="0" w:afterLines="0"/>
        <w:ind w:left="120" w:leftChars="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倾斜（立杆倾角）监测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1倾斜监测宜采用倾斜传感器进行自动化观测，在满足监测要求的前提下可采用其他方法进行观测。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2倾斜传感器的量程不宜小于变形控制值的3 倍~6 倍，观测精度不低于0.01°</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3倾斜传感器的设置应符合以下规定</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①倾斜传感器应稳定安装在立杆上</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②倾斜监测应监测支架立杆同一平面上两个垂直方向的变形；</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③倾斜传感器应安装在同一立杆上且上下对应</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④倾斜传感器倾斜测量方向宜与水平杆设置方向一致</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⑤倾斜传感器初始安装位移值应根据支架倾斜控制值及位移方向综合确定，量程余量应满足监测要求</w:t>
      </w:r>
      <w:r>
        <w:rPr>
          <w:rFonts w:hint="eastAsia" w:ascii="Times New Roman" w:hAnsi="Times New Roman" w:eastAsia="宋体" w:cs="Times New Roman"/>
          <w:color w:val="auto"/>
          <w:kern w:val="2"/>
          <w:sz w:val="24"/>
          <w:szCs w:val="24"/>
          <w:highlight w:val="none"/>
          <w:lang w:val="en-US" w:eastAsia="zh-CN" w:bidi="ar-SA"/>
        </w:rPr>
        <w:t>。</w:t>
      </w:r>
    </w:p>
    <w:p>
      <w:pPr>
        <w:widowControl w:val="0"/>
        <w:numPr>
          <w:ilvl w:val="0"/>
          <w:numId w:val="4"/>
        </w:numPr>
        <w:autoSpaceDE w:val="0"/>
        <w:autoSpaceDN w:val="0"/>
        <w:adjustRightInd w:val="0"/>
        <w:spacing w:beforeLines="0" w:after="0" w:afterLines="0"/>
        <w:ind w:left="120" w:leftChars="0"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沉降监测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1沉降监测宜采用位移传感器或静力水准仪进行自动化观测，在满足监测要求的前提下可采用其他方法进行观测。</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2沉降传感器量程宜为控制值的3 倍~6 倍，监测精度不低于1.0mm。</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3位移传感器的设置应符合以下规定：</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①位移传感器的安装应稳定、可靠；</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②位移传感器应安装在能够反映高大支模整体沉降的部位，宜安装于顶层水平杆、立杆等构件上；</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③位移传感器初始安装位移值应根据沉降的控制值及位移方向综合确定，量程余量应满足监测要求。</w:t>
      </w:r>
    </w:p>
    <w:p>
      <w:pPr>
        <w:widowControl w:val="0"/>
        <w:numPr>
          <w:ilvl w:val="0"/>
          <w:numId w:val="0"/>
        </w:numPr>
        <w:autoSpaceDE w:val="0"/>
        <w:autoSpaceDN w:val="0"/>
        <w:adjustRightInd w:val="0"/>
        <w:spacing w:beforeLines="0" w:after="0" w:afterLines="0"/>
        <w:ind w:left="120" w:firstLine="720" w:firstLineChars="3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4静力水准传感器的安装应符合下列规定：</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①静力水准传感器应安装稳固，安装位置应能够反映被测对象的变形;</w:t>
      </w:r>
    </w:p>
    <w:p>
      <w:pPr>
        <w:widowControl w:val="0"/>
        <w:numPr>
          <w:ilvl w:val="0"/>
          <w:numId w:val="0"/>
        </w:numPr>
        <w:autoSpaceDE w:val="0"/>
        <w:autoSpaceDN w:val="0"/>
        <w:adjustRightInd w:val="0"/>
        <w:spacing w:beforeLines="0" w:after="0" w:afterLines="0"/>
        <w:ind w:left="240" w:leftChars="10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②应符合现行行业标准《建筑变形测量规范》JGJ8的关规定。</w:t>
      </w:r>
    </w:p>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lang w:val="en-US" w:eastAsia="zh-CN"/>
        </w:rPr>
      </w:pPr>
      <w:bookmarkStart w:id="250" w:name="_Toc13112"/>
      <w:bookmarkStart w:id="251" w:name="_Toc22490"/>
      <w:r>
        <w:rPr>
          <w:rFonts w:hint="default" w:ascii="Times New Roman" w:hAnsi="Times New Roman" w:eastAsia="宋体" w:cs="Times New Roman"/>
          <w:color w:val="auto"/>
          <w:sz w:val="30"/>
          <w:szCs w:val="24"/>
          <w:highlight w:val="none"/>
          <w:lang w:val="en-US" w:eastAsia="zh-CN"/>
        </w:rPr>
        <w:t>1.3边坡监测</w:t>
      </w:r>
      <w:bookmarkEnd w:id="250"/>
      <w:bookmarkEnd w:id="251"/>
    </w:p>
    <w:p>
      <w:pPr>
        <w:widowControl w:val="0"/>
        <w:numPr>
          <w:ilvl w:val="0"/>
          <w:numId w:val="0"/>
        </w:numPr>
        <w:autoSpaceDE w:val="0"/>
        <w:autoSpaceDN w:val="0"/>
        <w:adjustRightInd w:val="0"/>
        <w:spacing w:beforeLines="0" w:after="0" w:afterLines="0"/>
        <w:ind w:left="12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边坡监测内容与基坑监测内容一致。</w:t>
      </w:r>
    </w:p>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rPr>
      </w:pPr>
      <w:bookmarkStart w:id="252" w:name="_Toc25937"/>
      <w:bookmarkStart w:id="253" w:name="_Toc142057528"/>
      <w:bookmarkStart w:id="254" w:name="_Toc5458"/>
      <w:r>
        <w:rPr>
          <w:rFonts w:hint="default" w:ascii="Times New Roman" w:hAnsi="Times New Roman" w:eastAsia="宋体" w:cs="Times New Roman"/>
          <w:color w:val="auto"/>
          <w:sz w:val="30"/>
          <w:szCs w:val="24"/>
          <w:highlight w:val="none"/>
          <w:lang w:val="en-US" w:eastAsia="zh-CN"/>
        </w:rPr>
        <w:t>1.4</w:t>
      </w:r>
      <w:r>
        <w:rPr>
          <w:rFonts w:hint="default" w:ascii="Times New Roman" w:hAnsi="Times New Roman" w:eastAsia="宋体" w:cs="Times New Roman"/>
          <w:color w:val="auto"/>
          <w:sz w:val="30"/>
          <w:szCs w:val="24"/>
          <w:highlight w:val="none"/>
        </w:rPr>
        <w:t>成果提交</w:t>
      </w:r>
      <w:bookmarkEnd w:id="252"/>
      <w:bookmarkEnd w:id="253"/>
      <w:bookmarkEnd w:id="254"/>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1、监测值达到预警及报警指标时，应第一时间口头或以电话方式</w:t>
      </w:r>
      <w:r>
        <w:rPr>
          <w:rFonts w:hint="default" w:ascii="Times New Roman" w:hAnsi="Times New Roman" w:eastAsia="宋体" w:cs="Times New Roman"/>
          <w:color w:val="auto"/>
          <w:kern w:val="0"/>
          <w:sz w:val="24"/>
          <w:szCs w:val="28"/>
          <w:highlight w:val="none"/>
          <w:lang w:val="en-US" w:eastAsia="zh-CN"/>
        </w:rPr>
        <w:t>24小时以内</w:t>
      </w:r>
      <w:r>
        <w:rPr>
          <w:rFonts w:hint="default" w:ascii="Times New Roman" w:hAnsi="Times New Roman" w:eastAsia="宋体" w:cs="Times New Roman"/>
          <w:color w:val="auto"/>
          <w:kern w:val="0"/>
          <w:sz w:val="24"/>
          <w:szCs w:val="28"/>
          <w:highlight w:val="none"/>
        </w:rPr>
        <w:t>及时通知参建方，并及时签发报警通知；</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2、在工程监测过程中，外业完成后尽快处理有关数据，一般情况下，监测数据以简报形式每周定期送达（一式四份）；</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3、全部监测工作结束时及时提供完整的监测总结报告，对最终监测结果进行评述，并</w:t>
      </w:r>
      <w:r>
        <w:rPr>
          <w:rFonts w:hint="default" w:ascii="Times New Roman" w:hAnsi="Times New Roman" w:eastAsia="宋体" w:cs="Times New Roman"/>
          <w:color w:val="auto"/>
          <w:kern w:val="0"/>
          <w:sz w:val="24"/>
          <w:szCs w:val="28"/>
          <w:highlight w:val="none"/>
          <w:lang w:val="en-US" w:eastAsia="zh-CN"/>
        </w:rPr>
        <w:t>于10天内</w:t>
      </w:r>
      <w:r>
        <w:rPr>
          <w:rFonts w:hint="default" w:ascii="Times New Roman" w:hAnsi="Times New Roman" w:eastAsia="宋体" w:cs="Times New Roman"/>
          <w:color w:val="auto"/>
          <w:kern w:val="0"/>
          <w:sz w:val="24"/>
          <w:szCs w:val="28"/>
          <w:highlight w:val="none"/>
        </w:rPr>
        <w:t>提交正式监测总结报告一式</w:t>
      </w:r>
      <w:r>
        <w:rPr>
          <w:rFonts w:hint="default" w:ascii="Times New Roman" w:hAnsi="Times New Roman" w:eastAsia="宋体" w:cs="Times New Roman"/>
          <w:color w:val="auto"/>
          <w:kern w:val="0"/>
          <w:sz w:val="24"/>
          <w:szCs w:val="28"/>
          <w:highlight w:val="none"/>
          <w:lang w:val="en-US" w:eastAsia="zh-CN"/>
        </w:rPr>
        <w:t>十</w:t>
      </w:r>
      <w:r>
        <w:rPr>
          <w:rFonts w:hint="default" w:ascii="Times New Roman" w:hAnsi="Times New Roman" w:eastAsia="宋体" w:cs="Times New Roman"/>
          <w:color w:val="auto"/>
          <w:kern w:val="0"/>
          <w:sz w:val="24"/>
          <w:szCs w:val="28"/>
          <w:highlight w:val="none"/>
        </w:rPr>
        <w:t>份。</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4、成果内容、格式和深度必须满足工程各管理部门要求，满足工程竣工验收要求，满足质监站和城市档案验收要求，满足国家市政档案馆验收要求。</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p>
    <w:p>
      <w:pPr>
        <w:ind w:firstLine="480" w:firstLineChars="200"/>
        <w:rPr>
          <w:rFonts w:hint="default" w:ascii="Times New Roman" w:hAnsi="Times New Roman" w:cs="Times New Roman"/>
          <w:color w:val="auto"/>
          <w:szCs w:val="28"/>
          <w:highlight w:val="none"/>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widowControl w:val="0"/>
        <w:numPr>
          <w:ilvl w:val="0"/>
          <w:numId w:val="5"/>
        </w:numPr>
        <w:autoSpaceDE w:val="0"/>
        <w:autoSpaceDN w:val="0"/>
        <w:bidi w:val="0"/>
        <w:adjustRightInd w:val="0"/>
        <w:ind w:left="3"/>
        <w:jc w:val="center"/>
        <w:outlineLvl w:val="0"/>
        <w:rPr>
          <w:rFonts w:hint="default" w:ascii="Times New Roman" w:hAnsi="Times New Roman" w:eastAsia="Microsoft JhengHei" w:cs="Times New Roman"/>
          <w:b/>
          <w:color w:val="auto"/>
          <w:sz w:val="44"/>
          <w:szCs w:val="24"/>
          <w:highlight w:val="none"/>
          <w:lang w:val="en-US" w:eastAsia="zh-CN"/>
        </w:rPr>
      </w:pPr>
      <w:bookmarkStart w:id="255" w:name="_Toc24957"/>
      <w:bookmarkStart w:id="256" w:name="_Toc142057529"/>
      <w:r>
        <w:rPr>
          <w:rFonts w:hint="default" w:ascii="Times New Roman" w:hAnsi="Times New Roman" w:eastAsia="Microsoft JhengHei" w:cs="Times New Roman"/>
          <w:b/>
          <w:color w:val="auto"/>
          <w:sz w:val="44"/>
          <w:szCs w:val="24"/>
          <w:highlight w:val="none"/>
          <w:lang w:val="en-US" w:eastAsia="zh-CN"/>
        </w:rPr>
        <w:t>检测技术要求</w:t>
      </w:r>
      <w:bookmarkEnd w:id="255"/>
    </w:p>
    <w:bookmarkEnd w:id="256"/>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rPr>
      </w:pPr>
      <w:bookmarkStart w:id="257" w:name="_Toc8837"/>
      <w:r>
        <w:rPr>
          <w:rFonts w:hint="default" w:ascii="Times New Roman" w:hAnsi="Times New Roman" w:eastAsia="宋体" w:cs="Times New Roman"/>
          <w:color w:val="auto"/>
          <w:sz w:val="30"/>
          <w:szCs w:val="24"/>
          <w:highlight w:val="none"/>
          <w:lang w:val="en-US" w:eastAsia="zh-CN"/>
        </w:rPr>
        <w:t>2.1</w:t>
      </w:r>
      <w:r>
        <w:rPr>
          <w:rFonts w:hint="default" w:ascii="Times New Roman" w:hAnsi="Times New Roman" w:eastAsia="宋体" w:cs="Times New Roman"/>
          <w:color w:val="auto"/>
          <w:sz w:val="30"/>
          <w:szCs w:val="24"/>
          <w:highlight w:val="none"/>
        </w:rPr>
        <w:t>地基基础检测技术要求</w:t>
      </w:r>
      <w:bookmarkEnd w:id="257"/>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rPr>
      </w:pPr>
      <w:bookmarkStart w:id="258" w:name="_Toc142057530"/>
      <w:bookmarkStart w:id="259" w:name="_Toc14326"/>
      <w:r>
        <w:rPr>
          <w:rFonts w:hint="default" w:ascii="Times New Roman" w:hAnsi="Times New Roman" w:eastAsia="宋体" w:cs="Times New Roman"/>
          <w:b/>
          <w:color w:val="auto"/>
          <w:sz w:val="24"/>
          <w:szCs w:val="24"/>
          <w:highlight w:val="none"/>
          <w:lang w:val="en-US" w:eastAsia="zh-CN"/>
        </w:rPr>
        <w:t>2.1.1</w:t>
      </w:r>
      <w:bookmarkEnd w:id="258"/>
      <w:r>
        <w:rPr>
          <w:rFonts w:hint="default" w:ascii="Times New Roman" w:hAnsi="Times New Roman" w:eastAsia="宋体" w:cs="Times New Roman"/>
          <w:b/>
          <w:color w:val="auto"/>
          <w:sz w:val="24"/>
          <w:szCs w:val="24"/>
          <w:highlight w:val="none"/>
          <w:lang w:val="en-US" w:eastAsia="zh-CN"/>
        </w:rPr>
        <w:t>检测技术标准、规范</w:t>
      </w:r>
      <w:bookmarkEnd w:id="259"/>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（1）《关于建筑工程地基基础检测工作的通知》穗建规字〔2020〕30号；</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（2）《关于建筑工程地基基础检测工作的通知》穗建质[2010]574号；</w:t>
      </w:r>
    </w:p>
    <w:p>
      <w:pPr>
        <w:autoSpaceDE w:val="0"/>
        <w:autoSpaceDN w:val="0"/>
        <w:adjustRightInd w:val="0"/>
        <w:ind w:firstLine="480" w:firstLineChars="200"/>
        <w:jc w:val="left"/>
        <w:rPr>
          <w:rFonts w:hint="default" w:ascii="Times New Roman" w:hAnsi="Times New Roman" w:eastAsia="宋体" w:cs="Times New Roman"/>
          <w:strike w:val="0"/>
          <w:color w:val="auto"/>
          <w:kern w:val="0"/>
          <w:sz w:val="24"/>
          <w:szCs w:val="28"/>
          <w:highlight w:val="none"/>
        </w:rPr>
      </w:pPr>
      <w:r>
        <w:rPr>
          <w:rFonts w:hint="default" w:ascii="Times New Roman" w:hAnsi="Times New Roman" w:eastAsia="宋体" w:cs="Times New Roman"/>
          <w:strike w:val="0"/>
          <w:dstrike w:val="0"/>
          <w:color w:val="auto"/>
          <w:kern w:val="0"/>
          <w:sz w:val="24"/>
          <w:szCs w:val="28"/>
          <w:highlight w:val="none"/>
        </w:rPr>
        <w:t>（3）《广州市建筑结构实体质量监督抽检办法》穗建质[2010]303号；</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（4）《建筑地基基础检测规范》DBJ/T 15-60-2019；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（5）《建筑地基处理技术规范》DBJ/T 15-38-2019；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（6）《建筑地基处理技术规范》JGJ 79-2012；</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（7）《岩土工程勘察规范》GB 50021-2001（2009年版）</w:t>
      </w:r>
    </w:p>
    <w:p>
      <w:pPr>
        <w:pageBreakBefore w:val="0"/>
        <w:numPr>
          <w:ilvl w:val="0"/>
          <w:numId w:val="0"/>
        </w:numPr>
        <w:kinsoku/>
        <w:wordWrap/>
        <w:overflowPunct/>
        <w:topLinePunct w:val="0"/>
        <w:autoSpaceDE/>
        <w:autoSpaceDN/>
        <w:bidi w:val="0"/>
        <w:adjustRightInd w:val="0"/>
        <w:spacing w:beforeAutospacing="0" w:afterAutospacing="0" w:line="360" w:lineRule="auto"/>
        <w:ind w:left="900" w:leftChars="0" w:hanging="420" w:firstLineChars="0"/>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（8）</w:t>
      </w:r>
      <w:r>
        <w:rPr>
          <w:rFonts w:hint="default" w:ascii="Times New Roman" w:hAnsi="Times New Roman" w:eastAsia="宋体" w:cs="Times New Roman"/>
          <w:color w:val="auto"/>
          <w:kern w:val="0"/>
          <w:sz w:val="24"/>
          <w:szCs w:val="24"/>
          <w:highlight w:val="none"/>
        </w:rPr>
        <w:t>《建筑地基基础设计规范》（GB50007-20</w:t>
      </w:r>
      <w:r>
        <w:rPr>
          <w:rFonts w:hint="default" w:ascii="Times New Roman" w:hAnsi="Times New Roman" w:eastAsia="宋体" w:cs="Times New Roman"/>
          <w:color w:val="auto"/>
          <w:kern w:val="0"/>
          <w:sz w:val="24"/>
          <w:szCs w:val="24"/>
          <w:highlight w:val="none"/>
          <w:lang w:val="en-US" w:eastAsia="zh-CN"/>
        </w:rPr>
        <w:t>11</w:t>
      </w:r>
      <w:r>
        <w:rPr>
          <w:rFonts w:hint="default" w:ascii="Times New Roman" w:hAnsi="Times New Roman" w:eastAsia="宋体" w:cs="Times New Roman"/>
          <w:color w:val="auto"/>
          <w:kern w:val="0"/>
          <w:sz w:val="24"/>
          <w:szCs w:val="24"/>
          <w:highlight w:val="none"/>
        </w:rPr>
        <w:t>）</w:t>
      </w:r>
    </w:p>
    <w:p>
      <w:pPr>
        <w:pageBreakBefore w:val="0"/>
        <w:numPr>
          <w:ilvl w:val="0"/>
          <w:numId w:val="0"/>
        </w:numPr>
        <w:kinsoku/>
        <w:wordWrap/>
        <w:overflowPunct/>
        <w:topLinePunct w:val="0"/>
        <w:autoSpaceDE/>
        <w:autoSpaceDN/>
        <w:bidi w:val="0"/>
        <w:adjustRightInd w:val="0"/>
        <w:spacing w:beforeAutospacing="0" w:afterAutospacing="0" w:line="360" w:lineRule="auto"/>
        <w:ind w:left="900" w:leftChars="0" w:hanging="420" w:firstLineChars="0"/>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（9）</w:t>
      </w:r>
      <w:r>
        <w:rPr>
          <w:rFonts w:hint="default" w:ascii="Times New Roman" w:hAnsi="Times New Roman" w:eastAsia="宋体" w:cs="Times New Roman"/>
          <w:color w:val="auto"/>
          <w:kern w:val="0"/>
          <w:sz w:val="24"/>
          <w:szCs w:val="24"/>
          <w:highlight w:val="none"/>
        </w:rPr>
        <w:t>《岩土工程勘察规范（2009版）》（GB50021-2001）</w:t>
      </w:r>
    </w:p>
    <w:p>
      <w:pPr>
        <w:pageBreakBefore w:val="0"/>
        <w:numPr>
          <w:ilvl w:val="0"/>
          <w:numId w:val="0"/>
        </w:numPr>
        <w:kinsoku/>
        <w:wordWrap/>
        <w:overflowPunct/>
        <w:topLinePunct w:val="0"/>
        <w:autoSpaceDE/>
        <w:autoSpaceDN/>
        <w:bidi w:val="0"/>
        <w:adjustRightInd w:val="0"/>
        <w:spacing w:beforeAutospacing="0" w:afterAutospacing="0" w:line="360" w:lineRule="auto"/>
        <w:ind w:left="900" w:leftChars="0" w:hanging="420" w:firstLineChars="0"/>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0"/>
          <w:sz w:val="24"/>
          <w:szCs w:val="24"/>
          <w:highlight w:val="none"/>
        </w:rPr>
        <w:t>《地基基础设计规范》（DBJ15-31-20</w:t>
      </w:r>
      <w:r>
        <w:rPr>
          <w:rFonts w:hint="default" w:ascii="Times New Roman" w:hAnsi="Times New Roman" w:eastAsia="宋体" w:cs="Times New Roman"/>
          <w:color w:val="auto"/>
          <w:kern w:val="0"/>
          <w:sz w:val="24"/>
          <w:szCs w:val="24"/>
          <w:highlight w:val="none"/>
          <w:lang w:val="en-US" w:eastAsia="zh-CN"/>
        </w:rPr>
        <w:t>16</w:t>
      </w:r>
      <w:r>
        <w:rPr>
          <w:rFonts w:hint="default" w:ascii="Times New Roman" w:hAnsi="Times New Roman" w:eastAsia="宋体" w:cs="Times New Roman"/>
          <w:color w:val="auto"/>
          <w:kern w:val="0"/>
          <w:sz w:val="24"/>
          <w:szCs w:val="24"/>
          <w:highlight w:val="none"/>
        </w:rPr>
        <w:t>）</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eastAsia" w:ascii="Times New Roman" w:hAnsi="Times New Roman" w:eastAsia="宋体" w:cs="Times New Roman"/>
          <w:color w:val="auto"/>
          <w:kern w:val="2"/>
          <w:sz w:val="24"/>
          <w:szCs w:val="24"/>
          <w:highlight w:val="none"/>
          <w:lang w:val="en-US" w:eastAsia="zh-CN" w:bidi="ar-SA"/>
        </w:rPr>
        <w:t>（11）</w:t>
      </w:r>
      <w:r>
        <w:rPr>
          <w:rFonts w:hint="default" w:ascii="Times New Roman" w:hAnsi="Times New Roman" w:eastAsia="宋体" w:cs="Times New Roman"/>
          <w:color w:val="auto"/>
          <w:kern w:val="2"/>
          <w:sz w:val="24"/>
          <w:szCs w:val="24"/>
          <w:highlight w:val="none"/>
          <w:lang w:val="en-US" w:eastAsia="en-US" w:bidi="ar-SA"/>
        </w:rPr>
        <w:t>《建筑地基基础工程施工质量验收规范》（GB50202-20</w:t>
      </w:r>
      <w:r>
        <w:rPr>
          <w:rFonts w:hint="default" w:ascii="Times New Roman" w:hAnsi="Times New Roman" w:eastAsia="宋体" w:cs="Times New Roman"/>
          <w:color w:val="auto"/>
          <w:kern w:val="2"/>
          <w:sz w:val="24"/>
          <w:szCs w:val="24"/>
          <w:highlight w:val="none"/>
          <w:lang w:val="en-US" w:eastAsia="zh-CN" w:bidi="ar-SA"/>
        </w:rPr>
        <w:t>18</w:t>
      </w:r>
      <w:r>
        <w:rPr>
          <w:rFonts w:hint="default" w:ascii="Times New Roman" w:hAnsi="Times New Roman" w:eastAsia="宋体" w:cs="Times New Roman"/>
          <w:color w:val="auto"/>
          <w:kern w:val="2"/>
          <w:sz w:val="24"/>
          <w:szCs w:val="24"/>
          <w:highlight w:val="none"/>
          <w:lang w:val="en-US" w:eastAsia="en-US" w:bidi="ar-SA"/>
        </w:rPr>
        <w:t>）</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eastAsia" w:ascii="Times New Roman" w:hAnsi="Times New Roman" w:eastAsia="宋体" w:cs="Times New Roman"/>
          <w:color w:val="auto"/>
          <w:kern w:val="0"/>
          <w:sz w:val="24"/>
          <w:szCs w:val="28"/>
          <w:highlight w:val="none"/>
          <w:lang w:val="en-US" w:eastAsia="zh-CN"/>
        </w:rPr>
        <w:t>12</w:t>
      </w:r>
      <w:r>
        <w:rPr>
          <w:rFonts w:hint="default" w:ascii="Times New Roman" w:hAnsi="Times New Roman" w:eastAsia="宋体" w:cs="Times New Roman"/>
          <w:color w:val="auto"/>
          <w:kern w:val="0"/>
          <w:sz w:val="24"/>
          <w:szCs w:val="28"/>
          <w:highlight w:val="none"/>
        </w:rPr>
        <w:t>）国家及省市建设主管部门的相关文件；</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8"/>
          <w:highlight w:val="none"/>
        </w:rPr>
        <w:t>（</w:t>
      </w:r>
      <w:r>
        <w:rPr>
          <w:rFonts w:hint="eastAsia" w:ascii="Times New Roman" w:hAnsi="Times New Roman" w:eastAsia="宋体" w:cs="Times New Roman"/>
          <w:color w:val="auto"/>
          <w:kern w:val="0"/>
          <w:sz w:val="24"/>
          <w:szCs w:val="28"/>
          <w:highlight w:val="none"/>
          <w:lang w:val="en-US" w:eastAsia="zh-CN"/>
        </w:rPr>
        <w:t>13</w:t>
      </w:r>
      <w:r>
        <w:rPr>
          <w:rFonts w:hint="default" w:ascii="Times New Roman" w:hAnsi="Times New Roman" w:eastAsia="宋体" w:cs="Times New Roman"/>
          <w:color w:val="auto"/>
          <w:kern w:val="0"/>
          <w:sz w:val="24"/>
          <w:szCs w:val="28"/>
          <w:highlight w:val="none"/>
        </w:rPr>
        <w:t>）委托方提供的图纸等。</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60" w:name="_Toc142057532"/>
      <w:bookmarkStart w:id="261" w:name="_Toc17013"/>
      <w:r>
        <w:rPr>
          <w:rFonts w:hint="default" w:ascii="Times New Roman" w:hAnsi="Times New Roman" w:eastAsia="宋体" w:cs="Times New Roman"/>
          <w:b/>
          <w:color w:val="auto"/>
          <w:sz w:val="24"/>
          <w:szCs w:val="24"/>
          <w:highlight w:val="none"/>
          <w:lang w:val="en-US" w:eastAsia="zh-CN"/>
        </w:rPr>
        <w:t>2.1.2检测</w:t>
      </w:r>
      <w:bookmarkEnd w:id="260"/>
      <w:r>
        <w:rPr>
          <w:rFonts w:hint="default" w:ascii="Times New Roman" w:hAnsi="Times New Roman" w:eastAsia="宋体" w:cs="Times New Roman"/>
          <w:b/>
          <w:color w:val="auto"/>
          <w:sz w:val="24"/>
          <w:szCs w:val="24"/>
          <w:highlight w:val="none"/>
          <w:lang w:val="en-US" w:eastAsia="zh-CN"/>
        </w:rPr>
        <w:t>内容</w:t>
      </w:r>
      <w:bookmarkEnd w:id="261"/>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内容包括但不限于以下项目：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建设工程主管部门、监督部门要求的，具有质量监控作用的地基基础质量检测工作，以保证地基基础的施工质量，为工程验收提供依据。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8"/>
          <w:highlight w:val="none"/>
        </w:rPr>
        <w:t>检测</w:t>
      </w:r>
      <w:r>
        <w:rPr>
          <w:rFonts w:hint="default" w:ascii="Times New Roman" w:hAnsi="Times New Roman" w:eastAsia="宋体" w:cs="Times New Roman"/>
          <w:color w:val="auto"/>
          <w:kern w:val="0"/>
          <w:sz w:val="24"/>
          <w:szCs w:val="28"/>
          <w:highlight w:val="none"/>
          <w:lang w:val="en-US" w:eastAsia="zh-CN"/>
        </w:rPr>
        <w:t>方法及检测频率</w:t>
      </w:r>
      <w:r>
        <w:rPr>
          <w:rFonts w:hint="default" w:ascii="Times New Roman" w:hAnsi="Times New Roman" w:eastAsia="宋体" w:cs="Times New Roman"/>
          <w:color w:val="auto"/>
          <w:kern w:val="0"/>
          <w:sz w:val="24"/>
          <w:szCs w:val="28"/>
          <w:highlight w:val="none"/>
        </w:rPr>
        <w:t>要求详见下表：</w:t>
      </w:r>
    </w:p>
    <w:tbl>
      <w:tblPr>
        <w:tblStyle w:val="24"/>
        <w:tblW w:w="56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32"/>
        <w:gridCol w:w="1294"/>
        <w:gridCol w:w="2578"/>
        <w:gridCol w:w="4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jc w:val="center"/>
        </w:trPr>
        <w:tc>
          <w:tcPr>
            <w:tcW w:w="589" w:type="pct"/>
            <w:tcBorders>
              <w:tl2br w:val="nil"/>
              <w:tr2bl w:val="nil"/>
            </w:tcBorders>
            <w:shd w:val="clear" w:color="auto" w:fill="auto"/>
            <w:vAlign w:val="center"/>
          </w:tcPr>
          <w:p>
            <w:pPr>
              <w:widowControl w:val="0"/>
              <w:autoSpaceDE w:val="0"/>
              <w:autoSpaceDN w:val="0"/>
              <w:adjustRightInd w:val="0"/>
              <w:spacing w:line="240" w:lineRule="auto"/>
              <w:ind w:firstLine="0" w:firstLineChars="0"/>
              <w:jc w:val="center"/>
              <w:rPr>
                <w:rFonts w:hint="eastAsia" w:ascii="宋体" w:hAnsi="宋体" w:eastAsia="宋体" w:cs="宋体"/>
                <w:i w:val="0"/>
                <w:iCs w:val="0"/>
                <w:color w:val="auto"/>
                <w:kern w:val="0"/>
                <w:sz w:val="20"/>
                <w:szCs w:val="20"/>
                <w:highlight w:val="none"/>
                <w:u w:val="none"/>
                <w:lang w:val="en-US" w:eastAsia="zh-CN" w:bidi="ar"/>
              </w:rPr>
            </w:pPr>
            <w:bookmarkStart w:id="262" w:name="_Toc142057533"/>
            <w:r>
              <w:rPr>
                <w:rFonts w:hint="default" w:ascii="Times New Roman" w:hAnsi="Times New Roman" w:eastAsia="宋体" w:cs="Times New Roman"/>
                <w:b/>
                <w:bCs/>
                <w:color w:val="auto"/>
                <w:kern w:val="0"/>
                <w:sz w:val="21"/>
                <w:szCs w:val="21"/>
                <w:highlight w:val="none"/>
              </w:rPr>
              <w:t>检测内容</w:t>
            </w:r>
          </w:p>
        </w:tc>
        <w:tc>
          <w:tcPr>
            <w:tcW w:w="673" w:type="pct"/>
            <w:tcBorders>
              <w:tl2br w:val="nil"/>
              <w:tr2bl w:val="nil"/>
            </w:tcBorders>
            <w:shd w:val="clear" w:color="auto" w:fill="auto"/>
            <w:vAlign w:val="center"/>
          </w:tcPr>
          <w:p>
            <w:pPr>
              <w:widowControl w:val="0"/>
              <w:autoSpaceDE w:val="0"/>
              <w:autoSpaceDN w:val="0"/>
              <w:adjustRightInd w:val="0"/>
              <w:spacing w:line="240" w:lineRule="auto"/>
              <w:ind w:firstLine="0" w:firstLineChars="0"/>
              <w:jc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宋体" w:cs="Times New Roman"/>
                <w:b/>
                <w:bCs/>
                <w:color w:val="auto"/>
                <w:kern w:val="0"/>
                <w:sz w:val="21"/>
                <w:szCs w:val="21"/>
                <w:highlight w:val="none"/>
              </w:rPr>
              <w:t>检测地基</w:t>
            </w:r>
          </w:p>
        </w:tc>
        <w:tc>
          <w:tcPr>
            <w:tcW w:w="1341" w:type="pct"/>
            <w:tcBorders>
              <w:tl2br w:val="nil"/>
              <w:tr2bl w:val="nil"/>
            </w:tcBorders>
            <w:shd w:val="clear" w:color="auto" w:fill="auto"/>
            <w:vAlign w:val="center"/>
          </w:tcPr>
          <w:p>
            <w:pPr>
              <w:widowControl w:val="0"/>
              <w:autoSpaceDE w:val="0"/>
              <w:autoSpaceDN w:val="0"/>
              <w:adjustRightInd w:val="0"/>
              <w:spacing w:line="240" w:lineRule="auto"/>
              <w:ind w:firstLine="0" w:firstLineChars="0"/>
              <w:jc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宋体" w:cs="Times New Roman"/>
                <w:b/>
                <w:bCs/>
                <w:color w:val="auto"/>
                <w:kern w:val="0"/>
                <w:sz w:val="21"/>
                <w:szCs w:val="21"/>
                <w:highlight w:val="none"/>
              </w:rPr>
              <w:t>检测方法</w:t>
            </w:r>
          </w:p>
        </w:tc>
        <w:tc>
          <w:tcPr>
            <w:tcW w:w="2395" w:type="pct"/>
            <w:tcBorders>
              <w:tl2br w:val="nil"/>
              <w:tr2bl w:val="nil"/>
            </w:tcBorders>
            <w:shd w:val="clear" w:color="auto" w:fill="auto"/>
            <w:vAlign w:val="center"/>
          </w:tcPr>
          <w:p>
            <w:pPr>
              <w:widowControl w:val="0"/>
              <w:autoSpaceDE w:val="0"/>
              <w:autoSpaceDN w:val="0"/>
              <w:adjustRightInd w:val="0"/>
              <w:spacing w:line="240" w:lineRule="auto"/>
              <w:ind w:firstLine="0" w:firstLineChars="0"/>
              <w:jc w:val="center"/>
              <w:rPr>
                <w:rFonts w:hint="eastAsia" w:ascii="宋体" w:hAnsi="宋体" w:eastAsia="宋体" w:cs="宋体"/>
                <w:i w:val="0"/>
                <w:iCs w:val="0"/>
                <w:color w:val="auto"/>
                <w:kern w:val="0"/>
                <w:sz w:val="20"/>
                <w:szCs w:val="20"/>
                <w:highlight w:val="none"/>
                <w:u w:val="none"/>
                <w:lang w:val="en-US" w:eastAsia="zh-CN" w:bidi="ar"/>
              </w:rPr>
            </w:pPr>
            <w:r>
              <w:rPr>
                <w:rFonts w:hint="default" w:ascii="Times New Roman" w:hAnsi="Times New Roman" w:eastAsia="宋体" w:cs="Times New Roman"/>
                <w:b/>
                <w:bCs/>
                <w:color w:val="auto"/>
                <w:kern w:val="0"/>
                <w:sz w:val="21"/>
                <w:szCs w:val="21"/>
                <w:highlight w:val="none"/>
              </w:rPr>
              <w:t>检测数量要求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5" w:hRule="atLeast"/>
          <w:jc w:val="center"/>
        </w:trPr>
        <w:tc>
          <w:tcPr>
            <w:tcW w:w="589"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天然地基</w:t>
            </w: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岩土性状</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轻型动力触探试验</w:t>
            </w:r>
          </w:p>
        </w:tc>
        <w:tc>
          <w:tcPr>
            <w:tcW w:w="2395"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 200m2不少于1个孔，且总数不得少于10孔，每个独立柱基下不得少于1 孔，基槽每 20 延米不得少于1孔。（根据地基岩土性状或处理土地基类型，选择标准贯入试验、圆锥动力触探试验、静力触探试验、十字板剪切试验等一种或一种以上的方法进行检测）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eastAsia="zh-CN"/>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标准贯入试验</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5"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承载力</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500m2不少于1个点，且总数不得少于3点。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89"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处理地基</w:t>
            </w: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承载力</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500m2不少于1个点，且总数不得少于3点。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地基施工质量检测</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轻型动力触探试验</w:t>
            </w:r>
          </w:p>
        </w:tc>
        <w:tc>
          <w:tcPr>
            <w:tcW w:w="2395"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每 200m2不少于1个孔，且总数不得少于10孔，每个独立柱基下不得少于1 孔，基槽每 20 延米不得少于1孔。（根据处理土地基类型，选择一种方法进行检测）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标准贯入试验</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重型动力触探试验</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复合地基</w:t>
            </w: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高压旋喷桩/水泥搅拌桩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钻芯法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单桩竖向抗压静载试验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平板载荷试验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预制方桩/预制管桩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不少于总桩数的10%，且不得少于10根。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平板载荷试验</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平板载荷试验的试验点数量应为总桩数的0.5%~1%，且不得少于3点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高应变法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不少于总桩（墩）数的0.5%，且不得少于3点（施工现场不具备条件做平板荷载试验情况下）。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桩基础</w:t>
            </w: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预制管桩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不少于总桩数的20%，且每个柱下承台不得少于1根。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不少于单位工程桩总数的1%，且不少于3根；当单位工程桩总数在50根以内时，不少于2根。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（最大加载值≤1000kN）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不少于单位工程桩总数的1%，且不少于3根；当单位工程桩总数在50根以内时，不少于2根。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（最大加载值≤3000kN）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不少于单位工程桩总数的1%，且不少于3根；当单位工程桩总数在50根以内时，不少于2根。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（最大加载值≤5000kN）</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不少于单位工程桩总数的1%，且不少于3根；当单位工程桩总数在50根以内时，不少于2根。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钢管桩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高应变法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不少于总桩数的5%，且不得少于10根。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不少于总桩数的0.5%，且不得少于3根；当总桩数小于50根时，不得少于2根。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混凝土灌注桩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采用低应变、钻芯、声波透射法3种检测，总数不少于相应桩总数的20%且不少于10根（设计等级为甲级、地质条件复杂、施工工艺导致施工质量可靠性低的桩基工程、采用新桩型或新工艺的桩基工程，抽检桩数不应少于总桩数的30％，且不得少于20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钻芯法</w:t>
            </w:r>
          </w:p>
        </w:tc>
        <w:tc>
          <w:tcPr>
            <w:tcW w:w="2395"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对于直径大于等于800mm的端承型混凝土灌注桩，除采用低应变法外，应按不少于总桩数10%的比例采用钻芯法或钻芯法和声波透射法进行检测。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声波透射法</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（最大加载值≤3000kN）</w:t>
            </w:r>
          </w:p>
        </w:tc>
        <w:tc>
          <w:tcPr>
            <w:tcW w:w="2395"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有下列情况之一的应当采用静载荷试验：（1）地基设计等级为甲级；（2）地质条件复杂、桩施工质量可靠性低；（3）属于本地区采用的新桩型或新工艺；（4）挤土群桩施工产生挤土效应；抽检数量不少于单位工程桩总数的1%，且不少于3根；当单位工程桩总数在50根以内时，不少于2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2、除1所列情形之外，当采用高应变法抽检时，抽检数量不少于单位工程桩总数的5%且不少于5根。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（最大加载值≤5000kN）</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单桩静载试验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（最大加载值≤10000kN）</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高应变法</w:t>
            </w:r>
          </w:p>
        </w:tc>
        <w:tc>
          <w:tcPr>
            <w:tcW w:w="2395"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基础（抗浮）锚杆</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静载试验</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不少于锚杆总数的5%，且不得少于6根。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restar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支护工程</w:t>
            </w: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临时中立柱</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承载力、低应变</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不宜少于总桩数的20%，且不得少于5根。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高压旋喷桩/水泥搅拌桩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钻芯法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不宜少于总桩数的1%，且不得少于3根。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混凝土灌注桩</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低应变法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不少于总桩数的20%，且不少于10根。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型钢水泥土搅拌桩（SMW）</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钻芯法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不应少于总桩数的2%,且不得少于3根。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喷射混凝土</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喷射厚度（钻孔法）</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对于地下工程、边坡工程和基坑工程，结构性喷层为每50m2/个，防护性喷层为200m2/个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89" w:type="pct"/>
            <w:vMerge w:val="continue"/>
            <w:tcBorders>
              <w:tl2br w:val="nil"/>
              <w:tr2bl w:val="nil"/>
            </w:tcBorders>
            <w:shd w:val="clear" w:color="auto" w:fill="auto"/>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rPr>
            </w:pPr>
          </w:p>
        </w:tc>
        <w:tc>
          <w:tcPr>
            <w:tcW w:w="673"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锚杆</w:t>
            </w:r>
          </w:p>
        </w:tc>
        <w:tc>
          <w:tcPr>
            <w:tcW w:w="1341"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抗拔承载力检测</w:t>
            </w:r>
          </w:p>
        </w:tc>
        <w:tc>
          <w:tcPr>
            <w:tcW w:w="2395" w:type="pct"/>
            <w:tcBorders>
              <w:tl2br w:val="nil"/>
              <w:tr2bl w:val="nil"/>
            </w:tcBorders>
            <w:shd w:val="clear" w:color="auto" w:fill="auto"/>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不少于锚杆总数的5%，且同一土层中的锚杆检验数量不应少于6根。</w:t>
            </w:r>
          </w:p>
        </w:tc>
      </w:tr>
    </w:tbl>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注：检测频率要求应优先满足设计图纸要求。</w:t>
      </w:r>
      <w:bookmarkEnd w:id="262"/>
    </w:p>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bookmarkStart w:id="263" w:name="_Toc142057535"/>
      <w:r>
        <w:rPr>
          <w:rFonts w:hint="default" w:ascii="Times New Roman" w:hAnsi="Times New Roman" w:eastAsia="宋体" w:cs="Times New Roman"/>
          <w:color w:val="auto"/>
          <w:kern w:val="0"/>
          <w:sz w:val="24"/>
          <w:szCs w:val="24"/>
          <w:highlight w:val="none"/>
          <w:lang w:val="en-US" w:eastAsia="zh-CN"/>
        </w:rPr>
        <w:br w:type="page"/>
      </w:r>
    </w:p>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rPr>
      </w:pPr>
      <w:bookmarkStart w:id="264" w:name="_Toc1334"/>
      <w:r>
        <w:rPr>
          <w:rFonts w:hint="default" w:ascii="Times New Roman" w:hAnsi="Times New Roman" w:eastAsia="宋体" w:cs="Times New Roman"/>
          <w:color w:val="auto"/>
          <w:sz w:val="30"/>
          <w:szCs w:val="24"/>
          <w:highlight w:val="none"/>
          <w:lang w:val="en-US" w:eastAsia="zh-CN"/>
        </w:rPr>
        <w:t>2.2</w:t>
      </w:r>
      <w:r>
        <w:rPr>
          <w:rFonts w:hint="default" w:ascii="Times New Roman" w:hAnsi="Times New Roman" w:eastAsia="宋体" w:cs="Times New Roman"/>
          <w:color w:val="auto"/>
          <w:sz w:val="30"/>
          <w:szCs w:val="24"/>
          <w:highlight w:val="none"/>
        </w:rPr>
        <w:t>结构实体检测技术要求</w:t>
      </w:r>
      <w:bookmarkEnd w:id="263"/>
      <w:bookmarkEnd w:id="264"/>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65" w:name="_Toc142057536"/>
      <w:bookmarkStart w:id="266" w:name="_Toc3626"/>
      <w:r>
        <w:rPr>
          <w:rFonts w:hint="default" w:ascii="Times New Roman" w:hAnsi="Times New Roman" w:eastAsia="宋体" w:cs="Times New Roman"/>
          <w:b/>
          <w:color w:val="auto"/>
          <w:sz w:val="24"/>
          <w:szCs w:val="24"/>
          <w:highlight w:val="none"/>
          <w:lang w:val="en-US" w:eastAsia="zh-CN"/>
        </w:rPr>
        <w:t>2.2.1</w:t>
      </w:r>
      <w:bookmarkEnd w:id="265"/>
      <w:r>
        <w:rPr>
          <w:rFonts w:hint="default" w:ascii="Times New Roman" w:hAnsi="Times New Roman" w:eastAsia="宋体" w:cs="Times New Roman"/>
          <w:b/>
          <w:color w:val="auto"/>
          <w:sz w:val="24"/>
          <w:szCs w:val="24"/>
          <w:highlight w:val="none"/>
          <w:lang w:val="en-US" w:eastAsia="zh-CN"/>
        </w:rPr>
        <w:t>检测技术标准、规范</w:t>
      </w:r>
      <w:bookmarkEnd w:id="266"/>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bookmarkStart w:id="267" w:name="_Toc142057537"/>
      <w:bookmarkStart w:id="268" w:name="_Toc142057539"/>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1</w:t>
      </w:r>
      <w:r>
        <w:rPr>
          <w:rFonts w:hint="default" w:ascii="Times New Roman" w:hAnsi="Times New Roman" w:eastAsia="宋体" w:cs="Times New Roman"/>
          <w:color w:val="auto"/>
          <w:kern w:val="0"/>
          <w:sz w:val="24"/>
          <w:szCs w:val="28"/>
          <w:highlight w:val="none"/>
        </w:rPr>
        <w:t>)《焊缝无损检测 熔焊接头目视检测》(GB/T 32259-2015)</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2</w:t>
      </w:r>
      <w:r>
        <w:rPr>
          <w:rFonts w:hint="default" w:ascii="Times New Roman" w:hAnsi="Times New Roman" w:eastAsia="宋体" w:cs="Times New Roman"/>
          <w:color w:val="auto"/>
          <w:kern w:val="0"/>
          <w:sz w:val="24"/>
          <w:szCs w:val="28"/>
          <w:highlight w:val="none"/>
        </w:rPr>
        <w:t>)《焊缝无损检测超声检测验收等级》(GB/T 29712-2013)</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3</w:t>
      </w:r>
      <w:r>
        <w:rPr>
          <w:rFonts w:hint="default" w:ascii="Times New Roman" w:hAnsi="Times New Roman" w:eastAsia="宋体" w:cs="Times New Roman"/>
          <w:color w:val="auto"/>
          <w:kern w:val="0"/>
          <w:sz w:val="24"/>
          <w:szCs w:val="28"/>
          <w:highlight w:val="none"/>
        </w:rPr>
        <w:t>)《焊缝无损检测超声检测技术、检测等级和评定》(GB 11345-2013)</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4</w:t>
      </w:r>
      <w:r>
        <w:rPr>
          <w:rFonts w:hint="default" w:ascii="Times New Roman" w:hAnsi="Times New Roman" w:eastAsia="宋体" w:cs="Times New Roman"/>
          <w:color w:val="auto"/>
          <w:kern w:val="0"/>
          <w:sz w:val="24"/>
          <w:szCs w:val="28"/>
          <w:highlight w:val="none"/>
        </w:rPr>
        <w:t>)《钢的弧焊接头缺陷质量分级指南》(GB/T 19418-2003/ISO 5817:1992)</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5</w:t>
      </w:r>
      <w:r>
        <w:rPr>
          <w:rFonts w:hint="default" w:ascii="Times New Roman" w:hAnsi="Times New Roman" w:eastAsia="宋体" w:cs="Times New Roman"/>
          <w:color w:val="auto"/>
          <w:kern w:val="0"/>
          <w:sz w:val="24"/>
          <w:szCs w:val="28"/>
          <w:highlight w:val="none"/>
        </w:rPr>
        <w:t>)《钢结构工程施工质量验收标准》(GB 50205-2020)</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6</w:t>
      </w:r>
      <w:r>
        <w:rPr>
          <w:rFonts w:hint="default" w:ascii="Times New Roman" w:hAnsi="Times New Roman" w:eastAsia="宋体" w:cs="Times New Roman"/>
          <w:color w:val="auto"/>
          <w:kern w:val="0"/>
          <w:sz w:val="24"/>
          <w:szCs w:val="28"/>
          <w:highlight w:val="none"/>
        </w:rPr>
        <w:t>)《水电水利工程压力钢管制作安装及验收规范》(GB50766-2012)</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7</w:t>
      </w:r>
      <w:r>
        <w:rPr>
          <w:rFonts w:hint="default" w:ascii="Times New Roman" w:hAnsi="Times New Roman" w:eastAsia="宋体" w:cs="Times New Roman"/>
          <w:color w:val="auto"/>
          <w:kern w:val="0"/>
          <w:sz w:val="24"/>
          <w:szCs w:val="28"/>
          <w:highlight w:val="none"/>
        </w:rPr>
        <w:t>)《给水排水管道工程施工及验收规范》(GB50268-2008)</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8</w:t>
      </w:r>
      <w:r>
        <w:rPr>
          <w:rFonts w:hint="default" w:ascii="Times New Roman" w:hAnsi="Times New Roman" w:eastAsia="宋体" w:cs="Times New Roman"/>
          <w:color w:val="auto"/>
          <w:kern w:val="0"/>
          <w:sz w:val="24"/>
          <w:szCs w:val="28"/>
          <w:highlight w:val="none"/>
        </w:rPr>
        <w:t>)《回弹法检测混凝土抗压强度技术规程》(JGJ/T 23-2011)</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9</w:t>
      </w:r>
      <w:r>
        <w:rPr>
          <w:rFonts w:hint="default" w:ascii="Times New Roman" w:hAnsi="Times New Roman" w:eastAsia="宋体" w:cs="Times New Roman"/>
          <w:color w:val="auto"/>
          <w:kern w:val="0"/>
          <w:sz w:val="24"/>
          <w:szCs w:val="28"/>
          <w:highlight w:val="none"/>
        </w:rPr>
        <w:t>)《混凝土结构后锚固技术规程》(JGJ 145-2013)</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10</w:t>
      </w:r>
      <w:r>
        <w:rPr>
          <w:rFonts w:hint="default" w:ascii="Times New Roman" w:hAnsi="Times New Roman" w:eastAsia="宋体" w:cs="Times New Roman"/>
          <w:color w:val="auto"/>
          <w:kern w:val="0"/>
          <w:sz w:val="24"/>
          <w:szCs w:val="28"/>
          <w:highlight w:val="none"/>
        </w:rPr>
        <w:t>)《钢结构工程施工质量验收标准》(GB 50205-2020)</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11</w:t>
      </w:r>
      <w:r>
        <w:rPr>
          <w:rFonts w:hint="default" w:ascii="Times New Roman" w:hAnsi="Times New Roman" w:eastAsia="宋体" w:cs="Times New Roman"/>
          <w:color w:val="auto"/>
          <w:kern w:val="0"/>
          <w:sz w:val="24"/>
          <w:szCs w:val="28"/>
          <w:highlight w:val="none"/>
        </w:rPr>
        <w:t>)《焊缝无损检测射线检测》(GB/T3323.1-2019</w:t>
      </w:r>
      <w:r>
        <w:rPr>
          <w:rFonts w:hint="default" w:ascii="Times New Roman" w:hAnsi="Times New Roman" w:eastAsia="宋体" w:cs="Times New Roman"/>
          <w:color w:val="auto"/>
          <w:kern w:val="0"/>
          <w:sz w:val="24"/>
          <w:szCs w:val="28"/>
          <w:highlight w:val="none"/>
          <w:lang w:eastAsia="zh-CN"/>
        </w:rPr>
        <w:t>）</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val="en-US" w:eastAsia="zh-CN"/>
        </w:rPr>
        <w:t>12</w:t>
      </w:r>
      <w:r>
        <w:rPr>
          <w:rFonts w:hint="default" w:ascii="Times New Roman" w:hAnsi="Times New Roman" w:eastAsia="宋体" w:cs="Times New Roman"/>
          <w:color w:val="auto"/>
          <w:kern w:val="0"/>
          <w:sz w:val="24"/>
          <w:szCs w:val="28"/>
          <w:highlight w:val="none"/>
        </w:rPr>
        <w:t>)其他国家、省市或行业的相关技术标准、规范。</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(13)</w:t>
      </w:r>
      <w:r>
        <w:rPr>
          <w:rFonts w:hint="default" w:ascii="Times New Roman" w:hAnsi="Times New Roman" w:eastAsia="宋体" w:cs="Times New Roman"/>
          <w:color w:val="auto"/>
          <w:kern w:val="0"/>
          <w:sz w:val="24"/>
          <w:szCs w:val="28"/>
          <w:highlight w:val="none"/>
          <w:lang w:val="en-US" w:eastAsia="zh-CN"/>
        </w:rPr>
        <w:t>《广州市建筑结构实体质量监督抽检办法》（穗建质[2010]303号）</w:t>
      </w:r>
    </w:p>
    <w:p>
      <w:pPr>
        <w:tabs>
          <w:tab w:val="left" w:pos="8190"/>
        </w:tabs>
        <w:autoSpaceDE w:val="0"/>
        <w:autoSpaceDN w:val="0"/>
        <w:adjustRightInd w:val="0"/>
        <w:ind w:left="181"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eastAsia" w:ascii="Times New Roman" w:hAnsi="Times New Roman" w:eastAsia="宋体" w:cs="Times New Roman"/>
          <w:color w:val="auto"/>
          <w:kern w:val="0"/>
          <w:sz w:val="24"/>
          <w:szCs w:val="28"/>
          <w:highlight w:val="none"/>
          <w:lang w:val="en-US" w:eastAsia="zh-CN"/>
        </w:rPr>
        <w:t>(14)</w:t>
      </w:r>
      <w:r>
        <w:rPr>
          <w:rFonts w:hint="default" w:ascii="Times New Roman" w:hAnsi="Times New Roman" w:eastAsia="宋体" w:cs="Times New Roman"/>
          <w:color w:val="auto"/>
          <w:kern w:val="0"/>
          <w:sz w:val="24"/>
          <w:szCs w:val="28"/>
          <w:highlight w:val="none"/>
          <w:lang w:val="en-US" w:eastAsia="zh-CN"/>
        </w:rPr>
        <w:t>《建筑工程饰面砖粘结强度检测标准》(JGJ 110-2</w:t>
      </w:r>
      <w:r>
        <w:rPr>
          <w:rFonts w:hint="eastAsia" w:ascii="Times New Roman" w:hAnsi="Times New Roman" w:eastAsia="宋体" w:cs="Times New Roman"/>
          <w:color w:val="auto"/>
          <w:kern w:val="0"/>
          <w:sz w:val="24"/>
          <w:szCs w:val="28"/>
          <w:highlight w:val="none"/>
          <w:lang w:val="en-US" w:eastAsia="zh-CN"/>
        </w:rPr>
        <w:t>017</w:t>
      </w:r>
      <w:r>
        <w:rPr>
          <w:rFonts w:hint="default" w:ascii="Times New Roman" w:hAnsi="Times New Roman" w:eastAsia="宋体" w:cs="Times New Roman"/>
          <w:color w:val="auto"/>
          <w:kern w:val="0"/>
          <w:sz w:val="24"/>
          <w:szCs w:val="28"/>
          <w:highlight w:val="none"/>
          <w:lang w:val="en-US" w:eastAsia="zh-CN"/>
        </w:rPr>
        <w:t>)</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69" w:name="_Toc22485"/>
      <w:r>
        <w:rPr>
          <w:rFonts w:hint="default" w:ascii="Times New Roman" w:hAnsi="Times New Roman" w:eastAsia="宋体" w:cs="Times New Roman"/>
          <w:b/>
          <w:color w:val="auto"/>
          <w:sz w:val="24"/>
          <w:szCs w:val="24"/>
          <w:highlight w:val="none"/>
          <w:lang w:val="en-US" w:eastAsia="zh-CN"/>
        </w:rPr>
        <w:t>2.2.2检测内容</w:t>
      </w:r>
      <w:bookmarkEnd w:id="267"/>
      <w:bookmarkEnd w:id="269"/>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内容应包括但不限于以下项目：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建设工程主管部门、监督部门要求的，具有质量监控作用的焊缝质量检测工作，以保证管材的施工质量，为工程验收提供依据。包括：超声波探伤等。</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检测要求详见下表</w:t>
      </w:r>
      <w:r>
        <w:rPr>
          <w:rFonts w:hint="default" w:ascii="Times New Roman" w:hAnsi="Times New Roman" w:eastAsia="宋体" w:cs="Times New Roman"/>
          <w:color w:val="auto"/>
          <w:kern w:val="0"/>
          <w:sz w:val="24"/>
          <w:szCs w:val="24"/>
          <w:highlight w:val="none"/>
          <w:lang w:eastAsia="zh-CN"/>
        </w:rPr>
        <w:t>：</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7"/>
        <w:gridCol w:w="1387"/>
        <w:gridCol w:w="573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center"/>
        </w:trPr>
        <w:tc>
          <w:tcPr>
            <w:tcW w:w="1147" w:type="dxa"/>
            <w:tcBorders>
              <w:tl2br w:val="nil"/>
              <w:tr2bl w:val="nil"/>
            </w:tcBorders>
            <w:shd w:val="clear" w:color="auto" w:fill="FFFFFF"/>
            <w:vAlign w:val="center"/>
          </w:tcPr>
          <w:p>
            <w:pPr>
              <w:widowControl w:val="0"/>
              <w:autoSpaceDE w:val="0"/>
              <w:autoSpaceDN w:val="0"/>
              <w:adjustRightInd w:val="0"/>
              <w:spacing w:line="408" w:lineRule="auto"/>
              <w:ind w:firstLine="240"/>
              <w:jc w:val="left"/>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名称</w:t>
            </w:r>
          </w:p>
        </w:tc>
        <w:tc>
          <w:tcPr>
            <w:tcW w:w="1387" w:type="dxa"/>
            <w:tcBorders>
              <w:tl2br w:val="nil"/>
              <w:tr2bl w:val="nil"/>
            </w:tcBorders>
            <w:shd w:val="clear" w:color="auto" w:fill="FFFFFF"/>
            <w:vAlign w:val="center"/>
          </w:tcPr>
          <w:p>
            <w:pPr>
              <w:widowControl w:val="0"/>
              <w:autoSpaceDE w:val="0"/>
              <w:autoSpaceDN w:val="0"/>
              <w:adjustRightInd w:val="0"/>
              <w:spacing w:line="408"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检测方法</w:t>
            </w:r>
          </w:p>
        </w:tc>
        <w:tc>
          <w:tcPr>
            <w:tcW w:w="5738" w:type="dxa"/>
            <w:tcBorders>
              <w:tl2br w:val="nil"/>
              <w:tr2bl w:val="nil"/>
            </w:tcBorders>
            <w:shd w:val="clear" w:color="auto" w:fill="FFFFFF"/>
            <w:vAlign w:val="center"/>
          </w:tcPr>
          <w:p>
            <w:pPr>
              <w:widowControl w:val="0"/>
              <w:autoSpaceDE w:val="0"/>
              <w:autoSpaceDN w:val="0"/>
              <w:adjustRightInd w:val="0"/>
              <w:spacing w:line="408"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检测数量要求</w:t>
            </w:r>
          </w:p>
        </w:tc>
        <w:tc>
          <w:tcPr>
            <w:tcW w:w="1014" w:type="dxa"/>
            <w:tcBorders>
              <w:tl2br w:val="nil"/>
              <w:tr2bl w:val="nil"/>
            </w:tcBorders>
            <w:shd w:val="clear" w:color="auto" w:fill="FFFFFF"/>
            <w:vAlign w:val="center"/>
          </w:tcPr>
          <w:p>
            <w:pPr>
              <w:widowControl w:val="0"/>
              <w:autoSpaceDE w:val="0"/>
              <w:autoSpaceDN w:val="0"/>
              <w:adjustRightInd w:val="0"/>
              <w:spacing w:line="408" w:lineRule="auto"/>
              <w:ind w:firstLine="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主体结构</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检测砼强度（回弹法）</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抽检数量不宜少于同批构件总数的30%，且不少于10个构件，每个构件10测区</w:t>
            </w:r>
          </w:p>
        </w:tc>
        <w:tc>
          <w:tcPr>
            <w:tcW w:w="1014" w:type="dxa"/>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检测砼强度（钻芯法）</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每三层、每种强度等级的墙柱、梁板至少各抽取一个构件进行混凝土强度检测和氯离子含量实体检测，每构件不少于三个芯样，其中墙梁交接部位至少抽取一个芯样。</w:t>
            </w:r>
          </w:p>
        </w:tc>
        <w:tc>
          <w:tcPr>
            <w:tcW w:w="1014" w:type="dxa"/>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氯离子含量检测</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每三层、每种强度等级的墙柱、梁板至少各抽取一个构件进行混凝土强度检测和氯离子含量实体检测，每构件不少于三个芯样，其中墙梁交接部位至少抽取一个芯样。</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钢筋间距检测</w:t>
            </w:r>
          </w:p>
        </w:tc>
        <w:tc>
          <w:tcPr>
            <w:tcW w:w="5738"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非悬挑梁板类构件：抽取构件数量的2%且不少于5个构件；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悬挑梁：抽取构件数量的5%且不少于10个构件；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悬挑板：抽取构件数量的10%且不少于20个构件</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钢筋保护层厚度检测</w:t>
            </w:r>
          </w:p>
        </w:tc>
        <w:tc>
          <w:tcPr>
            <w:tcW w:w="5738"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color w:val="auto"/>
                <w:kern w:val="0"/>
                <w:sz w:val="22"/>
                <w:szCs w:val="22"/>
                <w:highlight w:val="none"/>
                <w:lang w:val="en-US" w:eastAsia="zh-CN"/>
              </w:rPr>
            </w:pP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高强度螺栓连接</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按节点数抽查10%，且不少于10个，每个被抽查到的节点，按螺栓数抽查10%，且不少于2个</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外墙饰面砖</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粘结强度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相同材料、工艺和施工条件每500m2应划分为一批，不足500m2也应划分为一个检验批。常规检测项目送样：不少于15块，且不小于1㎡。</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焊缝（钢构件焊接工程）</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超声波探伤</w:t>
            </w:r>
          </w:p>
        </w:tc>
        <w:tc>
          <w:tcPr>
            <w:tcW w:w="5738"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检查数量：全数检查。一级焊缝100%；二级焊缝：20%。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二级焊缝比例按以下原则：工厂制作焊缝按照焊缝长度计算百分比,且探伤长度不小于200mm；现场安装焊缝应按照同一类型、同一施焊条件的缝条数计算百分比，且不应少于3条焊缝。</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X射线</w:t>
            </w:r>
          </w:p>
        </w:tc>
        <w:tc>
          <w:tcPr>
            <w:tcW w:w="5738"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钢结构涂装</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防腐、防火涂层厚度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按构件数抽查10%，且同类构件不应少于3件，每个构件检测5处。</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构筑物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功能性试验</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水处理构筑物满水试验</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施工完毕必须进行满水试验</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现场焊缝</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超声波探伤</w:t>
            </w:r>
          </w:p>
        </w:tc>
        <w:tc>
          <w:tcPr>
            <w:tcW w:w="5738"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DN800mm 及以上口径焊缝：需按每条焊缝的5-10%进行X光检测以及每条焊缝的5-10%进行超声波检测（包含必检的T字缝及底部焊缝）；若建成区内不具备条件进行X光检测的，只采用超声波检测并将检测提高至每条焊缝的100%。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DN400-DN800口径焊缝：需按每条焊缝的20%进行超声波检测（包含必检的T字缝及底部焊缝）。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DN300及以下口径焊缝：需按每条焊缝的10%进行超声波检测（包含必检的T字缝及底部焊缝）。</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X射线</w:t>
            </w:r>
          </w:p>
        </w:tc>
        <w:tc>
          <w:tcPr>
            <w:tcW w:w="5738" w:type="dxa"/>
            <w:vMerge w:val="continue"/>
            <w:tcBorders>
              <w:tl2br w:val="nil"/>
              <w:tr2bl w:val="nil"/>
            </w:tcBorders>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rPr>
            </w:pP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现场焊缝防腐</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涂层厚度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按构件数抽查10%，且同类构件不应少于3件，每个构件检测5处。由各项目负责人确定</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管道功能性试验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（有压管道）</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水压试验</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全管长的100%检测（与施工单位的水压试验为同一试验，现场试验时，施工单位通知监测单位到场配合，由检测单位出具相关检测报告）</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管道回填</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每1000m2每层每侧一组，每组3点。组≈长度*槽宽/1000*（3+管径/200*2）。</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管道垫层</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每100米每层一组，每组3点。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管道功能性试验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（无压管道）</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闭水试验</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全检</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管道功能性试验</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管道CCTV</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雨水管道抽取10%井段检测、管径大于等于300mmd的污水管道 抽取 100%检测</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管道回填</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两井之间检测一个断面，每层每侧一组，每组3点。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管道垫层</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以100米检测一个断面，每层一组，每组3点。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路基</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每1000m²、每层测3点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每车道、每20m测1点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路面基层</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每1000m²、每层测1点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试件7d无侧限抗压强度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每2000m²抽检1组（6块）</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弯沉值</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每车道、每20m测1点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路面面层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（水泥混凝土）</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厚度（钻芯法）</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每1000m²测1点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弯拉强度（钻芯及劈裂试验）</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每100m³的同配合比的混凝土，取样1次；不足100m³时按1次计。每次取样应至少留置1组标准养护试件。同条件养护试件的留置组数应根据实际需要确定，最少1组。</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抗滑构造深度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每1000m²测1点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restart"/>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路面面层（沥青）</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芯样马歇尔</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同一台拌机生产对的沥青混合料2000t或每天一次，以频率密者为准。</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压实度、厚度检测（含钻芯）</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每1000m²测1点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vMerge w:val="continue"/>
            <w:tcBorders>
              <w:tl2br w:val="nil"/>
              <w:tr2bl w:val="nil"/>
            </w:tcBorders>
            <w:shd w:val="clear" w:color="auto" w:fill="FFFFFF"/>
            <w:vAlign w:val="center"/>
          </w:tcPr>
          <w:p>
            <w:pPr>
              <w:autoSpaceDE w:val="0"/>
              <w:autoSpaceDN w:val="0"/>
              <w:adjustRightInd w:val="0"/>
              <w:jc w:val="center"/>
              <w:rPr>
                <w:rFonts w:hint="eastAsia" w:ascii="宋体" w:hAnsi="宋体" w:eastAsia="宋体" w:cs="宋体"/>
                <w:i w:val="0"/>
                <w:iCs w:val="0"/>
                <w:color w:val="auto"/>
                <w:kern w:val="0"/>
                <w:sz w:val="20"/>
                <w:szCs w:val="20"/>
                <w:highlight w:val="none"/>
                <w:u w:val="none"/>
                <w:lang w:val="en-US" w:eastAsia="zh-CN" w:bidi="ar"/>
              </w:rPr>
            </w:pP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面层弯沉值</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每车道、每20m测1点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114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其他回填土</w:t>
            </w:r>
          </w:p>
        </w:tc>
        <w:tc>
          <w:tcPr>
            <w:tcW w:w="1387"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压实度</w:t>
            </w:r>
          </w:p>
        </w:tc>
        <w:tc>
          <w:tcPr>
            <w:tcW w:w="5738" w:type="dxa"/>
            <w:tcBorders>
              <w:tl2br w:val="nil"/>
              <w:tr2bl w:val="nil"/>
            </w:tcBorders>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构筑物四周回填按50延米/层1组；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大面积回填按500m/层1组；每组3点。</w:t>
            </w:r>
          </w:p>
        </w:tc>
        <w:tc>
          <w:tcPr>
            <w:tcW w:w="1014" w:type="dxa"/>
            <w:tcBorders>
              <w:tl2br w:val="nil"/>
              <w:tr2bl w:val="nil"/>
            </w:tcBorders>
            <w:shd w:val="clear" w:color="auto" w:fill="FFFFFF"/>
            <w:vAlign w:val="center"/>
          </w:tcPr>
          <w:p>
            <w:pPr>
              <w:widowControl w:val="0"/>
              <w:autoSpaceDE w:val="0"/>
              <w:autoSpaceDN w:val="0"/>
              <w:adjustRightInd w:val="0"/>
              <w:spacing w:line="262" w:lineRule="exact"/>
              <w:ind w:firstLine="0"/>
              <w:jc w:val="center"/>
              <w:rPr>
                <w:rFonts w:hint="default" w:ascii="Times New Roman" w:hAnsi="Times New Roman" w:eastAsia="宋体" w:cs="Times New Roman"/>
                <w:color w:val="auto"/>
                <w:kern w:val="0"/>
                <w:sz w:val="22"/>
                <w:szCs w:val="22"/>
                <w:highlight w:val="none"/>
              </w:rPr>
            </w:pPr>
          </w:p>
        </w:tc>
      </w:tr>
      <w:bookmarkEnd w:id="268"/>
    </w:tbl>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注：压力管道试验检测与施工单位的水压试验为同一试验，现场试验时，施工单位需通知检测单位到场，检测单位监督和配合施工单位进行水压实验，现场记录数据，出具检测报告。</w:t>
      </w:r>
    </w:p>
    <w:p>
      <w:pPr>
        <w:autoSpaceDE w:val="0"/>
        <w:autoSpaceDN w:val="0"/>
        <w:adjustRightInd w:val="0"/>
        <w:jc w:val="left"/>
        <w:rPr>
          <w:rFonts w:hint="default" w:ascii="Times New Roman" w:hAnsi="Times New Roman" w:eastAsia="宋体" w:cs="Times New Roman"/>
          <w:color w:val="auto"/>
          <w:kern w:val="0"/>
          <w:sz w:val="24"/>
          <w:szCs w:val="28"/>
          <w:highlight w:val="none"/>
        </w:rPr>
      </w:pPr>
    </w:p>
    <w:p>
      <w:pPr>
        <w:autoSpaceDE w:val="0"/>
        <w:autoSpaceDN w:val="0"/>
        <w:adjustRightInd w:val="0"/>
        <w:jc w:val="left"/>
        <w:rPr>
          <w:rFonts w:hint="default" w:ascii="Times New Roman" w:hAnsi="Times New Roman" w:eastAsia="宋体" w:cs="Times New Roman"/>
          <w:color w:val="auto"/>
          <w:kern w:val="0"/>
          <w:sz w:val="24"/>
          <w:szCs w:val="28"/>
          <w:highlight w:val="none"/>
        </w:rPr>
      </w:pPr>
    </w:p>
    <w:p>
      <w:pPr>
        <w:jc w:val="left"/>
        <w:rPr>
          <w:rFonts w:hint="default" w:ascii="Times New Roman" w:hAnsi="Times New Roman" w:cs="Times New Roman"/>
          <w:color w:val="auto"/>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widowControl w:val="0"/>
        <w:autoSpaceDE w:val="0"/>
        <w:autoSpaceDN w:val="0"/>
        <w:bidi w:val="0"/>
        <w:adjustRightInd w:val="0"/>
        <w:ind w:left="3"/>
        <w:jc w:val="center"/>
        <w:outlineLvl w:val="1"/>
        <w:rPr>
          <w:rFonts w:hint="default" w:ascii="Times New Roman" w:hAnsi="Times New Roman" w:eastAsia="宋体" w:cs="Times New Roman"/>
          <w:color w:val="auto"/>
          <w:sz w:val="30"/>
          <w:szCs w:val="24"/>
          <w:highlight w:val="none"/>
        </w:rPr>
      </w:pPr>
      <w:bookmarkStart w:id="270" w:name="_Toc142057541"/>
      <w:bookmarkStart w:id="271" w:name="_Toc1198"/>
      <w:r>
        <w:rPr>
          <w:rFonts w:hint="default" w:ascii="Times New Roman" w:hAnsi="Times New Roman" w:eastAsia="宋体" w:cs="Times New Roman"/>
          <w:color w:val="auto"/>
          <w:sz w:val="30"/>
          <w:szCs w:val="24"/>
          <w:highlight w:val="none"/>
          <w:lang w:val="en-US" w:eastAsia="zh-CN"/>
        </w:rPr>
        <w:t>2.3常规材料检测</w:t>
      </w:r>
      <w:r>
        <w:rPr>
          <w:rFonts w:hint="default" w:ascii="Times New Roman" w:hAnsi="Times New Roman" w:eastAsia="宋体" w:cs="Times New Roman"/>
          <w:color w:val="auto"/>
          <w:sz w:val="30"/>
          <w:szCs w:val="24"/>
          <w:highlight w:val="none"/>
        </w:rPr>
        <w:t>技术要求</w:t>
      </w:r>
      <w:bookmarkEnd w:id="270"/>
      <w:bookmarkEnd w:id="271"/>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72" w:name="_Toc13123507"/>
      <w:bookmarkStart w:id="273" w:name="_Toc31301"/>
      <w:bookmarkStart w:id="274" w:name="_Toc142057542"/>
      <w:r>
        <w:rPr>
          <w:rFonts w:hint="default" w:ascii="Times New Roman" w:hAnsi="Times New Roman" w:eastAsia="宋体" w:cs="Times New Roman"/>
          <w:b/>
          <w:color w:val="auto"/>
          <w:sz w:val="24"/>
          <w:szCs w:val="24"/>
          <w:highlight w:val="none"/>
          <w:lang w:val="en-US" w:eastAsia="zh-CN"/>
        </w:rPr>
        <w:t>2.3.1检测技术标准、规范</w:t>
      </w:r>
      <w:bookmarkEnd w:id="272"/>
      <w:bookmarkEnd w:id="273"/>
      <w:bookmarkEnd w:id="274"/>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1）《通用硅酸盐水泥》GB175-2007</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2）《普通混凝土用砂、石质量及检验方法》JGJ52-2006</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3）《水工混凝土试验规程》SL/T352-2020</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4）《建设用砂》GB/T14684-2022</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5）《公路工程集料试验规程》JTG</w:t>
      </w:r>
      <w:r>
        <w:rPr>
          <w:rFonts w:hint="default" w:ascii="Times New Roman" w:hAnsi="Times New Roman" w:eastAsia="宋体" w:cs="Times New Roman"/>
          <w:color w:val="auto"/>
          <w:kern w:val="0"/>
          <w:sz w:val="24"/>
          <w:szCs w:val="28"/>
          <w:highlight w:val="none"/>
          <w:lang w:val="en-US" w:eastAsia="zh-CN"/>
        </w:rPr>
        <w:t xml:space="preserve"> </w:t>
      </w:r>
      <w:r>
        <w:rPr>
          <w:rFonts w:hint="default" w:ascii="Times New Roman" w:hAnsi="Times New Roman" w:eastAsia="宋体" w:cs="Times New Roman"/>
          <w:color w:val="auto"/>
          <w:kern w:val="0"/>
          <w:sz w:val="24"/>
          <w:szCs w:val="28"/>
          <w:highlight w:val="none"/>
        </w:rPr>
        <w:t>E42-2005</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6）</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钢筋混凝土用钢第1部分：热轧光圆钢筋</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 xml:space="preserve"> GB 1499.1-2017</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7）</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钢筋混凝土用钢第2部分：热轧带肋钢筋</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 xml:space="preserve"> GB 1499.2-2018</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8）《普通混凝土力学性能试验方法标准》GB/T50081-2019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9）《混凝土中氯离子含量检测技术规程》JGJ/T322-2013</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10）《混凝土结构工程施工质量验收规范》GB 50204-2015</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11）</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城市道路工程施工与质量验收规范》CJJ</w:t>
      </w:r>
      <w:r>
        <w:rPr>
          <w:rFonts w:hint="default" w:ascii="Times New Roman" w:hAnsi="Times New Roman" w:eastAsia="宋体" w:cs="Times New Roman"/>
          <w:color w:val="auto"/>
          <w:kern w:val="0"/>
          <w:sz w:val="24"/>
          <w:szCs w:val="28"/>
          <w:highlight w:val="none"/>
          <w:lang w:val="en-US" w:eastAsia="zh-CN"/>
        </w:rPr>
        <w:t xml:space="preserve"> </w:t>
      </w:r>
      <w:r>
        <w:rPr>
          <w:rFonts w:hint="default" w:ascii="Times New Roman" w:hAnsi="Times New Roman" w:eastAsia="宋体" w:cs="Times New Roman"/>
          <w:color w:val="auto"/>
          <w:kern w:val="0"/>
          <w:sz w:val="24"/>
          <w:szCs w:val="28"/>
          <w:highlight w:val="none"/>
        </w:rPr>
        <w:t>1-2008</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12）《公路工程沥青及沥青混合料试验规程》JTG E20-2011</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13）《公路沥青路面施工技术规范》JTG F40-2004</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14）《沥青路面施工及验收规范》GB 50092-96</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15）《公路工程沥青及沥青混合料试验规程》JTG E20-2011</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16）</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用于水泥、砂浆和混凝土中的粒化高炉矿渣粉</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18046-2017</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17）</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混凝土外加剂</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 8076-2008</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18）</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用于水泥和混凝土中的粉煤灰</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1596-2017</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19）《金属材料拉伸试验第1部分：室温试验方法》GB/T</w:t>
      </w:r>
      <w:r>
        <w:rPr>
          <w:rFonts w:hint="default" w:ascii="Times New Roman" w:hAnsi="Times New Roman" w:eastAsia="宋体" w:cs="Times New Roman"/>
          <w:color w:val="auto"/>
          <w:kern w:val="0"/>
          <w:sz w:val="24"/>
          <w:szCs w:val="28"/>
          <w:highlight w:val="none"/>
          <w:lang w:val="en-US" w:eastAsia="zh-CN"/>
        </w:rPr>
        <w:t xml:space="preserve"> </w:t>
      </w:r>
      <w:r>
        <w:rPr>
          <w:rFonts w:hint="default" w:ascii="Times New Roman" w:hAnsi="Times New Roman" w:eastAsia="宋体" w:cs="Times New Roman"/>
          <w:color w:val="auto"/>
          <w:kern w:val="0"/>
          <w:sz w:val="24"/>
          <w:szCs w:val="28"/>
          <w:highlight w:val="none"/>
        </w:rPr>
        <w:t>228.1-2010</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20）</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混凝土实心砖</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21144-2007</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lang w:val="en-US" w:eastAsia="zh-CN"/>
        </w:rPr>
      </w:pPr>
      <w:r>
        <w:rPr>
          <w:rFonts w:hint="default" w:ascii="Times New Roman" w:hAnsi="Times New Roman" w:eastAsia="宋体" w:cs="Times New Roman"/>
          <w:color w:val="auto"/>
          <w:kern w:val="0"/>
          <w:sz w:val="24"/>
          <w:szCs w:val="28"/>
          <w:highlight w:val="none"/>
        </w:rPr>
        <w:t>21）</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混凝土路面砖</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28635-2012</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22）《建筑砂浆基本性能试验方法标准》JGJ/T70—2009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23）《砌体工程施工质量验收规范》GB50203-2011</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24）《建筑地面工程施工质量验收规范》GB50209-2010</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25）《公路工程无机结合料稳定材料试验规程》JTG-E51-2009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26）《土工试验方法标准》GB/T50123-2019</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27）《给水排水管道工程施工及验收规范》GB50268-2008</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28）</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无溶剂环氧液体涂料的防腐蚀涂装</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31361-2015</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29）</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铸铁焊条及焊丝</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10044-2022</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w:t>
      </w:r>
      <w:r>
        <w:rPr>
          <w:rFonts w:hint="default" w:ascii="Times New Roman" w:hAnsi="Times New Roman" w:eastAsia="宋体" w:cs="Times New Roman"/>
          <w:color w:val="auto"/>
          <w:kern w:val="0"/>
          <w:sz w:val="24"/>
          <w:szCs w:val="28"/>
          <w:highlight w:val="none"/>
          <w:lang w:val="en-US" w:eastAsia="zh-CN"/>
        </w:rPr>
        <w:t>0</w:t>
      </w: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焊接材料采购指南</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GB/T 25778-2010</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w:t>
      </w:r>
      <w:r>
        <w:rPr>
          <w:rFonts w:hint="default" w:ascii="Times New Roman" w:hAnsi="Times New Roman" w:eastAsia="宋体" w:cs="Times New Roman"/>
          <w:color w:val="auto"/>
          <w:kern w:val="0"/>
          <w:sz w:val="24"/>
          <w:szCs w:val="28"/>
          <w:highlight w:val="none"/>
          <w:lang w:val="en-US" w:eastAsia="zh-CN"/>
        </w:rPr>
        <w:t>1</w:t>
      </w:r>
      <w:r>
        <w:rPr>
          <w:rFonts w:hint="default" w:ascii="Times New Roman" w:hAnsi="Times New Roman" w:eastAsia="宋体" w:cs="Times New Roman"/>
          <w:color w:val="auto"/>
          <w:kern w:val="0"/>
          <w:sz w:val="24"/>
          <w:szCs w:val="28"/>
          <w:highlight w:val="none"/>
        </w:rPr>
        <w:t>）</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公路桥涵施工技术规范</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JTG/T 3650-2020</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val="en-US" w:eastAsia="zh-CN"/>
        </w:rPr>
        <w:t>32）《</w:t>
      </w:r>
      <w:r>
        <w:rPr>
          <w:rFonts w:hint="default" w:ascii="Times New Roman" w:hAnsi="Times New Roman" w:eastAsia="宋体" w:cs="Times New Roman"/>
          <w:color w:val="auto"/>
          <w:kern w:val="0"/>
          <w:sz w:val="24"/>
          <w:szCs w:val="28"/>
          <w:highlight w:val="none"/>
        </w:rPr>
        <w:t>高分子防水材料—橡胶止水带</w:t>
      </w:r>
      <w:r>
        <w:rPr>
          <w:rFonts w:hint="default" w:ascii="Times New Roman" w:hAnsi="Times New Roman" w:eastAsia="宋体" w:cs="Times New Roman"/>
          <w:color w:val="auto"/>
          <w:kern w:val="0"/>
          <w:sz w:val="24"/>
          <w:szCs w:val="28"/>
          <w:highlight w:val="none"/>
          <w:lang w:eastAsia="zh-CN"/>
        </w:rPr>
        <w:t>》</w:t>
      </w:r>
      <w:r>
        <w:rPr>
          <w:rFonts w:hint="default" w:ascii="Times New Roman" w:hAnsi="Times New Roman" w:eastAsia="宋体" w:cs="Times New Roman"/>
          <w:color w:val="auto"/>
          <w:kern w:val="0"/>
          <w:sz w:val="24"/>
          <w:szCs w:val="28"/>
          <w:highlight w:val="none"/>
        </w:rPr>
        <w:t xml:space="preserve"> GB/T18173.2-2014</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val="en-US" w:eastAsia="zh-CN"/>
        </w:rPr>
        <w:t>33）</w:t>
      </w:r>
      <w:r>
        <w:rPr>
          <w:rFonts w:hint="default" w:ascii="Times New Roman" w:hAnsi="Times New Roman" w:eastAsia="宋体" w:cs="Times New Roman"/>
          <w:color w:val="auto"/>
          <w:kern w:val="0"/>
          <w:sz w:val="24"/>
          <w:szCs w:val="28"/>
          <w:highlight w:val="none"/>
        </w:rPr>
        <w:t>《钢筋焊接及验收规程》JGJ18-2012</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lang w:val="en-US" w:eastAsia="zh-CN"/>
        </w:rPr>
        <w:t>34）</w:t>
      </w:r>
      <w:r>
        <w:rPr>
          <w:rFonts w:hint="default" w:ascii="Times New Roman" w:hAnsi="Times New Roman" w:eastAsia="宋体" w:cs="Times New Roman"/>
          <w:color w:val="auto"/>
          <w:kern w:val="0"/>
          <w:sz w:val="24"/>
          <w:szCs w:val="28"/>
          <w:highlight w:val="none"/>
        </w:rPr>
        <w:t>《钢筋焊接接头试验方法标准》JGJ/T27-2014</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w:t>
      </w:r>
      <w:r>
        <w:rPr>
          <w:rFonts w:hint="default" w:ascii="Times New Roman" w:hAnsi="Times New Roman" w:eastAsia="宋体" w:cs="Times New Roman"/>
          <w:color w:val="auto"/>
          <w:kern w:val="0"/>
          <w:sz w:val="24"/>
          <w:szCs w:val="28"/>
          <w:highlight w:val="none"/>
          <w:lang w:val="en-US" w:eastAsia="zh-CN"/>
        </w:rPr>
        <w:t>5</w:t>
      </w:r>
      <w:r>
        <w:rPr>
          <w:rFonts w:hint="default" w:ascii="Times New Roman" w:hAnsi="Times New Roman" w:eastAsia="宋体" w:cs="Times New Roman"/>
          <w:color w:val="auto"/>
          <w:kern w:val="0"/>
          <w:sz w:val="24"/>
          <w:szCs w:val="28"/>
          <w:highlight w:val="none"/>
        </w:rPr>
        <w:t>）其他国家、省市或行业的相关技术标准、规范。</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8"/>
          <w:highlight w:val="none"/>
          <w:lang w:val="en-US" w:eastAsia="en-US" w:bidi="ar-SA"/>
        </w:rPr>
        <w:t>3</w:t>
      </w:r>
      <w:r>
        <w:rPr>
          <w:rFonts w:hint="default" w:ascii="Times New Roman" w:hAnsi="Times New Roman" w:eastAsia="宋体" w:cs="Times New Roman"/>
          <w:color w:val="auto"/>
          <w:kern w:val="2"/>
          <w:sz w:val="24"/>
          <w:szCs w:val="28"/>
          <w:highlight w:val="none"/>
          <w:lang w:val="en-US" w:eastAsia="zh-CN" w:bidi="ar-SA"/>
        </w:rPr>
        <w:t>6</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《高密度聚乙烯缠绕结构壁管材》CJ/T 165-2002</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37</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《水及燃气用球墨铸铁管、管件和附件》GB/T 13295-2019</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38</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《低压流体输送用焊接钢管》GB/T 3091-2015</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39</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《埋地排水用硬聚氯乙烯（PVC-U）双壁波纹管 第一部分：双壁波纹管》GB/T 18477.1-2007</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40</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《蒸压灰砂砖》  GB 11945-2019</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41</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《检查井盖》GB/T 23858-2009</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42</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《广东城市绿化工程施工和验收规范》DB44/T 581-2009</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43</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《建筑节能工程施工质量验收规范》 GB 50411-2019</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44</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《碳素结构钢》 GB/T 700-2006 7.2</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《低合金高强度钢》GB/T 1591-2018</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46</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《连续热镀锌钢板及钢带》GB/T 2518-2019</w:t>
      </w:r>
    </w:p>
    <w:p>
      <w:pPr>
        <w:widowControl w:val="0"/>
        <w:autoSpaceDE w:val="0"/>
        <w:autoSpaceDN w:val="0"/>
        <w:adjustRightInd w:val="0"/>
        <w:spacing w:beforeLines="0" w:after="0" w:afterLines="0"/>
        <w:ind w:left="0" w:leftChars="0" w:firstLine="480" w:firstLineChars="200"/>
        <w:jc w:val="both"/>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zh-CN" w:bidi="ar-SA"/>
        </w:rPr>
        <w:t>47</w:t>
      </w:r>
      <w:r>
        <w:rPr>
          <w:rFonts w:hint="default" w:ascii="Times New Roman" w:hAnsi="Times New Roman" w:eastAsia="宋体" w:cs="Times New Roman"/>
          <w:color w:val="auto"/>
          <w:kern w:val="2"/>
          <w:sz w:val="24"/>
          <w:szCs w:val="28"/>
          <w:highlight w:val="none"/>
          <w:lang w:val="en-US" w:eastAsia="en-US" w:bidi="ar-SA"/>
        </w:rPr>
        <w:t>）</w:t>
      </w:r>
      <w:r>
        <w:rPr>
          <w:rFonts w:hint="default" w:ascii="Times New Roman" w:hAnsi="Times New Roman" w:eastAsia="宋体" w:cs="Times New Roman"/>
          <w:color w:val="auto"/>
          <w:kern w:val="2"/>
          <w:sz w:val="24"/>
          <w:szCs w:val="24"/>
          <w:highlight w:val="none"/>
          <w:lang w:val="en-US" w:eastAsia="en-US" w:bidi="ar-SA"/>
        </w:rPr>
        <w:t>《建筑防水涂料试验方法》GB/T 16777-2008</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若检测进行前，以上标准、规范发生变更，当以相应最新版本作为检测标准、规范。</w:t>
      </w:r>
    </w:p>
    <w:p>
      <w:pPr>
        <w:widowControl w:val="0"/>
        <w:autoSpaceDE w:val="0"/>
        <w:autoSpaceDN w:val="0"/>
        <w:bidi w:val="0"/>
        <w:adjustRightInd w:val="0"/>
        <w:spacing w:before="50" w:beforeLines="50" w:after="50" w:afterLines="50" w:line="360" w:lineRule="auto"/>
        <w:outlineLvl w:val="2"/>
        <w:rPr>
          <w:rFonts w:hint="default" w:ascii="Times New Roman" w:hAnsi="Times New Roman" w:eastAsia="宋体" w:cs="Times New Roman"/>
          <w:b/>
          <w:color w:val="auto"/>
          <w:sz w:val="24"/>
          <w:szCs w:val="24"/>
          <w:highlight w:val="none"/>
          <w:lang w:val="en-US" w:eastAsia="zh-CN"/>
        </w:rPr>
      </w:pPr>
      <w:bookmarkStart w:id="275" w:name="_Toc6159"/>
      <w:bookmarkStart w:id="276" w:name="_Toc142057543"/>
      <w:bookmarkStart w:id="277" w:name="_Toc13123510"/>
      <w:r>
        <w:rPr>
          <w:rFonts w:hint="default" w:ascii="Times New Roman" w:hAnsi="Times New Roman" w:eastAsia="宋体" w:cs="Times New Roman"/>
          <w:b/>
          <w:color w:val="auto"/>
          <w:sz w:val="24"/>
          <w:szCs w:val="24"/>
          <w:highlight w:val="none"/>
          <w:lang w:val="en-US" w:eastAsia="zh-CN"/>
        </w:rPr>
        <w:t>2.3.2检测内容</w:t>
      </w:r>
      <w:bookmarkEnd w:id="275"/>
      <w:bookmarkEnd w:id="276"/>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常规检测内容包括但不限于以下项目：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建设工程主管部门、监督部门要求的，具有质量、安全监控作用的所有进场材料的检测工作，以保证工程施工质量，为工程验收提供依据。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包括：水泥、砂、</w:t>
      </w:r>
      <w:r>
        <w:rPr>
          <w:rFonts w:hint="default" w:ascii="Times New Roman" w:hAnsi="Times New Roman" w:eastAsia="宋体" w:cs="Times New Roman"/>
          <w:color w:val="auto"/>
          <w:kern w:val="0"/>
          <w:sz w:val="24"/>
          <w:szCs w:val="24"/>
          <w:highlight w:val="none"/>
          <w:lang w:val="en-US" w:eastAsia="zh-CN"/>
        </w:rPr>
        <w:t>粗集料、细集料、</w:t>
      </w:r>
      <w:r>
        <w:rPr>
          <w:rFonts w:hint="default" w:ascii="Times New Roman" w:hAnsi="Times New Roman" w:eastAsia="宋体" w:cs="Times New Roman"/>
          <w:color w:val="auto"/>
          <w:kern w:val="0"/>
          <w:sz w:val="24"/>
          <w:szCs w:val="24"/>
          <w:highlight w:val="none"/>
        </w:rPr>
        <w:t>钢筋、钢板、</w:t>
      </w:r>
      <w:r>
        <w:rPr>
          <w:rFonts w:hint="default" w:ascii="Times New Roman" w:hAnsi="Times New Roman" w:eastAsia="宋体" w:cs="Times New Roman"/>
          <w:color w:val="auto"/>
          <w:kern w:val="0"/>
          <w:sz w:val="24"/>
          <w:szCs w:val="24"/>
          <w:highlight w:val="none"/>
          <w:lang w:val="en-US" w:eastAsia="zh-CN"/>
        </w:rPr>
        <w:t>砖、</w:t>
      </w:r>
      <w:r>
        <w:rPr>
          <w:rFonts w:hint="default" w:ascii="Times New Roman" w:hAnsi="Times New Roman" w:eastAsia="宋体" w:cs="Times New Roman"/>
          <w:color w:val="auto"/>
          <w:kern w:val="0"/>
          <w:sz w:val="24"/>
          <w:szCs w:val="24"/>
          <w:highlight w:val="none"/>
        </w:rPr>
        <w:t>混凝土、砂浆、</w:t>
      </w:r>
      <w:r>
        <w:rPr>
          <w:rFonts w:hint="default" w:ascii="Times New Roman" w:hAnsi="Times New Roman" w:eastAsia="宋体" w:cs="Times New Roman"/>
          <w:color w:val="auto"/>
          <w:kern w:val="0"/>
          <w:sz w:val="24"/>
          <w:szCs w:val="24"/>
          <w:highlight w:val="none"/>
          <w:lang w:val="en-US" w:eastAsia="zh-CN"/>
        </w:rPr>
        <w:t>水稳层、路缘石、混凝土管、聚乙烯波纹管</w:t>
      </w:r>
      <w:r>
        <w:rPr>
          <w:rFonts w:hint="default" w:ascii="Times New Roman" w:hAnsi="Times New Roman" w:eastAsia="宋体" w:cs="Times New Roman"/>
          <w:color w:val="auto"/>
          <w:kern w:val="0"/>
          <w:sz w:val="24"/>
          <w:szCs w:val="24"/>
          <w:highlight w:val="none"/>
        </w:rPr>
        <w:t>等检测。</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检测要求详见下表：</w:t>
      </w:r>
    </w:p>
    <w:tbl>
      <w:tblPr>
        <w:tblStyle w:val="24"/>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74"/>
        <w:gridCol w:w="2666"/>
        <w:gridCol w:w="540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blHeader/>
          <w:jc w:val="center"/>
        </w:trPr>
        <w:tc>
          <w:tcPr>
            <w:tcW w:w="1874" w:type="dxa"/>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rPr>
              <w:t>材料名称</w:t>
            </w:r>
          </w:p>
        </w:tc>
        <w:tc>
          <w:tcPr>
            <w:tcW w:w="2666" w:type="dxa"/>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rPr>
              <w:t>检测项目</w:t>
            </w:r>
          </w:p>
        </w:tc>
        <w:tc>
          <w:tcPr>
            <w:tcW w:w="5401" w:type="dxa"/>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rPr>
              <w:t>检测频度</w:t>
            </w:r>
          </w:p>
        </w:tc>
        <w:tc>
          <w:tcPr>
            <w:tcW w:w="854" w:type="dxa"/>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水泥</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凝结时间、安定性（沸煮法）、胶砂强度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以同一生产厂家、同一强度等级、同一品种、同一批号且连续进场的水泥，袋装不超过200t、散装500t为一批，每批抽样不少于一次。</w:t>
            </w:r>
          </w:p>
        </w:tc>
        <w:tc>
          <w:tcPr>
            <w:tcW w:w="854" w:type="dxa"/>
            <w:vMerge w:val="restart"/>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rPr>
              <w:t>检测数量按图纸计算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水泥（水泥土桩用）</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凝结时间、安定性（沸煮法）、胶砂强度、标准稠度用水量、细度、密度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以同一生产厂家、同一强度等级、同一品种、同一批号且连续进场的水泥，袋装不超过200t、散装500t为一批，每批抽样不少于一次。</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屈服强度、抗拉强度、断后伸长率、弯曲、重量偏差、反向弯曲</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每批由同一牌号、同一炉罐号、同一规格的钢筋组成。每批重量不大于60t。</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钢筋（热轧光圆钢筋）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屈服强度、抗拉强度、断后伸长率、弯曲、重量偏差</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钢筋焊接接头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（电弧焊）</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抗拉强度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以300个同牌号钢筋接头作为一批；当不足300个接头时，仍应作为一批。每一检验批接头中随机切取三个接头进行试验。</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烧结普通砖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每一生产厂家，每15万块为一验收批，不足上述数量时按1批计，抽检数量为1组。</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烧结多孔砖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每一生产厂家，每10万块为一验收批，不足上述数量时按1批计，抽检数量为1组。</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抗折强度试验（若为承重墙）</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混凝土实心砖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每一生产厂家，每15万块为一验收批，不足上述数量时按1批计，抽检数量为1组。</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混凝土多孔砖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每一生产厂家，每10万块为一验收批，不足上述数量时按1批计，抽检数量为1组。</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抗折强度试验（若为承重墙）</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加气混凝土砌块</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同品种、同规格、同等级的砌块，以10000块为一批，不足10000块亦为一批</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陶瓷砖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吸水率、破坏强度、断裂模数</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同一厂家生产、同一品种、同一类型至少抽取一组</w:t>
            </w:r>
          </w:p>
        </w:tc>
        <w:tc>
          <w:tcPr>
            <w:tcW w:w="854" w:type="dxa"/>
            <w:vMerge w:val="continue"/>
            <w:shd w:val="clear" w:color="auto" w:fill="FFFFFF"/>
            <w:vAlign w:val="center"/>
          </w:tcPr>
          <w:p>
            <w:pPr>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放射性核素（若为室内饰面砖）</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建构筑物：每100m³混凝土为一个验收批；当同一部位、同一配合比的混凝土一次连续浇筑超过1000m³时，每拌制200m³混凝土为一个验收批；每一楼层取样不得少于一次；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地基及支护工程：灌注桩每浇筑50m³必须至少留置1组混凝土强度试件，单桩不足50m³的桩，每连续浇筑12h必须至少留置1组混凝土强度试件；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井：每根钻孔灌柱桩、每幅地下连续墙混凝土为一个验收批，抗压强度、抗渗试块应各留置一组；沉井及其他现浇结构的同一配合比混凝土，每工作班且每浇筑100m³为一个验收批，抗压强度试块留置不应少于1组；</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氯离子</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氯离子含量（预拌）：同一工程、同一配合比不应少于1次</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抗渗</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有抗渗要求的混凝土结构：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1)同一配合比的混凝土，每构筑物按底板、池壁和顶板等部位，每一部位每浇筑500m³混凝土为一个验收批，留置一组，每组六块；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2)同一部位混凝土一次连续浇筑超过2000m³时，每浇筑1000m³混凝土为一个验收批，留置一组，每组六块。</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配合比</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同一配合比的混凝土检查不应少于一次</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砌筑砂浆</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建筑工程：每一检验批且不超过250m³砌体的各类、各强度等级的普通砌筑砂浆，每台搅拌机应至少抽检一次。验收批的预拌砂浆、蒸压加气混凝土砌块专用砂浆，抽检可为3组。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给水排水构筑物：每座砌体水处理构筑物的同一类型、强度等级砂浆，每砌筑100m³砌体的砂浆作为一个验收批，强度值应至少检查一次，每次应留置试块一-组；</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天然砂</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筛分析、含泥量、泥块含量、氯离子含量</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按同产地、同品种、规格、且连续进场的集料，每400m³或600t为一批，不足400m³或600t按一批计，每批抽检1次。</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人工砂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（机制砂/石屑）</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筛分析、石粉含量（含亚甲蓝试验）、氯离子含量</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按同产地、同品种、规格、且连续进场的集料，每400m³或600t为一批，不足400m³或600t按一批计，每批抽检1次。</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高聚物改性沥青防水卷材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（屋面工程）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可溶物含量、拉力、最大拉力时延伸率、耐热度、低温柔度、不透水性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（待定：无处理时卷材接缝剥离强度和搭接缝不透水性检测）</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大于1000卷抽5 卷，每500卷~1000卷抽4卷、100卷~499卷抽3卷，100卷以下抽2卷，进行规格尺寸和外观质量检验。在外观质量检验合格的卷材中，任取一卷作物理性能检验</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合成高分子防水卷材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（屋面工程）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断裂拉伸强度、扯断伸长率、低温弯折性、不透水性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（待定：无处理时卷材接缝剥离强度和搭接缝不透水性检测）</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高聚物改性沥青防水涂料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（屋面工程）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固体含量、耐热性、低温柔性、不透水性、抗裂性</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 10t为一批，不足10t 按一批抽样</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1"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合成高分子防水涂料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（屋面工程）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固体含量、拉伸强度、断裂伸长率、低温柔性、不透水性</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1"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聚合物水泥防水涂料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（屋面工程）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固体含量、拉伸强度、断裂伸长率、低温柔性、不透水性</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高聚物改性沥青类防水卷材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（地下防水工程）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可溶物含量，拉力，延伸率，低温柔度，热老化后低温柔度，不透水性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（待定：无处理时卷材接缝剥离强度和搭接缝不透水性检测）</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大于1000卷抽5卷，每500卷~1000卷抽4卷、100卷~499卷抽3卷，100卷以下抽2卷，进行规格尺寸和外观质量检验。在外观质量检验合格的卷材中，任取一卷作物理性能检验</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合成高分子类防水卷材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（地下防水工程）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断裂拉伸强度，断裂伸长率，低温弯 折性，不透水性，撕裂强度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（待定：无处理时卷材接缝剥离强度和搭接缝不透水性检测）</w:t>
            </w:r>
          </w:p>
        </w:tc>
        <w:tc>
          <w:tcPr>
            <w:tcW w:w="5401" w:type="dxa"/>
            <w:vMerge w:val="continue"/>
            <w:shd w:val="clear" w:color="auto" w:fill="FFFFFF"/>
            <w:vAlign w:val="center"/>
          </w:tcPr>
          <w:p>
            <w:pPr>
              <w:autoSpaceDE w:val="0"/>
              <w:autoSpaceDN w:val="0"/>
              <w:adjustRightInd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有机防水涂料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（地下防水工程）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潮湿基面粘结强度，涂膜抗渗性，浸水168h后拉伸强度，浸水168h后断裂伸长率，耐水性</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每5t为一批， 不足5t按一批抽样</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无机防水涂料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（地下防水工程）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抗折强度，粘结强度，抗渗性</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每10t为一批，不足10t按一批抽样</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水泥基渗透结晶型防水材料</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抗折强度、湿基面粘结强度、抗渗压力</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每10t为一批，不足10t按一批抽样</w:t>
            </w:r>
          </w:p>
        </w:tc>
        <w:tc>
          <w:tcPr>
            <w:tcW w:w="854" w:type="dxa"/>
            <w:vMerge w:val="continue"/>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bookmarkStart w:id="278" w:name="_Toc142057545"/>
            <w:r>
              <w:rPr>
                <w:rFonts w:hint="eastAsia" w:ascii="宋体" w:hAnsi="宋体" w:eastAsia="宋体" w:cs="宋体"/>
                <w:i w:val="0"/>
                <w:iCs w:val="0"/>
                <w:color w:val="auto"/>
                <w:kern w:val="0"/>
                <w:sz w:val="20"/>
                <w:szCs w:val="20"/>
                <w:highlight w:val="none"/>
                <w:u w:val="none"/>
                <w:lang w:val="en-US" w:eastAsia="zh-CN" w:bidi="ar"/>
              </w:rPr>
              <w:t>水泥</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凝结时间、安定性（沸煮法）、胶砂强度、氯离子</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以同一生产厂家、同一强度等级、同一品种、同一批号且连续进场的水泥，袋装不超过200t、散装500t为一批，每批抽样不少于一次。</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钢筋</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屈服强度、抗拉强度、断后伸长率、弯曲、重量偏差</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每批由同一牌号、同一炉罐号、同一规格的钢筋组成。每批重量不大于60t。</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钢筋焊接接头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（电弧焊）</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抗拉强度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以300个同牌号钢筋接头作为一批；当不足300个接头时，仍应作为一批。每一检验批接头中随机切取三个接头进行试验。</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混凝土预制砌块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（道路）</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同一品种、规格、每检验批1组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混凝土路缘石</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抗压强度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同一品种、规格、每检验批1组（3块）</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7"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人工砂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（机制砂/石屑）</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筛分析、石粉含量（含亚甲蓝试验）、氯离子含量</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按同产地、同品种、规格、且连续进场的集料，每400m³或600t为一批，不足400m³或600t按一批计，每批抽检1次。</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沥青混合料</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马歇尔试验配合比</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每日、每品种检测一次</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沥青含量</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每日、每品种检测一次</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（顶管工作井）</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5401"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每根钻孔灌柱桩、每幅地下连续墙混凝土为一个验收批，抗压强度、抗渗试块应各留置一组；沉井及其他现浇结构的同一配合比混凝土，每工作班且每浇筑100m3为一个验收批，抗压强度试块留置不应少于l 组；每浇筑500m3 混凝土抗渗试块留置不应少于1组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atLeast"/>
          <w:jc w:val="center"/>
        </w:trPr>
        <w:tc>
          <w:tcPr>
            <w:tcW w:w="1874" w:type="dxa"/>
            <w:vMerge w:val="continue"/>
            <w:shd w:val="clear" w:color="auto" w:fill="FFFFFF"/>
            <w:vAlign w:val="center"/>
          </w:tcPr>
          <w:p>
            <w:pPr>
              <w:autoSpaceDE w:val="0"/>
              <w:autoSpaceDN w:val="0"/>
              <w:adjustRightInd w:val="0"/>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试块抗渗</w:t>
            </w:r>
          </w:p>
        </w:tc>
        <w:tc>
          <w:tcPr>
            <w:tcW w:w="5401" w:type="dxa"/>
            <w:vMerge w:val="continue"/>
            <w:shd w:val="clear" w:color="auto" w:fill="FFFFFF"/>
            <w:vAlign w:val="center"/>
          </w:tcPr>
          <w:p>
            <w:pPr>
              <w:autoSpaceDE w:val="0"/>
              <w:autoSpaceDN w:val="0"/>
              <w:adjustRightInd w:val="0"/>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（井室、支墩）</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每50m3砌体或混凝土每浇筑1个台班一组试块。</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砂浆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（井室）</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每50m3砌体或混凝土每浇筑1个台班一组试块。</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砂浆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（人行道）</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试块抗压</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同一配合比，每1000m2取1组(6块)，不足1000m2取1组。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配合比</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同一配合比的混凝土检查不应少于一次</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交通标志</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逆反射系数</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每10块板测1处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混凝土管</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外压荷载</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由相同原材料、相同生产工艺制作的同一种规格、同一种接口型式、同一种外压荷载级别、生产量内径200-500mm时小于等于2500根为一批次，内径600-1400mm时小于等于2000根为一批次，内径1500-2200mm时小于等于1500根为一批次 ， 内径2400-3500mm时小于等于1000根为一批次。从受检验批里面抽取1根检测外压荷载。</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球墨铸铁管</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布氏硬度、拉伸性能、断后延伸率</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球管DN40~DN300，每200条抽1条检测。DN350~DN600，每100条抽1条检测。DN700~DN1000管，每50条抽1条检测。DN1100~DN3000检测，每25条抽1条检测。</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钢管</w:t>
            </w:r>
          </w:p>
        </w:tc>
        <w:tc>
          <w:tcPr>
            <w:tcW w:w="2666" w:type="dxa"/>
            <w:shd w:val="clear" w:color="auto" w:fill="FFFFFF"/>
            <w:vAlign w:val="center"/>
          </w:tcPr>
          <w:p>
            <w:pPr>
              <w:keepNext w:val="0"/>
              <w:keepLines w:val="0"/>
              <w:widowControl/>
              <w:suppressLineNumbers w:val="0"/>
              <w:autoSpaceDE w:val="0"/>
              <w:autoSpaceDN w:val="0"/>
              <w:adjustRightInd w:val="0"/>
              <w:jc w:val="both"/>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屈服强度、抗拉强度、断后伸长率、弯曲</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同一牌号，同一炉号，同一规格，同一焊接工艺，统一热处理制度，≤60t为一批，每批在两根钢管上各取一个试样进行拉伸</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涂层厚度（内外防腐）</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每20根1组(不足20根按1组)，每组抽查1根。测管两端和中间共3个截面，每截面测互相垂直的4点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UPVC管</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落锤冲击性能、纵向回缩率、维卡软化温度、拉伸屈服强度</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规范：同一原料配方、同一工艺和同一规格连续生产的管材作为一批，每批数量不超过50t。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检测单位提出：同一原料配方、同一工艺和同一规格连续生产的管材作为一批，当dn≤75mm时，每批数量不超过80000m；当75mm〈dn≤160mm时，每批数量不超过50000m；当160mm〈dn≤315mm时，每批数量不超过30000m。</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PE给水管</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断裂伸长率、静液压强度、纵向回缩率</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同一原料、配方和工艺连续生产的同一规格管材为一批，每批数量不超过200t。</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HDPE排水管</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落锤冲击性能试验、烘箱试验、环刚度、环柔性</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同一原料、配方和工艺情况下生产的同一规格管材为一批，每批数量不超过300t。</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阀门类</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壳体强度试验、密封试验</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按一次进货的同一厂家、规格，公称口径，每100个为一批，每批次检测1个</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井盖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承载力</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抽取2套</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灰砂砖</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外观质量、尺寸偏差、抗压抗折强度、吸水率</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每100000块1组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种植土</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水分、PH、电导率、有机质、质地、全氮、全磷、全钾</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客土，每500 m3为一个检验批，不少于2批次；原土，每5000 m2为一个检验批，不少于2批次。</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restart"/>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植物病虫害</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乔灌木</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每100株抽检10株，每株为一点，不满100株按100株算。</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vMerge w:val="continue"/>
            <w:shd w:val="clear" w:color="auto" w:fill="FFFFFF"/>
            <w:vAlign w:val="center"/>
          </w:tcPr>
          <w:p>
            <w:pPr>
              <w:autoSpaceDE w:val="0"/>
              <w:autoSpaceDN w:val="0"/>
              <w:adjustRightInd w:val="0"/>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绿篱</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按面积抽检10%，每4㎡为一点，每处不少于3点。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灯具</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照度、亮度、均匀度、炫光度、环境比、功率密度、控制电路</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按照进场的同一生产厂家、同一规格型号的材料数 量为基数取样。材料总数量(个数)在200个及以下取样2个；201-2000个抽检3个，2000个以上时，每增1000个增加抽检1个。同工程项目、同施工单位且同期施工的多个单位工程可合并计算</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配电线路</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标志、结构尺寸、老化机械性能、热延伸试验、直流电阻、绝缘电阻、电压试验</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同一生产厂家各种规格型号总数的10%，取样不少于2种规格。</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配电箱及开关箱</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标志、接地措施、防触电保护、电气间距、爬电距离、耐潮</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全数检查。</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建筑门窗（1.5*1.5m以内）</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气密性能、水密性能、抗风压性能</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同一厂家同一品种同一类型的产品各抽查不少于一组。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建筑门窗（2.0*2.0m以内）</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气密性能、水密性能、抗风压性能</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同一厂家同一品种同一类型的产品各抽查不少于一组。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建筑门窗（3.0*3.0m以内）</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气密性能、水密性能、抗风压性能</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同一厂家同一品种同一类型的产品各抽查不少于一组。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人造木板</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甲醛释放量</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同一品种、类型和规格的木门窗、金属门窗、塑料门窗和门窗玻璃每100樘应划分为一个检验批，不足100樘也应划分为一个检验批；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钢板</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拉伸、冷弯</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同牌号、同炉号、同规格、同镀层重量、同镀层表面结构和同表面处理的钢材组成，不大于30t的为一批。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铝合金</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尺寸偏差、抗拉、膜厚</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由同一牌号、状态、规格、同一表面处理方法的材料组成，批重不限。</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橡胶止水带</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硬度、拉伸强度、扯断伸长率、压缩永久变形、撕裂强度、脆性温度、热空气老化、橡胶与金属结合</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B类、S类以同标记、连续生产的5000m为一批J类止水带以每100m为一批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镀锌钢板止水带</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屈服强度，抗拉强度，断后伸长率，镀锌层重量</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以每月同标记的止水带产量为一批。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建筑节能材料</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建筑采光、室内室外热环境、建筑玻璃光学热工</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建筑采光按委托单位要求而定；建筑玻璃光学热工同一厂家同一品种同一类型的产品各抽查不少于一组。</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不锈钢集水槽</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外观、尺寸、抗拉强度、伸长率、弯曲</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不锈钢集水槽原材按同牌号、同炉号、同规格、同镀层重量、同镀层表面结构和同表面处理的钢材组成，不大于30t的为一批。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电缆桥架</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桥架外观、尺寸、抗拉强度、弯曲、冲击等</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同一牌号、同一炉号、同一质量等级、同一品种、同一尺寸、同一交货状态的钢材组成每批重量应不大于60t</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874"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电力套管用HDPE管</w:t>
            </w:r>
          </w:p>
        </w:tc>
        <w:tc>
          <w:tcPr>
            <w:tcW w:w="2666"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烘箱试验、扁平试验、纵向回缩率、维卡软化温度、落锤冲击试验、拉伸强度、断裂伸长率、环刚度、外观尺寸</w:t>
            </w:r>
          </w:p>
        </w:tc>
        <w:tc>
          <w:tcPr>
            <w:tcW w:w="5401" w:type="dxa"/>
            <w:shd w:val="clear" w:color="auto" w:fill="FFFFFF"/>
            <w:vAlign w:val="center"/>
          </w:tcPr>
          <w:p>
            <w:pPr>
              <w:keepNext w:val="0"/>
              <w:keepLines w:val="0"/>
              <w:widowControl/>
              <w:suppressLineNumbers w:val="0"/>
              <w:autoSpaceDE w:val="0"/>
              <w:autoSpaceDN w:val="0"/>
              <w:adjustRightInd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同一批原料，同一配方和工艺条件下生产的同一规格管材为一批，每批数量不超过6*10^4 kg。如生产量少，生产期6天尚不足6*10^4g，则以7天产量为一批</w:t>
            </w:r>
          </w:p>
        </w:tc>
        <w:tc>
          <w:tcPr>
            <w:tcW w:w="854" w:type="dxa"/>
            <w:vAlign w:val="center"/>
          </w:tcPr>
          <w:p>
            <w:pPr>
              <w:widowControl/>
              <w:autoSpaceDE w:val="0"/>
              <w:autoSpaceDN w:val="0"/>
              <w:adjustRightInd w:val="0"/>
              <w:spacing w:line="240" w:lineRule="auto"/>
              <w:jc w:val="center"/>
              <w:rPr>
                <w:rFonts w:hint="default" w:ascii="Times New Roman" w:hAnsi="Times New Roman" w:eastAsia="宋体" w:cs="Times New Roman"/>
                <w:color w:val="auto"/>
                <w:kern w:val="0"/>
                <w:sz w:val="22"/>
                <w:szCs w:val="22"/>
                <w:highlight w:val="none"/>
              </w:rPr>
            </w:pPr>
          </w:p>
        </w:tc>
      </w:tr>
    </w:tbl>
    <w:p>
      <w:pPr>
        <w:autoSpaceDE w:val="0"/>
        <w:autoSpaceDN w:val="0"/>
        <w:adjustRightInd w:val="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br w:type="page"/>
      </w:r>
    </w:p>
    <w:bookmarkEnd w:id="277"/>
    <w:bookmarkEnd w:id="278"/>
    <w:p>
      <w:pPr>
        <w:widowControl w:val="0"/>
        <w:autoSpaceDE w:val="0"/>
        <w:autoSpaceDN w:val="0"/>
        <w:bidi w:val="0"/>
        <w:adjustRightInd w:val="0"/>
        <w:ind w:left="3"/>
        <w:jc w:val="both"/>
        <w:outlineLvl w:val="1"/>
        <w:rPr>
          <w:rFonts w:hint="default" w:ascii="Times New Roman" w:hAnsi="Times New Roman" w:eastAsia="宋体" w:cs="Times New Roman"/>
          <w:color w:val="auto"/>
          <w:sz w:val="30"/>
          <w:szCs w:val="24"/>
          <w:highlight w:val="none"/>
          <w:lang w:val="en-US" w:eastAsia="zh-CN"/>
        </w:rPr>
      </w:pPr>
      <w:bookmarkStart w:id="279" w:name="_Toc10801"/>
      <w:r>
        <w:rPr>
          <w:rFonts w:hint="default" w:ascii="Times New Roman" w:hAnsi="Times New Roman" w:eastAsia="宋体" w:cs="Times New Roman"/>
          <w:color w:val="auto"/>
          <w:sz w:val="30"/>
          <w:szCs w:val="24"/>
          <w:highlight w:val="none"/>
          <w:lang w:val="en-US" w:eastAsia="zh-CN"/>
        </w:rPr>
        <w:t>2.4成果的提交</w:t>
      </w:r>
      <w:bookmarkEnd w:id="279"/>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完成现场检测作业或收到样品按相关规范完成检测后</w:t>
      </w:r>
      <w:r>
        <w:rPr>
          <w:rFonts w:hint="eastAsia" w:ascii="Times New Roman" w:hAnsi="Times New Roman" w:eastAsia="宋体" w:cs="Times New Roman"/>
          <w:color w:val="auto"/>
          <w:kern w:val="0"/>
          <w:sz w:val="24"/>
          <w:szCs w:val="28"/>
          <w:highlight w:val="none"/>
          <w:lang w:val="en-US" w:eastAsia="zh-CN"/>
        </w:rPr>
        <w:t>10天</w:t>
      </w:r>
      <w:r>
        <w:rPr>
          <w:rFonts w:hint="default" w:ascii="Times New Roman" w:hAnsi="Times New Roman" w:eastAsia="宋体" w:cs="Times New Roman"/>
          <w:color w:val="auto"/>
          <w:kern w:val="0"/>
          <w:sz w:val="24"/>
          <w:szCs w:val="28"/>
          <w:highlight w:val="none"/>
        </w:rPr>
        <w:t>内完成检测报告，并向建设单位提交一式四份成果报告（中间数据报告按工程施工进度需要提供）；</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报告内容至少包含以下信息：</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工程名称</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2.</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委托单位</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3.</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检测日期</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4.</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报告日期</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5.</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检测形式</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6.</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监理人或监督人</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7.</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检测位置（里程）</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8.</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相关记录图表、数据报表、图形和曲线。</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9.</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结论</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10.</w:t>
      </w:r>
      <w:r>
        <w:rPr>
          <w:rFonts w:hint="default" w:ascii="Times New Roman" w:hAnsi="Times New Roman" w:eastAsia="宋体" w:cs="Times New Roman"/>
          <w:color w:val="auto"/>
          <w:kern w:val="0"/>
          <w:sz w:val="24"/>
          <w:szCs w:val="28"/>
          <w:highlight w:val="none"/>
        </w:rPr>
        <w:tab/>
      </w:r>
      <w:r>
        <w:rPr>
          <w:rFonts w:hint="default" w:ascii="Times New Roman" w:hAnsi="Times New Roman" w:eastAsia="宋体" w:cs="Times New Roman"/>
          <w:color w:val="auto"/>
          <w:kern w:val="0"/>
          <w:sz w:val="24"/>
          <w:szCs w:val="28"/>
          <w:highlight w:val="none"/>
        </w:rPr>
        <w:t>建议</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成果内容、格式和深度必须满足工程各管理部门要求，满足工程竣工验收要求，满足质监站和城市档案验收要求，满足国家市政档案馆验收要求。</w:t>
      </w:r>
    </w:p>
    <w:p>
      <w:pPr>
        <w:widowControl w:val="0"/>
        <w:autoSpaceDE w:val="0"/>
        <w:autoSpaceDN w:val="0"/>
        <w:adjustRightInd w:val="0"/>
        <w:spacing w:after="120"/>
        <w:ind w:left="480" w:leftChars="200" w:firstLine="420" w:firstLineChars="200"/>
        <w:jc w:val="both"/>
        <w:rPr>
          <w:rFonts w:hint="default" w:ascii="Calibri" w:hAnsi="Calibri" w:eastAsia="宋体" w:cs="Times New Roman"/>
          <w:color w:val="auto"/>
          <w:kern w:val="2"/>
          <w:sz w:val="21"/>
          <w:szCs w:val="24"/>
          <w:highlight w:val="none"/>
          <w:lang w:val="en-US" w:eastAsia="zh-CN" w:bidi="ar-SA"/>
        </w:rPr>
      </w:pPr>
    </w:p>
    <w:p>
      <w:pPr>
        <w:widowControl w:val="0"/>
        <w:autoSpaceDE w:val="0"/>
        <w:autoSpaceDN w:val="0"/>
        <w:bidi w:val="0"/>
        <w:adjustRightInd w:val="0"/>
        <w:ind w:left="3"/>
        <w:jc w:val="both"/>
        <w:outlineLvl w:val="1"/>
        <w:rPr>
          <w:rFonts w:hint="default" w:ascii="Times New Roman" w:hAnsi="Times New Roman" w:eastAsia="宋体" w:cs="Times New Roman"/>
          <w:color w:val="auto"/>
          <w:sz w:val="30"/>
          <w:szCs w:val="24"/>
          <w:highlight w:val="none"/>
          <w:lang w:val="en-US" w:eastAsia="zh-CN"/>
        </w:rPr>
      </w:pPr>
      <w:bookmarkStart w:id="280" w:name="_Toc15290"/>
      <w:bookmarkStart w:id="281" w:name="_Toc13123511"/>
      <w:bookmarkStart w:id="282" w:name="_Toc142057546"/>
      <w:r>
        <w:rPr>
          <w:rFonts w:hint="default" w:ascii="Times New Roman" w:hAnsi="Times New Roman" w:eastAsia="宋体" w:cs="Times New Roman"/>
          <w:color w:val="auto"/>
          <w:sz w:val="30"/>
          <w:szCs w:val="24"/>
          <w:highlight w:val="none"/>
          <w:lang w:val="en-US" w:eastAsia="zh-CN"/>
        </w:rPr>
        <w:t>2.5现场工作要求</w:t>
      </w:r>
      <w:bookmarkEnd w:id="280"/>
      <w:bookmarkEnd w:id="281"/>
      <w:bookmarkEnd w:id="282"/>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中标人应严格按照设计要求、建设行政主管部门和质量监督部门的相关要求及现场监理人员要求，配合工程进度，及时到现场进行检测工作。</w:t>
      </w:r>
    </w:p>
    <w:p>
      <w:pPr>
        <w:autoSpaceDE w:val="0"/>
        <w:autoSpaceDN w:val="0"/>
        <w:adjustRightInd w:val="0"/>
        <w:ind w:firstLine="480" w:firstLineChars="200"/>
        <w:jc w:val="left"/>
        <w:rPr>
          <w:rFonts w:hint="default" w:ascii="Times New Roman" w:hAnsi="Times New Roman" w:eastAsia="宋体" w:cs="Times New Roman"/>
          <w:color w:val="auto"/>
          <w:kern w:val="0"/>
          <w:sz w:val="24"/>
          <w:szCs w:val="28"/>
          <w:highlight w:val="none"/>
        </w:rPr>
      </w:pPr>
      <w:r>
        <w:rPr>
          <w:rFonts w:hint="default" w:ascii="Times New Roman" w:hAnsi="Times New Roman" w:eastAsia="宋体" w:cs="Times New Roman"/>
          <w:color w:val="auto"/>
          <w:kern w:val="0"/>
          <w:sz w:val="24"/>
          <w:szCs w:val="28"/>
          <w:highlight w:val="none"/>
        </w:rPr>
        <w:t>工程出现质量隐患时，必须立即上报招标人，并按规定上报相关单位和部门，因中标人未及时上报情况，而造成安全质量事故的，中标人需负相关责任，对招标人造成损失的，应赔偿该部分费用。</w:t>
      </w:r>
    </w:p>
    <w:p>
      <w:pPr>
        <w:ind w:firstLine="480" w:firstLineChars="200"/>
        <w:jc w:val="left"/>
        <w:rPr>
          <w:rFonts w:hint="default" w:ascii="Times New Roman" w:hAnsi="Times New Roman" w:cs="Times New Roman"/>
          <w:color w:val="auto"/>
          <w:szCs w:val="28"/>
          <w:highlight w:val="none"/>
        </w:rPr>
      </w:pPr>
      <w:r>
        <w:rPr>
          <w:rFonts w:hint="default" w:ascii="Times New Roman" w:hAnsi="Times New Roman" w:eastAsia="宋体" w:cs="Times New Roman"/>
          <w:color w:val="auto"/>
          <w:kern w:val="0"/>
          <w:sz w:val="24"/>
          <w:szCs w:val="28"/>
          <w:highlight w:val="none"/>
        </w:rPr>
        <w:t>现场检测时中标人应做好安全措施及相关防护工作，加强安全教育及相关安全应急措施。造成安全事故的，中标人需负相关责任，自行承担相关费用。</w:t>
      </w:r>
    </w:p>
    <w:p>
      <w:pPr>
        <w:rPr>
          <w:rFonts w:hint="default" w:ascii="Times New Roman" w:hAnsi="Times New Roman" w:cs="Times New Roman"/>
          <w:color w:val="auto"/>
          <w:szCs w:val="28"/>
          <w:highlight w:val="none"/>
          <w:lang w:val="en-US" w:eastAsia="zh-CN"/>
        </w:rPr>
      </w:pPr>
    </w:p>
    <w:p>
      <w:pPr>
        <w:rPr>
          <w:rFonts w:hint="default" w:ascii="Times New Roman" w:hAnsi="Times New Roman" w:cs="Times New Roman"/>
          <w:color w:val="auto"/>
          <w:szCs w:val="28"/>
          <w:highlight w:val="none"/>
          <w:lang w:val="en-US" w:eastAsia="zh-CN"/>
        </w:rPr>
      </w:pPr>
    </w:p>
    <w:bookmarkEnd w:id="204"/>
    <w:p>
      <w:pPr>
        <w:pStyle w:val="14"/>
        <w:kinsoku w:val="0"/>
        <w:overflowPunct w:val="0"/>
        <w:ind w:left="0"/>
        <w:rPr>
          <w:rFonts w:hint="eastAsia" w:ascii="宋体" w:hAnsi="宋体" w:eastAsia="宋体" w:cs="宋体"/>
          <w:color w:val="auto"/>
          <w:sz w:val="20"/>
          <w:szCs w:val="24"/>
          <w:highlight w:val="none"/>
        </w:rPr>
      </w:pPr>
    </w:p>
    <w:p>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283" w:name="bookmark173"/>
      <w:bookmarkEnd w:id="283"/>
      <w:bookmarkStart w:id="284" w:name="_Toc12210"/>
      <w:r>
        <w:rPr>
          <w:rFonts w:hint="eastAsia" w:ascii="宋体" w:hAnsi="宋体" w:eastAsia="宋体" w:cs="宋体"/>
          <w:color w:val="auto"/>
          <w:sz w:val="52"/>
          <w:szCs w:val="52"/>
          <w:highlight w:val="none"/>
        </w:rPr>
        <w:t>第三卷</w:t>
      </w:r>
      <w:bookmarkEnd w:id="284"/>
    </w:p>
    <w:p>
      <w:pPr>
        <w:pStyle w:val="5"/>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footerReference r:id="rId17" w:type="default"/>
          <w:pgSz w:w="11905" w:h="16838"/>
          <w:pgMar w:top="1417" w:right="1417" w:bottom="1417" w:left="1417" w:header="992" w:footer="992" w:gutter="0"/>
          <w:lnNumType w:countBy="0" w:distance="360"/>
          <w:pgNumType w:fmt="decimal"/>
          <w:cols w:space="720" w:num="1"/>
        </w:sectPr>
      </w:pPr>
    </w:p>
    <w:p>
      <w:pPr>
        <w:pStyle w:val="6"/>
        <w:outlineLvl w:val="0"/>
        <w:rPr>
          <w:rFonts w:hint="eastAsia" w:ascii="宋体" w:hAnsi="宋体" w:eastAsia="宋体" w:cs="宋体"/>
          <w:color w:val="auto"/>
          <w:sz w:val="44"/>
          <w:szCs w:val="24"/>
          <w:highlight w:val="none"/>
        </w:rPr>
      </w:pPr>
      <w:bookmarkStart w:id="285" w:name="bookmark174"/>
      <w:bookmarkEnd w:id="285"/>
      <w:bookmarkStart w:id="286" w:name="_Toc26661"/>
      <w:r>
        <w:rPr>
          <w:rFonts w:hint="eastAsia" w:ascii="宋体" w:hAnsi="宋体" w:eastAsia="宋体" w:cs="宋体"/>
          <w:color w:val="auto"/>
          <w:sz w:val="44"/>
          <w:szCs w:val="24"/>
          <w:highlight w:val="none"/>
        </w:rPr>
        <w:t>第六章</w:t>
      </w:r>
      <w:r>
        <w:rPr>
          <w:rFonts w:hint="eastAsia" w:ascii="宋体" w:hAnsi="宋体" w:eastAsia="宋体" w:cs="宋体"/>
          <w:color w:val="auto"/>
          <w:sz w:val="44"/>
          <w:szCs w:val="24"/>
          <w:highlight w:val="none"/>
          <w:lang w:val="en-US" w:eastAsia="zh-CN"/>
        </w:rPr>
        <w:t xml:space="preserve"> </w:t>
      </w:r>
      <w:r>
        <w:rPr>
          <w:rFonts w:hint="eastAsia" w:ascii="宋体" w:hAnsi="宋体" w:eastAsia="宋体" w:cs="宋体"/>
          <w:color w:val="auto"/>
          <w:sz w:val="44"/>
          <w:szCs w:val="24"/>
          <w:highlight w:val="none"/>
        </w:rPr>
        <w:t>投标文件格式</w:t>
      </w:r>
      <w:bookmarkEnd w:id="286"/>
    </w:p>
    <w:p>
      <w:pPr>
        <w:pStyle w:val="6"/>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pgNumType w:fmt="decimal"/>
          <w:cols w:space="720" w:num="1"/>
        </w:sectPr>
      </w:pPr>
    </w:p>
    <w:p>
      <w:pPr>
        <w:pStyle w:val="14"/>
        <w:kinsoku w:val="0"/>
        <w:overflowPunct w:val="0"/>
        <w:ind w:left="0"/>
        <w:rPr>
          <w:rFonts w:hint="eastAsia" w:ascii="宋体" w:hAnsi="宋体" w:eastAsia="宋体" w:cs="宋体"/>
          <w:b/>
          <w:color w:val="auto"/>
          <w:sz w:val="20"/>
          <w:szCs w:val="24"/>
          <w:highlight w:val="none"/>
        </w:rPr>
      </w:pPr>
    </w:p>
    <w:p>
      <w:pPr>
        <w:pStyle w:val="14"/>
        <w:kinsoku w:val="0"/>
        <w:overflowPunct w:val="0"/>
        <w:ind w:left="0"/>
        <w:rPr>
          <w:rFonts w:hint="eastAsia" w:ascii="宋体" w:hAnsi="宋体" w:eastAsia="宋体" w:cs="宋体"/>
          <w:b/>
          <w:color w:val="auto"/>
          <w:sz w:val="20"/>
          <w:szCs w:val="24"/>
          <w:highlight w:val="none"/>
        </w:rPr>
      </w:pPr>
    </w:p>
    <w:p>
      <w:pPr>
        <w:pStyle w:val="14"/>
        <w:kinsoku w:val="0"/>
        <w:overflowPunct w:val="0"/>
        <w:spacing w:before="1"/>
        <w:ind w:left="0"/>
        <w:rPr>
          <w:rFonts w:hint="eastAsia" w:ascii="宋体" w:hAnsi="宋体" w:eastAsia="宋体" w:cs="宋体"/>
          <w:b/>
          <w:color w:val="auto"/>
          <w:sz w:val="22"/>
          <w:szCs w:val="24"/>
          <w:highlight w:val="none"/>
        </w:rPr>
      </w:pPr>
    </w:p>
    <w:p>
      <w:pPr>
        <w:jc w:val="center"/>
        <w:rPr>
          <w:rFonts w:hint="eastAsia" w:ascii="宋体" w:hAnsi="宋体" w:eastAsia="宋体" w:cs="宋体"/>
          <w:color w:val="auto"/>
          <w:sz w:val="36"/>
          <w:szCs w:val="24"/>
          <w:highlight w:val="none"/>
          <w:lang w:eastAsia="zh-CN"/>
        </w:rPr>
      </w:pPr>
      <w:r>
        <w:rPr>
          <w:rFonts w:hint="eastAsia" w:ascii="宋体" w:hAnsi="宋体" w:eastAsia="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（项目名称/标段名称）</w:t>
      </w:r>
      <w:r>
        <w:rPr>
          <w:rFonts w:hint="eastAsia" w:ascii="宋体" w:hAnsi="宋体" w:eastAsia="宋体" w:cs="宋体"/>
          <w:color w:val="auto"/>
          <w:sz w:val="36"/>
          <w:szCs w:val="24"/>
          <w:highlight w:val="none"/>
          <w:lang w:val="en-US" w:eastAsia="zh-CN"/>
        </w:rPr>
        <w:t xml:space="preserve"> </w:t>
      </w:r>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9"/>
        <w:ind w:left="0"/>
        <w:rPr>
          <w:rFonts w:hint="eastAsia" w:ascii="宋体" w:hAnsi="宋体" w:eastAsia="宋体" w:cs="宋体"/>
          <w:color w:val="auto"/>
          <w:sz w:val="15"/>
          <w:szCs w:val="24"/>
          <w:highlight w:val="none"/>
        </w:rPr>
      </w:pPr>
    </w:p>
    <w:p>
      <w:pPr>
        <w:pStyle w:val="14"/>
        <w:kinsoku w:val="0"/>
        <w:overflowPunct w:val="0"/>
        <w:spacing w:line="539" w:lineRule="exact"/>
        <w:ind w:left="3" w:right="1"/>
        <w:jc w:val="center"/>
        <w:rPr>
          <w:rFonts w:hint="eastAsia" w:ascii="宋体" w:hAnsi="宋体" w:eastAsia="宋体" w:cs="宋体"/>
          <w:color w:val="auto"/>
          <w:sz w:val="44"/>
          <w:szCs w:val="24"/>
          <w:highlight w:val="none"/>
        </w:rPr>
      </w:pPr>
    </w:p>
    <w:p>
      <w:pPr>
        <w:pStyle w:val="14"/>
        <w:kinsoku w:val="0"/>
        <w:overflowPunct w:val="0"/>
        <w:spacing w:line="539" w:lineRule="exact"/>
        <w:ind w:left="3" w:right="1"/>
        <w:jc w:val="center"/>
        <w:rPr>
          <w:rFonts w:hint="eastAsia" w:ascii="宋体" w:hAnsi="宋体" w:eastAsia="宋体" w:cs="宋体"/>
          <w:color w:val="auto"/>
          <w:sz w:val="44"/>
          <w:szCs w:val="24"/>
          <w:highlight w:val="none"/>
        </w:rPr>
      </w:pPr>
    </w:p>
    <w:p>
      <w:pPr>
        <w:pStyle w:val="14"/>
        <w:kinsoku w:val="0"/>
        <w:overflowPunct w:val="0"/>
        <w:ind w:left="0"/>
        <w:jc w:val="center"/>
        <w:rPr>
          <w:rFonts w:hint="eastAsia" w:ascii="宋体" w:hAnsi="宋体" w:eastAsia="宋体" w:cs="宋体"/>
          <w:color w:val="auto"/>
          <w:sz w:val="44"/>
          <w:szCs w:val="24"/>
          <w:highlight w:val="none"/>
        </w:rPr>
      </w:pPr>
      <w:r>
        <w:rPr>
          <w:rFonts w:hint="eastAsia" w:ascii="宋体" w:hAnsi="宋体" w:eastAsia="宋体" w:cs="宋体"/>
          <w:color w:val="auto"/>
          <w:sz w:val="84"/>
          <w:szCs w:val="84"/>
          <w:highlight w:val="none"/>
        </w:rPr>
        <w:t>投标文件</w:t>
      </w: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ind w:left="0"/>
        <w:rPr>
          <w:rFonts w:hint="eastAsia" w:ascii="宋体" w:hAnsi="宋体" w:eastAsia="宋体" w:cs="宋体"/>
          <w:color w:val="auto"/>
          <w:sz w:val="44"/>
          <w:szCs w:val="24"/>
          <w:highlight w:val="none"/>
        </w:rPr>
      </w:pPr>
    </w:p>
    <w:p>
      <w:pPr>
        <w:pStyle w:val="14"/>
        <w:kinsoku w:val="0"/>
        <w:overflowPunct w:val="0"/>
        <w:spacing w:before="3"/>
        <w:ind w:left="0"/>
        <w:rPr>
          <w:rFonts w:hint="eastAsia" w:ascii="宋体" w:hAnsi="宋体" w:eastAsia="宋体" w:cs="宋体"/>
          <w:color w:val="auto"/>
          <w:sz w:val="41"/>
          <w:szCs w:val="24"/>
          <w:highlight w:val="none"/>
        </w:rPr>
      </w:pPr>
    </w:p>
    <w:p>
      <w:pPr>
        <w:pStyle w:val="14"/>
        <w:tabs>
          <w:tab w:val="left" w:pos="5577"/>
          <w:tab w:val="left" w:pos="6942"/>
        </w:tabs>
        <w:kinsoku w:val="0"/>
        <w:overflowPunct w:val="0"/>
        <w:spacing w:line="357" w:lineRule="auto"/>
        <w:ind w:left="1201" w:right="175"/>
        <w:rPr>
          <w:rFonts w:hint="eastAsia" w:ascii="宋体" w:hAnsi="宋体" w:eastAsia="宋体" w:cs="宋体"/>
          <w:color w:val="auto"/>
          <w:spacing w:val="-1"/>
          <w:sz w:val="28"/>
          <w:szCs w:val="24"/>
          <w:highlight w:val="none"/>
        </w:rPr>
      </w:pPr>
      <w:r>
        <w:rPr>
          <w:rFonts w:hint="eastAsia" w:ascii="宋体" w:hAnsi="宋体" w:eastAsia="宋体"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ascii="宋体" w:hAnsi="宋体" w:eastAsia="宋体" w:cs="宋体"/>
          <w:color w:val="auto"/>
          <w:spacing w:val="-1"/>
          <w:sz w:val="28"/>
          <w:szCs w:val="24"/>
          <w:highlight w:val="none"/>
        </w:rPr>
        <w:t>（盖单位章）</w:t>
      </w:r>
      <w:r>
        <w:rPr>
          <w:rFonts w:hint="eastAsia" w:ascii="宋体" w:hAnsi="宋体" w:eastAsia="宋体" w:cs="宋体"/>
          <w:color w:val="auto"/>
          <w:spacing w:val="-136"/>
          <w:sz w:val="28"/>
          <w:szCs w:val="24"/>
          <w:highlight w:val="none"/>
        </w:rPr>
        <w:t xml:space="preserve"> </w:t>
      </w:r>
      <w:r>
        <w:rPr>
          <w:rFonts w:hint="eastAsia" w:ascii="宋体" w:hAnsi="宋体" w:eastAsia="宋体"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ascii="宋体" w:hAnsi="宋体" w:eastAsia="宋体" w:cs="宋体"/>
          <w:color w:val="auto"/>
          <w:spacing w:val="-1"/>
          <w:sz w:val="28"/>
          <w:szCs w:val="24"/>
          <w:highlight w:val="none"/>
        </w:rPr>
        <w:t>（签字）</w:t>
      </w:r>
    </w:p>
    <w:p>
      <w:pPr>
        <w:pStyle w:val="14"/>
        <w:kinsoku w:val="0"/>
        <w:overflowPunct w:val="0"/>
        <w:spacing w:before="10"/>
        <w:ind w:left="0"/>
        <w:rPr>
          <w:rFonts w:hint="eastAsia" w:ascii="宋体" w:hAnsi="宋体" w:eastAsia="宋体" w:cs="宋体"/>
          <w:color w:val="auto"/>
          <w:sz w:val="29"/>
          <w:szCs w:val="24"/>
          <w:highlight w:val="none"/>
        </w:rPr>
      </w:pPr>
    </w:p>
    <w:p>
      <w:pPr>
        <w:pStyle w:val="14"/>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rPr>
        <w:t>日</w:t>
      </w:r>
    </w:p>
    <w:p>
      <w:pPr>
        <w:pStyle w:val="14"/>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pgNumType w:fmt="decimal"/>
          <w:cols w:space="720" w:num="1"/>
        </w:sectPr>
      </w:pPr>
    </w:p>
    <w:p>
      <w:pPr>
        <w:pStyle w:val="14"/>
        <w:kinsoku w:val="0"/>
        <w:overflowPunct w:val="0"/>
        <w:spacing w:line="443" w:lineRule="exact"/>
        <w:ind w:left="1244" w:right="1222"/>
        <w:jc w:val="center"/>
        <w:rPr>
          <w:rFonts w:hint="eastAsia" w:ascii="宋体" w:hAnsi="宋体" w:eastAsia="宋体" w:cs="宋体"/>
          <w:color w:val="auto"/>
          <w:sz w:val="32"/>
          <w:szCs w:val="24"/>
          <w:highlight w:val="none"/>
        </w:rPr>
      </w:pPr>
      <w:bookmarkStart w:id="287" w:name="bookmark175"/>
      <w:bookmarkEnd w:id="287"/>
      <w:r>
        <w:rPr>
          <w:rFonts w:hint="eastAsia" w:ascii="宋体" w:hAnsi="宋体" w:eastAsia="宋体" w:cs="宋体"/>
          <w:b/>
          <w:color w:val="auto"/>
          <w:sz w:val="32"/>
          <w:szCs w:val="24"/>
          <w:highlight w:val="none"/>
        </w:rPr>
        <w:t>目录</w:t>
      </w:r>
    </w:p>
    <w:p>
      <w:pPr>
        <w:pStyle w:val="14"/>
        <w:kinsoku w:val="0"/>
        <w:overflowPunct w:val="0"/>
        <w:ind w:left="0"/>
        <w:rPr>
          <w:rFonts w:hint="eastAsia" w:ascii="宋体" w:hAnsi="宋体" w:eastAsia="宋体" w:cs="宋体"/>
          <w:b/>
          <w:color w:val="auto"/>
          <w:sz w:val="20"/>
          <w:szCs w:val="24"/>
          <w:highlight w:val="none"/>
        </w:rPr>
      </w:pPr>
    </w:p>
    <w:p>
      <w:pPr>
        <w:pStyle w:val="14"/>
        <w:kinsoku w:val="0"/>
        <w:overflowPunct w:val="0"/>
        <w:ind w:left="0"/>
        <w:rPr>
          <w:rFonts w:hint="eastAsia" w:ascii="宋体" w:hAnsi="宋体" w:eastAsia="宋体" w:cs="宋体"/>
          <w:b/>
          <w:color w:val="auto"/>
          <w:sz w:val="20"/>
          <w:szCs w:val="24"/>
          <w:highlight w:val="none"/>
        </w:rPr>
      </w:pPr>
    </w:p>
    <w:p>
      <w:pPr>
        <w:pStyle w:val="14"/>
        <w:kinsoku w:val="0"/>
        <w:overflowPunct w:val="0"/>
        <w:ind w:left="0"/>
        <w:rPr>
          <w:rFonts w:hint="eastAsia" w:ascii="宋体" w:hAnsi="宋体" w:eastAsia="宋体" w:cs="宋体"/>
          <w:b/>
          <w:color w:val="auto"/>
          <w:sz w:val="20"/>
          <w:szCs w:val="24"/>
          <w:highlight w:val="none"/>
        </w:rPr>
      </w:pPr>
    </w:p>
    <w:p>
      <w:pPr>
        <w:pStyle w:val="14"/>
        <w:kinsoku w:val="0"/>
        <w:overflowPunct w:val="0"/>
        <w:spacing w:before="6"/>
        <w:ind w:left="0"/>
        <w:rPr>
          <w:rFonts w:hint="eastAsia" w:ascii="宋体" w:hAnsi="宋体" w:eastAsia="宋体" w:cs="宋体"/>
          <w:b/>
          <w:color w:val="auto"/>
          <w:sz w:val="24"/>
          <w:szCs w:val="24"/>
          <w:highlight w:val="none"/>
        </w:rPr>
      </w:pPr>
    </w:p>
    <w:p>
      <w:pPr>
        <w:pStyle w:val="14"/>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pPr>
        <w:pStyle w:val="14"/>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二、法定代表人身份证明</w:t>
      </w:r>
    </w:p>
    <w:p>
      <w:pPr>
        <w:pStyle w:val="14"/>
        <w:numPr>
          <w:ilvl w:val="0"/>
          <w:numId w:val="0"/>
        </w:numPr>
        <w:kinsoku w:val="0"/>
        <w:overflowPunct w:val="0"/>
        <w:spacing w:before="36" w:line="472" w:lineRule="auto"/>
        <w:ind w:left="0" w:right="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pPr>
        <w:pStyle w:val="14"/>
        <w:numPr>
          <w:ilvl w:val="0"/>
          <w:numId w:val="0"/>
        </w:numPr>
        <w:shd w:val="clear"/>
        <w:kinsoku/>
        <w:overflowPunct w:val="0"/>
        <w:spacing w:before="36" w:line="472" w:lineRule="auto"/>
        <w:ind w:left="0" w:right="26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三、联合体协议书</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pStyle w:val="14"/>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投标保证金</w:t>
      </w:r>
    </w:p>
    <w:p>
      <w:pPr>
        <w:pStyle w:val="14"/>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五、资格审查资料</w:t>
      </w:r>
    </w:p>
    <w:p>
      <w:pPr>
        <w:pStyle w:val="14"/>
        <w:numPr>
          <w:ilvl w:val="0"/>
          <w:numId w:val="0"/>
        </w:numPr>
        <w:shd w:val="clear"/>
        <w:kinsoku/>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六</w:t>
      </w:r>
      <w:r>
        <w:rPr>
          <w:rFonts w:hint="eastAsia" w:ascii="宋体" w:hAnsi="宋体" w:eastAsia="宋体" w:cs="宋体"/>
          <w:color w:val="auto"/>
          <w:sz w:val="24"/>
          <w:szCs w:val="24"/>
          <w:highlight w:val="none"/>
        </w:rPr>
        <w:t>、投标报价表</w:t>
      </w:r>
    </w:p>
    <w:p>
      <w:pPr>
        <w:pStyle w:val="14"/>
        <w:numPr>
          <w:ilvl w:val="0"/>
          <w:numId w:val="0"/>
        </w:numPr>
        <w:shd w:val="clear"/>
        <w:kinsoku/>
        <w:overflowPunct w:val="0"/>
        <w:spacing w:before="61" w:line="472" w:lineRule="auto"/>
        <w:ind w:left="0" w:right="622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服务方案</w:t>
      </w:r>
    </w:p>
    <w:p>
      <w:pPr>
        <w:pStyle w:val="14"/>
        <w:numPr>
          <w:ilvl w:val="0"/>
          <w:numId w:val="0"/>
        </w:numPr>
        <w:kinsoku w:val="0"/>
        <w:overflowPunct w:val="0"/>
        <w:spacing w:before="61" w:line="472" w:lineRule="auto"/>
        <w:ind w:left="0" w:right="6220"/>
        <w:rPr>
          <w:rFonts w:hint="eastAsia" w:ascii="宋体" w:hAnsi="宋体" w:eastAsia="宋体" w:cs="宋体"/>
          <w:color w:val="auto"/>
          <w:sz w:val="24"/>
          <w:szCs w:val="24"/>
          <w:highlight w:val="none"/>
        </w:rPr>
      </w:pPr>
      <w:r>
        <w:rPr>
          <w:rFonts w:hint="eastAsia" w:cs="宋体"/>
          <w:color w:val="auto"/>
          <w:sz w:val="24"/>
          <w:szCs w:val="24"/>
          <w:highlight w:val="none"/>
          <w:lang w:eastAsia="zh-CN"/>
        </w:rPr>
        <w:t>八、</w:t>
      </w:r>
      <w:r>
        <w:rPr>
          <w:rFonts w:hint="eastAsia" w:ascii="宋体" w:hAnsi="宋体" w:eastAsia="宋体" w:cs="宋体"/>
          <w:color w:val="auto"/>
          <w:sz w:val="24"/>
          <w:szCs w:val="24"/>
          <w:highlight w:val="none"/>
        </w:rPr>
        <w:t>其他资料</w:t>
      </w:r>
    </w:p>
    <w:p>
      <w:pPr>
        <w:pStyle w:val="14"/>
        <w:kinsoku w:val="0"/>
        <w:overflowPunct w:val="0"/>
        <w:spacing w:before="61" w:line="472" w:lineRule="auto"/>
        <w:ind w:left="100" w:right="622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pPr>
        <w:pStyle w:val="7"/>
        <w:jc w:val="center"/>
        <w:outlineLvl w:val="1"/>
        <w:rPr>
          <w:rFonts w:hint="eastAsia" w:ascii="宋体" w:hAnsi="宋体" w:eastAsia="宋体" w:cs="宋体"/>
          <w:color w:val="auto"/>
          <w:sz w:val="28"/>
          <w:szCs w:val="24"/>
          <w:highlight w:val="none"/>
        </w:rPr>
      </w:pPr>
      <w:bookmarkStart w:id="288" w:name="bookmark176"/>
      <w:bookmarkEnd w:id="288"/>
      <w:bookmarkStart w:id="289" w:name="_Toc5383"/>
      <w:r>
        <w:rPr>
          <w:rFonts w:hint="eastAsia" w:ascii="宋体" w:hAnsi="宋体" w:eastAsia="宋体" w:cs="宋体"/>
          <w:color w:val="auto"/>
          <w:sz w:val="28"/>
          <w:szCs w:val="24"/>
          <w:highlight w:val="none"/>
        </w:rPr>
        <w:t>一、投标函及投标函附录</w:t>
      </w:r>
      <w:bookmarkEnd w:id="289"/>
    </w:p>
    <w:p>
      <w:pPr>
        <w:pStyle w:val="8"/>
        <w:outlineLvl w:val="2"/>
        <w:rPr>
          <w:rFonts w:hint="eastAsia" w:ascii="宋体" w:hAnsi="宋体" w:eastAsia="宋体" w:cs="宋体"/>
          <w:b/>
          <w:color w:val="auto"/>
          <w:sz w:val="28"/>
          <w:szCs w:val="24"/>
          <w:highlight w:val="none"/>
        </w:rPr>
      </w:pPr>
      <w:bookmarkStart w:id="290" w:name="bookmark177"/>
      <w:bookmarkEnd w:id="290"/>
      <w:bookmarkStart w:id="291" w:name="_Toc9570"/>
      <w:r>
        <w:rPr>
          <w:rFonts w:hint="eastAsia" w:ascii="宋体" w:hAnsi="宋体" w:eastAsia="宋体" w:cs="宋体"/>
          <w:b/>
          <w:color w:val="auto"/>
          <w:sz w:val="28"/>
          <w:szCs w:val="24"/>
          <w:highlight w:val="none"/>
        </w:rPr>
        <w:t>（一）投标函</w:t>
      </w:r>
      <w:bookmarkEnd w:id="291"/>
    </w:p>
    <w:p>
      <w:pPr>
        <w:pStyle w:val="14"/>
        <w:kinsoku w:val="0"/>
        <w:overflowPunct w:val="0"/>
        <w:spacing w:before="1"/>
        <w:ind w:left="0"/>
        <w:rPr>
          <w:rFonts w:hint="eastAsia" w:ascii="宋体" w:hAnsi="宋体" w:eastAsia="宋体" w:cs="宋体"/>
          <w:color w:val="auto"/>
          <w:sz w:val="23"/>
          <w:szCs w:val="24"/>
          <w:highlight w:val="none"/>
        </w:rPr>
      </w:pPr>
    </w:p>
    <w:p>
      <w:pPr>
        <w:pStyle w:val="14"/>
        <w:tabs>
          <w:tab w:val="left" w:pos="1991"/>
        </w:tabs>
        <w:kinsoku w:val="0"/>
        <w:overflowPunct w:val="0"/>
        <w:ind w:left="100" w:right="113"/>
        <w:rPr>
          <w:rFonts w:hint="eastAsia" w:ascii="宋体" w:hAnsi="宋体" w:eastAsia="宋体"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ascii="宋体" w:hAnsi="宋体" w:eastAsia="宋体" w:cs="宋体"/>
          <w:color w:val="auto"/>
          <w:spacing w:val="-15"/>
          <w:sz w:val="21"/>
          <w:szCs w:val="24"/>
          <w:highlight w:val="none"/>
        </w:rPr>
        <w:t>（招标人名称）：</w:t>
      </w:r>
    </w:p>
    <w:p>
      <w:pPr>
        <w:pStyle w:val="14"/>
        <w:kinsoku w:val="0"/>
        <w:overflowPunct w:val="0"/>
        <w:spacing w:before="13"/>
        <w:ind w:left="0"/>
        <w:rPr>
          <w:rFonts w:hint="eastAsia" w:ascii="宋体" w:hAnsi="宋体" w:eastAsia="宋体" w:cs="宋体"/>
          <w:color w:val="auto"/>
          <w:sz w:val="21"/>
          <w:szCs w:val="24"/>
          <w:highlight w:val="none"/>
        </w:rPr>
      </w:pP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（项目名称</w:t>
      </w:r>
      <w:r>
        <w:rPr>
          <w:rFonts w:hint="eastAsia" w:ascii="宋体" w:hAnsi="宋体" w:eastAsia="宋体" w:cs="宋体"/>
          <w:color w:val="auto"/>
          <w:sz w:val="21"/>
          <w:szCs w:val="21"/>
          <w:highlight w:val="none"/>
          <w:u w:val="single"/>
          <w:lang w:val="en-US" w:eastAsia="zh-CN"/>
        </w:rPr>
        <w:t>/标段名称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）的投标总报价，服务期限：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日历天，按合同约定完成</w:t>
      </w:r>
      <w:r>
        <w:rPr>
          <w:rFonts w:hint="eastAsia" w:ascii="宋体" w:hAnsi="宋体" w:cs="宋体"/>
          <w:color w:val="auto"/>
          <w:kern w:val="2"/>
          <w:sz w:val="21"/>
          <w:szCs w:val="21"/>
          <w:highlight w:val="none"/>
          <w:lang w:val="en-US" w:eastAsia="zh-CN" w:bidi="ar-SA"/>
        </w:rPr>
        <w:t>检测、监测</w:t>
      </w:r>
      <w:r>
        <w:rPr>
          <w:rFonts w:hint="eastAsia" w:ascii="宋体" w:hAnsi="宋体" w:eastAsia="宋体" w:cs="宋体"/>
          <w:color w:val="auto"/>
          <w:kern w:val="2"/>
          <w:sz w:val="21"/>
          <w:szCs w:val="21"/>
          <w:highlight w:val="none"/>
          <w:lang w:val="en-US" w:eastAsia="zh-CN" w:bidi="ar-SA"/>
        </w:rPr>
        <w:t>工作。</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（3）联合体协议书（</w:t>
      </w:r>
      <w:r>
        <w:rPr>
          <w:rFonts w:hint="eastAsia" w:ascii="宋体" w:hAnsi="宋体" w:cs="宋体"/>
          <w:color w:val="auto"/>
          <w:kern w:val="2"/>
          <w:sz w:val="21"/>
          <w:szCs w:val="21"/>
          <w:highlight w:val="none"/>
          <w:lang w:val="en-US" w:eastAsia="zh-CN" w:bidi="ar-SA"/>
        </w:rPr>
        <w:t>如有</w:t>
      </w:r>
      <w:r>
        <w:rPr>
          <w:rFonts w:hint="eastAsia" w:ascii="宋体" w:hAnsi="宋体" w:eastAsia="宋体" w:cs="宋体"/>
          <w:color w:val="auto"/>
          <w:kern w:val="2"/>
          <w:sz w:val="21"/>
          <w:szCs w:val="21"/>
          <w:highlight w:val="none"/>
          <w:lang w:val="en-US" w:eastAsia="zh-CN" w:bidi="ar-SA"/>
        </w:rPr>
        <w:t>）；</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（4）投标保证金；</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pPr>
        <w:shd w:val="clea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技术服务方案</w:t>
      </w:r>
      <w:r>
        <w:rPr>
          <w:rFonts w:hint="eastAsia" w:ascii="宋体" w:hAnsi="宋体" w:eastAsia="宋体" w:cs="宋体"/>
          <w:color w:val="auto"/>
          <w:kern w:val="2"/>
          <w:sz w:val="21"/>
          <w:szCs w:val="21"/>
          <w:highlight w:val="none"/>
          <w:lang w:val="en-US" w:eastAsia="zh-CN" w:bidi="ar-SA"/>
        </w:rPr>
        <w:t>；</w:t>
      </w:r>
    </w:p>
    <w:p>
      <w:pPr>
        <w:shd w:val="clea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p>
    <w:p>
      <w:pPr>
        <w:pStyle w:val="14"/>
        <w:kinsoku w:val="0"/>
        <w:overflowPunct w:val="0"/>
        <w:spacing w:line="360" w:lineRule="auto"/>
        <w:ind w:left="522" w:right="2132" w:hanging="17"/>
        <w:rPr>
          <w:rFonts w:hint="eastAsia" w:ascii="宋体" w:hAnsi="宋体" w:eastAsia="宋体" w:cs="宋体"/>
          <w:color w:val="auto"/>
          <w:spacing w:val="-2"/>
          <w:sz w:val="21"/>
          <w:szCs w:val="24"/>
          <w:highlight w:val="none"/>
        </w:rPr>
      </w:pPr>
      <w:r>
        <w:rPr>
          <w:rFonts w:hint="eastAsia" w:ascii="宋体" w:hAnsi="宋体" w:eastAsia="宋体" w:cs="宋体"/>
          <w:color w:val="auto"/>
          <w:spacing w:val="-2"/>
          <w:sz w:val="21"/>
          <w:szCs w:val="24"/>
          <w:highlight w:val="none"/>
        </w:rPr>
        <w:t>投标文件的上述组成部分如存在内容不一致的，以投标函为准。</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（3）按照招标文件要求提交履约保证金；</w:t>
      </w:r>
    </w:p>
    <w:p>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（4）在合同约定的期限内完成合同规定的全部义务。</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pPr>
        <w:shd w:val="clea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6．我方承诺投标有效期为自投标截止之日起90日。</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pPr>
        <w:pStyle w:val="14"/>
        <w:tabs>
          <w:tab w:val="left" w:pos="7241"/>
        </w:tabs>
        <w:kinsoku w:val="0"/>
        <w:overflowPunct w:val="0"/>
        <w:spacing w:before="36" w:line="360" w:lineRule="auto"/>
        <w:ind w:left="2621" w:right="113" w:firstLine="1260" w:firstLineChars="600"/>
        <w:rPr>
          <w:rFonts w:hint="eastAsia" w:ascii="宋体" w:hAnsi="宋体" w:eastAsia="宋体" w:cs="宋体"/>
          <w:color w:val="auto"/>
          <w:sz w:val="21"/>
          <w:szCs w:val="24"/>
          <w:highlight w:val="none"/>
        </w:rPr>
      </w:pPr>
    </w:p>
    <w:p>
      <w:pPr>
        <w:pStyle w:val="14"/>
        <w:tabs>
          <w:tab w:val="left" w:pos="7241"/>
        </w:tabs>
        <w:kinsoku w:val="0"/>
        <w:overflowPunct w:val="0"/>
        <w:spacing w:before="36" w:line="360" w:lineRule="auto"/>
        <w:ind w:left="2621" w:right="113" w:firstLine="1260" w:firstLineChars="6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 标</w:t>
      </w:r>
      <w:r>
        <w:rPr>
          <w:rFonts w:hint="eastAsia" w:ascii="宋体" w:hAnsi="宋体" w:eastAsia="宋体" w:cs="宋体"/>
          <w:color w:val="auto"/>
          <w:spacing w:val="-1"/>
          <w:sz w:val="21"/>
          <w:szCs w:val="24"/>
          <w:highlight w:val="none"/>
        </w:rPr>
        <w:t xml:space="preserve"> </w:t>
      </w:r>
      <w:r>
        <w:rPr>
          <w:rFonts w:hint="eastAsia" w:ascii="宋体" w:hAnsi="宋体" w:eastAsia="宋体" w:cs="宋体"/>
          <w:color w:val="auto"/>
          <w:sz w:val="21"/>
          <w:szCs w:val="24"/>
          <w:highlight w:val="none"/>
        </w:rPr>
        <w:t>人：</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rPr>
        <w:t>（盖单位章）</w:t>
      </w:r>
    </w:p>
    <w:p>
      <w:pPr>
        <w:widowControl/>
        <w:kinsoku w:val="0"/>
        <w:snapToGrid w:val="0"/>
        <w:spacing w:line="36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cs="宋体"/>
          <w:color w:val="auto"/>
          <w:spacing w:val="-4"/>
          <w:sz w:val="21"/>
          <w:szCs w:val="21"/>
          <w:highlight w:val="none"/>
          <w:lang w:val="en-US" w:eastAsia="zh-CN"/>
        </w:rPr>
        <w:t>或其授权代理人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pPr>
        <w:pStyle w:val="14"/>
        <w:tabs>
          <w:tab w:val="left" w:pos="3232"/>
          <w:tab w:val="left" w:pos="8529"/>
        </w:tabs>
        <w:kinsoku w:val="0"/>
        <w:overflowPunct w:val="0"/>
        <w:spacing w:before="36" w:line="360" w:lineRule="auto"/>
        <w:ind w:left="2601" w:firstLine="1260" w:firstLineChars="60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rPr>
        <w:t>地</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 xml:space="preserve">                                                  </w:t>
      </w:r>
    </w:p>
    <w:p>
      <w:pPr>
        <w:pStyle w:val="14"/>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电</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话：</w:t>
      </w:r>
      <w:r>
        <w:rPr>
          <w:rFonts w:hint="eastAsia" w:ascii="宋体" w:hAnsi="宋体" w:eastAsia="宋体" w:cs="宋体"/>
          <w:color w:val="auto"/>
          <w:sz w:val="21"/>
          <w:szCs w:val="24"/>
          <w:highlight w:val="none"/>
          <w:u w:val="single"/>
          <w:lang w:val="en-US" w:eastAsia="zh-CN"/>
        </w:rPr>
        <w:t xml:space="preserve">                          </w:t>
      </w:r>
    </w:p>
    <w:p>
      <w:pPr>
        <w:pStyle w:val="14"/>
        <w:tabs>
          <w:tab w:val="left" w:pos="3232"/>
          <w:tab w:val="left" w:pos="8529"/>
        </w:tabs>
        <w:kinsoku w:val="0"/>
        <w:overflowPunct w:val="0"/>
        <w:spacing w:before="36" w:line="360" w:lineRule="auto"/>
        <w:ind w:firstLine="3360" w:firstLineChars="16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传</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真：</w:t>
      </w:r>
      <w:r>
        <w:rPr>
          <w:rFonts w:hint="eastAsia" w:ascii="宋体" w:hAnsi="宋体" w:eastAsia="宋体" w:cs="宋体"/>
          <w:color w:val="auto"/>
          <w:sz w:val="21"/>
          <w:szCs w:val="24"/>
          <w:highlight w:val="none"/>
          <w:u w:val="single"/>
          <w:lang w:val="en-US" w:eastAsia="zh-CN"/>
        </w:rPr>
        <w:t xml:space="preserve">                          </w:t>
      </w:r>
    </w:p>
    <w:p>
      <w:pPr>
        <w:pStyle w:val="14"/>
        <w:tabs>
          <w:tab w:val="left" w:pos="8529"/>
        </w:tabs>
        <w:kinsoku w:val="0"/>
        <w:overflowPunct w:val="0"/>
        <w:spacing w:before="36" w:line="360" w:lineRule="auto"/>
        <w:ind w:left="260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lang w:val="en-US" w:eastAsia="zh-CN"/>
        </w:rPr>
        <w:t>日</w:t>
      </w:r>
    </w:p>
    <w:p>
      <w:pPr>
        <w:pStyle w:val="14"/>
        <w:tabs>
          <w:tab w:val="left" w:pos="631"/>
          <w:tab w:val="left" w:pos="1471"/>
          <w:tab w:val="left" w:pos="2311"/>
        </w:tabs>
        <w:kinsoku w:val="0"/>
        <w:overflowPunct w:val="0"/>
        <w:spacing w:before="36" w:line="360" w:lineRule="auto"/>
        <w:ind w:left="0" w:right="117"/>
        <w:jc w:val="right"/>
        <w:rPr>
          <w:rFonts w:hint="eastAsia" w:ascii="宋体" w:hAnsi="宋体" w:eastAsia="宋体" w:cs="宋体"/>
          <w:color w:val="auto"/>
          <w:sz w:val="21"/>
          <w:szCs w:val="24"/>
          <w:highlight w:val="none"/>
        </w:rPr>
        <w:sectPr>
          <w:footerReference r:id="rId18" w:type="default"/>
          <w:pgSz w:w="11905" w:h="16838"/>
          <w:pgMar w:top="1417" w:right="1417" w:bottom="1417" w:left="1417" w:header="992" w:footer="992" w:gutter="0"/>
          <w:lnNumType w:countBy="0" w:distance="360"/>
          <w:pgNumType w:fmt="decimal"/>
          <w:cols w:space="720" w:num="1"/>
        </w:sectPr>
      </w:pPr>
    </w:p>
    <w:p>
      <w:pPr>
        <w:pStyle w:val="8"/>
        <w:outlineLvl w:val="2"/>
        <w:rPr>
          <w:rFonts w:hint="eastAsia" w:ascii="宋体" w:hAnsi="宋体" w:eastAsia="宋体" w:cs="宋体"/>
          <w:b/>
          <w:color w:val="auto"/>
          <w:sz w:val="28"/>
          <w:szCs w:val="24"/>
          <w:highlight w:val="none"/>
        </w:rPr>
      </w:pPr>
      <w:bookmarkStart w:id="292" w:name="bookmark178"/>
      <w:bookmarkEnd w:id="292"/>
      <w:bookmarkStart w:id="293" w:name="_Toc8767"/>
      <w:r>
        <w:rPr>
          <w:rFonts w:hint="eastAsia" w:ascii="宋体" w:hAnsi="宋体" w:eastAsia="宋体" w:cs="宋体"/>
          <w:b/>
          <w:color w:val="auto"/>
          <w:sz w:val="28"/>
          <w:szCs w:val="24"/>
          <w:highlight w:val="none"/>
        </w:rPr>
        <w:t>（二）投标函附录</w:t>
      </w:r>
      <w:bookmarkEnd w:id="293"/>
    </w:p>
    <w:tbl>
      <w:tblPr>
        <w:tblStyle w:val="24"/>
        <w:tblpPr w:leftFromText="180" w:rightFromText="180" w:vertAnchor="text" w:horzAnchor="margin" w:tblpXSpec="center" w:tblpY="2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318"/>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投标报价下浮率</w:t>
            </w:r>
          </w:p>
        </w:tc>
        <w:tc>
          <w:tcPr>
            <w:tcW w:w="3203"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投标总报价</w:t>
            </w:r>
          </w:p>
        </w:tc>
        <w:tc>
          <w:tcPr>
            <w:tcW w:w="3203" w:type="pct"/>
            <w:gridSpan w:val="2"/>
            <w:tcBorders>
              <w:top w:val="single" w:color="auto" w:sz="4" w:space="0"/>
              <w:left w:val="single" w:color="auto" w:sz="4" w:space="0"/>
              <w:right w:val="single" w:color="auto" w:sz="4" w:space="0"/>
            </w:tcBorders>
            <w:noWrap w:val="0"/>
            <w:vAlign w:val="center"/>
          </w:tcPr>
          <w:p>
            <w:pPr>
              <w:autoSpaceDE w:val="0"/>
              <w:autoSpaceDN w:val="0"/>
              <w:adjustRightInd w:val="0"/>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1796"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4"/>
                <w:szCs w:val="24"/>
                <w:highlight w:val="none"/>
                <w:lang w:val="zh-CN"/>
              </w:rPr>
            </w:pPr>
          </w:p>
        </w:tc>
        <w:tc>
          <w:tcPr>
            <w:tcW w:w="3203"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p>
        </w:tc>
        <w:tc>
          <w:tcPr>
            <w:tcW w:w="320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CMA计量认证合格证书号</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12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95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4"/>
                <w:szCs w:val="24"/>
                <w:highlight w:val="none"/>
                <w:lang w:val="zh-CN"/>
              </w:rPr>
            </w:pPr>
          </w:p>
        </w:tc>
        <w:tc>
          <w:tcPr>
            <w:tcW w:w="12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资格证书编号</w:t>
            </w:r>
          </w:p>
        </w:tc>
        <w:tc>
          <w:tcPr>
            <w:tcW w:w="195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 标 单 位（盖章）</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投标单位法定代表人</w:t>
            </w:r>
          </w:p>
          <w:p>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（签字或签章）</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授权委托人（签字）</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项目负责人（签字）</w:t>
            </w:r>
          </w:p>
        </w:tc>
        <w:tc>
          <w:tcPr>
            <w:tcW w:w="320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
                <w:bCs/>
                <w:color w:val="auto"/>
                <w:sz w:val="24"/>
                <w:szCs w:val="24"/>
                <w:highlight w:val="none"/>
                <w:lang w:val="zh-CN"/>
              </w:rPr>
            </w:pPr>
          </w:p>
        </w:tc>
      </w:tr>
    </w:tbl>
    <w:p>
      <w:pPr>
        <w:widowControl/>
        <w:autoSpaceDE/>
        <w:autoSpaceDN/>
        <w:adjustRightInd/>
        <w:spacing w:line="342" w:lineRule="exact"/>
        <w:jc w:val="both"/>
        <w:rPr>
          <w:rFonts w:hint="eastAsia" w:ascii="宋体" w:hAnsi="宋体" w:eastAsia="宋体" w:cs="宋体"/>
          <w:color w:val="auto"/>
          <w:sz w:val="20"/>
          <w:szCs w:val="20"/>
          <w:highlight w:val="none"/>
          <w:lang w:val="en-US" w:eastAsia="zh-CN" w:bidi="ar-SA"/>
        </w:rPr>
      </w:pPr>
    </w:p>
    <w:p>
      <w:pPr>
        <w:widowControl/>
        <w:autoSpaceDE/>
        <w:autoSpaceDN/>
        <w:adjustRightInd/>
        <w:spacing w:line="200" w:lineRule="exact"/>
        <w:jc w:val="both"/>
        <w:rPr>
          <w:rFonts w:hint="eastAsia" w:ascii="宋体" w:hAnsi="宋体" w:eastAsia="宋体" w:cs="宋体"/>
          <w:color w:val="auto"/>
          <w:sz w:val="20"/>
          <w:szCs w:val="20"/>
          <w:highlight w:val="none"/>
          <w:lang w:val="en-US" w:eastAsia="zh-CN" w:bidi="ar-SA"/>
        </w:rPr>
      </w:pPr>
    </w:p>
    <w:p>
      <w:pPr>
        <w:adjustRightInd w:val="0"/>
        <w:spacing w:after="120" w:line="360" w:lineRule="auto"/>
        <w:ind w:left="0" w:leftChars="0" w:firstLine="420"/>
        <w:textAlignment w:val="baseline"/>
        <w:rPr>
          <w:rFonts w:hint="eastAsia" w:ascii="宋体" w:hAnsi="宋体" w:eastAsia="宋体" w:cs="宋体"/>
          <w:color w:val="auto"/>
          <w:highlight w:val="none"/>
          <w:lang w:val="en-US" w:eastAsia="zh-CN" w:bidi="ar-SA"/>
        </w:rPr>
      </w:pPr>
    </w:p>
    <w:p>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            (盖公章)</w:t>
      </w:r>
    </w:p>
    <w:p>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法定代表人或授权委托代理人:          （签字或签章)</w:t>
      </w:r>
    </w:p>
    <w:p>
      <w:pPr>
        <w:spacing w:line="360" w:lineRule="auto"/>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日期:   年  月  日</w:t>
      </w:r>
    </w:p>
    <w:p>
      <w:pPr>
        <w:rPr>
          <w:rFonts w:hint="eastAsia" w:ascii="宋体" w:hAnsi="宋体" w:eastAsia="宋体" w:cs="宋体"/>
          <w:color w:val="auto"/>
          <w:highlight w:val="none"/>
        </w:rPr>
      </w:pPr>
    </w:p>
    <w:p>
      <w:pPr>
        <w:pStyle w:val="14"/>
        <w:shd w:val="clear"/>
        <w:kinsoku/>
        <w:overflowPunct w:val="0"/>
        <w:ind w:left="0"/>
        <w:rPr>
          <w:rFonts w:hint="eastAsia" w:ascii="宋体" w:hAnsi="宋体" w:eastAsia="宋体" w:cs="宋体"/>
          <w:color w:val="auto"/>
          <w:sz w:val="19"/>
          <w:szCs w:val="24"/>
          <w:highlight w:val="none"/>
        </w:rPr>
      </w:pPr>
    </w:p>
    <w:p>
      <w:pPr>
        <w:pStyle w:val="14"/>
        <w:kinsoku w:val="0"/>
        <w:overflowPunct w:val="0"/>
        <w:spacing w:before="10"/>
        <w:ind w:left="0"/>
        <w:rPr>
          <w:rFonts w:hint="eastAsia" w:ascii="宋体" w:hAnsi="宋体" w:eastAsia="宋体" w:cs="宋体"/>
          <w:color w:val="auto"/>
          <w:sz w:val="24"/>
          <w:szCs w:val="24"/>
          <w:highlight w:val="none"/>
        </w:rPr>
      </w:pPr>
    </w:p>
    <w:p>
      <w:pPr>
        <w:pStyle w:val="14"/>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pPr>
      <w:r>
        <w:rPr>
          <w:rFonts w:hint="eastAsia" w:ascii="宋体" w:hAnsi="宋体" w:eastAsia="宋体" w:cs="宋体"/>
          <w:color w:val="auto"/>
          <w:sz w:val="24"/>
          <w:szCs w:val="24"/>
          <w:highlight w:val="none"/>
          <w:u w:val="single"/>
        </w:rPr>
        <w:t xml:space="preserve"> </w:t>
      </w:r>
    </w:p>
    <w:p>
      <w:pPr>
        <w:pStyle w:val="14"/>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pgNumType w:fmt="decimal"/>
          <w:cols w:space="720" w:num="1"/>
        </w:sectPr>
      </w:pPr>
    </w:p>
    <w:p>
      <w:pPr>
        <w:pStyle w:val="7"/>
        <w:jc w:val="center"/>
        <w:outlineLvl w:val="1"/>
        <w:rPr>
          <w:rFonts w:hint="eastAsia" w:ascii="宋体" w:hAnsi="宋体" w:eastAsia="宋体" w:cs="宋体"/>
          <w:color w:val="auto"/>
          <w:sz w:val="28"/>
          <w:szCs w:val="24"/>
          <w:highlight w:val="none"/>
        </w:rPr>
      </w:pPr>
      <w:bookmarkStart w:id="294" w:name="bookmark179"/>
      <w:bookmarkEnd w:id="294"/>
      <w:bookmarkStart w:id="295" w:name="_Toc2313"/>
      <w:r>
        <w:rPr>
          <w:rFonts w:hint="eastAsia" w:ascii="宋体" w:hAnsi="宋体" w:eastAsia="宋体" w:cs="宋体"/>
          <w:color w:val="auto"/>
          <w:sz w:val="28"/>
          <w:szCs w:val="24"/>
          <w:highlight w:val="none"/>
        </w:rPr>
        <w:t>二、法定代表人身份证明</w:t>
      </w:r>
      <w:bookmarkEnd w:id="295"/>
    </w:p>
    <w:p>
      <w:pPr>
        <w:pStyle w:val="14"/>
        <w:kinsoku w:val="0"/>
        <w:overflowPunct w:val="0"/>
        <w:spacing w:before="8"/>
        <w:ind w:left="0"/>
        <w:rPr>
          <w:rFonts w:hint="eastAsia" w:ascii="宋体" w:hAnsi="宋体" w:eastAsia="宋体" w:cs="宋体"/>
          <w:b/>
          <w:color w:val="auto"/>
          <w:sz w:val="25"/>
          <w:szCs w:val="24"/>
          <w:highlight w:val="none"/>
        </w:rPr>
      </w:pPr>
    </w:p>
    <w:p>
      <w:pPr>
        <w:pStyle w:val="14"/>
        <w:tabs>
          <w:tab w:val="left" w:pos="3928"/>
        </w:tabs>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14"/>
        <w:kinsoku w:val="0"/>
        <w:overflowPunct w:val="0"/>
        <w:spacing w:before="2"/>
        <w:ind w:left="0"/>
        <w:rPr>
          <w:rFonts w:hint="eastAsia" w:ascii="宋体" w:hAnsi="宋体" w:eastAsia="宋体" w:cs="宋体"/>
          <w:color w:val="auto"/>
          <w:sz w:val="24"/>
          <w:szCs w:val="24"/>
          <w:highlight w:val="none"/>
        </w:rPr>
      </w:pPr>
    </w:p>
    <w:p>
      <w:pPr>
        <w:pStyle w:val="14"/>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14"/>
        <w:kinsoku w:val="0"/>
        <w:overflowPunct w:val="0"/>
        <w:spacing w:before="5"/>
        <w:ind w:left="0"/>
        <w:rPr>
          <w:rFonts w:hint="eastAsia" w:ascii="宋体" w:hAnsi="宋体" w:eastAsia="宋体" w:cs="宋体"/>
          <w:color w:val="auto"/>
          <w:sz w:val="24"/>
          <w:szCs w:val="24"/>
          <w:highlight w:val="none"/>
        </w:rPr>
      </w:pPr>
    </w:p>
    <w:p>
      <w:pPr>
        <w:pStyle w:val="14"/>
        <w:tabs>
          <w:tab w:val="left" w:pos="2832"/>
        </w:tabs>
        <w:kinsoku w:val="0"/>
        <w:overflowPunct w:val="0"/>
        <w:spacing w:before="36"/>
        <w:ind w:left="100"/>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2"/>
          <w:sz w:val="24"/>
          <w:szCs w:val="24"/>
          <w:highlight w:val="none"/>
        </w:rPr>
        <w:t>（投标人名称）的法定代表人。</w:t>
      </w:r>
    </w:p>
    <w:p>
      <w:pPr>
        <w:pStyle w:val="14"/>
        <w:kinsoku w:val="0"/>
        <w:overflowPunct w:val="0"/>
        <w:spacing w:before="10"/>
        <w:ind w:left="0"/>
        <w:rPr>
          <w:rFonts w:hint="eastAsia" w:ascii="宋体" w:hAnsi="宋体" w:eastAsia="宋体" w:cs="宋体"/>
          <w:color w:val="auto"/>
          <w:sz w:val="24"/>
          <w:szCs w:val="24"/>
          <w:highlight w:val="none"/>
        </w:rPr>
      </w:pPr>
    </w:p>
    <w:p>
      <w:pPr>
        <w:pStyle w:val="14"/>
        <w:kinsoku w:val="0"/>
        <w:overflowPunct w:val="0"/>
        <w:spacing w:before="36"/>
        <w:ind w:left="100" w:firstLine="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spacing w:before="4"/>
        <w:ind w:left="0"/>
        <w:rPr>
          <w:rFonts w:hint="eastAsia" w:ascii="宋体" w:hAnsi="宋体" w:eastAsia="宋体" w:cs="宋体"/>
          <w:color w:val="auto"/>
          <w:sz w:val="24"/>
          <w:szCs w:val="24"/>
          <w:highlight w:val="none"/>
        </w:rPr>
      </w:pPr>
    </w:p>
    <w:p>
      <w:pPr>
        <w:pStyle w:val="14"/>
        <w:kinsoku w:val="0"/>
        <w:overflowPunct w:val="0"/>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正反面扫描</w:t>
      </w:r>
      <w:r>
        <w:rPr>
          <w:rFonts w:hint="eastAsia" w:ascii="宋体" w:hAnsi="宋体" w:eastAsia="宋体" w:cs="宋体"/>
          <w:color w:val="auto"/>
          <w:sz w:val="24"/>
          <w:szCs w:val="24"/>
          <w:highlight w:val="none"/>
        </w:rPr>
        <w:t>件。</w:t>
      </w: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spacing w:before="2"/>
        <w:ind w:left="0"/>
        <w:rPr>
          <w:rFonts w:hint="eastAsia" w:ascii="宋体" w:hAnsi="宋体" w:eastAsia="宋体" w:cs="宋体"/>
          <w:color w:val="auto"/>
          <w:sz w:val="24"/>
          <w:szCs w:val="24"/>
          <w:highlight w:val="none"/>
        </w:rPr>
      </w:pP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spacing w:before="2"/>
        <w:ind w:left="0"/>
        <w:rPr>
          <w:rFonts w:hint="eastAsia" w:ascii="宋体" w:hAnsi="宋体" w:eastAsia="宋体" w:cs="宋体"/>
          <w:color w:val="auto"/>
          <w:sz w:val="24"/>
          <w:szCs w:val="24"/>
          <w:highlight w:val="none"/>
        </w:rPr>
      </w:pPr>
    </w:p>
    <w:p>
      <w:pPr>
        <w:pStyle w:val="14"/>
        <w:tabs>
          <w:tab w:val="left" w:pos="6521"/>
        </w:tabs>
        <w:kinsoku w:val="0"/>
        <w:overflowPunct w:val="0"/>
        <w:spacing w:before="36"/>
        <w:ind w:left="4212"/>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1"/>
          <w:sz w:val="24"/>
          <w:szCs w:val="24"/>
          <w:highlight w:val="none"/>
        </w:rPr>
        <w:t>（盖单位章）</w:t>
      </w: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spacing w:before="7"/>
        <w:ind w:left="0"/>
        <w:rPr>
          <w:rFonts w:hint="eastAsia" w:ascii="宋体" w:hAnsi="宋体" w:eastAsia="宋体" w:cs="宋体"/>
          <w:color w:val="auto"/>
          <w:sz w:val="24"/>
          <w:szCs w:val="24"/>
          <w:highlight w:val="none"/>
        </w:rPr>
      </w:pPr>
    </w:p>
    <w:p>
      <w:pPr>
        <w:pStyle w:val="14"/>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14"/>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pPr>
        <w:pStyle w:val="7"/>
        <w:jc w:val="center"/>
        <w:outlineLvl w:val="1"/>
        <w:rPr>
          <w:rFonts w:hint="eastAsia" w:ascii="宋体" w:hAnsi="宋体" w:eastAsia="宋体" w:cs="宋体"/>
          <w:color w:val="auto"/>
          <w:sz w:val="28"/>
          <w:szCs w:val="24"/>
          <w:highlight w:val="none"/>
        </w:rPr>
      </w:pPr>
      <w:bookmarkStart w:id="296" w:name="bookmark180"/>
      <w:bookmarkEnd w:id="296"/>
      <w:bookmarkStart w:id="297" w:name="_Toc18172"/>
      <w:r>
        <w:rPr>
          <w:rFonts w:hint="eastAsia" w:ascii="宋体" w:hAnsi="宋体" w:eastAsia="宋体" w:cs="宋体"/>
          <w:color w:val="auto"/>
          <w:sz w:val="28"/>
          <w:szCs w:val="24"/>
          <w:highlight w:val="none"/>
        </w:rPr>
        <w:t>二、授权委托书</w:t>
      </w:r>
      <w:bookmarkEnd w:id="297"/>
    </w:p>
    <w:p>
      <w:pPr>
        <w:pStyle w:val="14"/>
        <w:kinsoku w:val="0"/>
        <w:overflowPunct w:val="0"/>
        <w:ind w:left="0"/>
        <w:rPr>
          <w:rFonts w:hint="eastAsia" w:ascii="宋体" w:hAnsi="宋体" w:eastAsia="宋体" w:cs="宋体"/>
          <w:b/>
          <w:color w:val="auto"/>
          <w:sz w:val="32"/>
          <w:szCs w:val="24"/>
          <w:highlight w:val="none"/>
        </w:rPr>
      </w:pPr>
    </w:p>
    <w:p>
      <w:pPr>
        <w:pStyle w:val="14"/>
        <w:kinsoku w:val="0"/>
        <w:overflowPunct w:val="0"/>
        <w:spacing w:before="4"/>
        <w:ind w:left="0"/>
        <w:rPr>
          <w:rFonts w:hint="eastAsia" w:ascii="宋体" w:hAnsi="宋体" w:eastAsia="宋体" w:cs="宋体"/>
          <w:b/>
          <w:color w:val="auto"/>
          <w:sz w:val="32"/>
          <w:szCs w:val="24"/>
          <w:highlight w:val="none"/>
        </w:rPr>
      </w:pPr>
    </w:p>
    <w:p>
      <w:pPr>
        <w:pStyle w:val="14"/>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（姓名）为我方代理人。代理人根据授权，以我方名义签署、澄清确认、递交、撤回、修改招标项目投标文件、签订合同和处理有关事宜，其法律后果由我方承担。 </w:t>
      </w:r>
    </w:p>
    <w:p>
      <w:pPr>
        <w:pStyle w:val="14"/>
        <w:tabs>
          <w:tab w:val="left" w:pos="3928"/>
        </w:tabs>
        <w:kinsoku w:val="0"/>
        <w:overflowPunct w:val="0"/>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14"/>
        <w:tabs>
          <w:tab w:val="left" w:pos="3928"/>
        </w:tabs>
        <w:kinsoku w:val="0"/>
        <w:overflowPunct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代理人无转委托权。代理人为投标人正式职工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必须具有离投标截止时间最近的至少1个月在本单位缴纳的社保证明文件。</w:t>
      </w:r>
    </w:p>
    <w:p>
      <w:pPr>
        <w:pStyle w:val="14"/>
        <w:tabs>
          <w:tab w:val="left" w:pos="3928"/>
        </w:tabs>
        <w:kinsoku w:val="0"/>
        <w:overflowPunct w:val="0"/>
        <w:spacing w:line="360" w:lineRule="auto"/>
        <w:ind w:left="100"/>
        <w:rPr>
          <w:rFonts w:hint="eastAsia" w:ascii="宋体" w:hAnsi="宋体" w:eastAsia="宋体" w:cs="宋体"/>
          <w:color w:val="auto"/>
          <w:sz w:val="24"/>
          <w:szCs w:val="24"/>
          <w:highlight w:val="none"/>
        </w:rPr>
      </w:pPr>
    </w:p>
    <w:p>
      <w:pPr>
        <w:pStyle w:val="14"/>
        <w:kinsoku w:val="0"/>
        <w:overflowPunct w:val="0"/>
        <w:spacing w:before="4"/>
        <w:ind w:left="0"/>
        <w:rPr>
          <w:rFonts w:hint="eastAsia" w:ascii="宋体" w:hAnsi="宋体" w:eastAsia="宋体" w:cs="宋体"/>
          <w:color w:val="auto"/>
          <w:sz w:val="24"/>
          <w:szCs w:val="24"/>
          <w:highlight w:val="none"/>
        </w:rPr>
      </w:pPr>
    </w:p>
    <w:p>
      <w:pPr>
        <w:pStyle w:val="14"/>
        <w:kinsoku w:val="0"/>
        <w:overflowPunct w:val="0"/>
        <w:ind w:left="100"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委托代理人身份证正反面和社保证明扫描件。</w:t>
      </w: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spacing w:before="2"/>
        <w:ind w:left="0"/>
        <w:rPr>
          <w:rFonts w:hint="eastAsia" w:ascii="宋体" w:hAnsi="宋体" w:eastAsia="宋体" w:cs="宋体"/>
          <w:color w:val="auto"/>
          <w:sz w:val="24"/>
          <w:szCs w:val="24"/>
          <w:highlight w:val="none"/>
        </w:rPr>
      </w:pPr>
    </w:p>
    <w:p>
      <w:pPr>
        <w:pStyle w:val="14"/>
        <w:kinsoku w:val="0"/>
        <w:overflowPunct w:val="0"/>
        <w:ind w:left="0"/>
        <w:rPr>
          <w:rFonts w:hint="eastAsia" w:ascii="宋体" w:hAnsi="宋体" w:eastAsia="宋体" w:cs="宋体"/>
          <w:color w:val="auto"/>
          <w:sz w:val="24"/>
          <w:szCs w:val="24"/>
          <w:highlight w:val="none"/>
        </w:rPr>
      </w:pPr>
    </w:p>
    <w:p>
      <w:pPr>
        <w:pStyle w:val="14"/>
        <w:kinsoku w:val="0"/>
        <w:overflowPunct w:val="0"/>
        <w:spacing w:before="4"/>
        <w:ind w:left="0"/>
        <w:rPr>
          <w:rFonts w:hint="eastAsia" w:ascii="宋体" w:hAnsi="宋体" w:eastAsia="宋体" w:cs="宋体"/>
          <w:color w:val="auto"/>
          <w:sz w:val="24"/>
          <w:szCs w:val="24"/>
          <w:highlight w:val="none"/>
        </w:rPr>
      </w:pPr>
    </w:p>
    <w:p>
      <w:pPr>
        <w:pStyle w:val="14"/>
        <w:tabs>
          <w:tab w:val="left" w:pos="3216"/>
          <w:tab w:val="left" w:pos="3636"/>
          <w:tab w:val="left" w:pos="7241"/>
        </w:tabs>
        <w:kinsoku w:val="0"/>
        <w:overflowPunct w:val="0"/>
        <w:ind w:left="2793"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rPr>
        <w:tab/>
      </w:r>
      <w:r>
        <w:rPr>
          <w:rFonts w:hint="eastAsia" w:ascii="宋体" w:hAnsi="宋体" w:eastAsia="宋体" w:cs="宋体"/>
          <w:color w:val="auto"/>
          <w:spacing w:val="-3"/>
          <w:sz w:val="24"/>
          <w:szCs w:val="24"/>
          <w:highlight w:val="none"/>
        </w:rPr>
        <w:t>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pPr>
        <w:pStyle w:val="14"/>
        <w:kinsoku w:val="0"/>
        <w:overflowPunct w:val="0"/>
        <w:ind w:left="0"/>
        <w:rPr>
          <w:rFonts w:hint="eastAsia" w:ascii="宋体" w:hAnsi="宋体" w:eastAsia="宋体" w:cs="宋体"/>
          <w:color w:val="auto"/>
          <w:sz w:val="24"/>
          <w:szCs w:val="24"/>
          <w:highlight w:val="none"/>
        </w:rPr>
      </w:pPr>
    </w:p>
    <w:p>
      <w:pPr>
        <w:pStyle w:val="14"/>
        <w:tabs>
          <w:tab w:val="left" w:pos="6401"/>
        </w:tabs>
        <w:kinsoku w:val="0"/>
        <w:overflowPunct w:val="0"/>
        <w:spacing w:before="36"/>
        <w:ind w:left="2791"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pPr>
        <w:pStyle w:val="14"/>
        <w:kinsoku w:val="0"/>
        <w:overflowPunct w:val="0"/>
        <w:ind w:left="0"/>
        <w:rPr>
          <w:rFonts w:hint="eastAsia" w:ascii="宋体" w:hAnsi="宋体" w:eastAsia="宋体" w:cs="宋体"/>
          <w:color w:val="auto"/>
          <w:sz w:val="24"/>
          <w:szCs w:val="24"/>
          <w:highlight w:val="none"/>
        </w:rPr>
      </w:pPr>
    </w:p>
    <w:p>
      <w:pPr>
        <w:pStyle w:val="14"/>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14"/>
        <w:kinsoku w:val="0"/>
        <w:overflowPunct w:val="0"/>
        <w:ind w:left="0"/>
        <w:rPr>
          <w:rFonts w:hint="eastAsia" w:ascii="宋体" w:hAnsi="宋体" w:eastAsia="宋体" w:cs="宋体"/>
          <w:color w:val="auto"/>
          <w:sz w:val="24"/>
          <w:szCs w:val="24"/>
          <w:highlight w:val="none"/>
        </w:rPr>
      </w:pPr>
    </w:p>
    <w:p>
      <w:pPr>
        <w:pStyle w:val="14"/>
        <w:tabs>
          <w:tab w:val="left" w:pos="7661"/>
        </w:tabs>
        <w:kinsoku w:val="0"/>
        <w:overflowPunct w:val="0"/>
        <w:spacing w:before="36"/>
        <w:ind w:left="2793" w:right="113"/>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（签字）</w:t>
      </w:r>
    </w:p>
    <w:p>
      <w:pPr>
        <w:pStyle w:val="14"/>
        <w:kinsoku w:val="0"/>
        <w:overflowPunct w:val="0"/>
        <w:ind w:left="0"/>
        <w:rPr>
          <w:rFonts w:hint="eastAsia" w:ascii="宋体" w:hAnsi="宋体" w:eastAsia="宋体" w:cs="宋体"/>
          <w:color w:val="auto"/>
          <w:sz w:val="24"/>
          <w:szCs w:val="24"/>
          <w:highlight w:val="none"/>
        </w:rPr>
      </w:pPr>
    </w:p>
    <w:p>
      <w:pPr>
        <w:pStyle w:val="14"/>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14"/>
        <w:kinsoku w:val="0"/>
        <w:overflowPunct w:val="0"/>
        <w:spacing w:before="9"/>
        <w:ind w:left="0"/>
        <w:rPr>
          <w:rFonts w:hint="eastAsia" w:ascii="宋体" w:hAnsi="宋体" w:eastAsia="宋体" w:cs="宋体"/>
          <w:color w:val="auto"/>
          <w:sz w:val="24"/>
          <w:szCs w:val="24"/>
          <w:highlight w:val="none"/>
        </w:rPr>
      </w:pPr>
    </w:p>
    <w:p>
      <w:pPr>
        <w:pStyle w:val="14"/>
        <w:tabs>
          <w:tab w:val="left" w:pos="736"/>
          <w:tab w:val="left" w:pos="1682"/>
          <w:tab w:val="left" w:pos="2626"/>
        </w:tabs>
        <w:kinsoku w:val="0"/>
        <w:overflowPunct w:val="0"/>
        <w:spacing w:before="36"/>
        <w:ind w:left="0" w:right="113"/>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Style w:val="7"/>
        <w:jc w:val="center"/>
        <w:outlineLvl w:val="1"/>
        <w:rPr>
          <w:rFonts w:hint="eastAsia" w:ascii="宋体" w:hAnsi="宋体" w:eastAsia="宋体" w:cs="宋体"/>
          <w:color w:val="auto"/>
          <w:sz w:val="28"/>
          <w:szCs w:val="24"/>
          <w:highlight w:val="none"/>
          <w:lang w:val="en-US" w:eastAsia="zh-CN"/>
        </w:rPr>
      </w:pPr>
      <w:bookmarkStart w:id="298" w:name="bookmark181"/>
      <w:bookmarkEnd w:id="298"/>
      <w:bookmarkStart w:id="299" w:name="_Toc22240"/>
      <w:r>
        <w:rPr>
          <w:rFonts w:hint="eastAsia" w:ascii="宋体" w:hAnsi="宋体" w:eastAsia="宋体" w:cs="宋体"/>
          <w:color w:val="auto"/>
          <w:sz w:val="28"/>
          <w:szCs w:val="24"/>
          <w:highlight w:val="none"/>
        </w:rPr>
        <w:t>三、联合体协议书</w:t>
      </w:r>
      <w:bookmarkEnd w:id="299"/>
      <w:r>
        <w:rPr>
          <w:rFonts w:hint="eastAsia" w:ascii="宋体" w:hAnsi="宋体" w:eastAsia="宋体" w:cs="宋体"/>
          <w:color w:val="auto"/>
          <w:sz w:val="28"/>
          <w:szCs w:val="24"/>
          <w:highlight w:val="none"/>
          <w:lang w:eastAsia="zh-CN"/>
        </w:rPr>
        <w:t>（</w:t>
      </w:r>
      <w:r>
        <w:rPr>
          <w:rFonts w:hint="eastAsia" w:cs="宋体"/>
          <w:color w:val="auto"/>
          <w:sz w:val="28"/>
          <w:szCs w:val="24"/>
          <w:highlight w:val="none"/>
          <w:lang w:val="en-US" w:eastAsia="zh-CN"/>
        </w:rPr>
        <w:t>如有</w:t>
      </w:r>
      <w:r>
        <w:rPr>
          <w:rFonts w:hint="eastAsia" w:ascii="宋体" w:hAnsi="宋体" w:eastAsia="宋体" w:cs="宋体"/>
          <w:color w:val="auto"/>
          <w:sz w:val="28"/>
          <w:szCs w:val="24"/>
          <w:highlight w:val="none"/>
          <w:lang w:val="en-US" w:eastAsia="zh-CN"/>
        </w:rPr>
        <w:t>)</w:t>
      </w:r>
    </w:p>
    <w:p>
      <w:pPr>
        <w:widowControl/>
        <w:spacing w:line="360" w:lineRule="auto"/>
        <w:ind w:left="1559" w:leftChars="266" w:hanging="921" w:hangingChars="384"/>
        <w:jc w:val="left"/>
        <w:rPr>
          <w:rFonts w:hint="eastAsia" w:ascii="宋体" w:hAnsi="宋体" w:cs="宋体"/>
          <w:color w:val="auto"/>
          <w:highlight w:val="none"/>
          <w:u w:val="single"/>
        </w:rPr>
      </w:pPr>
      <w:bookmarkStart w:id="300" w:name="bookmark182"/>
      <w:bookmarkEnd w:id="300"/>
      <w:bookmarkStart w:id="301" w:name="_Toc10216"/>
      <w:r>
        <w:rPr>
          <w:rFonts w:hint="eastAsia" w:ascii="宋体" w:hAnsi="宋体" w:cs="宋体"/>
          <w:color w:val="auto"/>
          <w:highlight w:val="none"/>
          <w:u w:val="single"/>
        </w:rPr>
        <w:tab/>
      </w:r>
      <w:r>
        <w:rPr>
          <w:rFonts w:hint="eastAsia" w:ascii="宋体" w:hAnsi="宋体" w:cs="宋体"/>
          <w:color w:val="auto"/>
          <w:highlight w:val="none"/>
        </w:rPr>
        <w:t>(所有成员单位名称) 自愿组成联合体，共同参加</w:t>
      </w:r>
      <w:r>
        <w:rPr>
          <w:rFonts w:hint="eastAsia" w:ascii="宋体" w:hAnsi="宋体" w:cs="宋体"/>
          <w:color w:val="auto"/>
          <w:highlight w:val="none"/>
          <w:u w:val="single"/>
        </w:rPr>
        <w:t xml:space="preserve">               </w:t>
      </w:r>
    </w:p>
    <w:p>
      <w:pPr>
        <w:widowControl/>
        <w:spacing w:line="360" w:lineRule="auto"/>
        <w:ind w:left="1644" w:hanging="1644" w:hangingChars="685"/>
        <w:jc w:val="left"/>
        <w:rPr>
          <w:rFonts w:hint="eastAsia" w:ascii="宋体" w:hAnsi="宋体" w:cs="宋体"/>
          <w:color w:val="auto"/>
          <w:highlight w:val="none"/>
        </w:rPr>
      </w:pPr>
      <w:r>
        <w:rPr>
          <w:rFonts w:hint="eastAsia" w:ascii="宋体" w:hAnsi="宋体" w:cs="宋体"/>
          <w:color w:val="auto"/>
          <w:highlight w:val="none"/>
        </w:rPr>
        <w:t>(项目名称)招标项目投标。现就联合体投标事宜订立如下协议。</w:t>
      </w:r>
    </w:p>
    <w:p>
      <w:pPr>
        <w:widowControl/>
        <w:spacing w:line="360" w:lineRule="auto"/>
        <w:ind w:left="1644" w:hanging="1644" w:hangingChars="685"/>
        <w:jc w:val="left"/>
        <w:rPr>
          <w:rFonts w:hint="eastAsia"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(某成员单位名称)为联合体主办方。</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2. 联合体各成员授权主办方代表联合体参加投标活动，签署文件，提交和接收相关的资料、信息及指示，进行合同谈判活动，负责合同实施阶段的组织和协调工作，以及处理与本招标项 目有关的一切事宜。</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3. 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4. 联合体各成员单位内部的职责分工如下：</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 xml:space="preserve">①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rPr>
        <w:t>单位名称</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：作为联合体的主办方除负责本</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外，还应负责管理的职责。联合体其他相关方违约时，主办方应承担连带责任，具体按合同要求。</w:t>
      </w:r>
    </w:p>
    <w:p>
      <w:pPr>
        <w:widowControl/>
        <w:spacing w:line="360" w:lineRule="auto"/>
        <w:ind w:left="0" w:hanging="4" w:firstLineChars="0"/>
        <w:jc w:val="left"/>
        <w:rPr>
          <w:rFonts w:hint="eastAsia" w:ascii="宋体" w:hAnsi="宋体" w:cs="宋体"/>
          <w:color w:val="auto"/>
          <w:highlight w:val="none"/>
        </w:rPr>
      </w:pPr>
      <w:r>
        <w:rPr>
          <w:rFonts w:hint="eastAsia" w:ascii="宋体" w:hAnsi="宋体" w:cs="宋体"/>
          <w:color w:val="auto"/>
          <w:highlight w:val="none"/>
        </w:rPr>
        <w:t xml:space="preserve">②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u w:val="single"/>
        </w:rPr>
        <w:t>单位名称</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：主要负责本</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rPr>
        <w:t>等工作，具体按合同要求。</w:t>
      </w:r>
    </w:p>
    <w:p>
      <w:pPr>
        <w:spacing w:line="360" w:lineRule="auto"/>
        <w:ind w:firstLine="0"/>
        <w:rPr>
          <w:rFonts w:hint="eastAsia" w:ascii="宋体" w:hAnsi="宋体" w:cs="宋体"/>
          <w:color w:val="auto"/>
          <w:sz w:val="24"/>
          <w:szCs w:val="24"/>
          <w:highlight w:val="none"/>
        </w:rPr>
      </w:pPr>
      <w:r>
        <w:rPr>
          <w:rFonts w:hint="eastAsia" w:ascii="宋体" w:hAnsi="宋体" w:cs="宋体"/>
          <w:color w:val="auto"/>
          <w:highlight w:val="none"/>
        </w:rPr>
        <w:t>5. 本协议书自所有成员单位法定代表人或其委托代理人签字或盖单位章之日起生效， 合同履行完毕后自动失效。</w:t>
      </w:r>
    </w:p>
    <w:p>
      <w:pPr>
        <w:pStyle w:val="16"/>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1"/>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rPr>
        <w:t xml:space="preserve">                                       签订日期：</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日</w:t>
      </w:r>
    </w:p>
    <w:p>
      <w:pP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sz w:val="21"/>
          <w:szCs w:val="21"/>
          <w:highlight w:val="none"/>
          <w:lang w:bidi="ar"/>
        </w:rPr>
        <w:t>注：</w:t>
      </w:r>
      <w:r>
        <w:rPr>
          <w:rFonts w:hint="eastAsia" w:ascii="宋体" w:hAnsi="宋体" w:eastAsia="宋体" w:cs="宋体"/>
          <w:b w:val="0"/>
          <w:bCs w:val="0"/>
          <w:color w:val="auto"/>
          <w:kern w:val="0"/>
          <w:sz w:val="21"/>
          <w:szCs w:val="21"/>
          <w:highlight w:val="none"/>
          <w:lang w:bidi="ar"/>
        </w:rPr>
        <w:t>1、单独投标的，无需提交本协议书。</w:t>
      </w:r>
    </w:p>
    <w:p>
      <w:pPr>
        <w:pStyle w:val="2"/>
        <w:ind w:left="0" w:leftChars="0" w:firstLine="0" w:firstLineChars="0"/>
        <w:rPr>
          <w:rFonts w:hint="default" w:eastAsia="宋体"/>
          <w:color w:val="auto"/>
          <w:szCs w:val="21"/>
          <w:highlight w:val="none"/>
          <w:lang w:val="en-US" w:eastAsia="zh-CN"/>
        </w:rPr>
      </w:pPr>
      <w:r>
        <w:rPr>
          <w:rFonts w:hint="eastAsia" w:ascii="宋体" w:hAnsi="宋体" w:cs="宋体"/>
          <w:b w:val="0"/>
          <w:bCs w:val="0"/>
          <w:color w:val="auto"/>
          <w:kern w:val="0"/>
          <w:sz w:val="21"/>
          <w:szCs w:val="21"/>
          <w:highlight w:val="none"/>
          <w:lang w:val="en-US" w:eastAsia="zh-CN" w:bidi="ar"/>
        </w:rPr>
        <w:t xml:space="preserve">    2、</w:t>
      </w:r>
      <w:r>
        <w:rPr>
          <w:rFonts w:hint="eastAsia"/>
          <w:color w:val="auto"/>
          <w:szCs w:val="21"/>
          <w:highlight w:val="none"/>
          <w:lang w:val="en-US" w:eastAsia="zh-CN"/>
        </w:rPr>
        <w:t>联合体各方职责需包含本项目的检测、监测全部工作。</w:t>
      </w:r>
    </w:p>
    <w:p>
      <w:pPr>
        <w:rPr>
          <w:rFonts w:hint="eastAsia" w:ascii="宋体" w:hAnsi="宋体" w:eastAsia="宋体" w:cs="宋体"/>
          <w:color w:val="auto"/>
          <w:sz w:val="28"/>
          <w:szCs w:val="24"/>
          <w:highlight w:val="none"/>
          <w:lang w:val="en-US"/>
        </w:rPr>
      </w:pPr>
      <w:r>
        <w:rPr>
          <w:rFonts w:hint="eastAsia" w:ascii="宋体" w:hAnsi="宋体" w:eastAsia="宋体" w:cs="宋体"/>
          <w:color w:val="auto"/>
          <w:sz w:val="28"/>
          <w:szCs w:val="24"/>
          <w:highlight w:val="none"/>
          <w:lang w:val="en-US"/>
        </w:rPr>
        <w:br w:type="page"/>
      </w:r>
    </w:p>
    <w:p>
      <w:pPr>
        <w:pStyle w:val="7"/>
        <w:jc w:val="center"/>
        <w:outlineLvl w:val="1"/>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lang w:val="en-US"/>
        </w:rPr>
        <w:t>四</w:t>
      </w:r>
      <w:r>
        <w:rPr>
          <w:rFonts w:hint="eastAsia" w:ascii="宋体" w:hAnsi="宋体" w:eastAsia="宋体" w:cs="宋体"/>
          <w:color w:val="auto"/>
          <w:sz w:val="28"/>
          <w:szCs w:val="24"/>
          <w:highlight w:val="none"/>
        </w:rPr>
        <w:t>、投标保证金</w:t>
      </w:r>
      <w:bookmarkEnd w:id="301"/>
    </w:p>
    <w:p>
      <w:pPr>
        <w:pStyle w:val="14"/>
        <w:kinsoku w:val="0"/>
        <w:overflowPunct w:val="0"/>
        <w:spacing w:before="15" w:line="360" w:lineRule="auto"/>
        <w:ind w:lef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（详见本招标文件第二章投标人须知前附表3.4.1）</w:t>
      </w:r>
    </w:p>
    <w:p>
      <w:pPr>
        <w:rPr>
          <w:rFonts w:hint="eastAsia" w:ascii="宋体" w:hAnsi="宋体" w:eastAsia="宋体" w:cs="宋体"/>
          <w:color w:val="auto"/>
          <w:highlight w:val="none"/>
        </w:rPr>
      </w:pPr>
    </w:p>
    <w:p>
      <w:pPr>
        <w:pStyle w:val="7"/>
        <w:jc w:val="center"/>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bookmarkStart w:id="302" w:name="bookmark183"/>
      <w:bookmarkEnd w:id="302"/>
    </w:p>
    <w:p>
      <w:pPr>
        <w:pStyle w:val="7"/>
        <w:kinsoku w:val="0"/>
        <w:overflowPunct w:val="0"/>
        <w:spacing w:line="456" w:lineRule="exact"/>
        <w:ind w:right="1"/>
        <w:jc w:val="center"/>
        <w:outlineLvl w:val="1"/>
        <w:rPr>
          <w:rFonts w:hint="eastAsia" w:ascii="宋体" w:hAnsi="宋体" w:eastAsia="宋体" w:cs="宋体"/>
          <w:b w:val="0"/>
          <w:color w:val="auto"/>
          <w:sz w:val="28"/>
          <w:szCs w:val="24"/>
          <w:highlight w:val="none"/>
        </w:rPr>
      </w:pPr>
      <w:bookmarkStart w:id="303" w:name="bookmark184"/>
      <w:bookmarkEnd w:id="303"/>
      <w:bookmarkStart w:id="304" w:name="_Toc10013"/>
      <w:r>
        <w:rPr>
          <w:rFonts w:hint="eastAsia" w:cs="宋体"/>
          <w:color w:val="auto"/>
          <w:sz w:val="28"/>
          <w:szCs w:val="24"/>
          <w:highlight w:val="none"/>
          <w:lang w:val="en-US" w:eastAsia="zh-CN"/>
        </w:rPr>
        <w:t>五</w:t>
      </w:r>
      <w:r>
        <w:rPr>
          <w:rFonts w:hint="eastAsia" w:ascii="宋体" w:hAnsi="宋体" w:eastAsia="宋体" w:cs="宋体"/>
          <w:color w:val="auto"/>
          <w:sz w:val="28"/>
          <w:szCs w:val="24"/>
          <w:highlight w:val="none"/>
        </w:rPr>
        <w:t>、资格审查资料</w:t>
      </w:r>
      <w:bookmarkEnd w:id="304"/>
    </w:p>
    <w:p>
      <w:pPr>
        <w:pStyle w:val="14"/>
        <w:kinsoku w:val="0"/>
        <w:overflowPunct w:val="0"/>
        <w:spacing w:before="10"/>
        <w:ind w:left="0"/>
        <w:rPr>
          <w:rFonts w:hint="eastAsia" w:ascii="宋体" w:hAnsi="宋体" w:eastAsia="宋体" w:cs="宋体"/>
          <w:b/>
          <w:color w:val="auto"/>
          <w:sz w:val="15"/>
          <w:szCs w:val="24"/>
          <w:highlight w:val="none"/>
        </w:rPr>
      </w:pPr>
    </w:p>
    <w:p>
      <w:pPr>
        <w:pStyle w:val="8"/>
        <w:outlineLvl w:val="2"/>
        <w:rPr>
          <w:rFonts w:hint="eastAsia" w:ascii="宋体" w:hAnsi="宋体" w:eastAsia="宋体" w:cs="宋体"/>
          <w:b/>
          <w:color w:val="auto"/>
          <w:sz w:val="24"/>
          <w:szCs w:val="24"/>
          <w:highlight w:val="none"/>
        </w:rPr>
      </w:pPr>
      <w:bookmarkStart w:id="305" w:name="bookmark185"/>
      <w:bookmarkEnd w:id="305"/>
      <w:bookmarkStart w:id="306" w:name="_Toc28818"/>
      <w:r>
        <w:rPr>
          <w:rFonts w:hint="eastAsia" w:ascii="宋体" w:hAnsi="宋体" w:eastAsia="宋体" w:cs="宋体"/>
          <w:b/>
          <w:color w:val="auto"/>
          <w:sz w:val="24"/>
          <w:szCs w:val="24"/>
          <w:highlight w:val="none"/>
        </w:rPr>
        <w:t>（一）基本情况表</w:t>
      </w:r>
      <w:bookmarkEnd w:id="306"/>
    </w:p>
    <w:p>
      <w:pPr>
        <w:pStyle w:val="14"/>
        <w:kinsoku w:val="0"/>
        <w:overflowPunct w:val="0"/>
        <w:ind w:left="0"/>
        <w:rPr>
          <w:rFonts w:hint="eastAsia" w:ascii="宋体" w:hAnsi="宋体" w:eastAsia="宋体" w:cs="宋体"/>
          <w:color w:val="auto"/>
          <w:sz w:val="23"/>
          <w:szCs w:val="24"/>
          <w:highlight w:val="none"/>
        </w:rPr>
      </w:pPr>
    </w:p>
    <w:tbl>
      <w:tblPr>
        <w:tblStyle w:val="24"/>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p>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pPr>
              <w:pStyle w:val="32"/>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
              <w:rPr>
                <w:rFonts w:hint="eastAsia" w:ascii="宋体" w:hAnsi="宋体" w:eastAsia="宋体" w:cs="宋体"/>
                <w:color w:val="auto"/>
                <w:sz w:val="21"/>
                <w:szCs w:val="21"/>
                <w:highlight w:val="none"/>
              </w:rPr>
            </w:pPr>
          </w:p>
          <w:p>
            <w:pPr>
              <w:pStyle w:val="32"/>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bl>
    <w:p>
      <w:pPr>
        <w:pStyle w:val="14"/>
        <w:kinsoku w:val="0"/>
        <w:overflowPunct w:val="0"/>
        <w:spacing w:before="74" w:line="331" w:lineRule="auto"/>
        <w:ind w:left="240"/>
        <w:rPr>
          <w:rFonts w:hint="eastAsia" w:ascii="宋体" w:hAnsi="宋体" w:eastAsia="宋体" w:cs="宋体"/>
          <w:color w:val="auto"/>
          <w:sz w:val="24"/>
          <w:szCs w:val="24"/>
          <w:highlight w:val="none"/>
        </w:rPr>
        <w:sectPr>
          <w:headerReference r:id="rId19" w:type="default"/>
          <w:footerReference r:id="rId20" w:type="default"/>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pacing w:val="-5"/>
          <w:sz w:val="21"/>
          <w:szCs w:val="21"/>
          <w:highlight w:val="none"/>
        </w:rPr>
        <w:t>注：</w:t>
      </w:r>
      <w:r>
        <w:rPr>
          <w:rFonts w:hint="eastAsia" w:ascii="宋体" w:hAnsi="宋体" w:eastAsia="宋体" w:cs="宋体"/>
          <w:color w:val="auto"/>
          <w:sz w:val="21"/>
          <w:szCs w:val="24"/>
          <w:highlight w:val="none"/>
        </w:rPr>
        <w:t>投标人应附营业执照、资质证书等相关证明材料。</w:t>
      </w:r>
      <w:bookmarkStart w:id="307" w:name="bookmark186"/>
      <w:bookmarkEnd w:id="307"/>
      <w:bookmarkStart w:id="308" w:name="bookmark188"/>
      <w:bookmarkEnd w:id="308"/>
      <w:bookmarkStart w:id="309" w:name="bookmark190"/>
      <w:bookmarkEnd w:id="309"/>
      <w:bookmarkStart w:id="310" w:name="bookmark189"/>
      <w:bookmarkEnd w:id="310"/>
      <w:bookmarkStart w:id="311" w:name="bookmark187"/>
      <w:bookmarkEnd w:id="311"/>
    </w:p>
    <w:p>
      <w:pPr>
        <w:pStyle w:val="8"/>
        <w:outlineLvl w:val="2"/>
        <w:rPr>
          <w:rFonts w:hint="eastAsia" w:ascii="宋体" w:hAnsi="宋体" w:eastAsia="宋体" w:cs="宋体"/>
          <w:b/>
          <w:color w:val="auto"/>
          <w:sz w:val="24"/>
          <w:szCs w:val="24"/>
          <w:highlight w:val="none"/>
        </w:rPr>
      </w:pPr>
      <w:bookmarkStart w:id="312" w:name="_Toc21460"/>
      <w:r>
        <w:rPr>
          <w:rFonts w:hint="eastAsia" w:ascii="宋体" w:hAnsi="宋体" w:eastAsia="宋体" w:cs="宋体"/>
          <w:b/>
          <w:color w:val="auto"/>
          <w:sz w:val="24"/>
          <w:szCs w:val="24"/>
          <w:highlight w:val="none"/>
          <w:lang w:val="en-US" w:eastAsia="zh-CN"/>
        </w:rPr>
        <w:t>（</w:t>
      </w:r>
      <w:r>
        <w:rPr>
          <w:rFonts w:hint="eastAsia"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）投标人声明格式</w:t>
      </w:r>
      <w:bookmarkEnd w:id="312"/>
    </w:p>
    <w:p>
      <w:pPr>
        <w:jc w:val="center"/>
        <w:rPr>
          <w:rFonts w:hint="eastAsia" w:ascii="宋体" w:hAnsi="宋体" w:eastAsia="宋体" w:cs="宋体"/>
          <w:b/>
          <w:bCs/>
          <w:color w:val="auto"/>
          <w:sz w:val="32"/>
          <w:szCs w:val="32"/>
          <w:highlight w:val="none"/>
        </w:rPr>
      </w:pPr>
      <w:bookmarkStart w:id="313" w:name="_Toc7353"/>
      <w:r>
        <w:rPr>
          <w:rFonts w:hint="eastAsia" w:ascii="宋体" w:hAnsi="宋体" w:eastAsia="宋体" w:cs="宋体"/>
          <w:b/>
          <w:bCs/>
          <w:color w:val="auto"/>
          <w:sz w:val="32"/>
          <w:szCs w:val="32"/>
          <w:highlight w:val="none"/>
          <w:lang w:val="en-US" w:eastAsia="zh-CN"/>
        </w:rPr>
        <w:t>投标人声明</w:t>
      </w:r>
      <w:bookmarkEnd w:id="313"/>
    </w:p>
    <w:p>
      <w:pPr>
        <w:snapToGrid w:val="0"/>
        <w:spacing w:line="360" w:lineRule="auto"/>
        <w:rPr>
          <w:rFonts w:hint="eastAsia" w:ascii="宋体" w:hAnsi="宋体" w:eastAsia="宋体" w:cs="宋体"/>
          <w:color w:val="auto"/>
          <w:sz w:val="21"/>
          <w:szCs w:val="21"/>
          <w:highlight w:val="none"/>
        </w:rPr>
      </w:pPr>
    </w:p>
    <w:p>
      <w:pPr>
        <w:shd w:val="clea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u w:val="single"/>
          <w:lang w:val="en-US" w:eastAsia="zh-CN"/>
        </w:rPr>
        <w:t>/标段名称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项目投标工作，作出郑重声明：</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二、本公司保证不与其他单位围标、串标，不出让投标资格，不向招标人或评标委员会成员行贿。</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三、本公司不存在招标文件第二章投标人须知第1.4.3项所规定的任何一种情形。</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四、本公司及其有隶属关系的机构，与本招标项目的建设、施工、监理单位，以及建筑材料、建筑构配件和设备供应商有隶属关系或者其他利害关系；参与本招标项目的招标文件编写、监理工作。</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五、本公司近二年（2022年的1月1日起至投标截止时间止）未因以往检测或监测工作中存在伪造检测或监测数据、出具虚假检测或监测报告的行为被各级建设行政主管部门或市场监督管理部门行政处罚或通报的。</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六、本公司承诺，中标后严格执行安全生产相关管理规定。</w:t>
      </w:r>
    </w:p>
    <w:p>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七、本公司积极响应广州市关于投身“百千万工程”的号召，主动参与政府投资类建设工程施工项目的建筑业结对帮扶等活动（市属国有企业投资项目参照执行）。</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本公司违反上述保证，或本声明陈述与事实不符，经查实，本公司愿意接受公开通报，承担由此带来的法律后果。</w:t>
      </w:r>
    </w:p>
    <w:p>
      <w:pPr>
        <w:widowControl/>
        <w:shd w:val="clear" w:color="auto" w:fill="FFFFFF"/>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38"/>
        <w:ind w:right="1449" w:firstLine="420" w:firstLineChars="200"/>
        <w:rPr>
          <w:rFonts w:hint="eastAsia" w:ascii="宋体" w:hAnsi="宋体" w:eastAsia="宋体" w:cs="宋体"/>
          <w:color w:val="auto"/>
          <w:sz w:val="21"/>
          <w:szCs w:val="21"/>
          <w:highlight w:val="none"/>
        </w:rPr>
      </w:pPr>
    </w:p>
    <w:p>
      <w:pPr>
        <w:pStyle w:val="38"/>
        <w:spacing w:line="600" w:lineRule="exact"/>
        <w:ind w:left="629" w:right="144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pPr>
        <w:pStyle w:val="33"/>
        <w:spacing w:line="600" w:lineRule="exact"/>
        <w:ind w:right="1779"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p>
      <w:pPr>
        <w:pStyle w:val="33"/>
        <w:spacing w:line="600" w:lineRule="exact"/>
        <w:ind w:right="1779" w:firstLine="0"/>
        <w:jc w:val="right"/>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（签字）：</w:t>
      </w:r>
    </w:p>
    <w:p>
      <w:pPr>
        <w:pStyle w:val="33"/>
        <w:spacing w:line="600" w:lineRule="exact"/>
        <w:ind w:right="1779" w:firstLine="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技术负责人（签字）：</w:t>
      </w:r>
    </w:p>
    <w:p>
      <w:pPr>
        <w:pStyle w:val="33"/>
        <w:spacing w:line="600" w:lineRule="exact"/>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（企业公章）</w:t>
      </w:r>
    </w:p>
    <w:p>
      <w:pPr>
        <w:pStyle w:val="33"/>
        <w:ind w:right="879"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Style w:val="29"/>
        <w:ind w:firstLine="0" w:firstLineChars="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pPr>
        <w:pStyle w:val="8"/>
        <w:pageBreakBefore/>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投标人廉洁承诺书（格式）</w:t>
      </w:r>
    </w:p>
    <w:p>
      <w:pPr>
        <w:pStyle w:val="22"/>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pPr>
        <w:pStyle w:val="22"/>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16"/>
        <w:spacing w:line="360" w:lineRule="auto"/>
        <w:ind w:righ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pStyle w:val="16"/>
        <w:spacing w:line="360" w:lineRule="auto"/>
        <w:ind w:right="42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pPr>
        <w:pStyle w:val="16"/>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ascii="宋体" w:hAnsi="宋体" w:eastAsia="宋体" w:cs="宋体"/>
          <w:color w:val="auto"/>
          <w:sz w:val="24"/>
          <w:szCs w:val="24"/>
          <w:highlight w:val="none"/>
          <w:lang w:eastAsia="zh-CN"/>
        </w:rPr>
        <w:t>。</w:t>
      </w:r>
    </w:p>
    <w:p>
      <w:pPr>
        <w:pStyle w:val="16"/>
        <w:autoSpaceDE/>
        <w:autoSpaceDN/>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本公司违反上述承诺，或本承诺陈述与事实不符，经查实，本公司愿意接受公开通报，承担由此带来的法律后果。</w:t>
      </w:r>
    </w:p>
    <w:p>
      <w:pPr>
        <w:pStyle w:val="16"/>
        <w:autoSpaceDE/>
        <w:autoSpaceDN/>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特此承诺</w:t>
      </w:r>
      <w:r>
        <w:rPr>
          <w:rFonts w:hint="eastAsia" w:ascii="宋体" w:hAnsi="宋体" w:eastAsia="宋体" w:cs="宋体"/>
          <w:color w:val="auto"/>
          <w:sz w:val="24"/>
          <w:szCs w:val="24"/>
          <w:highlight w:val="none"/>
          <w:lang w:eastAsia="zh-CN"/>
        </w:rPr>
        <w:t>。</w:t>
      </w:r>
    </w:p>
    <w:p>
      <w:pPr>
        <w:pStyle w:val="22"/>
        <w:shd w:val="clear" w:color="auto" w:fill="FFFFFF"/>
        <w:spacing w:before="0" w:beforeAutospacing="0" w:after="0" w:afterAutospacing="0" w:line="360" w:lineRule="auto"/>
        <w:ind w:left="0" w:leftChars="0" w:right="-48" w:rightChars="-2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w:t>
      </w:r>
    </w:p>
    <w:p>
      <w:pPr>
        <w:pStyle w:val="22"/>
        <w:shd w:val="clear" w:color="auto" w:fill="FFFFFF"/>
        <w:spacing w:before="0" w:beforeAutospacing="0" w:after="0" w:afterAutospacing="0" w:line="360" w:lineRule="auto"/>
        <w:ind w:left="0" w:leftChars="0" w:right="-48" w:rightChars="-2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314" w:name="bookmark193"/>
      <w:bookmarkEnd w:id="314"/>
      <w:bookmarkStart w:id="315" w:name="_Toc13291"/>
    </w:p>
    <w:p>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p>
    <w:p>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p>
    <w:p>
      <w:pPr>
        <w:pStyle w:val="22"/>
        <w:shd w:val="clear" w:color="auto" w:fill="FFFFFF"/>
        <w:spacing w:before="0" w:after="0"/>
        <w:ind w:left="0" w:leftChars="0" w:right="-48" w:rightChars="-20" w:firstLine="0" w:firstLineChars="0"/>
        <w:jc w:val="right"/>
        <w:rPr>
          <w:rFonts w:hint="eastAsia" w:ascii="宋体" w:hAnsi="宋体" w:eastAsia="宋体" w:cs="宋体"/>
          <w:color w:val="auto"/>
          <w:sz w:val="24"/>
          <w:szCs w:val="24"/>
          <w:highlight w:val="none"/>
        </w:rPr>
      </w:pPr>
    </w:p>
    <w:p>
      <w:pPr>
        <w:pStyle w:val="22"/>
        <w:shd w:val="clear" w:color="auto" w:fill="FFFFFF"/>
        <w:spacing w:before="0" w:after="0"/>
        <w:ind w:left="0" w:leftChars="0" w:right="-48" w:rightChars="-20" w:firstLine="0" w:firstLineChars="0"/>
        <w:jc w:val="left"/>
        <w:rPr>
          <w:rFonts w:hint="eastAsia" w:ascii="宋体" w:hAnsi="宋体" w:eastAsia="宋体" w:cs="宋体"/>
          <w:color w:val="auto"/>
          <w:sz w:val="24"/>
          <w:szCs w:val="24"/>
          <w:highlight w:val="none"/>
        </w:rPr>
      </w:pPr>
    </w:p>
    <w:p>
      <w:pPr>
        <w:pStyle w:val="22"/>
        <w:numPr>
          <w:ilvl w:val="0"/>
          <w:numId w:val="0"/>
        </w:numPr>
        <w:shd w:val="clear" w:color="auto" w:fill="FFFFFF"/>
        <w:spacing w:before="0" w:after="0"/>
        <w:ind w:left="0" w:leftChars="0" w:right="-48" w:rightChars="-20" w:firstLine="0" w:firstLineChars="0"/>
        <w:jc w:val="center"/>
        <w:rPr>
          <w:rFonts w:hint="eastAsia" w:ascii="宋体" w:hAnsi="宋体" w:eastAsia="宋体" w:cs="宋体"/>
          <w:b/>
          <w:bCs/>
          <w:color w:val="auto"/>
          <w:sz w:val="28"/>
          <w:szCs w:val="24"/>
          <w:highlight w:val="none"/>
        </w:rPr>
      </w:pPr>
      <w:r>
        <w:rPr>
          <w:rFonts w:hint="eastAsia" w:cs="宋体"/>
          <w:b/>
          <w:bCs/>
          <w:color w:val="auto"/>
          <w:sz w:val="28"/>
          <w:szCs w:val="24"/>
          <w:highlight w:val="none"/>
          <w:lang w:val="en-US" w:eastAsia="zh-CN"/>
        </w:rPr>
        <w:t>六</w:t>
      </w:r>
      <w:r>
        <w:rPr>
          <w:rFonts w:hint="eastAsia" w:ascii="宋体" w:hAnsi="宋体" w:eastAsia="宋体" w:cs="宋体"/>
          <w:b/>
          <w:bCs/>
          <w:color w:val="auto"/>
          <w:sz w:val="28"/>
          <w:szCs w:val="24"/>
          <w:highlight w:val="none"/>
        </w:rPr>
        <w:t>、投标报价表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eastAsia="zh-CN"/>
              </w:rPr>
            </w:pPr>
            <w:r>
              <w:rPr>
                <w:rFonts w:hint="eastAsia" w:ascii="宋体" w:hAnsi="宋体" w:eastAsia="宋体" w:cs="宋体"/>
                <w:color w:val="auto"/>
                <w:sz w:val="28"/>
                <w:szCs w:val="24"/>
                <w:highlight w:val="none"/>
                <w:vertAlign w:val="baseline"/>
                <w:lang w:eastAsia="zh-CN"/>
              </w:rPr>
              <w:t>项目名称</w:t>
            </w:r>
          </w:p>
        </w:tc>
        <w:tc>
          <w:tcPr>
            <w:tcW w:w="4644" w:type="dxa"/>
            <w:vAlign w:val="top"/>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pPr>
              <w:pStyle w:val="22"/>
              <w:numPr>
                <w:ilvl w:val="0"/>
                <w:numId w:val="0"/>
              </w:numPr>
              <w:spacing w:before="0" w:after="0"/>
              <w:ind w:right="-48" w:rightChars="-20"/>
              <w:jc w:val="center"/>
              <w:rPr>
                <w:rFonts w:hint="default" w:ascii="宋体" w:hAnsi="宋体" w:eastAsia="宋体" w:cs="宋体"/>
                <w:color w:val="auto"/>
                <w:sz w:val="28"/>
                <w:szCs w:val="24"/>
                <w:highlight w:val="none"/>
                <w:vertAlign w:val="baseline"/>
                <w:lang w:val="en-US" w:eastAsia="zh-CN"/>
              </w:rPr>
            </w:pPr>
            <w:r>
              <w:rPr>
                <w:rFonts w:hint="eastAsia" w:ascii="宋体" w:hAnsi="宋体" w:eastAsia="宋体" w:cs="宋体"/>
                <w:color w:val="auto"/>
                <w:sz w:val="28"/>
                <w:szCs w:val="24"/>
                <w:highlight w:val="none"/>
                <w:vertAlign w:val="baseline"/>
                <w:lang w:eastAsia="zh-CN"/>
              </w:rPr>
              <w:t>投标下浮率</w:t>
            </w:r>
            <w:r>
              <w:rPr>
                <w:rFonts w:hint="eastAsia" w:ascii="宋体" w:hAnsi="宋体" w:eastAsia="宋体" w:cs="宋体"/>
                <w:color w:val="auto"/>
                <w:sz w:val="28"/>
                <w:szCs w:val="24"/>
                <w:highlight w:val="none"/>
                <w:vertAlign w:val="baseline"/>
                <w:lang w:val="en-US" w:eastAsia="zh-CN"/>
              </w:rPr>
              <w:t>（%）</w:t>
            </w:r>
          </w:p>
        </w:tc>
        <w:tc>
          <w:tcPr>
            <w:tcW w:w="4644" w:type="dxa"/>
            <w:vAlign w:val="top"/>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eastAsia="zh-CN"/>
              </w:rPr>
            </w:pPr>
            <w:r>
              <w:rPr>
                <w:rFonts w:hint="eastAsia" w:ascii="宋体" w:hAnsi="宋体" w:eastAsia="宋体" w:cs="宋体"/>
                <w:color w:val="auto"/>
                <w:sz w:val="28"/>
                <w:szCs w:val="24"/>
                <w:highlight w:val="none"/>
                <w:vertAlign w:val="baseline"/>
                <w:lang w:eastAsia="zh-CN"/>
              </w:rPr>
              <w:t>服务期</w:t>
            </w:r>
          </w:p>
        </w:tc>
        <w:tc>
          <w:tcPr>
            <w:tcW w:w="4644" w:type="dxa"/>
            <w:vAlign w:val="top"/>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3" w:type="dxa"/>
            <w:vAlign w:val="center"/>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lang w:eastAsia="zh-CN"/>
              </w:rPr>
            </w:pPr>
            <w:r>
              <w:rPr>
                <w:rFonts w:hint="eastAsia" w:ascii="宋体" w:hAnsi="宋体" w:eastAsia="宋体" w:cs="宋体"/>
                <w:color w:val="auto"/>
                <w:sz w:val="28"/>
                <w:szCs w:val="24"/>
                <w:highlight w:val="none"/>
                <w:vertAlign w:val="baseline"/>
                <w:lang w:eastAsia="zh-CN"/>
              </w:rPr>
              <w:t>质量标准</w:t>
            </w:r>
          </w:p>
        </w:tc>
        <w:tc>
          <w:tcPr>
            <w:tcW w:w="4644" w:type="dxa"/>
            <w:vAlign w:val="top"/>
          </w:tcPr>
          <w:p>
            <w:pPr>
              <w:pStyle w:val="22"/>
              <w:numPr>
                <w:ilvl w:val="0"/>
                <w:numId w:val="0"/>
              </w:numPr>
              <w:spacing w:before="0" w:after="0"/>
              <w:ind w:right="-48" w:rightChars="-20"/>
              <w:jc w:val="center"/>
              <w:rPr>
                <w:rFonts w:hint="eastAsia" w:ascii="宋体" w:hAnsi="宋体" w:eastAsia="宋体" w:cs="宋体"/>
                <w:color w:val="auto"/>
                <w:sz w:val="28"/>
                <w:szCs w:val="24"/>
                <w:highlight w:val="none"/>
                <w:vertAlign w:val="baseline"/>
              </w:rPr>
            </w:pPr>
          </w:p>
        </w:tc>
      </w:tr>
    </w:tbl>
    <w:p>
      <w:pPr>
        <w:pStyle w:val="22"/>
        <w:shd w:val="clear" w:color="auto" w:fill="FFFFFF"/>
        <w:spacing w:before="0" w:after="0"/>
        <w:ind w:left="0" w:leftChars="0" w:right="-48" w:rightChars="-20" w:firstLine="0" w:firstLineChars="0"/>
        <w:jc w:val="lef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bookmarkEnd w:id="315"/>
    <w:p>
      <w:pPr>
        <w:rPr>
          <w:rFonts w:hint="eastAsia" w:cs="宋体"/>
          <w:color w:val="auto"/>
          <w:sz w:val="28"/>
          <w:szCs w:val="24"/>
          <w:highlight w:val="none"/>
          <w:lang w:val="en-US" w:eastAsia="zh-CN"/>
        </w:rPr>
      </w:pPr>
      <w:r>
        <w:rPr>
          <w:rFonts w:hint="eastAsia" w:cs="宋体"/>
          <w:color w:val="auto"/>
          <w:sz w:val="28"/>
          <w:szCs w:val="24"/>
          <w:highlight w:val="none"/>
          <w:lang w:val="en-US" w:eastAsia="zh-CN"/>
        </w:rPr>
        <w:t>项目名称：</w:t>
      </w:r>
    </w:p>
    <w:tbl>
      <w:tblPr>
        <w:tblStyle w:val="24"/>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896"/>
        <w:gridCol w:w="1760"/>
        <w:gridCol w:w="2634"/>
        <w:gridCol w:w="4938"/>
        <w:gridCol w:w="1599"/>
        <w:gridCol w:w="1677"/>
      </w:tblGrid>
      <w:tr>
        <w:tblPrEx>
          <w:shd w:val="clear" w:color="auto" w:fill="auto"/>
          <w:tblCellMar>
            <w:top w:w="0" w:type="dxa"/>
            <w:left w:w="108" w:type="dxa"/>
            <w:bottom w:w="0" w:type="dxa"/>
            <w:right w:w="108" w:type="dxa"/>
          </w:tblCellMar>
        </w:tblPrEx>
        <w:trPr>
          <w:trHeight w:val="60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工程部位</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检测/监测项目</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检测/监测内容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检测/监测频率</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0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一、基坑监测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泵房、构筑物等工程</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基准点埋设</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基准点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每公里布3个基准点，每个基坑工程至少3个稳定、可靠的基准点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监测点埋设</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支护结构顶部水平、竖向位移</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一般监测点水平间距小于20m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坡顶地表水平、竖向位移</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一般监测点水平间距小于20m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（基坑深度0-5米）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（基坑深度5-10米）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（基坑深度10-15米）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（基坑深度0-5米）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一、二级基坑一般监测点水平间距20~60m。三级基坑根据施工图确定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（基坑深度5-10米）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一、二级基坑一般监测点水平间距20~60m。三级基坑根据施工图确定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（基坑深度10-15米）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一、二级基坑一般监测点水平间距20~60m。三级基坑根据施工图确定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支撑轴力</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监测断面的平面位置宜设置在支撑设计计算内力较大、基坑阳角处或在整个支撑系统中起控制作用的杆件上；每层支撑的轴力监测点不应少于 3 个，各层支撑的监测点位置宜在竖向保持一致。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立柱沉降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宜布置在基坑中部、多根支撑交汇处、地质条件复杂处的立柱上；监测点不应少于立柱总根数的5%（逆作法施工的基坑不应少于10%,且均不应少于3根）。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周边地表沉降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一般监测点水平间距20~50m。具体根据施工图确定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周边管线沉降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一般监测点水平间距15m～25m，具体根据施工图确定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周边建筑物沉降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影响范围内每栋建筑物不少于3个测点，具体根据施工图确定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锚杆轴力</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每层锚杆的内力监测点数量应为该层锚杆总数的1%~3%,且基坑每边不应少于1根。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基准网联测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监测基准网（水平）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初始值联测1次，监测期间1~2月复测1次；或者施工前、后各测一次，共2次。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2,128.66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监测基准网（垂直）</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初始值联测1次，监测期间1~2月复测1次；或者施工前、后各测一次，共2次。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1,186.82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现场监测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支护结构顶部水平位移</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初始值2次；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基坑开挖至底板浇筑期间，1~3天监测1次；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基坑底板浇筑后至基坑回填期间，3~10天监测1次。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（具体监测频率应结合基坑安全等级、施工进程确定，具体详见《建筑基坑工程监测技术规范》GB50497-2019第7章）</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支护结构顶部竖向位移</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坡顶（边坡）地表水平</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坡顶（边坡）地表竖向位移</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支撑轴力</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立柱沉降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周边地表竖向位移</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周边管线沉降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周边建筑物沉降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锚杆轴力</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管道基坑工程</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基准点埋设</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基准点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每公里布3个基准点，每个基坑工程至少3个稳定、可靠的基准点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监测点埋设</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支护结构顶部水平、竖向位移</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一般监测点水平间距小于20m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（基坑深度0-5米）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（基坑深度5-10米）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（基坑深度10-15米）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（基坑深度0-5米）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一、二级基坑一般监测点水平间距20~60m。三级基坑根据施工图确定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（基坑深度5-10米）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一、二级基坑一般监测点水平间距20~60m。三级基坑根据施工图确定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深层水平位移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（基坑深度10-15米）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一、二级基坑一般监测点水平间距20~60m。三级基坑根据施工图确定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支撑轴力</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监测断面的平面位置宜设置在支撑设计计算内力较大、基坑阳角处或在整个支撑系统中起控制作用的杆件上；每层支撑的轴力监测点不应少于 3 个，各层支撑的监测点位置宜在竖向保持一致。</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周边地表沉降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一般监测点水平间距20~50m。具体根据施工图确定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周边管线沉降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一般监测点水平间距15m～25m，具体根据施工图确定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周边建筑物沉降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影响范围内每栋建筑物不少于3个测点，具体根据施工图确定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基准网联测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监测基准网（水平）</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初始值联测1次，监测期间1~2月复测1次；或者施工前、后各测一次，共2次。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2,128.66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监测基准网（垂直）</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初始值联测1次，监测期间1~2月复测1次；或者施工前、后各测一次，共2次。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1,186.82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现场监测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支护结构顶部水平位移</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初始值2次；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基坑开挖至底板浇筑期间，1~3天监测1次；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基坑底板浇筑后至基坑回填期间，3~10天监测1次。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（具体监测频率应结合基坑安全等级、施工进程确定，具体详见《建筑基坑工程监测技术规范》GB50497）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支护结构顶部竖向位移</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土体深层水平位移</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支撑轴力</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周边地表沉降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周边管线沉降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周边建筑物沉降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0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二、高支模监测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高大模板工程</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监测点埋设</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支架水平位移</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1.水平位移及倾斜监测点应在高大支模的不同高度设置监测点，监测点竖向间距宜根据水平剪刀撑高度布设，但不宜大于6m。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2.高大支模工程监测点平面位置宜按网格形式布设，水平间距宜为10m~15m。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模板沉降</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立杆轴力</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倾斜（立杆倾角）</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现场监测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支架水平位移</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混凝土浇筑期间监测频率不宜低于2次/min。</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模板沉降观测</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立杆轴力</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倾斜（立杆倾角）</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0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三、地基基础检测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天然地基</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岩土性状</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轻型动力触探试验</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 200m2不少于1个孔，且总数不得少于10孔，每个独立柱基下不得少于1 孔，基槽每 20 延米不得少于1孔。（根据地基岩土性状或处理土地基类型，选择标准贯入试验、圆锥动力触探试验、静力触探试验、十字板剪切试验等一种或一种以上的方法进行检测）</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标准贯入试验</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承载力</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平板载荷试验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500m2不少于1个点，且总数不得少于3点。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处理地基</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承载力</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平板载荷试验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500m2不少于1个点，且总数不得少于3点。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地基施工质量检测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轻型动力触探试验</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 200m2不少于1个孔，且总数不得少于10孔，每个独立柱基下不得少于1 孔，基槽每 20 延米不得少于1孔。（根据处理土地基类型，选择一种方法进行检测）</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标准贯入试验</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重型动力触探试验</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复合地基</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高压旋喷桩/水泥搅拌桩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钻芯法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不少于总桩（墩）数的0.5%，且不得少于3根。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不少于总桩（墩）数的0.5%，且不得少于3根。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平板载荷试验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不少于总桩（墩）数的0.5%，且不得少于3点。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预制方桩/预制管桩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低应变法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不少于总桩数的10%，且不得少于10根。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平板载荷试验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平板载荷试验的试验点数量应为总桩数的0.5%~1%，且不得少于3点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高应变法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不少于总桩（墩）数的0.5%，且不得少于3点（施工现场不具备条件做平板荷载试验情况下）。</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桩基础</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预制管桩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低应变法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不少于总桩数的20%，且每个柱下承台不得少于1根。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不少于单位工程桩总数的1%，且不少于3根；当单位工程桩总数在50根以内时，不少于2根。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（最大加载值≤1000kN）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不少于单位工程桩总数的1%，且不少于3根；当单位工程桩总数在50根以内时，不少于2根。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（最大加载值≤3000kN）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不少于单位工程桩总数的1%，且不少于3根；当单位工程桩总数在50根以内时，不少于2根。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（最大加载值≤5000kN）</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不少于单位工程桩总数的1%，且不少于3根；当单位工程桩总数在50根以内时，不少于2根。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钢管桩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高应变法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不少于总桩数的5%，且不得少于10根。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不少于总桩数的0.5%，且不得少于3根；当总桩数小于50根时，不得少于2根。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混凝土灌注桩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低应变法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采用低应变、钻芯、声波透射法3种检测，总数不少于相应桩总数的20%且不少于10根（设计等级为甲级、地质条件复杂、施工工艺导致施工质量可靠性低的桩基工程、采用新桩型或新工艺的桩基工程，抽检桩数不应少于总桩数的30％，且不得少于20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钻芯法</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对于直径大于等于800mm的端承型混凝土灌注桩，除采用低应变法外，应按不少于总桩数10%的比例采用钻芯法或钻芯法和声波透射法进行检测。</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声波透射法</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（最大加载值≤3000kN）</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有下列情况之一的应当采用静载荷试验：（1）地基设计等级为甲级；（2）地质条件复杂、桩施工质量可靠性低；（3）属于本地区采用的新桩型或新工艺；（4）挤土群桩施工产生挤土效应；抽检数量不少于单位工程桩总数的1%，且不少于3根；当单位工程桩总数在50根以内时，不少于2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2、除1所列情形之外，当采用高应变法抽检时，抽检数量不少于单位工程桩总数的5%且不少于5根。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（最大加载值≤5000kN）</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单桩静载试验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（最大加载值≤10000kN）</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高应变法</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基础（抗浮）锚杆</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静载试验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不少于锚杆总数的5%，且不得少于6根。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支护工程</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临时中立柱</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承载力、低应变</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不宜少于总桩数的20%，且不得少于5根。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高压旋喷桩/水泥搅拌桩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钻芯法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不宜少于总桩数的1%，且不得少于3根。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混凝土灌注桩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低应变法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不少于总桩数的20%，且不少于10根。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型钢水泥土搅拌桩（SMW）</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钻芯法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不应少于总桩数的2%,且不得少于3根。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喷射混凝土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喷射厚度（钻孔法）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对于地下工程、边坡工程和基坑工程，结构性喷层为每50m2/个，防护性喷层为200m2/个</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锚杆</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抗拔承载力检测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不少于锚杆总数的5%，且同一土层中的锚杆检验数量不应少于6根。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0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四、结构实体检测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泵房、构筑物等工程</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主体结构</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检测砼强度（回弹法）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抽检数量不宜少于同批构件总数的30%，且不少于10个构件，每个构件10测区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检测砼强度（钻芯法）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每三层、每种强度等级的墙柱、梁板至少各抽取一个构件进行混凝土强度检测和氯离子含量实体检测，每构件不少于三个芯样，其中墙梁交接部位至少抽取一个芯样。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氯离子含量检测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每三层、每种强度等级的墙柱、梁板至少各抽取一个构件进行混凝土强度检测和氯离子含量实体检测，每构件不少于三个芯样，其中墙梁交接部位至少抽取一个芯样。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钢筋间距检测</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非悬挑梁板类构件：抽取构件数量的2%且不少于5个构件；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悬挑梁：抽取构件数量的5%且不少于10个构件；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悬挑板：抽取构件数量的10%且不少于20个构件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钢筋保护层厚度检测</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高强度螺栓连接</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按节点数抽查10%，且不少于10个，每个被抽查到的节点，按螺栓数抽查10%，且不少于2个</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外墙饰面砖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粘结强度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相同材料、工艺和施工条件每500m2应划分为一批，不足500m2也应划分为一个检验批。常规检测项目送样：不少于15块，且不小于1㎡。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焊缝（钢构件焊接工程）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超声波探伤</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检查数量：全数检查。一级焊缝100%；二级焊缝：20%。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二级焊缝比例按以下原则：工厂制作焊缝按照焊缝长度计算百分比,且探伤长度不小于200mm；现场安装焊缝应按照同一类型、同一施焊条件的缝条数计算百分比，且不应少于3条焊缝。</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X射线</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钢结构涂装</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防腐、防火涂层厚度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按构件数抽查10%，且同类构件不应少于3件，每个构件检测5处。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构筑物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功能性试验</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水处理构筑物满水试验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施工完毕必须进行满水试验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给水管道工程</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现场焊缝</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超声波探伤</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DN800mm 及以上口径焊缝：需按每条焊缝的5-10%进行X光检测以及每条焊缝的5-10%进行超声波检测（包含必检的T字缝及底部焊缝）；若建成区内不具备条件进行X光检测的，只采用超声波检测并将检测提高至每条焊缝的100%。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DN400-DN800口径焊缝：需按每条焊缝的20%进行超声波检测（包含必检的T字缝及底部焊缝）。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DN300及以下口径焊缝：需按每条焊缝的10%进行超声波检测（包含必检的T字缝及底部焊缝）。</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X射线</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现场焊缝防腐</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涂层厚度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按构件数抽查10%，且同类构件不应少于3件，每个构件检测5处。由各项目负责人确定</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管道功能性试验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（有压管道）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水压试验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全管长的100%检测（与施工单位的水压试验为同一试验，现场试验时，施工单位通知监测单位到场配合，由检测单位出具相关检测报告）</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管道回填</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每1000m2每层每侧一组，每组3点。组≈长度*槽宽/1000*（3+管径/200*2）。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管道垫层</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每100米每层一组，每组3点。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雨污水管道工程</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管道功能性试验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（无压管道）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闭水试验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全检</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管道功能性试验</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管道CCTV</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雨水管道抽取10%井段检测、管径大于等于300mmd的污水管道 抽取 100%检测</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管道回填</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两井之间检测一个断面，每层每侧一组，每组3点。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管道垫层</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以100米检测一个断面，每层一组，每组3点。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道路工程</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路基</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每1000m²、每层测3点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弯沉值</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每车道、每20m测1点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路面基层</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每1000m²、每层测1点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试件7d无侧限抗压强度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每2000m²抽检1组（6块）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弯沉值</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每车道、每20m测1点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路面面层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（水泥混凝土）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厚度（钻芯法）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每1000m²测1点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弯拉强度（钻芯及劈裂试验）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每100m³的同配合比的混凝土，取样1次；不足100m³时按1次计。每次取样应至少留置1组标准养护试件。同条件养护试件的留置组数应根据实际需要确定，最少1组。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抗滑构造深度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每1000m²测1点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路面面层（沥青）</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芯样马歇尔</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同一台拌机生产对的沥青混合料2000t或每天一次，以频率密者为准。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压实度、厚度检测（含钻芯）</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每1000m²测1点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面层弯沉值</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每车道、每20m测1点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其他回填土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压实度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构筑物四周回填按50延米/层1组；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大面积回填按500m/层1组；每组3点。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0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五、常规材料检测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建、构筑物工程材料</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凝结时间、安定性（沸煮法）、胶砂强度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以同一生产厂家、同一强度等级、同一品种、同一批号且连续进场的水泥，袋装不超过200t、散装500t为一批，每批抽样不少于一次。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水泥（水泥土桩用）</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凝结时间、安定性（沸煮法）、胶砂强度、标准稠度用水量、细度、密度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以同一生产厂家、同一强度等级、同一品种、同一批号且连续进场的水泥，袋装不超过200t、散装500t为一批，每批抽样不少于一次。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屈服强度、抗拉强度、断后伸长率、弯曲、重量偏差、反向弯曲</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每批由同一牌号、同一炉罐号、同一规格的钢筋组成。每批重量不大于60t。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钢筋（热轧光圆钢筋）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屈服强度、抗拉强度、断后伸长率、弯曲、重量偏差</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钢筋焊接接头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（电弧焊）</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抗拉强度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以300个同牌号钢筋接头作为一批；当不足300个接头时，仍应作为一批。每一检验批接头中随机切取三个接头进行试验。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烧结普通砖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每一生产厂家，每15万块为一验收批，不足上述数量时按1批计，抽检数量为1组。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烧结多孔砖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每一生产厂家，每10万块为一验收批，不足上述数量时按1批计，抽检数量为1组。</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抗折强度试验（若为承重墙）</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混凝土实心砖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每一生产厂家，每15万块为一验收批，不足上述数量时按1批计，抽检数量为1组。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混凝土多孔砖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每一生产厂家，每10万块为一验收批，不足上述数量时按1批计，抽检数量为1组。</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抗折强度试验（若为承重墙）</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加气混凝土砌块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同品种、同规格、同等级的砌块，以10000块为一批，不足10000块亦为一批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吸水率、破坏强度、断裂模数</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同一厂家生产、同一品种、同一类型至少抽取一组</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放射性核素（若为室内饰面砖）</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建构筑物：每100m³混凝土为一个验收批；当同一部位、同一配合比的混凝土一次连续浇筑超过1000m³时，每拌制200m³混凝土为一个验收批；每一楼层取样不得少于一次；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地基及支护工程：灌注桩每浇筑50m³必须至少留置1组混凝土强度试件，单桩不足50m³的桩，每连续浇筑12h必须至少留置1组混凝土强度试件；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井：每根钻孔灌柱桩、每幅地下连续墙混凝土为一个验收批，抗压强度、抗渗试块应各留置一组；沉井及其他现浇结构的同一配合比混凝土，每工作班且每浇筑100m³为一个验收批，抗压强度试块留置不应少于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氯离子</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氯离子含量（预拌）：同一工程、同一配合比不应少于1次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抗渗</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有抗渗要求的混凝土结构：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1)同一配合比的混凝土，每构筑物按底板、池壁和顶板等部位，每一部位每浇筑500m³混凝土为一个验收批，留置一组，每组六块；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2)同一部位混凝土一次连续浇筑超过2000m³时，每浇筑1000m³混凝土为一个验收批，留置一组，每组六块。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配合比</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同一配合比的混凝土检查不应少于一次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砌筑砂浆</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建筑工程：每一检验批且不超过250m³砌体的各类、各强度等级的普通砌筑砂浆，每台搅拌机应至少抽检一次。验收批的预拌砂浆、蒸压加气混凝土砌块专用砂浆，抽检可为3组。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给水排水构筑物：每座砌体水处理构筑物的同一类型、强度等级砂浆，每砌筑100m³砌体的砂浆作为一个验收批，强度值应至少检查一次，每次应留置试块一-组；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天然砂</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筛分析、含泥量、泥块含量、氯离子含量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按同产地、同品种、规格、且连续进场的集料，每400m³或600t为一批，不足400m³或600t按一批计，每批抽检1次。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（机制砂/石屑）</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筛分析、石粉含量（含亚甲蓝试验）、氯离子含量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按同产地、同品种、规格、且连续进场的集料，每400m³或600t为一批，不足400m³或600t按一批计，每批抽检1次。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高聚物改性沥青防水卷材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（屋面工程）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可溶物含量、拉力、最大拉力时延伸率、耐热度、低温柔度、不透水性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（待定：无处理时卷材接缝剥离强度和搭接缝不透水性检测）</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大于1000卷抽5 卷，每500卷~1000卷抽4卷、100卷~499卷抽3卷，100卷以下抽2卷，进行规格尺寸和外观质量检验。在外观质量检验合格的卷材中，任取一卷作物理性能检验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合成高分子防水卷材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（屋面工程）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断裂拉伸强度、扯断伸长率、低温弯折性、不透水性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（待定：无处理时卷材接缝剥离强度和搭接缝不透水性检测）</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高聚物改性沥青防水涂料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（屋面工程）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固体含量、耐热性、低温柔性、不透水性、抗裂性</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 10t为一批，不足10t 按一批抽样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合成高分子防水涂料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（屋面工程）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固体含量、拉伸强度、断裂伸长率、低温柔性、不透水性</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聚合物水泥防水涂料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（屋面工程）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固体含量、拉伸强度、断裂伸长率、低温柔性、不透水性</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高聚物改性沥青类防水卷材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（地下防水工程）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可溶物含量，拉力，延伸率，低温柔度，热老化后低温柔度，不透水性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（待定：无处理时卷材接缝剥离强度和搭接缝不透水性检测）</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大于1000卷抽5卷，每500卷~1000卷抽4卷、100卷~499卷抽3卷，100卷以下抽2卷，进行规格尺寸和外观质量检验。在外观质量检验合格的卷材中，任取一卷作物理性能检验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合成高分子类防水卷材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（地下防水工程）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断裂拉伸强度，断裂伸长率，低温弯 折性，不透水性，撕裂强度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（待定：无处理时卷材接缝剥离强度和搭接缝不透水性检测）</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有机防水涂料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（地下防水工程）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潮湿基面粘结强度，涂膜抗渗性，浸水168h后拉伸强度，浸水168h后断裂伸长率，耐水性</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每5t为一批， 不足5t按一批抽样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无机防水涂料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（地下防水工程）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抗折强度，粘结强度，抗渗性</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每10t为一批，不足10t按一批抽样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水泥基渗透结晶型防水材料</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抗折强度、湿基面粘结强度、抗渗压力</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每10t为一批，不足10t按一批抽样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道路工程材料</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凝结时间、安定性（沸煮法）、胶砂强度、氯离子</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以同一生产厂家、同一强度等级、同一品种、同一批号且连续进场的水泥，袋装不超过200t、散装500t为一批，每批抽样不少于一次。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屈服强度、抗拉强度、断后伸长率、弯曲、重量偏差</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每批由同一牌号、同一炉罐号、同一规格的钢筋组成。每批重量不大于60t。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钢筋焊接接头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（电弧焊）</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抗拉强度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以300个同牌号钢筋接头作为一批；当不足300个接头时，仍应作为一批。每一检验批接头中随机切取三个接头进行试验。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混凝土预制砌块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（道路）</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同一品种、规格、每检验批1组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混凝土路缘石</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抗压强度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同一品种、规格、每检验批1组（3块）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（机制砂/石屑）</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筛分析、石粉含量（含亚甲蓝试验）、氯离子含量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按同产地、同品种、规格、且连续进场的集料，每400m³或600t为一批，不足400m³或600t按一批计，每批抽检1次。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沥青混合料</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马歇尔试验配合比</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每日、每品种检测一次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沥青含量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每日、每品种检测一次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（顶管工作井）</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试块抗压</w:t>
            </w:r>
          </w:p>
        </w:tc>
        <w:tc>
          <w:tcPr>
            <w:tcW w:w="4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每根钻孔灌柱桩、每幅地下连续墙混凝土为一个验收批，抗压强度、抗渗试块应各留置一组；沉井及其他现浇结构的同一配合比混凝土，每工作班且每浇筑100m3为一个验收批，抗压强度试块留置不应少于l 组；每浇筑500m3 混凝土抗渗试块留置不应少于1组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试块抗渗</w:t>
            </w:r>
          </w:p>
        </w:tc>
        <w:tc>
          <w:tcPr>
            <w:tcW w:w="4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（井室、支墩）</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试块抗压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每50m3砌体或混凝土每浇筑1个台班一组试块。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（井室）</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试块抗压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每50m3砌体或混凝土每浇筑1个台班一组试块。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砂浆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（人行道）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试块抗压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同一配合比，每1000m2取1组(6块)，不足1000m2取1组。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配合比</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同一配合比的混凝土检查不应少于一次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交通标志</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逆反射系数</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每10块板测1处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给排水</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外压荷载</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相同原材料、相同生产工艺制作的同一种规格、同一种接口型式、同一种外压荷载级别、生产量内径200-500mm时小于等于2500根为一批次，内径600-1400mm时小于等于2000根为一批次，内径1500-2200mm时小于等于1500根为一批次 ， 内径2400-3500mm时小于等于1000根为一批次。从受检验批里面抽取1根检测外压荷载。</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球墨铸铁管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布氏硬度、拉伸性能、断后延伸率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球管DN40~DN300，每200条抽1条检测。DN350~DN600，每100条抽1条检测。DN700~DN1000管，每50条抽1条检测。DN1100~DN3000检测，每25条抽1条检测。</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屈服强度、抗拉强度、断后伸长率、弯曲</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同一牌号，同一炉号，同一规格，同一焊接工艺，统一热处理制度，≤60t为一批，每批在两根钢管上各取一个试样进行拉伸</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涂层厚度（内外防腐）</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每20根1组(不足20根按1组)，每组抽查1根。测管两端和中间共3个截面，每截面测互相垂直的4点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UPVC管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落锤冲击性能、纵向回缩率、维卡软化温度、拉伸屈服强度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规范：同一原料配方、同一工艺和同一规格连续生产的管材作为一批，每批数量不超过50t。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检测单位提出：同一原料配方、同一工艺和同一规格连续生产的管材作为一批，当dn≤75mm时，每批数量不超过80000m；当75mm〈dn≤160mm时，每批数量不超过50000m；当160mm〈dn≤315mm时，每批数量不超过30000m。</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PE给水管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断裂伸长率、静液压强度、纵向回缩率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同一原料、配方和工艺连续生产的同一规格管材为一批，每批数量不超过200t。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HDPE排水管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落锤冲击性能试验、烘箱试验、环刚度、环柔性</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同一原料、配方和工艺情况下生产的同一规格管材为一批，每批数量不超过300t。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阀门类</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壳体强度试验、密封试验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按一次进货的同一厂家、规格，公称口径，每100个为一批，每批次检测1个</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承载力</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抽取2套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灰砂砖</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外观质量、尺寸偏差、抗压抗折强度、吸水率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每100000块1组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绿化工程</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种植土</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水分、PH、电导率、有机质、质地、全氮、全磷、全钾</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客土，每500 m3为一个检验批，不少于2批次；原土，每5000 m2为一个检验批，不少于2批次。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植物病虫害</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乔灌木</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每100株抽检10株，每株为一点，不满100株按100株算。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绿篱</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按面积抽检10%，每4㎡为一点，每处不少于3点。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照明及电气工程</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照度、亮度、均匀度、炫光度、环境比、功率密度、控制电路</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按照进场的同一生产厂家、同一规格型号的材料数 量为基数取样。材料总数量(个数)在200个及以下取样2个；201-2000个抽检3个，2000个以上时，每增1000个增加抽检1个。同工程项目、同施工单位且同期施工的多个单位工程可合并计算</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配电线路</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标志、结构尺寸、老化机械性能、热延伸试验、直流电阻、绝缘电阻、电压试验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同一生产厂家各种规格型号总数的10%，取样不少于2种规格。</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配电箱及开关箱</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标志、接地措施、防触电保护、电气间距、爬电距离、耐潮</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全数检查。</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建筑门窗（1.5*1.5m以内）</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气密性能、水密性能、抗风压性能</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同一厂家同一品种同一类型的产品各抽查不少于一组。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建筑门窗（2.0*2.0m以内）</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气密性能、水密性能、抗风压性能</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同一厂家同一品种同一类型的产品各抽查不少于一组。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建筑门窗（3.0*3.0m以内）</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气密性能、水密性能、抗风压性能</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同一厂家同一品种同一类型的产品各抽查不少于一组。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人造木板</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甲醛释放量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同一品种、类型和规格的木门窗、金属门窗、塑料门窗和门窗玻璃每100樘应划分为一个检验批，不足100樘也应划分为一个检验批；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钢板</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拉伸、冷弯</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同牌号、同炉号、同规格、同镀层重量、同镀层表面结构和同表面处理的钢材组成，不大于30t的为一批。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尺寸偏差、抗拉、膜厚</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由同一牌号、状态、规格、同一表面处理方法的材料组成，批重不限。</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橡胶止水带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硬度、拉伸强度、扯断伸长率、压缩永久变形、撕裂强度、脆性温度、热空气老化、橡胶与金属结合</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B类、S类以同标记、连续生产的5000m为一批J类止水带以每100m为一批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镀锌钢板止水带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屈服强度，抗拉强度，断后伸长率，镀锌层重量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以每月同标记的止水带产量为一批。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建筑节能材料</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建筑采光、室内室外热环境、建筑玻璃光学热工</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建筑采光按委托单位要求而定；建筑玻璃光学热工同一厂家同一品种同一类型的产品各抽查不少于一组。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不锈钢集水槽</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外观、尺寸、抗拉强度、伸长率、弯曲</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不锈钢集水槽原材按同牌号、同炉号、同规格、同镀层重量、同镀层表面结构和同表面处理的钢材组成，不大于30t的为一批。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电缆桥架</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桥架外观、尺寸、抗拉强度、弯曲、冲击等</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同一牌号、同一炉号、同一质量等级、同一品种、同一尺寸、同一交货状态的钢材组成每批重量应不大于60t</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电力套管用HDPE管</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烘箱试验、扁平试验、纵向回缩率、维卡软化温度、落锤冲击试验、拉伸强度、断裂伸长率、环刚度、外观尺寸</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同一批原料，同一配方和工艺条件下生产的同一规格管材为一批，每批数量不超过6*10^4 kg。如生产量少，生产期6天尚不足6*10^4g，则以7天产量为一批</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投标下浮率（</w:t>
            </w:r>
            <w:r>
              <w:rPr>
                <w:rFonts w:hint="eastAsia" w:ascii="宋体" w:hAnsi="宋体" w:eastAsia="宋体" w:cs="宋体"/>
                <w:b/>
                <w:bCs/>
                <w:i w:val="0"/>
                <w:iCs w:val="0"/>
                <w:color w:val="auto"/>
                <w:sz w:val="21"/>
                <w:szCs w:val="21"/>
                <w:highlight w:val="none"/>
                <w:u w:val="none"/>
                <w:lang w:val="en-US" w:eastAsia="zh-CN"/>
              </w:rPr>
              <w:t>%</w:t>
            </w:r>
            <w:r>
              <w:rPr>
                <w:rFonts w:hint="eastAsia" w:ascii="宋体" w:hAnsi="宋体" w:eastAsia="宋体" w:cs="宋体"/>
                <w:b/>
                <w:bCs/>
                <w:i w:val="0"/>
                <w:iCs w:val="0"/>
                <w:color w:val="auto"/>
                <w:sz w:val="21"/>
                <w:szCs w:val="21"/>
                <w:highlight w:val="none"/>
                <w:u w:val="none"/>
                <w:lang w:eastAsia="zh-CN"/>
              </w:rPr>
              <w:t>）</w:t>
            </w:r>
          </w:p>
        </w:tc>
        <w:tc>
          <w:tcPr>
            <w:tcW w:w="126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rPr>
          <w:rFonts w:hint="eastAsia" w:cs="宋体"/>
          <w:color w:val="auto"/>
          <w:sz w:val="28"/>
          <w:szCs w:val="24"/>
          <w:highlight w:val="none"/>
          <w:lang w:val="en-US" w:eastAsia="zh-CN"/>
        </w:rPr>
      </w:pPr>
    </w:p>
    <w:p>
      <w:pPr>
        <w:pStyle w:val="7"/>
        <w:jc w:val="both"/>
        <w:outlineLvl w:val="1"/>
        <w:rPr>
          <w:rFonts w:hint="eastAsia" w:cs="宋体"/>
          <w:color w:val="auto"/>
          <w:sz w:val="28"/>
          <w:szCs w:val="24"/>
          <w:highlight w:val="none"/>
          <w:lang w:val="en-US" w:eastAsia="zh-CN"/>
        </w:rPr>
      </w:pPr>
    </w:p>
    <w:p>
      <w:pPr>
        <w:pStyle w:val="47"/>
        <w:wordWrap w:val="0"/>
        <w:jc w:val="right"/>
        <w:rPr>
          <w:rFonts w:hint="eastAsia" w:ascii="宋体" w:hAnsi="宋体"/>
          <w:color w:val="auto"/>
          <w:sz w:val="28"/>
          <w:szCs w:val="28"/>
          <w:highlight w:val="none"/>
          <w:lang w:eastAsia="zh-CN"/>
        </w:rPr>
      </w:pPr>
      <w:r>
        <w:rPr>
          <w:rFonts w:hint="eastAsia" w:cs="宋体"/>
          <w:color w:val="auto"/>
          <w:sz w:val="28"/>
          <w:szCs w:val="24"/>
          <w:highlight w:val="none"/>
          <w:lang w:val="en-US" w:eastAsia="zh-CN"/>
        </w:rPr>
        <w:t>投标人：</w:t>
      </w:r>
      <w:r>
        <w:rPr>
          <w:rFonts w:hint="eastAsia" w:ascii="宋体" w:hAnsi="宋体"/>
          <w:color w:val="auto"/>
          <w:sz w:val="28"/>
          <w:szCs w:val="28"/>
          <w:highlight w:val="none"/>
        </w:rPr>
        <w:t>（盖单位章）</w:t>
      </w:r>
      <w:r>
        <w:rPr>
          <w:rFonts w:hint="eastAsia" w:ascii="宋体" w:hAnsi="宋体"/>
          <w:color w:val="auto"/>
          <w:sz w:val="28"/>
          <w:szCs w:val="28"/>
          <w:highlight w:val="none"/>
        </w:rPr>
        <w:tab/>
      </w:r>
    </w:p>
    <w:p>
      <w:pPr>
        <w:pStyle w:val="47"/>
        <w:wordWrap w:val="0"/>
        <w:jc w:val="right"/>
        <w:rPr>
          <w:rFonts w:hint="default" w:eastAsia="宋体"/>
          <w:color w:val="auto"/>
          <w:highlight w:val="none"/>
          <w:lang w:val="en-US" w:eastAsia="zh-CN"/>
        </w:rPr>
      </w:pPr>
      <w:r>
        <w:rPr>
          <w:rFonts w:hint="eastAsia" w:ascii="宋体" w:hAnsi="宋体"/>
          <w:color w:val="auto"/>
          <w:sz w:val="28"/>
          <w:szCs w:val="28"/>
          <w:highlight w:val="none"/>
          <w:lang w:eastAsia="zh-CN"/>
        </w:rPr>
        <w:t>年</w:t>
      </w:r>
      <w:r>
        <w:rPr>
          <w:rFonts w:hint="eastAsia" w:ascii="宋体" w:hAnsi="宋体"/>
          <w:color w:val="auto"/>
          <w:sz w:val="28"/>
          <w:szCs w:val="28"/>
          <w:highlight w:val="none"/>
          <w:lang w:val="en-US" w:eastAsia="zh-CN"/>
        </w:rPr>
        <w:t xml:space="preserve">   月   日</w:t>
      </w:r>
    </w:p>
    <w:p>
      <w:pPr>
        <w:pStyle w:val="7"/>
        <w:wordWrap w:val="0"/>
        <w:jc w:val="right"/>
        <w:outlineLvl w:val="1"/>
        <w:rPr>
          <w:rFonts w:hint="eastAsia" w:cs="宋体"/>
          <w:color w:val="auto"/>
          <w:sz w:val="28"/>
          <w:szCs w:val="24"/>
          <w:highlight w:val="none"/>
          <w:lang w:val="en-US" w:eastAsia="zh-CN"/>
        </w:rPr>
      </w:pPr>
      <w:r>
        <w:rPr>
          <w:rFonts w:hint="eastAsia" w:cs="宋体"/>
          <w:color w:val="auto"/>
          <w:sz w:val="28"/>
          <w:szCs w:val="24"/>
          <w:highlight w:val="none"/>
          <w:lang w:val="en-US" w:eastAsia="zh-CN"/>
        </w:rPr>
        <w:t xml:space="preserve">       </w:t>
      </w:r>
    </w:p>
    <w:p>
      <w:pPr>
        <w:pStyle w:val="7"/>
        <w:wordWrap/>
        <w:jc w:val="right"/>
        <w:outlineLvl w:val="1"/>
        <w:rPr>
          <w:rFonts w:hint="default" w:cs="宋体"/>
          <w:color w:val="auto"/>
          <w:sz w:val="28"/>
          <w:szCs w:val="24"/>
          <w:highlight w:val="none"/>
          <w:lang w:val="en-US" w:eastAsia="zh-CN"/>
        </w:rPr>
        <w:sectPr>
          <w:pgSz w:w="16838" w:h="11905" w:orient="landscape"/>
          <w:pgMar w:top="1417" w:right="1417" w:bottom="1417" w:left="1417" w:header="992" w:footer="992" w:gutter="0"/>
          <w:lnNumType w:countBy="0" w:distance="360"/>
          <w:pgNumType w:fmt="decimal"/>
          <w:cols w:space="0" w:num="1"/>
          <w:rtlGutter w:val="0"/>
          <w:docGrid w:linePitch="0" w:charSpace="0"/>
        </w:sectPr>
      </w:pPr>
    </w:p>
    <w:p>
      <w:pPr>
        <w:pStyle w:val="7"/>
        <w:jc w:val="center"/>
        <w:outlineLvl w:val="1"/>
        <w:rPr>
          <w:rFonts w:hint="default" w:ascii="宋体" w:hAnsi="宋体" w:eastAsia="宋体" w:cs="宋体"/>
          <w:color w:val="auto"/>
          <w:sz w:val="28"/>
          <w:szCs w:val="24"/>
          <w:highlight w:val="none"/>
          <w:lang w:val="en-US" w:eastAsia="zh-CN"/>
        </w:rPr>
      </w:pPr>
      <w:r>
        <w:rPr>
          <w:rFonts w:hint="eastAsia" w:cs="宋体"/>
          <w:color w:val="auto"/>
          <w:sz w:val="28"/>
          <w:szCs w:val="24"/>
          <w:highlight w:val="none"/>
          <w:lang w:val="en-US" w:eastAsia="zh-CN"/>
        </w:rPr>
        <w:t>七、服务方案</w:t>
      </w:r>
    </w:p>
    <w:p>
      <w:pPr>
        <w:spacing w:line="240" w:lineRule="exact"/>
        <w:ind w:left="840" w:leftChars="0" w:hanging="840" w:hangingChars="400"/>
        <w:jc w:val="both"/>
        <w:rPr>
          <w:rFonts w:ascii="宋体" w:hAnsi="宋体"/>
          <w:color w:val="auto"/>
          <w:sz w:val="21"/>
          <w:highlight w:val="none"/>
        </w:rPr>
      </w:pPr>
      <w:r>
        <w:rPr>
          <w:rFonts w:ascii="宋体" w:hAnsi="宋体"/>
          <w:color w:val="auto"/>
          <w:sz w:val="21"/>
          <w:highlight w:val="none"/>
        </w:rPr>
        <w:t>应</w:t>
      </w:r>
      <w:r>
        <w:rPr>
          <w:rFonts w:ascii="宋体" w:hAnsi="宋体"/>
          <w:b w:val="0"/>
          <w:bCs w:val="0"/>
          <w:color w:val="auto"/>
          <w:sz w:val="21"/>
          <w:highlight w:val="none"/>
        </w:rPr>
        <w:t>包括（但不限于）</w:t>
      </w:r>
      <w:r>
        <w:rPr>
          <w:rFonts w:ascii="宋体" w:hAnsi="宋体"/>
          <w:color w:val="auto"/>
          <w:sz w:val="21"/>
          <w:highlight w:val="none"/>
        </w:rPr>
        <w:t>下列内容：</w:t>
      </w:r>
    </w:p>
    <w:p>
      <w:pPr>
        <w:spacing w:line="168" w:lineRule="exact"/>
        <w:ind w:left="960" w:leftChars="0" w:hanging="960" w:hangingChars="400"/>
        <w:jc w:val="both"/>
        <w:rPr>
          <w:rFonts w:eastAsia="Times New Roman"/>
          <w:color w:val="auto"/>
          <w:highlight w:val="none"/>
        </w:rPr>
      </w:pPr>
    </w:p>
    <w:p>
      <w:pPr>
        <w:spacing w:line="240" w:lineRule="exact"/>
        <w:ind w:left="840" w:leftChars="0" w:hanging="840" w:hangingChars="400"/>
        <w:jc w:val="both"/>
        <w:rPr>
          <w:rFonts w:hint="eastAsia" w:ascii="宋体" w:hAnsi="宋体"/>
          <w:color w:val="auto"/>
          <w:sz w:val="21"/>
          <w:highlight w:val="none"/>
        </w:rPr>
      </w:pPr>
      <w:r>
        <w:rPr>
          <w:rFonts w:hint="eastAsia" w:ascii="宋体" w:hAnsi="宋体"/>
          <w:color w:val="auto"/>
          <w:sz w:val="21"/>
          <w:highlight w:val="none"/>
          <w:lang w:val="en-US" w:eastAsia="zh-CN"/>
        </w:rPr>
        <w:t>1</w:t>
      </w:r>
      <w:r>
        <w:rPr>
          <w:rFonts w:hint="eastAsia" w:ascii="宋体" w:hAnsi="宋体"/>
          <w:color w:val="auto"/>
          <w:sz w:val="21"/>
          <w:highlight w:val="none"/>
        </w:rPr>
        <w:t>、合同管理、信息管理、档案管理方法；</w:t>
      </w:r>
    </w:p>
    <w:p>
      <w:pPr>
        <w:spacing w:line="240" w:lineRule="exact"/>
        <w:ind w:left="840" w:leftChars="0" w:hanging="840" w:hangingChars="400"/>
        <w:jc w:val="both"/>
        <w:rPr>
          <w:rFonts w:hint="eastAsia" w:ascii="宋体" w:hAnsi="宋体"/>
          <w:color w:val="auto"/>
          <w:sz w:val="21"/>
          <w:highlight w:val="none"/>
        </w:rPr>
      </w:pPr>
      <w:r>
        <w:rPr>
          <w:rFonts w:hint="eastAsia" w:ascii="宋体" w:hAnsi="宋体"/>
          <w:color w:val="auto"/>
          <w:sz w:val="21"/>
          <w:highlight w:val="none"/>
          <w:lang w:val="en-US" w:eastAsia="zh-CN"/>
        </w:rPr>
        <w:t>2</w:t>
      </w:r>
      <w:r>
        <w:rPr>
          <w:rFonts w:hint="eastAsia" w:ascii="宋体" w:hAnsi="宋体"/>
          <w:color w:val="auto"/>
          <w:sz w:val="21"/>
          <w:highlight w:val="none"/>
        </w:rPr>
        <w:t>、检测、监测方案；</w:t>
      </w:r>
    </w:p>
    <w:p>
      <w:pPr>
        <w:spacing w:line="240" w:lineRule="exact"/>
        <w:ind w:left="840" w:leftChars="0" w:hanging="840" w:hangingChars="400"/>
        <w:jc w:val="both"/>
        <w:rPr>
          <w:rFonts w:hint="eastAsia" w:ascii="宋体" w:hAnsi="宋体"/>
          <w:color w:val="auto"/>
          <w:sz w:val="21"/>
          <w:highlight w:val="none"/>
        </w:rPr>
      </w:pPr>
      <w:r>
        <w:rPr>
          <w:rFonts w:hint="eastAsia" w:ascii="宋体" w:hAnsi="宋体"/>
          <w:color w:val="auto"/>
          <w:sz w:val="21"/>
          <w:highlight w:val="none"/>
          <w:lang w:val="en-US" w:eastAsia="zh-CN"/>
        </w:rPr>
        <w:t>3</w:t>
      </w:r>
      <w:r>
        <w:rPr>
          <w:rFonts w:hint="eastAsia" w:ascii="宋体" w:hAnsi="宋体"/>
          <w:color w:val="auto"/>
          <w:sz w:val="21"/>
          <w:highlight w:val="none"/>
        </w:rPr>
        <w:t>、对重点难点能提出针对性强的检测、监测措施</w:t>
      </w:r>
      <w:r>
        <w:rPr>
          <w:rFonts w:hint="eastAsia" w:ascii="宋体" w:hAnsi="宋体"/>
          <w:color w:val="auto"/>
          <w:sz w:val="21"/>
          <w:highlight w:val="none"/>
          <w:lang w:eastAsia="zh-CN"/>
        </w:rPr>
        <w:t>和</w:t>
      </w:r>
      <w:r>
        <w:rPr>
          <w:rFonts w:hint="eastAsia" w:ascii="宋体" w:hAnsi="宋体"/>
          <w:color w:val="auto"/>
          <w:sz w:val="21"/>
          <w:highlight w:val="none"/>
        </w:rPr>
        <w:t>方法。</w:t>
      </w:r>
    </w:p>
    <w:p>
      <w:pPr>
        <w:pStyle w:val="11"/>
        <w:spacing w:line="240" w:lineRule="exact"/>
        <w:ind w:left="960" w:leftChars="0" w:hanging="960" w:hangingChars="400"/>
        <w:jc w:val="both"/>
        <w:rPr>
          <w:rFonts w:hint="eastAsia"/>
          <w:color w:val="auto"/>
          <w:highlight w:val="none"/>
        </w:rPr>
      </w:pPr>
    </w:p>
    <w:p>
      <w:pPr>
        <w:spacing w:line="240" w:lineRule="exact"/>
        <w:ind w:left="840" w:leftChars="0" w:hanging="840" w:hangingChars="400"/>
        <w:jc w:val="both"/>
        <w:rPr>
          <w:rFonts w:ascii="宋体" w:hAnsi="宋体"/>
          <w:color w:val="auto"/>
          <w:sz w:val="21"/>
          <w:highlight w:val="none"/>
        </w:rPr>
      </w:pPr>
      <w:r>
        <w:rPr>
          <w:rFonts w:hint="eastAsia" w:ascii="宋体" w:hAnsi="宋体"/>
          <w:color w:val="auto"/>
          <w:sz w:val="21"/>
          <w:highlight w:val="none"/>
        </w:rPr>
        <w:t>......</w:t>
      </w:r>
    </w:p>
    <w:p>
      <w:pPr>
        <w:pStyle w:val="14"/>
        <w:numPr>
          <w:ilvl w:val="0"/>
          <w:numId w:val="0"/>
        </w:numPr>
        <w:kinsoku w:val="0"/>
        <w:overflowPunct w:val="0"/>
        <w:spacing w:line="360" w:lineRule="auto"/>
        <w:ind w:left="480"/>
        <w:rPr>
          <w:rFonts w:hint="eastAsia" w:ascii="宋体" w:hAnsi="宋体" w:eastAsia="宋体" w:cs="宋体"/>
          <w:color w:val="auto"/>
          <w:sz w:val="24"/>
          <w:szCs w:val="24"/>
          <w:highlight w:val="none"/>
        </w:rPr>
      </w:pPr>
    </w:p>
    <w:p>
      <w:pPr>
        <w:pStyle w:val="14"/>
        <w:kinsoku w:val="0"/>
        <w:overflowPunct w:val="0"/>
        <w:spacing w:before="275" w:line="357" w:lineRule="auto"/>
        <w:ind w:left="555" w:right="3835"/>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pgNumType w:fmt="decimal"/>
          <w:cols w:space="0" w:num="1"/>
          <w:rtlGutter w:val="0"/>
          <w:docGrid w:linePitch="0" w:charSpace="0"/>
        </w:sectPr>
      </w:pPr>
    </w:p>
    <w:p>
      <w:pPr>
        <w:pStyle w:val="7"/>
        <w:numPr>
          <w:ilvl w:val="0"/>
          <w:numId w:val="0"/>
        </w:numPr>
        <w:jc w:val="center"/>
        <w:outlineLvl w:val="1"/>
        <w:rPr>
          <w:rFonts w:hint="eastAsia" w:ascii="宋体" w:hAnsi="宋体" w:eastAsia="宋体" w:cs="宋体"/>
          <w:color w:val="auto"/>
          <w:sz w:val="28"/>
          <w:szCs w:val="24"/>
          <w:highlight w:val="none"/>
        </w:rPr>
      </w:pPr>
      <w:bookmarkStart w:id="316" w:name="bookmark194"/>
      <w:bookmarkEnd w:id="316"/>
      <w:bookmarkStart w:id="317" w:name="_Toc26031"/>
      <w:r>
        <w:rPr>
          <w:rFonts w:hint="eastAsia" w:cs="宋体"/>
          <w:color w:val="auto"/>
          <w:sz w:val="28"/>
          <w:szCs w:val="24"/>
          <w:highlight w:val="none"/>
          <w:lang w:val="en-US" w:eastAsia="zh-CN"/>
        </w:rPr>
        <w:t>八、</w:t>
      </w:r>
      <w:r>
        <w:rPr>
          <w:rFonts w:hint="eastAsia" w:ascii="宋体" w:hAnsi="宋体" w:eastAsia="宋体" w:cs="宋体"/>
          <w:color w:val="auto"/>
          <w:sz w:val="28"/>
          <w:szCs w:val="24"/>
          <w:highlight w:val="none"/>
        </w:rPr>
        <w:t>其他资料</w:t>
      </w:r>
      <w:bookmarkEnd w:id="317"/>
    </w:p>
    <w:p>
      <w:pPr>
        <w:spacing w:line="360" w:lineRule="auto"/>
        <w:jc w:val="both"/>
        <w:rPr>
          <w:rFonts w:hint="eastAsia"/>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eastAsia="zh-CN"/>
        </w:rPr>
        <w:t>一</w:t>
      </w:r>
      <w:r>
        <w:rPr>
          <w:rFonts w:hint="eastAsia"/>
          <w:b/>
          <w:color w:val="auto"/>
          <w:sz w:val="24"/>
          <w:szCs w:val="24"/>
          <w:highlight w:val="none"/>
        </w:rPr>
        <w:t>）近年完成的类似项目情况表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项目名称</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项目所在地</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委托人名称</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委托人地址</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委托人电话</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合同价格</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服务期限</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lang w:eastAsia="zh-CN"/>
              </w:rPr>
              <w:t>服务</w:t>
            </w:r>
            <w:r>
              <w:rPr>
                <w:rFonts w:hint="eastAsia"/>
                <w:color w:val="auto"/>
                <w:sz w:val="24"/>
                <w:highlight w:val="none"/>
              </w:rPr>
              <w:t>内容</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eastAsia="宋体"/>
                <w:color w:val="auto"/>
                <w:sz w:val="24"/>
                <w:highlight w:val="none"/>
                <w:lang w:eastAsia="zh-CN"/>
              </w:rPr>
            </w:pPr>
            <w:r>
              <w:rPr>
                <w:rFonts w:hint="eastAsia"/>
                <w:color w:val="auto"/>
                <w:sz w:val="24"/>
                <w:highlight w:val="none"/>
                <w:lang w:eastAsia="zh-CN"/>
              </w:rPr>
              <w:t>项目负责人</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项目描述</w:t>
            </w:r>
          </w:p>
        </w:tc>
        <w:tc>
          <w:tcPr>
            <w:tcW w:w="6521" w:type="dxa"/>
            <w:noWrap w:val="0"/>
            <w:vAlign w:val="top"/>
          </w:tcPr>
          <w:p>
            <w:pPr>
              <w:jc w:val="both"/>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3" w:type="dxa"/>
            <w:noWrap w:val="0"/>
            <w:vAlign w:val="center"/>
          </w:tcPr>
          <w:p>
            <w:pPr>
              <w:jc w:val="center"/>
              <w:rPr>
                <w:rFonts w:hint="eastAsia"/>
                <w:color w:val="auto"/>
                <w:sz w:val="24"/>
                <w:highlight w:val="none"/>
              </w:rPr>
            </w:pPr>
            <w:r>
              <w:rPr>
                <w:rFonts w:hint="eastAsia"/>
                <w:color w:val="auto"/>
                <w:sz w:val="24"/>
                <w:highlight w:val="none"/>
              </w:rPr>
              <w:t>备注</w:t>
            </w:r>
          </w:p>
        </w:tc>
        <w:tc>
          <w:tcPr>
            <w:tcW w:w="6521" w:type="dxa"/>
            <w:noWrap w:val="0"/>
            <w:vAlign w:val="top"/>
          </w:tcPr>
          <w:p>
            <w:pPr>
              <w:jc w:val="both"/>
              <w:rPr>
                <w:rFonts w:hint="eastAsia"/>
                <w:color w:val="auto"/>
                <w:sz w:val="24"/>
                <w:highlight w:val="none"/>
              </w:rPr>
            </w:pPr>
          </w:p>
        </w:tc>
      </w:tr>
    </w:tbl>
    <w:p>
      <w:pPr>
        <w:jc w:val="both"/>
        <w:rPr>
          <w:rFonts w:hint="eastAsia"/>
          <w:color w:val="auto"/>
          <w:sz w:val="24"/>
          <w:highlight w:val="none"/>
        </w:rPr>
      </w:pPr>
    </w:p>
    <w:p>
      <w:pPr>
        <w:spacing w:line="200" w:lineRule="exact"/>
        <w:jc w:val="both"/>
        <w:rPr>
          <w:rFonts w:eastAsia="Times New Roman"/>
          <w:color w:val="auto"/>
          <w:highlight w:val="none"/>
        </w:rPr>
      </w:pPr>
    </w:p>
    <w:p>
      <w:pPr>
        <w:spacing w:line="200" w:lineRule="exact"/>
        <w:jc w:val="both"/>
        <w:rPr>
          <w:rFonts w:eastAsia="Times New Roman"/>
          <w:color w:val="auto"/>
          <w:highlight w:val="none"/>
        </w:rPr>
      </w:pPr>
    </w:p>
    <w:p>
      <w:pPr>
        <w:rPr>
          <w:rFonts w:hint="eastAsia" w:ascii="宋体" w:hAnsi="宋体" w:eastAsia="宋体" w:cs="宋体"/>
          <w:b/>
          <w:color w:val="auto"/>
          <w:sz w:val="24"/>
          <w:szCs w:val="24"/>
          <w:highlight w:val="none"/>
        </w:rPr>
      </w:pPr>
      <w:bookmarkStart w:id="318" w:name="_Toc12109"/>
      <w:r>
        <w:rPr>
          <w:rFonts w:hint="eastAsia" w:ascii="宋体" w:hAnsi="宋体" w:eastAsia="宋体" w:cs="宋体"/>
          <w:b/>
          <w:color w:val="auto"/>
          <w:sz w:val="24"/>
          <w:szCs w:val="24"/>
          <w:highlight w:val="none"/>
        </w:rPr>
        <w:br w:type="page"/>
      </w:r>
    </w:p>
    <w:p>
      <w:pPr>
        <w:pStyle w:val="8"/>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cs="宋体"/>
          <w:b/>
          <w:color w:val="auto"/>
          <w:sz w:val="24"/>
          <w:szCs w:val="24"/>
          <w:highlight w:val="none"/>
          <w:lang w:eastAsia="zh-CN"/>
        </w:rPr>
        <w:t>二</w:t>
      </w:r>
      <w:r>
        <w:rPr>
          <w:rFonts w:hint="eastAsia" w:ascii="宋体" w:hAnsi="宋体" w:eastAsia="宋体" w:cs="宋体"/>
          <w:b/>
          <w:color w:val="auto"/>
          <w:sz w:val="24"/>
          <w:szCs w:val="24"/>
          <w:highlight w:val="none"/>
        </w:rPr>
        <w:t>）拟委任的主要人员汇总表</w:t>
      </w:r>
      <w:bookmarkEnd w:id="318"/>
    </w:p>
    <w:p>
      <w:pPr>
        <w:pStyle w:val="14"/>
        <w:kinsoku w:val="0"/>
        <w:overflowPunct w:val="0"/>
        <w:ind w:left="0"/>
        <w:rPr>
          <w:rFonts w:hint="eastAsia" w:ascii="宋体" w:hAnsi="宋体" w:eastAsia="宋体" w:cs="宋体"/>
          <w:color w:val="auto"/>
          <w:sz w:val="20"/>
          <w:szCs w:val="24"/>
          <w:highlight w:val="none"/>
        </w:rPr>
      </w:pPr>
    </w:p>
    <w:p>
      <w:pPr>
        <w:pStyle w:val="14"/>
        <w:kinsoku w:val="0"/>
        <w:overflowPunct w:val="0"/>
        <w:spacing w:before="11"/>
        <w:ind w:left="0"/>
        <w:rPr>
          <w:rFonts w:hint="eastAsia" w:ascii="宋体" w:hAnsi="宋体" w:eastAsia="宋体" w:cs="宋体"/>
          <w:color w:val="auto"/>
          <w:sz w:val="22"/>
          <w:szCs w:val="24"/>
          <w:highlight w:val="none"/>
        </w:rPr>
      </w:pPr>
    </w:p>
    <w:tbl>
      <w:tblPr>
        <w:tblStyle w:val="24"/>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line="240" w:lineRule="atLeas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tLeast"/>
              <w:jc w:val="center"/>
              <w:rPr>
                <w:rFonts w:hint="eastAsia" w:ascii="宋体" w:hAnsi="宋体" w:eastAsia="宋体" w:cs="宋体"/>
                <w:color w:val="auto"/>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sectPr>
          <w:headerReference r:id="rId21" w:type="default"/>
          <w:footerReference r:id="rId22" w:type="default"/>
          <w:pgSz w:w="11905" w:h="16838"/>
          <w:pgMar w:top="1417" w:right="1417" w:bottom="1417" w:left="1417" w:header="992" w:footer="992" w:gutter="0"/>
          <w:lnNumType w:countBy="0" w:distance="360"/>
          <w:pgNumType w:fmt="decimal"/>
          <w:cols w:space="0" w:num="1"/>
          <w:rtlGutter w:val="0"/>
          <w:docGrid w:linePitch="0" w:charSpace="0"/>
        </w:sectPr>
      </w:pPr>
    </w:p>
    <w:p>
      <w:pPr>
        <w:pStyle w:val="8"/>
        <w:outlineLvl w:val="2"/>
        <w:rPr>
          <w:rFonts w:hint="eastAsia" w:ascii="宋体" w:hAnsi="宋体" w:eastAsia="宋体" w:cs="宋体"/>
          <w:b/>
          <w:color w:val="auto"/>
          <w:sz w:val="24"/>
          <w:szCs w:val="24"/>
          <w:highlight w:val="none"/>
        </w:rPr>
      </w:pPr>
      <w:bookmarkStart w:id="319" w:name="bookmark191"/>
      <w:bookmarkEnd w:id="319"/>
      <w:bookmarkStart w:id="320" w:name="_Toc30346"/>
      <w:r>
        <w:rPr>
          <w:rFonts w:hint="eastAsia" w:ascii="宋体" w:hAnsi="宋体" w:eastAsia="宋体" w:cs="宋体"/>
          <w:b/>
          <w:color w:val="auto"/>
          <w:sz w:val="24"/>
          <w:szCs w:val="24"/>
          <w:highlight w:val="none"/>
        </w:rPr>
        <w:t>（</w:t>
      </w:r>
      <w:r>
        <w:rPr>
          <w:rFonts w:hint="eastAsia" w:cs="宋体"/>
          <w:b/>
          <w:color w:val="auto"/>
          <w:sz w:val="24"/>
          <w:szCs w:val="24"/>
          <w:highlight w:val="none"/>
          <w:lang w:eastAsia="zh-CN"/>
        </w:rPr>
        <w:t>三</w:t>
      </w:r>
      <w:r>
        <w:rPr>
          <w:rFonts w:hint="eastAsia" w:ascii="宋体" w:hAnsi="宋体" w:eastAsia="宋体" w:cs="宋体"/>
          <w:b/>
          <w:color w:val="auto"/>
          <w:sz w:val="24"/>
          <w:szCs w:val="24"/>
          <w:highlight w:val="none"/>
        </w:rPr>
        <w:t>）主要人员简历表</w:t>
      </w:r>
      <w:bookmarkEnd w:id="320"/>
    </w:p>
    <w:p>
      <w:pPr>
        <w:pStyle w:val="14"/>
        <w:kinsoku w:val="0"/>
        <w:overflowPunct w:val="0"/>
        <w:ind w:left="0"/>
        <w:rPr>
          <w:rFonts w:hint="eastAsia" w:ascii="宋体" w:hAnsi="宋体" w:eastAsia="宋体" w:cs="宋体"/>
          <w:b/>
          <w:color w:val="auto"/>
          <w:sz w:val="24"/>
          <w:szCs w:val="24"/>
          <w:highlight w:val="none"/>
        </w:rPr>
      </w:pPr>
    </w:p>
    <w:p>
      <w:pPr>
        <w:pStyle w:val="14"/>
        <w:kinsoku w:val="0"/>
        <w:overflowPunct w:val="0"/>
        <w:spacing w:before="5"/>
        <w:ind w:left="0"/>
        <w:rPr>
          <w:rFonts w:hint="eastAsia" w:ascii="宋体" w:hAnsi="宋体" w:eastAsia="宋体" w:cs="宋体"/>
          <w:color w:val="auto"/>
          <w:sz w:val="16"/>
          <w:szCs w:val="24"/>
          <w:highlight w:val="none"/>
        </w:rPr>
      </w:pPr>
    </w:p>
    <w:tbl>
      <w:tblPr>
        <w:tblStyle w:val="24"/>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w:t>
            </w:r>
            <w:r>
              <w:rPr>
                <w:rFonts w:hint="eastAsia" w:ascii="宋体" w:hAnsi="宋体" w:cs="宋体"/>
                <w:color w:val="auto"/>
                <w:sz w:val="21"/>
                <w:szCs w:val="21"/>
                <w:highlight w:val="none"/>
                <w:lang w:val="en-US" w:eastAsia="zh-CN"/>
              </w:rPr>
              <w:t>检测、监测</w:t>
            </w:r>
            <w:r>
              <w:rPr>
                <w:rFonts w:hint="eastAsia" w:ascii="宋体" w:hAnsi="宋体" w:eastAsia="宋体" w:cs="宋体"/>
                <w:color w:val="auto"/>
                <w:sz w:val="21"/>
                <w:szCs w:val="21"/>
                <w:highlight w:val="none"/>
              </w:rPr>
              <w:t>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auto"/>
                <w:sz w:val="21"/>
                <w:szCs w:val="21"/>
                <w:highlight w:val="none"/>
              </w:rPr>
            </w:pPr>
          </w:p>
        </w:tc>
      </w:tr>
    </w:tbl>
    <w:p>
      <w:pPr>
        <w:pStyle w:val="14"/>
        <w:kinsoku w:val="0"/>
        <w:overflowPunct w:val="0"/>
        <w:spacing w:before="6"/>
        <w:ind w:left="0"/>
        <w:rPr>
          <w:rFonts w:hint="eastAsia" w:ascii="宋体" w:hAnsi="宋体" w:eastAsia="宋体" w:cs="宋体"/>
          <w:color w:val="auto"/>
          <w:sz w:val="24"/>
          <w:szCs w:val="24"/>
          <w:highlight w:val="none"/>
        </w:rPr>
      </w:pPr>
    </w:p>
    <w:p>
      <w:pPr>
        <w:pStyle w:val="14"/>
        <w:kinsoku w:val="0"/>
        <w:overflowPunct w:val="0"/>
        <w:spacing w:before="36"/>
        <w:ind w:left="100"/>
        <w:rPr>
          <w:rFonts w:hint="eastAsia" w:ascii="宋体" w:hAnsi="宋体" w:eastAsia="宋体" w:cs="宋体"/>
          <w:color w:val="auto"/>
          <w:sz w:val="24"/>
          <w:szCs w:val="24"/>
          <w:highlight w:val="none"/>
        </w:rPr>
      </w:pPr>
    </w:p>
    <w:p>
      <w:pPr>
        <w:pStyle w:val="14"/>
        <w:kinsoku w:val="0"/>
        <w:overflowPunct w:val="0"/>
        <w:spacing w:before="36"/>
        <w:ind w:left="100"/>
        <w:rPr>
          <w:rFonts w:hint="eastAsia" w:ascii="宋体" w:hAnsi="宋体" w:eastAsia="宋体" w:cs="宋体"/>
          <w:color w:val="auto"/>
          <w:sz w:val="24"/>
          <w:szCs w:val="24"/>
          <w:highlight w:val="none"/>
        </w:rPr>
        <w:sectPr>
          <w:headerReference r:id="rId23" w:type="default"/>
          <w:footerReference r:id="rId24" w:type="default"/>
          <w:pgSz w:w="11905" w:h="16838"/>
          <w:pgMar w:top="1417" w:right="1417" w:bottom="1417" w:left="1417" w:header="992" w:footer="992" w:gutter="0"/>
          <w:lnNumType w:countBy="0" w:distance="360"/>
          <w:pgNumType w:fmt="decimal"/>
          <w:cols w:space="0" w:num="1"/>
          <w:rtlGutter w:val="0"/>
          <w:docGrid w:linePitch="0" w:charSpace="0"/>
        </w:sectPr>
      </w:pPr>
    </w:p>
    <w:p>
      <w:pPr>
        <w:pStyle w:val="2"/>
        <w:ind w:left="0" w:leftChars="0" w:firstLine="0" w:firstLineChars="0"/>
        <w:rPr>
          <w:rFonts w:hint="eastAsia" w:ascii="宋体" w:hAnsi="宋体" w:cs="宋体"/>
          <w:b/>
          <w:color w:val="auto"/>
          <w:sz w:val="24"/>
          <w:szCs w:val="24"/>
          <w:highlight w:val="none"/>
          <w:lang w:val="en-US" w:eastAsia="zh-CN" w:bidi="ar-SA"/>
        </w:rPr>
      </w:pPr>
      <w:bookmarkStart w:id="321" w:name="bookmark192"/>
      <w:bookmarkEnd w:id="321"/>
      <w:r>
        <w:rPr>
          <w:rFonts w:hint="eastAsia" w:ascii="宋体" w:hAnsi="宋体" w:cs="宋体"/>
          <w:b/>
          <w:color w:val="auto"/>
          <w:sz w:val="24"/>
          <w:szCs w:val="24"/>
          <w:highlight w:val="none"/>
          <w:lang w:val="en-US" w:eastAsia="zh-CN" w:bidi="ar-SA"/>
        </w:rPr>
        <w:t>（四）</w:t>
      </w:r>
      <w:r>
        <w:rPr>
          <w:rFonts w:hint="eastAsia" w:ascii="宋体" w:hAnsi="宋体" w:cs="宋体"/>
          <w:b/>
          <w:color w:val="auto"/>
          <w:sz w:val="24"/>
          <w:szCs w:val="24"/>
          <w:highlight w:val="none"/>
        </w:rPr>
        <w:t>针对</w:t>
      </w:r>
      <w:r>
        <w:rPr>
          <w:rFonts w:hint="eastAsia" w:ascii="宋体" w:hAnsi="宋体" w:eastAsia="宋体" w:cs="宋体"/>
          <w:b/>
          <w:color w:val="auto"/>
          <w:sz w:val="24"/>
          <w:szCs w:val="24"/>
          <w:highlight w:val="none"/>
          <w:lang w:val="en-US" w:eastAsia="zh-CN"/>
        </w:rPr>
        <w:t>投标人资信</w:t>
      </w:r>
      <w:r>
        <w:rPr>
          <w:rFonts w:hint="eastAsia" w:ascii="宋体" w:hAnsi="宋体" w:cs="宋体"/>
          <w:b/>
          <w:color w:val="auto"/>
          <w:sz w:val="24"/>
          <w:szCs w:val="24"/>
          <w:highlight w:val="none"/>
        </w:rPr>
        <w:t>的证明资料</w:t>
      </w:r>
    </w:p>
    <w:p>
      <w:pPr>
        <w:pStyle w:val="2"/>
        <w:ind w:left="0" w:leftChars="0" w:firstLine="0" w:firstLineChars="0"/>
        <w:rPr>
          <w:rFonts w:hint="eastAsia" w:ascii="宋体" w:hAnsi="宋体" w:cs="宋体"/>
          <w:b/>
          <w:color w:val="auto"/>
          <w:sz w:val="24"/>
          <w:szCs w:val="24"/>
          <w:highlight w:val="none"/>
          <w:lang w:val="en-US" w:eastAsia="zh-CN" w:bidi="ar-SA"/>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
        <w:ind w:left="0" w:leftChars="0" w:firstLine="0" w:firstLineChars="0"/>
        <w:rPr>
          <w:rFonts w:hint="eastAsia" w:ascii="宋体" w:hAnsi="宋体" w:cs="宋体"/>
          <w:b/>
          <w:color w:val="auto"/>
          <w:sz w:val="24"/>
          <w:szCs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w:t>
      </w:r>
      <w:r>
        <w:rPr>
          <w:rFonts w:hint="eastAsia" w:ascii="宋体" w:hAnsi="宋体" w:cs="宋体"/>
          <w:b/>
          <w:bCs w:val="0"/>
          <w:color w:val="auto"/>
          <w:position w:val="0"/>
          <w:sz w:val="24"/>
          <w:szCs w:val="24"/>
          <w:highlight w:val="none"/>
        </w:rPr>
        <w:t>检测能力汇总表</w:t>
      </w:r>
    </w:p>
    <w:tbl>
      <w:tblPr>
        <w:tblStyle w:val="24"/>
        <w:tblW w:w="996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56"/>
        <w:gridCol w:w="2818"/>
        <w:gridCol w:w="1690"/>
        <w:gridCol w:w="1658"/>
        <w:gridCol w:w="1074"/>
        <w:gridCol w:w="915"/>
        <w:gridCol w:w="1251"/>
      </w:tblGrid>
      <w:tr>
        <w:tblPrEx>
          <w:tblCellMar>
            <w:top w:w="0" w:type="dxa"/>
            <w:left w:w="108" w:type="dxa"/>
            <w:bottom w:w="0" w:type="dxa"/>
            <w:right w:w="108" w:type="dxa"/>
          </w:tblCellMar>
        </w:tblPrEx>
        <w:trPr>
          <w:trHeight w:val="439" w:hRule="atLeast"/>
          <w:tblHeader/>
          <w:jc w:val="center"/>
        </w:trPr>
        <w:tc>
          <w:tcPr>
            <w:tcW w:w="556" w:type="dxa"/>
            <w:vMerge w:val="restart"/>
            <w:tcBorders>
              <w:top w:val="single" w:color="auto" w:sz="2" w:space="0"/>
              <w:left w:val="single" w:color="auto" w:sz="2" w:space="0"/>
              <w:bottom w:val="single" w:color="auto" w:sz="6" w:space="0"/>
              <w:right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818" w:type="dxa"/>
            <w:vMerge w:val="restart"/>
            <w:tcBorders>
              <w:top w:val="single" w:color="auto" w:sz="2" w:space="0"/>
              <w:left w:val="single" w:color="auto" w:sz="6" w:space="0"/>
              <w:bottom w:val="single" w:color="auto" w:sz="6" w:space="0"/>
              <w:right w:val="single" w:color="auto" w:sz="6" w:space="0"/>
            </w:tcBorders>
            <w:vAlign w:val="center"/>
          </w:tcPr>
          <w:p>
            <w:pPr>
              <w:jc w:val="center"/>
              <w:rPr>
                <w:rFonts w:ascii="宋体" w:hAnsi="宋体"/>
                <w:color w:val="auto"/>
                <w:szCs w:val="21"/>
                <w:highlight w:val="none"/>
              </w:rPr>
            </w:pPr>
            <w:r>
              <w:rPr>
                <w:rFonts w:hint="eastAsia" w:ascii="宋体" w:hAnsi="宋体"/>
                <w:color w:val="auto"/>
                <w:spacing w:val="-6"/>
                <w:szCs w:val="21"/>
                <w:highlight w:val="none"/>
              </w:rPr>
              <w:t>检测项目</w:t>
            </w:r>
          </w:p>
        </w:tc>
        <w:tc>
          <w:tcPr>
            <w:tcW w:w="5337" w:type="dxa"/>
            <w:gridSpan w:val="4"/>
            <w:tcBorders>
              <w:top w:val="single" w:color="auto" w:sz="2" w:space="0"/>
              <w:left w:val="single" w:color="auto" w:sz="6" w:space="0"/>
              <w:bottom w:val="single" w:color="auto" w:sz="6" w:space="0"/>
              <w:right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资质认定计量认证证书对应关系</w:t>
            </w:r>
          </w:p>
        </w:tc>
        <w:tc>
          <w:tcPr>
            <w:tcW w:w="1251" w:type="dxa"/>
            <w:vMerge w:val="restart"/>
            <w:tcBorders>
              <w:top w:val="single" w:color="auto" w:sz="2" w:space="0"/>
              <w:left w:val="single" w:color="auto" w:sz="6" w:space="0"/>
              <w:bottom w:val="single" w:color="auto" w:sz="6" w:space="0"/>
              <w:right w:val="single" w:color="auto" w:sz="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56" w:type="dxa"/>
            <w:vMerge w:val="continue"/>
            <w:tcBorders>
              <w:top w:val="single" w:color="auto" w:sz="6" w:space="0"/>
              <w:left w:val="single" w:color="auto" w:sz="2" w:space="0"/>
              <w:bottom w:val="single" w:color="auto" w:sz="6" w:space="0"/>
              <w:right w:val="single" w:color="auto" w:sz="6" w:space="0"/>
            </w:tcBorders>
            <w:vAlign w:val="center"/>
          </w:tcPr>
          <w:p>
            <w:pPr>
              <w:jc w:val="center"/>
              <w:rPr>
                <w:rFonts w:ascii="宋体" w:hAnsi="宋体"/>
                <w:color w:val="auto"/>
                <w:szCs w:val="21"/>
                <w:highlight w:val="none"/>
              </w:rPr>
            </w:pPr>
          </w:p>
        </w:tc>
        <w:tc>
          <w:tcPr>
            <w:tcW w:w="2818"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Cs w:val="21"/>
                <w:highlight w:val="none"/>
              </w:rPr>
            </w:pPr>
          </w:p>
        </w:tc>
        <w:tc>
          <w:tcPr>
            <w:tcW w:w="169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对应计量认证证书附表中的序号或条款</w:t>
            </w:r>
          </w:p>
        </w:tc>
        <w:tc>
          <w:tcPr>
            <w:tcW w:w="16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计量认证证书附表中的对应名称</w:t>
            </w:r>
          </w:p>
        </w:tc>
        <w:tc>
          <w:tcPr>
            <w:tcW w:w="1074" w:type="dxa"/>
            <w:tcBorders>
              <w:top w:val="single" w:color="auto" w:sz="6" w:space="0"/>
              <w:left w:val="single" w:color="auto" w:sz="6" w:space="0"/>
              <w:bottom w:val="single" w:color="auto" w:sz="6" w:space="0"/>
              <w:right w:val="single" w:color="auto" w:sz="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相关说明</w:t>
            </w:r>
          </w:p>
        </w:tc>
        <w:tc>
          <w:tcPr>
            <w:tcW w:w="915" w:type="dxa"/>
            <w:tcBorders>
              <w:top w:val="single" w:color="auto" w:sz="6" w:space="0"/>
              <w:left w:val="single" w:color="auto" w:sz="2" w:space="0"/>
              <w:bottom w:val="single" w:color="auto" w:sz="6" w:space="0"/>
              <w:right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是否满足要求</w:t>
            </w:r>
          </w:p>
        </w:tc>
        <w:tc>
          <w:tcPr>
            <w:tcW w:w="1251" w:type="dxa"/>
            <w:vMerge w:val="continue"/>
            <w:tcBorders>
              <w:top w:val="single" w:color="auto" w:sz="6" w:space="0"/>
              <w:left w:val="single" w:color="auto" w:sz="6" w:space="0"/>
              <w:bottom w:val="single" w:color="auto" w:sz="6" w:space="0"/>
              <w:right w:val="single" w:color="auto" w:sz="2" w:space="0"/>
            </w:tcBorders>
            <w:vAlign w:val="center"/>
          </w:tcPr>
          <w:p>
            <w:pPr>
              <w:jc w:val="center"/>
              <w:rPr>
                <w:rFonts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szCs w:val="21"/>
                <w:highlight w:val="none"/>
              </w:rPr>
            </w:pPr>
            <w:r>
              <w:rPr>
                <w:rFonts w:ascii="宋体" w:hAnsi="宋体"/>
                <w:color w:val="auto"/>
                <w:szCs w:val="21"/>
                <w:highlight w:val="none"/>
              </w:rPr>
              <w:t>标准贯入试验</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ascii="宋体" w:hAnsi="宋体"/>
                <w:color w:val="auto"/>
                <w:spacing w:val="-6"/>
                <w:szCs w:val="21"/>
                <w:highlight w:val="none"/>
              </w:rPr>
              <w:t>平板荷载（</w:t>
            </w:r>
            <w:r>
              <w:rPr>
                <w:rFonts w:hint="eastAsia" w:ascii="宋体" w:hAnsi="宋体"/>
                <w:color w:val="auto"/>
                <w:spacing w:val="-6"/>
                <w:szCs w:val="21"/>
                <w:highlight w:val="none"/>
              </w:rPr>
              <w:t>承载力（地基载荷试验）</w:t>
            </w:r>
            <w:r>
              <w:rPr>
                <w:rFonts w:ascii="宋体" w:hAnsi="宋体"/>
                <w:color w:val="auto"/>
                <w:spacing w:val="-6"/>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ascii="宋体" w:hAnsi="宋体"/>
                <w:color w:val="auto"/>
                <w:spacing w:val="-6"/>
                <w:szCs w:val="21"/>
                <w:highlight w:val="none"/>
              </w:rPr>
              <w:t>低应变（</w:t>
            </w:r>
            <w:r>
              <w:rPr>
                <w:rFonts w:hint="eastAsia" w:ascii="宋体" w:hAnsi="宋体"/>
                <w:color w:val="auto"/>
                <w:spacing w:val="-6"/>
                <w:szCs w:val="21"/>
                <w:highlight w:val="none"/>
              </w:rPr>
              <w:t>低应变法</w:t>
            </w:r>
            <w:r>
              <w:rPr>
                <w:rFonts w:ascii="宋体" w:hAnsi="宋体"/>
                <w:color w:val="auto"/>
                <w:spacing w:val="-6"/>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ascii="宋体" w:hAnsi="宋体"/>
                <w:color w:val="auto"/>
                <w:spacing w:val="-6"/>
                <w:szCs w:val="21"/>
                <w:highlight w:val="none"/>
              </w:rPr>
              <w:t>竖向抗压静载</w:t>
            </w:r>
            <w:r>
              <w:rPr>
                <w:rFonts w:hint="eastAsia" w:ascii="宋体" w:hAnsi="宋体"/>
                <w:color w:val="auto"/>
                <w:spacing w:val="-6"/>
                <w:szCs w:val="21"/>
                <w:highlight w:val="none"/>
              </w:rPr>
              <w:t>（单桩竖向抗压静载）</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hint="eastAsia" w:ascii="宋体" w:hAnsi="宋体"/>
                <w:color w:val="auto"/>
                <w:spacing w:val="-6"/>
                <w:szCs w:val="21"/>
                <w:highlight w:val="none"/>
              </w:rPr>
              <w:t>高应变（高应变法）</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Calibri" w:hAnsi="宋体" w:eastAsia="宋体" w:cs="Calibri"/>
                <w:color w:val="auto"/>
                <w:kern w:val="2"/>
                <w:sz w:val="21"/>
                <w:szCs w:val="21"/>
                <w:highlight w:val="none"/>
                <w:lang w:val="en-US" w:eastAsia="zh-CN" w:bidi="ar-SA"/>
              </w:rPr>
            </w:pPr>
            <w:r>
              <w:rPr>
                <w:rFonts w:hint="eastAsia" w:hAnsi="宋体"/>
                <w:color w:val="auto"/>
                <w:highlight w:val="none"/>
              </w:rPr>
              <w:t>锚固质量(锚杆杆体入孔长度、锚杆注浆饱满度)（锚杆长度、浆锚搭接灌浆饱满度）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80" w:lineRule="exact"/>
              <w:rPr>
                <w:rFonts w:hint="eastAsia" w:ascii="宋体" w:hAnsi="宋体" w:eastAsia="宋体" w:cs="Calibri"/>
                <w:color w:val="auto"/>
                <w:spacing w:val="-6"/>
                <w:kern w:val="2"/>
                <w:sz w:val="21"/>
                <w:szCs w:val="21"/>
                <w:highlight w:val="none"/>
                <w:lang w:val="en-US" w:eastAsia="zh-CN" w:bidi="ar-SA"/>
              </w:rPr>
            </w:pPr>
            <w:r>
              <w:rPr>
                <w:rFonts w:hint="eastAsia" w:ascii="宋体" w:hAnsi="宋体"/>
                <w:color w:val="auto"/>
                <w:spacing w:val="-6"/>
                <w:szCs w:val="21"/>
                <w:highlight w:val="none"/>
              </w:rPr>
              <w:t>竖向抗拔静载（单桩竖向抗拔静载试验）</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spacing w:val="-6"/>
                <w:szCs w:val="21"/>
                <w:highlight w:val="none"/>
              </w:rPr>
            </w:pPr>
            <w:r>
              <w:rPr>
                <w:rFonts w:ascii="宋体" w:hAnsi="宋体"/>
                <w:color w:val="auto"/>
                <w:spacing w:val="-6"/>
                <w:szCs w:val="21"/>
                <w:highlight w:val="none"/>
              </w:rPr>
              <w:t>声波透射（</w:t>
            </w:r>
            <w:r>
              <w:rPr>
                <w:rFonts w:hint="eastAsia" w:ascii="宋体" w:hAnsi="宋体"/>
                <w:color w:val="auto"/>
                <w:spacing w:val="-6"/>
                <w:szCs w:val="21"/>
                <w:highlight w:val="none"/>
              </w:rPr>
              <w:t>桩身完整性（声波</w:t>
            </w:r>
          </w:p>
          <w:p>
            <w:pPr>
              <w:rPr>
                <w:rFonts w:ascii="宋体" w:hAnsi="宋体" w:eastAsia="宋体" w:cs="Calibri"/>
                <w:color w:val="auto"/>
                <w:spacing w:val="-6"/>
                <w:kern w:val="2"/>
                <w:sz w:val="21"/>
                <w:szCs w:val="21"/>
                <w:highlight w:val="none"/>
                <w:lang w:val="en-US" w:eastAsia="zh-CN" w:bidi="ar-SA"/>
              </w:rPr>
            </w:pPr>
            <w:r>
              <w:rPr>
                <w:rFonts w:hint="eastAsia" w:ascii="宋体" w:hAnsi="宋体"/>
                <w:color w:val="auto"/>
                <w:spacing w:val="-6"/>
                <w:szCs w:val="21"/>
                <w:highlight w:val="none"/>
              </w:rPr>
              <w:t>透射法）</w:t>
            </w:r>
            <w:r>
              <w:rPr>
                <w:rFonts w:ascii="宋体" w:hAnsi="宋体"/>
                <w:color w:val="auto"/>
                <w:spacing w:val="-6"/>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ascii="宋体" w:hAnsi="宋体"/>
                <w:color w:val="auto"/>
                <w:spacing w:val="-6"/>
                <w:szCs w:val="21"/>
                <w:highlight w:val="none"/>
              </w:rPr>
              <w:t>钻芯法（</w:t>
            </w:r>
            <w:r>
              <w:rPr>
                <w:rFonts w:hint="eastAsia" w:ascii="宋体" w:hAnsi="宋体"/>
                <w:color w:val="auto"/>
                <w:spacing w:val="-6"/>
                <w:szCs w:val="21"/>
                <w:highlight w:val="none"/>
              </w:rPr>
              <w:t>混凝土抗压强度（钻芯法）</w:t>
            </w:r>
            <w:r>
              <w:rPr>
                <w:rFonts w:ascii="宋体" w:hAnsi="宋体"/>
                <w:color w:val="auto"/>
                <w:spacing w:val="-6"/>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ascii="宋体" w:hAnsi="宋体"/>
                <w:color w:val="auto"/>
                <w:spacing w:val="-6"/>
                <w:szCs w:val="21"/>
                <w:highlight w:val="none"/>
              </w:rPr>
              <w:t>轻型触探</w:t>
            </w:r>
            <w:r>
              <w:rPr>
                <w:rFonts w:hint="eastAsia" w:ascii="宋体" w:hAnsi="宋体"/>
                <w:color w:val="auto"/>
                <w:spacing w:val="-6"/>
                <w:szCs w:val="21"/>
                <w:highlight w:val="none"/>
              </w:rPr>
              <w:t>（动力触探）</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281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Calibri"/>
                <w:color w:val="auto"/>
                <w:kern w:val="2"/>
                <w:sz w:val="21"/>
                <w:szCs w:val="21"/>
                <w:highlight w:val="none"/>
                <w:lang w:val="en-US" w:eastAsia="zh-CN" w:bidi="ar-SA"/>
              </w:rPr>
            </w:pPr>
            <w:r>
              <w:rPr>
                <w:rFonts w:ascii="宋体" w:hAnsi="宋体"/>
                <w:color w:val="auto"/>
                <w:szCs w:val="21"/>
                <w:highlight w:val="none"/>
              </w:rPr>
              <w:t>重型触探</w:t>
            </w:r>
            <w:r>
              <w:rPr>
                <w:rFonts w:hint="eastAsia" w:ascii="宋体" w:hAnsi="宋体"/>
                <w:color w:val="auto"/>
                <w:spacing w:val="-6"/>
                <w:szCs w:val="21"/>
                <w:highlight w:val="none"/>
              </w:rPr>
              <w:t>（动力触探）</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color w:val="auto"/>
                <w:szCs w:val="21"/>
                <w:highlight w:val="none"/>
              </w:rPr>
            </w:pPr>
            <w:r>
              <w:rPr>
                <w:rFonts w:ascii="宋体" w:hAnsi="宋体"/>
                <w:color w:val="auto"/>
                <w:szCs w:val="21"/>
                <w:highlight w:val="none"/>
              </w:rPr>
              <w:t>土钉抗拔（</w:t>
            </w:r>
            <w:r>
              <w:rPr>
                <w:rFonts w:hint="eastAsia" w:ascii="宋体" w:hAnsi="宋体"/>
                <w:color w:val="auto"/>
                <w:szCs w:val="21"/>
                <w:highlight w:val="none"/>
              </w:rPr>
              <w:t>土钉抗拔承载力</w:t>
            </w:r>
          </w:p>
          <w:p>
            <w:pPr>
              <w:rPr>
                <w:rFonts w:ascii="宋体" w:hAnsi="宋体" w:eastAsia="宋体" w:cs="Calibri"/>
                <w:color w:val="auto"/>
                <w:kern w:val="2"/>
                <w:sz w:val="21"/>
                <w:szCs w:val="21"/>
                <w:highlight w:val="none"/>
                <w:lang w:val="en-US" w:eastAsia="zh-CN" w:bidi="ar-SA"/>
              </w:rPr>
            </w:pPr>
            <w:r>
              <w:rPr>
                <w:rFonts w:hint="eastAsia" w:ascii="宋体" w:hAnsi="宋体"/>
                <w:color w:val="auto"/>
                <w:szCs w:val="21"/>
                <w:highlight w:val="none"/>
              </w:rPr>
              <w:t>检测值</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回弹法</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混凝土氯离子含量</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结构尺寸（</w:t>
            </w:r>
            <w:r>
              <w:rPr>
                <w:rFonts w:hint="eastAsia" w:ascii="宋体" w:hAnsi="宋体"/>
                <w:color w:val="auto"/>
                <w:szCs w:val="21"/>
                <w:highlight w:val="none"/>
              </w:rPr>
              <w:t>构件尺寸与偏差</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钢筋保护层厚度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钢筋间距</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满水试验</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hint="eastAsia" w:hAnsi="宋体"/>
                <w:color w:val="auto"/>
                <w:highlight w:val="none"/>
              </w:rPr>
              <w:t>锚</w:t>
            </w:r>
            <w:r>
              <w:rPr>
                <w:rFonts w:hAnsi="宋体"/>
                <w:color w:val="auto"/>
                <w:highlight w:val="none"/>
              </w:rPr>
              <w:t>索锚固力（</w:t>
            </w:r>
            <w:r>
              <w:rPr>
                <w:rFonts w:ascii="宋体" w:hAnsi="宋体"/>
                <w:color w:val="auto"/>
                <w:szCs w:val="21"/>
                <w:highlight w:val="none"/>
              </w:rPr>
              <w:t>植筋抗拔）（</w:t>
            </w:r>
            <w:r>
              <w:rPr>
                <w:rFonts w:hint="eastAsia" w:ascii="宋体" w:hAnsi="宋体"/>
                <w:color w:val="auto"/>
                <w:szCs w:val="21"/>
                <w:highlight w:val="none"/>
              </w:rPr>
              <w:t>植筋、锚栓抗拔性能</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kern w:val="2"/>
                <w:sz w:val="21"/>
                <w:szCs w:val="21"/>
                <w:highlight w:val="none"/>
                <w:lang w:val="en-US" w:eastAsia="zh-CN" w:bidi="ar-SA"/>
              </w:rPr>
            </w:pPr>
            <w:r>
              <w:rPr>
                <w:rFonts w:ascii="宋体" w:hAnsi="宋体"/>
                <w:color w:val="auto"/>
                <w:szCs w:val="21"/>
                <w:highlight w:val="none"/>
              </w:rPr>
              <w:t>墙柱混凝土强度</w:t>
            </w:r>
            <w:r>
              <w:rPr>
                <w:rFonts w:hint="eastAsia" w:ascii="宋体" w:hAnsi="宋体"/>
                <w:color w:val="auto"/>
                <w:szCs w:val="21"/>
                <w:highlight w:val="none"/>
              </w:rPr>
              <w:t>（钻芯法）（墙身混凝土强度（钻芯法））</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kern w:val="2"/>
                <w:sz w:val="21"/>
                <w:szCs w:val="21"/>
                <w:highlight w:val="none"/>
                <w:lang w:val="en-US" w:eastAsia="zh-CN" w:bidi="ar-SA"/>
              </w:rPr>
            </w:pPr>
            <w:r>
              <w:rPr>
                <w:rFonts w:hint="eastAsia" w:ascii="宋体" w:hAnsi="宋体"/>
                <w:color w:val="auto"/>
                <w:spacing w:val="-6"/>
                <w:szCs w:val="21"/>
                <w:highlight w:val="none"/>
              </w:rPr>
              <w:t>外墙抹灰砂浆粘结强度（拉伸粘结强度）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Calibri"/>
                <w:color w:val="auto"/>
                <w:kern w:val="2"/>
                <w:sz w:val="21"/>
                <w:szCs w:val="21"/>
                <w:highlight w:val="none"/>
                <w:lang w:val="en-US" w:eastAsia="zh-CN" w:bidi="ar-SA"/>
              </w:rPr>
            </w:pPr>
            <w:r>
              <w:rPr>
                <w:rFonts w:hint="eastAsia" w:ascii="宋体" w:hAnsi="宋体"/>
                <w:color w:val="auto"/>
                <w:szCs w:val="21"/>
                <w:highlight w:val="none"/>
              </w:rPr>
              <w:t>加气混凝土砌块（砌墙砖和砌块）</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外加剂</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rPr>
              <w:t>水泥</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rPr>
              <w:t>岩石岩体（单轴抗压强度）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Calibri"/>
                <w:color w:val="auto"/>
                <w:kern w:val="2"/>
                <w:sz w:val="21"/>
                <w:szCs w:val="21"/>
                <w:highlight w:val="none"/>
                <w:lang w:val="en-US" w:eastAsia="zh-CN" w:bidi="ar-SA"/>
              </w:rPr>
            </w:pPr>
            <w:r>
              <w:rPr>
                <w:rFonts w:ascii="宋体" w:hAnsi="宋体"/>
                <w:color w:val="auto"/>
                <w:szCs w:val="21"/>
                <w:highlight w:val="none"/>
              </w:rPr>
              <w:t>灰砂砖</w:t>
            </w:r>
            <w:r>
              <w:rPr>
                <w:rFonts w:hint="eastAsia" w:ascii="宋体" w:hAnsi="宋体"/>
                <w:color w:val="auto"/>
                <w:szCs w:val="21"/>
                <w:highlight w:val="none"/>
              </w:rPr>
              <w:t>（砌墙砖和砌块）</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spacing w:val="-6"/>
                <w:kern w:val="2"/>
                <w:sz w:val="21"/>
                <w:szCs w:val="21"/>
                <w:highlight w:val="none"/>
                <w:lang w:val="en-US" w:eastAsia="zh-CN" w:bidi="ar-SA"/>
              </w:rPr>
            </w:pPr>
            <w:r>
              <w:rPr>
                <w:rFonts w:ascii="宋体" w:hAnsi="宋体"/>
                <w:color w:val="auto"/>
                <w:szCs w:val="21"/>
                <w:highlight w:val="none"/>
              </w:rPr>
              <w:t>砂浆配合比（</w:t>
            </w:r>
            <w:r>
              <w:rPr>
                <w:rFonts w:hint="eastAsia" w:ascii="宋体" w:hAnsi="宋体"/>
                <w:color w:val="auto"/>
                <w:szCs w:val="21"/>
                <w:highlight w:val="none"/>
              </w:rPr>
              <w:t>砂浆配合比设计）</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kern w:val="2"/>
                <w:sz w:val="21"/>
                <w:szCs w:val="21"/>
                <w:highlight w:val="none"/>
                <w:lang w:val="en-US" w:eastAsia="zh-CN" w:bidi="ar-SA"/>
              </w:rPr>
            </w:pPr>
            <w:r>
              <w:rPr>
                <w:rFonts w:ascii="宋体" w:hAnsi="宋体"/>
                <w:color w:val="auto"/>
                <w:szCs w:val="21"/>
                <w:highlight w:val="none"/>
              </w:rPr>
              <w:t>砂浆抗压（</w:t>
            </w:r>
            <w:r>
              <w:rPr>
                <w:rFonts w:hint="eastAsia" w:ascii="宋体" w:hAnsi="宋体"/>
                <w:color w:val="auto"/>
                <w:szCs w:val="21"/>
                <w:highlight w:val="none"/>
              </w:rPr>
              <w:t>砂浆抗压强度）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钢塑复合管</w:t>
            </w:r>
            <w:r>
              <w:rPr>
                <w:rFonts w:hint="eastAsia" w:ascii="宋体" w:hAnsi="宋体"/>
                <w:color w:val="auto"/>
                <w:szCs w:val="21"/>
                <w:highlight w:val="none"/>
              </w:rPr>
              <w:t>（压扁性能）</w:t>
            </w:r>
          </w:p>
        </w:tc>
        <w:tc>
          <w:tcPr>
            <w:tcW w:w="1690"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281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Calibri"/>
                <w:color w:val="auto"/>
                <w:kern w:val="2"/>
                <w:sz w:val="21"/>
                <w:szCs w:val="21"/>
                <w:highlight w:val="none"/>
                <w:lang w:val="en-US" w:eastAsia="zh-CN" w:bidi="ar-SA"/>
              </w:rPr>
            </w:pPr>
            <w:r>
              <w:rPr>
                <w:rFonts w:ascii="宋体" w:hAnsi="宋体"/>
                <w:color w:val="auto"/>
                <w:szCs w:val="21"/>
                <w:highlight w:val="none"/>
              </w:rPr>
              <w:t>钢筋原材（钢材）</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宋体" w:hAnsi="宋体" w:eastAsia="宋体" w:cs="Calibri"/>
                <w:color w:val="auto"/>
                <w:spacing w:val="-6"/>
                <w:kern w:val="2"/>
                <w:sz w:val="21"/>
                <w:szCs w:val="21"/>
                <w:highlight w:val="none"/>
                <w:lang w:val="en-US" w:eastAsia="zh-CN" w:bidi="ar-SA"/>
              </w:rPr>
            </w:pPr>
            <w:r>
              <w:rPr>
                <w:rFonts w:ascii="宋体" w:hAnsi="宋体"/>
                <w:color w:val="auto"/>
                <w:spacing w:val="-6"/>
                <w:szCs w:val="21"/>
                <w:highlight w:val="none"/>
              </w:rPr>
              <w:t>钢筋焊接（</w:t>
            </w:r>
            <w:r>
              <w:rPr>
                <w:rFonts w:hint="eastAsia" w:ascii="宋体" w:hAnsi="宋体"/>
                <w:color w:val="auto"/>
                <w:spacing w:val="-6"/>
                <w:szCs w:val="21"/>
                <w:highlight w:val="none"/>
              </w:rPr>
              <w:t>钢材钢筋及焊接接头</w:t>
            </w:r>
            <w:r>
              <w:rPr>
                <w:rFonts w:ascii="宋体" w:hAnsi="宋体"/>
                <w:color w:val="auto"/>
                <w:spacing w:val="-6"/>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钢管原材</w:t>
            </w:r>
            <w:r>
              <w:rPr>
                <w:rFonts w:hint="eastAsia" w:ascii="宋体" w:hAnsi="宋体"/>
                <w:color w:val="auto"/>
                <w:szCs w:val="21"/>
                <w:highlight w:val="none"/>
              </w:rPr>
              <w:t>（抗拉强度、屈服强度、断后伸长率）</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eastAsia="宋体" w:cs="Times New Roman"/>
                <w:color w:val="auto"/>
                <w:kern w:val="2"/>
                <w:sz w:val="21"/>
                <w:szCs w:val="21"/>
                <w:highlight w:val="none"/>
                <w:lang w:val="en-US" w:eastAsia="zh-CN" w:bidi="ar-SA"/>
              </w:rPr>
            </w:pPr>
            <w:r>
              <w:rPr>
                <w:rFonts w:ascii="宋体" w:hAnsi="宋体"/>
                <w:color w:val="auto"/>
                <w:spacing w:val="-6"/>
                <w:szCs w:val="21"/>
                <w:highlight w:val="none"/>
              </w:rPr>
              <w:t>混凝土配合比</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4</w:t>
            </w:r>
          </w:p>
        </w:tc>
        <w:tc>
          <w:tcPr>
            <w:tcW w:w="281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混凝土(抗压强度)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5</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混凝土(抗折强度)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6</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混凝土抗渗</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7</w:t>
            </w:r>
          </w:p>
        </w:tc>
        <w:tc>
          <w:tcPr>
            <w:tcW w:w="281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olor w:val="auto"/>
                <w:szCs w:val="21"/>
                <w:highlight w:val="none"/>
                <w:lang w:val="en-US" w:eastAsia="zh-CN"/>
              </w:rPr>
            </w:pPr>
            <w:r>
              <w:rPr>
                <w:rFonts w:ascii="宋体" w:hAnsi="宋体"/>
                <w:color w:val="auto"/>
                <w:szCs w:val="21"/>
                <w:highlight w:val="none"/>
              </w:rPr>
              <w:t>水泥土配合比</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8</w:t>
            </w:r>
          </w:p>
        </w:tc>
        <w:tc>
          <w:tcPr>
            <w:tcW w:w="281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eastAsia="宋体" w:cs="Calibri"/>
                <w:color w:val="auto"/>
                <w:kern w:val="2"/>
                <w:sz w:val="21"/>
                <w:szCs w:val="21"/>
                <w:highlight w:val="none"/>
                <w:lang w:val="en-US" w:eastAsia="zh-CN" w:bidi="ar-SA"/>
              </w:rPr>
            </w:pPr>
            <w:r>
              <w:rPr>
                <w:rFonts w:ascii="宋体" w:hAnsi="宋体"/>
                <w:color w:val="auto"/>
                <w:szCs w:val="21"/>
                <w:highlight w:val="none"/>
              </w:rPr>
              <w:t>橡胶圈（</w:t>
            </w:r>
            <w:r>
              <w:rPr>
                <w:rFonts w:hint="eastAsia" w:ascii="宋体" w:hAnsi="宋体"/>
                <w:color w:val="auto"/>
                <w:szCs w:val="21"/>
                <w:highlight w:val="none"/>
              </w:rPr>
              <w:t>嵌缝密封材料</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39</w:t>
            </w:r>
          </w:p>
        </w:tc>
        <w:tc>
          <w:tcPr>
            <w:tcW w:w="2818"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Calibri"/>
                <w:color w:val="auto"/>
                <w:kern w:val="2"/>
                <w:sz w:val="21"/>
                <w:szCs w:val="21"/>
                <w:highlight w:val="none"/>
                <w:lang w:val="en-US" w:eastAsia="zh-CN" w:bidi="ar-SA"/>
              </w:rPr>
            </w:pPr>
            <w:r>
              <w:rPr>
                <w:rFonts w:ascii="宋体" w:hAnsi="宋体"/>
                <w:color w:val="auto"/>
                <w:szCs w:val="21"/>
                <w:highlight w:val="none"/>
              </w:rPr>
              <w:t>排水管（</w:t>
            </w:r>
            <w:r>
              <w:rPr>
                <w:rFonts w:hint="eastAsia" w:ascii="宋体" w:hAnsi="宋体"/>
                <w:color w:val="auto"/>
                <w:szCs w:val="21"/>
                <w:highlight w:val="none"/>
              </w:rPr>
              <w:t>混凝土管</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0</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压实度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41</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管道闭水</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42</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管道CCTV</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43</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Calibri"/>
                <w:color w:val="auto"/>
                <w:kern w:val="2"/>
                <w:sz w:val="21"/>
                <w:szCs w:val="21"/>
                <w:highlight w:val="none"/>
                <w:lang w:val="en-US" w:eastAsia="zh-CN" w:bidi="ar-SA"/>
              </w:rPr>
            </w:pPr>
            <w:r>
              <w:rPr>
                <w:rFonts w:hint="eastAsia" w:ascii="宋体" w:hAnsi="宋体"/>
                <w:color w:val="auto"/>
                <w:szCs w:val="21"/>
                <w:highlight w:val="none"/>
              </w:rPr>
              <w:t>超声波探伤（焊缝内部质量（超声波法））</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44</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Calibri"/>
                <w:color w:val="auto"/>
                <w:kern w:val="2"/>
                <w:sz w:val="21"/>
                <w:szCs w:val="21"/>
                <w:highlight w:val="none"/>
                <w:lang w:val="en-US" w:eastAsia="zh-CN" w:bidi="ar-SA"/>
              </w:rPr>
            </w:pPr>
            <w:r>
              <w:rPr>
                <w:rFonts w:hint="eastAsia" w:ascii="宋体" w:hAnsi="宋体"/>
                <w:color w:val="auto"/>
                <w:szCs w:val="21"/>
                <w:highlight w:val="none"/>
              </w:rPr>
              <w:t>X光射线探伤（焊缝内部质量（射线法））</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45</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涂层厚度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46</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水压试验</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47</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土工击实</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48</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砂相对密度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49</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粗集料(碎石)</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50</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细集料</w:t>
            </w:r>
            <w:r>
              <w:rPr>
                <w:rFonts w:hint="eastAsia" w:ascii="宋体" w:hAnsi="宋体"/>
                <w:color w:val="auto"/>
                <w:szCs w:val="21"/>
                <w:highlight w:val="none"/>
              </w:rPr>
              <w:t>(砂)</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51</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pvc管</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52</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PE管</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53</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防腐涂料</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4</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土工合成材料</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5</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HDPE管</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6</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钢管防腐层厚度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w:t>
            </w:r>
          </w:p>
        </w:tc>
        <w:tc>
          <w:tcPr>
            <w:tcW w:w="2818"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井盖</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59</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color w:val="auto"/>
                <w:szCs w:val="21"/>
                <w:highlight w:val="none"/>
              </w:rPr>
              <w:t>预制混凝土井</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水力机械（效率）</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水力机械（振动位移）</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eastAsia="zh-CN" w:bidi="ar"/>
              </w:rPr>
            </w:pPr>
            <w:r>
              <w:rPr>
                <w:rFonts w:hint="default" w:ascii="宋体" w:hAnsi="宋体" w:cs="宋体"/>
                <w:i w:val="0"/>
                <w:iCs w:val="0"/>
                <w:color w:val="auto"/>
                <w:kern w:val="0"/>
                <w:sz w:val="21"/>
                <w:szCs w:val="21"/>
                <w:highlight w:val="none"/>
                <w:u w:val="none"/>
                <w:lang w:eastAsia="zh-CN" w:bidi="ar"/>
              </w:rPr>
              <w:t>62</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水力机械（</w:t>
            </w:r>
            <w:r>
              <w:rPr>
                <w:rFonts w:hint="default" w:ascii="宋体" w:hAnsi="宋体"/>
                <w:color w:val="auto"/>
                <w:szCs w:val="21"/>
                <w:highlight w:val="none"/>
              </w:rPr>
              <w:t>流量</w:t>
            </w:r>
            <w:r>
              <w:rPr>
                <w:rFonts w:hint="eastAsia"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3</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水力机械（振动速度）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4</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水力机械（硬度）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5</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电气设备（电压）</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6</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电气设备（电阻）</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7</w:t>
            </w:r>
          </w:p>
        </w:tc>
        <w:tc>
          <w:tcPr>
            <w:tcW w:w="281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电气设备（励磁特性）</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厂区有泵或者电机、机械安装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8</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量测</w:t>
            </w:r>
            <w:r>
              <w:rPr>
                <w:rFonts w:hint="eastAsia" w:ascii="宋体" w:hAnsi="宋体"/>
                <w:color w:val="auto"/>
                <w:szCs w:val="21"/>
                <w:highlight w:val="none"/>
                <w:lang w:eastAsia="zh-CN"/>
              </w:rPr>
              <w:t>类</w:t>
            </w:r>
            <w:r>
              <w:rPr>
                <w:rFonts w:hint="eastAsia" w:ascii="宋体" w:hAnsi="宋体"/>
                <w:color w:val="auto"/>
                <w:szCs w:val="21"/>
                <w:highlight w:val="none"/>
              </w:rPr>
              <w:t>（应力）</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default" w:ascii="宋体" w:hAnsi="宋体" w:cs="宋体"/>
                <w:i w:val="0"/>
                <w:iCs w:val="0"/>
                <w:color w:val="auto"/>
                <w:kern w:val="0"/>
                <w:sz w:val="21"/>
                <w:szCs w:val="21"/>
                <w:highlight w:val="none"/>
                <w:u w:val="none"/>
                <w:lang w:eastAsia="zh-CN" w:bidi="ar"/>
              </w:rPr>
              <w:t>9</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量测</w:t>
            </w:r>
            <w:r>
              <w:rPr>
                <w:rFonts w:hint="eastAsia" w:ascii="宋体" w:hAnsi="宋体"/>
                <w:color w:val="auto"/>
                <w:szCs w:val="21"/>
                <w:highlight w:val="none"/>
                <w:lang w:eastAsia="zh-CN"/>
              </w:rPr>
              <w:t>类</w:t>
            </w:r>
            <w:r>
              <w:rPr>
                <w:rFonts w:hint="eastAsia" w:ascii="宋体" w:hAnsi="宋体"/>
                <w:color w:val="auto"/>
                <w:szCs w:val="21"/>
                <w:highlight w:val="none"/>
              </w:rPr>
              <w:t>（应变）</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70</w:t>
            </w:r>
          </w:p>
        </w:tc>
        <w:tc>
          <w:tcPr>
            <w:tcW w:w="281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量测</w:t>
            </w:r>
            <w:r>
              <w:rPr>
                <w:rFonts w:hint="eastAsia" w:ascii="宋体" w:hAnsi="宋体"/>
                <w:color w:val="auto"/>
                <w:szCs w:val="21"/>
                <w:highlight w:val="none"/>
                <w:lang w:eastAsia="zh-CN"/>
              </w:rPr>
              <w:t>类</w:t>
            </w:r>
            <w:r>
              <w:rPr>
                <w:rFonts w:hint="eastAsia" w:ascii="宋体" w:hAnsi="宋体"/>
                <w:color w:val="auto"/>
                <w:szCs w:val="21"/>
                <w:highlight w:val="none"/>
              </w:rPr>
              <w:t>（</w:t>
            </w:r>
            <w:r>
              <w:rPr>
                <w:rFonts w:hint="eastAsia" w:ascii="宋体" w:hAnsi="宋体" w:eastAsia="宋体" w:cs="宋体"/>
                <w:color w:val="auto"/>
                <w:kern w:val="0"/>
                <w:sz w:val="21"/>
                <w:szCs w:val="21"/>
                <w:highlight w:val="none"/>
                <w:lang w:val="en-US" w:eastAsia="zh-CN" w:bidi="ar"/>
              </w:rPr>
              <w:t xml:space="preserve">竖向位移 </w:t>
            </w:r>
            <w:r>
              <w:rPr>
                <w:rFonts w:hint="eastAsia"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71</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量测</w:t>
            </w:r>
            <w:r>
              <w:rPr>
                <w:rFonts w:hint="eastAsia" w:ascii="宋体" w:hAnsi="宋体"/>
                <w:color w:val="auto"/>
                <w:szCs w:val="21"/>
                <w:highlight w:val="none"/>
                <w:lang w:eastAsia="zh-CN"/>
              </w:rPr>
              <w:t>类</w:t>
            </w:r>
            <w:r>
              <w:rPr>
                <w:rFonts w:hint="eastAsia" w:ascii="宋体" w:hAnsi="宋体"/>
                <w:color w:val="auto"/>
                <w:szCs w:val="21"/>
                <w:highlight w:val="none"/>
              </w:rPr>
              <w:t>（接缝和裂缝开</w:t>
            </w:r>
            <w:r>
              <w:rPr>
                <w:rFonts w:hint="eastAsia" w:ascii="宋体" w:hAnsi="宋体"/>
                <w:color w:val="auto"/>
                <w:szCs w:val="21"/>
                <w:highlight w:val="none"/>
                <w:lang w:eastAsia="zh-CN"/>
              </w:rPr>
              <w:t>合</w:t>
            </w:r>
            <w:r>
              <w:rPr>
                <w:rFonts w:hint="eastAsia" w:ascii="宋体" w:hAnsi="宋体"/>
                <w:color w:val="auto"/>
                <w:szCs w:val="21"/>
                <w:highlight w:val="none"/>
              </w:rPr>
              <w:t>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default"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72</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量测</w:t>
            </w:r>
            <w:r>
              <w:rPr>
                <w:rFonts w:hint="eastAsia" w:ascii="宋体" w:hAnsi="宋体"/>
                <w:color w:val="auto"/>
                <w:szCs w:val="21"/>
                <w:highlight w:val="none"/>
                <w:lang w:eastAsia="zh-CN"/>
              </w:rPr>
              <w:t>类</w:t>
            </w:r>
            <w:r>
              <w:rPr>
                <w:rFonts w:hint="eastAsia" w:ascii="宋体" w:hAnsi="宋体"/>
                <w:color w:val="auto"/>
                <w:szCs w:val="21"/>
                <w:highlight w:val="none"/>
              </w:rPr>
              <w:t>（地下水位）</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Times New Roman"/>
                <w:color w:val="auto"/>
                <w:kern w:val="2"/>
                <w:sz w:val="21"/>
                <w:szCs w:val="21"/>
                <w:highlight w:val="none"/>
                <w:lang w:val="en-US" w:eastAsia="zh-CN" w:bidi="ar-SA"/>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eastAsia="zh-CN" w:bidi="ar"/>
              </w:rPr>
            </w:pPr>
            <w:r>
              <w:rPr>
                <w:rFonts w:hint="default" w:ascii="宋体" w:hAnsi="宋体" w:cs="宋体"/>
                <w:i w:val="0"/>
                <w:iCs w:val="0"/>
                <w:color w:val="auto"/>
                <w:kern w:val="0"/>
                <w:sz w:val="21"/>
                <w:szCs w:val="21"/>
                <w:highlight w:val="none"/>
                <w:u w:val="none"/>
                <w:lang w:eastAsia="zh-CN" w:bidi="ar"/>
              </w:rPr>
              <w:t>73</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量测</w:t>
            </w:r>
            <w:r>
              <w:rPr>
                <w:rFonts w:hint="eastAsia" w:ascii="宋体" w:hAnsi="宋体"/>
                <w:color w:val="auto"/>
                <w:szCs w:val="21"/>
                <w:highlight w:val="none"/>
                <w:lang w:eastAsia="zh-CN"/>
              </w:rPr>
              <w:t>类</w:t>
            </w:r>
            <w:r>
              <w:rPr>
                <w:rFonts w:hint="eastAsia" w:ascii="宋体" w:hAnsi="宋体"/>
                <w:color w:val="auto"/>
                <w:szCs w:val="21"/>
                <w:highlight w:val="none"/>
              </w:rPr>
              <w:t>（水平位移）</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eastAsia="zh-CN" w:bidi="ar"/>
              </w:rPr>
            </w:pPr>
            <w:r>
              <w:rPr>
                <w:rFonts w:hint="default" w:ascii="宋体" w:hAnsi="宋体" w:cs="宋体"/>
                <w:i w:val="0"/>
                <w:iCs w:val="0"/>
                <w:color w:val="auto"/>
                <w:kern w:val="0"/>
                <w:sz w:val="21"/>
                <w:szCs w:val="21"/>
                <w:highlight w:val="none"/>
                <w:u w:val="none"/>
                <w:lang w:eastAsia="zh-CN" w:bidi="ar"/>
              </w:rPr>
              <w:t>74</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color w:val="auto"/>
                <w:szCs w:val="21"/>
                <w:highlight w:val="none"/>
              </w:rPr>
            </w:pPr>
            <w:r>
              <w:rPr>
                <w:rFonts w:hint="default" w:ascii="宋体" w:hAnsi="宋体"/>
                <w:color w:val="auto"/>
                <w:szCs w:val="21"/>
                <w:highlight w:val="none"/>
              </w:rPr>
              <w:t>高强度螺栓、螺母及垫圈硬度</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r>
              <w:rPr>
                <w:rFonts w:ascii="宋体" w:hAnsi="宋体" w:cs="Times New Roman"/>
                <w:color w:val="auto"/>
                <w:spacing w:val="-6"/>
                <w:kern w:val="2"/>
                <w:sz w:val="21"/>
                <w:szCs w:val="21"/>
                <w:highlight w:val="none"/>
                <w:lang w:eastAsia="zh-CN" w:bidi="ar-SA"/>
              </w:rPr>
              <w:t>高支模监督站常抽检项目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eastAsia="zh-CN" w:bidi="ar"/>
              </w:rPr>
            </w:pPr>
            <w:r>
              <w:rPr>
                <w:rFonts w:hint="default" w:ascii="宋体" w:hAnsi="宋体" w:cs="宋体"/>
                <w:i w:val="0"/>
                <w:iCs w:val="0"/>
                <w:color w:val="auto"/>
                <w:kern w:val="0"/>
                <w:sz w:val="21"/>
                <w:szCs w:val="21"/>
                <w:highlight w:val="none"/>
                <w:u w:val="none"/>
                <w:lang w:eastAsia="zh-CN" w:bidi="ar"/>
              </w:rPr>
              <w:t>75</w:t>
            </w:r>
          </w:p>
        </w:tc>
        <w:tc>
          <w:tcPr>
            <w:tcW w:w="281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color w:val="auto"/>
                <w:szCs w:val="21"/>
                <w:highlight w:val="none"/>
              </w:rPr>
            </w:pPr>
            <w:r>
              <w:rPr>
                <w:rFonts w:hint="default" w:ascii="宋体" w:hAnsi="宋体"/>
                <w:color w:val="auto"/>
                <w:szCs w:val="21"/>
                <w:highlight w:val="none"/>
              </w:rPr>
              <w:t>高强度螺栓终拧扭矩</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eastAsia="zh-CN" w:bidi="ar-SA"/>
              </w:rPr>
            </w:pPr>
            <w:r>
              <w:rPr>
                <w:rFonts w:ascii="宋体" w:hAnsi="宋体" w:cs="Times New Roman"/>
                <w:color w:val="auto"/>
                <w:spacing w:val="-6"/>
                <w:kern w:val="2"/>
                <w:sz w:val="21"/>
                <w:szCs w:val="21"/>
                <w:highlight w:val="none"/>
                <w:lang w:eastAsia="zh-CN" w:bidi="ar-SA"/>
              </w:rPr>
              <w:t>高支模监督站常抽检项目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76</w:t>
            </w:r>
          </w:p>
        </w:tc>
        <w:tc>
          <w:tcPr>
            <w:tcW w:w="2818"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浑浊度</w:t>
            </w:r>
            <w:r>
              <w:rPr>
                <w:rFonts w:ascii="宋体" w:hAnsi="宋体"/>
                <w:color w:val="auto"/>
                <w:szCs w:val="21"/>
                <w:highlight w:val="none"/>
              </w:rPr>
              <w:t>）</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w:t>
            </w:r>
            <w:r>
              <w:rPr>
                <w:rFonts w:ascii="宋体" w:hAnsi="宋体"/>
                <w:color w:val="auto"/>
                <w:szCs w:val="21"/>
                <w:highlight w:val="none"/>
              </w:rPr>
              <w:t>（</w:t>
            </w:r>
            <w:r>
              <w:rPr>
                <w:rFonts w:hint="eastAsia" w:ascii="宋体" w:hAnsi="宋体"/>
                <w:color w:val="auto"/>
                <w:szCs w:val="21"/>
                <w:highlight w:val="none"/>
              </w:rPr>
              <w:t>浑浊度</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77</w:t>
            </w:r>
          </w:p>
        </w:tc>
        <w:tc>
          <w:tcPr>
            <w:tcW w:w="2818"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色度</w:t>
            </w:r>
            <w:r>
              <w:rPr>
                <w:rFonts w:ascii="宋体" w:hAnsi="宋体"/>
                <w:color w:val="auto"/>
                <w:szCs w:val="21"/>
                <w:highlight w:val="none"/>
              </w:rPr>
              <w:t>）</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w:t>
            </w:r>
            <w:r>
              <w:rPr>
                <w:rFonts w:ascii="宋体" w:hAnsi="宋体"/>
                <w:color w:val="auto"/>
                <w:szCs w:val="21"/>
                <w:highlight w:val="none"/>
              </w:rPr>
              <w:t>（</w:t>
            </w:r>
            <w:r>
              <w:rPr>
                <w:rFonts w:hint="eastAsia" w:ascii="宋体" w:hAnsi="宋体"/>
                <w:color w:val="auto"/>
                <w:szCs w:val="21"/>
                <w:highlight w:val="none"/>
              </w:rPr>
              <w:t>色度</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78</w:t>
            </w:r>
          </w:p>
        </w:tc>
        <w:tc>
          <w:tcPr>
            <w:tcW w:w="2818"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臭和味</w:t>
            </w:r>
            <w:r>
              <w:rPr>
                <w:rFonts w:ascii="宋体" w:hAnsi="宋体"/>
                <w:color w:val="auto"/>
                <w:szCs w:val="21"/>
                <w:highlight w:val="none"/>
              </w:rPr>
              <w:t>）</w:t>
            </w:r>
            <w:r>
              <w:rPr>
                <w:rFonts w:hint="eastAsia" w:ascii="宋体" w:hAnsi="宋体"/>
                <w:color w:val="auto"/>
                <w:szCs w:val="21"/>
                <w:highlight w:val="none"/>
                <w:lang w:val="en-US" w:eastAsia="zh-CN"/>
              </w:rPr>
              <w:t>/</w:t>
            </w:r>
            <w:r>
              <w:rPr>
                <w:rFonts w:ascii="宋体" w:hAnsi="宋体"/>
                <w:color w:val="auto"/>
                <w:szCs w:val="21"/>
                <w:highlight w:val="none"/>
              </w:rPr>
              <w:t>水质分析（</w:t>
            </w:r>
            <w:r>
              <w:rPr>
                <w:rFonts w:hint="eastAsia" w:ascii="宋体" w:hAnsi="宋体"/>
                <w:color w:val="auto"/>
                <w:szCs w:val="21"/>
                <w:highlight w:val="none"/>
              </w:rPr>
              <w:t>臭和味</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79</w:t>
            </w:r>
          </w:p>
        </w:tc>
        <w:tc>
          <w:tcPr>
            <w:tcW w:w="2818"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余氯</w:t>
            </w:r>
            <w:r>
              <w:rPr>
                <w:rFonts w:ascii="宋体" w:hAnsi="宋体"/>
                <w:color w:val="auto"/>
                <w:szCs w:val="21"/>
                <w:highlight w:val="none"/>
              </w:rPr>
              <w:t>）</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w:t>
            </w:r>
            <w:r>
              <w:rPr>
                <w:rFonts w:ascii="宋体" w:hAnsi="宋体"/>
                <w:color w:val="auto"/>
                <w:szCs w:val="21"/>
                <w:highlight w:val="none"/>
              </w:rPr>
              <w:t>（</w:t>
            </w:r>
            <w:r>
              <w:rPr>
                <w:rFonts w:hint="eastAsia" w:ascii="宋体" w:hAnsi="宋体"/>
                <w:color w:val="auto"/>
                <w:szCs w:val="21"/>
                <w:highlight w:val="none"/>
              </w:rPr>
              <w:t>总余氯</w:t>
            </w:r>
            <w:r>
              <w:rPr>
                <w:rFonts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80</w:t>
            </w:r>
          </w:p>
        </w:tc>
        <w:tc>
          <w:tcPr>
            <w:tcW w:w="2818" w:type="dxa"/>
            <w:tcBorders>
              <w:top w:val="single" w:color="auto" w:sz="6" w:space="0"/>
              <w:left w:val="single" w:color="auto" w:sz="6" w:space="0"/>
              <w:bottom w:val="single" w:color="auto" w:sz="6" w:space="0"/>
              <w:right w:val="single" w:color="auto" w:sz="6" w:space="0"/>
            </w:tcBorders>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w:t>
            </w:r>
            <w:r>
              <w:rPr>
                <w:rFonts w:ascii="宋体" w:hAnsi="宋体"/>
                <w:color w:val="auto"/>
                <w:szCs w:val="21"/>
                <w:highlight w:val="none"/>
              </w:rPr>
              <w:t>总大肠菌群</w:t>
            </w:r>
            <w:r>
              <w:rPr>
                <w:rFonts w:hint="eastAsia" w:ascii="宋体" w:hAnsi="宋体"/>
                <w:color w:val="auto"/>
                <w:szCs w:val="21"/>
                <w:highlight w:val="none"/>
              </w:rPr>
              <w:t>）</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w:t>
            </w:r>
            <w:r>
              <w:rPr>
                <w:rFonts w:ascii="宋体" w:hAnsi="宋体"/>
                <w:color w:val="auto"/>
                <w:szCs w:val="21"/>
                <w:highlight w:val="none"/>
              </w:rPr>
              <w:t>总大肠菌群</w:t>
            </w:r>
            <w:r>
              <w:rPr>
                <w:rFonts w:hint="eastAsia" w:ascii="宋体" w:hAnsi="宋体"/>
                <w:color w:val="auto"/>
                <w:szCs w:val="21"/>
                <w:highlight w:val="none"/>
              </w:rPr>
              <w:t>）</w:t>
            </w:r>
          </w:p>
        </w:tc>
        <w:tc>
          <w:tcPr>
            <w:tcW w:w="169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color w:val="auto"/>
                <w:spacing w:val="-6"/>
                <w:szCs w:val="21"/>
                <w:highlight w:val="none"/>
                <w:lang w:val="en-US" w:eastAsia="zh-CN"/>
              </w:rPr>
            </w:pPr>
          </w:p>
        </w:tc>
        <w:tc>
          <w:tcPr>
            <w:tcW w:w="1658"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olor w:val="auto"/>
                <w:szCs w:val="21"/>
                <w:highlight w:val="none"/>
              </w:rPr>
            </w:pPr>
          </w:p>
        </w:tc>
        <w:tc>
          <w:tcPr>
            <w:tcW w:w="1074"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915" w:type="dxa"/>
            <w:tcBorders>
              <w:top w:val="single" w:color="auto" w:sz="6" w:space="0"/>
              <w:left w:val="single" w:color="auto" w:sz="2" w:space="0"/>
              <w:bottom w:val="single" w:color="auto" w:sz="6" w:space="0"/>
              <w:right w:val="single" w:color="auto" w:sz="6" w:space="0"/>
            </w:tcBorders>
            <w:vAlign w:val="center"/>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1251" w:type="dxa"/>
            <w:tcBorders>
              <w:top w:val="single" w:color="auto" w:sz="6" w:space="0"/>
              <w:left w:val="single" w:color="auto" w:sz="6" w:space="0"/>
              <w:bottom w:val="single" w:color="auto" w:sz="6" w:space="0"/>
              <w:right w:val="single" w:color="auto" w:sz="2" w:space="0"/>
            </w:tcBorders>
            <w:vAlign w:val="center"/>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0" w:type="auto"/>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81</w:t>
            </w:r>
          </w:p>
        </w:tc>
        <w:tc>
          <w:tcPr>
            <w:tcW w:w="0" w:type="auto"/>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（细菌总数）</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分析菌落总数</w:t>
            </w:r>
          </w:p>
        </w:tc>
        <w:tc>
          <w:tcPr>
            <w:tcW w:w="0" w:type="auto"/>
          </w:tcPr>
          <w:p>
            <w:pPr>
              <w:spacing w:line="280" w:lineRule="exact"/>
              <w:jc w:val="center"/>
              <w:rPr>
                <w:rFonts w:hint="eastAsia" w:ascii="宋体" w:hAnsi="宋体"/>
                <w:color w:val="auto"/>
                <w:spacing w:val="-6"/>
                <w:szCs w:val="21"/>
                <w:highlight w:val="none"/>
                <w:lang w:val="en-US" w:eastAsia="zh-CN"/>
              </w:rPr>
            </w:pPr>
          </w:p>
        </w:tc>
        <w:tc>
          <w:tcPr>
            <w:tcW w:w="0" w:type="auto"/>
          </w:tcPr>
          <w:p>
            <w:pPr>
              <w:spacing w:line="360" w:lineRule="exact"/>
              <w:rPr>
                <w:rFonts w:hint="eastAsia" w:ascii="宋体" w:hAnsi="宋体"/>
                <w:color w:val="auto"/>
                <w:szCs w:val="21"/>
                <w:highlight w:val="none"/>
              </w:rPr>
            </w:pPr>
          </w:p>
        </w:tc>
        <w:tc>
          <w:tcPr>
            <w:tcW w:w="0" w:type="auto"/>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0" w:type="auto"/>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0" w:type="auto"/>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0" w:type="auto"/>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82</w:t>
            </w:r>
          </w:p>
        </w:tc>
        <w:tc>
          <w:tcPr>
            <w:tcW w:w="0" w:type="auto"/>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（CODmn）</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分析（耗氧量）</w:t>
            </w:r>
          </w:p>
        </w:tc>
        <w:tc>
          <w:tcPr>
            <w:tcW w:w="0" w:type="auto"/>
          </w:tcPr>
          <w:p>
            <w:pPr>
              <w:spacing w:line="280" w:lineRule="exact"/>
              <w:jc w:val="center"/>
              <w:rPr>
                <w:rFonts w:hint="eastAsia" w:ascii="宋体" w:hAnsi="宋体"/>
                <w:color w:val="auto"/>
                <w:spacing w:val="-6"/>
                <w:szCs w:val="21"/>
                <w:highlight w:val="none"/>
                <w:lang w:val="en-US" w:eastAsia="zh-CN"/>
              </w:rPr>
            </w:pPr>
          </w:p>
        </w:tc>
        <w:tc>
          <w:tcPr>
            <w:tcW w:w="0" w:type="auto"/>
          </w:tcPr>
          <w:p>
            <w:pPr>
              <w:spacing w:line="360" w:lineRule="exact"/>
              <w:rPr>
                <w:rFonts w:hint="eastAsia" w:ascii="宋体" w:hAnsi="宋体"/>
                <w:color w:val="auto"/>
                <w:szCs w:val="21"/>
                <w:highlight w:val="none"/>
              </w:rPr>
            </w:pPr>
          </w:p>
        </w:tc>
        <w:tc>
          <w:tcPr>
            <w:tcW w:w="0" w:type="auto"/>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0" w:type="auto"/>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0" w:type="auto"/>
          </w:tcPr>
          <w:p>
            <w:pPr>
              <w:spacing w:line="280" w:lineRule="exact"/>
              <w:jc w:val="center"/>
              <w:rPr>
                <w:rFonts w:ascii="宋体" w:hAnsi="宋体" w:cs="Times New Roman"/>
                <w:color w:val="auto"/>
                <w:spacing w:val="-6"/>
                <w:kern w:val="2"/>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0" w:type="auto"/>
            <w:vAlign w:val="top"/>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83</w:t>
            </w:r>
          </w:p>
        </w:tc>
        <w:tc>
          <w:tcPr>
            <w:tcW w:w="0" w:type="auto"/>
            <w:vAlign w:val="center"/>
          </w:tcPr>
          <w:p>
            <w:pPr>
              <w:snapToGrid w:val="0"/>
              <w:spacing w:line="240" w:lineRule="auto"/>
              <w:jc w:val="left"/>
              <w:rPr>
                <w:rFonts w:hint="default" w:ascii="宋体" w:hAnsi="宋体" w:eastAsia="宋体" w:cs="Calibri"/>
                <w:color w:val="auto"/>
                <w:kern w:val="2"/>
                <w:sz w:val="21"/>
                <w:szCs w:val="21"/>
                <w:highlight w:val="none"/>
                <w:lang w:val="en-US" w:eastAsia="zh-CN" w:bidi="ar-SA"/>
              </w:rPr>
            </w:pPr>
            <w:r>
              <w:rPr>
                <w:rFonts w:ascii="宋体" w:hAnsi="宋体"/>
                <w:color w:val="auto"/>
                <w:szCs w:val="21"/>
                <w:highlight w:val="none"/>
              </w:rPr>
              <w:t>水质试验</w:t>
            </w:r>
            <w:r>
              <w:rPr>
                <w:rFonts w:hint="eastAsia" w:ascii="宋体" w:hAnsi="宋体"/>
                <w:color w:val="auto"/>
                <w:szCs w:val="21"/>
                <w:highlight w:val="none"/>
              </w:rPr>
              <w:t>（PH）</w:t>
            </w:r>
            <w:r>
              <w:rPr>
                <w:rFonts w:hint="eastAsia" w:ascii="宋体" w:hAnsi="宋体"/>
                <w:color w:val="auto"/>
                <w:szCs w:val="21"/>
                <w:highlight w:val="none"/>
                <w:lang w:val="en-US" w:eastAsia="zh-CN"/>
              </w:rPr>
              <w:t>/</w:t>
            </w:r>
            <w:r>
              <w:rPr>
                <w:rFonts w:ascii="宋体" w:hAnsi="宋体"/>
                <w:color w:val="auto"/>
                <w:szCs w:val="21"/>
                <w:highlight w:val="none"/>
              </w:rPr>
              <w:t>水质</w:t>
            </w:r>
            <w:r>
              <w:rPr>
                <w:rFonts w:hint="eastAsia" w:ascii="宋体" w:hAnsi="宋体"/>
                <w:color w:val="auto"/>
                <w:szCs w:val="21"/>
                <w:highlight w:val="none"/>
              </w:rPr>
              <w:t>分析（PH）</w:t>
            </w:r>
          </w:p>
        </w:tc>
        <w:tc>
          <w:tcPr>
            <w:tcW w:w="0" w:type="auto"/>
          </w:tcPr>
          <w:p>
            <w:pPr>
              <w:spacing w:line="280" w:lineRule="exact"/>
              <w:jc w:val="center"/>
              <w:rPr>
                <w:rFonts w:hint="eastAsia" w:ascii="宋体" w:hAnsi="宋体"/>
                <w:color w:val="auto"/>
                <w:spacing w:val="-6"/>
                <w:szCs w:val="21"/>
                <w:highlight w:val="none"/>
                <w:lang w:val="en-US" w:eastAsia="zh-CN"/>
              </w:rPr>
            </w:pPr>
          </w:p>
        </w:tc>
        <w:tc>
          <w:tcPr>
            <w:tcW w:w="0" w:type="auto"/>
          </w:tcPr>
          <w:p>
            <w:pPr>
              <w:spacing w:line="360" w:lineRule="exact"/>
              <w:rPr>
                <w:rFonts w:hint="eastAsia" w:ascii="宋体" w:hAnsi="宋体"/>
                <w:color w:val="auto"/>
                <w:szCs w:val="21"/>
                <w:highlight w:val="none"/>
              </w:rPr>
            </w:pPr>
          </w:p>
        </w:tc>
        <w:tc>
          <w:tcPr>
            <w:tcW w:w="0" w:type="auto"/>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0" w:type="auto"/>
          </w:tcPr>
          <w:p>
            <w:pPr>
              <w:spacing w:line="280" w:lineRule="exact"/>
              <w:jc w:val="center"/>
              <w:rPr>
                <w:rFonts w:ascii="宋体" w:hAnsi="宋体" w:eastAsia="宋体" w:cs="Times New Roman"/>
                <w:color w:val="auto"/>
                <w:spacing w:val="-6"/>
                <w:kern w:val="2"/>
                <w:sz w:val="21"/>
                <w:szCs w:val="21"/>
                <w:highlight w:val="none"/>
                <w:lang w:val="en-US" w:eastAsia="zh-CN" w:bidi="ar-SA"/>
              </w:rPr>
            </w:pPr>
          </w:p>
        </w:tc>
        <w:tc>
          <w:tcPr>
            <w:tcW w:w="0" w:type="auto"/>
          </w:tcPr>
          <w:p>
            <w:pPr>
              <w:spacing w:line="280" w:lineRule="exact"/>
              <w:jc w:val="center"/>
              <w:rPr>
                <w:rFonts w:ascii="宋体" w:hAnsi="宋体" w:cs="Times New Roman"/>
                <w:color w:val="auto"/>
                <w:spacing w:val="-6"/>
                <w:kern w:val="2"/>
                <w:sz w:val="21"/>
                <w:szCs w:val="21"/>
                <w:highlight w:val="none"/>
                <w:lang w:eastAsia="zh-CN" w:bidi="ar-SA"/>
              </w:rPr>
            </w:pPr>
          </w:p>
        </w:tc>
      </w:tr>
    </w:tbl>
    <w:p>
      <w:pPr>
        <w:pStyle w:val="2"/>
        <w:ind w:left="0" w:leftChars="0" w:firstLine="0" w:firstLineChars="0"/>
        <w:rPr>
          <w:rFonts w:hint="eastAsia" w:ascii="宋体" w:hAnsi="宋体" w:cs="宋体"/>
          <w:b/>
          <w:color w:val="auto"/>
          <w:sz w:val="24"/>
          <w:szCs w:val="24"/>
          <w:highlight w:val="none"/>
          <w:lang w:val="en-US" w:eastAsia="zh-CN" w:bidi="ar-SA"/>
        </w:rPr>
      </w:pPr>
    </w:p>
    <w:p>
      <w:pPr>
        <w:widowControl/>
        <w:numPr>
          <w:ilvl w:val="0"/>
          <w:numId w:val="0"/>
        </w:numPr>
        <w:shd w:val="clear"/>
        <w:autoSpaceDE/>
        <w:autoSpaceDN/>
        <w:adjustRightInd/>
        <w:spacing w:line="360" w:lineRule="auto"/>
        <w:jc w:val="both"/>
        <w:rPr>
          <w:rFonts w:hint="eastAsia" w:ascii="宋体" w:hAnsi="宋体" w:eastAsia="宋体" w:cs="宋体"/>
          <w:b/>
          <w:color w:val="auto"/>
          <w:sz w:val="24"/>
          <w:szCs w:val="24"/>
          <w:highlight w:val="none"/>
          <w:lang w:val="en-US" w:eastAsia="zh-CN" w:bidi="ar-SA"/>
        </w:rPr>
      </w:pPr>
    </w:p>
    <w:p>
      <w:pPr>
        <w:pStyle w:val="2"/>
        <w:rPr>
          <w:rFonts w:hint="eastAsia" w:ascii="宋体" w:hAnsi="宋体" w:eastAsia="宋体" w:cs="宋体"/>
          <w:b/>
          <w:color w:val="auto"/>
          <w:sz w:val="24"/>
          <w:szCs w:val="24"/>
          <w:highlight w:val="none"/>
          <w:lang w:val="en-US" w:eastAsia="zh-CN" w:bidi="ar-SA"/>
        </w:rPr>
      </w:pPr>
    </w:p>
    <w:p>
      <w:pPr>
        <w:pStyle w:val="2"/>
        <w:rPr>
          <w:rFonts w:hint="eastAsia" w:ascii="宋体" w:hAnsi="宋体" w:eastAsia="宋体" w:cs="宋体"/>
          <w:b/>
          <w:color w:val="auto"/>
          <w:sz w:val="24"/>
          <w:szCs w:val="24"/>
          <w:highlight w:val="none"/>
          <w:lang w:val="en-US" w:eastAsia="zh-CN" w:bidi="ar-SA"/>
        </w:rPr>
      </w:pPr>
    </w:p>
    <w:p>
      <w:pPr>
        <w:pStyle w:val="2"/>
        <w:rPr>
          <w:rFonts w:hint="eastAsia" w:ascii="宋体" w:hAnsi="宋体" w:eastAsia="宋体" w:cs="宋体"/>
          <w:b/>
          <w:color w:val="auto"/>
          <w:sz w:val="24"/>
          <w:szCs w:val="24"/>
          <w:highlight w:val="none"/>
          <w:lang w:val="en-US" w:eastAsia="zh-CN" w:bidi="ar-SA"/>
        </w:rPr>
      </w:pPr>
    </w:p>
    <w:p>
      <w:pPr>
        <w:pStyle w:val="2"/>
        <w:rPr>
          <w:rFonts w:hint="eastAsia" w:ascii="宋体" w:hAnsi="宋体" w:eastAsia="宋体" w:cs="宋体"/>
          <w:b/>
          <w:color w:val="auto"/>
          <w:sz w:val="24"/>
          <w:szCs w:val="24"/>
          <w:highlight w:val="none"/>
          <w:lang w:val="en-US" w:eastAsia="zh-CN" w:bidi="ar-SA"/>
        </w:rPr>
      </w:pPr>
    </w:p>
    <w:p>
      <w:pPr>
        <w:widowControl w:val="0"/>
        <w:numPr>
          <w:ilvl w:val="0"/>
          <w:numId w:val="0"/>
        </w:numPr>
        <w:autoSpaceDE w:val="0"/>
        <w:autoSpaceDN w:val="0"/>
        <w:adjustRightInd w:val="0"/>
        <w:rPr>
          <w:rFonts w:hint="eastAsia" w:ascii="黑体" w:hAnsi="黑体" w:eastAsia="黑体" w:cs="黑体"/>
          <w:b/>
          <w:color w:val="auto"/>
          <w:sz w:val="24"/>
          <w:szCs w:val="24"/>
          <w:highlight w:val="none"/>
        </w:rPr>
      </w:pPr>
    </w:p>
    <w:p>
      <w:pPr>
        <w:widowControl w:val="0"/>
        <w:numPr>
          <w:ilvl w:val="0"/>
          <w:numId w:val="0"/>
        </w:numPr>
        <w:autoSpaceDE w:val="0"/>
        <w:autoSpaceDN w:val="0"/>
        <w:adjustRightInd w:val="0"/>
        <w:rPr>
          <w:rFonts w:hint="eastAsia" w:ascii="黑体" w:hAnsi="黑体" w:eastAsia="黑体" w:cs="黑体"/>
          <w:b/>
          <w:color w:val="auto"/>
          <w:sz w:val="24"/>
          <w:szCs w:val="24"/>
          <w:highlight w:val="none"/>
        </w:rPr>
      </w:pPr>
    </w:p>
    <w:p>
      <w:pPr>
        <w:widowControl w:val="0"/>
        <w:numPr>
          <w:ilvl w:val="0"/>
          <w:numId w:val="0"/>
        </w:numPr>
        <w:autoSpaceDE w:val="0"/>
        <w:autoSpaceDN w:val="0"/>
        <w:adjustRightInd w:val="0"/>
        <w:rPr>
          <w:rFonts w:hint="eastAsia" w:ascii="黑体" w:hAnsi="黑体" w:eastAsia="黑体" w:cs="黑体"/>
          <w:b/>
          <w:color w:val="auto"/>
          <w:sz w:val="24"/>
          <w:szCs w:val="24"/>
          <w:highlight w:val="none"/>
        </w:rPr>
      </w:pPr>
    </w:p>
    <w:p>
      <w:pPr>
        <w:widowControl w:val="0"/>
        <w:numPr>
          <w:ilvl w:val="0"/>
          <w:numId w:val="0"/>
        </w:numPr>
        <w:autoSpaceDE w:val="0"/>
        <w:autoSpaceDN w:val="0"/>
        <w:adjustRightInd w:val="0"/>
        <w:rPr>
          <w:rFonts w:hint="eastAsia" w:ascii="黑体" w:hAnsi="黑体" w:eastAsia="黑体" w:cs="黑体"/>
          <w:b/>
          <w:color w:val="auto"/>
          <w:sz w:val="24"/>
          <w:szCs w:val="24"/>
          <w:highlight w:val="none"/>
        </w:rPr>
      </w:pPr>
    </w:p>
    <w:p>
      <w:pPr>
        <w:widowControl w:val="0"/>
        <w:numPr>
          <w:ilvl w:val="0"/>
          <w:numId w:val="0"/>
        </w:numPr>
        <w:autoSpaceDE w:val="0"/>
        <w:autoSpaceDN w:val="0"/>
        <w:adjustRightInd w:val="0"/>
        <w:rPr>
          <w:rFonts w:hint="eastAsia" w:ascii="宋体" w:hAnsi="宋体" w:eastAsia="宋体" w:cs="宋体"/>
          <w:color w:val="auto"/>
          <w:highlight w:val="none"/>
          <w:lang w:eastAsia="zh-CN"/>
        </w:rPr>
      </w:pPr>
      <w:r>
        <w:rPr>
          <w:rFonts w:hint="eastAsia" w:ascii="黑体" w:hAnsi="黑体" w:eastAsia="黑体" w:cs="黑体"/>
          <w:b/>
          <w:color w:val="auto"/>
          <w:sz w:val="24"/>
          <w:szCs w:val="24"/>
          <w:highlight w:val="none"/>
        </w:rPr>
        <w:t>（</w:t>
      </w:r>
      <w:r>
        <w:rPr>
          <w:rFonts w:hint="eastAsia" w:ascii="黑体" w:hAnsi="黑体" w:eastAsia="黑体" w:cs="黑体"/>
          <w:b/>
          <w:color w:val="auto"/>
          <w:sz w:val="24"/>
          <w:szCs w:val="24"/>
          <w:highlight w:val="none"/>
          <w:lang w:eastAsia="zh-CN"/>
        </w:rPr>
        <w:t>六</w:t>
      </w:r>
      <w:r>
        <w:rPr>
          <w:rFonts w:hint="eastAsia" w:ascii="黑体" w:hAnsi="黑体" w:eastAsia="黑体" w:cs="黑体"/>
          <w:b/>
          <w:color w:val="auto"/>
          <w:sz w:val="24"/>
          <w:szCs w:val="24"/>
          <w:highlight w:val="none"/>
        </w:rPr>
        <w:t>）</w:t>
      </w:r>
      <w:r>
        <w:rPr>
          <w:rFonts w:hint="eastAsia" w:eastAsia="黑体"/>
          <w:b/>
          <w:color w:val="auto"/>
          <w:sz w:val="24"/>
          <w:szCs w:val="24"/>
          <w:highlight w:val="none"/>
          <w:lang w:eastAsia="zh-CN"/>
        </w:rPr>
        <w:t>其他</w:t>
      </w:r>
      <w:r>
        <w:rPr>
          <w:rFonts w:hint="eastAsia"/>
          <w:b/>
          <w:color w:val="auto"/>
          <w:sz w:val="24"/>
          <w:szCs w:val="24"/>
          <w:highlight w:val="none"/>
        </w:rPr>
        <w:t>资料</w:t>
      </w:r>
    </w:p>
    <w:p>
      <w:pPr>
        <w:pStyle w:val="2"/>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color w:val="auto"/>
          <w:highlight w:val="none"/>
        </w:rPr>
        <w:sectPr>
          <w:headerReference r:id="rId25" w:type="default"/>
          <w:footerReference r:id="rId26" w:type="default"/>
          <w:pgSz w:w="11905" w:h="16838"/>
          <w:pgMar w:top="1417" w:right="1417" w:bottom="1417" w:left="1417" w:header="992" w:footer="992" w:gutter="0"/>
          <w:lnNumType w:countBy="0" w:distance="360"/>
          <w:pgNumType w:fmt="decimal"/>
          <w:cols w:space="0" w:num="1"/>
          <w:rtlGutter w:val="0"/>
          <w:docGrid w:linePitch="0" w:charSpace="0"/>
        </w:sectPr>
      </w:pPr>
    </w:p>
    <w:p>
      <w:pPr>
        <w:pStyle w:val="6"/>
        <w:outlineLvl w:val="0"/>
        <w:rPr>
          <w:rFonts w:hint="eastAsia" w:ascii="宋体" w:hAnsi="宋体" w:eastAsia="宋体" w:cs="宋体"/>
          <w:color w:val="auto"/>
          <w:sz w:val="44"/>
          <w:szCs w:val="44"/>
          <w:highlight w:val="none"/>
        </w:rPr>
      </w:pPr>
      <w:bookmarkStart w:id="322" w:name="_Toc17258"/>
      <w:r>
        <w:rPr>
          <w:rFonts w:hint="eastAsia" w:ascii="宋体" w:hAnsi="宋体" w:eastAsia="宋体" w:cs="宋体"/>
          <w:color w:val="auto"/>
          <w:sz w:val="44"/>
          <w:szCs w:val="44"/>
          <w:highlight w:val="none"/>
          <w:lang w:val="en-US" w:eastAsia="zh-CN"/>
        </w:rPr>
        <w:t xml:space="preserve">第七章 </w:t>
      </w:r>
      <w:r>
        <w:rPr>
          <w:rFonts w:hint="eastAsia" w:ascii="宋体" w:hAnsi="宋体" w:eastAsia="宋体" w:cs="宋体"/>
          <w:color w:val="auto"/>
          <w:sz w:val="44"/>
          <w:szCs w:val="44"/>
          <w:highlight w:val="none"/>
        </w:rPr>
        <w:t>投标人须知前附表规定的其他资料。</w:t>
      </w:r>
      <w:bookmarkEnd w:id="322"/>
    </w:p>
    <w:p>
      <w:pPr>
        <w:rPr>
          <w:rFonts w:hint="eastAsia" w:ascii="宋体" w:hAnsi="宋体" w:eastAsia="宋体" w:cs="宋体"/>
          <w:color w:val="auto"/>
          <w:sz w:val="24"/>
          <w:szCs w:val="24"/>
          <w:highlight w:val="none"/>
        </w:rPr>
      </w:pPr>
    </w:p>
    <w:p>
      <w:pPr>
        <w:pStyle w:val="7"/>
        <w:jc w:val="center"/>
        <w:outlineLvl w:val="0"/>
        <w:rPr>
          <w:rFonts w:hint="eastAsia" w:ascii="宋体" w:hAnsi="宋体" w:eastAsia="宋体" w:cs="宋体"/>
          <w:color w:val="auto"/>
          <w:sz w:val="30"/>
          <w:szCs w:val="24"/>
          <w:highlight w:val="none"/>
          <w:lang w:val="en-US" w:eastAsia="zh-CN"/>
        </w:rPr>
      </w:pPr>
      <w:bookmarkStart w:id="323" w:name="_Toc21589"/>
      <w:r>
        <w:rPr>
          <w:rFonts w:hint="eastAsia" w:ascii="宋体" w:hAnsi="宋体" w:eastAsia="宋体" w:cs="宋体"/>
          <w:color w:val="auto"/>
          <w:sz w:val="30"/>
          <w:szCs w:val="24"/>
          <w:highlight w:val="none"/>
          <w:lang w:val="en-US" w:eastAsia="zh-CN"/>
        </w:rPr>
        <w:t>否决性条款汇总</w:t>
      </w:r>
      <w:bookmarkEnd w:id="323"/>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否决性条款是指招标文件中规定的不予受理投标或者作无效标、废标以及不合格标处理等否定投标文件效力的条款。</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1、拒绝受理投标文件的情形：</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（1）电子投标文件未在投标截止时间前完整上传并保存在广州交易集团有限公司（广州公共资源交易中心）电子评标系统且取得回执的； </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（2）投标文件未按招标文件要求进行电子签章，并进行加密的；</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（3）因投标人原因造成电子投标文件未解密或逾期解密的。</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2、作无效投标的情形</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（1）投标文件不符合招标文件评标办法中</w:t>
      </w:r>
      <w:r>
        <w:rPr>
          <w:rFonts w:hint="eastAsia" w:ascii="宋体" w:hAnsi="宋体" w:cs="宋体"/>
          <w:color w:val="auto"/>
          <w:highlight w:val="none"/>
          <w:lang w:eastAsia="zh-CN"/>
        </w:rPr>
        <w:t>初步评审</w:t>
      </w:r>
      <w:r>
        <w:rPr>
          <w:rFonts w:hint="eastAsia" w:ascii="宋体" w:hAnsi="宋体" w:eastAsia="宋体" w:cs="宋体"/>
          <w:color w:val="auto"/>
          <w:kern w:val="2"/>
          <w:sz w:val="24"/>
          <w:szCs w:val="24"/>
          <w:highlight w:val="none"/>
          <w:lang w:val="en-US" w:eastAsia="zh-CN" w:bidi="ar-SA"/>
        </w:rPr>
        <w:t>标准的要求；</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（2）第二章“投标人须知”第1.4.3项规定的任何一种情形的；</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（3）不按评标委员会要求澄清、说明或补正的；</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（4）投标人的报价明显低于其他投标报价，投标人不能合理说明或者不能提供相应证明材料的；</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（5）不对评标委员会修正后的价格进行书面确认；</w:t>
      </w:r>
    </w:p>
    <w:p>
      <w:pPr>
        <w:widowControl w:val="0"/>
        <w:shd w:val="clear"/>
        <w:tabs>
          <w:tab w:val="left" w:pos="720"/>
        </w:tabs>
        <w:autoSpaceDE/>
        <w:autoSpaceDN/>
        <w:adjustRightInd/>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（6）要求提交投标保证金的，未按招标文件要求提供投标保证金的。</w:t>
      </w:r>
    </w:p>
    <w:p>
      <w:pPr>
        <w:widowControl w:val="0"/>
        <w:shd w:val="clear"/>
        <w:tabs>
          <w:tab w:val="left" w:pos="720"/>
        </w:tabs>
        <w:autoSpaceDE/>
        <w:autoSpaceDN/>
        <w:adjustRightInd/>
        <w:snapToGrid w:val="0"/>
        <w:spacing w:after="0" w:line="36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3、其他否定投标文件效力情形：</w:t>
      </w:r>
    </w:p>
    <w:p>
      <w:pPr>
        <w:widowControl w:val="0"/>
        <w:tabs>
          <w:tab w:val="left" w:pos="720"/>
        </w:tabs>
        <w:autoSpaceDE/>
        <w:autoSpaceDN/>
        <w:adjustRightInd/>
        <w:snapToGrid w:val="0"/>
        <w:spacing w:line="360" w:lineRule="auto"/>
        <w:ind w:firstLine="480" w:firstLineChars="200"/>
        <w:jc w:val="both"/>
        <w:rPr>
          <w:rFonts w:hint="eastAsia" w:ascii="宋体" w:hAnsi="宋体" w:cs="宋体"/>
          <w:color w:val="auto"/>
          <w:kern w:val="2"/>
          <w:highlight w:val="none"/>
          <w:lang w:val="en-US" w:eastAsia="zh-CN" w:bidi="ar-SA"/>
        </w:rPr>
      </w:pPr>
      <w:r>
        <w:rPr>
          <w:rFonts w:hint="eastAsia" w:ascii="宋体" w:hAnsi="宋体" w:cs="宋体"/>
          <w:color w:val="auto"/>
          <w:kern w:val="2"/>
          <w:highlight w:val="none"/>
          <w:lang w:val="en-US" w:eastAsia="zh-CN" w:bidi="ar-SA"/>
        </w:rPr>
        <w:t>（1）两个（含两个）以上的投标人加密打包投标文件电脑机器码一致的；</w:t>
      </w:r>
    </w:p>
    <w:p>
      <w:pPr>
        <w:tabs>
          <w:tab w:val="left" w:pos="720"/>
        </w:tabs>
        <w:autoSpaceDE/>
        <w:autoSpaceDN/>
        <w:adjustRightInd/>
        <w:snapToGrid w:val="0"/>
        <w:spacing w:line="360" w:lineRule="auto"/>
        <w:ind w:left="0" w:leftChars="0" w:firstLine="480"/>
        <w:rPr>
          <w:rFonts w:hint="eastAsia" w:ascii="宋体" w:hAnsi="宋体" w:eastAsia="宋体" w:cs="宋体"/>
          <w:color w:val="auto"/>
          <w:kern w:val="2"/>
          <w:highlight w:val="none"/>
          <w:lang w:val="en-US" w:eastAsia="zh-CN" w:bidi="ar-SA"/>
        </w:rPr>
      </w:pPr>
      <w:r>
        <w:rPr>
          <w:rFonts w:hint="eastAsia" w:ascii="宋体" w:hAnsi="宋体" w:eastAsia="宋体" w:cs="宋体"/>
          <w:color w:val="auto"/>
          <w:kern w:val="2"/>
          <w:highlight w:val="none"/>
          <w:lang w:val="en-US" w:eastAsia="zh-CN" w:bidi="ar-SA"/>
        </w:rPr>
        <w:t>（2）串通投标或弄虚作假或有其他违法行为的。</w:t>
      </w:r>
    </w:p>
    <w:p>
      <w:pPr>
        <w:widowControl/>
        <w:autoSpaceDE/>
        <w:autoSpaceDN/>
        <w:adjustRightInd/>
        <w:spacing w:after="135" w:line="360" w:lineRule="auto"/>
        <w:ind w:firstLine="480" w:firstLineChars="200"/>
        <w:rPr>
          <w:rFonts w:hint="eastAsia" w:ascii="宋体" w:hAnsi="宋体" w:eastAsia="宋体" w:cs="宋体"/>
          <w:color w:val="auto"/>
          <w:kern w:val="21"/>
          <w:sz w:val="24"/>
          <w:szCs w:val="24"/>
          <w:highlight w:val="none"/>
        </w:rPr>
      </w:pPr>
    </w:p>
    <w:sectPr>
      <w:headerReference r:id="rId27" w:type="default"/>
      <w:footerReference r:id="rId28" w:type="default"/>
      <w:pgSz w:w="11905" w:h="16838"/>
      <w:pgMar w:top="1417" w:right="1417" w:bottom="1417" w:left="1417" w:header="992" w:footer="992" w:gutter="0"/>
      <w:lnNumType w:countBy="0" w:distance="36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sz w:val="18"/>
        <w:szCs w:val="24"/>
      </w:rPr>
    </w:pPr>
    <w:r>
      <w:rPr>
        <w:rFonts w:hint="default"/>
        <w:sz w:val="18"/>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nSfx8QBAABxAwAADgAAAAAAAAABACAAAAAeAQAAZHJzL2Uyb0RvYy54bWxQ&#10;SwUGAAAAAAYABgBZAQAAVAUAAAAA&#10;">
              <v:fill on="f" focussize="0,0"/>
              <v:stroke on="f"/>
              <v:imagedata o:title=""/>
              <o:lock v:ext="edit" aspectratio="f"/>
              <v:textbox inset="0mm,0mm,0mm,0mm" style="mso-fit-shape-to-text:t;">
                <w:txbxContent>
                  <w:p>
                    <w:pPr>
                      <w:pStyle w:val="18"/>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adjustRightInd w:val="0"/>
      <w:snapToGrid w:val="0"/>
      <w:spacing w:line="276" w:lineRule="auto"/>
      <w:jc w:val="center"/>
      <w:rPr>
        <w:rFonts w:hint="default" w:ascii="Times New Roman" w:hAnsi="Times New Roman" w:eastAsia="宋体" w:cs="Times New Roman"/>
        <w:sz w:val="20"/>
        <w:szCs w:val="24"/>
      </w:rPr>
    </w:pPr>
    <w:r>
      <w:rPr>
        <w:rFonts w:hint="default" w:ascii="Times New Roman" w:hAnsi="Times New Roman" w:eastAsia="宋体" w:cs="Times New Roman"/>
        <w:sz w:val="20"/>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utoSpaceDE w:val="0"/>
                            <w:autoSpaceDN w:val="0"/>
                            <w:adjustRightInd w:val="0"/>
                            <w:snapToGrid w:val="0"/>
                            <w:rPr>
                              <w:rFonts w:hint="default" w:ascii="Times New Roman" w:hAnsi="Times New Roman" w:eastAsia="宋体" w:cs="Times New Roman"/>
                              <w:sz w:val="18"/>
                              <w:szCs w:val="24"/>
                            </w:rPr>
                          </w:pPr>
                          <w:r>
                            <w:rPr>
                              <w:rFonts w:hint="default" w:ascii="Times New Roman" w:hAnsi="Times New Roman" w:eastAsia="宋体" w:cs="Times New Roman"/>
                              <w:sz w:val="18"/>
                              <w:szCs w:val="24"/>
                            </w:rPr>
                            <w:fldChar w:fldCharType="begin"/>
                          </w:r>
                          <w:r>
                            <w:rPr>
                              <w:rFonts w:hint="default" w:ascii="Times New Roman" w:hAnsi="Times New Roman" w:eastAsia="宋体" w:cs="Times New Roman"/>
                              <w:sz w:val="18"/>
                              <w:szCs w:val="24"/>
                            </w:rPr>
                            <w:instrText xml:space="preserve"> PAGE  \* MERGEFORMAT </w:instrText>
                          </w:r>
                          <w:r>
                            <w:rPr>
                              <w:rFonts w:hint="default" w:ascii="Times New Roman" w:hAnsi="Times New Roman" w:eastAsia="宋体" w:cs="Times New Roman"/>
                              <w:sz w:val="18"/>
                              <w:szCs w:val="24"/>
                            </w:rPr>
                            <w:fldChar w:fldCharType="separate"/>
                          </w:r>
                          <w:r>
                            <w:rPr>
                              <w:rFonts w:hint="default" w:ascii="Times New Roman" w:hAnsi="Times New Roman" w:eastAsia="宋体" w:cs="Times New Roman"/>
                              <w:sz w:val="18"/>
                              <w:szCs w:val="24"/>
                            </w:rPr>
                            <w:t>95</w:t>
                          </w:r>
                          <w:r>
                            <w:rPr>
                              <w:rFonts w:hint="default" w:ascii="Times New Roman" w:hAnsi="Times New Roman" w:eastAsia="宋体" w:cs="Times New Roman"/>
                              <w:sz w:val="18"/>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adjustRightInd w:val="0"/>
                      <w:snapToGrid w:val="0"/>
                      <w:rPr>
                        <w:rFonts w:hint="default" w:ascii="Times New Roman" w:hAnsi="Times New Roman" w:eastAsia="宋体" w:cs="Times New Roman"/>
                        <w:sz w:val="18"/>
                        <w:szCs w:val="24"/>
                      </w:rPr>
                    </w:pPr>
                    <w:r>
                      <w:rPr>
                        <w:rFonts w:hint="default" w:ascii="Times New Roman" w:hAnsi="Times New Roman" w:eastAsia="宋体" w:cs="Times New Roman"/>
                        <w:sz w:val="18"/>
                        <w:szCs w:val="24"/>
                      </w:rPr>
                      <w:fldChar w:fldCharType="begin"/>
                    </w:r>
                    <w:r>
                      <w:rPr>
                        <w:rFonts w:hint="default" w:ascii="Times New Roman" w:hAnsi="Times New Roman" w:eastAsia="宋体" w:cs="Times New Roman"/>
                        <w:sz w:val="18"/>
                        <w:szCs w:val="24"/>
                      </w:rPr>
                      <w:instrText xml:space="preserve"> PAGE  \* MERGEFORMAT </w:instrText>
                    </w:r>
                    <w:r>
                      <w:rPr>
                        <w:rFonts w:hint="default" w:ascii="Times New Roman" w:hAnsi="Times New Roman" w:eastAsia="宋体" w:cs="Times New Roman"/>
                        <w:sz w:val="18"/>
                        <w:szCs w:val="24"/>
                      </w:rPr>
                      <w:fldChar w:fldCharType="separate"/>
                    </w:r>
                    <w:r>
                      <w:rPr>
                        <w:rFonts w:hint="default" w:ascii="Times New Roman" w:hAnsi="Times New Roman" w:eastAsia="宋体" w:cs="Times New Roman"/>
                        <w:sz w:val="18"/>
                        <w:szCs w:val="24"/>
                      </w:rPr>
                      <w:t>95</w:t>
                    </w:r>
                    <w:r>
                      <w:rPr>
                        <w:rFonts w:hint="default" w:ascii="Times New Roman" w:hAnsi="Times New Roman" w:eastAsia="宋体" w:cs="Times New Roman"/>
                        <w:sz w:val="18"/>
                        <w:szCs w:val="24"/>
                      </w:rPr>
                      <w:fldChar w:fldCharType="end"/>
                    </w:r>
                  </w:p>
                </w:txbxContent>
              </v:textbox>
            </v:shape>
          </w:pict>
        </mc:Fallback>
      </mc:AlternateContent>
    </w:r>
  </w:p>
  <w:p>
    <w:pPr>
      <w:widowControl w:val="0"/>
      <w:tabs>
        <w:tab w:val="center" w:pos="4153"/>
        <w:tab w:val="right" w:pos="8306"/>
      </w:tabs>
      <w:autoSpaceDE w:val="0"/>
      <w:autoSpaceDN w:val="0"/>
      <w:adjustRightInd w:val="0"/>
      <w:snapToGrid w:val="0"/>
      <w:rPr>
        <w:rFonts w:hint="default" w:ascii="Times New Roman" w:hAnsi="Times New Roman" w:eastAsia="宋体" w:cs="Times New Roman"/>
        <w:sz w:val="18"/>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76" w:lineRule="auto"/>
      <w:jc w:val="center"/>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95</w:t>
                    </w:r>
                    <w:r>
                      <w:fldChar w:fldCharType="end"/>
                    </w:r>
                  </w:p>
                </w:txbxContent>
              </v:textbox>
            </v:shape>
          </w:pict>
        </mc:Fallback>
      </mc:AlternateContent>
    </w:r>
  </w:p>
  <w:p>
    <w:pPr>
      <w:pStyle w:val="1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1780"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271780"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21.4pt;mso-position-horizontal:center;mso-position-horizontal-relative:margin;z-index:251662336;mso-width-relative:page;mso-height-relative:page;" filled="f" stroked="f" coordsize="21600,21600" o:gfxdata="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IWn47TAAAAAwEAAA8AAAAAAAAAAQAgAAAAIgAAAGRycy9kb3ducmV2LnhtbFBLAQIU&#10;ABQAAAAIAIdO4kC9M42CvwEAAFcDAAAOAAAAAAAAAAEAIAAAACIBAABkcnMvZTJvRG9jLnhtbFBL&#10;BQYAAAAABgAGAFkBAABTBQ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posOffset>2796540</wp:posOffset>
              </wp:positionH>
              <wp:positionV relativeFrom="paragraph">
                <wp:posOffset>-9525</wp:posOffset>
              </wp:positionV>
              <wp:extent cx="261620" cy="149225"/>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261620" cy="149225"/>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left:220.2pt;margin-top:-0.75pt;height:11.75pt;width:20.6pt;mso-position-horizontal-relative:margin;z-index:251666432;mso-width-relative:page;mso-height-relative:page;" filled="f" stroked="f" coordsize="21600,21600" o:gfxdata="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MYl5fYAAAACQEA&#10;AA8AAAAAAAAAAQAgAAAAIgAAAGRycy9kb3ducmV2LnhtbFBLAQIUABQAAAAIAIdO4kB/d5F2qAEA&#10;ADMDAAAOAAAAAAAAAAEAIAAAACcBAABkcnMvZTJvRG9jLnhtbFBLBQYAAAAABgAGAFkBAABBBQAA&#10;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61620"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261620"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20.6pt;mso-position-horizontal:center;mso-position-horizontal-relative:margin;z-index:251669504;mso-width-relative:page;mso-height-relative:page;" filled="f" stroked="f" coordsize="21600,21600" o:gfxdata="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t8duT0wAAAAMBAAAPAAAA&#10;AAAAAAEAIAAAACIAAABkcnMvZG93bnJldi54bWxQSwECFAAUAAAACACHTuJAy3zfDKgBAAAzAwAA&#10;DgAAAAAAAAABACAAAAAiAQAAZHJzL2Uyb0RvYy54bWxQSwUGAAAAAAYABgBZAQAAPAU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bJP2jTAAAAAwEAAA8AAAAA&#10;AAAAAQAgAAAAIgAAAGRycy9kb3ducmV2LnhtbFBLAQIUABQAAAAIAIdO4kC+y90ypwEAADMDAAAO&#10;AAAAAAAAAAEAIAAAACIBAABkcnMvZTJvRG9jLnhtbFBLBQYAAAAABgAGAFkBAAA7BQ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posOffset>2796540</wp:posOffset>
              </wp:positionH>
              <wp:positionV relativeFrom="paragraph">
                <wp:posOffset>-9525</wp:posOffset>
              </wp:positionV>
              <wp:extent cx="261620" cy="149225"/>
              <wp:effectExtent l="0" t="0" r="0" b="0"/>
              <wp:wrapNone/>
              <wp:docPr id="9" name="文本框 17"/>
              <wp:cNvGraphicFramePr/>
              <a:graphic xmlns:a="http://schemas.openxmlformats.org/drawingml/2006/main">
                <a:graphicData uri="http://schemas.microsoft.com/office/word/2010/wordprocessingShape">
                  <wps:wsp>
                    <wps:cNvSpPr txBox="1"/>
                    <wps:spPr>
                      <a:xfrm>
                        <a:off x="0" y="0"/>
                        <a:ext cx="261620" cy="149225"/>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left:220.2pt;margin-top:-0.75pt;height:11.75pt;width:20.6pt;mso-position-horizontal-relative:margin;z-index:251665408;mso-width-relative:page;mso-height-relative:page;" filled="f" stroked="f" coordsize="21600,21600" o:gfxdata="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GJeX2AAAAAkB&#10;AAAPAAAAAAAAAAEAIAAAACIAAABkcnMvZG93bnJldi54bWxQSwECFAAUAAAACACHTuJAv0qRrqkB&#10;AAAyAwAADgAAAAAAAAABACAAAAAnAQAAZHJzL2Uyb0RvYy54bWxQSwUGAAAAAAYABgBZAQAAQgUA&#10;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jc w:val="both"/>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02895" cy="1397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302895"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23.85pt;mso-position-horizontal:center;mso-position-horizontal-relative:margin;z-index:251667456;mso-width-relative:page;mso-height-relative:page;" filled="f" stroked="f" coordsize="21600,21600" o:gfxdata="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ePqpnUAAAAAwEAAA8A&#10;AAAAAAAAAQAgAAAAIgAAAGRycy9kb3ducmV2LnhtbFBLAQIUABQAAAAIAIdO4kCNWbjXqQEAADMD&#10;AAAOAAAAAAAAAAEAIAAAACMBAABkcnMvZTJvRG9jLnhtbFBLBQYAAAAABgAGAFkBAAA+BQ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ZEDqLTAAAAAwEAAA8AAAAAAAAAAQAgAAAAIgAAAGRycy9kb3ducmV2LnhtbFBLAQIUABQA&#10;AAAIAIdO4kAiylVAvAEAAFYDAAAOAAAAAAAAAAEAIAAAACIBAABkcnMvZTJvRG9jLnhtbFBLBQYA&#10;AAAABgAGAFkBAABQBQ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sk/aNMAAAADAQAADwAAAAAAAAABACAAAAAiAAAAZHJzL2Rvd25yZXYueG1sUEsBAhQAFAAA&#10;AAgAh07iQDHd4my7AQAAVgMAAA4AAAAAAAAAAQAgAAAAIgEAAGRycy9lMm9Eb2MueG1sUEsFBgAA&#10;AAAGAAYAWQEAAE8FA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sk/aNMAAAADAQAADwAAAAAA&#10;AAABACAAAAAiAAAAZHJzL2Rvd25yZXYueG1sUEsBAhQAFAAAAAgAh07iQL3VcPemAQAAMQMAAA4A&#10;AAAAAAAAAQAgAAAAIgEAAGRycy9lMm9Eb2MueG1sUEsFBgAAAAAGAAYAWQEAADoFA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cs="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43</w:t>
                    </w:r>
                    <w:r>
                      <w:fldChar w:fldCharType="end"/>
                    </w:r>
                  </w:p>
                </w:txbxContent>
              </v:textbox>
            </v:shape>
          </w:pict>
        </mc:Fallback>
      </mc:AlternateContent>
    </w:r>
  </w:p>
  <w:p>
    <w:pPr>
      <w:pStyle w:val="18"/>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cs="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mc:Fallback>
      </mc:AlternateContent>
    </w:r>
  </w:p>
  <w:p>
    <w:pPr>
      <w:pStyle w:val="18"/>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JP2jTAAAAAwEAAA8AAAAAAAAAAQAgAAAAIgAAAGRycy9kb3ducmV2LnhtbFBLAQIUABQA&#10;AAAIAIdO4kDf5XOXvAEAAFcDAAAOAAAAAAAAAAEAIAAAACIBAABkcnMvZTJvRG9jLnhtbFBLBQYA&#10;AAAABgAGAFkBAABQBQAAAAA=&#10;">
              <v:fill on="f" focussize="0,0"/>
              <v:stroke on="f"/>
              <v:imagedata o:title=""/>
              <o:lock v:ext="edit" aspectratio="f"/>
              <v:textbox inset="0mm,0mm,0mm,0mm">
                <w:txbxContent>
                  <w:p>
                    <w:pPr>
                      <w:pStyle w:val="14"/>
                      <w:kinsoku w:val="0"/>
                      <w:overflowPunct w:val="0"/>
                      <w:spacing w:line="203" w:lineRule="exact"/>
                      <w:ind w:left="40"/>
                      <w:rPr>
                        <w:rFonts w:hint="default" w:ascii="Calibri" w:hAnsi="Calibri" w:eastAsia="Calibri"/>
                        <w:sz w:val="18"/>
                        <w:szCs w:val="24"/>
                      </w:rPr>
                    </w:pPr>
                    <w:r>
                      <w:rPr>
                        <w:rFonts w:hint="default" w:ascii="Calibri" w:hAnsi="Calibri" w:eastAsia="Calibri"/>
                        <w:sz w:val="18"/>
                        <w:szCs w:val="24"/>
                      </w:rPr>
                      <w:fldChar w:fldCharType="begin"/>
                    </w:r>
                    <w:r>
                      <w:rPr>
                        <w:rFonts w:hint="default" w:ascii="Calibri" w:hAnsi="Calibri" w:eastAsia="Calibri"/>
                        <w:sz w:val="18"/>
                        <w:szCs w:val="24"/>
                      </w:rPr>
                      <w:instrText xml:space="preserve"> PAGE  \* MERGEFORMAT </w:instrText>
                    </w:r>
                    <w:r>
                      <w:rPr>
                        <w:rFonts w:hint="default" w:ascii="Calibri" w:hAnsi="Calibri" w:eastAsia="Calibri"/>
                        <w:sz w:val="18"/>
                        <w:szCs w:val="24"/>
                      </w:rPr>
                      <w:fldChar w:fldCharType="separate"/>
                    </w:r>
                    <w:r>
                      <w:rPr>
                        <w:rFonts w:hint="default" w:ascii="Calibri" w:hAnsi="Calibri" w:eastAsia="Calibri"/>
                        <w:sz w:val="18"/>
                        <w:szCs w:val="24"/>
                      </w:rPr>
                      <w:t>1</w:t>
                    </w:r>
                    <w:r>
                      <w:rPr>
                        <w:rFonts w:hint="default" w:ascii="Calibri" w:hAnsi="Calibri" w:eastAsia="Calibri"/>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76" w:lineRule="auto"/>
      <w:jc w:val="center"/>
      <w:rPr>
        <w:sz w:val="20"/>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sdt>
      <w:sdtPr>
        <w:id w:val="1316989140"/>
      </w:sdtPr>
      <w:sdtEndPr>
        <w:rPr>
          <w:sz w:val="20"/>
        </w:rPr>
      </w:sdtEndPr>
      <w:sdtContent/>
    </w:sdt>
  </w:p>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93</w:t>
                    </w:r>
                    <w: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9DB7B"/>
    <w:multiLevelType w:val="singleLevel"/>
    <w:tmpl w:val="A6F9DB7B"/>
    <w:lvl w:ilvl="0" w:tentative="0">
      <w:start w:val="6"/>
      <w:numFmt w:val="decimal"/>
      <w:suff w:val="nothing"/>
      <w:lvlText w:val="%1、"/>
      <w:lvlJc w:val="left"/>
    </w:lvl>
  </w:abstractNum>
  <w:abstractNum w:abstractNumId="1">
    <w:nsid w:val="A8F1AE10"/>
    <w:multiLevelType w:val="singleLevel"/>
    <w:tmpl w:val="A8F1AE10"/>
    <w:lvl w:ilvl="0" w:tentative="0">
      <w:start w:val="1"/>
      <w:numFmt w:val="decimal"/>
      <w:suff w:val="nothing"/>
      <w:lvlText w:val="（%1）"/>
      <w:lvlJc w:val="left"/>
    </w:lvl>
  </w:abstractNum>
  <w:abstractNum w:abstractNumId="2">
    <w:nsid w:val="B02965F6"/>
    <w:multiLevelType w:val="singleLevel"/>
    <w:tmpl w:val="B02965F6"/>
    <w:lvl w:ilvl="0" w:tentative="0">
      <w:start w:val="1"/>
      <w:numFmt w:val="chineseCounting"/>
      <w:suff w:val="nothing"/>
      <w:lvlText w:val="（%1）"/>
      <w:lvlJc w:val="left"/>
      <w:pPr>
        <w:ind w:left="0" w:firstLine="420"/>
      </w:pPr>
      <w:rPr>
        <w:rFonts w:hint="eastAsia"/>
      </w:rPr>
    </w:lvl>
  </w:abstractNum>
  <w:abstractNum w:abstractNumId="3">
    <w:nsid w:val="CE17717B"/>
    <w:multiLevelType w:val="singleLevel"/>
    <w:tmpl w:val="CE17717B"/>
    <w:lvl w:ilvl="0" w:tentative="0">
      <w:start w:val="2"/>
      <w:numFmt w:val="decimal"/>
      <w:suff w:val="space"/>
      <w:lvlText w:val="第%1章"/>
      <w:lvlJc w:val="left"/>
    </w:lvl>
  </w:abstractNum>
  <w:abstractNum w:abstractNumId="4">
    <w:nsid w:val="D824A416"/>
    <w:multiLevelType w:val="singleLevel"/>
    <w:tmpl w:val="D824A416"/>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2FiODY3MTY3MDM2MmMyMGQ2ZDU5YzE5NzU4ZDAifQ=="/>
  </w:docVars>
  <w:rsids>
    <w:rsidRoot w:val="00172A27"/>
    <w:rsid w:val="00434AD7"/>
    <w:rsid w:val="00BA3FBE"/>
    <w:rsid w:val="014F2E8B"/>
    <w:rsid w:val="015F5C05"/>
    <w:rsid w:val="020F624B"/>
    <w:rsid w:val="028D352C"/>
    <w:rsid w:val="02E52BEF"/>
    <w:rsid w:val="037109A0"/>
    <w:rsid w:val="03C12165"/>
    <w:rsid w:val="04590E88"/>
    <w:rsid w:val="04A24B84"/>
    <w:rsid w:val="055A6E6C"/>
    <w:rsid w:val="055E32F7"/>
    <w:rsid w:val="06781993"/>
    <w:rsid w:val="070204F3"/>
    <w:rsid w:val="079D30DF"/>
    <w:rsid w:val="085C03C1"/>
    <w:rsid w:val="08C473E5"/>
    <w:rsid w:val="09452310"/>
    <w:rsid w:val="09C27272"/>
    <w:rsid w:val="0A396C8F"/>
    <w:rsid w:val="0AA35EA3"/>
    <w:rsid w:val="0BDE5A88"/>
    <w:rsid w:val="0C997CA3"/>
    <w:rsid w:val="0EB775D4"/>
    <w:rsid w:val="0F302425"/>
    <w:rsid w:val="10921B46"/>
    <w:rsid w:val="116059FD"/>
    <w:rsid w:val="11702C8D"/>
    <w:rsid w:val="15FA071C"/>
    <w:rsid w:val="16385846"/>
    <w:rsid w:val="1646377E"/>
    <w:rsid w:val="17021F93"/>
    <w:rsid w:val="17377029"/>
    <w:rsid w:val="17C00184"/>
    <w:rsid w:val="184711C8"/>
    <w:rsid w:val="187237A6"/>
    <w:rsid w:val="189B1E31"/>
    <w:rsid w:val="19031AA7"/>
    <w:rsid w:val="1AE837D0"/>
    <w:rsid w:val="1CA20C86"/>
    <w:rsid w:val="1D8B6EF6"/>
    <w:rsid w:val="1DE17229"/>
    <w:rsid w:val="1E6132B9"/>
    <w:rsid w:val="1EAE2913"/>
    <w:rsid w:val="1EF03D4E"/>
    <w:rsid w:val="1EF273EC"/>
    <w:rsid w:val="1F493040"/>
    <w:rsid w:val="1FB76ED1"/>
    <w:rsid w:val="1FD72A0E"/>
    <w:rsid w:val="202B55B3"/>
    <w:rsid w:val="20CE3F4B"/>
    <w:rsid w:val="217C4D86"/>
    <w:rsid w:val="21A27D50"/>
    <w:rsid w:val="221729FA"/>
    <w:rsid w:val="22DE2CCF"/>
    <w:rsid w:val="2338257F"/>
    <w:rsid w:val="23604F80"/>
    <w:rsid w:val="25465A38"/>
    <w:rsid w:val="25A44C59"/>
    <w:rsid w:val="26CF6181"/>
    <w:rsid w:val="27AB1AAE"/>
    <w:rsid w:val="288B74C9"/>
    <w:rsid w:val="2AA4383A"/>
    <w:rsid w:val="2ADC6B69"/>
    <w:rsid w:val="2B8C0D79"/>
    <w:rsid w:val="2D07305C"/>
    <w:rsid w:val="2E6508F1"/>
    <w:rsid w:val="2E9615FD"/>
    <w:rsid w:val="2EAD14DA"/>
    <w:rsid w:val="2F4A16AB"/>
    <w:rsid w:val="2FAC4831"/>
    <w:rsid w:val="300375DA"/>
    <w:rsid w:val="31A36774"/>
    <w:rsid w:val="322B758E"/>
    <w:rsid w:val="324A2A66"/>
    <w:rsid w:val="32B12E4B"/>
    <w:rsid w:val="32D57EA5"/>
    <w:rsid w:val="345F54D2"/>
    <w:rsid w:val="351D0975"/>
    <w:rsid w:val="35A854A7"/>
    <w:rsid w:val="36115F43"/>
    <w:rsid w:val="365B63BD"/>
    <w:rsid w:val="37090E2F"/>
    <w:rsid w:val="37742288"/>
    <w:rsid w:val="37865B8C"/>
    <w:rsid w:val="39037C61"/>
    <w:rsid w:val="39750026"/>
    <w:rsid w:val="39AE2942"/>
    <w:rsid w:val="39F01EE0"/>
    <w:rsid w:val="3A040547"/>
    <w:rsid w:val="3A636281"/>
    <w:rsid w:val="3A960DB6"/>
    <w:rsid w:val="3AE64F8C"/>
    <w:rsid w:val="3BEB0376"/>
    <w:rsid w:val="3DDD445E"/>
    <w:rsid w:val="3E353902"/>
    <w:rsid w:val="3EF62559"/>
    <w:rsid w:val="40CF6FE2"/>
    <w:rsid w:val="42671C2F"/>
    <w:rsid w:val="436F789F"/>
    <w:rsid w:val="44363DD5"/>
    <w:rsid w:val="45EB2D55"/>
    <w:rsid w:val="46EF0756"/>
    <w:rsid w:val="46F459F4"/>
    <w:rsid w:val="47B67BBB"/>
    <w:rsid w:val="481749B6"/>
    <w:rsid w:val="489C6820"/>
    <w:rsid w:val="49247828"/>
    <w:rsid w:val="4A742A58"/>
    <w:rsid w:val="4A914BA1"/>
    <w:rsid w:val="4AB1638A"/>
    <w:rsid w:val="4AD14E40"/>
    <w:rsid w:val="4B3E45F3"/>
    <w:rsid w:val="4C60006F"/>
    <w:rsid w:val="4C6E2B14"/>
    <w:rsid w:val="4CF93DC1"/>
    <w:rsid w:val="4D0369F0"/>
    <w:rsid w:val="4D903A6C"/>
    <w:rsid w:val="4E537616"/>
    <w:rsid w:val="4EAD5B36"/>
    <w:rsid w:val="51D810FA"/>
    <w:rsid w:val="5223443E"/>
    <w:rsid w:val="522C3C23"/>
    <w:rsid w:val="526000EE"/>
    <w:rsid w:val="52A929CD"/>
    <w:rsid w:val="52EE0725"/>
    <w:rsid w:val="5307612F"/>
    <w:rsid w:val="53134075"/>
    <w:rsid w:val="538C6AFB"/>
    <w:rsid w:val="53EF77F2"/>
    <w:rsid w:val="54865CDB"/>
    <w:rsid w:val="54971AA0"/>
    <w:rsid w:val="55096426"/>
    <w:rsid w:val="560411DE"/>
    <w:rsid w:val="570B2D4C"/>
    <w:rsid w:val="57AB2575"/>
    <w:rsid w:val="57E70337"/>
    <w:rsid w:val="58E533AC"/>
    <w:rsid w:val="5AAB597E"/>
    <w:rsid w:val="5CE35492"/>
    <w:rsid w:val="5D1560FD"/>
    <w:rsid w:val="5D405D1E"/>
    <w:rsid w:val="5D764ABE"/>
    <w:rsid w:val="5DD4483E"/>
    <w:rsid w:val="5E364D5F"/>
    <w:rsid w:val="5F5F4C1E"/>
    <w:rsid w:val="5F7C3630"/>
    <w:rsid w:val="604F09E7"/>
    <w:rsid w:val="60545B6A"/>
    <w:rsid w:val="61EA613C"/>
    <w:rsid w:val="620078ED"/>
    <w:rsid w:val="62AB097F"/>
    <w:rsid w:val="62C12D55"/>
    <w:rsid w:val="63DB2CB0"/>
    <w:rsid w:val="63E130AC"/>
    <w:rsid w:val="654A3E4B"/>
    <w:rsid w:val="65D76672"/>
    <w:rsid w:val="66CA3897"/>
    <w:rsid w:val="67460FA0"/>
    <w:rsid w:val="683834E1"/>
    <w:rsid w:val="69B47845"/>
    <w:rsid w:val="69F10417"/>
    <w:rsid w:val="6AC8299D"/>
    <w:rsid w:val="6C1153BA"/>
    <w:rsid w:val="6F0116B5"/>
    <w:rsid w:val="6F585C48"/>
    <w:rsid w:val="6F6329D6"/>
    <w:rsid w:val="6FB6545E"/>
    <w:rsid w:val="6FDC5A0F"/>
    <w:rsid w:val="702B37BF"/>
    <w:rsid w:val="703561A8"/>
    <w:rsid w:val="71CE68BB"/>
    <w:rsid w:val="71DE6605"/>
    <w:rsid w:val="729554DB"/>
    <w:rsid w:val="730C671E"/>
    <w:rsid w:val="731E0F50"/>
    <w:rsid w:val="757635DC"/>
    <w:rsid w:val="758D03CD"/>
    <w:rsid w:val="76A25114"/>
    <w:rsid w:val="76C74632"/>
    <w:rsid w:val="76D743F1"/>
    <w:rsid w:val="77322A0F"/>
    <w:rsid w:val="77563D2B"/>
    <w:rsid w:val="77F34C42"/>
    <w:rsid w:val="7811525D"/>
    <w:rsid w:val="7838546B"/>
    <w:rsid w:val="784210E3"/>
    <w:rsid w:val="79BF259A"/>
    <w:rsid w:val="7B8A5777"/>
    <w:rsid w:val="7C0A310B"/>
    <w:rsid w:val="7CC325E8"/>
    <w:rsid w:val="7CD97AAC"/>
    <w:rsid w:val="7D430458"/>
    <w:rsid w:val="7D4B3C28"/>
    <w:rsid w:val="7DCE4049"/>
    <w:rsid w:val="7E6B29FD"/>
    <w:rsid w:val="7E8D2B2E"/>
    <w:rsid w:val="7F831D43"/>
    <w:rsid w:val="7FDA3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5">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6">
    <w:name w:val="heading 2"/>
    <w:basedOn w:val="1"/>
    <w:next w:val="1"/>
    <w:link w:val="39"/>
    <w:unhideWhenUsed/>
    <w:qFormat/>
    <w:uiPriority w:val="1"/>
    <w:pPr>
      <w:ind w:left="3"/>
      <w:jc w:val="center"/>
      <w:outlineLvl w:val="1"/>
    </w:pPr>
    <w:rPr>
      <w:rFonts w:hint="default" w:ascii="宋体" w:hAnsi="宋体" w:eastAsia="宋体"/>
      <w:sz w:val="30"/>
      <w:szCs w:val="24"/>
    </w:rPr>
  </w:style>
  <w:style w:type="paragraph" w:styleId="7">
    <w:name w:val="heading 3"/>
    <w:basedOn w:val="1"/>
    <w:next w:val="1"/>
    <w:link w:val="31"/>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8">
    <w:name w:val="heading 4"/>
    <w:basedOn w:val="1"/>
    <w:next w:val="1"/>
    <w:unhideWhenUsed/>
    <w:qFormat/>
    <w:uiPriority w:val="1"/>
    <w:pPr>
      <w:outlineLvl w:val="3"/>
    </w:pPr>
    <w:rPr>
      <w:rFonts w:hint="default" w:ascii="宋体" w:hAnsi="宋体" w:eastAsia="宋体"/>
      <w:sz w:val="28"/>
      <w:szCs w:val="24"/>
    </w:rPr>
  </w:style>
  <w:style w:type="paragraph" w:styleId="9">
    <w:name w:val="heading 5"/>
    <w:basedOn w:val="1"/>
    <w:next w:val="1"/>
    <w:unhideWhenUsed/>
    <w:qFormat/>
    <w:uiPriority w:val="1"/>
    <w:pPr>
      <w:ind w:left="237"/>
      <w:outlineLvl w:val="4"/>
    </w:pPr>
    <w:rPr>
      <w:rFonts w:hint="default" w:ascii="宋体" w:hAnsi="宋体" w:eastAsia="宋体"/>
      <w:sz w:val="28"/>
      <w:szCs w:val="24"/>
    </w:rPr>
  </w:style>
  <w:style w:type="paragraph" w:styleId="10">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6">
    <w:name w:val="Default Paragraph Font"/>
    <w:unhideWhenUsed/>
    <w:qFormat/>
    <w:uiPriority w:val="99"/>
    <w:rPr>
      <w:rFonts w:hint="default"/>
      <w:sz w:val="24"/>
      <w:szCs w:val="24"/>
    </w:rPr>
  </w:style>
  <w:style w:type="table" w:default="1" w:styleId="24">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11">
    <w:name w:val="Normal Indent"/>
    <w:basedOn w:val="1"/>
    <w:next w:val="1"/>
    <w:unhideWhenUsed/>
    <w:qFormat/>
    <w:uiPriority w:val="99"/>
    <w:pPr>
      <w:ind w:firstLine="420"/>
    </w:pPr>
    <w:rPr>
      <w:rFonts w:ascii="Times New Roman" w:hAnsi="Times New Roman" w:eastAsia="楷体_GB2312" w:cs="Times New Roman"/>
      <w:lang w:val="en-US" w:eastAsia="zh-CN" w:bidi="ar-SA"/>
    </w:rPr>
  </w:style>
  <w:style w:type="paragraph" w:styleId="12">
    <w:name w:val="annotation text"/>
    <w:basedOn w:val="1"/>
    <w:unhideWhenUsed/>
    <w:qFormat/>
    <w:uiPriority w:val="99"/>
    <w:pPr>
      <w:jc w:val="left"/>
    </w:pPr>
  </w:style>
  <w:style w:type="paragraph" w:styleId="13">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4">
    <w:name w:val="Body Text"/>
    <w:basedOn w:val="1"/>
    <w:next w:val="1"/>
    <w:unhideWhenUsed/>
    <w:qFormat/>
    <w:uiPriority w:val="1"/>
    <w:pPr>
      <w:ind w:left="520"/>
    </w:pPr>
    <w:rPr>
      <w:rFonts w:hint="default" w:ascii="宋体" w:hAnsi="宋体" w:eastAsia="宋体"/>
      <w:sz w:val="21"/>
      <w:szCs w:val="24"/>
    </w:rPr>
  </w:style>
  <w:style w:type="paragraph" w:styleId="15">
    <w:name w:val="toc 3"/>
    <w:basedOn w:val="1"/>
    <w:next w:val="1"/>
    <w:qFormat/>
    <w:uiPriority w:val="99"/>
    <w:pPr>
      <w:ind w:left="840" w:leftChars="400"/>
    </w:pPr>
  </w:style>
  <w:style w:type="paragraph" w:styleId="16">
    <w:name w:val="Plain Text"/>
    <w:basedOn w:val="1"/>
    <w:next w:val="1"/>
    <w:unhideWhenUsed/>
    <w:qFormat/>
    <w:uiPriority w:val="0"/>
    <w:rPr>
      <w:rFonts w:hint="default" w:ascii="宋体" w:hAnsi="Courier New" w:eastAsia="宋体"/>
      <w:sz w:val="24"/>
      <w:szCs w:val="24"/>
    </w:rPr>
  </w:style>
  <w:style w:type="paragraph" w:styleId="17">
    <w:name w:val="Body Text Indent 2"/>
    <w:unhideWhenUsed/>
    <w:qFormat/>
    <w:uiPriority w:val="99"/>
    <w:pPr>
      <w:spacing w:after="120" w:line="480" w:lineRule="auto"/>
      <w:ind w:left="420" w:leftChars="200"/>
    </w:pPr>
    <w:rPr>
      <w:rFonts w:ascii="Times New Roman" w:hAnsi="Times New Roman" w:eastAsia="宋体" w:cs="Times New Roman"/>
      <w:lang w:val="en-US" w:eastAsia="zh-CN" w:bidi="ar-SA"/>
    </w:rPr>
  </w:style>
  <w:style w:type="paragraph" w:styleId="18">
    <w:name w:val="footer"/>
    <w:basedOn w:val="1"/>
    <w:unhideWhenUsed/>
    <w:qFormat/>
    <w:uiPriority w:val="99"/>
    <w:pPr>
      <w:tabs>
        <w:tab w:val="center" w:pos="4153"/>
        <w:tab w:val="right" w:pos="8306"/>
      </w:tabs>
      <w:snapToGrid w:val="0"/>
    </w:pPr>
    <w:rPr>
      <w:rFonts w:hint="default"/>
      <w:sz w:val="18"/>
      <w:szCs w:val="24"/>
    </w:rPr>
  </w:style>
  <w:style w:type="paragraph" w:styleId="19">
    <w:name w:val="header"/>
    <w:basedOn w:val="1"/>
    <w:unhideWhenUsed/>
    <w:qFormat/>
    <w:uiPriority w:val="99"/>
    <w:pPr>
      <w:tabs>
        <w:tab w:val="center" w:pos="4153"/>
        <w:tab w:val="right" w:pos="8306"/>
      </w:tabs>
      <w:snapToGrid w:val="0"/>
      <w:jc w:val="both"/>
    </w:pPr>
    <w:rPr>
      <w:rFonts w:hint="default"/>
      <w:sz w:val="18"/>
      <w:szCs w:val="24"/>
    </w:rPr>
  </w:style>
  <w:style w:type="paragraph" w:styleId="20">
    <w:name w:val="toc 1"/>
    <w:basedOn w:val="1"/>
    <w:next w:val="1"/>
    <w:qFormat/>
    <w:uiPriority w:val="99"/>
  </w:style>
  <w:style w:type="paragraph" w:styleId="21">
    <w:name w:val="toc 2"/>
    <w:basedOn w:val="1"/>
    <w:next w:val="1"/>
    <w:qFormat/>
    <w:uiPriority w:val="99"/>
    <w:pPr>
      <w:ind w:left="420" w:leftChars="200"/>
    </w:pPr>
  </w:style>
  <w:style w:type="paragraph" w:styleId="22">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3">
    <w:name w:val="Body Text First Indent"/>
    <w:basedOn w:val="14"/>
    <w:unhideWhenUsed/>
    <w:qFormat/>
    <w:uiPriority w:val="0"/>
    <w:pPr>
      <w:ind w:firstLine="420"/>
    </w:pPr>
    <w:rPr>
      <w:rFonts w:hint="eastAsia" w:ascii="Times New Roman" w:hAnsi="Times New Roman" w:eastAsia="楷体_GB2312"/>
      <w:sz w:val="20"/>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9">
    <w:name w:val="正文缩进1"/>
    <w:basedOn w:val="30"/>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0">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1">
    <w:name w:val="标题 3 Char"/>
    <w:link w:val="7"/>
    <w:unhideWhenUsed/>
    <w:qFormat/>
    <w:uiPriority w:val="1"/>
    <w:rPr>
      <w:rFonts w:hint="default" w:ascii="宋体" w:hAnsi="宋体" w:eastAsia="宋体"/>
      <w:b/>
      <w:sz w:val="24"/>
      <w:szCs w:val="24"/>
    </w:rPr>
  </w:style>
  <w:style w:type="paragraph" w:customStyle="1" w:styleId="32">
    <w:name w:val="Table Paragraph"/>
    <w:basedOn w:val="1"/>
    <w:unhideWhenUsed/>
    <w:qFormat/>
    <w:uiPriority w:val="1"/>
    <w:rPr>
      <w:rFonts w:hint="default"/>
      <w:sz w:val="24"/>
      <w:szCs w:val="24"/>
    </w:rPr>
  </w:style>
  <w:style w:type="paragraph" w:customStyle="1" w:styleId="33">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4">
    <w:name w:val="p0"/>
    <w:basedOn w:val="1"/>
    <w:unhideWhenUsed/>
    <w:qFormat/>
    <w:uiPriority w:val="0"/>
    <w:pPr>
      <w:widowControl/>
      <w:spacing w:before="75" w:after="75"/>
    </w:pPr>
    <w:rPr>
      <w:rFonts w:hint="default" w:ascii="宋体" w:hAnsi="宋体" w:eastAsia="宋体" w:cs="宋体"/>
      <w:sz w:val="24"/>
      <w:szCs w:val="24"/>
    </w:rPr>
  </w:style>
  <w:style w:type="paragraph" w:styleId="35">
    <w:name w:val="List Paragraph"/>
    <w:basedOn w:val="1"/>
    <w:unhideWhenUsed/>
    <w:qFormat/>
    <w:uiPriority w:val="1"/>
    <w:rPr>
      <w:rFonts w:hint="default"/>
      <w:sz w:val="24"/>
      <w:szCs w:val="24"/>
    </w:rPr>
  </w:style>
  <w:style w:type="paragraph" w:customStyle="1" w:styleId="36">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7">
    <w:name w:val="样式 宋体 行距: 1.5 倍行距"/>
    <w:basedOn w:val="1"/>
    <w:unhideWhenUsed/>
    <w:qFormat/>
    <w:uiPriority w:val="0"/>
    <w:pPr>
      <w:jc w:val="center"/>
    </w:pPr>
    <w:rPr>
      <w:rFonts w:hint="default"/>
      <w:b/>
      <w:sz w:val="24"/>
      <w:szCs w:val="24"/>
    </w:rPr>
  </w:style>
  <w:style w:type="paragraph" w:customStyle="1" w:styleId="38">
    <w:name w:val="发文落款"/>
    <w:basedOn w:val="33"/>
    <w:unhideWhenUsed/>
    <w:qFormat/>
    <w:uiPriority w:val="99"/>
    <w:pPr>
      <w:ind w:left="4094" w:right="607" w:firstLine="0"/>
      <w:jc w:val="center"/>
    </w:pPr>
    <w:rPr>
      <w:rFonts w:hint="eastAsia" w:cs="仿宋_GB2312"/>
      <w:sz w:val="32"/>
      <w:szCs w:val="32"/>
    </w:rPr>
  </w:style>
  <w:style w:type="character" w:customStyle="1" w:styleId="39">
    <w:name w:val="标题 2 Char"/>
    <w:link w:val="6"/>
    <w:unhideWhenUsed/>
    <w:qFormat/>
    <w:uiPriority w:val="1"/>
    <w:rPr>
      <w:rFonts w:hint="default" w:ascii="宋体" w:hAnsi="宋体" w:eastAsia="宋体"/>
      <w:b/>
      <w:sz w:val="30"/>
      <w:szCs w:val="24"/>
    </w:rPr>
  </w:style>
  <w:style w:type="character" w:customStyle="1" w:styleId="40">
    <w:name w:val="NormalCharacter"/>
    <w:unhideWhenUsed/>
    <w:qFormat/>
    <w:uiPriority w:val="0"/>
    <w:rPr>
      <w:rFonts w:hint="default"/>
      <w:sz w:val="24"/>
      <w:szCs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CM25"/>
    <w:basedOn w:val="45"/>
    <w:next w:val="45"/>
    <w:qFormat/>
    <w:uiPriority w:val="99"/>
    <w:pPr>
      <w:spacing w:line="426" w:lineRule="atLeast"/>
    </w:pPr>
    <w:rPr>
      <w:color w:val="auto"/>
    </w:rPr>
  </w:style>
  <w:style w:type="paragraph" w:customStyle="1" w:styleId="47">
    <w:name w:val="正文文本首行缩进"/>
    <w:basedOn w:val="14"/>
    <w:qFormat/>
    <w:uiPriority w:val="0"/>
    <w:pPr>
      <w:widowControl w:val="0"/>
      <w:spacing w:beforeLines="0" w:after="0" w:afterLines="0"/>
      <w:ind w:left="120" w:firstLine="420" w:firstLineChars="100"/>
      <w:jc w:val="both"/>
    </w:pPr>
    <w:rPr>
      <w:rFonts w:hint="eastAsia" w:ascii="宋体" w:hAnsi="宋体" w:eastAsia="宋体" w:cs="Times New Roman"/>
      <w:kern w:val="2"/>
      <w:sz w:val="24"/>
      <w:szCs w:val="24"/>
      <w:lang w:val="en-US" w:eastAsia="en-US" w:bidi="ar-SA"/>
    </w:rPr>
  </w:style>
  <w:style w:type="paragraph" w:customStyle="1" w:styleId="48">
    <w:name w:val="Other|1"/>
    <w:basedOn w:val="1"/>
    <w:qFormat/>
    <w:uiPriority w:val="0"/>
    <w:pPr>
      <w:spacing w:line="408" w:lineRule="auto"/>
      <w:ind w:firstLine="400"/>
      <w:jc w:val="left"/>
    </w:pPr>
    <w:rPr>
      <w:rFonts w:ascii="宋体" w:hAnsi="宋体" w:eastAsia="宋体" w:cs="宋体"/>
      <w:color w:val="000000"/>
      <w:kern w:val="0"/>
      <w:szCs w:val="24"/>
    </w:rPr>
  </w:style>
  <w:style w:type="paragraph" w:customStyle="1" w:styleId="49">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character" w:customStyle="1" w:styleId="50">
    <w:name w:val="font41"/>
    <w:basedOn w:val="26"/>
    <w:uiPriority w:val="0"/>
    <w:rPr>
      <w:rFonts w:hint="eastAsia" w:ascii="仿宋" w:hAnsi="仿宋" w:eastAsia="仿宋" w:cs="仿宋"/>
      <w:color w:val="000000"/>
      <w:sz w:val="24"/>
      <w:szCs w:val="24"/>
      <w:u w:val="none"/>
    </w:rPr>
  </w:style>
  <w:style w:type="character" w:customStyle="1" w:styleId="51">
    <w:name w:val="font2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137</Pages>
  <Words>10281</Words>
  <Characters>11477</Characters>
  <TotalTime>83</TotalTime>
  <ScaleCrop>false</ScaleCrop>
  <LinksUpToDate>false</LinksUpToDate>
  <CharactersWithSpaces>11843</CharactersWithSpaces>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gmgitc</cp:lastModifiedBy>
  <dcterms:modified xsi:type="dcterms:W3CDTF">2025-03-26T07:29:10Z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D4F0AE15784247E2B415FC4ABF314F6E_13</vt:lpwstr>
  </property>
</Properties>
</file>